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 xml:space="preserve">  </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31"/>
        <w:ind w:firstLine="420"/>
        <w:rPr>
          <w:rFonts w:ascii="宋体" w:hAnsi="宋体" w:cs="宋体"/>
        </w:rPr>
      </w:pPr>
    </w:p>
    <w:p>
      <w:pPr>
        <w:pStyle w:val="31"/>
        <w:ind w:firstLine="420"/>
        <w:rPr>
          <w:rFonts w:ascii="宋体" w:hAnsi="宋体" w:cs="宋体"/>
        </w:rPr>
      </w:pPr>
    </w:p>
    <w:p>
      <w:pPr>
        <w:rPr>
          <w:rFonts w:ascii="宋体" w:hAnsi="宋体" w:cs="宋体"/>
          <w:b/>
          <w:sz w:val="44"/>
        </w:rPr>
      </w:pPr>
    </w:p>
    <w:p>
      <w:pPr>
        <w:ind w:right="-319" w:rightChars="-152"/>
        <w:rPr>
          <w:rFonts w:ascii="宋体" w:hAnsi="宋体" w:cs="宋体"/>
          <w:b/>
          <w:sz w:val="36"/>
          <w:szCs w:val="36"/>
        </w:rPr>
      </w:pPr>
      <w:r>
        <w:rPr>
          <w:rFonts w:hint="eastAsia" w:ascii="宋体" w:hAnsi="宋体" w:cs="宋体"/>
          <w:b/>
          <w:sz w:val="36"/>
          <w:szCs w:val="36"/>
        </w:rPr>
        <w:t>招标编号：QH2024153</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31"/>
        <w:ind w:firstLine="420"/>
        <w:rPr>
          <w:rFonts w:ascii="宋体" w:hAnsi="宋体" w:cs="宋体"/>
        </w:rPr>
      </w:pPr>
    </w:p>
    <w:p>
      <w:pPr>
        <w:pStyle w:val="31"/>
        <w:ind w:firstLine="420"/>
        <w:rPr>
          <w:rFonts w:ascii="宋体" w:hAnsi="宋体" w:cs="宋体"/>
        </w:rPr>
      </w:pPr>
    </w:p>
    <w:p>
      <w:pPr>
        <w:ind w:left="1807" w:right="-319" w:rightChars="-152" w:hanging="1807" w:hangingChars="500"/>
        <w:rPr>
          <w:rFonts w:ascii="宋体" w:hAnsi="宋体" w:cs="宋体"/>
          <w:b/>
          <w:sz w:val="36"/>
          <w:szCs w:val="36"/>
        </w:rPr>
      </w:pPr>
      <w:r>
        <w:rPr>
          <w:rFonts w:hint="eastAsia" w:ascii="宋体" w:hAnsi="宋体" w:cs="宋体"/>
          <w:b/>
          <w:sz w:val="36"/>
          <w:szCs w:val="36"/>
        </w:rPr>
        <w:t>招标项目：“前海招商引资专项产业咨询”服务</w:t>
      </w:r>
    </w:p>
    <w:p>
      <w:pPr>
        <w:ind w:firstLine="3264" w:firstLineChars="739"/>
        <w:rPr>
          <w:rFonts w:ascii="宋体" w:hAnsi="宋体" w:cs="宋体"/>
          <w:b/>
          <w:sz w:val="44"/>
        </w:rPr>
      </w:pPr>
    </w:p>
    <w:p>
      <w:pPr>
        <w:pStyle w:val="31"/>
        <w:ind w:firstLine="0" w:firstLineChars="0"/>
        <w:rPr>
          <w:rFonts w:ascii="宋体" w:hAnsi="宋体" w:cs="宋体"/>
        </w:rPr>
      </w:pPr>
    </w:p>
    <w:p>
      <w:pPr>
        <w:pStyle w:val="31"/>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w:t>
      </w:r>
      <w:r>
        <w:rPr>
          <w:rFonts w:hint="eastAsia" w:ascii="宋体" w:hAnsi="宋体" w:cs="宋体"/>
          <w:b/>
          <w:bCs/>
          <w:sz w:val="36"/>
          <w:szCs w:val="36"/>
          <w:lang w:val="en-US" w:eastAsia="zh-CN"/>
        </w:rPr>
        <w:t>5</w:t>
      </w:r>
      <w:r>
        <w:rPr>
          <w:rFonts w:hint="eastAsia" w:ascii="宋体" w:hAnsi="宋体" w:cs="宋体"/>
          <w:b/>
          <w:bCs/>
          <w:sz w:val="36"/>
          <w:szCs w:val="36"/>
        </w:rPr>
        <w:t>年1月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snapToGrid w:val="0"/>
        <w:spacing w:line="360" w:lineRule="auto"/>
        <w:ind w:firstLine="470" w:firstLineChars="196"/>
        <w:rPr>
          <w:rFonts w:ascii="宋体" w:hAnsi="宋体" w:cs="宋体"/>
          <w:sz w:val="24"/>
        </w:rPr>
      </w:pPr>
      <w:r>
        <w:rPr>
          <w:rFonts w:hint="eastAsia" w:ascii="宋体" w:hAnsi="宋体" w:cs="宋体"/>
          <w:sz w:val="24"/>
        </w:rPr>
        <w:t>四、根据深财购[2021]45号文规定，进一步规范投标供应商资质审查：</w:t>
      </w:r>
    </w:p>
    <w:p>
      <w:pPr>
        <w:snapToGrid w:val="0"/>
        <w:spacing w:line="360" w:lineRule="auto"/>
        <w:ind w:firstLine="470" w:firstLineChars="196"/>
        <w:rPr>
          <w:rFonts w:ascii="宋体" w:hAnsi="宋体" w:cs="宋体"/>
          <w:sz w:val="24"/>
        </w:rPr>
      </w:pPr>
      <w:r>
        <w:rPr>
          <w:rFonts w:hint="eastAsia" w:ascii="宋体" w:hAnsi="宋体" w:cs="宋体"/>
          <w:sz w:val="24"/>
        </w:rPr>
        <w:t>（一）依据《中华人民共和国政府采购法实施条例》第十八条规定，单位负责人为同一人或者存在直接控股、管理关系的不同供应商，不得参加同一合同项下的政府采购活动。</w:t>
      </w:r>
    </w:p>
    <w:p>
      <w:pPr>
        <w:snapToGrid w:val="0"/>
        <w:spacing w:line="360" w:lineRule="auto"/>
        <w:ind w:firstLine="470" w:firstLineChars="196"/>
        <w:rPr>
          <w:rFonts w:ascii="宋体" w:hAnsi="宋体" w:cs="宋体"/>
          <w:sz w:val="24"/>
        </w:rPr>
      </w:pPr>
      <w:r>
        <w:rPr>
          <w:rFonts w:hint="eastAsia" w:ascii="宋体" w:hAnsi="宋体" w:cs="宋体"/>
          <w:sz w:val="24"/>
        </w:rPr>
        <w:t>（二）项目开评标过程中，通过查看供应商投标文件、查询供应商股权信息等方式，核查同一项目中不同投标供应商之间，是否存在单位负责人为同一人或者存在直接控股、管理关系的情况。对疑似存在上述情形的供应商，有权要求其在评标现场合理的时间内提供书面说明，必要时提交相关证明材料。</w:t>
      </w:r>
    </w:p>
    <w:p>
      <w:pPr>
        <w:snapToGrid w:val="0"/>
        <w:spacing w:line="360" w:lineRule="auto"/>
        <w:ind w:firstLine="470" w:firstLineChars="196"/>
        <w:rPr>
          <w:rFonts w:ascii="宋体" w:hAnsi="宋体" w:cs="宋体"/>
          <w:sz w:val="24"/>
        </w:rPr>
      </w:pPr>
      <w:r>
        <w:rPr>
          <w:rFonts w:hint="eastAsia" w:ascii="宋体" w:hAnsi="宋体" w:cs="宋体"/>
          <w:sz w:val="24"/>
        </w:rPr>
        <w:t>（三）经核实，投标供应商确实存在《中华人民共和国政府采购法实施条例》第十八条规定情形的，依法认定其投标无效，涉嫌存在串通投标等违法行为的，书面报告同级财政部门。</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4"/>
        <w:tabs>
          <w:tab w:val="right" w:leader="dot" w:pos="8306"/>
        </w:tabs>
        <w:spacing w:line="480" w:lineRule="auto"/>
        <w:rPr>
          <w:b/>
          <w:bCs/>
          <w:sz w:val="24"/>
          <w:szCs w:val="32"/>
        </w:rPr>
      </w:pPr>
    </w:p>
    <w:p>
      <w:pPr>
        <w:pStyle w:val="14"/>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4"/>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31</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38</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spacing w:line="360" w:lineRule="auto"/>
        <w:ind w:firstLine="480" w:firstLineChars="200"/>
        <w:jc w:val="left"/>
        <w:rPr>
          <w:rFonts w:ascii="宋体" w:hAnsi="宋体" w:cs="宋体"/>
          <w:sz w:val="24"/>
        </w:rPr>
      </w:pPr>
      <w:r>
        <w:rPr>
          <w:rFonts w:hint="eastAsia" w:ascii="宋体" w:hAnsi="宋体" w:cs="宋体"/>
          <w:sz w:val="24"/>
          <w:u w:val="single"/>
        </w:rPr>
        <w:t xml:space="preserve"> “前海招商引资专项产业咨询”服务 </w:t>
      </w:r>
      <w:r>
        <w:rPr>
          <w:rFonts w:hint="eastAsia" w:ascii="宋体" w:hAnsi="宋体" w:cs="宋体"/>
          <w:sz w:val="24"/>
        </w:rPr>
        <w:t>（招标编号：QH2024153）采用公开征集供应商简易招标方式采购，欢迎符合投标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noWrap w:val="0"/>
            <w:vAlign w:val="center"/>
          </w:tcPr>
          <w:p>
            <w:pPr>
              <w:spacing w:line="360" w:lineRule="auto"/>
              <w:jc w:val="center"/>
              <w:rPr>
                <w:highlight w:val="yellow"/>
              </w:rPr>
            </w:pPr>
            <w:r>
              <w:rPr>
                <w:rFonts w:hint="eastAsia" w:ascii="宋体" w:hAnsi="宋体" w:cs="宋体"/>
                <w:sz w:val="24"/>
                <w:highlight w:val="none"/>
                <w:shd w:val="clear"/>
              </w:rPr>
              <w:t>招标文件编号</w:t>
            </w:r>
          </w:p>
        </w:tc>
        <w:tc>
          <w:tcPr>
            <w:tcW w:w="7015" w:type="dxa"/>
            <w:noWrap w:val="0"/>
            <w:vAlign w:val="center"/>
          </w:tcPr>
          <w:p>
            <w:pPr>
              <w:spacing w:line="360" w:lineRule="auto"/>
              <w:rPr>
                <w:rFonts w:ascii="宋体" w:hAnsi="宋体" w:cs="宋体"/>
                <w:sz w:val="24"/>
              </w:rPr>
            </w:pPr>
            <w:r>
              <w:rPr>
                <w:rFonts w:hint="eastAsia" w:ascii="宋体" w:hAnsi="宋体" w:cs="宋体"/>
                <w:sz w:val="24"/>
              </w:rPr>
              <w:t xml:space="preserve"> QH2024153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noWrap w:val="0"/>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noWrap w:val="0"/>
            <w:vAlign w:val="center"/>
          </w:tcPr>
          <w:p>
            <w:pPr>
              <w:spacing w:line="360" w:lineRule="auto"/>
              <w:rPr>
                <w:rFonts w:ascii="宋体" w:hAnsi="宋体" w:cs="宋体"/>
                <w:sz w:val="24"/>
              </w:rPr>
            </w:pPr>
            <w:r>
              <w:rPr>
                <w:rFonts w:hint="eastAsia" w:ascii="宋体" w:hAnsi="宋体" w:cs="宋体"/>
                <w:sz w:val="24"/>
              </w:rPr>
              <w:t>“前海招商引资专项产业咨询”服务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noWrap w:val="0"/>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noWrap w:val="0"/>
            <w:vAlign w:val="center"/>
          </w:tcPr>
          <w:p>
            <w:pPr>
              <w:spacing w:line="360" w:lineRule="auto"/>
              <w:ind w:firstLine="480" w:firstLineChars="200"/>
              <w:rPr>
                <w:rFonts w:ascii="宋体" w:hAnsi="宋体" w:cs="宋体"/>
                <w:sz w:val="24"/>
              </w:rPr>
            </w:pPr>
            <w:r>
              <w:rPr>
                <w:rFonts w:hint="eastAsia" w:ascii="宋体" w:hAnsi="宋体" w:cs="宋体"/>
                <w:color w:val="000000"/>
                <w:sz w:val="24"/>
              </w:rPr>
              <w:t>聚焦“招外、招大、招战、招新”的工作总目标，我中心拟针对国内外重点企业、国内重点区域的产业发展动态，开展定期数据收集监测，并结合前海招商引资工作实际实施针对性产业咨询分析工作，以提升我中心对全局招商引资工作的统筹能力。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noWrap w:val="0"/>
            <w:vAlign w:val="center"/>
          </w:tcPr>
          <w:p>
            <w:pPr>
              <w:widowControl/>
              <w:spacing w:line="360" w:lineRule="auto"/>
              <w:jc w:val="left"/>
              <w:rPr>
                <w:rFonts w:ascii="宋体" w:hAnsi="宋体" w:cs="宋体"/>
                <w:sz w:val="24"/>
              </w:rPr>
            </w:pPr>
            <w:r>
              <w:rPr>
                <w:rFonts w:hint="eastAsia" w:ascii="宋体" w:hAnsi="宋体" w:cs="宋体"/>
                <w:sz w:val="24"/>
                <w:lang w:val="en-US" w:eastAsia="zh-CN"/>
              </w:rPr>
              <w:t>33.5</w:t>
            </w:r>
            <w:r>
              <w:rPr>
                <w:rFonts w:hint="eastAsia" w:ascii="宋体" w:hAnsi="宋体" w:cs="宋体"/>
                <w:sz w:val="24"/>
              </w:rPr>
              <w:t>万元（人民币</w:t>
            </w:r>
            <w:r>
              <w:rPr>
                <w:rFonts w:hint="eastAsia" w:ascii="宋体" w:hAnsi="宋体" w:cs="宋体"/>
                <w:sz w:val="24"/>
                <w:lang w:eastAsia="zh-CN"/>
              </w:rPr>
              <w:t>叁拾叁万伍仟</w:t>
            </w:r>
            <w:r>
              <w:rPr>
                <w:rFonts w:hint="eastAsia" w:ascii="宋体" w:hAnsi="宋体" w:cs="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noWrap w:val="0"/>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ascii="宋体" w:hAnsi="宋体" w:cs="宋体"/>
                <w:kern w:val="0"/>
                <w:sz w:val="24"/>
                <w:lang w:bidi="ar"/>
              </w:rPr>
            </w:pPr>
            <w:r>
              <w:rPr>
                <w:rFonts w:hint="eastAsia" w:ascii="宋体" w:hAnsi="宋体" w:cs="宋体"/>
                <w:sz w:val="24"/>
                <w:lang w:bidi="ar"/>
              </w:rPr>
              <w:t>报名方式</w:t>
            </w:r>
          </w:p>
        </w:tc>
        <w:tc>
          <w:tcPr>
            <w:tcW w:w="7015" w:type="dxa"/>
            <w:noWrap w:val="0"/>
            <w:vAlign w:val="center"/>
          </w:tcPr>
          <w:p>
            <w:pPr>
              <w:spacing w:line="360" w:lineRule="auto"/>
              <w:jc w:val="left"/>
              <w:rPr>
                <w:rFonts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kern w:val="0"/>
                <w:sz w:val="24"/>
                <w:highlight w:val="yellow"/>
                <w:shd w:val="clear"/>
                <w:lang w:bidi="ar"/>
              </w:rPr>
              <w:t>202</w:t>
            </w:r>
            <w:r>
              <w:rPr>
                <w:rFonts w:hint="eastAsia" w:ascii="宋体" w:hAnsi="宋体" w:cs="宋体"/>
                <w:kern w:val="0"/>
                <w:sz w:val="24"/>
                <w:highlight w:val="yellow"/>
                <w:shd w:val="clear"/>
                <w:lang w:val="en-US" w:eastAsia="zh-CN" w:bidi="ar"/>
              </w:rPr>
              <w:t>5</w:t>
            </w:r>
            <w:r>
              <w:rPr>
                <w:rFonts w:hint="eastAsia" w:ascii="宋体" w:hAnsi="宋体" w:cs="宋体"/>
                <w:kern w:val="0"/>
                <w:sz w:val="24"/>
                <w:highlight w:val="yellow"/>
                <w:shd w:val="clear"/>
                <w:lang w:bidi="ar"/>
              </w:rPr>
              <w:t>年</w:t>
            </w:r>
            <w:r>
              <w:rPr>
                <w:rFonts w:hint="eastAsia" w:ascii="宋体" w:hAnsi="宋体" w:cs="宋体"/>
                <w:kern w:val="0"/>
                <w:sz w:val="24"/>
                <w:highlight w:val="yellow"/>
                <w:shd w:val="clear"/>
                <w:lang w:val="en-US" w:eastAsia="zh-CN" w:bidi="ar"/>
              </w:rPr>
              <w:t>1</w:t>
            </w:r>
            <w:r>
              <w:rPr>
                <w:rFonts w:hint="eastAsia" w:ascii="宋体" w:hAnsi="宋体" w:cs="宋体"/>
                <w:kern w:val="0"/>
                <w:sz w:val="24"/>
                <w:highlight w:val="yellow"/>
                <w:shd w:val="clear"/>
                <w:lang w:bidi="ar"/>
              </w:rPr>
              <w:t>月</w:t>
            </w:r>
            <w:r>
              <w:rPr>
                <w:rFonts w:hint="eastAsia" w:ascii="宋体" w:hAnsi="宋体" w:cs="宋体"/>
                <w:kern w:val="0"/>
                <w:sz w:val="24"/>
                <w:highlight w:val="yellow"/>
                <w:shd w:val="clear"/>
                <w:lang w:val="en-US" w:eastAsia="zh-CN" w:bidi="ar"/>
              </w:rPr>
              <w:t>23</w:t>
            </w:r>
            <w:r>
              <w:rPr>
                <w:rFonts w:hint="eastAsia" w:ascii="宋体" w:hAnsi="宋体" w:cs="宋体"/>
                <w:kern w:val="0"/>
                <w:sz w:val="24"/>
                <w:highlight w:val="yellow"/>
                <w:shd w:val="clear"/>
                <w:lang w:bidi="ar"/>
              </w:rPr>
              <w:t>日下午15:00时</w:t>
            </w:r>
            <w:r>
              <w:rPr>
                <w:rFonts w:hint="eastAsia" w:ascii="宋体" w:hAnsi="宋体" w:cs="宋体"/>
                <w:kern w:val="0"/>
                <w:sz w:val="24"/>
                <w:lang w:bidi="ar"/>
              </w:rPr>
              <w:t>（北京时间）前送达（现场递交或邮寄）至深圳市前海深港现代服务业合作区桂湾五路123号前海大厦T1栋</w:t>
            </w:r>
            <w:r>
              <w:rPr>
                <w:rFonts w:ascii="宋体" w:hAnsi="宋体" w:cs="宋体"/>
                <w:sz w:val="24"/>
              </w:rPr>
              <w:t>2313</w:t>
            </w:r>
            <w:r>
              <w:rPr>
                <w:rFonts w:hint="eastAsia" w:ascii="宋体" w:hAnsi="宋体" w:cs="宋体"/>
                <w:kern w:val="0"/>
                <w:sz w:val="24"/>
                <w:lang w:bidi="ar"/>
              </w:rPr>
              <w:t>室。</w:t>
            </w:r>
          </w:p>
          <w:p>
            <w:pPr>
              <w:spacing w:line="360" w:lineRule="auto"/>
              <w:jc w:val="left"/>
              <w:rPr>
                <w:rFonts w:ascii="宋体" w:hAnsi="宋体" w:cs="宋体"/>
                <w:kern w:val="0"/>
                <w:sz w:val="24"/>
                <w:lang w:bidi="ar"/>
              </w:rPr>
            </w:pPr>
            <w:r>
              <w:rPr>
                <w:rFonts w:hint="eastAsia" w:ascii="宋体" w:hAnsi="宋体" w:cs="宋体"/>
                <w:kern w:val="0"/>
                <w:sz w:val="24"/>
                <w:lang w:bidi="ar"/>
              </w:rPr>
              <w:t>联系人：王婧     联系电话：13923863355</w:t>
            </w:r>
            <w:r>
              <w:rPr>
                <w:rFonts w:hint="eastAsia" w:ascii="宋体" w:hAnsi="宋体"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noWrap w:val="0"/>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1）具有独立承担民事责任能力的法人或其他组织（提供营业执照或事业单位法人证书等证明资料复印件或扫描件，原件备查。如果参与投标的供应商为分公司（或分所）则须提供分公司（或分所）营业执照、其所属总公司（或总所）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kern w:val="0"/>
                <w:sz w:val="24"/>
              </w:rPr>
              <w:t>以上证明材料均需提供加盖投标人</w:t>
            </w:r>
            <w:r>
              <w:rPr>
                <w:rFonts w:hint="eastAsia" w:ascii="宋体" w:hAnsi="宋体" w:cs="宋体"/>
                <w:b/>
                <w:bCs/>
                <w:kern w:val="0"/>
                <w:sz w:val="24"/>
              </w:rPr>
              <w:t>单位公</w:t>
            </w:r>
            <w:r>
              <w:rPr>
                <w:rFonts w:hint="eastAsia" w:ascii="宋体" w:hAnsi="宋体" w:cs="宋体"/>
                <w:b/>
                <w:bCs/>
                <w:color w:val="000000"/>
                <w:kern w:val="0"/>
                <w:sz w:val="24"/>
              </w:rPr>
              <w:t>章的复印件或扫描件，原件备查。</w:t>
            </w:r>
          </w:p>
          <w:p>
            <w:pPr>
              <w:spacing w:line="360" w:lineRule="auto"/>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参与政府采购项目投标的供应商近三年内（投标人成立不足三年的可从成立之日起算）无行贿犯罪记录</w:t>
            </w:r>
            <w:r>
              <w:rPr>
                <w:rFonts w:hint="eastAsia" w:ascii="宋体" w:hAnsi="宋体" w:cs="宋体"/>
                <w:b/>
                <w:bCs/>
                <w:color w:val="000000"/>
                <w:kern w:val="0"/>
                <w:sz w:val="24"/>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kern w:val="0"/>
                <w:sz w:val="24"/>
              </w:rPr>
              <w:t>章）</w:t>
            </w:r>
            <w:r>
              <w:rPr>
                <w:rFonts w:hint="eastAsia" w:ascii="宋体" w:hAnsi="宋体" w:cs="宋体"/>
                <w:color w:val="000000"/>
                <w:kern w:val="0"/>
                <w:sz w:val="24"/>
              </w:rPr>
              <w:t>；</w:t>
            </w:r>
          </w:p>
          <w:p>
            <w:pPr>
              <w:spacing w:line="360" w:lineRule="auto"/>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kern w:val="0"/>
                <w:sz w:val="24"/>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kern w:val="0"/>
                <w:sz w:val="24"/>
              </w:rPr>
              <w:t>章）</w:t>
            </w:r>
            <w:r>
              <w:rPr>
                <w:rFonts w:hint="eastAsia" w:ascii="宋体" w:hAnsi="宋体" w:cs="宋体"/>
                <w:color w:val="000000"/>
                <w:kern w:val="0"/>
                <w:sz w:val="24"/>
              </w:rPr>
              <w:t>；</w:t>
            </w:r>
          </w:p>
          <w:p>
            <w:pPr>
              <w:spacing w:line="360" w:lineRule="auto"/>
              <w:rPr>
                <w:rFonts w:ascii="宋体" w:hAnsi="宋体" w:cs="宋体"/>
                <w:color w:val="000000"/>
                <w:kern w:val="0"/>
                <w:sz w:val="24"/>
              </w:rPr>
            </w:pPr>
            <w:r>
              <w:rPr>
                <w:rFonts w:hint="eastAsia" w:ascii="宋体" w:hAnsi="宋体" w:cs="宋体"/>
                <w:color w:val="000000"/>
                <w:kern w:val="0"/>
                <w:sz w:val="24"/>
              </w:rPr>
              <w:t>（4）</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p>
          <w:p>
            <w:pPr>
              <w:spacing w:line="360" w:lineRule="auto"/>
              <w:rPr>
                <w:rFonts w:ascii="宋体" w:hAnsi="宋体" w:cs="宋体"/>
                <w:color w:val="000000"/>
                <w:kern w:val="0"/>
                <w:sz w:val="24"/>
              </w:rPr>
            </w:pPr>
            <w:r>
              <w:rPr>
                <w:rFonts w:hint="eastAsia" w:ascii="宋体" w:hAnsi="宋体" w:cs="宋体"/>
                <w:color w:val="000000"/>
                <w:kern w:val="0"/>
                <w:sz w:val="24"/>
              </w:rPr>
              <w:t>（5）未被列入失信被执行人、重大税收违法失信主体、政府采购严重违法失信行为记录名单（由供应商在《政府采购投标及履约承诺函》中作出声明）。</w:t>
            </w:r>
          </w:p>
          <w:p>
            <w:pPr>
              <w:spacing w:line="360" w:lineRule="auto"/>
              <w:rPr>
                <w:rFonts w:ascii="宋体" w:hAnsi="宋体" w:cs="宋体"/>
                <w:color w:val="000000"/>
                <w:kern w:val="0"/>
                <w:sz w:val="24"/>
              </w:rPr>
            </w:pPr>
            <w:r>
              <w:rPr>
                <w:rFonts w:hint="eastAsia" w:ascii="宋体" w:hAnsi="宋体" w:cs="宋体"/>
                <w:color w:val="000000"/>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spacing w:line="360" w:lineRule="auto"/>
              <w:rPr>
                <w:rFonts w:ascii="宋体" w:hAnsi="宋体" w:cs="宋体"/>
                <w:color w:val="000000"/>
                <w:kern w:val="0"/>
                <w:sz w:val="24"/>
              </w:rPr>
            </w:pPr>
            <w:r>
              <w:rPr>
                <w:rFonts w:hint="eastAsia" w:ascii="宋体" w:hAnsi="宋体" w:cs="宋体"/>
                <w:color w:val="000000"/>
                <w:kern w:val="0"/>
                <w:sz w:val="24"/>
              </w:rPr>
              <w:t>（6）本项目不接受联合体投标，不接受分包、转包。</w:t>
            </w:r>
          </w:p>
          <w:p>
            <w:pPr>
              <w:spacing w:line="360" w:lineRule="auto"/>
            </w:pPr>
            <w:r>
              <w:rPr>
                <w:rFonts w:hint="eastAsia" w:ascii="宋体" w:hAnsi="宋体" w:cs="宋体"/>
                <w:color w:val="000000"/>
                <w:kern w:val="0"/>
                <w:sz w:val="24"/>
              </w:rPr>
              <w:t>（7）本项目专门面向中小企业采购，供应商为符合政策要求的中小微企业或残疾人福利性单位或监狱企业（由供应商在《中小企业声明函、残疾人福利性单位声明函及监狱企业声明函》中作出声明；未提供声明函或声明函不符合招标文件要求的，按资格审查不通过处理）本项目</w:t>
            </w:r>
            <w:r>
              <w:rPr>
                <w:rFonts w:hint="eastAsia" w:ascii="宋体" w:hAnsi="宋体" w:cs="宋体"/>
                <w:sz w:val="24"/>
              </w:rPr>
              <w:t>所属行业为：其他未列明行业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noWrap w:val="0"/>
            <w:vAlign w:val="center"/>
          </w:tcPr>
          <w:p>
            <w:pPr>
              <w:numPr>
                <w:ilvl w:val="0"/>
                <w:numId w:val="3"/>
              </w:numPr>
              <w:spacing w:line="360" w:lineRule="auto"/>
              <w:rPr>
                <w:rFonts w:ascii="宋体" w:hAnsi="宋体" w:cs="宋体"/>
                <w:color w:val="000000"/>
                <w:sz w:val="24"/>
              </w:rPr>
            </w:pPr>
            <w:r>
              <w:rPr>
                <w:rFonts w:hint="eastAsia" w:ascii="宋体" w:hAnsi="宋体" w:cs="宋体"/>
                <w:color w:val="000000"/>
                <w:sz w:val="24"/>
              </w:rPr>
              <w:t>本次投标为总价包干，投标报价总价作为中标人与采购人签定的合同金额。项目预算控制</w:t>
            </w:r>
            <w:r>
              <w:rPr>
                <w:rFonts w:hint="eastAsia" w:ascii="宋体" w:hAnsi="宋体" w:cs="宋体"/>
                <w:color w:val="000000"/>
                <w:sz w:val="24"/>
                <w:lang w:val="en-US" w:eastAsia="zh-CN"/>
              </w:rPr>
              <w:t>33.5</w:t>
            </w:r>
            <w:r>
              <w:rPr>
                <w:rFonts w:hint="eastAsia" w:ascii="宋体" w:hAnsi="宋体" w:cs="宋体"/>
                <w:color w:val="000000"/>
                <w:sz w:val="24"/>
              </w:rPr>
              <w:t>万元以内，投标人的报价不可高于</w:t>
            </w:r>
            <w:r>
              <w:rPr>
                <w:rFonts w:hint="eastAsia" w:ascii="宋体" w:hAnsi="宋体" w:cs="宋体"/>
                <w:color w:val="000000"/>
                <w:kern w:val="0"/>
                <w:sz w:val="24"/>
              </w:rPr>
              <w:t>预算（限价），否则投标人的投标文件视同无效。项目服务费包括但不限于调研费、中标服务费、资料费、税金、人员费用、差旅费、后续服务等所有费用，并提供合同要求的有关成果材料，以及其它相关服务的全部费用</w:t>
            </w:r>
            <w:r>
              <w:rPr>
                <w:rFonts w:hint="eastAsia" w:ascii="宋体" w:hAnsi="宋体" w:cs="宋体"/>
                <w:color w:val="000000"/>
                <w:sz w:val="24"/>
              </w:rPr>
              <w:t>。</w:t>
            </w:r>
          </w:p>
          <w:p>
            <w:pPr>
              <w:numPr>
                <w:ilvl w:val="0"/>
                <w:numId w:val="3"/>
              </w:numPr>
              <w:spacing w:line="360" w:lineRule="auto"/>
              <w:rPr>
                <w:rFonts w:ascii="宋体" w:hAnsi="宋体" w:cs="宋体"/>
                <w:color w:val="000000"/>
                <w:sz w:val="24"/>
              </w:rPr>
            </w:pPr>
            <w:r>
              <w:rPr>
                <w:rFonts w:hint="eastAsia" w:ascii="宋体" w:hAnsi="宋体" w:cs="宋体"/>
                <w:color w:val="000000"/>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color w:val="000000"/>
                <w:sz w:val="24"/>
              </w:rPr>
            </w:pPr>
            <w:r>
              <w:rPr>
                <w:rFonts w:hint="eastAsia" w:ascii="宋体" w:hAnsi="宋体" w:cs="宋体"/>
                <w:color w:val="000000"/>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color w:val="000000"/>
                <w:sz w:val="24"/>
              </w:rPr>
            </w:pPr>
            <w:r>
              <w:rPr>
                <w:rFonts w:hint="eastAsia" w:ascii="宋体" w:hAnsi="宋体" w:cs="宋体"/>
                <w:color w:val="000000"/>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kern w:val="0"/>
                <w:sz w:val="24"/>
                <w:szCs w:val="20"/>
              </w:rPr>
            </w:pPr>
            <w:r>
              <w:rPr>
                <w:rFonts w:hint="eastAsia" w:ascii="宋体" w:hAnsi="宋体" w:cs="宋体"/>
                <w:color w:val="000000"/>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noWrap w:val="0"/>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ascii="宋体" w:hAnsi="宋体" w:cs="宋体"/>
                <w:color w:val="000000"/>
                <w:kern w:val="0"/>
                <w:sz w:val="24"/>
              </w:rPr>
            </w:pPr>
            <w:r>
              <w:rPr>
                <w:rFonts w:hint="eastAsia" w:ascii="宋体" w:hAnsi="宋体" w:cs="宋体"/>
                <w:color w:val="000000"/>
                <w:kern w:val="0"/>
                <w:sz w:val="24"/>
              </w:rPr>
              <w:t>联  系  人： 王婧</w:t>
            </w:r>
          </w:p>
          <w:p>
            <w:pPr>
              <w:spacing w:line="360" w:lineRule="auto"/>
              <w:rPr>
                <w:rFonts w:ascii="宋体" w:hAnsi="宋体" w:cs="宋体"/>
                <w:color w:val="000000"/>
                <w:kern w:val="0"/>
                <w:sz w:val="24"/>
              </w:rPr>
            </w:pPr>
            <w:r>
              <w:rPr>
                <w:rFonts w:hint="eastAsia" w:ascii="宋体" w:hAnsi="宋体" w:cs="宋体"/>
                <w:color w:val="000000"/>
                <w:kern w:val="0"/>
                <w:sz w:val="24"/>
              </w:rPr>
              <w:t>电      话：13923863355</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称：深圳交易咨询集团有限公司</w:t>
            </w:r>
          </w:p>
          <w:p>
            <w:pPr>
              <w:spacing w:line="360" w:lineRule="auto"/>
              <w:rPr>
                <w:rFonts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ascii="宋体" w:hAnsi="宋体" w:cs="宋体"/>
                <w:kern w:val="0"/>
                <w:sz w:val="24"/>
              </w:rPr>
            </w:pPr>
            <w:r>
              <w:rPr>
                <w:rFonts w:hint="eastAsia" w:ascii="宋体" w:hAnsi="宋体" w:cs="宋体"/>
                <w:kern w:val="0"/>
                <w:sz w:val="24"/>
              </w:rPr>
              <w:t>联  系  人：曹茜、郭金龙</w:t>
            </w:r>
          </w:p>
          <w:p>
            <w:pPr>
              <w:spacing w:line="360" w:lineRule="auto"/>
              <w:rPr>
                <w:rFonts w:ascii="宋体" w:hAnsi="宋体" w:cs="宋体"/>
                <w:kern w:val="0"/>
                <w:sz w:val="24"/>
              </w:rPr>
            </w:pPr>
            <w:r>
              <w:rPr>
                <w:rFonts w:hint="eastAsia" w:ascii="宋体" w:hAnsi="宋体" w:cs="宋体"/>
                <w:kern w:val="0"/>
                <w:sz w:val="24"/>
              </w:rPr>
              <w:t>电      话：18599127733、15118037034</w:t>
            </w:r>
          </w:p>
        </w:tc>
      </w:tr>
    </w:tbl>
    <w:p>
      <w:pPr>
        <w:adjustRightInd w:val="0"/>
        <w:snapToGrid w:val="0"/>
        <w:spacing w:line="360" w:lineRule="auto"/>
        <w:ind w:firstLine="480" w:firstLineChars="200"/>
        <w:jc w:val="right"/>
        <w:rPr>
          <w:rFonts w:ascii="宋体" w:hAnsi="宋体" w:cs="宋体"/>
          <w:sz w:val="24"/>
        </w:rPr>
      </w:pP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年1月</w:t>
      </w:r>
      <w:r>
        <w:rPr>
          <w:rFonts w:hint="eastAsia" w:ascii="宋体" w:hAnsi="宋体" w:cs="宋体"/>
          <w:sz w:val="24"/>
          <w:lang w:val="en-US" w:eastAsia="zh-CN"/>
        </w:rPr>
        <w:t>17</w:t>
      </w:r>
      <w:r>
        <w:rPr>
          <w:rFonts w:hint="eastAsia" w:ascii="宋体" w:hAnsi="宋体" w:cs="宋体"/>
          <w:sz w:val="24"/>
        </w:rPr>
        <w:t>日</w:t>
      </w: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 w:name="_Toc16734"/>
      <w:r>
        <w:rPr>
          <w:rFonts w:hint="eastAsia" w:ascii="宋体" w:hAnsi="宋体" w:cs="宋体"/>
          <w:b/>
          <w:bCs/>
          <w:sz w:val="24"/>
        </w:rPr>
        <w:t>投标须知</w:t>
      </w:r>
      <w:bookmarkEnd w:id="3"/>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u w:val="single"/>
        </w:rPr>
        <w:t>“前海招商引资专项产业咨询”服务</w:t>
      </w:r>
      <w:r>
        <w:rPr>
          <w:rFonts w:hint="eastAsia" w:ascii="宋体" w:hAnsi="宋体" w:cs="宋体"/>
          <w:sz w:val="24"/>
        </w:rPr>
        <w:t>项目。</w:t>
      </w:r>
    </w:p>
    <w:p>
      <w:pPr>
        <w:spacing w:line="360" w:lineRule="auto"/>
        <w:ind w:firstLine="480" w:firstLineChars="200"/>
        <w:rPr>
          <w:rFonts w:ascii="宋体" w:hAnsi="宋体" w:cs="宋体"/>
          <w:sz w:val="24"/>
        </w:rPr>
      </w:pPr>
      <w:r>
        <w:rPr>
          <w:rFonts w:hint="eastAsia" w:ascii="宋体" w:hAnsi="宋体" w:cs="宋体"/>
          <w:sz w:val="24"/>
        </w:rPr>
        <w:t>2、本项目不属于《深圳市2023—2024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pPr>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有效投标人为2家的，可在2家有效投标人中取得分最高者为中标供应商；</w:t>
      </w:r>
    </w:p>
    <w:p>
      <w:pPr>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如参与投标且符合招标文件要求的供应商仅有1家，评审委员会应与投标供应商进行谈判，原则上成交价应为最初报价的95%。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5"/>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5"/>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5"/>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一经中标，投标报价总价作为中标单位与采购人签定的合同金额，合同期限内不做调整。</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12、供应商应在规定的时间内现场或邮寄递交投标文件，采购代理机构在投标截止时间前半小时开始接收投标文件。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31"/>
        <w:numPr>
          <w:ilvl w:val="1"/>
          <w:numId w:val="6"/>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31"/>
        <w:numPr>
          <w:ilvl w:val="1"/>
          <w:numId w:val="6"/>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6"/>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14、采用谈判的情况：如参与投标且符合招标文件要求的供应商仅有1家,评审委员会将与投标供应商进行谈判。</w:t>
      </w:r>
    </w:p>
    <w:p>
      <w:pPr>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19"/>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noWrap w:val="0"/>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noWrap w:val="0"/>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noWrap w:val="0"/>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noWrap w:val="0"/>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noWrap w:val="0"/>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r>
        <w:rPr>
          <w:rFonts w:hint="eastAsia" w:ascii="宋体" w:hAnsi="宋体" w:cs="宋体"/>
          <w:sz w:val="24"/>
        </w:rPr>
        <w:t>：</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4" w:name="_Toc18857"/>
      <w:r>
        <w:rPr>
          <w:rFonts w:hint="eastAsia" w:ascii="宋体" w:hAnsi="宋体" w:cs="宋体"/>
          <w:b/>
          <w:bCs/>
          <w:sz w:val="24"/>
        </w:rPr>
        <w:t>评标程序</w:t>
      </w:r>
      <w:bookmarkEnd w:id="4"/>
    </w:p>
    <w:p>
      <w:pPr>
        <w:numPr>
          <w:ilvl w:val="0"/>
          <w:numId w:val="8"/>
        </w:numPr>
        <w:spacing w:line="360" w:lineRule="auto"/>
        <w:ind w:firstLine="480" w:firstLineChars="200"/>
        <w:rPr>
          <w:rFonts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sz w:val="24"/>
        </w:rPr>
        <w:t>采购代理机构代表</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ascii="宋体" w:hAnsi="宋体" w:cs="宋体"/>
          <w:sz w:val="24"/>
        </w:rPr>
      </w:pPr>
      <w:r>
        <w:rPr>
          <w:rFonts w:hint="eastAsia" w:ascii="宋体" w:hAnsi="宋体" w:cs="宋体"/>
          <w:sz w:val="24"/>
        </w:rPr>
        <w:t>四、投标截止时间：202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highlight w:val="yellow"/>
        </w:rPr>
        <w:t>1月</w:t>
      </w:r>
      <w:r>
        <w:rPr>
          <w:rFonts w:hint="eastAsia" w:ascii="宋体" w:hAnsi="宋体" w:cs="宋体"/>
          <w:sz w:val="24"/>
          <w:highlight w:val="yellow"/>
          <w:lang w:val="en-US" w:eastAsia="zh-CN"/>
        </w:rPr>
        <w:t>23</w:t>
      </w:r>
      <w:r>
        <w:rPr>
          <w:rFonts w:hint="eastAsia" w:ascii="宋体" w:hAnsi="宋体" w:cs="宋体"/>
          <w:sz w:val="24"/>
          <w:highlight w:val="yellow"/>
        </w:rPr>
        <w:t>日</w:t>
      </w:r>
      <w:r>
        <w:rPr>
          <w:rFonts w:hint="eastAsia" w:ascii="宋体" w:hAnsi="宋体" w:cs="宋体"/>
          <w:sz w:val="24"/>
        </w:rPr>
        <w:t>下午15:00时（北京时间）。</w:t>
      </w:r>
    </w:p>
    <w:p>
      <w:pPr>
        <w:spacing w:line="360" w:lineRule="auto"/>
        <w:ind w:firstLine="480" w:firstLineChars="200"/>
        <w:rPr>
          <w:rFonts w:ascii="宋体" w:hAnsi="宋体" w:cs="宋体"/>
          <w:sz w:val="24"/>
        </w:rPr>
      </w:pPr>
      <w:r>
        <w:rPr>
          <w:rFonts w:hint="eastAsia" w:ascii="宋体" w:hAnsi="宋体" w:cs="宋体"/>
          <w:sz w:val="24"/>
        </w:rPr>
        <w:t>五、投标文件的递交。投标单位应将投标文件正本和副本密封，并标明项目编号、招标项目名称及“正本”或“副本”，采购单位业务处室工作人员接收投标单位递交的投标文件，投标单位应在202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highlight w:val="yellow"/>
        </w:rPr>
        <w:t>1月</w:t>
      </w:r>
      <w:r>
        <w:rPr>
          <w:rFonts w:hint="eastAsia" w:ascii="宋体" w:hAnsi="宋体" w:cs="宋体"/>
          <w:sz w:val="24"/>
          <w:highlight w:val="yellow"/>
          <w:lang w:val="en-US" w:eastAsia="zh-CN"/>
        </w:rPr>
        <w:t>23</w:t>
      </w:r>
      <w:r>
        <w:rPr>
          <w:rFonts w:hint="eastAsia" w:ascii="宋体" w:hAnsi="宋体" w:cs="宋体"/>
          <w:sz w:val="24"/>
          <w:highlight w:val="yellow"/>
        </w:rPr>
        <w:t>日下午15:00时</w:t>
      </w:r>
      <w:r>
        <w:rPr>
          <w:rFonts w:hint="eastAsia" w:ascii="宋体" w:hAnsi="宋体" w:cs="宋体"/>
          <w:sz w:val="24"/>
        </w:rPr>
        <w:t>（北京时间）前送达（现场递交或邮寄至前海大厦T1栋</w:t>
      </w:r>
      <w:r>
        <w:rPr>
          <w:rFonts w:ascii="宋体" w:hAnsi="宋体" w:cs="宋体"/>
          <w:sz w:val="24"/>
          <w:highlight w:val="none"/>
        </w:rPr>
        <w:t>2313</w:t>
      </w:r>
      <w:r>
        <w:rPr>
          <w:rFonts w:hint="eastAsia" w:ascii="宋体" w:hAnsi="宋体" w:cs="宋体"/>
          <w:sz w:val="24"/>
          <w:highlight w:val="none"/>
        </w:rPr>
        <w:t>室）</w:t>
      </w:r>
      <w:r>
        <w:rPr>
          <w:rFonts w:hint="eastAsia" w:ascii="宋体" w:hAnsi="宋体" w:cs="宋体"/>
          <w:sz w:val="24"/>
        </w:rPr>
        <w:t>。截标后不再接收任何投标文件。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5.2原则上成交价应为最初报价的95%。</w:t>
      </w:r>
    </w:p>
    <w:p>
      <w:pPr>
        <w:spacing w:line="560" w:lineRule="exact"/>
        <w:ind w:firstLine="480" w:firstLineChars="200"/>
        <w:rPr>
          <w:rFonts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635"/>
      <w:r>
        <w:rPr>
          <w:rFonts w:hint="eastAsia" w:ascii="宋体" w:hAnsi="宋体" w:cs="宋体"/>
          <w:b/>
          <w:bCs/>
          <w:sz w:val="24"/>
        </w:rPr>
        <w:t>合同格式及合同条款</w:t>
      </w:r>
      <w:bookmarkEnd w:id="5"/>
    </w:p>
    <w:p>
      <w:pPr>
        <w:spacing w:line="360" w:lineRule="auto"/>
        <w:ind w:firstLine="470" w:firstLineChars="196"/>
        <w:jc w:val="center"/>
        <w:rPr>
          <w:rFonts w:ascii="宋体" w:hAnsi="宋体" w:cs="宋体"/>
          <w:sz w:val="24"/>
        </w:rPr>
      </w:pPr>
      <w:bookmarkStart w:id="6" w:name="_Toc101074886"/>
      <w:bookmarkStart w:id="7" w:name="_Toc100052414"/>
      <w:bookmarkStart w:id="8" w:name="_Toc73521680"/>
      <w:bookmarkStart w:id="9" w:name="_Toc84303603"/>
      <w:bookmarkStart w:id="10" w:name="_Toc73518163"/>
      <w:bookmarkStart w:id="11" w:name="_Toc73521592"/>
      <w:bookmarkStart w:id="12" w:name="_Toc73517685"/>
    </w:p>
    <w:bookmarkEnd w:id="6"/>
    <w:bookmarkEnd w:id="7"/>
    <w:bookmarkEnd w:id="8"/>
    <w:bookmarkEnd w:id="9"/>
    <w:bookmarkEnd w:id="10"/>
    <w:bookmarkEnd w:id="11"/>
    <w:bookmarkEnd w:id="12"/>
    <w:p>
      <w:pPr>
        <w:snapToGrid w:val="0"/>
        <w:spacing w:line="360" w:lineRule="auto"/>
        <w:rPr>
          <w:rFonts w:ascii="宋体" w:hAnsi="宋体" w:cs="宋体"/>
          <w:color w:val="000000"/>
          <w:sz w:val="24"/>
        </w:rPr>
      </w:pPr>
    </w:p>
    <w:p>
      <w:pPr>
        <w:ind w:left="241" w:hanging="241" w:hangingChars="100"/>
        <w:rPr>
          <w:b/>
          <w:bCs/>
          <w:color w:val="000000"/>
          <w:sz w:val="24"/>
          <w:u w:val="single"/>
        </w:rPr>
      </w:pPr>
      <w:r>
        <w:rPr>
          <w:rFonts w:hint="eastAsia"/>
          <w:b/>
          <w:bCs/>
          <w:color w:val="000000"/>
          <w:sz w:val="24"/>
        </w:rPr>
        <w:t>合同编号：</w:t>
      </w:r>
      <w:r>
        <w:rPr>
          <w:rFonts w:hint="eastAsia"/>
          <w:b/>
          <w:bCs/>
          <w:color w:val="000000"/>
          <w:sz w:val="24"/>
          <w:u w:val="single"/>
        </w:rPr>
        <w:t xml:space="preserve">                                 </w:t>
      </w:r>
      <w:r>
        <w:rPr>
          <w:rFonts w:hint="eastAsia"/>
          <w:b/>
          <w:bCs/>
          <w:color w:val="000000"/>
          <w:sz w:val="24"/>
          <w:u w:val="single"/>
        </w:rPr>
        <w:br w:type="textWrapping"/>
      </w:r>
      <w:r>
        <w:rPr>
          <w:rFonts w:hint="eastAsia"/>
          <w:b/>
          <w:bCs/>
          <w:color w:val="000000"/>
          <w:sz w:val="24"/>
          <w:u w:val="single"/>
        </w:rPr>
        <w:br w:type="textWrapping"/>
      </w:r>
    </w:p>
    <w:p>
      <w:pPr>
        <w:ind w:left="241" w:hanging="241" w:hangingChars="100"/>
        <w:rPr>
          <w:b/>
          <w:bCs/>
          <w:color w:val="000000"/>
          <w:sz w:val="24"/>
          <w:u w:val="single"/>
        </w:rPr>
      </w:pPr>
    </w:p>
    <w:p>
      <w:pPr>
        <w:ind w:left="241" w:hanging="241" w:hangingChars="100"/>
        <w:rPr>
          <w:b/>
          <w:bCs/>
          <w:color w:val="000000"/>
          <w:sz w:val="24"/>
          <w:u w:val="single"/>
        </w:rPr>
      </w:pPr>
    </w:p>
    <w:p>
      <w:pPr>
        <w:ind w:left="241" w:hanging="241" w:hangingChars="100"/>
        <w:jc w:val="center"/>
        <w:rPr>
          <w:rFonts w:ascii="宋体" w:hAnsi="宋体" w:cs="宋体"/>
          <w:b/>
          <w:bCs/>
          <w:color w:val="000000"/>
          <w:sz w:val="44"/>
          <w:szCs w:val="44"/>
        </w:rPr>
      </w:pPr>
      <w:r>
        <w:rPr>
          <w:rFonts w:hint="eastAsia"/>
          <w:b/>
          <w:bCs/>
          <w:color w:val="000000"/>
          <w:sz w:val="24"/>
          <w:u w:val="single"/>
        </w:rPr>
        <w:br w:type="textWrapping"/>
      </w:r>
      <w:r>
        <w:rPr>
          <w:rFonts w:hint="eastAsia"/>
          <w:b/>
          <w:bCs/>
          <w:color w:val="000000"/>
          <w:sz w:val="24"/>
          <w:u w:val="single"/>
        </w:rPr>
        <w:br w:type="textWrapping"/>
      </w:r>
      <w:r>
        <w:rPr>
          <w:rFonts w:hint="eastAsia"/>
          <w:b/>
          <w:bCs/>
          <w:color w:val="000000"/>
          <w:sz w:val="24"/>
          <w:u w:val="single"/>
        </w:rPr>
        <w:br w:type="textWrapping"/>
      </w:r>
      <w:r>
        <w:rPr>
          <w:rFonts w:hint="eastAsia" w:ascii="宋体" w:hAnsi="宋体" w:cs="宋体"/>
          <w:b/>
          <w:bCs/>
          <w:sz w:val="36"/>
          <w:szCs w:val="36"/>
        </w:rPr>
        <w:t>“前海招商引资专项产业咨询”服务</w:t>
      </w:r>
    </w:p>
    <w:p>
      <w:pPr>
        <w:ind w:left="479" w:leftChars="228"/>
        <w:rPr>
          <w:rFonts w:ascii="宋体" w:hAnsi="宋体" w:cs="宋体"/>
          <w:b/>
          <w:bCs/>
          <w:color w:val="000000"/>
          <w:sz w:val="44"/>
          <w:szCs w:val="44"/>
        </w:rPr>
      </w:pPr>
      <w:r>
        <w:rPr>
          <w:rFonts w:hint="eastAsia" w:ascii="宋体" w:hAnsi="宋体" w:cs="宋体"/>
          <w:b/>
          <w:bCs/>
          <w:color w:val="000000"/>
          <w:sz w:val="44"/>
          <w:szCs w:val="44"/>
        </w:rPr>
        <w:br w:type="textWrapping"/>
      </w:r>
    </w:p>
    <w:p>
      <w:pPr>
        <w:ind w:left="479" w:leftChars="228"/>
        <w:rPr>
          <w:rFonts w:ascii="宋体" w:hAnsi="宋体" w:cs="宋体"/>
          <w:b/>
          <w:bCs/>
          <w:color w:val="000000"/>
          <w:sz w:val="44"/>
          <w:szCs w:val="44"/>
        </w:rPr>
      </w:pPr>
    </w:p>
    <w:p>
      <w:pPr>
        <w:ind w:left="479" w:leftChars="228"/>
        <w:rPr>
          <w:rFonts w:ascii="宋体" w:hAnsi="宋体" w:cs="宋体"/>
          <w:b/>
          <w:bCs/>
          <w:color w:val="000000"/>
          <w:sz w:val="44"/>
          <w:szCs w:val="44"/>
        </w:rPr>
      </w:pPr>
    </w:p>
    <w:p>
      <w:pPr>
        <w:spacing w:before="120" w:after="120"/>
        <w:jc w:val="center"/>
        <w:outlineLvl w:val="0"/>
        <w:rPr>
          <w:rFonts w:ascii="宋体" w:hAnsi="宋体" w:cs="宋体"/>
          <w:b/>
          <w:bCs/>
          <w:color w:val="000000"/>
          <w:kern w:val="44"/>
          <w:sz w:val="44"/>
          <w:szCs w:val="44"/>
        </w:rPr>
      </w:pPr>
    </w:p>
    <w:p>
      <w:pPr>
        <w:rPr>
          <w:color w:val="000000"/>
        </w:rPr>
      </w:pPr>
    </w:p>
    <w:p>
      <w:pPr>
        <w:ind w:left="300" w:leftChars="143"/>
        <w:rPr>
          <w:rFonts w:ascii="宋体" w:hAnsi="宋体" w:cs="宋体"/>
          <w:b/>
          <w:bCs/>
          <w:color w:val="000000"/>
          <w:sz w:val="30"/>
          <w:szCs w:val="30"/>
          <w:u w:val="single"/>
        </w:rPr>
      </w:pPr>
      <w:r>
        <w:rPr>
          <w:rFonts w:hint="eastAsia" w:ascii="宋体" w:hAnsi="宋体" w:cs="宋体"/>
          <w:b/>
          <w:bCs/>
          <w:color w:val="000000"/>
          <w:sz w:val="30"/>
          <w:szCs w:val="30"/>
        </w:rPr>
        <w:t>甲方（采购单位）：</w:t>
      </w:r>
      <w:r>
        <w:rPr>
          <w:rFonts w:hint="eastAsia" w:ascii="宋体" w:hAnsi="宋体" w:cs="宋体"/>
          <w:b/>
          <w:bCs/>
          <w:color w:val="000000"/>
          <w:sz w:val="30"/>
          <w:szCs w:val="30"/>
          <w:u w:val="single"/>
        </w:rPr>
        <w:t>深圳市前海深港现代服务业合作区管理局</w:t>
      </w:r>
    </w:p>
    <w:p>
      <w:pPr>
        <w:ind w:left="301" w:hanging="301" w:hangingChars="100"/>
        <w:rPr>
          <w:rFonts w:ascii="宋体" w:hAnsi="宋体" w:cs="宋体"/>
          <w:b/>
          <w:bCs/>
          <w:color w:val="000000"/>
          <w:sz w:val="30"/>
          <w:szCs w:val="30"/>
          <w:u w:val="single"/>
        </w:rPr>
      </w:pPr>
    </w:p>
    <w:p>
      <w:pPr>
        <w:ind w:left="3312" w:leftChars="143" w:hanging="3012" w:hangingChars="1000"/>
        <w:rPr>
          <w:rFonts w:ascii="宋体" w:hAnsi="宋体" w:cs="宋体"/>
          <w:b/>
          <w:bCs/>
          <w:color w:val="000000"/>
          <w:sz w:val="30"/>
          <w:szCs w:val="30"/>
          <w:u w:val="single"/>
        </w:rPr>
      </w:pPr>
      <w:r>
        <w:rPr>
          <w:rFonts w:hint="eastAsia" w:ascii="宋体" w:hAnsi="宋体" w:cs="宋体"/>
          <w:b/>
          <w:bCs/>
          <w:color w:val="000000"/>
          <w:sz w:val="30"/>
          <w:szCs w:val="30"/>
        </w:rPr>
        <w:t>乙方（服务单位）：</w:t>
      </w:r>
      <w:r>
        <w:rPr>
          <w:rFonts w:hint="eastAsia" w:ascii="宋体" w:hAnsi="宋体" w:cs="宋体"/>
          <w:b/>
          <w:bCs/>
          <w:color w:val="000000"/>
          <w:sz w:val="30"/>
          <w:szCs w:val="30"/>
          <w:u w:val="single"/>
        </w:rPr>
        <w:t xml:space="preserve">                                    </w:t>
      </w:r>
    </w:p>
    <w:p>
      <w:pPr>
        <w:ind w:left="479" w:leftChars="228"/>
        <w:rPr>
          <w:rFonts w:ascii="宋体" w:hAnsi="宋体" w:cs="宋体"/>
          <w:b/>
          <w:bCs/>
          <w:color w:val="000000"/>
          <w:sz w:val="44"/>
          <w:szCs w:val="44"/>
        </w:rPr>
      </w:pPr>
    </w:p>
    <w:p>
      <w:pPr>
        <w:ind w:left="300" w:leftChars="143" w:firstLine="1807" w:firstLineChars="600"/>
        <w:outlineLvl w:val="0"/>
        <w:rPr>
          <w:rFonts w:ascii="宋体" w:hAnsi="宋体" w:cs="宋体"/>
          <w:b/>
          <w:bCs/>
          <w:color w:val="000000"/>
          <w:sz w:val="30"/>
          <w:szCs w:val="30"/>
        </w:rPr>
      </w:pPr>
    </w:p>
    <w:p>
      <w:pPr>
        <w:ind w:left="300" w:leftChars="143" w:firstLine="1807" w:firstLineChars="600"/>
        <w:rPr>
          <w:rFonts w:ascii="宋体" w:hAnsi="宋体" w:cs="宋体"/>
          <w:b/>
          <w:bCs/>
          <w:color w:val="000000"/>
          <w:sz w:val="30"/>
          <w:szCs w:val="30"/>
        </w:rPr>
      </w:pPr>
      <w:r>
        <w:rPr>
          <w:rFonts w:hint="eastAsia" w:ascii="宋体" w:hAnsi="宋体" w:cs="宋体"/>
          <w:b/>
          <w:bCs/>
          <w:color w:val="000000"/>
          <w:sz w:val="30"/>
          <w:szCs w:val="30"/>
        </w:rPr>
        <w:t>合同日期： 202</w:t>
      </w:r>
      <w:r>
        <w:rPr>
          <w:rFonts w:hint="eastAsia" w:ascii="宋体" w:hAnsi="宋体" w:cs="宋体"/>
          <w:b/>
          <w:bCs/>
          <w:color w:val="000000"/>
          <w:sz w:val="30"/>
          <w:szCs w:val="30"/>
          <w:lang w:val="en-US" w:eastAsia="zh-CN"/>
        </w:rPr>
        <w:t>5</w:t>
      </w:r>
      <w:r>
        <w:rPr>
          <w:rFonts w:hint="eastAsia" w:ascii="宋体" w:hAnsi="宋体" w:cs="宋体"/>
          <w:b/>
          <w:bCs/>
          <w:color w:val="000000"/>
          <w:sz w:val="30"/>
          <w:szCs w:val="30"/>
        </w:rPr>
        <w:t>年 1月   日</w:t>
      </w:r>
    </w:p>
    <w:p>
      <w:pPr>
        <w:spacing w:line="400" w:lineRule="exact"/>
        <w:rPr>
          <w:rFonts w:ascii="仿宋" w:hAnsi="仿宋" w:eastAsia="仿宋" w:cs="仿宋"/>
          <w:color w:val="000000"/>
          <w:sz w:val="24"/>
        </w:rPr>
        <w:sectPr>
          <w:headerReference r:id="rId7" w:type="first"/>
          <w:footerReference r:id="rId9" w:type="first"/>
          <w:headerReference r:id="rId5" w:type="default"/>
          <w:footerReference r:id="rId8" w:type="default"/>
          <w:headerReference r:id="rId6" w:type="even"/>
          <w:pgSz w:w="11906" w:h="16838"/>
          <w:pgMar w:top="1985" w:right="1474" w:bottom="1871" w:left="1588" w:header="794" w:footer="964" w:gutter="0"/>
          <w:cols w:space="720" w:num="1"/>
          <w:titlePg/>
          <w:docGrid w:type="lines" w:linePitch="312" w:charSpace="0"/>
        </w:sectPr>
      </w:pPr>
    </w:p>
    <w:p>
      <w:pPr>
        <w:adjustRightInd w:val="0"/>
        <w:snapToGrid w:val="0"/>
        <w:spacing w:line="360" w:lineRule="auto"/>
        <w:rPr>
          <w:rFonts w:ascii="宋体" w:hAnsi="宋体" w:cs="宋体"/>
          <w:color w:val="000000"/>
          <w:sz w:val="24"/>
          <w:u w:val="single"/>
        </w:rPr>
      </w:pPr>
      <w:r>
        <w:rPr>
          <w:rFonts w:hint="eastAsia" w:ascii="宋体" w:hAnsi="宋体" w:cs="宋体"/>
          <w:color w:val="000000"/>
          <w:sz w:val="24"/>
          <w:u w:val="single"/>
        </w:rPr>
        <w:t>甲方（采购单位）：深圳市前海深港现代服务业合作区管理局</w:t>
      </w:r>
    </w:p>
    <w:p>
      <w:pPr>
        <w:adjustRightInd w:val="0"/>
        <w:snapToGrid w:val="0"/>
        <w:spacing w:line="360" w:lineRule="auto"/>
        <w:rPr>
          <w:rFonts w:ascii="宋体" w:hAnsi="宋体" w:cs="宋体"/>
          <w:color w:val="000000"/>
          <w:sz w:val="24"/>
          <w:u w:val="single"/>
        </w:rPr>
      </w:pPr>
      <w:r>
        <w:rPr>
          <w:rFonts w:hint="eastAsia" w:ascii="宋体" w:hAnsi="宋体" w:cs="宋体"/>
          <w:color w:val="000000"/>
          <w:sz w:val="24"/>
          <w:u w:val="single"/>
        </w:rPr>
        <w:t>法定代表人：王守睿</w:t>
      </w:r>
    </w:p>
    <w:p>
      <w:pPr>
        <w:adjustRightInd w:val="0"/>
        <w:snapToGrid w:val="0"/>
        <w:spacing w:line="360" w:lineRule="auto"/>
        <w:rPr>
          <w:rFonts w:ascii="宋体" w:hAnsi="宋体" w:cs="宋体"/>
          <w:color w:val="000000"/>
          <w:sz w:val="24"/>
          <w:u w:val="single"/>
        </w:rPr>
      </w:pPr>
      <w:r>
        <w:rPr>
          <w:rFonts w:hint="eastAsia" w:ascii="宋体" w:hAnsi="宋体" w:cs="宋体"/>
          <w:color w:val="000000"/>
          <w:sz w:val="24"/>
          <w:u w:val="single"/>
        </w:rPr>
        <w:t xml:space="preserve">地址：深圳市前海深港合作区南山街道桂湾五路123号前海大厦T1栋 </w:t>
      </w:r>
    </w:p>
    <w:p>
      <w:pPr>
        <w:adjustRightInd w:val="0"/>
        <w:snapToGrid w:val="0"/>
        <w:spacing w:line="360" w:lineRule="auto"/>
        <w:rPr>
          <w:rFonts w:ascii="宋体" w:hAnsi="宋体" w:cs="宋体"/>
          <w:color w:val="000000"/>
          <w:sz w:val="24"/>
          <w:u w:val="single"/>
        </w:rPr>
      </w:pPr>
      <w:r>
        <w:rPr>
          <w:rFonts w:hint="eastAsia" w:ascii="宋体" w:hAnsi="宋体" w:cs="宋体"/>
          <w:color w:val="000000"/>
          <w:sz w:val="24"/>
          <w:u w:val="single"/>
        </w:rPr>
        <w:t>乙方（服务单位）：</w:t>
      </w:r>
    </w:p>
    <w:p>
      <w:pPr>
        <w:adjustRightInd w:val="0"/>
        <w:snapToGrid w:val="0"/>
        <w:spacing w:line="360" w:lineRule="auto"/>
        <w:rPr>
          <w:rFonts w:ascii="宋体" w:hAnsi="宋体" w:cs="宋体"/>
          <w:color w:val="000000"/>
          <w:sz w:val="24"/>
          <w:u w:val="single"/>
        </w:rPr>
      </w:pPr>
      <w:r>
        <w:rPr>
          <w:rFonts w:hint="eastAsia" w:ascii="宋体" w:hAnsi="宋体" w:cs="宋体"/>
          <w:color w:val="000000"/>
          <w:sz w:val="24"/>
          <w:u w:val="single"/>
        </w:rPr>
        <w:t>法定代表人：</w:t>
      </w:r>
    </w:p>
    <w:p>
      <w:pPr>
        <w:adjustRightInd w:val="0"/>
        <w:snapToGrid w:val="0"/>
        <w:spacing w:line="360" w:lineRule="auto"/>
        <w:rPr>
          <w:rFonts w:ascii="宋体" w:hAnsi="宋体" w:cs="宋体"/>
          <w:color w:val="000000"/>
          <w:sz w:val="24"/>
          <w:u w:val="single"/>
        </w:rPr>
      </w:pPr>
      <w:r>
        <w:rPr>
          <w:rFonts w:hint="eastAsia" w:ascii="宋体" w:hAnsi="宋体" w:cs="宋体"/>
          <w:color w:val="000000"/>
          <w:sz w:val="24"/>
          <w:u w:val="single"/>
        </w:rPr>
        <w:t>地址：</w:t>
      </w:r>
    </w:p>
    <w:p>
      <w:pPr>
        <w:widowControl/>
        <w:adjustRightInd w:val="0"/>
        <w:snapToGrid w:val="0"/>
        <w:spacing w:line="360" w:lineRule="auto"/>
        <w:jc w:val="left"/>
        <w:rPr>
          <w:rFonts w:ascii="宋体" w:hAnsi="宋体" w:cs="宋体"/>
          <w:color w:val="000000"/>
          <w:sz w:val="24"/>
        </w:rPr>
      </w:pP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根据《中华人民共和国民法典》等法律、法规的相关规定和编号_ </w:t>
      </w:r>
      <w:r>
        <w:rPr>
          <w:rFonts w:hint="eastAsia" w:ascii="宋体" w:hAnsi="宋体" w:cs="宋体"/>
          <w:color w:val="000000"/>
          <w:sz w:val="24"/>
          <w:u w:val="single"/>
        </w:rPr>
        <w:t xml:space="preserve">   </w:t>
      </w:r>
      <w:r>
        <w:rPr>
          <w:rFonts w:hint="eastAsia" w:ascii="宋体" w:hAnsi="宋体" w:cs="宋体"/>
          <w:color w:val="000000"/>
          <w:sz w:val="24"/>
        </w:rPr>
        <w:t>招标项目的中标结果，甲、乙双方经友好协商，就甲方委托乙方承担“前海招商引资专项产业咨询”服务，达成以下合同条款：</w:t>
      </w:r>
    </w:p>
    <w:p>
      <w:pPr>
        <w:adjustRightInd w:val="0"/>
        <w:snapToGrid w:val="0"/>
        <w:spacing w:line="360" w:lineRule="auto"/>
        <w:rPr>
          <w:rFonts w:ascii="宋体" w:hAnsi="宋体" w:cs="宋体"/>
          <w:b/>
          <w:color w:val="000000"/>
          <w:sz w:val="24"/>
        </w:rPr>
      </w:pPr>
      <w:r>
        <w:rPr>
          <w:rFonts w:hint="eastAsia" w:ascii="宋体" w:hAnsi="宋体" w:cs="宋体"/>
          <w:b/>
          <w:color w:val="000000"/>
          <w:sz w:val="24"/>
        </w:rPr>
        <w:t>一、服务内容</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eastAsia="宋体" w:cs="宋体"/>
          <w:color w:val="000000"/>
          <w:kern w:val="2"/>
          <w:sz w:val="24"/>
          <w:szCs w:val="24"/>
          <w:lang w:val="zh-CN"/>
        </w:rPr>
        <w:t>围绕</w:t>
      </w:r>
      <w:r>
        <w:rPr>
          <w:rFonts w:hint="eastAsia" w:ascii="宋体" w:hAnsi="宋体" w:eastAsia="宋体" w:cs="宋体"/>
          <w:color w:val="000000"/>
          <w:kern w:val="2"/>
          <w:sz w:val="24"/>
          <w:szCs w:val="24"/>
          <w:lang w:val="en-US" w:eastAsia="zh-CN"/>
        </w:rPr>
        <w:t>《财富世界500强》</w:t>
      </w:r>
      <w:r>
        <w:rPr>
          <w:rFonts w:hint="eastAsia" w:ascii="宋体" w:hAnsi="宋体" w:eastAsia="宋体" w:cs="宋体"/>
          <w:color w:val="000000"/>
          <w:kern w:val="2"/>
          <w:sz w:val="24"/>
          <w:szCs w:val="24"/>
          <w:lang w:val="zh-CN"/>
        </w:rPr>
        <w:t>《企业家联合会中国企业500强》《中国服务业企业500强》《中国民营企业500强》《央企名录》等榜单企业</w:t>
      </w:r>
      <w:r>
        <w:rPr>
          <w:rFonts w:hint="eastAsia" w:ascii="宋体" w:hAnsi="宋体" w:cs="宋体"/>
          <w:color w:val="000000"/>
          <w:sz w:val="24"/>
        </w:rPr>
        <w:t>，挖掘重点企业的投资路径和发展逻辑，</w:t>
      </w:r>
      <w:r>
        <w:rPr>
          <w:rFonts w:hint="eastAsia" w:ascii="宋体" w:hAnsi="宋体" w:cs="宋体"/>
          <w:color w:val="000000"/>
          <w:sz w:val="24"/>
          <w:lang w:eastAsia="zh-CN"/>
        </w:rPr>
        <w:t>形成</w:t>
      </w:r>
      <w:r>
        <w:rPr>
          <w:rFonts w:hint="eastAsia" w:ascii="宋体" w:hAnsi="宋体" w:eastAsia="宋体" w:cs="宋体"/>
          <w:color w:val="000000"/>
          <w:kern w:val="2"/>
          <w:sz w:val="24"/>
          <w:szCs w:val="24"/>
          <w:lang w:val="zh-CN"/>
        </w:rPr>
        <w:t>4份《榜单企业年度中国投资布局情况分析报告》</w:t>
      </w:r>
      <w:r>
        <w:rPr>
          <w:rFonts w:hint="eastAsia" w:ascii="宋体" w:hAnsi="宋体" w:cs="宋体"/>
          <w:color w:val="000000"/>
          <w:sz w:val="24"/>
        </w:rPr>
        <w:t>；</w:t>
      </w:r>
    </w:p>
    <w:p>
      <w:pPr>
        <w:adjustRightInd w:val="0"/>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2.</w:t>
      </w:r>
      <w:r>
        <w:rPr>
          <w:rFonts w:hint="eastAsia" w:ascii="宋体" w:hAnsi="宋体" w:eastAsia="宋体" w:cs="宋体"/>
          <w:color w:val="000000"/>
          <w:kern w:val="2"/>
          <w:sz w:val="24"/>
          <w:szCs w:val="24"/>
          <w:lang w:val="zh-CN"/>
        </w:rPr>
        <w:t>针对北京、上海、苏州、杭州等重点城市</w:t>
      </w:r>
      <w:r>
        <w:rPr>
          <w:rFonts w:hint="eastAsia" w:ascii="宋体" w:hAnsi="宋体" w:cs="宋体"/>
          <w:color w:val="000000"/>
          <w:sz w:val="24"/>
        </w:rPr>
        <w:t>，形成</w:t>
      </w:r>
      <w:r>
        <w:rPr>
          <w:rFonts w:hint="eastAsia" w:ascii="宋体" w:hAnsi="宋体" w:cs="宋体"/>
          <w:color w:val="000000"/>
          <w:sz w:val="24"/>
          <w:lang w:val="en-US" w:eastAsia="zh-CN"/>
        </w:rPr>
        <w:t>4</w:t>
      </w:r>
      <w:r>
        <w:rPr>
          <w:rFonts w:hint="eastAsia" w:ascii="宋体" w:hAnsi="宋体" w:cs="宋体"/>
          <w:color w:val="000000"/>
          <w:sz w:val="24"/>
        </w:rPr>
        <w:t>份《区域招商策略实施报告》，内容包括了针对上述区域的前海招商策略和实施路径，以及重点招商行业与目标企业</w:t>
      </w:r>
      <w:r>
        <w:rPr>
          <w:rFonts w:hint="eastAsia" w:ascii="宋体" w:hAnsi="宋体" w:cs="宋体"/>
          <w:color w:val="000000"/>
          <w:sz w:val="24"/>
          <w:lang w:eastAsia="zh-CN"/>
        </w:rPr>
        <w:t>，</w:t>
      </w:r>
      <w:r>
        <w:rPr>
          <w:rFonts w:hint="eastAsia" w:ascii="宋体" w:hAnsi="宋体" w:eastAsia="宋体" w:cs="宋体"/>
          <w:color w:val="000000"/>
          <w:kern w:val="2"/>
          <w:sz w:val="24"/>
          <w:szCs w:val="24"/>
          <w:lang w:val="zh-CN"/>
        </w:rPr>
        <w:t>以服务于前海区域定向招商引资工作。</w:t>
      </w:r>
      <w:r>
        <w:rPr>
          <w:rFonts w:hint="eastAsia" w:ascii="宋体" w:hAnsi="宋体" w:cs="宋体"/>
          <w:color w:val="000000"/>
          <w:sz w:val="24"/>
          <w:lang w:val="zh-CN"/>
        </w:rPr>
        <w:t>；</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3.针对优质意向落地项目的可行性与适配度，形成不少于</w:t>
      </w:r>
      <w:r>
        <w:rPr>
          <w:rFonts w:hint="eastAsia" w:ascii="宋体" w:hAnsi="宋体" w:cs="宋体"/>
          <w:color w:val="000000"/>
          <w:sz w:val="24"/>
          <w:lang w:val="en-US" w:eastAsia="zh-CN"/>
        </w:rPr>
        <w:t>10</w:t>
      </w:r>
      <w:r>
        <w:rPr>
          <w:rFonts w:hint="eastAsia" w:ascii="宋体" w:hAnsi="宋体" w:cs="宋体"/>
          <w:color w:val="000000"/>
          <w:sz w:val="24"/>
        </w:rPr>
        <w:t>份落地项目研判分析报告。</w:t>
      </w:r>
    </w:p>
    <w:p>
      <w:pPr>
        <w:widowControl/>
        <w:adjustRightInd w:val="0"/>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二、项目服务费用及付款方式</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1.本项目合同含税总价</w:t>
      </w:r>
      <w:r>
        <w:rPr>
          <w:rFonts w:hint="eastAsia" w:ascii="宋体" w:hAnsi="宋体" w:cs="宋体"/>
          <w:color w:val="000000"/>
          <w:sz w:val="24"/>
          <w:lang w:eastAsia="zh-CN"/>
        </w:rPr>
        <w:t>为</w:t>
      </w:r>
      <w:r>
        <w:rPr>
          <w:rFonts w:hint="eastAsia" w:ascii="宋体" w:hAnsi="宋体" w:cs="宋体"/>
          <w:color w:val="000000"/>
          <w:sz w:val="24"/>
          <w:u w:val="single"/>
        </w:rPr>
        <w:t xml:space="preserve">￥  </w:t>
      </w:r>
      <w:r>
        <w:rPr>
          <w:rFonts w:hint="eastAsia" w:ascii="宋体" w:hAnsi="宋体" w:cs="宋体"/>
          <w:color w:val="000000"/>
          <w:sz w:val="24"/>
        </w:rPr>
        <w:t>元（大写：</w:t>
      </w:r>
      <w:r>
        <w:rPr>
          <w:rFonts w:hint="eastAsia" w:ascii="宋体" w:hAnsi="宋体" w:cs="宋体"/>
          <w:b/>
          <w:color w:val="000000"/>
          <w:sz w:val="24"/>
        </w:rPr>
        <w:t xml:space="preserve">人民币 </w:t>
      </w:r>
      <w:r>
        <w:rPr>
          <w:rFonts w:hint="eastAsia" w:ascii="宋体" w:hAnsi="宋体" w:cs="宋体"/>
          <w:color w:val="000000"/>
          <w:sz w:val="24"/>
        </w:rPr>
        <w:t>元整）。项目服务费包括但不限于调研费、中标服务费、资料费、税金、人员费用、差旅费等所有费用，并提供合同要求的成果文件，以及其它相关服务的全部费用。</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2.支付方式和时间如下：</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项目资金分2期支付至乙方指定银行账户：</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（1）首期：本合同签订后15个工作日内，向乙方支付本合同价款</w:t>
      </w:r>
      <w:r>
        <w:rPr>
          <w:rFonts w:hint="eastAsia" w:ascii="宋体" w:hAnsi="宋体" w:cs="宋体"/>
          <w:color w:val="000000"/>
          <w:sz w:val="24"/>
          <w:highlight w:val="none"/>
        </w:rPr>
        <w:t>的</w:t>
      </w:r>
      <w:r>
        <w:rPr>
          <w:rFonts w:ascii="宋体" w:hAnsi="宋体" w:cs="宋体"/>
          <w:color w:val="000000"/>
          <w:sz w:val="24"/>
          <w:highlight w:val="none"/>
        </w:rPr>
        <w:t>50</w:t>
      </w:r>
      <w:r>
        <w:rPr>
          <w:rFonts w:hint="eastAsia" w:ascii="宋体" w:hAnsi="宋体" w:cs="宋体"/>
          <w:color w:val="000000"/>
          <w:sz w:val="24"/>
          <w:highlight w:val="none"/>
        </w:rPr>
        <w:t>%，</w:t>
      </w:r>
      <w:r>
        <w:rPr>
          <w:rFonts w:hint="eastAsia" w:ascii="宋体" w:hAnsi="宋体" w:cs="宋体"/>
          <w:color w:val="000000"/>
          <w:sz w:val="24"/>
        </w:rPr>
        <w:t>即</w:t>
      </w:r>
      <w:r>
        <w:rPr>
          <w:rFonts w:hint="eastAsia" w:ascii="宋体" w:hAnsi="宋体" w:cs="宋体"/>
          <w:b/>
          <w:color w:val="000000"/>
          <w:sz w:val="24"/>
          <w:u w:val="single"/>
        </w:rPr>
        <w:t>￥ 元</w:t>
      </w:r>
      <w:r>
        <w:rPr>
          <w:rFonts w:hint="eastAsia" w:ascii="宋体" w:hAnsi="宋体" w:cs="宋体"/>
          <w:color w:val="000000"/>
          <w:sz w:val="24"/>
          <w:u w:val="single"/>
        </w:rPr>
        <w:t>（大写：</w:t>
      </w:r>
      <w:r>
        <w:rPr>
          <w:rFonts w:hint="eastAsia" w:ascii="宋体" w:hAnsi="宋体" w:cs="宋体"/>
          <w:b/>
          <w:color w:val="000000"/>
          <w:sz w:val="24"/>
          <w:u w:val="single"/>
        </w:rPr>
        <w:t>人民币 元整</w:t>
      </w:r>
      <w:r>
        <w:rPr>
          <w:rFonts w:hint="eastAsia" w:ascii="宋体" w:hAnsi="宋体" w:cs="宋体"/>
          <w:color w:val="000000"/>
          <w:sz w:val="24"/>
          <w:u w:val="single"/>
        </w:rPr>
        <w:t>）</w:t>
      </w:r>
      <w:r>
        <w:rPr>
          <w:rFonts w:hint="eastAsia" w:ascii="宋体" w:hAnsi="宋体" w:cs="宋体"/>
          <w:color w:val="000000"/>
          <w:sz w:val="24"/>
        </w:rPr>
        <w:t>。</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（2）第2期：</w:t>
      </w:r>
      <w:r>
        <w:rPr>
          <w:rFonts w:hint="eastAsia"/>
          <w:color w:val="000000"/>
          <w:sz w:val="24"/>
        </w:rPr>
        <w:t>交付全部成果并经验收通过</w:t>
      </w:r>
      <w:r>
        <w:rPr>
          <w:rFonts w:hint="eastAsia" w:ascii="宋体" w:hAnsi="宋体" w:cs="宋体"/>
          <w:color w:val="000000"/>
          <w:sz w:val="24"/>
        </w:rPr>
        <w:t>后15个工作日内，向乙方支付本合同价款</w:t>
      </w:r>
      <w:r>
        <w:rPr>
          <w:rFonts w:hint="eastAsia" w:ascii="宋体" w:hAnsi="宋体" w:cs="宋体"/>
          <w:color w:val="000000"/>
          <w:sz w:val="24"/>
          <w:highlight w:val="none"/>
        </w:rPr>
        <w:t>的</w:t>
      </w:r>
      <w:r>
        <w:rPr>
          <w:rFonts w:ascii="宋体" w:hAnsi="宋体" w:cs="宋体"/>
          <w:color w:val="000000"/>
          <w:sz w:val="24"/>
          <w:highlight w:val="none"/>
        </w:rPr>
        <w:t>50</w:t>
      </w:r>
      <w:r>
        <w:rPr>
          <w:rFonts w:hint="eastAsia" w:ascii="宋体" w:hAnsi="宋体" w:cs="宋体"/>
          <w:color w:val="000000"/>
          <w:sz w:val="24"/>
          <w:highlight w:val="none"/>
        </w:rPr>
        <w:t>%</w:t>
      </w:r>
      <w:r>
        <w:rPr>
          <w:rFonts w:hint="eastAsia" w:ascii="宋体" w:hAnsi="宋体" w:cs="宋体"/>
          <w:color w:val="000000"/>
          <w:sz w:val="24"/>
        </w:rPr>
        <w:t>，即</w:t>
      </w:r>
      <w:r>
        <w:rPr>
          <w:rFonts w:hint="eastAsia" w:ascii="宋体" w:hAnsi="宋体" w:cs="宋体"/>
          <w:b/>
          <w:color w:val="000000"/>
          <w:sz w:val="24"/>
          <w:u w:val="single"/>
        </w:rPr>
        <w:t>￥ 元</w:t>
      </w:r>
      <w:r>
        <w:rPr>
          <w:rFonts w:hint="eastAsia" w:ascii="宋体" w:hAnsi="宋体" w:cs="宋体"/>
          <w:color w:val="000000"/>
          <w:sz w:val="24"/>
          <w:u w:val="single"/>
        </w:rPr>
        <w:t>（大写：</w:t>
      </w:r>
      <w:r>
        <w:rPr>
          <w:rFonts w:hint="eastAsia" w:ascii="宋体" w:hAnsi="宋体" w:cs="宋体"/>
          <w:b/>
          <w:color w:val="000000"/>
          <w:sz w:val="24"/>
          <w:u w:val="single"/>
        </w:rPr>
        <w:t>人民币 元整</w:t>
      </w:r>
      <w:r>
        <w:rPr>
          <w:rFonts w:hint="eastAsia" w:ascii="宋体" w:hAnsi="宋体" w:cs="宋体"/>
          <w:color w:val="000000"/>
          <w:sz w:val="24"/>
          <w:u w:val="single"/>
        </w:rPr>
        <w:t>）</w:t>
      </w:r>
      <w:r>
        <w:rPr>
          <w:rFonts w:hint="eastAsia" w:ascii="宋体" w:hAnsi="宋体" w:cs="宋体"/>
          <w:color w:val="000000"/>
          <w:sz w:val="24"/>
        </w:rPr>
        <w:t>。</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上述每期款项均在满足付款条件，且甲方收到乙方开具的载明相应金额的合格发票后15个工作日内付至乙方指定银行账户。如未及时收到相关请款材料,则甲方相应付款时间顺延。若因甲方付款审批影响支付进度，请乙方予以谅解，谅解期为期3个月，若谅解期结束仍未收到相关款项，乙方可向甲方索赔。</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如果由于无法预见的原因，致使从事本合同所涉及的服务实际时间较本合同签订时预计的时间有明显增加或者减少时，如所涉增加费用的金额不超过本合同项下服务费总金额的10%,由双方商定变更内容及具体价格后签订书面补充协议予以确认。</w:t>
      </w:r>
    </w:p>
    <w:p>
      <w:pPr>
        <w:tabs>
          <w:tab w:val="left" w:pos="360"/>
          <w:tab w:val="left" w:pos="720"/>
          <w:tab w:val="left" w:pos="1425"/>
          <w:tab w:val="left" w:pos="2355"/>
          <w:tab w:val="right" w:pos="10440"/>
        </w:tabs>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.乙方指定银行账户信息如下：</w:t>
      </w:r>
    </w:p>
    <w:p>
      <w:pPr>
        <w:widowControl/>
        <w:shd w:val="clear" w:color="auto" w:fill="FFFFFF"/>
        <w:tabs>
          <w:tab w:val="left" w:pos="426"/>
        </w:tabs>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户名：</w:t>
      </w:r>
    </w:p>
    <w:p>
      <w:pPr>
        <w:widowControl/>
        <w:shd w:val="clear" w:color="auto" w:fill="FFFFFF"/>
        <w:tabs>
          <w:tab w:val="left" w:pos="426"/>
        </w:tabs>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开户银行：</w:t>
      </w:r>
    </w:p>
    <w:p>
      <w:pPr>
        <w:widowControl/>
        <w:shd w:val="clear" w:color="auto" w:fill="FFFFFF"/>
        <w:tabs>
          <w:tab w:val="left" w:pos="426"/>
        </w:tabs>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账号：</w:t>
      </w:r>
    </w:p>
    <w:p>
      <w:pPr>
        <w:adjustRightInd w:val="0"/>
        <w:snapToGrid w:val="0"/>
        <w:spacing w:line="360" w:lineRule="auto"/>
        <w:rPr>
          <w:rFonts w:ascii="宋体" w:hAnsi="宋体" w:cs="宋体"/>
          <w:b/>
          <w:color w:val="000000"/>
          <w:sz w:val="24"/>
        </w:rPr>
      </w:pPr>
      <w:r>
        <w:rPr>
          <w:rFonts w:hint="eastAsia" w:ascii="宋体" w:hAnsi="宋体" w:cs="宋体"/>
          <w:b/>
          <w:color w:val="000000"/>
          <w:sz w:val="24"/>
        </w:rPr>
        <w:t>三、服务期限、成果形式及最终成果验收</w:t>
      </w:r>
    </w:p>
    <w:p>
      <w:pPr>
        <w:tabs>
          <w:tab w:val="left" w:pos="884"/>
        </w:tabs>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1.本合同服务时间为自签署合同之日起一年内。视合同履行情况，履约考核评价为优秀的，甲方可以选择续期，续期最多不超过两次。</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成果形式及最终成果验收</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2.1.形成4份《榜单企业年度中国投资布局情况分析报告》、4份《区域招商策略实施报告》以及不少于</w:t>
      </w:r>
      <w:r>
        <w:rPr>
          <w:rFonts w:hint="eastAsia" w:ascii="宋体" w:hAnsi="宋体" w:cs="宋体"/>
          <w:color w:val="000000"/>
          <w:sz w:val="24"/>
          <w:lang w:val="en-US" w:eastAsia="zh-CN"/>
        </w:rPr>
        <w:t>10</w:t>
      </w:r>
      <w:r>
        <w:rPr>
          <w:rFonts w:hint="eastAsia" w:ascii="宋体" w:hAnsi="宋体" w:cs="宋体"/>
          <w:color w:val="000000"/>
          <w:sz w:val="24"/>
        </w:rPr>
        <w:t>份项目研判分析报告。</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验收方式：验收合格的标志为通过甲方验收。</w:t>
      </w:r>
    </w:p>
    <w:p>
      <w:pPr>
        <w:adjustRightInd w:val="0"/>
        <w:snapToGrid w:val="0"/>
        <w:spacing w:line="360" w:lineRule="auto"/>
        <w:rPr>
          <w:rFonts w:ascii="宋体" w:hAnsi="宋体" w:cs="宋体"/>
          <w:b/>
          <w:color w:val="000000"/>
          <w:sz w:val="24"/>
        </w:rPr>
      </w:pPr>
      <w:r>
        <w:rPr>
          <w:rFonts w:hint="eastAsia" w:ascii="宋体" w:hAnsi="宋体" w:cs="宋体"/>
          <w:b/>
          <w:color w:val="000000"/>
          <w:sz w:val="24"/>
        </w:rPr>
        <w:t>四、约定事项的变更</w:t>
      </w:r>
    </w:p>
    <w:p>
      <w:pPr>
        <w:widowControl/>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如果出现不可预见的情况，影响服务工作的如期完成，或需要提前出具报告，甲、乙双方均可要求变更约定事项，但应及时通知对方，并由双方协商解决。</w:t>
      </w:r>
    </w:p>
    <w:p>
      <w:pPr>
        <w:adjustRightInd w:val="0"/>
        <w:snapToGrid w:val="0"/>
        <w:spacing w:line="360" w:lineRule="auto"/>
        <w:rPr>
          <w:rFonts w:ascii="宋体" w:hAnsi="宋体" w:cs="宋体"/>
          <w:b/>
          <w:color w:val="000000"/>
          <w:sz w:val="24"/>
        </w:rPr>
      </w:pPr>
      <w:r>
        <w:rPr>
          <w:rFonts w:hint="eastAsia" w:ascii="宋体" w:hAnsi="宋体" w:cs="宋体"/>
          <w:b/>
          <w:color w:val="000000"/>
          <w:sz w:val="24"/>
        </w:rPr>
        <w:t>五、违约责任</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1.如乙方未按本合同约定期限出具报告每迟延一天，甲方有权要求乙方支付本合同项下服务费总金额3‰的违约金。</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2.本合同履行期间，发生下述情形时，甲方有权解除本合同，不予支付服务费并可要求返还已支付的服务费，乙方应向甲方支付合同总价款20%的违约金，同时，甲方保留要求乙方赔偿相应损失的权利：</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（1）乙方未能按合同约定的日期(含协商延缓的日期)提交成果，延误时间超过15个工作日；</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（2）因乙方工作的错误或遗漏造成成果质量损失，且乙方未按甲方要求采取及时有效的补救措施的；</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（3）乙方虽如期提交阶段性成果和最终成果，但最终成果连续二次未能通过验收的；</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（4）未经甲方书面在先同意，乙方擅自将本合同项目与任何第三方合作，或将本合同标的的全部或部分擅自转包给任何第三方，且未按甲方的要求终止与第三方的合同的；</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（5）发现乙方或乙方工作人员出现全部或部分丧失履行委托服务能力的情况，甲方有权通知乙方限期整改或更换工作人员，期限届满乙方并未进行改善的；</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（6）乙方明确表示或者以自己的行为表明不履行本合同的。</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3.如甲方无正当理由拒绝接受服务，到期明确表示拒付服务款项的，则甲方应向乙方偿付本合同项下服务费总金额3%的违约金。</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4.上述违约责任各自独立且可累加。本合同所约定的违约金如低于因违约行为所造成的损失，违约方应补偿上述不足部分的损失。</w:t>
      </w:r>
    </w:p>
    <w:p>
      <w:pPr>
        <w:adjustRightInd w:val="0"/>
        <w:snapToGrid w:val="0"/>
        <w:spacing w:line="360" w:lineRule="auto"/>
        <w:rPr>
          <w:rFonts w:ascii="宋体" w:hAnsi="宋体" w:cs="宋体"/>
          <w:b/>
          <w:color w:val="000000"/>
          <w:sz w:val="24"/>
        </w:rPr>
      </w:pPr>
      <w:r>
        <w:rPr>
          <w:rFonts w:hint="eastAsia" w:ascii="宋体" w:hAnsi="宋体" w:cs="宋体"/>
          <w:b/>
          <w:color w:val="000000"/>
          <w:sz w:val="24"/>
        </w:rPr>
        <w:t>六、保密条款</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乙方应以保密方式处理在编制本项目成果文件过程中自甲方、甲方工作人员或甲方局属企业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成果文件内容。即使向与履行本合同有关的人员提供前述保密信息，也应限于履行合同的必需范围，且这些人员应接受至少与本条款同等严格的保密条款的约束。</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3.如乙方违反上述保密条款，甲方有权解除本合同，乙方应在合同解除通知发出之日起10日内向甲方支付本合同服务费总金额20%的违约金，如果违约金无法弥补甲方损失，甲方保留要求乙方赔偿全部损失的权利。</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4.无论本合同或本合同其他条款是否有效，本保密条款始终约束双方。国家秘密的保密期限由国家有关部门确定，工作秘密的保密期限由甲方确定。</w:t>
      </w:r>
    </w:p>
    <w:p>
      <w:pPr>
        <w:adjustRightInd w:val="0"/>
        <w:snapToGrid w:val="0"/>
        <w:spacing w:line="360" w:lineRule="auto"/>
        <w:rPr>
          <w:rFonts w:ascii="宋体" w:hAnsi="宋体" w:cs="宋体"/>
          <w:b/>
          <w:color w:val="000000"/>
          <w:sz w:val="24"/>
        </w:rPr>
      </w:pPr>
      <w:r>
        <w:rPr>
          <w:rFonts w:hint="eastAsia" w:ascii="宋体" w:hAnsi="宋体" w:cs="宋体"/>
          <w:b/>
          <w:color w:val="000000"/>
          <w:sz w:val="24"/>
        </w:rPr>
        <w:t>七、适用法律和争议解决</w:t>
      </w:r>
    </w:p>
    <w:p>
      <w:pPr>
        <w:widowControl/>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合同的所有方面均应适用中华人民共和国法律进行解释并受其约束。因本合同所引起的或与本合同有关的任何纠纷或争议（包括关于本合同条款的存在、效力或终止，或无效之后果），双方协商确定采取以下第（一）种方式予以解决：</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（一）向深圳前海合作区人民法院提起诉讼；</w:t>
      </w:r>
    </w:p>
    <w:p>
      <w:pPr>
        <w:widowControl/>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（二）提交深圳国际仲裁院（深圳仲裁委员会）仲裁。</w:t>
      </w:r>
    </w:p>
    <w:p>
      <w:pPr>
        <w:widowControl/>
        <w:adjustRightInd w:val="0"/>
        <w:snapToGrid w:val="0"/>
        <w:spacing w:line="360" w:lineRule="auto"/>
        <w:rPr>
          <w:rFonts w:ascii="宋体" w:hAnsi="宋体" w:cs="宋体"/>
          <w:b/>
          <w:color w:val="000000"/>
          <w:sz w:val="24"/>
        </w:rPr>
      </w:pPr>
      <w:r>
        <w:rPr>
          <w:rFonts w:hint="eastAsia" w:ascii="宋体" w:hAnsi="宋体" w:cs="宋体"/>
          <w:b/>
          <w:color w:val="000000"/>
          <w:sz w:val="24"/>
        </w:rPr>
        <w:t>八、</w:t>
      </w:r>
      <w:r>
        <w:rPr>
          <w:rFonts w:hint="eastAsia" w:ascii="宋体" w:hAnsi="宋体" w:cs="宋体"/>
          <w:b/>
          <w:bCs/>
          <w:color w:val="000000"/>
          <w:kern w:val="0"/>
          <w:sz w:val="24"/>
        </w:rPr>
        <w:t>成果权属与知识产权</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1.双方对本合同有关的知识产权以及与之相关的所有权利归属约定如下： 本项目全部阶段性成果和最终成果的知识产权以及与之相关的所有权利归甲乙双方共同所有</w:t>
      </w:r>
      <w:r>
        <w:rPr>
          <w:rFonts w:hint="eastAsia" w:ascii="宋体" w:hAnsi="宋体" w:cs="宋体"/>
          <w:bCs/>
          <w:color w:val="000000"/>
          <w:sz w:val="24"/>
        </w:rPr>
        <w:t>。</w:t>
      </w:r>
      <w:r>
        <w:rPr>
          <w:rFonts w:hint="eastAsia" w:ascii="宋体" w:hAnsi="宋体" w:cs="宋体"/>
          <w:color w:val="000000"/>
          <w:sz w:val="24"/>
        </w:rPr>
        <w:t>本合同签署前双方已经拥有的知识产权权利，仍归各自所有。</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除用于政府部门科研项目申报外，</w:t>
      </w:r>
      <w:r>
        <w:rPr>
          <w:rFonts w:hint="eastAsia" w:ascii="宋体" w:hAnsi="宋体" w:cs="宋体"/>
          <w:color w:val="000000"/>
          <w:sz w:val="24"/>
        </w:rPr>
        <w:t>未经甲方书面同意，乙方不得将本项目的中间成果和最终成果文件及任何数据、资料、软件向任何第三方转让、授权任何第三方使用或用于本合同项目外的其他项目。经核实发生以上情况，乙方应向甲方支付本合同总价款20%的违约金，如果违约金无法弥补甲方的损失，甲方有权要求乙方赔偿全部损失。</w:t>
      </w:r>
    </w:p>
    <w:p>
      <w:pPr>
        <w:widowControl/>
        <w:adjustRightInd w:val="0"/>
        <w:snapToGrid w:val="0"/>
        <w:spacing w:line="360" w:lineRule="auto"/>
        <w:ind w:firstLine="480" w:firstLineChars="200"/>
        <w:rPr>
          <w:rFonts w:ascii="宋体" w:hAnsi="宋体" w:cs="宋体"/>
          <w:b/>
          <w:color w:val="000000"/>
          <w:sz w:val="24"/>
        </w:rPr>
      </w:pPr>
      <w:r>
        <w:rPr>
          <w:rFonts w:hint="eastAsia" w:ascii="宋体" w:hAnsi="宋体" w:cs="宋体"/>
          <w:color w:val="000000"/>
          <w:sz w:val="24"/>
        </w:rPr>
        <w:t>5.乙方完成本合同项目的研究开发人员享有在有关技术成果文件上写明技术成果完成者的权利和与甲方共同获得有关署名权、荣誉证书、奖励的权利。</w:t>
      </w:r>
    </w:p>
    <w:p>
      <w:pPr>
        <w:widowControl/>
        <w:adjustRightInd w:val="0"/>
        <w:snapToGrid w:val="0"/>
        <w:spacing w:line="360" w:lineRule="auto"/>
        <w:rPr>
          <w:rFonts w:ascii="宋体" w:hAnsi="宋体" w:cs="宋体"/>
          <w:b/>
          <w:color w:val="000000"/>
          <w:sz w:val="24"/>
        </w:rPr>
      </w:pPr>
      <w:r>
        <w:rPr>
          <w:rFonts w:hint="eastAsia" w:ascii="宋体" w:hAnsi="宋体" w:cs="宋体"/>
          <w:b/>
          <w:color w:val="000000"/>
          <w:sz w:val="24"/>
        </w:rPr>
        <w:t>九、双方对其他有关事项的约定</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1.本合同附件为合同不可分割的组成部分，与本合同一并加盖骑缝章后具有同等法律效力。若附件与合同正文有任何冲突，以合同正文为准。</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2.本合同未尽事宜，由双方协商签订补充协议进行约定。补充协议应以书面形式作成，经双方盖章后与本合同具有同等法律效力。</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3.本合同自双方签字盖章之日起生效。</w:t>
      </w:r>
    </w:p>
    <w:p>
      <w:pPr>
        <w:adjustRightInd w:val="0"/>
        <w:snapToGrid w:val="0"/>
        <w:spacing w:line="360" w:lineRule="auto"/>
        <w:rPr>
          <w:rFonts w:ascii="宋体" w:hAnsi="宋体" w:cs="宋体"/>
          <w:snapToGrid w:val="0"/>
          <w:color w:val="000000"/>
          <w:sz w:val="24"/>
        </w:rPr>
      </w:pPr>
      <w:r>
        <w:rPr>
          <w:rFonts w:hint="eastAsia" w:ascii="宋体" w:hAnsi="宋体" w:cs="宋体"/>
          <w:color w:val="000000"/>
          <w:sz w:val="24"/>
        </w:rPr>
        <w:t xml:space="preserve">    4.本合同一式四份，甲、乙双方各执两份，具有同等法律效力。</w:t>
      </w:r>
    </w:p>
    <w:p>
      <w:pPr>
        <w:adjustRightInd w:val="0"/>
        <w:snapToGrid w:val="0"/>
        <w:spacing w:line="360" w:lineRule="auto"/>
        <w:ind w:firstLine="480" w:firstLineChars="200"/>
        <w:jc w:val="left"/>
        <w:rPr>
          <w:rFonts w:ascii="宋体" w:hAnsi="宋体" w:cs="宋体"/>
          <w:color w:val="000000"/>
          <w:sz w:val="24"/>
        </w:rPr>
      </w:pPr>
    </w:p>
    <w:p>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附件：1.项目团队成员</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napToGrid w:val="0"/>
        <w:spacing w:line="360" w:lineRule="auto"/>
        <w:rPr>
          <w:rFonts w:ascii="宋体" w:hAnsi="宋体" w:cs="宋体"/>
          <w:color w:val="000000"/>
          <w:sz w:val="24"/>
        </w:rPr>
      </w:pPr>
      <w:r>
        <w:rPr>
          <w:rFonts w:hint="eastAsia" w:ascii="宋体" w:hAnsi="宋体" w:cs="宋体"/>
          <w:color w:val="000000"/>
          <w:sz w:val="24"/>
        </w:rPr>
        <w:t>甲方：深圳市前海深港现代服务业合作区     乙方：</w:t>
      </w:r>
    </w:p>
    <w:p>
      <w:pPr>
        <w:snapToGrid w:val="0"/>
        <w:spacing w:line="360" w:lineRule="auto"/>
        <w:ind w:firstLine="720" w:firstLineChars="300"/>
        <w:rPr>
          <w:rFonts w:ascii="宋体" w:hAnsi="宋体" w:cs="宋体"/>
          <w:color w:val="000000"/>
          <w:sz w:val="24"/>
        </w:rPr>
      </w:pPr>
      <w:r>
        <w:rPr>
          <w:rFonts w:hint="eastAsia" w:ascii="宋体" w:hAnsi="宋体" w:cs="宋体"/>
          <w:color w:val="000000"/>
          <w:sz w:val="24"/>
        </w:rPr>
        <w:t xml:space="preserve">管理局  </w:t>
      </w:r>
      <w:r>
        <w:rPr>
          <w:rFonts w:hint="eastAsia" w:ascii="宋体" w:hAnsi="宋体" w:cs="宋体"/>
          <w:color w:val="000000"/>
          <w:sz w:val="24"/>
        </w:rPr>
        <w:br w:type="textWrapping"/>
      </w:r>
    </w:p>
    <w:p>
      <w:pPr>
        <w:snapToGrid w:val="0"/>
        <w:spacing w:line="360" w:lineRule="auto"/>
        <w:rPr>
          <w:rFonts w:ascii="宋体" w:hAnsi="宋体" w:cs="宋体"/>
          <w:color w:val="000000"/>
          <w:sz w:val="24"/>
        </w:rPr>
      </w:pPr>
      <w:r>
        <w:rPr>
          <w:rFonts w:hint="eastAsia" w:ascii="宋体" w:hAnsi="宋体" w:cs="宋体"/>
          <w:color w:val="000000"/>
          <w:sz w:val="24"/>
        </w:rPr>
        <w:t>地址：深圳市前海深港合作区南山街道       地址：</w:t>
      </w:r>
    </w:p>
    <w:p>
      <w:pPr>
        <w:snapToGrid w:val="0"/>
        <w:spacing w:line="360" w:lineRule="auto"/>
        <w:ind w:left="5760" w:leftChars="342" w:hanging="5042" w:hangingChars="2101"/>
        <w:rPr>
          <w:rFonts w:ascii="宋体" w:hAnsi="宋体" w:cs="宋体"/>
          <w:color w:val="000000"/>
          <w:sz w:val="24"/>
        </w:rPr>
      </w:pPr>
      <w:r>
        <w:rPr>
          <w:rFonts w:hint="eastAsia" w:ascii="宋体" w:hAnsi="宋体" w:cs="宋体"/>
          <w:color w:val="000000"/>
          <w:sz w:val="24"/>
        </w:rPr>
        <w:t xml:space="preserve">桂湾五路123号前海大厦T1栋                                    </w:t>
      </w:r>
      <w:r>
        <w:rPr>
          <w:rFonts w:hint="eastAsia" w:ascii="宋体" w:hAnsi="宋体" w:cs="宋体"/>
          <w:color w:val="000000"/>
          <w:sz w:val="24"/>
        </w:rPr>
        <w:br w:type="textWrapping"/>
      </w:r>
    </w:p>
    <w:p>
      <w:pPr>
        <w:snapToGrid w:val="0"/>
        <w:spacing w:line="360" w:lineRule="auto"/>
        <w:rPr>
          <w:rFonts w:ascii="宋体" w:hAnsi="宋体" w:cs="宋体"/>
          <w:color w:val="000000"/>
          <w:sz w:val="24"/>
        </w:rPr>
      </w:pPr>
      <w:r>
        <w:rPr>
          <w:rFonts w:hint="eastAsia" w:ascii="宋体" w:hAnsi="宋体" w:cs="宋体"/>
          <w:color w:val="000000"/>
          <w:sz w:val="24"/>
        </w:rPr>
        <w:t>法定代表人：王守睿                             法定代表人：</w:t>
      </w:r>
      <w:r>
        <w:rPr>
          <w:rFonts w:hint="eastAsia" w:ascii="宋体" w:hAnsi="宋体" w:cs="宋体"/>
          <w:color w:val="000000"/>
          <w:sz w:val="24"/>
        </w:rPr>
        <w:br w:type="textWrapping"/>
      </w:r>
    </w:p>
    <w:p>
      <w:pPr>
        <w:snapToGrid w:val="0"/>
        <w:spacing w:line="360" w:lineRule="auto"/>
        <w:rPr>
          <w:rFonts w:ascii="宋体" w:hAnsi="宋体" w:cs="宋体"/>
          <w:color w:val="000000"/>
          <w:sz w:val="24"/>
        </w:rPr>
      </w:pPr>
      <w:r>
        <w:rPr>
          <w:rFonts w:hint="eastAsia" w:ascii="宋体" w:hAnsi="宋体" w:cs="宋体"/>
          <w:color w:val="000000"/>
          <w:sz w:val="24"/>
        </w:rPr>
        <w:t>委托代理人：                             委托代理人：</w:t>
      </w:r>
      <w:r>
        <w:rPr>
          <w:rFonts w:hint="eastAsia" w:ascii="宋体" w:hAnsi="宋体" w:cs="宋体"/>
          <w:color w:val="000000"/>
          <w:sz w:val="24"/>
        </w:rPr>
        <w:br w:type="textWrapping"/>
      </w:r>
    </w:p>
    <w:p>
      <w:pPr>
        <w:snapToGrid w:val="0"/>
        <w:spacing w:line="360" w:lineRule="auto"/>
        <w:ind w:firstLine="200"/>
        <w:rPr>
          <w:rFonts w:ascii="宋体" w:hAnsi="宋体" w:cs="宋体"/>
          <w:color w:val="000000"/>
          <w:sz w:val="24"/>
        </w:rPr>
      </w:pPr>
      <w:r>
        <w:rPr>
          <w:rFonts w:hint="eastAsia" w:ascii="宋体" w:hAnsi="宋体" w:cs="宋体"/>
          <w:color w:val="000000"/>
          <w:sz w:val="24"/>
        </w:rPr>
        <w:t xml:space="preserve">    电话：                             电话：</w:t>
      </w:r>
      <w:r>
        <w:rPr>
          <w:rFonts w:hint="eastAsia" w:ascii="宋体" w:hAnsi="宋体" w:cs="宋体"/>
          <w:color w:val="000000"/>
          <w:sz w:val="24"/>
        </w:rPr>
        <w:br w:type="textWrapping"/>
      </w:r>
    </w:p>
    <w:p>
      <w:pPr>
        <w:snapToGrid w:val="0"/>
        <w:spacing w:line="360" w:lineRule="auto"/>
        <w:rPr>
          <w:rFonts w:ascii="宋体" w:hAnsi="宋体" w:cs="宋体"/>
          <w:color w:val="000000"/>
          <w:sz w:val="24"/>
        </w:rPr>
      </w:pPr>
      <w:r>
        <w:rPr>
          <w:rFonts w:hint="eastAsia" w:ascii="宋体" w:hAnsi="宋体" w:cs="宋体"/>
          <w:color w:val="000000"/>
          <w:sz w:val="24"/>
        </w:rPr>
        <w:t>开户银行：                               开户银行：</w:t>
      </w:r>
      <w:r>
        <w:rPr>
          <w:rFonts w:hint="eastAsia" w:ascii="宋体" w:hAnsi="宋体" w:cs="宋体"/>
          <w:color w:val="000000"/>
          <w:sz w:val="24"/>
        </w:rPr>
        <w:br w:type="textWrapping"/>
      </w:r>
      <w:r>
        <w:rPr>
          <w:rFonts w:hint="eastAsia" w:ascii="宋体" w:hAnsi="宋体" w:cs="宋体"/>
          <w:color w:val="000000"/>
          <w:sz w:val="24"/>
        </w:rPr>
        <w:t xml:space="preserve">                                                    </w:t>
      </w:r>
    </w:p>
    <w:p>
      <w:pPr>
        <w:spacing w:line="360" w:lineRule="auto"/>
        <w:rPr>
          <w:rFonts w:ascii="宋体" w:hAnsi="宋体" w:cs="宋体"/>
          <w:color w:val="000000"/>
          <w:sz w:val="24"/>
        </w:rPr>
      </w:pPr>
      <w:r>
        <w:rPr>
          <w:rFonts w:hint="eastAsia" w:ascii="宋体" w:hAnsi="宋体" w:cs="宋体"/>
          <w:color w:val="000000"/>
          <w:sz w:val="24"/>
          <w:lang w:eastAsia="zh-CN"/>
        </w:rPr>
        <w:t>账号</w:t>
      </w:r>
      <w:r>
        <w:rPr>
          <w:rFonts w:hint="eastAsia" w:ascii="宋体" w:hAnsi="宋体" w:cs="宋体"/>
          <w:color w:val="000000"/>
          <w:sz w:val="24"/>
        </w:rPr>
        <w:t xml:space="preserve">：                                   </w:t>
      </w:r>
      <w:r>
        <w:rPr>
          <w:rFonts w:hint="eastAsia" w:ascii="宋体" w:hAnsi="宋体" w:cs="宋体"/>
          <w:color w:val="000000"/>
          <w:sz w:val="24"/>
          <w:lang w:eastAsia="zh-CN"/>
        </w:rPr>
        <w:t>账号</w:t>
      </w:r>
      <w:r>
        <w:rPr>
          <w:rFonts w:hint="eastAsia" w:ascii="宋体" w:hAnsi="宋体" w:cs="宋体"/>
          <w:color w:val="000000"/>
          <w:sz w:val="24"/>
        </w:rPr>
        <w:t>：</w:t>
      </w:r>
      <w:r>
        <w:rPr>
          <w:rFonts w:hint="eastAsia" w:ascii="宋体" w:hAnsi="宋体" w:cs="宋体"/>
          <w:color w:val="000000"/>
          <w:sz w:val="24"/>
        </w:rPr>
        <w:br w:type="textWrapping"/>
      </w:r>
      <w:r>
        <w:rPr>
          <w:rFonts w:hint="eastAsia" w:ascii="宋体" w:hAnsi="宋体" w:cs="宋体"/>
          <w:color w:val="000000"/>
          <w:sz w:val="24"/>
        </w:rPr>
        <w:br w:type="textWrapping"/>
      </w:r>
      <w:r>
        <w:rPr>
          <w:rFonts w:hint="eastAsia" w:ascii="宋体" w:hAnsi="宋体" w:cs="宋体"/>
          <w:color w:val="000000"/>
          <w:sz w:val="24"/>
        </w:rPr>
        <w:t>签约时间：     年   月   日              签约时间：     年   月   日</w:t>
      </w:r>
    </w:p>
    <w:p>
      <w:pPr>
        <w:spacing w:line="360" w:lineRule="auto"/>
        <w:ind w:firstLine="1440" w:firstLineChars="600"/>
        <w:rPr>
          <w:rFonts w:ascii="宋体" w:hAnsi="宋体" w:cs="宋体"/>
          <w:snapToGrid w:val="0"/>
          <w:color w:val="000000"/>
          <w:sz w:val="24"/>
        </w:rPr>
      </w:pPr>
    </w:p>
    <w:p>
      <w:pPr>
        <w:spacing w:line="360" w:lineRule="auto"/>
        <w:ind w:firstLine="1440" w:firstLineChars="600"/>
        <w:rPr>
          <w:rFonts w:ascii="宋体" w:hAnsi="宋体" w:cs="宋体"/>
          <w:snapToGrid w:val="0"/>
          <w:color w:val="000000"/>
          <w:sz w:val="24"/>
        </w:rPr>
      </w:pPr>
    </w:p>
    <w:p>
      <w:pPr>
        <w:pStyle w:val="2"/>
        <w:rPr>
          <w:rFonts w:ascii="宋体" w:hAnsi="宋体" w:cs="宋体"/>
          <w:snapToGrid w:val="0"/>
          <w:color w:val="000000"/>
          <w:sz w:val="24"/>
        </w:rPr>
      </w:pPr>
    </w:p>
    <w:p>
      <w:pPr>
        <w:pStyle w:val="29"/>
        <w:rPr>
          <w:rFonts w:ascii="宋体" w:hAnsi="宋体" w:cs="宋体"/>
          <w:snapToGrid w:val="0"/>
          <w:color w:val="000000"/>
          <w:sz w:val="24"/>
          <w:szCs w:val="24"/>
        </w:rPr>
      </w:pPr>
    </w:p>
    <w:p>
      <w:pPr>
        <w:rPr>
          <w:rFonts w:ascii="宋体" w:hAnsi="宋体" w:cs="宋体"/>
          <w:snapToGrid w:val="0"/>
          <w:color w:val="000000"/>
          <w:sz w:val="24"/>
        </w:rPr>
      </w:pPr>
    </w:p>
    <w:p>
      <w:pPr>
        <w:pStyle w:val="2"/>
      </w:pPr>
    </w:p>
    <w:p>
      <w:pPr>
        <w:spacing w:line="360" w:lineRule="auto"/>
        <w:rPr>
          <w:rFonts w:ascii="宋体" w:hAnsi="宋体" w:cs="宋体"/>
          <w:snapToGrid w:val="0"/>
          <w:color w:val="000000"/>
          <w:sz w:val="24"/>
        </w:rPr>
      </w:pPr>
      <w:r>
        <w:rPr>
          <w:rFonts w:hint="eastAsia" w:ascii="宋体" w:hAnsi="宋体" w:cs="宋体"/>
          <w:snapToGrid w:val="0"/>
          <w:color w:val="000000"/>
          <w:sz w:val="24"/>
        </w:rPr>
        <w:t>附件1：</w:t>
      </w:r>
    </w:p>
    <w:p>
      <w:pPr>
        <w:spacing w:line="360" w:lineRule="auto"/>
        <w:jc w:val="center"/>
        <w:rPr>
          <w:rFonts w:ascii="宋体" w:hAnsi="宋体" w:cs="宋体"/>
          <w:b/>
          <w:bCs/>
          <w:snapToGrid w:val="0"/>
          <w:color w:val="000000"/>
          <w:sz w:val="24"/>
        </w:rPr>
      </w:pPr>
      <w:r>
        <w:rPr>
          <w:rFonts w:hint="eastAsia" w:ascii="宋体" w:hAnsi="宋体" w:cs="宋体"/>
          <w:b/>
          <w:bCs/>
          <w:snapToGrid w:val="0"/>
          <w:color w:val="000000"/>
          <w:sz w:val="24"/>
        </w:rPr>
        <w:t>项目团队成员</w:t>
      </w:r>
    </w:p>
    <w:tbl>
      <w:tblPr>
        <w:tblStyle w:val="19"/>
        <w:tblW w:w="8852" w:type="dxa"/>
        <w:tblInd w:w="0" w:type="dxa"/>
        <w:tblLayout w:type="fixed"/>
        <w:tblCellMar>
          <w:top w:w="0" w:type="dxa"/>
          <w:left w:w="108" w:type="dxa"/>
          <w:bottom w:w="0" w:type="dxa"/>
          <w:right w:w="108" w:type="dxa"/>
        </w:tblCellMar>
      </w:tblPr>
      <w:tblGrid>
        <w:gridCol w:w="1001"/>
        <w:gridCol w:w="1416"/>
        <w:gridCol w:w="2322"/>
        <w:gridCol w:w="2136"/>
        <w:gridCol w:w="1977"/>
      </w:tblGrid>
      <w:tr>
        <w:tblPrEx>
          <w:tblCellMar>
            <w:top w:w="0" w:type="dxa"/>
            <w:left w:w="108" w:type="dxa"/>
            <w:bottom w:w="0" w:type="dxa"/>
            <w:right w:w="108" w:type="dxa"/>
          </w:tblCellMar>
        </w:tblPrEx>
        <w:trPr>
          <w:trHeight w:val="679" w:hRule="atLeast"/>
        </w:trPr>
        <w:tc>
          <w:tcPr>
            <w:tcW w:w="10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姓名</w:t>
            </w:r>
          </w:p>
        </w:tc>
        <w:tc>
          <w:tcPr>
            <w:tcW w:w="141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学历及学位</w:t>
            </w:r>
          </w:p>
        </w:tc>
        <w:tc>
          <w:tcPr>
            <w:tcW w:w="232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职称或执业资格</w:t>
            </w:r>
          </w:p>
        </w:tc>
        <w:tc>
          <w:tcPr>
            <w:tcW w:w="213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从事审计工作年限</w:t>
            </w:r>
          </w:p>
        </w:tc>
        <w:tc>
          <w:tcPr>
            <w:tcW w:w="1977"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职责</w:t>
            </w:r>
          </w:p>
        </w:tc>
      </w:tr>
      <w:tr>
        <w:tblPrEx>
          <w:tblCellMar>
            <w:top w:w="0" w:type="dxa"/>
            <w:left w:w="108" w:type="dxa"/>
            <w:bottom w:w="0" w:type="dxa"/>
            <w:right w:w="108" w:type="dxa"/>
          </w:tblCellMar>
        </w:tblPrEx>
        <w:trPr>
          <w:trHeight w:val="679" w:hRule="atLeast"/>
        </w:trPr>
        <w:tc>
          <w:tcPr>
            <w:tcW w:w="1001"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141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2322" w:type="dxa"/>
            <w:tcBorders>
              <w:top w:val="nil"/>
              <w:left w:val="nil"/>
              <w:bottom w:val="single" w:color="auto" w:sz="4" w:space="0"/>
              <w:right w:val="single" w:color="auto" w:sz="4" w:space="0"/>
            </w:tcBorders>
            <w:noWrap w:val="0"/>
            <w:vAlign w:val="center"/>
          </w:tcPr>
          <w:p>
            <w:pPr>
              <w:widowControl/>
              <w:spacing w:line="360" w:lineRule="auto"/>
              <w:rPr>
                <w:rFonts w:ascii="宋体" w:hAnsi="宋体" w:cs="宋体"/>
                <w:color w:val="000000"/>
                <w:sz w:val="24"/>
              </w:rPr>
            </w:pPr>
          </w:p>
        </w:tc>
        <w:tc>
          <w:tcPr>
            <w:tcW w:w="213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197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679" w:hRule="atLeast"/>
        </w:trPr>
        <w:tc>
          <w:tcPr>
            <w:tcW w:w="1001"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141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2322" w:type="dxa"/>
            <w:tcBorders>
              <w:top w:val="nil"/>
              <w:left w:val="nil"/>
              <w:bottom w:val="single" w:color="auto" w:sz="4" w:space="0"/>
              <w:right w:val="single" w:color="auto" w:sz="4" w:space="0"/>
            </w:tcBorders>
            <w:noWrap w:val="0"/>
            <w:vAlign w:val="center"/>
          </w:tcPr>
          <w:p>
            <w:pPr>
              <w:widowControl/>
              <w:spacing w:line="360" w:lineRule="auto"/>
              <w:rPr>
                <w:rFonts w:ascii="宋体" w:hAnsi="宋体" w:cs="宋体"/>
                <w:color w:val="000000"/>
                <w:sz w:val="24"/>
              </w:rPr>
            </w:pPr>
          </w:p>
        </w:tc>
        <w:tc>
          <w:tcPr>
            <w:tcW w:w="213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197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679" w:hRule="atLeast"/>
        </w:trPr>
        <w:tc>
          <w:tcPr>
            <w:tcW w:w="1001"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141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2322"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213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197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679" w:hRule="atLeast"/>
        </w:trPr>
        <w:tc>
          <w:tcPr>
            <w:tcW w:w="10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1416"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2322"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2136"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1977"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679" w:hRule="atLeast"/>
        </w:trPr>
        <w:tc>
          <w:tcPr>
            <w:tcW w:w="10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1416"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2322"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2136"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1977"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679" w:hRule="atLeast"/>
        </w:trPr>
        <w:tc>
          <w:tcPr>
            <w:tcW w:w="1001"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141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2322"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213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197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679" w:hRule="atLeast"/>
        </w:trPr>
        <w:tc>
          <w:tcPr>
            <w:tcW w:w="1001"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141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2322"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213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c>
          <w:tcPr>
            <w:tcW w:w="197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sz w:val="24"/>
              </w:rPr>
            </w:pPr>
          </w:p>
        </w:tc>
      </w:tr>
    </w:tbl>
    <w:p>
      <w:pPr>
        <w:spacing w:line="360" w:lineRule="auto"/>
        <w:rPr>
          <w:rFonts w:ascii="宋体" w:hAnsi="宋体" w:cs="宋体"/>
          <w:snapToGrid w:val="0"/>
          <w:color w:val="000000"/>
          <w:sz w:val="24"/>
        </w:rPr>
      </w:pPr>
    </w:p>
    <w:p>
      <w:pPr>
        <w:spacing w:line="360" w:lineRule="auto"/>
        <w:jc w:val="left"/>
        <w:rPr>
          <w:rFonts w:ascii="宋体" w:hAnsi="宋体" w:cs="宋体"/>
          <w:color w:val="000000"/>
          <w:sz w:val="24"/>
        </w:rPr>
      </w:pPr>
    </w:p>
    <w:p>
      <w:pPr>
        <w:numPr>
          <w:ilvl w:val="0"/>
          <w:numId w:val="2"/>
        </w:numPr>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2"/>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3" w:name="_Toc793"/>
      <w:r>
        <w:rPr>
          <w:rFonts w:hint="eastAsia" w:ascii="宋体" w:hAnsi="宋体" w:cs="宋体"/>
          <w:b/>
          <w:bCs/>
          <w:sz w:val="24"/>
        </w:rPr>
        <w:t>用户需求书</w:t>
      </w:r>
      <w:bookmarkEnd w:id="13"/>
    </w:p>
    <w:p>
      <w:pPr>
        <w:spacing w:line="360" w:lineRule="auto"/>
        <w:ind w:firstLine="482" w:firstLineChars="200"/>
      </w:pPr>
      <w:bookmarkStart w:id="14" w:name="_Toc23726"/>
      <w:bookmarkStart w:id="15" w:name="_Toc11045"/>
      <w:r>
        <w:rPr>
          <w:rFonts w:hint="eastAsia" w:ascii="宋体" w:hAnsi="宋体" w:cs="宋体"/>
          <w:b/>
          <w:sz w:val="24"/>
        </w:rPr>
        <w:t>一、</w:t>
      </w:r>
      <w:bookmarkEnd w:id="14"/>
      <w:bookmarkEnd w:id="15"/>
      <w:bookmarkStart w:id="16" w:name="_Toc96337997"/>
      <w:bookmarkStart w:id="17" w:name="_Toc51746099"/>
      <w:r>
        <w:rPr>
          <w:rFonts w:hint="eastAsia" w:ascii="宋体" w:hAnsi="宋体" w:cs="宋体"/>
          <w:b/>
          <w:sz w:val="24"/>
        </w:rPr>
        <w:t>项目背景</w:t>
      </w:r>
      <w:bookmarkEnd w:id="16"/>
    </w:p>
    <w:bookmarkEnd w:id="17"/>
    <w:p>
      <w:pPr>
        <w:pStyle w:val="32"/>
        <w:tabs>
          <w:tab w:val="left" w:pos="720"/>
        </w:tabs>
        <w:autoSpaceDE w:val="0"/>
        <w:autoSpaceDN w:val="0"/>
        <w:adjustRightInd w:val="0"/>
        <w:spacing w:line="360" w:lineRule="auto"/>
        <w:ind w:right="17" w:firstLine="480"/>
        <w:rPr>
          <w:rFonts w:ascii="宋体" w:hAnsi="宋体" w:cs="宋体"/>
          <w:bCs/>
          <w:sz w:val="24"/>
        </w:rPr>
      </w:pPr>
      <w:r>
        <w:rPr>
          <w:rFonts w:hint="eastAsia" w:ascii="宋体" w:hAnsi="宋体" w:cs="宋体"/>
          <w:bCs/>
          <w:sz w:val="24"/>
        </w:rPr>
        <w:t>聚焦“招外、招大、招战、招新”的工作总目标，我中心拟针对国内外重点企业、国内重点区域的产业发展动态，开展定期数据收集监测，并结合前海招商引资工作实际实施针对性产业咨询分析工作，以提升我中心对全局招商引资工作的统筹能力。</w:t>
      </w:r>
    </w:p>
    <w:p>
      <w:pPr>
        <w:pStyle w:val="32"/>
        <w:tabs>
          <w:tab w:val="left" w:pos="720"/>
        </w:tabs>
        <w:autoSpaceDE w:val="0"/>
        <w:autoSpaceDN w:val="0"/>
        <w:adjustRightInd w:val="0"/>
        <w:spacing w:line="360" w:lineRule="auto"/>
        <w:ind w:right="17" w:firstLine="482"/>
        <w:jc w:val="left"/>
        <w:rPr>
          <w:rFonts w:ascii="宋体" w:hAnsi="宋体" w:cs="宋体"/>
          <w:b/>
          <w:bCs/>
          <w:color w:val="000000"/>
          <w:sz w:val="24"/>
        </w:rPr>
      </w:pPr>
      <w:r>
        <w:rPr>
          <w:rFonts w:hint="eastAsia" w:ascii="宋体" w:hAnsi="宋体" w:cs="宋体"/>
          <w:b/>
          <w:sz w:val="24"/>
        </w:rPr>
        <w:t>二</w:t>
      </w:r>
      <w:r>
        <w:rPr>
          <w:rFonts w:hint="eastAsia" w:ascii="宋体" w:hAnsi="宋体" w:cs="宋体"/>
          <w:b/>
          <w:bCs/>
          <w:color w:val="000000"/>
          <w:sz w:val="24"/>
        </w:rPr>
        <w:t>、项目内容</w:t>
      </w:r>
    </w:p>
    <w:p>
      <w:pPr>
        <w:pStyle w:val="32"/>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1.围绕《财富世界500强》《企业家联合会中国企业500强》《中国服务业企业500强》《中国民营企业500强》《央企名录》等榜单企业，挖掘重点企业的投资路径和发展逻辑，形成4份《榜单企业年度中国投资布局情况分析报告》；</w:t>
      </w:r>
    </w:p>
    <w:p>
      <w:pPr>
        <w:pStyle w:val="32"/>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2.针对北京、上海、苏州、杭州等重点城市，形成4份《区域招商策略实施报告》，内容包括了针对上述区域的前海招商策略和实施路径，以及重点招商行业与目标企业，以服务于前海区域定向招商引资工作。；</w:t>
      </w:r>
    </w:p>
    <w:p>
      <w:pPr>
        <w:pStyle w:val="32"/>
        <w:tabs>
          <w:tab w:val="left" w:pos="720"/>
        </w:tabs>
        <w:autoSpaceDE w:val="0"/>
        <w:autoSpaceDN w:val="0"/>
        <w:adjustRightInd w:val="0"/>
        <w:spacing w:line="360" w:lineRule="auto"/>
        <w:ind w:right="17" w:firstLine="480"/>
        <w:jc w:val="left"/>
        <w:rPr>
          <w:rFonts w:ascii="宋体" w:hAnsi="宋体" w:cs="宋体"/>
          <w:bCs/>
          <w:sz w:val="24"/>
        </w:rPr>
      </w:pPr>
      <w:r>
        <w:rPr>
          <w:rFonts w:hint="eastAsia" w:ascii="宋体" w:hAnsi="宋体" w:cs="宋体"/>
          <w:bCs/>
          <w:sz w:val="24"/>
        </w:rPr>
        <w:t>3.针对优质意向落地项目的可行性与适配度，形成不少于</w:t>
      </w:r>
      <w:r>
        <w:rPr>
          <w:rFonts w:hint="eastAsia" w:ascii="宋体" w:hAnsi="宋体" w:cs="宋体"/>
          <w:bCs/>
          <w:sz w:val="24"/>
          <w:lang w:val="en-US" w:eastAsia="zh-CN"/>
        </w:rPr>
        <w:t>10</w:t>
      </w:r>
      <w:r>
        <w:rPr>
          <w:rFonts w:hint="eastAsia" w:ascii="宋体" w:hAnsi="宋体" w:cs="宋体"/>
          <w:bCs/>
          <w:sz w:val="24"/>
        </w:rPr>
        <w:t>份落地项目研判分析报告。</w:t>
      </w:r>
    </w:p>
    <w:p>
      <w:pPr>
        <w:pStyle w:val="32"/>
        <w:tabs>
          <w:tab w:val="left" w:pos="720"/>
        </w:tabs>
        <w:autoSpaceDE w:val="0"/>
        <w:autoSpaceDN w:val="0"/>
        <w:adjustRightInd w:val="0"/>
        <w:spacing w:line="360" w:lineRule="auto"/>
        <w:ind w:right="17" w:firstLine="480"/>
        <w:jc w:val="left"/>
        <w:rPr>
          <w:rFonts w:ascii="宋体" w:hAnsi="宋体" w:cs="宋体"/>
          <w:bCs/>
          <w:sz w:val="24"/>
        </w:rPr>
      </w:pPr>
    </w:p>
    <w:p>
      <w:pPr>
        <w:pStyle w:val="32"/>
        <w:tabs>
          <w:tab w:val="left" w:pos="720"/>
        </w:tabs>
        <w:autoSpaceDE w:val="0"/>
        <w:autoSpaceDN w:val="0"/>
        <w:adjustRightInd w:val="0"/>
        <w:spacing w:line="360" w:lineRule="auto"/>
        <w:ind w:right="17" w:firstLine="482"/>
        <w:jc w:val="left"/>
        <w:rPr>
          <w:rFonts w:ascii="宋体" w:hAnsi="宋体" w:cs="宋体"/>
          <w:b/>
          <w:sz w:val="24"/>
        </w:rPr>
      </w:pPr>
      <w:r>
        <w:rPr>
          <w:rFonts w:hint="eastAsia" w:ascii="宋体" w:hAnsi="宋体" w:cs="宋体"/>
          <w:b/>
          <w:sz w:val="24"/>
        </w:rPr>
        <w:t>三、</w:t>
      </w:r>
      <w:r>
        <w:rPr>
          <w:rFonts w:hint="eastAsia" w:ascii="宋体" w:hAnsi="宋体" w:cs="宋体"/>
          <w:b/>
          <w:color w:val="000000"/>
          <w:sz w:val="24"/>
        </w:rPr>
        <w:t>工作成果及验收要求</w:t>
      </w:r>
    </w:p>
    <w:p>
      <w:pPr>
        <w:pStyle w:val="32"/>
        <w:tabs>
          <w:tab w:val="left" w:pos="720"/>
        </w:tabs>
        <w:autoSpaceDE w:val="0"/>
        <w:autoSpaceDN w:val="0"/>
        <w:adjustRightInd w:val="0"/>
        <w:spacing w:line="360" w:lineRule="auto"/>
        <w:ind w:right="17" w:firstLine="480"/>
        <w:rPr>
          <w:rFonts w:ascii="宋体" w:hAnsi="宋体" w:cs="宋体"/>
          <w:bCs/>
          <w:sz w:val="24"/>
        </w:rPr>
      </w:pPr>
      <w:r>
        <w:rPr>
          <w:rFonts w:hint="eastAsia" w:ascii="宋体" w:hAnsi="宋体" w:cs="宋体"/>
          <w:bCs/>
          <w:sz w:val="24"/>
        </w:rPr>
        <w:t>（一）</w:t>
      </w:r>
      <w:r>
        <w:rPr>
          <w:rFonts w:hint="eastAsia" w:ascii="宋体" w:hAnsi="宋体" w:cs="宋体"/>
          <w:color w:val="000000"/>
          <w:sz w:val="24"/>
        </w:rPr>
        <w:t>形成4份《榜单企业年度中国投资布局情况分析报告》、4份《区域招商策略实施报告》以及不少于</w:t>
      </w:r>
      <w:r>
        <w:rPr>
          <w:rFonts w:hint="eastAsia" w:ascii="宋体" w:hAnsi="宋体" w:cs="宋体"/>
          <w:color w:val="000000"/>
          <w:sz w:val="24"/>
          <w:lang w:val="en-US" w:eastAsia="zh-CN"/>
        </w:rPr>
        <w:t>1</w:t>
      </w:r>
      <w:r>
        <w:rPr>
          <w:rFonts w:hint="eastAsia" w:ascii="宋体" w:hAnsi="宋体" w:cs="宋体"/>
          <w:color w:val="000000"/>
          <w:sz w:val="24"/>
        </w:rPr>
        <w:t>0份项目研判分析报告。</w:t>
      </w:r>
    </w:p>
    <w:p>
      <w:pPr>
        <w:pStyle w:val="32"/>
        <w:tabs>
          <w:tab w:val="left" w:pos="720"/>
        </w:tabs>
        <w:autoSpaceDE w:val="0"/>
        <w:autoSpaceDN w:val="0"/>
        <w:adjustRightInd w:val="0"/>
        <w:spacing w:line="360" w:lineRule="auto"/>
        <w:ind w:right="17" w:firstLine="480"/>
        <w:rPr>
          <w:rFonts w:ascii="宋体" w:hAnsi="宋体" w:cs="宋体"/>
          <w:bCs/>
          <w:sz w:val="24"/>
        </w:rPr>
      </w:pPr>
      <w:r>
        <w:rPr>
          <w:rFonts w:hint="eastAsia" w:ascii="宋体" w:hAnsi="宋体" w:cs="宋体"/>
          <w:bCs/>
          <w:sz w:val="24"/>
        </w:rPr>
        <w:t>（二）验收合格的标志为通过采购人验收。</w:t>
      </w:r>
    </w:p>
    <w:p>
      <w:pPr>
        <w:pStyle w:val="39"/>
        <w:tabs>
          <w:tab w:val="left" w:pos="720"/>
        </w:tabs>
        <w:autoSpaceDE w:val="0"/>
        <w:autoSpaceDN w:val="0"/>
        <w:adjustRightInd w:val="0"/>
        <w:spacing w:line="360" w:lineRule="auto"/>
        <w:ind w:right="17" w:firstLine="482"/>
        <w:jc w:val="left"/>
        <w:rPr>
          <w:rFonts w:ascii="宋体" w:hAnsi="宋体" w:cs="宋体"/>
          <w:b/>
          <w:color w:val="000000"/>
          <w:sz w:val="24"/>
        </w:rPr>
      </w:pPr>
      <w:r>
        <w:rPr>
          <w:rFonts w:hint="eastAsia" w:ascii="宋体" w:hAnsi="宋体" w:cs="宋体"/>
          <w:b/>
          <w:sz w:val="24"/>
        </w:rPr>
        <w:t>四、</w:t>
      </w:r>
      <w:r>
        <w:rPr>
          <w:rFonts w:hint="eastAsia" w:ascii="宋体" w:hAnsi="宋体" w:cs="宋体"/>
          <w:b/>
          <w:color w:val="000000"/>
          <w:sz w:val="24"/>
        </w:rPr>
        <w:t>验收方式</w:t>
      </w:r>
    </w:p>
    <w:p>
      <w:pPr>
        <w:pStyle w:val="32"/>
        <w:tabs>
          <w:tab w:val="left" w:pos="720"/>
        </w:tabs>
        <w:autoSpaceDE w:val="0"/>
        <w:autoSpaceDN w:val="0"/>
        <w:adjustRightInd w:val="0"/>
        <w:spacing w:line="360" w:lineRule="auto"/>
        <w:ind w:right="17" w:firstLine="480"/>
        <w:jc w:val="left"/>
        <w:rPr>
          <w:rFonts w:ascii="宋体" w:hAnsi="宋体" w:cs="宋体"/>
          <w:color w:val="000000"/>
          <w:kern w:val="0"/>
          <w:sz w:val="24"/>
        </w:rPr>
      </w:pPr>
      <w:r>
        <w:rPr>
          <w:rFonts w:hint="eastAsia" w:ascii="宋体" w:hAnsi="宋体" w:cs="宋体"/>
          <w:bCs/>
          <w:color w:val="000000"/>
          <w:sz w:val="24"/>
        </w:rPr>
        <w:t>采购人自行组织验收，出具验收合格证明。</w:t>
      </w:r>
    </w:p>
    <w:p>
      <w:pPr>
        <w:pStyle w:val="32"/>
        <w:tabs>
          <w:tab w:val="left" w:pos="720"/>
        </w:tabs>
        <w:autoSpaceDE w:val="0"/>
        <w:autoSpaceDN w:val="0"/>
        <w:adjustRightInd w:val="0"/>
        <w:spacing w:line="360" w:lineRule="auto"/>
        <w:ind w:right="17" w:firstLine="482"/>
        <w:jc w:val="left"/>
        <w:rPr>
          <w:rFonts w:ascii="宋体" w:hAnsi="宋体" w:cs="宋体"/>
          <w:b/>
          <w:sz w:val="24"/>
        </w:rPr>
      </w:pPr>
      <w:r>
        <w:rPr>
          <w:rFonts w:hint="eastAsia" w:ascii="宋体" w:hAnsi="宋体" w:cs="宋体"/>
          <w:b/>
          <w:sz w:val="24"/>
        </w:rPr>
        <w:t>五、商务要求</w:t>
      </w:r>
    </w:p>
    <w:p>
      <w:pPr>
        <w:tabs>
          <w:tab w:val="left" w:pos="720"/>
        </w:tabs>
        <w:autoSpaceDE w:val="0"/>
        <w:autoSpaceDN w:val="0"/>
        <w:adjustRightInd w:val="0"/>
        <w:spacing w:line="360" w:lineRule="auto"/>
        <w:ind w:right="17" w:firstLine="482" w:firstLineChars="200"/>
        <w:rPr>
          <w:rFonts w:ascii="宋体" w:hAnsi="宋体" w:cs="宋体"/>
          <w:color w:val="000000"/>
          <w:sz w:val="24"/>
        </w:rPr>
      </w:pPr>
      <w:r>
        <w:rPr>
          <w:rFonts w:hint="eastAsia" w:ascii="宋体" w:hAnsi="宋体" w:cs="宋体"/>
          <w:b/>
          <w:bCs/>
          <w:color w:val="000000"/>
          <w:kern w:val="0"/>
          <w:sz w:val="24"/>
        </w:rPr>
        <w:t>（一）服务期限</w:t>
      </w:r>
    </w:p>
    <w:p>
      <w:pPr>
        <w:spacing w:after="159" w:afterLines="50" w:line="360" w:lineRule="auto"/>
        <w:ind w:firstLine="480" w:firstLineChars="200"/>
        <w:rPr>
          <w:rFonts w:ascii="宋体" w:hAnsi="宋体" w:cs="宋体"/>
          <w:color w:val="000000"/>
          <w:sz w:val="24"/>
        </w:rPr>
      </w:pPr>
      <w:r>
        <w:rPr>
          <w:rFonts w:hint="eastAsia" w:ascii="宋体" w:hAnsi="宋体" w:cs="宋体"/>
          <w:color w:val="000000"/>
          <w:sz w:val="24"/>
        </w:rPr>
        <w:t>本合同服务时间为自签署合同之日起一年内。视合同履行情况，履约考核评价为优秀的，采购人可以选择续期，续期最多不超过两次。</w:t>
      </w:r>
    </w:p>
    <w:p>
      <w:pPr>
        <w:tabs>
          <w:tab w:val="left" w:pos="720"/>
        </w:tabs>
        <w:autoSpaceDE w:val="0"/>
        <w:autoSpaceDN w:val="0"/>
        <w:adjustRightInd w:val="0"/>
        <w:spacing w:line="360" w:lineRule="auto"/>
        <w:ind w:right="17" w:firstLine="482" w:firstLineChars="200"/>
        <w:rPr>
          <w:rFonts w:ascii="宋体" w:hAnsi="宋体" w:cs="宋体"/>
          <w:b/>
          <w:bCs/>
          <w:color w:val="000000"/>
          <w:kern w:val="0"/>
          <w:sz w:val="24"/>
        </w:rPr>
      </w:pPr>
      <w:r>
        <w:rPr>
          <w:rFonts w:hint="eastAsia" w:ascii="宋体" w:hAnsi="宋体" w:cs="宋体"/>
          <w:b/>
          <w:bCs/>
          <w:color w:val="000000"/>
          <w:kern w:val="0"/>
          <w:sz w:val="24"/>
        </w:rPr>
        <w:t>（二）报价要求</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1.本次投标为总价包干，投标报价总价作为中标人与采购人签定的合同金额。项目预算控制在</w:t>
      </w:r>
      <w:r>
        <w:rPr>
          <w:rFonts w:hint="eastAsia" w:ascii="宋体" w:hAnsi="宋体" w:cs="宋体"/>
          <w:color w:val="000000"/>
          <w:sz w:val="24"/>
          <w:lang w:val="en-US" w:eastAsia="zh-CN"/>
        </w:rPr>
        <w:t>33.5</w:t>
      </w:r>
      <w:r>
        <w:rPr>
          <w:rFonts w:hint="eastAsia" w:ascii="宋体" w:hAnsi="宋体" w:cs="宋体"/>
          <w:color w:val="000000"/>
          <w:sz w:val="24"/>
        </w:rPr>
        <w:t>万元以内，投标人的报价不可高于预算（限价），否则投标人的投标文件视同无效。项目服务费包括但不限于</w:t>
      </w:r>
      <w:r>
        <w:rPr>
          <w:rFonts w:hint="eastAsia" w:ascii="宋体" w:hAnsi="宋体" w:cs="宋体"/>
          <w:color w:val="000000"/>
          <w:kern w:val="0"/>
          <w:sz w:val="24"/>
        </w:rPr>
        <w:t>调研费、中标服务费、资料费、税金、人员费用、差旅费、后续服务等所有费用</w:t>
      </w:r>
      <w:r>
        <w:rPr>
          <w:rFonts w:hint="eastAsia" w:ascii="宋体" w:hAnsi="宋体" w:cs="宋体"/>
          <w:color w:val="000000"/>
          <w:sz w:val="24"/>
        </w:rPr>
        <w:t>，并提供合同要求的有关成果材料，以及其它相关服务的全部费用。</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3.投标人的投标报价，应是本项目招标范围和</w:t>
      </w:r>
      <w:bookmarkStart w:id="29" w:name="_GoBack"/>
      <w:bookmarkEnd w:id="29"/>
      <w:r>
        <w:rPr>
          <w:rFonts w:hint="eastAsia" w:ascii="宋体" w:hAnsi="宋体" w:cs="宋体"/>
          <w:color w:val="000000"/>
          <w:sz w:val="24"/>
        </w:rPr>
        <w:t>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000000"/>
          <w:kern w:val="0"/>
          <w:sz w:val="24"/>
        </w:rPr>
      </w:pPr>
      <w:r>
        <w:rPr>
          <w:rFonts w:hint="eastAsia" w:ascii="宋体" w:hAnsi="宋体" w:cs="宋体"/>
          <w:color w:val="000000"/>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pPr>
      <w:r>
        <w:rPr>
          <w:rFonts w:hint="eastAsia" w:ascii="宋体" w:hAnsi="宋体" w:cs="宋体"/>
          <w:b/>
          <w:bCs/>
          <w:color w:val="000000"/>
          <w:kern w:val="0"/>
          <w:sz w:val="24"/>
        </w:rPr>
        <w:t>（三）付款方式</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项目资金分2期支付至中标人指定银行账户：</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rPr>
        <w:t>（1）首期：本合同签订后15个工作日内，向中标人支付本合同价款的</w:t>
      </w:r>
      <w:r>
        <w:rPr>
          <w:rFonts w:hint="eastAsia" w:ascii="宋体" w:hAnsi="宋体" w:cs="宋体"/>
          <w:color w:val="000000"/>
          <w:sz w:val="24"/>
          <w:highlight w:val="none"/>
        </w:rPr>
        <w:t>50%；</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（2）第2期：</w:t>
      </w:r>
      <w:r>
        <w:rPr>
          <w:rFonts w:hint="eastAsia"/>
          <w:color w:val="000000"/>
          <w:sz w:val="24"/>
          <w:highlight w:val="none"/>
        </w:rPr>
        <w:t>交付全部成果并经验收通过</w:t>
      </w:r>
      <w:r>
        <w:rPr>
          <w:rFonts w:hint="eastAsia" w:ascii="宋体" w:hAnsi="宋体" w:cs="宋体"/>
          <w:color w:val="000000"/>
          <w:sz w:val="24"/>
          <w:highlight w:val="none"/>
        </w:rPr>
        <w:t>后15个工作日内，向中标人支付本合同价款的50%；</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上述每期款项均在满足付款条件，且采购方收到中标方开具的载明相应金额的合格发票后15个工作日内付至中标方指定银行账户。如未及时收到相关请款材料,则采购方相应付款时间顺延。若因采购方付款审批影响支付进度，请中标方予以谅解，谅解期为期3个月，若谅解期结束仍未收到相关款项，中标方可向采购方索赔。</w:t>
      </w:r>
    </w:p>
    <w:p>
      <w:pPr>
        <w:adjustRightInd/>
        <w:snapToGrid/>
        <w:spacing w:line="360" w:lineRule="auto"/>
        <w:ind w:firstLine="480" w:firstLineChars="200"/>
        <w:rPr>
          <w:rFonts w:ascii="宋体" w:hAnsi="宋体" w:cs="宋体"/>
          <w:color w:val="000000"/>
          <w:sz w:val="24"/>
        </w:rPr>
      </w:pPr>
      <w:r>
        <w:rPr>
          <w:rFonts w:hint="eastAsia" w:ascii="宋体" w:hAnsi="宋体" w:cs="宋体"/>
          <w:color w:val="000000"/>
          <w:sz w:val="24"/>
        </w:rPr>
        <w:t>2.如果由于无法预见的原因，致使从事本合同所涉及的服务实际时间较本合同签订时预计的时间有明显增加或者减少时，如所涉增加费用的金额不超过本合同项下服务费总金额的10%,由双方商定变更内容及具体价格后签订书面补充协议予以确认。</w:t>
      </w:r>
    </w:p>
    <w:p>
      <w:pPr>
        <w:tabs>
          <w:tab w:val="left" w:pos="720"/>
        </w:tabs>
        <w:autoSpaceDE w:val="0"/>
        <w:autoSpaceDN w:val="0"/>
        <w:adjustRightInd w:val="0"/>
        <w:spacing w:line="360" w:lineRule="auto"/>
        <w:ind w:right="17" w:firstLine="482" w:firstLineChars="200"/>
        <w:rPr>
          <w:rFonts w:ascii="宋体" w:hAnsi="宋体" w:cs="宋体"/>
          <w:b/>
          <w:bCs/>
          <w:color w:val="000000"/>
          <w:kern w:val="0"/>
          <w:sz w:val="24"/>
        </w:rPr>
      </w:pPr>
      <w:r>
        <w:rPr>
          <w:rFonts w:hint="eastAsia" w:ascii="宋体" w:hAnsi="宋体" w:cs="宋体"/>
          <w:b/>
          <w:bCs/>
          <w:color w:val="000000"/>
          <w:kern w:val="0"/>
          <w:sz w:val="24"/>
        </w:rPr>
        <w:t>（四）成果权属与知识产权</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1.双方对本合同有关的知识产权以及与之相关的所有权利归属约定如下： 本项目全部阶段性成果和最终成果的知识产权以及与之相关的所有权利归双方共同所有</w:t>
      </w:r>
      <w:r>
        <w:rPr>
          <w:rFonts w:hint="eastAsia" w:ascii="宋体" w:hAnsi="宋体" w:cs="宋体"/>
          <w:bCs/>
          <w:color w:val="000000"/>
          <w:sz w:val="24"/>
        </w:rPr>
        <w:t>。</w:t>
      </w:r>
      <w:r>
        <w:rPr>
          <w:rFonts w:hint="eastAsia" w:ascii="宋体" w:hAnsi="宋体" w:cs="宋体"/>
          <w:color w:val="000000"/>
          <w:sz w:val="24"/>
        </w:rPr>
        <w:t>本合同签署前双方已经拥有的知识产权权利，仍归各自所有。</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中标人所提交的全部中间成果和最终成果材料及任何数据、资料、软件等不得侵犯任何第三方的知识产权或其他权利，由于该等文件、材料、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sz w:val="24"/>
        </w:rPr>
        <w:t>4.除用于政府部门科研项目申报外，未经采购人</w:t>
      </w:r>
      <w:r>
        <w:rPr>
          <w:rFonts w:hint="eastAsia"/>
          <w:sz w:val="24"/>
        </w:rPr>
        <w:t>书面同意，</w:t>
      </w:r>
      <w:r>
        <w:rPr>
          <w:rFonts w:hint="eastAsia" w:ascii="宋体" w:hAnsi="宋体" w:cs="宋体"/>
          <w:sz w:val="24"/>
        </w:rPr>
        <w:t>中标人</w:t>
      </w:r>
      <w:r>
        <w:rPr>
          <w:rFonts w:hint="eastAsia"/>
          <w:sz w:val="24"/>
        </w:rPr>
        <w:t>不得将本项目的中间成果和最终成果文件及任何数据、资料、软件向任何第三方转让、授权任何第三方使用或用于本合同项目外的其他项目。经核实发生以上情况，</w:t>
      </w:r>
      <w:r>
        <w:rPr>
          <w:rFonts w:hint="eastAsia" w:ascii="宋体" w:hAnsi="宋体" w:cs="宋体"/>
          <w:sz w:val="24"/>
        </w:rPr>
        <w:t>中标人</w:t>
      </w:r>
      <w:r>
        <w:rPr>
          <w:rFonts w:hint="eastAsia"/>
          <w:sz w:val="24"/>
        </w:rPr>
        <w:t>应向</w:t>
      </w:r>
      <w:r>
        <w:rPr>
          <w:rFonts w:hint="eastAsia" w:ascii="宋体" w:hAnsi="宋体" w:cs="宋体"/>
          <w:sz w:val="24"/>
        </w:rPr>
        <w:t>采购人</w:t>
      </w:r>
      <w:r>
        <w:rPr>
          <w:rFonts w:hint="eastAsia"/>
          <w:sz w:val="24"/>
        </w:rPr>
        <w:t>支付本合同总价款20%的违约金，如果违约金无法弥补</w:t>
      </w:r>
      <w:r>
        <w:rPr>
          <w:rFonts w:hint="eastAsia" w:ascii="宋体" w:hAnsi="宋体" w:cs="宋体"/>
          <w:sz w:val="24"/>
        </w:rPr>
        <w:t>采购人</w:t>
      </w:r>
      <w:r>
        <w:rPr>
          <w:rFonts w:hint="eastAsia"/>
          <w:sz w:val="24"/>
        </w:rPr>
        <w:t>的损失，</w:t>
      </w:r>
      <w:r>
        <w:rPr>
          <w:rFonts w:hint="eastAsia" w:ascii="宋体" w:hAnsi="宋体" w:cs="宋体"/>
          <w:sz w:val="24"/>
        </w:rPr>
        <w:t>采购人</w:t>
      </w:r>
      <w:r>
        <w:rPr>
          <w:rFonts w:hint="eastAsia"/>
          <w:sz w:val="24"/>
        </w:rPr>
        <w:t>有权要求</w:t>
      </w:r>
      <w:r>
        <w:rPr>
          <w:rFonts w:hint="eastAsia" w:ascii="宋体" w:hAnsi="宋体" w:cs="宋体"/>
          <w:sz w:val="24"/>
        </w:rPr>
        <w:t>中标</w:t>
      </w:r>
      <w:r>
        <w:rPr>
          <w:rFonts w:hint="eastAsia"/>
          <w:sz w:val="24"/>
        </w:rPr>
        <w:t>方赔偿全部损失。</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5.中标人完成本合同项目的研究开发人员享有在有关技术成果材料上写明技术成果完成者的权利和与采购人共同获得有关署名权、荣誉证书、奖励的权利。</w:t>
      </w:r>
    </w:p>
    <w:p>
      <w:pPr>
        <w:widowControl/>
        <w:spacing w:line="360" w:lineRule="auto"/>
        <w:ind w:firstLine="482" w:firstLineChars="200"/>
        <w:rPr>
          <w:rFonts w:ascii="宋体" w:hAnsi="宋体" w:cs="宋体"/>
          <w:b/>
          <w:bCs/>
          <w:color w:val="000000"/>
          <w:sz w:val="24"/>
        </w:rPr>
      </w:pPr>
      <w:r>
        <w:rPr>
          <w:rFonts w:hint="eastAsia" w:ascii="宋体" w:hAnsi="宋体" w:cs="宋体"/>
          <w:b/>
          <w:bCs/>
          <w:color w:val="000000"/>
          <w:kern w:val="0"/>
          <w:sz w:val="24"/>
        </w:rPr>
        <w:t>（五）</w:t>
      </w:r>
      <w:r>
        <w:rPr>
          <w:rFonts w:hint="eastAsia" w:ascii="宋体" w:hAnsi="宋体" w:cs="宋体"/>
          <w:b/>
          <w:bCs/>
          <w:color w:val="000000"/>
          <w:sz w:val="24"/>
        </w:rPr>
        <w:t>保密条款</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中标人方应以保密方式处理在编制本项目成果文件过程中自采购人、采购人工作人员或采购人局属企业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成果文件内容。即使向与履行本合同有关的人员提供前述保密信息，也应限于履行合同的必需范围，且这些人员应接受至少与本条款同等严格的保密条款的约束。</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rPr>
          <w:rFonts w:ascii="宋体" w:hAnsi="宋体" w:cs="宋体"/>
          <w:b/>
          <w:bCs/>
          <w:color w:val="000000"/>
          <w:sz w:val="24"/>
        </w:rPr>
      </w:pPr>
      <w:r>
        <w:rPr>
          <w:rFonts w:hint="eastAsia" w:ascii="宋体" w:hAnsi="宋体" w:cs="宋体"/>
          <w:b/>
          <w:bCs/>
          <w:color w:val="000000"/>
          <w:kern w:val="0"/>
          <w:sz w:val="24"/>
        </w:rPr>
        <w:t>（六）</w:t>
      </w:r>
      <w:r>
        <w:rPr>
          <w:rFonts w:hint="eastAsia" w:ascii="宋体" w:hAnsi="宋体" w:cs="宋体"/>
          <w:b/>
          <w:bCs/>
          <w:color w:val="000000"/>
          <w:sz w:val="24"/>
        </w:rPr>
        <w:t>违约责任</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1.如中标人未按本合同约定期限出具审核报告每迟延一天，采购人有权要求中标人支付本合同项下服务费总金额3‰的违约金。</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2.本合同履行期间，发生下述情形时，采购人有权解除本合同，不予支付服务费并可要求返还已支付的服务费，中标人应向采购人支付合同总价款20%的违约金，同时，采购人保留要求中标人赔偿相应损失的权利：</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（1）中标人未能按合同约定的日期(含协商延缓的日期)提交成果，延误时间超过15个工作日；</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（2）因中标人工作的错误或遗漏造成成果质量损失，且中标人未按采购人要求采取及时有效的补救措施的；</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（3）中标人虽如期提交阶段性成果和最终成果，但最终成果连续二次未能通过验收的；</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（4）未经采购人书面在先同意，中标人擅自将本合同项目与任何第三方合作，或将本合同标的的全部或部分擅自转包给任何第三方，且未按采购人的要求终止与第三方的合同的；</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（5）发现中标人或中标人工作人员出现全部或部分丧失履行委托服务能力的情况，采购人有权通知中标人限期整改或更换工作人员，期限届满中标人并未进行改善的；</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（6）中标人明确表示或者以自己的行为表明不履行本合同的。</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3.如采购人无正当理由拒绝接受服务，到期明确表示拒付服务款项的，则采购人应向中标人偿付本合同项下服务费总金额3%的违约金。</w:t>
      </w:r>
    </w:p>
    <w:p>
      <w:pPr>
        <w:spacing w:line="360" w:lineRule="auto"/>
        <w:ind w:firstLine="480" w:firstLineChars="200"/>
        <w:rPr>
          <w:rFonts w:ascii="宋体" w:cs="宋体"/>
          <w:b/>
          <w:bCs/>
          <w:sz w:val="24"/>
        </w:rPr>
      </w:pPr>
      <w:r>
        <w:rPr>
          <w:rFonts w:hint="eastAsia" w:ascii="宋体" w:hAnsi="宋体" w:cs="宋体"/>
          <w:color w:val="000000"/>
          <w:sz w:val="24"/>
        </w:rPr>
        <w:t>4.上述违约责任各自独立且可累加。本合同所约定的违约金如低于因违约行为所造成的损失，违约方应补偿上述不足部分的损失。</w:t>
      </w:r>
      <w:r>
        <w:rPr>
          <w:rFonts w:hint="eastAsia" w:ascii="宋体" w:hAnsi="宋体" w:cs="宋体"/>
          <w:sz w:val="24"/>
        </w:rPr>
        <w:br w:type="page"/>
      </w:r>
      <w:bookmarkStart w:id="18" w:name="_Toc6457"/>
      <w:r>
        <w:rPr>
          <w:rFonts w:hint="eastAsia" w:ascii="宋体" w:hAnsi="宋体" w:cs="宋体"/>
          <w:sz w:val="24"/>
        </w:rPr>
        <w:t xml:space="preserve">                 </w:t>
      </w:r>
      <w:r>
        <w:rPr>
          <w:rFonts w:hint="eastAsia" w:ascii="宋体" w:cs="宋体"/>
          <w:b/>
          <w:bCs/>
          <w:sz w:val="24"/>
        </w:rPr>
        <w:t>第六章 投标文件初审及招标项目评分表</w:t>
      </w:r>
      <w:bookmarkEnd w:id="18"/>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19"/>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noWrap w:val="0"/>
            <w:vAlign w:val="top"/>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pPr>
              <w:spacing w:line="360" w:lineRule="auto"/>
              <w:jc w:val="center"/>
              <w:rPr>
                <w:rFonts w:ascii="宋体" w:hAnsi="宋体" w:cs="宋体"/>
                <w:sz w:val="24"/>
              </w:rPr>
            </w:pPr>
            <w:r>
              <w:rPr>
                <w:rFonts w:hint="eastAsia" w:ascii="宋体" w:hAnsi="宋体" w:cs="宋体"/>
                <w:sz w:val="24"/>
              </w:rPr>
              <w:t>1</w:t>
            </w:r>
          </w:p>
        </w:tc>
        <w:tc>
          <w:tcPr>
            <w:tcW w:w="7950" w:type="dxa"/>
            <w:noWrap w:val="0"/>
            <w:vAlign w:val="top"/>
          </w:tcPr>
          <w:p>
            <w:pPr>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noWrap w:val="0"/>
            <w:vAlign w:val="center"/>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pPr>
              <w:spacing w:line="360" w:lineRule="auto"/>
              <w:jc w:val="center"/>
              <w:rPr>
                <w:rFonts w:ascii="宋体" w:hAnsi="宋体" w:cs="宋体"/>
                <w:sz w:val="24"/>
              </w:rPr>
            </w:pPr>
            <w:r>
              <w:rPr>
                <w:rFonts w:hint="eastAsia" w:ascii="宋体" w:hAnsi="宋体" w:cs="宋体"/>
                <w:sz w:val="24"/>
              </w:rPr>
              <w:t>2</w:t>
            </w:r>
          </w:p>
        </w:tc>
        <w:tc>
          <w:tcPr>
            <w:tcW w:w="7950" w:type="dxa"/>
            <w:noWrap w:val="0"/>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pPr>
              <w:spacing w:line="360" w:lineRule="auto"/>
              <w:jc w:val="center"/>
              <w:rPr>
                <w:rFonts w:ascii="宋体" w:hAnsi="宋体" w:cs="宋体"/>
                <w:sz w:val="24"/>
              </w:rPr>
            </w:pPr>
            <w:r>
              <w:rPr>
                <w:rFonts w:hint="eastAsia" w:ascii="宋体" w:hAnsi="宋体" w:cs="宋体"/>
                <w:sz w:val="24"/>
              </w:rPr>
              <w:t>3</w:t>
            </w:r>
          </w:p>
        </w:tc>
        <w:tc>
          <w:tcPr>
            <w:tcW w:w="7950" w:type="dxa"/>
            <w:noWrap w:val="0"/>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pPr>
              <w:spacing w:line="360" w:lineRule="auto"/>
              <w:jc w:val="center"/>
              <w:rPr>
                <w:rFonts w:ascii="宋体" w:hAnsi="宋体" w:cs="宋体"/>
                <w:sz w:val="24"/>
              </w:rPr>
            </w:pPr>
            <w:r>
              <w:rPr>
                <w:rFonts w:hint="eastAsia" w:ascii="宋体" w:hAnsi="宋体" w:cs="宋体"/>
                <w:sz w:val="24"/>
              </w:rPr>
              <w:t>4</w:t>
            </w:r>
          </w:p>
        </w:tc>
        <w:tc>
          <w:tcPr>
            <w:tcW w:w="7950" w:type="dxa"/>
            <w:noWrap w:val="0"/>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pPr>
              <w:spacing w:line="360" w:lineRule="auto"/>
              <w:jc w:val="center"/>
              <w:rPr>
                <w:rFonts w:ascii="宋体" w:hAnsi="宋体" w:cs="宋体"/>
                <w:sz w:val="24"/>
              </w:rPr>
            </w:pPr>
            <w:r>
              <w:rPr>
                <w:rFonts w:hint="eastAsia" w:ascii="宋体" w:hAnsi="宋体" w:cs="宋体"/>
                <w:sz w:val="24"/>
              </w:rPr>
              <w:t>5</w:t>
            </w:r>
          </w:p>
        </w:tc>
        <w:tc>
          <w:tcPr>
            <w:tcW w:w="7950" w:type="dxa"/>
            <w:noWrap w:val="0"/>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pPr>
              <w:spacing w:line="360" w:lineRule="auto"/>
              <w:jc w:val="center"/>
              <w:rPr>
                <w:rFonts w:ascii="宋体" w:hAnsi="宋体" w:cs="宋体"/>
                <w:sz w:val="24"/>
              </w:rPr>
            </w:pPr>
            <w:r>
              <w:rPr>
                <w:rFonts w:hint="eastAsia" w:ascii="宋体" w:hAnsi="宋体" w:cs="宋体"/>
                <w:sz w:val="24"/>
              </w:rPr>
              <w:t>6</w:t>
            </w:r>
          </w:p>
        </w:tc>
        <w:tc>
          <w:tcPr>
            <w:tcW w:w="7950" w:type="dxa"/>
            <w:noWrap w:val="0"/>
            <w:vAlign w:val="center"/>
          </w:tcPr>
          <w:p>
            <w:pPr>
              <w:spacing w:line="360" w:lineRule="auto"/>
              <w:rPr>
                <w:rFonts w:ascii="宋体" w:hAnsi="宋体" w:cs="宋体"/>
                <w:sz w:val="24"/>
              </w:rPr>
            </w:pPr>
            <w:r>
              <w:rPr>
                <w:rFonts w:hint="eastAsia" w:ascii="宋体" w:hAnsi="宋体" w:cs="宋体"/>
                <w:color w:val="000000"/>
                <w:sz w:val="24"/>
              </w:rPr>
              <w:t>分项报价或</w:t>
            </w: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pPr>
              <w:spacing w:line="360" w:lineRule="auto"/>
              <w:jc w:val="center"/>
              <w:rPr>
                <w:rFonts w:ascii="宋体" w:hAnsi="宋体" w:cs="宋体"/>
                <w:sz w:val="24"/>
              </w:rPr>
            </w:pPr>
            <w:r>
              <w:rPr>
                <w:rFonts w:hint="eastAsia" w:ascii="宋体" w:hAnsi="宋体" w:cs="宋体"/>
                <w:sz w:val="24"/>
              </w:rPr>
              <w:t>7</w:t>
            </w:r>
          </w:p>
        </w:tc>
        <w:tc>
          <w:tcPr>
            <w:tcW w:w="7950" w:type="dxa"/>
            <w:noWrap w:val="0"/>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pPr>
              <w:spacing w:line="360" w:lineRule="auto"/>
              <w:jc w:val="center"/>
              <w:rPr>
                <w:rFonts w:ascii="宋体" w:hAnsi="宋体" w:cs="宋体"/>
                <w:sz w:val="24"/>
              </w:rPr>
            </w:pPr>
            <w:r>
              <w:rPr>
                <w:rFonts w:hint="eastAsia" w:ascii="宋体" w:hAnsi="宋体" w:cs="宋体"/>
                <w:sz w:val="24"/>
              </w:rPr>
              <w:t>8</w:t>
            </w:r>
          </w:p>
        </w:tc>
        <w:tc>
          <w:tcPr>
            <w:tcW w:w="7950" w:type="dxa"/>
            <w:noWrap w:val="0"/>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pPr>
              <w:spacing w:line="360" w:lineRule="auto"/>
              <w:jc w:val="center"/>
              <w:rPr>
                <w:rFonts w:ascii="宋体" w:hAnsi="宋体" w:cs="宋体"/>
                <w:sz w:val="24"/>
              </w:rPr>
            </w:pPr>
            <w:r>
              <w:rPr>
                <w:rFonts w:hint="eastAsia" w:ascii="宋体" w:hAnsi="宋体" w:cs="宋体"/>
                <w:sz w:val="24"/>
              </w:rPr>
              <w:t>9</w:t>
            </w:r>
          </w:p>
        </w:tc>
        <w:tc>
          <w:tcPr>
            <w:tcW w:w="7950" w:type="dxa"/>
            <w:noWrap w:val="0"/>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pPr>
              <w:spacing w:line="360" w:lineRule="auto"/>
              <w:jc w:val="center"/>
              <w:rPr>
                <w:rFonts w:ascii="宋体" w:hAnsi="宋体" w:cs="宋体"/>
                <w:sz w:val="24"/>
              </w:rPr>
            </w:pPr>
            <w:r>
              <w:rPr>
                <w:rFonts w:hint="eastAsia" w:ascii="宋体" w:hAnsi="宋体" w:cs="宋体"/>
                <w:sz w:val="24"/>
              </w:rPr>
              <w:t>10</w:t>
            </w:r>
          </w:p>
        </w:tc>
        <w:tc>
          <w:tcPr>
            <w:tcW w:w="7950" w:type="dxa"/>
            <w:noWrap w:val="0"/>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pPr>
              <w:spacing w:line="360" w:lineRule="auto"/>
              <w:jc w:val="center"/>
              <w:rPr>
                <w:rFonts w:ascii="宋体" w:hAnsi="宋体" w:cs="宋体"/>
                <w:sz w:val="24"/>
              </w:rPr>
            </w:pPr>
            <w:r>
              <w:rPr>
                <w:rFonts w:hint="eastAsia" w:ascii="宋体" w:hAnsi="宋体" w:cs="宋体"/>
                <w:sz w:val="24"/>
              </w:rPr>
              <w:t>11</w:t>
            </w:r>
          </w:p>
        </w:tc>
        <w:tc>
          <w:tcPr>
            <w:tcW w:w="7950" w:type="dxa"/>
            <w:noWrap w:val="0"/>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19"/>
        <w:tblpPr w:leftFromText="180" w:rightFromText="180" w:vertAnchor="text" w:horzAnchor="page" w:tblpX="1524" w:tblpY="291"/>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56"/>
        <w:gridCol w:w="750"/>
        <w:gridCol w:w="1504"/>
        <w:gridCol w:w="1038"/>
        <w:gridCol w:w="51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wordWrap w:val="0"/>
              <w:jc w:val="center"/>
              <w:rPr>
                <w:rFonts w:ascii="宋体" w:hAnsi="宋体" w:cs="宋体"/>
                <w:b/>
                <w:bCs/>
                <w:szCs w:val="21"/>
              </w:rPr>
            </w:pPr>
            <w:r>
              <w:rPr>
                <w:rFonts w:hint="eastAsia" w:ascii="宋体" w:hAnsi="宋体" w:cs="宋体"/>
                <w:b/>
                <w:bCs/>
                <w:szCs w:val="21"/>
              </w:rPr>
              <w:t>序号</w:t>
            </w:r>
          </w:p>
        </w:tc>
        <w:tc>
          <w:tcPr>
            <w:tcW w:w="3292"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wordWrap w:val="0"/>
              <w:jc w:val="center"/>
              <w:rPr>
                <w:rFonts w:ascii="宋体" w:hAnsi="宋体" w:cs="宋体"/>
                <w:b/>
                <w:bCs/>
                <w:szCs w:val="21"/>
              </w:rPr>
            </w:pPr>
            <w:r>
              <w:rPr>
                <w:rFonts w:hint="eastAsia" w:ascii="宋体" w:hAnsi="宋体" w:cs="宋体"/>
                <w:b/>
                <w:bCs/>
                <w:szCs w:val="21"/>
              </w:rPr>
              <w:t>评分项</w:t>
            </w:r>
          </w:p>
        </w:tc>
        <w:tc>
          <w:tcPr>
            <w:tcW w:w="512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wordWrap w:val="0"/>
              <w:jc w:val="center"/>
              <w:rPr>
                <w:rFonts w:ascii="宋体" w:hAnsi="宋体" w:cs="宋体"/>
                <w:b/>
                <w:bCs/>
                <w:szCs w:val="21"/>
              </w:rPr>
            </w:pPr>
            <w:r>
              <w:rPr>
                <w:rFonts w:hint="eastAsia" w:ascii="宋体" w:hAnsi="宋体" w:cs="宋体"/>
                <w:b/>
                <w:bCs/>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tcBorders>
              <w:top w:val="single" w:color="000000" w:sz="8" w:space="0"/>
              <w:left w:val="single" w:color="000000" w:sz="8" w:space="0"/>
              <w:bottom w:val="single" w:color="000000" w:sz="8" w:space="0"/>
              <w:right w:val="single" w:color="000000" w:sz="8" w:space="0"/>
            </w:tcBorders>
            <w:noWrap w:val="0"/>
            <w:vAlign w:val="top"/>
          </w:tcPr>
          <w:p>
            <w:pPr>
              <w:widowControl/>
              <w:wordWrap w:val="0"/>
              <w:jc w:val="center"/>
              <w:rPr>
                <w:rFonts w:ascii="宋体" w:hAnsi="宋体" w:cs="宋体"/>
                <w:b/>
                <w:bCs/>
                <w:szCs w:val="21"/>
              </w:rPr>
            </w:pPr>
            <w:r>
              <w:rPr>
                <w:rFonts w:hint="eastAsia" w:ascii="宋体" w:hAnsi="宋体" w:cs="宋体"/>
                <w:b/>
                <w:bCs/>
                <w:szCs w:val="21"/>
              </w:rPr>
              <w:t>1</w:t>
            </w:r>
          </w:p>
        </w:tc>
        <w:tc>
          <w:tcPr>
            <w:tcW w:w="3292" w:type="dxa"/>
            <w:gridSpan w:val="3"/>
            <w:tcBorders>
              <w:top w:val="single" w:color="000000" w:sz="8" w:space="0"/>
              <w:left w:val="single" w:color="000000" w:sz="8" w:space="0"/>
              <w:bottom w:val="single" w:color="000000" w:sz="8" w:space="0"/>
              <w:right w:val="single" w:color="000000" w:sz="8" w:space="0"/>
            </w:tcBorders>
            <w:noWrap w:val="0"/>
            <w:vAlign w:val="top"/>
          </w:tcPr>
          <w:p>
            <w:pPr>
              <w:widowControl/>
              <w:wordWrap w:val="0"/>
              <w:jc w:val="center"/>
              <w:rPr>
                <w:rFonts w:ascii="宋体" w:hAnsi="宋体" w:cs="宋体"/>
                <w:b/>
                <w:bCs/>
                <w:szCs w:val="21"/>
              </w:rPr>
            </w:pPr>
            <w:r>
              <w:rPr>
                <w:rFonts w:hint="eastAsia" w:ascii="宋体" w:hAnsi="宋体" w:cs="宋体"/>
                <w:b/>
                <w:bCs/>
                <w:szCs w:val="21"/>
              </w:rPr>
              <w:t>价格</w:t>
            </w:r>
          </w:p>
        </w:tc>
        <w:tc>
          <w:tcPr>
            <w:tcW w:w="5124" w:type="dxa"/>
            <w:tcBorders>
              <w:top w:val="single" w:color="000000" w:sz="8" w:space="0"/>
              <w:left w:val="single" w:color="000000" w:sz="8" w:space="0"/>
              <w:bottom w:val="single" w:color="000000" w:sz="8" w:space="0"/>
              <w:right w:val="single" w:color="000000" w:sz="8" w:space="0"/>
            </w:tcBorders>
            <w:noWrap w:val="0"/>
            <w:vAlign w:val="top"/>
          </w:tcPr>
          <w:p>
            <w:pPr>
              <w:widowControl/>
              <w:wordWrap w:val="0"/>
              <w:jc w:val="center"/>
              <w:rPr>
                <w:rFonts w:ascii="宋体" w:hAnsi="宋体" w:cs="宋体"/>
                <w:b/>
                <w:bCs/>
                <w:szCs w:val="21"/>
              </w:rPr>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tcBorders>
              <w:top w:val="single" w:color="000000" w:sz="8" w:space="0"/>
              <w:left w:val="single" w:color="000000" w:sz="8" w:space="0"/>
              <w:bottom w:val="single" w:color="000000" w:sz="8" w:space="0"/>
              <w:right w:val="single" w:color="000000" w:sz="8" w:space="0"/>
            </w:tcBorders>
            <w:noWrap w:val="0"/>
            <w:vAlign w:val="top"/>
          </w:tcPr>
          <w:p>
            <w:pPr>
              <w:widowControl/>
              <w:wordWrap w:val="0"/>
              <w:jc w:val="center"/>
              <w:rPr>
                <w:rFonts w:ascii="宋体" w:hAnsi="宋体" w:cs="宋体"/>
                <w:b/>
                <w:bCs/>
                <w:szCs w:val="21"/>
              </w:rPr>
            </w:pPr>
          </w:p>
        </w:tc>
        <w:tc>
          <w:tcPr>
            <w:tcW w:w="8416" w:type="dxa"/>
            <w:gridSpan w:val="4"/>
            <w:tcBorders>
              <w:top w:val="single" w:color="000000" w:sz="8" w:space="0"/>
              <w:left w:val="single" w:color="000000" w:sz="8" w:space="0"/>
              <w:bottom w:val="single" w:color="000000" w:sz="8" w:space="0"/>
              <w:right w:val="single" w:color="000000" w:sz="8" w:space="0"/>
            </w:tcBorders>
            <w:noWrap w:val="0"/>
            <w:vAlign w:val="top"/>
          </w:tcPr>
          <w:p>
            <w:pPr>
              <w:spacing w:line="400" w:lineRule="exact"/>
              <w:rPr>
                <w:rFonts w:ascii="宋体" w:hAnsi="宋体"/>
                <w:szCs w:val="21"/>
              </w:rPr>
            </w:pPr>
            <w:r>
              <w:rPr>
                <w:rFonts w:hint="eastAsia" w:ascii="宋体" w:hAnsi="宋体"/>
                <w:szCs w:val="21"/>
              </w:rPr>
              <w:t>投标报价价格分=（评标基准价/投标报价）×10</w:t>
            </w:r>
          </w:p>
          <w:p>
            <w:pPr>
              <w:widowControl/>
              <w:wordWrap w:val="0"/>
              <w:jc w:val="left"/>
              <w:rPr>
                <w:rFonts w:ascii="宋体" w:hAnsi="宋体"/>
                <w:szCs w:val="21"/>
              </w:rPr>
            </w:pPr>
            <w:r>
              <w:rPr>
                <w:rFonts w:hint="eastAsia" w:ascii="宋体" w:hAnsi="宋体"/>
                <w:szCs w:val="21"/>
              </w:rPr>
              <w:t>评标基准价为满足招标文件要求且投标价格最低的投标报价。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restart"/>
            <w:tcBorders>
              <w:top w:val="single" w:color="000000" w:sz="8" w:space="0"/>
              <w:left w:val="single" w:color="000000" w:sz="8" w:space="0"/>
              <w:right w:val="single" w:color="000000" w:sz="8" w:space="0"/>
            </w:tcBorders>
            <w:noWrap w:val="0"/>
            <w:vAlign w:val="top"/>
          </w:tcPr>
          <w:p>
            <w:pPr>
              <w:widowControl/>
              <w:wordWrap w:val="0"/>
              <w:jc w:val="center"/>
              <w:rPr>
                <w:rFonts w:ascii="宋体" w:hAnsi="宋体" w:cs="宋体"/>
                <w:b/>
                <w:bCs/>
                <w:szCs w:val="21"/>
              </w:rPr>
            </w:pPr>
            <w:r>
              <w:rPr>
                <w:rFonts w:hint="eastAsia" w:ascii="宋体" w:hAnsi="宋体" w:cs="宋体"/>
                <w:b/>
                <w:bCs/>
                <w:szCs w:val="21"/>
              </w:rPr>
              <w:t>2</w:t>
            </w:r>
          </w:p>
        </w:tc>
        <w:tc>
          <w:tcPr>
            <w:tcW w:w="3292" w:type="dxa"/>
            <w:gridSpan w:val="3"/>
            <w:tcBorders>
              <w:top w:val="single" w:color="000000" w:sz="8" w:space="0"/>
              <w:left w:val="single" w:color="000000" w:sz="8" w:space="0"/>
              <w:bottom w:val="single" w:color="000000" w:sz="8" w:space="0"/>
              <w:right w:val="single" w:color="000000" w:sz="8" w:space="0"/>
            </w:tcBorders>
            <w:noWrap w:val="0"/>
            <w:vAlign w:val="top"/>
          </w:tcPr>
          <w:p>
            <w:pPr>
              <w:widowControl/>
              <w:wordWrap w:val="0"/>
              <w:jc w:val="center"/>
              <w:rPr>
                <w:rFonts w:ascii="宋体" w:hAnsi="宋体" w:cs="宋体"/>
                <w:b/>
                <w:bCs/>
                <w:szCs w:val="21"/>
              </w:rPr>
            </w:pPr>
            <w:r>
              <w:rPr>
                <w:rFonts w:hint="eastAsia" w:ascii="宋体" w:hAnsi="宋体" w:cs="宋体"/>
                <w:b/>
                <w:bCs/>
                <w:szCs w:val="21"/>
              </w:rPr>
              <w:t>综合实力部分</w:t>
            </w:r>
          </w:p>
        </w:tc>
        <w:tc>
          <w:tcPr>
            <w:tcW w:w="5124" w:type="dxa"/>
            <w:tcBorders>
              <w:top w:val="single" w:color="000000" w:sz="8" w:space="0"/>
              <w:left w:val="single" w:color="000000" w:sz="8" w:space="0"/>
              <w:bottom w:val="single" w:color="000000" w:sz="8" w:space="0"/>
              <w:right w:val="single" w:color="000000" w:sz="8" w:space="0"/>
            </w:tcBorders>
            <w:noWrap w:val="0"/>
            <w:vAlign w:val="top"/>
          </w:tcPr>
          <w:p>
            <w:pPr>
              <w:widowControl/>
              <w:wordWrap w:val="0"/>
              <w:jc w:val="center"/>
              <w:rPr>
                <w:rFonts w:ascii="宋体" w:hAnsi="宋体" w:cs="宋体"/>
                <w:b/>
                <w:bCs/>
                <w:szCs w:val="21"/>
              </w:rPr>
            </w:pPr>
            <w:r>
              <w:rPr>
                <w:rFonts w:hint="eastAsia" w:ascii="宋体" w:hAnsi="宋体" w:cs="宋体"/>
                <w:b/>
                <w:bCs/>
                <w:szCs w:val="21"/>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shd w:val="clear" w:color="auto" w:fill="E6EFFA"/>
            <w:noWrap w:val="0"/>
            <w:vAlign w:val="center"/>
          </w:tcPr>
          <w:p>
            <w:pPr>
              <w:widowControl/>
              <w:rPr>
                <w:rFonts w:ascii="宋体" w:hAnsi="宋体" w:cs="宋体"/>
                <w:b/>
                <w:bCs/>
                <w:szCs w:val="21"/>
              </w:rPr>
            </w:pPr>
          </w:p>
        </w:tc>
        <w:tc>
          <w:tcPr>
            <w:tcW w:w="75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wordWrap w:val="0"/>
              <w:jc w:val="center"/>
              <w:rPr>
                <w:rFonts w:ascii="宋体" w:hAnsi="宋体" w:cs="宋体"/>
                <w:szCs w:val="21"/>
              </w:rPr>
            </w:pPr>
            <w:r>
              <w:rPr>
                <w:rFonts w:hint="eastAsia" w:ascii="宋体" w:hAnsi="宋体" w:cs="宋体"/>
                <w:szCs w:val="21"/>
              </w:rPr>
              <w:t>序号</w:t>
            </w:r>
          </w:p>
        </w:tc>
        <w:tc>
          <w:tcPr>
            <w:tcW w:w="150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wordWrap w:val="0"/>
              <w:jc w:val="center"/>
              <w:rPr>
                <w:rFonts w:ascii="宋体" w:hAnsi="宋体" w:cs="宋体"/>
                <w:szCs w:val="21"/>
              </w:rPr>
            </w:pPr>
            <w:r>
              <w:rPr>
                <w:rFonts w:hint="eastAsia" w:ascii="宋体" w:hAnsi="宋体" w:cs="宋体"/>
                <w:szCs w:val="21"/>
              </w:rPr>
              <w:t>评分因素</w:t>
            </w:r>
          </w:p>
        </w:tc>
        <w:tc>
          <w:tcPr>
            <w:tcW w:w="1038"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wordWrap w:val="0"/>
              <w:jc w:val="center"/>
              <w:rPr>
                <w:rFonts w:ascii="宋体" w:hAnsi="宋体" w:cs="宋体"/>
                <w:szCs w:val="21"/>
              </w:rPr>
            </w:pPr>
            <w:r>
              <w:rPr>
                <w:rFonts w:hint="eastAsia" w:ascii="宋体" w:hAnsi="宋体" w:cs="宋体"/>
                <w:szCs w:val="21"/>
              </w:rPr>
              <w:t>分值</w:t>
            </w:r>
          </w:p>
        </w:tc>
        <w:tc>
          <w:tcPr>
            <w:tcW w:w="512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wordWrap w:val="0"/>
              <w:jc w:val="center"/>
              <w:rPr>
                <w:rFonts w:ascii="宋体" w:hAnsi="宋体" w:cs="宋体"/>
                <w:szCs w:val="21"/>
              </w:rPr>
            </w:pPr>
            <w:r>
              <w:rPr>
                <w:rFonts w:hint="eastAsia" w:ascii="宋体" w:hAnsi="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noWrap w:val="0"/>
            <w:vAlign w:val="center"/>
          </w:tcPr>
          <w:p>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1</w:t>
            </w:r>
          </w:p>
        </w:tc>
        <w:tc>
          <w:tcPr>
            <w:tcW w:w="150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szCs w:val="21"/>
              </w:rPr>
              <w:t>对项目需求的响应及理解</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5</w:t>
            </w:r>
          </w:p>
        </w:tc>
        <w:tc>
          <w:tcPr>
            <w:tcW w:w="5124" w:type="dxa"/>
            <w:tcBorders>
              <w:top w:val="single" w:color="000000" w:sz="8" w:space="0"/>
              <w:left w:val="single" w:color="000000" w:sz="8" w:space="0"/>
              <w:bottom w:val="single" w:color="000000" w:sz="8" w:space="0"/>
              <w:right w:val="single" w:color="000000" w:sz="8" w:space="0"/>
            </w:tcBorders>
            <w:noWrap w:val="0"/>
            <w:vAlign w:val="center"/>
          </w:tcPr>
          <w:p>
            <w:pPr>
              <w:rPr>
                <w:b/>
              </w:rPr>
            </w:pPr>
            <w:r>
              <w:rPr>
                <w:rFonts w:hint="eastAsia"/>
                <w:b/>
              </w:rPr>
              <w:t>评审内容：</w:t>
            </w:r>
          </w:p>
          <w:p>
            <w:r>
              <w:t>（</w:t>
            </w:r>
            <w:r>
              <w:rPr>
                <w:rFonts w:hint="eastAsia"/>
              </w:rPr>
              <w:t>1</w:t>
            </w:r>
            <w:r>
              <w:t>）</w:t>
            </w:r>
            <w:r>
              <w:rPr>
                <w:rFonts w:hint="eastAsia"/>
              </w:rPr>
              <w:t>对本项目背景、存在问题等工作内容的理解把握；</w:t>
            </w:r>
          </w:p>
          <w:p>
            <w:r>
              <w:t>（</w:t>
            </w:r>
            <w:r>
              <w:rPr>
                <w:rFonts w:hint="eastAsia"/>
              </w:rPr>
              <w:t>2</w:t>
            </w:r>
            <w:r>
              <w:t>）</w:t>
            </w:r>
            <w:r>
              <w:rPr>
                <w:rFonts w:hint="eastAsia"/>
              </w:rPr>
              <w:t>对本项目需求理解细致情况；</w:t>
            </w:r>
          </w:p>
          <w:p>
            <w:r>
              <w:t>（</w:t>
            </w:r>
            <w:r>
              <w:rPr>
                <w:rFonts w:hint="eastAsia"/>
              </w:rPr>
              <w:t>3</w:t>
            </w:r>
            <w:r>
              <w:t>）</w:t>
            </w:r>
            <w:r>
              <w:rPr>
                <w:rFonts w:hint="eastAsia"/>
              </w:rPr>
              <w:t>对服务需求的技术响应程度。</w:t>
            </w:r>
          </w:p>
          <w:p>
            <w:pPr>
              <w:rPr>
                <w:b/>
              </w:rPr>
            </w:pPr>
            <w:r>
              <w:rPr>
                <w:rFonts w:hint="eastAsia"/>
                <w:b/>
              </w:rPr>
              <w:t>评审标准：</w:t>
            </w:r>
          </w:p>
          <w:p>
            <w:pPr>
              <w:pStyle w:val="7"/>
              <w:jc w:val="both"/>
              <w:rPr>
                <w:rFonts w:ascii="宋体" w:hAnsi="宋体"/>
              </w:rPr>
            </w:pPr>
            <w:r>
              <w:rPr>
                <w:rFonts w:hint="eastAsia" w:ascii="宋体" w:hAnsi="宋体" w:cs="宋体"/>
                <w:kern w:val="0"/>
                <w:lang w:val="zh-CN"/>
              </w:rPr>
              <w:t>满足任意一项得</w:t>
            </w:r>
            <w:r>
              <w:rPr>
                <w:rFonts w:hint="eastAsia" w:ascii="宋体" w:hAnsi="宋体" w:cs="宋体"/>
                <w:kern w:val="0"/>
              </w:rPr>
              <w:t>1</w:t>
            </w:r>
            <w:r>
              <w:rPr>
                <w:rFonts w:hint="eastAsia" w:ascii="宋体" w:hAnsi="宋体" w:cs="宋体"/>
                <w:kern w:val="0"/>
                <w:lang w:val="zh-CN"/>
              </w:rPr>
              <w:t>分，全部满足得</w:t>
            </w:r>
            <w:r>
              <w:rPr>
                <w:rFonts w:hint="eastAsia" w:ascii="宋体" w:hAnsi="宋体" w:cs="宋体"/>
                <w:kern w:val="0"/>
              </w:rPr>
              <w:t>3</w:t>
            </w:r>
            <w:r>
              <w:rPr>
                <w:rFonts w:hint="eastAsia" w:ascii="宋体" w:hAnsi="宋体" w:cs="宋体"/>
                <w:kern w:val="0"/>
                <w:lang w:val="zh-CN"/>
              </w:rPr>
              <w:t>分，未满足不得分，</w:t>
            </w:r>
          </w:p>
          <w:p>
            <w:pPr>
              <w:pStyle w:val="7"/>
              <w:jc w:val="both"/>
              <w:rPr>
                <w:rFonts w:ascii="宋体" w:hAnsi="宋体"/>
              </w:rPr>
            </w:pPr>
            <w:r>
              <w:rPr>
                <w:rFonts w:hint="eastAsia" w:ascii="宋体" w:hAnsi="宋体"/>
              </w:rPr>
              <w:t>在此基础上，评委根据各供应商的具体响应内容进行进一步评审：</w:t>
            </w:r>
          </w:p>
          <w:p>
            <w:pPr>
              <w:pStyle w:val="7"/>
              <w:jc w:val="both"/>
            </w:pPr>
            <w:r>
              <w:rPr>
                <w:rFonts w:hint="eastAsia"/>
              </w:rPr>
              <w:t>（1）计划完整清晰，内容准确完善，方案科学合理可操作性强的评价为优，</w:t>
            </w:r>
            <w:r>
              <w:rPr>
                <w:rFonts w:hint="eastAsia" w:ascii="宋体" w:hAnsi="宋体" w:cs="宋体"/>
                <w:kern w:val="0"/>
                <w:lang w:val="zh-CN"/>
              </w:rPr>
              <w:t>加</w:t>
            </w:r>
            <w:r>
              <w:rPr>
                <w:rFonts w:hint="eastAsia" w:ascii="宋体" w:hAnsi="宋体" w:cs="宋体"/>
                <w:kern w:val="0"/>
              </w:rPr>
              <w:t>2</w:t>
            </w:r>
            <w:r>
              <w:rPr>
                <w:rFonts w:hint="eastAsia" w:ascii="宋体" w:hAnsi="宋体" w:cs="宋体"/>
                <w:kern w:val="0"/>
                <w:lang w:val="zh-CN"/>
              </w:rPr>
              <w:t>分；</w:t>
            </w:r>
          </w:p>
          <w:p>
            <w:pPr>
              <w:pStyle w:val="7"/>
              <w:jc w:val="both"/>
            </w:pPr>
            <w:r>
              <w:rPr>
                <w:rFonts w:hint="eastAsia"/>
              </w:rPr>
              <w:t>（2）计划比较完整清晰，内容比较准确完善，方案合理，可操作性较强的评价为良，加</w:t>
            </w:r>
            <w:r>
              <w:rPr>
                <w:rFonts w:hint="eastAsia" w:ascii="宋体" w:hAnsi="宋体" w:cs="宋体"/>
                <w:kern w:val="0"/>
              </w:rPr>
              <w:t>1.5</w:t>
            </w:r>
            <w:r>
              <w:rPr>
                <w:rFonts w:hint="eastAsia" w:ascii="宋体" w:hAnsi="宋体" w:cs="宋体"/>
                <w:kern w:val="0"/>
                <w:lang w:val="zh-CN"/>
              </w:rPr>
              <w:t>分；</w:t>
            </w:r>
          </w:p>
          <w:p>
            <w:pPr>
              <w:pStyle w:val="7"/>
              <w:jc w:val="both"/>
            </w:pPr>
            <w:r>
              <w:rPr>
                <w:rFonts w:hint="eastAsia"/>
              </w:rPr>
              <w:t>（3）</w:t>
            </w:r>
            <w:r>
              <w:rPr>
                <w:rFonts w:hint="eastAsia" w:ascii="宋体" w:hAnsi="宋体" w:cs="宋体"/>
              </w:rPr>
              <w:t>计划不够完整清晰，</w:t>
            </w:r>
            <w:r>
              <w:rPr>
                <w:rFonts w:hint="eastAsia"/>
              </w:rPr>
              <w:t>内容不够完整准确，方案不够科学合理，可操作性一般的评价为中加</w:t>
            </w:r>
            <w:r>
              <w:rPr>
                <w:rFonts w:hint="eastAsia" w:ascii="宋体" w:hAnsi="宋体" w:cs="宋体"/>
                <w:kern w:val="0"/>
              </w:rPr>
              <w:t>1</w:t>
            </w:r>
            <w:r>
              <w:rPr>
                <w:rFonts w:hint="eastAsia" w:ascii="宋体" w:hAnsi="宋体" w:cs="宋体"/>
                <w:kern w:val="0"/>
                <w:lang w:val="zh-CN"/>
              </w:rPr>
              <w:t>分；</w:t>
            </w:r>
          </w:p>
          <w:p>
            <w:r>
              <w:rPr>
                <w:rFonts w:hint="eastAsia"/>
              </w:rPr>
              <w:t>（4）</w:t>
            </w:r>
            <w:r>
              <w:rPr>
                <w:rFonts w:hint="eastAsia" w:ascii="宋体" w:hAnsi="宋体" w:cs="宋体"/>
                <w:szCs w:val="21"/>
              </w:rPr>
              <w:t>计划不清晰，</w:t>
            </w:r>
            <w:r>
              <w:rPr>
                <w:rFonts w:hint="eastAsia"/>
              </w:rPr>
              <w:t>内容不全有严重缺漏项的评价为差的，不加分。评价为“差”的，评委需说明情况。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noWrap w:val="0"/>
            <w:vAlign w:val="center"/>
          </w:tcPr>
          <w:p>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2</w:t>
            </w:r>
          </w:p>
        </w:tc>
        <w:tc>
          <w:tcPr>
            <w:tcW w:w="150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实施方案</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10</w:t>
            </w:r>
          </w:p>
        </w:tc>
        <w:tc>
          <w:tcPr>
            <w:tcW w:w="5124" w:type="dxa"/>
            <w:tcBorders>
              <w:top w:val="single" w:color="000000" w:sz="8" w:space="0"/>
              <w:left w:val="single" w:color="000000" w:sz="8" w:space="0"/>
              <w:bottom w:val="single" w:color="000000" w:sz="8" w:space="0"/>
              <w:right w:val="single" w:color="000000" w:sz="8" w:space="0"/>
            </w:tcBorders>
            <w:noWrap w:val="0"/>
            <w:vAlign w:val="top"/>
          </w:tcPr>
          <w:p>
            <w:pPr>
              <w:pStyle w:val="7"/>
              <w:jc w:val="both"/>
              <w:rPr>
                <w:rFonts w:ascii="宋体" w:hAnsi="宋体"/>
              </w:rPr>
            </w:pPr>
            <w:r>
              <w:rPr>
                <w:rFonts w:hint="eastAsia" w:ascii="宋体" w:hAnsi="宋体"/>
                <w:b/>
              </w:rPr>
              <w:t>评审内容：</w:t>
            </w:r>
          </w:p>
          <w:p>
            <w:pPr>
              <w:jc w:val="left"/>
              <w:rPr>
                <w:rFonts w:ascii="宋体" w:hAnsi="宋体" w:cs="宋体"/>
                <w:kern w:val="0"/>
                <w:szCs w:val="21"/>
                <w:lang w:val="zh-CN"/>
              </w:rPr>
            </w:pPr>
            <w:r>
              <w:rPr>
                <w:rFonts w:hint="eastAsia" w:ascii="宋体" w:hAnsi="宋体" w:cs="宋体"/>
                <w:kern w:val="0"/>
                <w:szCs w:val="21"/>
                <w:lang w:val="zh-CN"/>
              </w:rPr>
              <w:t>根据投标人提供的项目实施方案的全面性、针对性、可操作性等进行分档评审。</w:t>
            </w:r>
          </w:p>
          <w:p>
            <w:pPr>
              <w:pStyle w:val="7"/>
              <w:jc w:val="both"/>
              <w:rPr>
                <w:rFonts w:ascii="宋体" w:hAnsi="宋体"/>
              </w:rPr>
            </w:pPr>
            <w:r>
              <w:rPr>
                <w:rFonts w:hint="eastAsia" w:ascii="宋体" w:hAnsi="宋体" w:cs="宋体"/>
                <w:kern w:val="0"/>
                <w:lang w:val="zh-CN"/>
              </w:rPr>
              <w:t>1.对项目的理解程度；2.工作措施；3.工作流程；</w:t>
            </w:r>
          </w:p>
          <w:p>
            <w:pPr>
              <w:pStyle w:val="7"/>
              <w:jc w:val="both"/>
              <w:rPr>
                <w:rFonts w:ascii="宋体" w:hAnsi="宋体"/>
                <w:b/>
              </w:rPr>
            </w:pPr>
            <w:r>
              <w:rPr>
                <w:rFonts w:hint="eastAsia" w:ascii="宋体" w:hAnsi="宋体"/>
                <w:b/>
              </w:rPr>
              <w:t>评审标准：</w:t>
            </w:r>
          </w:p>
          <w:p>
            <w:pPr>
              <w:pStyle w:val="7"/>
              <w:jc w:val="both"/>
              <w:rPr>
                <w:rFonts w:ascii="宋体" w:hAnsi="宋体"/>
              </w:rPr>
            </w:pPr>
            <w:r>
              <w:rPr>
                <w:rFonts w:hint="eastAsia" w:ascii="宋体" w:hAnsi="宋体" w:cs="宋体"/>
                <w:kern w:val="0"/>
                <w:lang w:val="zh-CN"/>
              </w:rPr>
              <w:t>满足任意一项得</w:t>
            </w:r>
            <w:r>
              <w:rPr>
                <w:rFonts w:hint="eastAsia" w:ascii="宋体" w:hAnsi="宋体" w:cs="宋体"/>
                <w:kern w:val="0"/>
              </w:rPr>
              <w:t>2</w:t>
            </w:r>
            <w:r>
              <w:rPr>
                <w:rFonts w:hint="eastAsia" w:ascii="宋体" w:hAnsi="宋体" w:cs="宋体"/>
                <w:kern w:val="0"/>
                <w:lang w:val="zh-CN"/>
              </w:rPr>
              <w:t>分，全部满足得</w:t>
            </w:r>
            <w:r>
              <w:rPr>
                <w:rFonts w:hint="eastAsia" w:ascii="宋体" w:hAnsi="宋体" w:cs="宋体"/>
                <w:kern w:val="0"/>
              </w:rPr>
              <w:t>6</w:t>
            </w:r>
            <w:r>
              <w:rPr>
                <w:rFonts w:hint="eastAsia" w:ascii="宋体" w:hAnsi="宋体" w:cs="宋体"/>
                <w:kern w:val="0"/>
                <w:lang w:val="zh-CN"/>
              </w:rPr>
              <w:t>分，未满足不得分，</w:t>
            </w:r>
          </w:p>
          <w:p>
            <w:pPr>
              <w:pStyle w:val="7"/>
              <w:jc w:val="both"/>
              <w:rPr>
                <w:rFonts w:ascii="宋体" w:hAnsi="宋体"/>
              </w:rPr>
            </w:pPr>
            <w:r>
              <w:rPr>
                <w:rFonts w:hint="eastAsia" w:ascii="宋体" w:hAnsi="宋体"/>
              </w:rPr>
              <w:t>在此基础上，评委根据各供应商的具体响应内容进行进一步评审：</w:t>
            </w:r>
          </w:p>
          <w:p>
            <w:pPr>
              <w:pStyle w:val="7"/>
              <w:jc w:val="both"/>
            </w:pPr>
            <w:r>
              <w:rPr>
                <w:rFonts w:hint="eastAsia"/>
              </w:rPr>
              <w:t>（1）计划完整清晰，内容准确完善，方案科学合理可操作性强的评价为优，</w:t>
            </w:r>
            <w:r>
              <w:rPr>
                <w:rFonts w:hint="eastAsia" w:ascii="宋体" w:hAnsi="宋体" w:cs="宋体"/>
                <w:kern w:val="0"/>
                <w:lang w:val="zh-CN"/>
              </w:rPr>
              <w:t>加</w:t>
            </w:r>
            <w:r>
              <w:rPr>
                <w:rFonts w:hint="eastAsia" w:ascii="宋体" w:hAnsi="宋体" w:cs="宋体"/>
                <w:kern w:val="0"/>
              </w:rPr>
              <w:t>4</w:t>
            </w:r>
            <w:r>
              <w:rPr>
                <w:rFonts w:hint="eastAsia" w:ascii="宋体" w:hAnsi="宋体" w:cs="宋体"/>
                <w:kern w:val="0"/>
                <w:lang w:val="zh-CN"/>
              </w:rPr>
              <w:t>分；</w:t>
            </w:r>
          </w:p>
          <w:p>
            <w:pPr>
              <w:pStyle w:val="7"/>
              <w:jc w:val="both"/>
            </w:pPr>
            <w:r>
              <w:rPr>
                <w:rFonts w:hint="eastAsia"/>
              </w:rPr>
              <w:t>（2）计划比较完整清晰，内容比较准确完善，方案合理，可操作性较强的评价为良，加</w:t>
            </w:r>
            <w:r>
              <w:rPr>
                <w:rFonts w:hint="eastAsia" w:ascii="宋体" w:hAnsi="宋体" w:cs="宋体"/>
                <w:kern w:val="0"/>
              </w:rPr>
              <w:t>3</w:t>
            </w:r>
            <w:r>
              <w:rPr>
                <w:rFonts w:hint="eastAsia" w:ascii="宋体" w:hAnsi="宋体" w:cs="宋体"/>
                <w:kern w:val="0"/>
                <w:lang w:val="zh-CN"/>
              </w:rPr>
              <w:t>分；</w:t>
            </w:r>
          </w:p>
          <w:p>
            <w:pPr>
              <w:pStyle w:val="7"/>
              <w:jc w:val="both"/>
            </w:pPr>
            <w:r>
              <w:rPr>
                <w:rFonts w:hint="eastAsia"/>
              </w:rPr>
              <w:t>（3）</w:t>
            </w:r>
            <w:r>
              <w:rPr>
                <w:rFonts w:hint="eastAsia" w:ascii="宋体" w:hAnsi="宋体" w:cs="宋体"/>
              </w:rPr>
              <w:t>计划不够完整清晰，</w:t>
            </w:r>
            <w:r>
              <w:rPr>
                <w:rFonts w:hint="eastAsia"/>
              </w:rPr>
              <w:t>内容不够完整准确，方案不够科学合理，可操作性一般的评价为中加</w:t>
            </w:r>
            <w:r>
              <w:rPr>
                <w:rFonts w:hint="eastAsia" w:ascii="宋体" w:hAnsi="宋体" w:cs="宋体"/>
                <w:kern w:val="0"/>
              </w:rPr>
              <w:t>2</w:t>
            </w:r>
            <w:r>
              <w:rPr>
                <w:rFonts w:hint="eastAsia" w:ascii="宋体" w:hAnsi="宋体" w:cs="宋体"/>
                <w:kern w:val="0"/>
                <w:lang w:val="zh-CN"/>
              </w:rPr>
              <w:t>分；</w:t>
            </w:r>
          </w:p>
          <w:p>
            <w:pPr>
              <w:pStyle w:val="7"/>
              <w:jc w:val="both"/>
            </w:pPr>
            <w:r>
              <w:rPr>
                <w:rFonts w:hint="eastAsia"/>
              </w:rPr>
              <w:t>（4）</w:t>
            </w:r>
            <w:r>
              <w:rPr>
                <w:rFonts w:hint="eastAsia" w:ascii="宋体" w:hAnsi="宋体" w:cs="宋体"/>
              </w:rPr>
              <w:t>计划不清晰，</w:t>
            </w:r>
            <w:r>
              <w:rPr>
                <w:rFonts w:hint="eastAsia"/>
              </w:rPr>
              <w:t>内容不全有严重缺漏项的评价为差的，不加分。评价为“差”的，评委需说明情况。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noWrap w:val="0"/>
            <w:vAlign w:val="center"/>
          </w:tcPr>
          <w:p>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3</w:t>
            </w:r>
          </w:p>
        </w:tc>
        <w:tc>
          <w:tcPr>
            <w:tcW w:w="150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项目重点难点分析、应对措施及相关的合理化建议</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10</w:t>
            </w:r>
          </w:p>
        </w:tc>
        <w:tc>
          <w:tcPr>
            <w:tcW w:w="5124" w:type="dxa"/>
            <w:tcBorders>
              <w:top w:val="single" w:color="000000" w:sz="8" w:space="0"/>
              <w:left w:val="single" w:color="000000" w:sz="8" w:space="0"/>
              <w:bottom w:val="single" w:color="000000" w:sz="8" w:space="0"/>
              <w:right w:val="single" w:color="000000" w:sz="8" w:space="0"/>
            </w:tcBorders>
            <w:noWrap w:val="0"/>
            <w:vAlign w:val="top"/>
          </w:tcPr>
          <w:p>
            <w:pPr>
              <w:pStyle w:val="7"/>
              <w:rPr>
                <w:rFonts w:ascii="宋体" w:hAnsi="宋体" w:cs="宋体"/>
                <w:b/>
              </w:rPr>
            </w:pPr>
            <w:r>
              <w:rPr>
                <w:rFonts w:hint="eastAsia" w:ascii="宋体" w:hAnsi="宋体" w:cs="宋体"/>
                <w:b/>
              </w:rPr>
              <w:t>评审内容：</w:t>
            </w:r>
          </w:p>
          <w:p>
            <w:pPr>
              <w:pStyle w:val="7"/>
              <w:rPr>
                <w:rFonts w:ascii="宋体" w:hAnsi="宋体" w:cs="宋体"/>
              </w:rPr>
            </w:pPr>
            <w:r>
              <w:rPr>
                <w:rFonts w:hint="eastAsia" w:ascii="宋体" w:hAnsi="宋体" w:cs="宋体"/>
              </w:rPr>
              <w:t>（1）具有服务目标、工作目标；</w:t>
            </w:r>
          </w:p>
          <w:p>
            <w:pPr>
              <w:pStyle w:val="7"/>
              <w:rPr>
                <w:rFonts w:ascii="宋体" w:hAnsi="宋体" w:cs="宋体"/>
              </w:rPr>
            </w:pPr>
            <w:r>
              <w:rPr>
                <w:rFonts w:hint="eastAsia" w:ascii="宋体" w:hAnsi="宋体" w:cs="宋体"/>
              </w:rPr>
              <w:t>（2）对项目服务中可能出现的重点难点进行分析，并提出解决方案；</w:t>
            </w:r>
          </w:p>
          <w:p>
            <w:pPr>
              <w:pStyle w:val="7"/>
              <w:rPr>
                <w:rFonts w:ascii="宋体" w:hAnsi="宋体" w:cs="宋体"/>
              </w:rPr>
            </w:pPr>
            <w:r>
              <w:rPr>
                <w:rFonts w:hint="eastAsia" w:ascii="宋体" w:hAnsi="宋体" w:cs="宋体"/>
              </w:rPr>
              <w:t>（3）能提出重点难点事项的应对措施及相关的合理化建议。</w:t>
            </w:r>
          </w:p>
          <w:p>
            <w:pPr>
              <w:pStyle w:val="7"/>
              <w:rPr>
                <w:rFonts w:ascii="宋体" w:hAnsi="宋体" w:cs="宋体"/>
                <w:b/>
              </w:rPr>
            </w:pPr>
            <w:r>
              <w:rPr>
                <w:rFonts w:hint="eastAsia" w:ascii="宋体" w:hAnsi="宋体" w:cs="宋体"/>
                <w:b/>
              </w:rPr>
              <w:t>评审标准：</w:t>
            </w:r>
          </w:p>
          <w:p>
            <w:pPr>
              <w:pStyle w:val="7"/>
              <w:rPr>
                <w:rFonts w:ascii="宋体" w:hAnsi="宋体" w:cs="宋体"/>
              </w:rPr>
            </w:pPr>
            <w:r>
              <w:rPr>
                <w:rFonts w:hint="eastAsia" w:ascii="宋体" w:hAnsi="宋体" w:cs="宋体"/>
                <w:kern w:val="0"/>
                <w:lang w:val="zh-CN"/>
              </w:rPr>
              <w:t>提供任意一项得</w:t>
            </w:r>
            <w:r>
              <w:rPr>
                <w:rFonts w:hint="eastAsia" w:ascii="宋体" w:hAnsi="宋体" w:cs="宋体"/>
                <w:kern w:val="0"/>
              </w:rPr>
              <w:t>2</w:t>
            </w:r>
            <w:r>
              <w:rPr>
                <w:rFonts w:hint="eastAsia" w:ascii="宋体" w:hAnsi="宋体" w:cs="宋体"/>
                <w:kern w:val="0"/>
                <w:lang w:val="zh-CN"/>
              </w:rPr>
              <w:t>分，全部提供得</w:t>
            </w:r>
            <w:r>
              <w:rPr>
                <w:rFonts w:hint="eastAsia" w:ascii="宋体" w:hAnsi="宋体" w:cs="宋体"/>
                <w:kern w:val="0"/>
              </w:rPr>
              <w:t>6</w:t>
            </w:r>
            <w:r>
              <w:rPr>
                <w:rFonts w:hint="eastAsia" w:ascii="宋体" w:hAnsi="宋体" w:cs="宋体"/>
                <w:kern w:val="0"/>
                <w:lang w:val="zh-CN"/>
              </w:rPr>
              <w:t>分，未提供不得分，</w:t>
            </w:r>
            <w:r>
              <w:rPr>
                <w:rFonts w:hint="eastAsia" w:ascii="宋体" w:hAnsi="宋体" w:cs="宋体"/>
              </w:rPr>
              <w:t>不满足不得分。</w:t>
            </w:r>
          </w:p>
          <w:p>
            <w:pPr>
              <w:pStyle w:val="7"/>
              <w:rPr>
                <w:rFonts w:ascii="宋体" w:hAnsi="宋体" w:cs="宋体"/>
              </w:rPr>
            </w:pPr>
            <w:r>
              <w:rPr>
                <w:rFonts w:hint="eastAsia" w:ascii="宋体" w:hAnsi="宋体" w:cs="宋体"/>
              </w:rPr>
              <w:t>在此基础上，评委根据各供应商的具体响应内容进行进一步评审：</w:t>
            </w:r>
          </w:p>
          <w:p>
            <w:pPr>
              <w:pStyle w:val="7"/>
              <w:rPr>
                <w:rFonts w:ascii="宋体" w:hAnsi="宋体" w:cs="宋体"/>
              </w:rPr>
            </w:pPr>
            <w:r>
              <w:rPr>
                <w:rFonts w:hint="eastAsia" w:ascii="宋体" w:hAnsi="宋体" w:cs="宋体"/>
              </w:rPr>
              <w:t>（1）服务目标、工作目标清晰明确，整体检测技术流程及解决方案完整清晰，措施完善可行的评价为优，</w:t>
            </w:r>
            <w:r>
              <w:rPr>
                <w:rFonts w:hint="eastAsia" w:ascii="宋体" w:hAnsi="宋体" w:cs="宋体"/>
                <w:kern w:val="0"/>
                <w:lang w:val="zh-CN"/>
              </w:rPr>
              <w:t>加</w:t>
            </w:r>
            <w:r>
              <w:rPr>
                <w:rFonts w:hint="eastAsia" w:ascii="宋体" w:hAnsi="宋体" w:cs="宋体"/>
                <w:kern w:val="0"/>
              </w:rPr>
              <w:t>4</w:t>
            </w:r>
            <w:r>
              <w:rPr>
                <w:rFonts w:hint="eastAsia" w:ascii="宋体" w:hAnsi="宋体" w:cs="宋体"/>
                <w:kern w:val="0"/>
                <w:lang w:val="zh-CN"/>
              </w:rPr>
              <w:t>分；</w:t>
            </w:r>
          </w:p>
          <w:p>
            <w:pPr>
              <w:pStyle w:val="7"/>
              <w:rPr>
                <w:rFonts w:ascii="宋体" w:hAnsi="宋体" w:cs="宋体"/>
              </w:rPr>
            </w:pPr>
            <w:r>
              <w:rPr>
                <w:rFonts w:hint="eastAsia" w:ascii="宋体" w:hAnsi="宋体" w:cs="宋体"/>
              </w:rPr>
              <w:t>（2）服务目标、工作目标较清晰明确，整体检测技术流程及解决方案较完整清晰，措施较完善可行的评价为良，</w:t>
            </w:r>
            <w:r>
              <w:rPr>
                <w:rFonts w:hint="eastAsia" w:ascii="宋体" w:hAnsi="宋体" w:cs="宋体"/>
                <w:kern w:val="0"/>
                <w:lang w:val="zh-CN"/>
              </w:rPr>
              <w:t>加</w:t>
            </w:r>
            <w:r>
              <w:rPr>
                <w:rFonts w:hint="eastAsia" w:ascii="宋体" w:hAnsi="宋体" w:cs="宋体"/>
                <w:kern w:val="0"/>
              </w:rPr>
              <w:t>3</w:t>
            </w:r>
            <w:r>
              <w:rPr>
                <w:rFonts w:hint="eastAsia" w:ascii="宋体" w:hAnsi="宋体" w:cs="宋体"/>
                <w:kern w:val="0"/>
                <w:lang w:val="zh-CN"/>
              </w:rPr>
              <w:t>分；</w:t>
            </w:r>
          </w:p>
          <w:p>
            <w:pPr>
              <w:pStyle w:val="7"/>
              <w:rPr>
                <w:rFonts w:ascii="宋体" w:hAnsi="宋体" w:cs="宋体"/>
              </w:rPr>
            </w:pPr>
            <w:r>
              <w:rPr>
                <w:rFonts w:hint="eastAsia" w:ascii="宋体" w:hAnsi="宋体" w:cs="宋体"/>
              </w:rPr>
              <w:t>（3）服务目标、工作目标一般清晰明确，整体检测技术流程及解决方案一般完整清晰，措施一般完善可行的评价为中，</w:t>
            </w:r>
            <w:r>
              <w:rPr>
                <w:rFonts w:hint="eastAsia" w:ascii="宋体" w:hAnsi="宋体" w:cs="宋体"/>
                <w:kern w:val="0"/>
                <w:lang w:val="zh-CN"/>
              </w:rPr>
              <w:t>加</w:t>
            </w:r>
            <w:r>
              <w:rPr>
                <w:rFonts w:hint="eastAsia" w:ascii="宋体" w:hAnsi="宋体" w:cs="宋体"/>
                <w:kern w:val="0"/>
              </w:rPr>
              <w:t>2</w:t>
            </w:r>
            <w:r>
              <w:rPr>
                <w:rFonts w:hint="eastAsia" w:ascii="宋体" w:hAnsi="宋体" w:cs="宋体"/>
                <w:kern w:val="0"/>
                <w:lang w:val="zh-CN"/>
              </w:rPr>
              <w:t>分；</w:t>
            </w:r>
          </w:p>
          <w:p>
            <w:pPr>
              <w:pStyle w:val="7"/>
              <w:rPr>
                <w:rFonts w:ascii="宋体" w:hAnsi="宋体" w:cs="宋体"/>
              </w:rPr>
            </w:pPr>
            <w:r>
              <w:rPr>
                <w:rFonts w:hint="eastAsia" w:ascii="宋体" w:hAnsi="宋体" w:cs="宋体"/>
              </w:rPr>
              <w:t>（4）服务目标、工作目标不清晰明确，整体检测技术流程及解决方案不完整清晰，措施不完善可行的评价为差，不加分。</w:t>
            </w:r>
            <w:r>
              <w:rPr>
                <w:rFonts w:hint="eastAsia"/>
              </w:rPr>
              <w:t>评价为“差”的，评委需说明情况。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noWrap w:val="0"/>
            <w:vAlign w:val="center"/>
          </w:tcPr>
          <w:p>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4</w:t>
            </w:r>
          </w:p>
        </w:tc>
        <w:tc>
          <w:tcPr>
            <w:tcW w:w="150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质量（完成时间、安全）保障措施及方案</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10</w:t>
            </w:r>
          </w:p>
        </w:tc>
        <w:tc>
          <w:tcPr>
            <w:tcW w:w="5124" w:type="dxa"/>
            <w:tcBorders>
              <w:top w:val="single" w:color="000000" w:sz="8" w:space="0"/>
              <w:left w:val="single" w:color="000000" w:sz="8" w:space="0"/>
              <w:bottom w:val="single" w:color="000000" w:sz="8" w:space="0"/>
              <w:right w:val="single" w:color="000000" w:sz="8" w:space="0"/>
            </w:tcBorders>
            <w:noWrap w:val="0"/>
            <w:vAlign w:val="top"/>
          </w:tcPr>
          <w:p>
            <w:pPr>
              <w:pStyle w:val="7"/>
              <w:rPr>
                <w:rFonts w:ascii="宋体" w:hAnsi="宋体" w:cs="宋体"/>
                <w:b/>
              </w:rPr>
            </w:pPr>
            <w:r>
              <w:rPr>
                <w:rFonts w:hint="eastAsia" w:ascii="宋体" w:hAnsi="宋体" w:cs="宋体"/>
                <w:b/>
              </w:rPr>
              <w:t>评审内容：</w:t>
            </w:r>
          </w:p>
          <w:p>
            <w:pPr>
              <w:pStyle w:val="7"/>
              <w:rPr>
                <w:rFonts w:ascii="宋体" w:hAnsi="宋体" w:cs="宋体"/>
              </w:rPr>
            </w:pPr>
            <w:r>
              <w:rPr>
                <w:rFonts w:hint="eastAsia" w:ascii="宋体" w:hAnsi="宋体" w:cs="宋体"/>
              </w:rPr>
              <w:t>（1）</w:t>
            </w:r>
            <w:r>
              <w:rPr>
                <w:rFonts w:hint="eastAsia" w:ascii="宋体" w:hAnsi="宋体" w:cs="宋体"/>
                <w:kern w:val="0"/>
                <w:lang w:val="zh-CN"/>
              </w:rPr>
              <w:t>项目进度计划和人员安排；</w:t>
            </w:r>
          </w:p>
          <w:p>
            <w:pPr>
              <w:pStyle w:val="7"/>
              <w:rPr>
                <w:rFonts w:ascii="宋体" w:hAnsi="宋体" w:cs="宋体"/>
              </w:rPr>
            </w:pPr>
            <w:r>
              <w:rPr>
                <w:rFonts w:hint="eastAsia" w:ascii="宋体" w:hAnsi="宋体" w:cs="宋体"/>
              </w:rPr>
              <w:t>（2）</w:t>
            </w:r>
            <w:r>
              <w:rPr>
                <w:rFonts w:hint="eastAsia" w:ascii="宋体" w:hAnsi="宋体" w:cs="宋体"/>
                <w:kern w:val="0"/>
                <w:lang w:val="zh-CN"/>
              </w:rPr>
              <w:t>质量和进度保障措施。</w:t>
            </w:r>
          </w:p>
          <w:p>
            <w:pPr>
              <w:pStyle w:val="7"/>
              <w:rPr>
                <w:rFonts w:ascii="宋体" w:hAnsi="宋体" w:cs="宋体"/>
                <w:b/>
              </w:rPr>
            </w:pPr>
            <w:r>
              <w:rPr>
                <w:rFonts w:hint="eastAsia" w:ascii="宋体" w:hAnsi="宋体" w:cs="宋体"/>
                <w:b/>
              </w:rPr>
              <w:t>评审标准：</w:t>
            </w:r>
          </w:p>
          <w:p>
            <w:pPr>
              <w:pStyle w:val="7"/>
              <w:rPr>
                <w:rFonts w:ascii="宋体" w:hAnsi="宋体" w:cs="宋体"/>
              </w:rPr>
            </w:pPr>
            <w:r>
              <w:rPr>
                <w:rFonts w:hint="eastAsia" w:ascii="宋体" w:hAnsi="宋体" w:cs="宋体"/>
                <w:kern w:val="0"/>
                <w:lang w:val="zh-CN"/>
              </w:rPr>
              <w:t>满足任意一项得</w:t>
            </w:r>
            <w:r>
              <w:rPr>
                <w:rFonts w:hint="eastAsia" w:ascii="宋体" w:hAnsi="宋体" w:cs="宋体"/>
                <w:kern w:val="0"/>
              </w:rPr>
              <w:t>3</w:t>
            </w:r>
            <w:r>
              <w:rPr>
                <w:rFonts w:hint="eastAsia" w:ascii="宋体" w:hAnsi="宋体" w:cs="宋体"/>
                <w:kern w:val="0"/>
                <w:lang w:val="zh-CN"/>
              </w:rPr>
              <w:t>分，全部满足得</w:t>
            </w:r>
            <w:r>
              <w:rPr>
                <w:rFonts w:hint="eastAsia" w:ascii="宋体" w:hAnsi="宋体" w:cs="宋体"/>
                <w:kern w:val="0"/>
              </w:rPr>
              <w:t>6</w:t>
            </w:r>
            <w:r>
              <w:rPr>
                <w:rFonts w:hint="eastAsia" w:ascii="宋体" w:hAnsi="宋体" w:cs="宋体"/>
                <w:kern w:val="0"/>
                <w:lang w:val="zh-CN"/>
              </w:rPr>
              <w:t>分，未满足不得分，</w:t>
            </w:r>
            <w:r>
              <w:rPr>
                <w:rFonts w:hint="eastAsia" w:ascii="宋体" w:hAnsi="宋体" w:cs="宋体"/>
              </w:rPr>
              <w:t>不满足不得分。</w:t>
            </w:r>
          </w:p>
          <w:p>
            <w:pPr>
              <w:pStyle w:val="7"/>
              <w:rPr>
                <w:rFonts w:ascii="宋体" w:hAnsi="宋体" w:cs="宋体"/>
              </w:rPr>
            </w:pPr>
            <w:r>
              <w:rPr>
                <w:rFonts w:hint="eastAsia" w:ascii="宋体" w:hAnsi="宋体" w:cs="宋体"/>
              </w:rPr>
              <w:t>在此基础上，评委根据各供应商的具体响应内容进行进一步评审：</w:t>
            </w:r>
          </w:p>
          <w:p>
            <w:pPr>
              <w:jc w:val="left"/>
              <w:rPr>
                <w:rFonts w:ascii="宋体" w:hAnsi="宋体" w:cs="宋体"/>
                <w:kern w:val="0"/>
                <w:szCs w:val="21"/>
                <w:lang w:val="zh-CN"/>
              </w:rPr>
            </w:pPr>
            <w:r>
              <w:rPr>
                <w:rFonts w:hint="eastAsia" w:ascii="宋体" w:hAnsi="宋体" w:cs="宋体"/>
                <w:kern w:val="0"/>
                <w:szCs w:val="21"/>
                <w:lang w:val="zh-CN"/>
              </w:rPr>
              <w:t>1.评价为优，措施合理，建议可操作性强的，加</w:t>
            </w:r>
            <w:r>
              <w:rPr>
                <w:rFonts w:hint="eastAsia" w:ascii="宋体" w:hAnsi="宋体" w:cs="宋体"/>
                <w:kern w:val="0"/>
                <w:szCs w:val="21"/>
              </w:rPr>
              <w:t>4</w:t>
            </w:r>
            <w:r>
              <w:rPr>
                <w:rFonts w:hint="eastAsia" w:ascii="宋体" w:hAnsi="宋体" w:cs="宋体"/>
                <w:kern w:val="0"/>
                <w:szCs w:val="21"/>
                <w:lang w:val="zh-CN"/>
              </w:rPr>
              <w:t>分；</w:t>
            </w:r>
          </w:p>
          <w:p>
            <w:pPr>
              <w:jc w:val="left"/>
              <w:rPr>
                <w:rFonts w:ascii="宋体" w:hAnsi="宋体" w:cs="宋体"/>
                <w:kern w:val="0"/>
                <w:szCs w:val="21"/>
                <w:lang w:val="zh-CN"/>
              </w:rPr>
            </w:pPr>
            <w:r>
              <w:rPr>
                <w:rFonts w:hint="eastAsia" w:ascii="宋体" w:hAnsi="宋体" w:cs="宋体"/>
                <w:kern w:val="0"/>
                <w:szCs w:val="21"/>
                <w:lang w:val="zh-CN"/>
              </w:rPr>
              <w:t>2.评价为良，措施比较合理，建议可操作性较强的，加</w:t>
            </w:r>
            <w:r>
              <w:rPr>
                <w:rFonts w:hint="eastAsia" w:ascii="宋体" w:hAnsi="宋体" w:cs="宋体"/>
                <w:kern w:val="0"/>
                <w:szCs w:val="21"/>
              </w:rPr>
              <w:t>3</w:t>
            </w:r>
            <w:r>
              <w:rPr>
                <w:rFonts w:hint="eastAsia" w:ascii="宋体" w:hAnsi="宋体" w:cs="宋体"/>
                <w:kern w:val="0"/>
                <w:szCs w:val="21"/>
                <w:lang w:val="zh-CN"/>
              </w:rPr>
              <w:t>分；</w:t>
            </w:r>
          </w:p>
          <w:p>
            <w:pPr>
              <w:jc w:val="left"/>
              <w:rPr>
                <w:rFonts w:ascii="宋体" w:hAnsi="宋体" w:cs="宋体"/>
                <w:kern w:val="0"/>
                <w:szCs w:val="21"/>
                <w:lang w:val="zh-CN"/>
              </w:rPr>
            </w:pPr>
            <w:r>
              <w:rPr>
                <w:rFonts w:hint="eastAsia" w:ascii="宋体" w:hAnsi="宋体" w:cs="宋体"/>
                <w:kern w:val="0"/>
                <w:szCs w:val="21"/>
                <w:lang w:val="zh-CN"/>
              </w:rPr>
              <w:t>3.评价为中，措施基本合理，建议可操作性一般的，加</w:t>
            </w:r>
            <w:r>
              <w:rPr>
                <w:rFonts w:hint="eastAsia" w:ascii="宋体" w:hAnsi="宋体" w:cs="宋体"/>
                <w:kern w:val="0"/>
                <w:szCs w:val="21"/>
              </w:rPr>
              <w:t>2</w:t>
            </w:r>
            <w:r>
              <w:rPr>
                <w:rFonts w:hint="eastAsia" w:ascii="宋体" w:hAnsi="宋体" w:cs="宋体"/>
                <w:kern w:val="0"/>
                <w:szCs w:val="21"/>
                <w:lang w:val="zh-CN"/>
              </w:rPr>
              <w:t>分；</w:t>
            </w:r>
          </w:p>
          <w:p>
            <w:pPr>
              <w:pStyle w:val="7"/>
              <w:rPr>
                <w:rFonts w:ascii="宋体" w:hAnsi="宋体" w:cs="宋体"/>
              </w:rPr>
            </w:pPr>
            <w:r>
              <w:rPr>
                <w:rFonts w:hint="eastAsia" w:ascii="宋体" w:hAnsi="宋体" w:cs="宋体"/>
                <w:kern w:val="0"/>
                <w:lang w:val="zh-CN"/>
              </w:rPr>
              <w:t>4.评价为差，措施不合理，建议可操作性差的，不加分。</w:t>
            </w:r>
            <w:r>
              <w:rPr>
                <w:rFonts w:hint="eastAsia"/>
              </w:rPr>
              <w:t>评价为“差”的，评委需说明情况。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bottom w:val="single" w:color="000000" w:sz="8" w:space="0"/>
              <w:right w:val="single" w:color="000000" w:sz="8" w:space="0"/>
            </w:tcBorders>
            <w:noWrap w:val="0"/>
            <w:vAlign w:val="center"/>
          </w:tcPr>
          <w:p>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5</w:t>
            </w:r>
          </w:p>
        </w:tc>
        <w:tc>
          <w:tcPr>
            <w:tcW w:w="150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服务应急预案</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5</w:t>
            </w:r>
          </w:p>
        </w:tc>
        <w:tc>
          <w:tcPr>
            <w:tcW w:w="5124" w:type="dxa"/>
            <w:tcBorders>
              <w:top w:val="single" w:color="000000" w:sz="8" w:space="0"/>
              <w:left w:val="single" w:color="000000" w:sz="8" w:space="0"/>
              <w:bottom w:val="single" w:color="000000" w:sz="8" w:space="0"/>
              <w:right w:val="single" w:color="000000" w:sz="8" w:space="0"/>
            </w:tcBorders>
            <w:noWrap w:val="0"/>
            <w:vAlign w:val="center"/>
          </w:tcPr>
          <w:p>
            <w:pPr>
              <w:pStyle w:val="7"/>
              <w:widowControl/>
              <w:rPr>
                <w:rFonts w:hAnsi="宋体" w:cs="宋体"/>
                <w:b/>
                <w:bCs/>
              </w:rPr>
            </w:pPr>
            <w:r>
              <w:rPr>
                <w:rFonts w:hint="eastAsia" w:ascii="宋体" w:hAnsi="宋体" w:cs="宋体"/>
                <w:b/>
                <w:bCs/>
              </w:rPr>
              <w:t>考察内容：</w:t>
            </w:r>
          </w:p>
          <w:p>
            <w:pPr>
              <w:pStyle w:val="7"/>
              <w:widowControl/>
              <w:rPr>
                <w:rFonts w:hAnsi="宋体" w:cs="宋体"/>
              </w:rPr>
            </w:pPr>
            <w:r>
              <w:rPr>
                <w:rFonts w:hint="eastAsia" w:ascii="宋体" w:hAnsi="宋体" w:cs="宋体"/>
              </w:rPr>
              <w:t>（1）针对突发事件的处理措施；</w:t>
            </w:r>
          </w:p>
          <w:p>
            <w:pPr>
              <w:pStyle w:val="7"/>
              <w:widowControl/>
              <w:rPr>
                <w:rFonts w:hAnsi="宋体" w:cs="宋体"/>
              </w:rPr>
            </w:pPr>
            <w:r>
              <w:rPr>
                <w:rFonts w:hint="eastAsia" w:ascii="宋体" w:hAnsi="宋体" w:cs="宋体"/>
              </w:rPr>
              <w:t>（2）应急预案及措施。</w:t>
            </w:r>
          </w:p>
          <w:p>
            <w:pPr>
              <w:pStyle w:val="7"/>
              <w:widowControl/>
              <w:rPr>
                <w:rFonts w:hAnsi="宋体" w:cs="宋体"/>
                <w:b/>
                <w:bCs/>
              </w:rPr>
            </w:pPr>
            <w:r>
              <w:rPr>
                <w:rFonts w:hint="eastAsia" w:ascii="宋体" w:hAnsi="宋体" w:cs="宋体"/>
                <w:b/>
                <w:bCs/>
              </w:rPr>
              <w:t>评分标准：</w:t>
            </w:r>
          </w:p>
          <w:p>
            <w:pPr>
              <w:pStyle w:val="7"/>
              <w:widowControl/>
              <w:rPr>
                <w:rFonts w:ascii="宋体" w:hAnsi="宋体" w:cs="宋体"/>
              </w:rPr>
            </w:pPr>
            <w:r>
              <w:rPr>
                <w:rFonts w:hint="eastAsia" w:ascii="宋体" w:hAnsi="宋体" w:cs="宋体"/>
                <w:kern w:val="0"/>
                <w:lang w:val="zh-CN"/>
              </w:rPr>
              <w:t>提供任意一项得</w:t>
            </w:r>
            <w:r>
              <w:rPr>
                <w:rFonts w:hint="eastAsia" w:ascii="宋体" w:hAnsi="宋体" w:cs="宋体"/>
                <w:kern w:val="0"/>
              </w:rPr>
              <w:t>1.5</w:t>
            </w:r>
            <w:r>
              <w:rPr>
                <w:rFonts w:hint="eastAsia" w:ascii="宋体" w:hAnsi="宋体" w:cs="宋体"/>
                <w:kern w:val="0"/>
                <w:lang w:val="zh-CN"/>
              </w:rPr>
              <w:t>分，全部提供得</w:t>
            </w:r>
            <w:r>
              <w:rPr>
                <w:rFonts w:hint="eastAsia" w:ascii="宋体" w:hAnsi="宋体" w:cs="宋体"/>
                <w:kern w:val="0"/>
              </w:rPr>
              <w:t>3</w:t>
            </w:r>
            <w:r>
              <w:rPr>
                <w:rFonts w:hint="eastAsia" w:ascii="宋体" w:hAnsi="宋体" w:cs="宋体"/>
                <w:kern w:val="0"/>
                <w:lang w:val="zh-CN"/>
              </w:rPr>
              <w:t>分，未提供不得分，</w:t>
            </w:r>
            <w:r>
              <w:rPr>
                <w:rFonts w:hint="eastAsia" w:ascii="宋体" w:hAnsi="宋体" w:cs="宋体"/>
              </w:rPr>
              <w:t>不满足不得分。</w:t>
            </w:r>
          </w:p>
          <w:p>
            <w:pPr>
              <w:pStyle w:val="7"/>
              <w:widowControl/>
              <w:rPr>
                <w:rFonts w:ascii="宋体" w:hAnsi="宋体" w:cs="宋体"/>
              </w:rPr>
            </w:pPr>
            <w:r>
              <w:rPr>
                <w:rFonts w:hint="eastAsia" w:ascii="宋体" w:hAnsi="宋体" w:cs="宋体"/>
              </w:rPr>
              <w:t>在此基础上，评委根据各供应商的具体响应内容进行进一步评审：</w:t>
            </w:r>
          </w:p>
          <w:p>
            <w:pPr>
              <w:pStyle w:val="7"/>
              <w:widowControl/>
              <w:rPr>
                <w:rFonts w:hAnsi="宋体" w:cs="宋体"/>
              </w:rPr>
            </w:pPr>
            <w:r>
              <w:rPr>
                <w:rFonts w:hint="eastAsia" w:ascii="宋体" w:hAnsi="宋体" w:cs="宋体"/>
              </w:rPr>
              <w:t>（1）理解到位、分析准确的评价为优，</w:t>
            </w:r>
            <w:r>
              <w:rPr>
                <w:rFonts w:hint="eastAsia" w:ascii="宋体" w:hAnsi="宋体" w:cs="宋体"/>
                <w:kern w:val="0"/>
                <w:lang w:val="zh-CN"/>
              </w:rPr>
              <w:t>加</w:t>
            </w:r>
            <w:r>
              <w:rPr>
                <w:rFonts w:hint="eastAsia" w:ascii="宋体" w:hAnsi="宋体" w:cs="宋体"/>
                <w:kern w:val="0"/>
              </w:rPr>
              <w:t>2</w:t>
            </w:r>
            <w:r>
              <w:rPr>
                <w:rFonts w:hint="eastAsia" w:ascii="宋体" w:hAnsi="宋体" w:cs="宋体"/>
                <w:kern w:val="0"/>
                <w:lang w:val="zh-CN"/>
              </w:rPr>
              <w:t>分；</w:t>
            </w:r>
          </w:p>
          <w:p>
            <w:pPr>
              <w:pStyle w:val="7"/>
              <w:widowControl/>
              <w:rPr>
                <w:rFonts w:hAnsi="宋体" w:cs="宋体"/>
              </w:rPr>
            </w:pPr>
            <w:r>
              <w:rPr>
                <w:rFonts w:hint="eastAsia" w:ascii="宋体" w:hAnsi="宋体" w:cs="宋体"/>
              </w:rPr>
              <w:t>（2）理解较好、分析较好的评价为良，加</w:t>
            </w:r>
            <w:r>
              <w:rPr>
                <w:rFonts w:hint="eastAsia" w:ascii="宋体" w:hAnsi="宋体" w:cs="宋体"/>
                <w:kern w:val="0"/>
              </w:rPr>
              <w:t>1.5</w:t>
            </w:r>
            <w:r>
              <w:rPr>
                <w:rFonts w:hint="eastAsia" w:ascii="宋体" w:hAnsi="宋体" w:cs="宋体"/>
                <w:kern w:val="0"/>
                <w:lang w:val="zh-CN"/>
              </w:rPr>
              <w:t>分；</w:t>
            </w:r>
          </w:p>
          <w:p>
            <w:pPr>
              <w:pStyle w:val="7"/>
              <w:widowControl/>
              <w:rPr>
                <w:rFonts w:hAnsi="宋体" w:cs="宋体"/>
              </w:rPr>
            </w:pPr>
            <w:r>
              <w:rPr>
                <w:rFonts w:hint="eastAsia" w:ascii="宋体" w:hAnsi="宋体" w:cs="宋体"/>
              </w:rPr>
              <w:t>（3）理解一般、分析一般的评价为中，加</w:t>
            </w:r>
            <w:r>
              <w:rPr>
                <w:rFonts w:hint="eastAsia" w:ascii="宋体" w:hAnsi="宋体" w:cs="宋体"/>
                <w:kern w:val="0"/>
              </w:rPr>
              <w:t>1</w:t>
            </w:r>
            <w:r>
              <w:rPr>
                <w:rFonts w:hint="eastAsia" w:ascii="宋体" w:hAnsi="宋体" w:cs="宋体"/>
                <w:kern w:val="0"/>
                <w:lang w:val="zh-CN"/>
              </w:rPr>
              <w:t>分</w:t>
            </w:r>
            <w:r>
              <w:rPr>
                <w:rFonts w:hint="eastAsia" w:ascii="宋体" w:hAnsi="宋体" w:cs="宋体"/>
              </w:rPr>
              <w:t>。</w:t>
            </w:r>
          </w:p>
          <w:p>
            <w:pPr>
              <w:pStyle w:val="7"/>
              <w:rPr>
                <w:rFonts w:ascii="宋体" w:hAnsi="宋体" w:cs="宋体"/>
                <w:b/>
              </w:rPr>
            </w:pPr>
            <w:r>
              <w:rPr>
                <w:rFonts w:hint="eastAsia" w:ascii="宋体" w:hAnsi="宋体" w:cs="宋体"/>
              </w:rPr>
              <w:t>（4）理解差、分析差的评价为差，不加分；</w:t>
            </w:r>
            <w:r>
              <w:rPr>
                <w:rFonts w:hint="eastAsia"/>
              </w:rPr>
              <w:t>评价为“差”的，评委需说明情况。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restart"/>
            <w:tcBorders>
              <w:top w:val="single" w:color="000000" w:sz="8" w:space="0"/>
              <w:left w:val="single" w:color="000000" w:sz="8" w:space="0"/>
              <w:right w:val="single" w:color="000000" w:sz="8" w:space="0"/>
            </w:tcBorders>
            <w:noWrap w:val="0"/>
            <w:vAlign w:val="top"/>
          </w:tcPr>
          <w:p>
            <w:pPr>
              <w:widowControl/>
              <w:wordWrap w:val="0"/>
              <w:jc w:val="center"/>
              <w:rPr>
                <w:rFonts w:ascii="宋体" w:hAnsi="宋体" w:cs="宋体"/>
                <w:b/>
                <w:bCs/>
                <w:szCs w:val="21"/>
              </w:rPr>
            </w:pPr>
            <w:r>
              <w:rPr>
                <w:rFonts w:hint="eastAsia" w:ascii="宋体" w:hAnsi="宋体" w:cs="宋体"/>
                <w:b/>
                <w:bCs/>
                <w:szCs w:val="21"/>
              </w:rPr>
              <w:t>3</w:t>
            </w:r>
          </w:p>
        </w:tc>
        <w:tc>
          <w:tcPr>
            <w:tcW w:w="3292" w:type="dxa"/>
            <w:gridSpan w:val="3"/>
            <w:tcBorders>
              <w:top w:val="single" w:color="000000" w:sz="8" w:space="0"/>
              <w:left w:val="single" w:color="000000" w:sz="8" w:space="0"/>
              <w:bottom w:val="single" w:color="000000" w:sz="8" w:space="0"/>
              <w:right w:val="single" w:color="000000" w:sz="8" w:space="0"/>
            </w:tcBorders>
            <w:noWrap w:val="0"/>
            <w:vAlign w:val="top"/>
          </w:tcPr>
          <w:p>
            <w:pPr>
              <w:widowControl/>
              <w:wordWrap w:val="0"/>
              <w:jc w:val="center"/>
              <w:rPr>
                <w:rFonts w:ascii="宋体" w:hAnsi="宋体" w:cs="宋体"/>
                <w:b/>
                <w:bCs/>
                <w:szCs w:val="21"/>
              </w:rPr>
            </w:pPr>
            <w:r>
              <w:rPr>
                <w:rFonts w:hint="eastAsia" w:ascii="宋体" w:hAnsi="宋体" w:cs="宋体"/>
                <w:b/>
                <w:bCs/>
                <w:szCs w:val="21"/>
              </w:rPr>
              <w:t>商务部分</w:t>
            </w:r>
          </w:p>
        </w:tc>
        <w:tc>
          <w:tcPr>
            <w:tcW w:w="5124"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jc w:val="center"/>
              <w:rPr>
                <w:rFonts w:hint="default" w:ascii="宋体" w:hAnsi="宋体" w:eastAsia="宋体" w:cs="宋体"/>
                <w:b/>
                <w:bCs/>
                <w:szCs w:val="21"/>
                <w:lang w:val="en-US" w:eastAsia="zh-CN"/>
              </w:rPr>
            </w:pPr>
            <w:r>
              <w:rPr>
                <w:rFonts w:hint="eastAsia" w:ascii="宋体" w:hAnsi="宋体" w:cs="宋体"/>
                <w:b/>
                <w:bCs/>
                <w:szCs w:val="21"/>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shd w:val="clear" w:color="auto" w:fill="E6EFFA"/>
            <w:noWrap w:val="0"/>
            <w:vAlign w:val="center"/>
          </w:tcPr>
          <w:p>
            <w:pPr>
              <w:widowControl/>
              <w:rPr>
                <w:rFonts w:ascii="宋体" w:hAnsi="宋体" w:cs="宋体"/>
                <w:b/>
                <w:bCs/>
                <w:szCs w:val="21"/>
              </w:rPr>
            </w:pPr>
          </w:p>
        </w:tc>
        <w:tc>
          <w:tcPr>
            <w:tcW w:w="75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wordWrap w:val="0"/>
              <w:jc w:val="center"/>
              <w:rPr>
                <w:rFonts w:ascii="宋体" w:hAnsi="宋体" w:cs="宋体"/>
                <w:szCs w:val="21"/>
              </w:rPr>
            </w:pPr>
            <w:r>
              <w:rPr>
                <w:rFonts w:hint="eastAsia" w:ascii="宋体" w:hAnsi="宋体" w:cs="宋体"/>
                <w:szCs w:val="21"/>
              </w:rPr>
              <w:t>序号</w:t>
            </w:r>
          </w:p>
        </w:tc>
        <w:tc>
          <w:tcPr>
            <w:tcW w:w="150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wordWrap w:val="0"/>
              <w:jc w:val="center"/>
              <w:rPr>
                <w:rFonts w:ascii="宋体" w:hAnsi="宋体" w:cs="宋体"/>
                <w:szCs w:val="21"/>
              </w:rPr>
            </w:pPr>
            <w:r>
              <w:rPr>
                <w:rFonts w:hint="eastAsia" w:ascii="宋体" w:hAnsi="宋体" w:cs="宋体"/>
                <w:szCs w:val="21"/>
              </w:rPr>
              <w:t>评分因素</w:t>
            </w:r>
          </w:p>
        </w:tc>
        <w:tc>
          <w:tcPr>
            <w:tcW w:w="1038"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wordWrap w:val="0"/>
              <w:jc w:val="center"/>
              <w:rPr>
                <w:rFonts w:ascii="宋体" w:hAnsi="宋体" w:cs="宋体"/>
                <w:szCs w:val="21"/>
              </w:rPr>
            </w:pPr>
            <w:r>
              <w:rPr>
                <w:rFonts w:hint="eastAsia" w:ascii="宋体" w:hAnsi="宋体" w:cs="宋体"/>
                <w:szCs w:val="21"/>
              </w:rPr>
              <w:t>分值</w:t>
            </w:r>
          </w:p>
        </w:tc>
        <w:tc>
          <w:tcPr>
            <w:tcW w:w="512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wordWrap w:val="0"/>
              <w:jc w:val="center"/>
              <w:rPr>
                <w:rFonts w:ascii="宋体" w:hAnsi="宋体" w:cs="宋体"/>
                <w:szCs w:val="21"/>
              </w:rPr>
            </w:pPr>
            <w:r>
              <w:rPr>
                <w:rFonts w:hint="eastAsia" w:ascii="宋体" w:hAnsi="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noWrap w:val="0"/>
            <w:vAlign w:val="center"/>
          </w:tcPr>
          <w:p>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1</w:t>
            </w:r>
          </w:p>
        </w:tc>
        <w:tc>
          <w:tcPr>
            <w:tcW w:w="150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szCs w:val="21"/>
              </w:rPr>
              <w:t>投标人综合实力</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20</w:t>
            </w:r>
          </w:p>
        </w:tc>
        <w:tc>
          <w:tcPr>
            <w:tcW w:w="5124" w:type="dxa"/>
            <w:tcBorders>
              <w:top w:val="single" w:color="000000" w:sz="8" w:space="0"/>
              <w:left w:val="single" w:color="000000" w:sz="8" w:space="0"/>
              <w:bottom w:val="single" w:color="000000" w:sz="8" w:space="0"/>
              <w:right w:val="single" w:color="000000" w:sz="8" w:space="0"/>
            </w:tcBorders>
            <w:noWrap w:val="0"/>
            <w:vAlign w:val="center"/>
          </w:tcPr>
          <w:p>
            <w:pPr>
              <w:jc w:val="left"/>
              <w:rPr>
                <w:rFonts w:ascii="宋体" w:hAnsi="宋体" w:cs="宋体"/>
                <w:kern w:val="0"/>
                <w:szCs w:val="21"/>
              </w:rPr>
            </w:pPr>
            <w:r>
              <w:rPr>
                <w:rFonts w:hint="eastAsia" w:ascii="宋体" w:hAnsi="宋体" w:cs="宋体"/>
                <w:kern w:val="0"/>
                <w:szCs w:val="21"/>
              </w:rPr>
              <w:t>（一）评分内容：</w:t>
            </w:r>
          </w:p>
          <w:p>
            <w:pPr>
              <w:jc w:val="left"/>
              <w:rPr>
                <w:rFonts w:ascii="宋体" w:hAnsi="宋体" w:cs="宋体"/>
                <w:kern w:val="0"/>
                <w:szCs w:val="21"/>
              </w:rPr>
            </w:pPr>
            <w:r>
              <w:rPr>
                <w:rFonts w:hint="eastAsia" w:ascii="宋体" w:hAnsi="宋体" w:cs="宋体"/>
                <w:kern w:val="0"/>
                <w:szCs w:val="21"/>
              </w:rPr>
              <w:t>投标人2021年1月1日至本项目投标截止时间内承担过同类项目（以合同签订日期为准）情况：</w:t>
            </w:r>
          </w:p>
          <w:p>
            <w:pPr>
              <w:widowControl/>
              <w:jc w:val="left"/>
              <w:textAlignment w:val="center"/>
              <w:rPr>
                <w:rFonts w:ascii="宋体" w:hAnsi="宋体" w:cs="宋体"/>
                <w:kern w:val="0"/>
                <w:szCs w:val="21"/>
              </w:rPr>
            </w:pPr>
            <w:r>
              <w:rPr>
                <w:rFonts w:hint="eastAsia" w:ascii="宋体" w:hAnsi="宋体" w:cs="宋体"/>
                <w:kern w:val="0"/>
                <w:szCs w:val="21"/>
              </w:rPr>
              <w:t>承担过副省级或以上城市（含其辖区范围内）招商引资企业统计和分析；战略性新兴产业和未来产业等重点产业招商引资研究；招商引资项目可行性分析研究；产业链分析研究；共4类相关领域政府课题或相关咨询研究案例的，每提供1个得3分，最高得12分。 其中服务案例中，甲方验收结果为“优秀”或“满意”评级的，</w:t>
            </w:r>
            <w:r>
              <w:rPr>
                <w:rFonts w:hint="eastAsia" w:ascii="宋体" w:hAnsi="宋体" w:cs="宋体"/>
                <w:kern w:val="0"/>
                <w:szCs w:val="21"/>
                <w:lang w:val="en-US" w:eastAsia="zh-CN"/>
              </w:rPr>
              <w:t>如为评分的，要求90或以上，</w:t>
            </w:r>
            <w:r>
              <w:rPr>
                <w:rFonts w:hint="eastAsia" w:ascii="宋体" w:hAnsi="宋体" w:cs="宋体"/>
                <w:kern w:val="0"/>
                <w:szCs w:val="21"/>
              </w:rPr>
              <w:t>每提供1个得4分，最高得8分。</w:t>
            </w:r>
          </w:p>
          <w:p>
            <w:pPr>
              <w:jc w:val="left"/>
              <w:rPr>
                <w:rFonts w:ascii="宋体" w:hAnsi="宋体" w:cs="宋体"/>
                <w:kern w:val="0"/>
                <w:szCs w:val="21"/>
              </w:rPr>
            </w:pPr>
            <w:r>
              <w:rPr>
                <w:rFonts w:hint="eastAsia" w:ascii="宋体" w:hAnsi="宋体" w:cs="宋体"/>
                <w:kern w:val="0"/>
                <w:szCs w:val="21"/>
              </w:rPr>
              <w:t>（二）评分依据：</w:t>
            </w:r>
          </w:p>
          <w:p>
            <w:pPr>
              <w:pStyle w:val="7"/>
              <w:rPr>
                <w:rFonts w:ascii="宋体" w:hAnsi="宋体" w:cs="宋体"/>
                <w:color w:val="FF0000"/>
                <w:kern w:val="0"/>
              </w:rPr>
            </w:pPr>
            <w:r>
              <w:rPr>
                <w:rFonts w:hint="eastAsia" w:ascii="宋体" w:hAnsi="宋体" w:cs="宋体"/>
                <w:kern w:val="0"/>
              </w:rPr>
              <w:t>1.要求提供合同关键页（至少能体现合同采购标的、合同签订双方盖章页及合同签署日期等内容），通过合同关键信息无法判断是否得分的，还须同时提供项目报告或客户单位出具的加盖客户单位公章或业务章的证明文件等。每个领域类型只计分1次，同一合同包含多个领域类型只计分1次。</w:t>
            </w:r>
          </w:p>
          <w:p>
            <w:pPr>
              <w:jc w:val="left"/>
              <w:rPr>
                <w:rFonts w:ascii="宋体" w:hAnsi="宋体" w:cs="宋体"/>
                <w:kern w:val="0"/>
                <w:szCs w:val="21"/>
              </w:rPr>
            </w:pPr>
            <w:r>
              <w:rPr>
                <w:rFonts w:hint="eastAsia" w:ascii="宋体" w:hAnsi="宋体" w:cs="宋体"/>
                <w:kern w:val="0"/>
                <w:szCs w:val="21"/>
              </w:rPr>
              <w:t>2.以上资料均要求提供复印件或扫描件，原件备查。评分中出现无证明资料或专家无法凭所提供资料判断是否得分的情况，一律作不得分处理。</w:t>
            </w:r>
          </w:p>
          <w:p>
            <w:pPr>
              <w:pStyle w:val="7"/>
              <w:rPr>
                <w:rFonts w:ascii="宋体" w:hAnsi="宋体" w:cs="宋体"/>
              </w:rPr>
            </w:pPr>
            <w:r>
              <w:rPr>
                <w:rFonts w:hint="eastAsia" w:ascii="宋体" w:hAnsi="宋体" w:cs="宋体"/>
                <w:kern w:val="0"/>
              </w:rPr>
              <w:t>3.副省级（或以上）城市指：4个直辖市（北京、上海、天津、重庆）以及15个副省级城市（广州、武汉、哈尔滨、沈阳、成都、南京、西安、长春、济南、杭州、大连、青岛、深圳、厦门、宁波）。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noWrap w:val="0"/>
            <w:vAlign w:val="center"/>
          </w:tcPr>
          <w:p>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2</w:t>
            </w:r>
          </w:p>
        </w:tc>
        <w:tc>
          <w:tcPr>
            <w:tcW w:w="150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拟派本项目负责人（1人）</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0</w:t>
            </w:r>
          </w:p>
        </w:tc>
        <w:tc>
          <w:tcPr>
            <w:tcW w:w="5124" w:type="dxa"/>
            <w:tcBorders>
              <w:top w:val="single" w:color="000000" w:sz="8" w:space="0"/>
              <w:left w:val="single" w:color="000000" w:sz="8" w:space="0"/>
              <w:bottom w:val="single" w:color="000000" w:sz="8" w:space="0"/>
              <w:right w:val="single" w:color="000000" w:sz="8" w:space="0"/>
            </w:tcBorders>
            <w:noWrap w:val="0"/>
            <w:vAlign w:val="top"/>
          </w:tcPr>
          <w:p>
            <w:pPr>
              <w:jc w:val="left"/>
              <w:rPr>
                <w:rFonts w:ascii="宋体" w:hAnsi="宋体" w:cs="宋体"/>
                <w:kern w:val="0"/>
                <w:szCs w:val="21"/>
                <w:lang w:val="zh-CN"/>
              </w:rPr>
            </w:pPr>
            <w:r>
              <w:rPr>
                <w:rFonts w:hint="eastAsia" w:ascii="宋体" w:hAnsi="宋体" w:cs="宋体"/>
                <w:kern w:val="0"/>
                <w:szCs w:val="21"/>
                <w:lang w:val="zh-CN"/>
              </w:rPr>
              <w:t xml:space="preserve">（一）评分内容： </w:t>
            </w:r>
          </w:p>
          <w:p>
            <w:pPr>
              <w:widowControl/>
              <w:jc w:val="left"/>
              <w:rPr>
                <w:rFonts w:ascii="宋体" w:hAnsi="宋体" w:cs="宋体"/>
                <w:kern w:val="0"/>
                <w:szCs w:val="21"/>
              </w:rPr>
            </w:pPr>
            <w:r>
              <w:rPr>
                <w:rFonts w:hint="eastAsia" w:ascii="宋体" w:hAnsi="宋体" w:cs="宋体"/>
                <w:kern w:val="0"/>
                <w:szCs w:val="21"/>
              </w:rPr>
              <w:t>评审标准：项目负责人仅限1人，需为投标人自有员工</w:t>
            </w:r>
            <w:r>
              <w:rPr>
                <w:rFonts w:hint="eastAsia" w:ascii="宋体" w:hAnsi="宋体" w:cs="宋体"/>
                <w:kern w:val="0"/>
                <w:szCs w:val="21"/>
                <w:lang w:eastAsia="zh-CN"/>
              </w:rPr>
              <w:t>（</w:t>
            </w:r>
            <w:r>
              <w:rPr>
                <w:rFonts w:hint="eastAsia" w:ascii="宋体" w:hAnsi="宋体" w:cs="宋体"/>
                <w:kern w:val="0"/>
                <w:szCs w:val="21"/>
                <w:lang w:val="en-US" w:eastAsia="zh-CN"/>
              </w:rPr>
              <w:t>以社保为准</w:t>
            </w:r>
            <w:r>
              <w:rPr>
                <w:rFonts w:hint="eastAsia" w:ascii="宋体" w:hAnsi="宋体" w:cs="宋体"/>
                <w:kern w:val="0"/>
                <w:szCs w:val="21"/>
                <w:lang w:eastAsia="zh-CN"/>
              </w:rPr>
              <w:t>）</w:t>
            </w:r>
            <w:r>
              <w:rPr>
                <w:rFonts w:hint="eastAsia" w:ascii="宋体" w:hAnsi="宋体" w:cs="宋体"/>
                <w:kern w:val="0"/>
                <w:szCs w:val="21"/>
              </w:rPr>
              <w:t>，否则本项不得分，在此基础上：</w:t>
            </w:r>
          </w:p>
          <w:p>
            <w:pPr>
              <w:widowControl/>
              <w:jc w:val="left"/>
              <w:rPr>
                <w:rFonts w:ascii="宋体" w:hAnsi="宋体" w:cs="宋体"/>
                <w:kern w:val="0"/>
                <w:szCs w:val="21"/>
              </w:rPr>
            </w:pPr>
            <w:r>
              <w:rPr>
                <w:rFonts w:hint="eastAsia" w:ascii="宋体" w:hAnsi="宋体" w:cs="宋体"/>
                <w:kern w:val="0"/>
                <w:szCs w:val="21"/>
              </w:rPr>
              <w:t>1.教育背景及相关工作经验情况：具备硕士研究生或以上</w:t>
            </w:r>
            <w:r>
              <w:rPr>
                <w:rFonts w:hint="eastAsia" w:ascii="宋体" w:hAnsi="宋体" w:cs="宋体"/>
                <w:color w:val="auto"/>
                <w:kern w:val="0"/>
                <w:szCs w:val="21"/>
              </w:rPr>
              <w:t>学历</w:t>
            </w:r>
            <w:r>
              <w:rPr>
                <w:rFonts w:hint="eastAsia" w:ascii="宋体" w:hAnsi="宋体" w:cs="宋体"/>
                <w:kern w:val="0"/>
                <w:szCs w:val="21"/>
              </w:rPr>
              <w:t>的，得</w:t>
            </w:r>
            <w:r>
              <w:rPr>
                <w:rFonts w:hint="eastAsia" w:ascii="宋体" w:hAnsi="宋体" w:cs="宋体"/>
                <w:kern w:val="0"/>
                <w:szCs w:val="21"/>
                <w:lang w:val="en-US" w:eastAsia="zh-CN"/>
              </w:rPr>
              <w:t>4</w:t>
            </w:r>
            <w:r>
              <w:rPr>
                <w:rFonts w:hint="eastAsia" w:ascii="宋体" w:hAnsi="宋体" w:cs="宋体"/>
                <w:kern w:val="0"/>
                <w:szCs w:val="21"/>
              </w:rPr>
              <w:t>分。本小项最高得</w:t>
            </w:r>
            <w:r>
              <w:rPr>
                <w:rFonts w:hint="eastAsia" w:ascii="宋体" w:hAnsi="宋体" w:cs="宋体"/>
                <w:kern w:val="0"/>
                <w:szCs w:val="21"/>
                <w:lang w:val="en-US" w:eastAsia="zh-CN"/>
              </w:rPr>
              <w:t>4</w:t>
            </w:r>
            <w:r>
              <w:rPr>
                <w:rFonts w:hint="eastAsia" w:ascii="宋体" w:hAnsi="宋体" w:cs="宋体"/>
                <w:kern w:val="0"/>
                <w:szCs w:val="21"/>
              </w:rPr>
              <w:t>分。</w:t>
            </w:r>
          </w:p>
          <w:p>
            <w:pPr>
              <w:widowControl/>
              <w:jc w:val="left"/>
              <w:rPr>
                <w:rFonts w:ascii="宋体" w:hAnsi="宋体" w:cs="宋体"/>
                <w:kern w:val="0"/>
                <w:szCs w:val="21"/>
              </w:rPr>
            </w:pPr>
            <w:r>
              <w:rPr>
                <w:rFonts w:hint="eastAsia" w:ascii="宋体" w:hAnsi="宋体" w:cs="宋体"/>
                <w:kern w:val="0"/>
                <w:szCs w:val="21"/>
              </w:rPr>
              <w:t>2.项目负责人经验：具有产业研究和招商引资相关工作经验的（</w:t>
            </w:r>
            <w:r>
              <w:rPr>
                <w:rFonts w:hint="eastAsia"/>
              </w:rPr>
              <w:t>需要投标人提供作为项目负责人的业绩证明材料</w:t>
            </w:r>
            <w:r>
              <w:rPr>
                <w:rFonts w:hint="eastAsia" w:ascii="宋体" w:hAnsi="宋体" w:cs="宋体"/>
                <w:kern w:val="0"/>
                <w:szCs w:val="21"/>
              </w:rPr>
              <w:t>），得</w:t>
            </w:r>
            <w:r>
              <w:rPr>
                <w:rFonts w:hint="eastAsia" w:ascii="宋体" w:hAnsi="宋体" w:cs="宋体"/>
                <w:kern w:val="0"/>
                <w:szCs w:val="21"/>
                <w:lang w:val="en-US" w:eastAsia="zh-CN"/>
              </w:rPr>
              <w:t>6</w:t>
            </w:r>
            <w:r>
              <w:rPr>
                <w:rFonts w:hint="eastAsia" w:ascii="宋体" w:hAnsi="宋体" w:cs="宋体"/>
                <w:kern w:val="0"/>
                <w:szCs w:val="21"/>
              </w:rPr>
              <w:t>分；不提供或者不能有效证明的，得0分。本小项最高得</w:t>
            </w:r>
            <w:r>
              <w:rPr>
                <w:rFonts w:hint="eastAsia" w:ascii="宋体" w:hAnsi="宋体" w:cs="宋体"/>
                <w:kern w:val="0"/>
                <w:szCs w:val="21"/>
                <w:lang w:val="en-US" w:eastAsia="zh-CN"/>
              </w:rPr>
              <w:t>6</w:t>
            </w:r>
            <w:r>
              <w:rPr>
                <w:rFonts w:hint="eastAsia" w:ascii="宋体" w:hAnsi="宋体" w:cs="宋体"/>
                <w:kern w:val="0"/>
                <w:szCs w:val="21"/>
              </w:rPr>
              <w:t>分。</w:t>
            </w:r>
          </w:p>
          <w:p>
            <w:pPr>
              <w:jc w:val="left"/>
              <w:rPr>
                <w:rFonts w:ascii="宋体" w:hAnsi="宋体" w:cs="宋体"/>
                <w:kern w:val="0"/>
                <w:szCs w:val="21"/>
                <w:lang w:val="zh-CN"/>
              </w:rPr>
            </w:pPr>
            <w:r>
              <w:rPr>
                <w:rFonts w:hint="eastAsia" w:ascii="宋体" w:hAnsi="宋体" w:cs="宋体"/>
                <w:kern w:val="0"/>
                <w:szCs w:val="21"/>
                <w:lang w:val="zh-CN"/>
              </w:rPr>
              <w:t>（二）评分依据：</w:t>
            </w:r>
            <w:r>
              <w:rPr>
                <w:rFonts w:hint="eastAsia" w:ascii="宋体" w:hAnsi="宋体" w:cs="宋体"/>
                <w:kern w:val="0"/>
                <w:szCs w:val="21"/>
                <w:lang w:val="zh-CN"/>
              </w:rPr>
              <w:tab/>
            </w:r>
          </w:p>
          <w:p>
            <w:pPr>
              <w:jc w:val="left"/>
              <w:rPr>
                <w:rFonts w:ascii="宋体" w:hAnsi="宋体" w:cs="宋体"/>
                <w:kern w:val="0"/>
                <w:szCs w:val="21"/>
              </w:rPr>
            </w:pPr>
            <w:r>
              <w:rPr>
                <w:rFonts w:hint="eastAsia" w:ascii="宋体" w:hAnsi="宋体" w:cs="宋体"/>
                <w:kern w:val="0"/>
                <w:szCs w:val="21"/>
              </w:rPr>
              <w:t>1.项目负责人须为投标人自有员工，投标时须提供投标人近三个月任意一个月为拟投入的项目人员缴交的社保证明，如投标人注册成立时间不足1个月的，可提供承诺函证明拟投入的项目人员为其自有员工（格式自拟），否则投入的该人员作不得分处理。本项目不接受退休返聘人员。</w:t>
            </w:r>
          </w:p>
          <w:p>
            <w:pPr>
              <w:jc w:val="left"/>
              <w:rPr>
                <w:color w:val="FF0000"/>
              </w:rPr>
            </w:pPr>
            <w:r>
              <w:rPr>
                <w:rFonts w:hint="eastAsia" w:ascii="宋体" w:hAnsi="宋体" w:cs="宋体"/>
                <w:kern w:val="0"/>
                <w:szCs w:val="21"/>
              </w:rPr>
              <w:t>2.涉及工作经验的，需提供</w:t>
            </w:r>
            <w:r>
              <w:rPr>
                <w:rFonts w:hint="eastAsia" w:ascii="宋体" w:hAnsi="宋体" w:cs="宋体"/>
                <w:color w:val="FF0000"/>
                <w:kern w:val="0"/>
                <w:szCs w:val="21"/>
              </w:rPr>
              <w:t>业绩合同关键页（至少能体现合同采购标的、合同签订双方盖章页及合同签署日期等内容）。</w:t>
            </w:r>
            <w:r>
              <w:rPr>
                <w:color w:val="FF0000"/>
              </w:rPr>
              <w:t>项目负责人提供的业绩非在本单位完成的，均可得分</w:t>
            </w:r>
            <w:r>
              <w:rPr>
                <w:rFonts w:hint="eastAsia"/>
                <w:color w:val="FF0000"/>
              </w:rPr>
              <w:t>。</w:t>
            </w:r>
          </w:p>
          <w:p>
            <w:pPr>
              <w:jc w:val="left"/>
              <w:rPr>
                <w:rFonts w:ascii="宋体" w:hAnsi="宋体" w:cs="宋体"/>
                <w:kern w:val="0"/>
                <w:szCs w:val="21"/>
              </w:rPr>
            </w:pPr>
            <w:r>
              <w:rPr>
                <w:rFonts w:hint="eastAsia" w:ascii="宋体" w:hAnsi="宋体" w:cs="宋体"/>
                <w:kern w:val="0"/>
                <w:szCs w:val="21"/>
              </w:rPr>
              <w:t>3.学历证明：学历证明需提供毕业证书复印件或扫描件及学信网查询截图，原件备查。对于较早颁发的毕业证书，学信网无法查询的，除要求提供证书复印件或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pStyle w:val="7"/>
              <w:rPr>
                <w:rFonts w:ascii="宋体" w:hAnsi="宋体"/>
              </w:rPr>
            </w:pPr>
            <w:r>
              <w:rPr>
                <w:rFonts w:hint="eastAsia" w:ascii="宋体" w:hAnsi="宋体" w:cs="宋体"/>
                <w:kern w:val="0"/>
              </w:rPr>
              <w:t>4.以上资料均要求提供复印件或扫描件（或官方网站截图），原件备查。评分中出现无证明资料或专家无法凭所提供资料判断是否得分的情况，一律作不得分处理。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noWrap w:val="0"/>
            <w:vAlign w:val="center"/>
          </w:tcPr>
          <w:p>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3</w:t>
            </w:r>
          </w:p>
        </w:tc>
        <w:tc>
          <w:tcPr>
            <w:tcW w:w="150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项目团队人员情况（不含项目负责人）</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10</w:t>
            </w:r>
          </w:p>
        </w:tc>
        <w:tc>
          <w:tcPr>
            <w:tcW w:w="5124" w:type="dxa"/>
            <w:tcBorders>
              <w:top w:val="single" w:color="000000" w:sz="8" w:space="0"/>
              <w:left w:val="single" w:color="000000" w:sz="8" w:space="0"/>
              <w:bottom w:val="single" w:color="000000" w:sz="8" w:space="0"/>
              <w:right w:val="single" w:color="000000" w:sz="8" w:space="0"/>
            </w:tcBorders>
            <w:noWrap w:val="0"/>
            <w:vAlign w:val="top"/>
          </w:tcPr>
          <w:p>
            <w:pPr>
              <w:jc w:val="left"/>
              <w:rPr>
                <w:rFonts w:ascii="宋体" w:hAnsi="宋体" w:cs="宋体"/>
                <w:kern w:val="0"/>
                <w:szCs w:val="21"/>
              </w:rPr>
            </w:pPr>
            <w:r>
              <w:rPr>
                <w:rFonts w:hint="eastAsia" w:ascii="宋体" w:hAnsi="宋体" w:cs="宋体"/>
                <w:kern w:val="0"/>
                <w:szCs w:val="21"/>
              </w:rPr>
              <w:t xml:space="preserve">（一）评分内容： </w:t>
            </w:r>
          </w:p>
          <w:p>
            <w:pPr>
              <w:widowControl/>
              <w:jc w:val="left"/>
              <w:rPr>
                <w:rFonts w:ascii="宋体" w:hAnsi="宋体" w:cs="宋体"/>
                <w:kern w:val="0"/>
                <w:szCs w:val="21"/>
              </w:rPr>
            </w:pPr>
            <w:r>
              <w:rPr>
                <w:rFonts w:hint="eastAsia" w:ascii="宋体" w:hAnsi="宋体" w:cs="宋体"/>
                <w:kern w:val="0"/>
                <w:szCs w:val="21"/>
              </w:rPr>
              <w:t>1.学历或学位情况：项目团队中每提供1位具有硕士研究生或以上学历人员得2分，最高得分不超过4分。同一人员具有多项学历的，仅按最高学历计分。</w:t>
            </w:r>
          </w:p>
          <w:p>
            <w:pPr>
              <w:widowControl/>
              <w:jc w:val="left"/>
              <w:rPr>
                <w:rFonts w:ascii="宋体" w:hAnsi="宋体" w:cs="宋体"/>
                <w:kern w:val="0"/>
                <w:szCs w:val="21"/>
              </w:rPr>
            </w:pPr>
            <w:r>
              <w:rPr>
                <w:rFonts w:hint="eastAsia" w:ascii="宋体" w:hAnsi="宋体" w:cs="宋体"/>
                <w:kern w:val="0"/>
                <w:szCs w:val="21"/>
              </w:rPr>
              <w:t>2.项目经验：项目团队中每提供1位具有从事政府招商或园区招商或战略性新兴产业和未来产业等重点产业领域产业研究等工作经历的，得2分，最高得分不超过6分。</w:t>
            </w:r>
          </w:p>
          <w:p>
            <w:pPr>
              <w:jc w:val="left"/>
              <w:rPr>
                <w:rFonts w:ascii="宋体" w:hAnsi="宋体" w:cs="宋体"/>
                <w:kern w:val="0"/>
                <w:szCs w:val="21"/>
              </w:rPr>
            </w:pPr>
            <w:r>
              <w:rPr>
                <w:rFonts w:hint="eastAsia" w:ascii="宋体" w:hAnsi="宋体" w:cs="宋体"/>
                <w:kern w:val="0"/>
                <w:szCs w:val="21"/>
              </w:rPr>
              <w:t>（二）评分依据：</w:t>
            </w:r>
          </w:p>
          <w:p>
            <w:pPr>
              <w:jc w:val="left"/>
              <w:rPr>
                <w:rFonts w:ascii="宋体" w:hAnsi="宋体" w:cs="宋体"/>
                <w:kern w:val="0"/>
                <w:szCs w:val="21"/>
              </w:rPr>
            </w:pPr>
            <w:r>
              <w:rPr>
                <w:rFonts w:hint="eastAsia" w:ascii="宋体" w:hAnsi="宋体" w:cs="宋体"/>
                <w:kern w:val="0"/>
                <w:szCs w:val="21"/>
              </w:rPr>
              <w:t>1.项目团队人员均须为投标人自有员工，投标时须提供投标人近三个月任意一个月为拟投入的项目团队人员缴交的社保证明，如投标人注册成立时间不足1个月的，可提供承诺函证明拟投入的项目团队人员为其自有员工（格式自拟），否则投入的该人员作不得分处理。本项目不接受退休返聘人员。</w:t>
            </w:r>
          </w:p>
          <w:p>
            <w:pPr>
              <w:jc w:val="left"/>
              <w:rPr>
                <w:rFonts w:hint="eastAsia" w:ascii="宋体" w:hAnsi="宋体" w:eastAsia="宋体" w:cs="宋体"/>
                <w:kern w:val="0"/>
                <w:szCs w:val="21"/>
                <w:lang w:eastAsia="zh-CN"/>
              </w:rPr>
            </w:pPr>
            <w:r>
              <w:rPr>
                <w:rFonts w:hint="eastAsia" w:ascii="宋体" w:hAnsi="宋体" w:cs="宋体"/>
                <w:kern w:val="0"/>
                <w:szCs w:val="21"/>
              </w:rPr>
              <w:t>2.涉及</w:t>
            </w:r>
            <w:r>
              <w:rPr>
                <w:rFonts w:hint="eastAsia" w:ascii="宋体" w:hAnsi="宋体" w:cs="宋体"/>
                <w:kern w:val="0"/>
                <w:szCs w:val="21"/>
                <w:lang w:val="en-US" w:eastAsia="zh-CN"/>
              </w:rPr>
              <w:t>工作</w:t>
            </w:r>
            <w:r>
              <w:rPr>
                <w:rFonts w:hint="eastAsia" w:ascii="宋体" w:hAnsi="宋体" w:cs="宋体"/>
                <w:kern w:val="0"/>
                <w:szCs w:val="21"/>
              </w:rPr>
              <w:t>经验的，需提供</w:t>
            </w:r>
            <w:r>
              <w:rPr>
                <w:rFonts w:hint="eastAsia" w:ascii="宋体" w:hAnsi="宋体" w:cs="宋体"/>
                <w:color w:val="FF0000"/>
                <w:kern w:val="0"/>
                <w:szCs w:val="21"/>
              </w:rPr>
              <w:t>业绩合同关键页（至少能体现合同采购标的、合同签订双方盖章页及合同签署日期</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人员信息</w:t>
            </w:r>
            <w:r>
              <w:rPr>
                <w:rFonts w:hint="eastAsia" w:ascii="宋体" w:hAnsi="宋体" w:cs="宋体"/>
                <w:color w:val="FF0000"/>
                <w:kern w:val="0"/>
                <w:szCs w:val="21"/>
              </w:rPr>
              <w:t>等内容）。</w:t>
            </w:r>
            <w:r>
              <w:rPr>
                <w:rFonts w:hint="eastAsia"/>
                <w:color w:val="FF0000"/>
              </w:rPr>
              <w:t>同一项目多人参与可重复计分，续签合同可重复计分，最高不超过6分</w:t>
            </w:r>
            <w:r>
              <w:rPr>
                <w:rFonts w:hint="eastAsia"/>
                <w:color w:val="FF0000"/>
                <w:lang w:eastAsia="zh-CN"/>
              </w:rPr>
              <w:t>。</w:t>
            </w:r>
          </w:p>
          <w:p>
            <w:pPr>
              <w:jc w:val="left"/>
              <w:rPr>
                <w:rFonts w:ascii="宋体" w:hAnsi="宋体" w:cs="宋体"/>
                <w:kern w:val="0"/>
                <w:szCs w:val="21"/>
              </w:rPr>
            </w:pPr>
            <w:r>
              <w:rPr>
                <w:rFonts w:hint="eastAsia" w:ascii="宋体" w:hAnsi="宋体" w:cs="宋体"/>
                <w:kern w:val="0"/>
                <w:szCs w:val="21"/>
              </w:rPr>
              <w:t>3.学历证明：学历证明需提供毕业证书复印件或扫描件及学信网查询截图，原件备查。对于较早颁发的毕业证书，学信网无法查询的，除要求提供证书复印件或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pStyle w:val="7"/>
              <w:rPr>
                <w:rFonts w:ascii="宋体" w:hAnsi="宋体" w:cs="宋体"/>
                <w:b/>
                <w:bCs/>
              </w:rPr>
            </w:pPr>
            <w:r>
              <w:rPr>
                <w:rFonts w:hint="eastAsia" w:ascii="宋体" w:hAnsi="宋体" w:cs="宋体"/>
                <w:kern w:val="0"/>
              </w:rPr>
              <w:t>4.以上资料均要求提供扫描件（或官方网站截图），原件备查。评分中出现无证明资料或专家无法凭所提供资料判断是否得分的情况，一律作不得分处理。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noWrap w:val="0"/>
            <w:vAlign w:val="center"/>
          </w:tcPr>
          <w:p>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4</w:t>
            </w:r>
          </w:p>
        </w:tc>
        <w:tc>
          <w:tcPr>
            <w:tcW w:w="1504"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投标人同类项目荣誉情况</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cs="宋体"/>
                <w:szCs w:val="21"/>
              </w:rPr>
              <w:t>5</w:t>
            </w:r>
          </w:p>
        </w:tc>
        <w:tc>
          <w:tcPr>
            <w:tcW w:w="5124" w:type="dxa"/>
            <w:tcBorders>
              <w:top w:val="single" w:color="000000" w:sz="8" w:space="0"/>
              <w:left w:val="single" w:color="000000" w:sz="8" w:space="0"/>
              <w:bottom w:val="single" w:color="000000" w:sz="8" w:space="0"/>
              <w:right w:val="single" w:color="000000" w:sz="8" w:space="0"/>
            </w:tcBorders>
            <w:noWrap w:val="0"/>
            <w:vAlign w:val="top"/>
          </w:tcPr>
          <w:p>
            <w:pPr>
              <w:jc w:val="left"/>
              <w:rPr>
                <w:rFonts w:ascii="宋体" w:hAnsi="宋体" w:cs="宋体"/>
                <w:kern w:val="0"/>
                <w:szCs w:val="21"/>
              </w:rPr>
            </w:pPr>
            <w:r>
              <w:rPr>
                <w:rFonts w:hint="eastAsia" w:ascii="宋体" w:hAnsi="宋体" w:cs="宋体"/>
                <w:kern w:val="0"/>
                <w:szCs w:val="21"/>
              </w:rPr>
              <w:t>（一）评分内容：</w:t>
            </w:r>
          </w:p>
          <w:p>
            <w:pPr>
              <w:jc w:val="left"/>
              <w:rPr>
                <w:rFonts w:ascii="宋体" w:hAnsi="宋体" w:cs="宋体"/>
                <w:kern w:val="0"/>
                <w:szCs w:val="21"/>
              </w:rPr>
            </w:pPr>
            <w:r>
              <w:rPr>
                <w:rFonts w:hint="eastAsia" w:ascii="宋体" w:hAnsi="宋体" w:cs="宋体"/>
                <w:kern w:val="0"/>
                <w:szCs w:val="21"/>
              </w:rPr>
              <w:t>投标人2021年1月1日至本项目投标截止时间内获得过奖项的情况：</w:t>
            </w:r>
          </w:p>
          <w:p>
            <w:pPr>
              <w:jc w:val="left"/>
              <w:rPr>
                <w:rFonts w:ascii="宋体" w:hAnsi="宋体" w:cs="宋体"/>
                <w:kern w:val="0"/>
                <w:szCs w:val="21"/>
              </w:rPr>
            </w:pPr>
            <w:r>
              <w:rPr>
                <w:rFonts w:hint="eastAsia" w:ascii="宋体" w:hAnsi="宋体" w:cs="宋体"/>
                <w:kern w:val="0"/>
                <w:szCs w:val="21"/>
              </w:rPr>
              <w:t xml:space="preserve">获得过地级市或以上城市（含其辖区范围内）招商工作相关荣誉、称号的，得5分。 </w:t>
            </w:r>
          </w:p>
          <w:p>
            <w:pPr>
              <w:jc w:val="left"/>
              <w:rPr>
                <w:rFonts w:ascii="宋体" w:hAnsi="宋体" w:cs="宋体"/>
                <w:kern w:val="0"/>
                <w:szCs w:val="21"/>
              </w:rPr>
            </w:pPr>
            <w:r>
              <w:rPr>
                <w:rFonts w:hint="eastAsia" w:ascii="宋体" w:hAnsi="宋体" w:cs="宋体"/>
                <w:kern w:val="0"/>
                <w:szCs w:val="21"/>
              </w:rPr>
              <w:t>（二）评分依据：</w:t>
            </w:r>
          </w:p>
          <w:p>
            <w:pPr>
              <w:jc w:val="left"/>
              <w:rPr>
                <w:rFonts w:hint="eastAsia" w:ascii="宋体" w:hAnsi="宋体" w:eastAsia="宋体" w:cs="宋体"/>
                <w:kern w:val="0"/>
                <w:szCs w:val="21"/>
                <w:lang w:eastAsia="zh-CN"/>
              </w:rPr>
            </w:pPr>
            <w:r>
              <w:rPr>
                <w:rFonts w:hint="eastAsia" w:ascii="宋体" w:hAnsi="宋体" w:cs="宋体"/>
                <w:kern w:val="0"/>
                <w:szCs w:val="21"/>
              </w:rPr>
              <w:t>1.要求提供奖项证书或荣誉证书等证明材料。</w:t>
            </w:r>
            <w:r>
              <w:rPr>
                <w:rFonts w:hint="eastAsia" w:ascii="宋体" w:hAnsi="宋体" w:cs="宋体"/>
                <w:kern w:val="0"/>
                <w:szCs w:val="21"/>
                <w:lang w:eastAsia="zh-CN"/>
              </w:rPr>
              <w:t>（由协会颁发的</w:t>
            </w:r>
            <w:r>
              <w:rPr>
                <w:rFonts w:hint="eastAsia" w:ascii="宋体" w:hAnsi="宋体" w:cs="宋体"/>
                <w:kern w:val="0"/>
                <w:szCs w:val="21"/>
                <w:lang w:val="en-US" w:eastAsia="zh-CN"/>
              </w:rPr>
              <w:t>证书</w:t>
            </w:r>
            <w:r>
              <w:rPr>
                <w:rFonts w:hint="eastAsia" w:ascii="宋体" w:hAnsi="宋体" w:cs="宋体"/>
                <w:kern w:val="0"/>
                <w:szCs w:val="21"/>
                <w:lang w:eastAsia="zh-CN"/>
              </w:rPr>
              <w:t>，需提供该协会“中国社会组织政务服务平台（https://chinanpo.mca.gov.cn/）”的已合法登记且状态正常截图，否则不予认可，视为无效证书，以杜绝“离岸社团”“山寨社团”。）</w:t>
            </w:r>
          </w:p>
          <w:p>
            <w:pPr>
              <w:rPr>
                <w:rFonts w:ascii="宋体" w:hAnsi="宋体" w:cs="宋体"/>
                <w:szCs w:val="21"/>
              </w:rPr>
            </w:pPr>
            <w:r>
              <w:rPr>
                <w:rFonts w:hint="eastAsia" w:ascii="宋体" w:hAnsi="宋体" w:cs="宋体"/>
                <w:kern w:val="0"/>
                <w:szCs w:val="21"/>
              </w:rPr>
              <w:t>2.以上资料均要求提供复印件或扫描件，原件备查。评分中出现无证明资料或专家无法凭所提供资料判断是否得分的情况，一律作不得分处理。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tcBorders>
              <w:top w:val="single" w:color="000000" w:sz="8" w:space="0"/>
              <w:left w:val="single" w:color="000000" w:sz="8" w:space="0"/>
              <w:bottom w:val="single" w:color="auto" w:sz="4" w:space="0"/>
              <w:right w:val="single" w:color="000000" w:sz="8" w:space="0"/>
            </w:tcBorders>
            <w:noWrap w:val="0"/>
            <w:vAlign w:val="top"/>
          </w:tcPr>
          <w:p>
            <w:pPr>
              <w:widowControl/>
              <w:wordWrap w:val="0"/>
              <w:jc w:val="center"/>
              <w:rPr>
                <w:rFonts w:ascii="宋体" w:hAnsi="宋体" w:cs="宋体"/>
                <w:b/>
                <w:bCs/>
                <w:szCs w:val="21"/>
              </w:rPr>
            </w:pPr>
            <w:r>
              <w:rPr>
                <w:rFonts w:hint="eastAsia" w:ascii="宋体" w:hAnsi="宋体" w:cs="宋体"/>
                <w:b/>
                <w:bCs/>
                <w:szCs w:val="21"/>
              </w:rPr>
              <w:t>5</w:t>
            </w:r>
          </w:p>
        </w:tc>
        <w:tc>
          <w:tcPr>
            <w:tcW w:w="3292" w:type="dxa"/>
            <w:gridSpan w:val="3"/>
            <w:tcBorders>
              <w:top w:val="single" w:color="000000" w:sz="8" w:space="0"/>
              <w:left w:val="single" w:color="000000" w:sz="8" w:space="0"/>
              <w:bottom w:val="single" w:color="auto" w:sz="4" w:space="0"/>
              <w:right w:val="single" w:color="000000" w:sz="8" w:space="0"/>
            </w:tcBorders>
            <w:noWrap w:val="0"/>
            <w:vAlign w:val="top"/>
          </w:tcPr>
          <w:p>
            <w:pPr>
              <w:widowControl/>
              <w:wordWrap w:val="0"/>
              <w:jc w:val="center"/>
              <w:rPr>
                <w:rFonts w:ascii="宋体" w:hAnsi="宋体" w:cs="宋体"/>
                <w:b/>
                <w:bCs/>
                <w:szCs w:val="21"/>
              </w:rPr>
            </w:pPr>
            <w:r>
              <w:rPr>
                <w:rFonts w:hint="eastAsia" w:ascii="宋体" w:hAnsi="宋体" w:cs="宋体"/>
                <w:b/>
                <w:bCs/>
                <w:szCs w:val="21"/>
              </w:rPr>
              <w:t>诚信情况</w:t>
            </w:r>
          </w:p>
        </w:tc>
        <w:tc>
          <w:tcPr>
            <w:tcW w:w="5124" w:type="dxa"/>
            <w:tcBorders>
              <w:top w:val="single" w:color="000000" w:sz="8" w:space="0"/>
              <w:left w:val="single" w:color="000000" w:sz="8" w:space="0"/>
              <w:bottom w:val="single" w:color="auto" w:sz="4" w:space="0"/>
              <w:right w:val="single" w:color="000000" w:sz="8" w:space="0"/>
            </w:tcBorders>
            <w:noWrap w:val="0"/>
            <w:vAlign w:val="top"/>
          </w:tcPr>
          <w:p>
            <w:pPr>
              <w:widowControl/>
              <w:wordWrap w:val="0"/>
              <w:jc w:val="center"/>
              <w:rPr>
                <w:rFonts w:ascii="宋体" w:hAnsi="宋体" w:cs="宋体"/>
                <w:b/>
                <w:bCs/>
                <w:szCs w:val="21"/>
              </w:rPr>
            </w:pPr>
            <w:r>
              <w:rPr>
                <w:rFonts w:hint="eastAsia" w:ascii="宋体" w:hAnsi="宋体" w:cs="宋体"/>
                <w:b/>
                <w:bCs/>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rPr>
                <w:rFonts w:ascii="宋体" w:hAnsi="宋体" w:cs="宋体"/>
                <w:b/>
                <w:bCs/>
                <w:szCs w:val="21"/>
              </w:rPr>
            </w:pPr>
          </w:p>
        </w:tc>
        <w:tc>
          <w:tcPr>
            <w:tcW w:w="75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wordWrap w:val="0"/>
              <w:jc w:val="center"/>
              <w:rPr>
                <w:rFonts w:ascii="宋体" w:hAnsi="宋体" w:cs="宋体"/>
                <w:szCs w:val="21"/>
              </w:rPr>
            </w:pPr>
            <w:r>
              <w:rPr>
                <w:rFonts w:hint="eastAsia" w:ascii="宋体" w:hAnsi="宋体" w:cs="宋体"/>
                <w:szCs w:val="21"/>
              </w:rPr>
              <w:t>序号</w:t>
            </w:r>
          </w:p>
        </w:tc>
        <w:tc>
          <w:tcPr>
            <w:tcW w:w="150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wordWrap w:val="0"/>
              <w:jc w:val="center"/>
              <w:rPr>
                <w:rFonts w:ascii="宋体" w:hAnsi="宋体" w:cs="宋体"/>
                <w:szCs w:val="21"/>
              </w:rPr>
            </w:pPr>
            <w:r>
              <w:rPr>
                <w:rFonts w:hint="eastAsia" w:ascii="宋体" w:hAnsi="宋体" w:cs="宋体"/>
                <w:szCs w:val="21"/>
              </w:rPr>
              <w:t>评分因素</w:t>
            </w:r>
          </w:p>
        </w:tc>
        <w:tc>
          <w:tcPr>
            <w:tcW w:w="1038"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wordWrap w:val="0"/>
              <w:jc w:val="center"/>
              <w:rPr>
                <w:rFonts w:hint="default" w:ascii="宋体" w:hAnsi="宋体" w:eastAsia="宋体" w:cs="宋体"/>
                <w:szCs w:val="21"/>
                <w:lang w:val="en-US" w:eastAsia="zh-CN"/>
              </w:rPr>
            </w:pPr>
            <w:r>
              <w:rPr>
                <w:rFonts w:hint="eastAsia" w:ascii="宋体" w:hAnsi="宋体" w:cs="宋体"/>
                <w:szCs w:val="21"/>
                <w:lang w:val="en-US" w:eastAsia="zh-CN"/>
              </w:rPr>
              <w:t>分值</w:t>
            </w:r>
          </w:p>
        </w:tc>
        <w:tc>
          <w:tcPr>
            <w:tcW w:w="512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idowControl/>
              <w:wordWrap w:val="0"/>
              <w:jc w:val="center"/>
              <w:rPr>
                <w:rFonts w:ascii="宋体" w:hAnsi="宋体" w:cs="宋体"/>
                <w:szCs w:val="21"/>
              </w:rPr>
            </w:pPr>
            <w:r>
              <w:rPr>
                <w:rFonts w:hint="eastAsia" w:ascii="宋体" w:hAnsi="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jc w:val="center"/>
              <w:rPr>
                <w:rFonts w:ascii="宋体" w:hAnsi="宋体" w:cs="宋体"/>
                <w:szCs w:val="21"/>
              </w:rPr>
            </w:pPr>
            <w:r>
              <w:rPr>
                <w:rFonts w:hint="eastAsia" w:ascii="宋体" w:hAnsi="宋体" w:cs="宋体"/>
                <w:szCs w:val="21"/>
              </w:rPr>
              <w:t>1</w:t>
            </w:r>
          </w:p>
        </w:tc>
        <w:tc>
          <w:tcPr>
            <w:tcW w:w="1504"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jc w:val="center"/>
              <w:rPr>
                <w:rFonts w:ascii="宋体" w:hAnsi="宋体" w:cs="宋体"/>
                <w:szCs w:val="21"/>
              </w:rPr>
            </w:pPr>
            <w:r>
              <w:rPr>
                <w:rFonts w:hint="eastAsia" w:ascii="宋体" w:hAnsi="宋体" w:cs="宋体"/>
                <w:szCs w:val="21"/>
              </w:rPr>
              <w:t>诚信</w:t>
            </w:r>
            <w:r>
              <w:rPr>
                <w:rFonts w:hint="eastAsia" w:ascii="宋体" w:hAnsi="宋体"/>
                <w:szCs w:val="21"/>
              </w:rPr>
              <w:t>评价</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widowControl/>
              <w:wordWrap w:val="0"/>
              <w:jc w:val="center"/>
              <w:rPr>
                <w:rFonts w:ascii="宋体" w:hAnsi="宋体" w:cs="宋体"/>
                <w:szCs w:val="21"/>
              </w:rPr>
            </w:pPr>
            <w:r>
              <w:rPr>
                <w:rFonts w:hint="eastAsia" w:ascii="宋体" w:hAnsi="宋体" w:cs="宋体"/>
                <w:szCs w:val="21"/>
              </w:rPr>
              <w:t>5</w:t>
            </w:r>
          </w:p>
        </w:tc>
        <w:tc>
          <w:tcPr>
            <w:tcW w:w="5124" w:type="dxa"/>
            <w:tcBorders>
              <w:top w:val="single" w:color="000000" w:sz="8" w:space="0"/>
              <w:left w:val="single" w:color="000000" w:sz="8" w:space="0"/>
              <w:bottom w:val="single" w:color="000000" w:sz="8" w:space="0"/>
              <w:right w:val="single" w:color="000000" w:sz="8" w:space="0"/>
            </w:tcBorders>
            <w:noWrap w:val="0"/>
            <w:vAlign w:val="top"/>
          </w:tcPr>
          <w:p>
            <w:pPr>
              <w:rPr>
                <w:rFonts w:hint="eastAsia" w:ascii="宋体" w:hAnsi="宋体" w:cs="宋体"/>
                <w:kern w:val="0"/>
                <w:sz w:val="21"/>
                <w:szCs w:val="21"/>
              </w:rPr>
            </w:pPr>
            <w:r>
              <w:rPr>
                <w:rFonts w:hint="eastAsia" w:ascii="宋体" w:hAnsi="宋体" w:cs="宋体"/>
                <w:kern w:val="0"/>
                <w:sz w:val="21"/>
                <w:szCs w:val="21"/>
              </w:rPr>
              <w:t>（一）评分内容：</w:t>
            </w:r>
          </w:p>
          <w:p>
            <w:pPr>
              <w:rPr>
                <w:rFonts w:hint="eastAsia" w:ascii="宋体" w:hAnsi="宋体" w:cs="宋体"/>
                <w:kern w:val="0"/>
                <w:sz w:val="21"/>
                <w:szCs w:val="21"/>
              </w:rPr>
            </w:pPr>
            <w:r>
              <w:rPr>
                <w:rFonts w:hint="eastAsia" w:ascii="宋体" w:hAnsi="宋体" w:cs="宋体"/>
                <w:kern w:val="0"/>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rPr>
                <w:rFonts w:hint="eastAsia" w:ascii="宋体" w:hAnsi="宋体" w:cs="宋体"/>
                <w:kern w:val="0"/>
                <w:sz w:val="21"/>
                <w:szCs w:val="21"/>
              </w:rPr>
            </w:pPr>
            <w:r>
              <w:rPr>
                <w:rFonts w:hint="eastAsia" w:ascii="宋体" w:hAnsi="宋体" w:cs="宋体"/>
                <w:kern w:val="0"/>
                <w:sz w:val="21"/>
                <w:szCs w:val="21"/>
              </w:rPr>
              <w:t>（二）评分依据：</w:t>
            </w:r>
          </w:p>
          <w:p>
            <w:pPr>
              <w:rPr>
                <w:rFonts w:hint="eastAsia" w:ascii="宋体" w:hAnsi="宋体" w:cs="宋体"/>
                <w:kern w:val="0"/>
                <w:sz w:val="21"/>
                <w:szCs w:val="21"/>
                <w:lang w:val="zh-CN"/>
              </w:rPr>
            </w:pPr>
            <w:r>
              <w:rPr>
                <w:rFonts w:hint="eastAsia" w:ascii="宋体" w:hAnsi="宋体" w:cs="宋体"/>
                <w:kern w:val="0"/>
                <w:sz w:val="21"/>
                <w:szCs w:val="21"/>
                <w:lang w:val="zh-CN"/>
              </w:rPr>
              <w:t>1、投标人提供</w:t>
            </w:r>
            <w:r>
              <w:rPr>
                <w:rFonts w:hint="eastAsia" w:ascii="宋体" w:hAnsi="宋体" w:cs="宋体"/>
                <w:kern w:val="0"/>
                <w:sz w:val="21"/>
                <w:szCs w:val="21"/>
              </w:rPr>
              <w:t>企业</w:t>
            </w:r>
            <w:r>
              <w:rPr>
                <w:rFonts w:hint="eastAsia" w:ascii="宋体" w:hAnsi="宋体" w:cs="宋体"/>
                <w:kern w:val="0"/>
                <w:sz w:val="21"/>
                <w:szCs w:val="21"/>
                <w:lang w:val="zh-CN"/>
              </w:rPr>
              <w:t>诚信声明与承诺加盖公章；</w:t>
            </w:r>
          </w:p>
          <w:p>
            <w:pPr>
              <w:widowControl/>
              <w:wordWrap/>
              <w:rPr>
                <w:rFonts w:ascii="宋体" w:hAnsi="宋体" w:cs="宋体"/>
                <w:szCs w:val="21"/>
              </w:rPr>
            </w:pPr>
            <w:r>
              <w:rPr>
                <w:rFonts w:hint="eastAsia" w:ascii="宋体" w:hAnsi="宋体" w:cs="宋体"/>
                <w:kern w:val="0"/>
                <w:sz w:val="21"/>
                <w:szCs w:val="21"/>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kern w:val="0"/>
                <w:sz w:val="21"/>
                <w:szCs w:val="21"/>
              </w:rPr>
              <w:t>。</w:t>
            </w:r>
          </w:p>
        </w:tc>
      </w:tr>
    </w:tbl>
    <w:p>
      <w:pPr>
        <w:spacing w:line="360" w:lineRule="auto"/>
        <w:jc w:val="center"/>
        <w:rPr>
          <w:rFonts w:ascii="宋体" w:hAnsi="宋体" w:cs="宋体"/>
          <w:b/>
          <w:bCs/>
          <w:sz w:val="24"/>
        </w:rPr>
      </w:pPr>
    </w:p>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19" w:name="_Toc834"/>
      <w:bookmarkStart w:id="20"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19"/>
    </w:p>
    <w:p>
      <w:pPr>
        <w:keepNext/>
        <w:keepLines/>
        <w:spacing w:before="260" w:after="260" w:line="360" w:lineRule="auto"/>
        <w:jc w:val="center"/>
        <w:outlineLvl w:val="1"/>
        <w:rPr>
          <w:rFonts w:ascii="宋体" w:hAnsi="宋体" w:cs="宋体"/>
          <w:b/>
          <w:bCs/>
          <w:sz w:val="24"/>
        </w:rPr>
      </w:pPr>
      <w:bookmarkStart w:id="21" w:name="_Toc19494"/>
      <w:bookmarkStart w:id="22" w:name="_Toc31827"/>
      <w:bookmarkStart w:id="23" w:name="_Toc5116"/>
      <w:bookmarkStart w:id="24" w:name="_Toc6548"/>
      <w:r>
        <w:rPr>
          <w:rFonts w:hint="eastAsia" w:ascii="宋体" w:hAnsi="宋体" w:cs="宋体"/>
          <w:b/>
          <w:sz w:val="24"/>
        </w:rPr>
        <w:t>一、</w:t>
      </w:r>
      <w:r>
        <w:rPr>
          <w:rFonts w:hint="eastAsia" w:ascii="宋体" w:hAnsi="宋体" w:cs="宋体"/>
          <w:b/>
          <w:bCs/>
          <w:sz w:val="24"/>
        </w:rPr>
        <w:t>投标文件包装封面参考</w:t>
      </w:r>
      <w:bookmarkEnd w:id="21"/>
      <w:bookmarkEnd w:id="22"/>
      <w:bookmarkEnd w:id="23"/>
      <w:bookmarkEnd w:id="24"/>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5"/>
        <w:rPr>
          <w:rFonts w:ascii="宋体" w:eastAsia="宋体" w:cs="宋体"/>
          <w:b/>
          <w:sz w:val="24"/>
        </w:rPr>
      </w:pPr>
    </w:p>
    <w:p>
      <w:pPr>
        <w:pStyle w:val="5"/>
        <w:rPr>
          <w:rFonts w:ascii="宋体" w:cs="宋体"/>
          <w:b/>
          <w:sz w:val="24"/>
        </w:rPr>
      </w:pPr>
      <w:r>
        <w:rPr>
          <w:rFonts w:hint="eastAsia" w:ascii="宋体" w:eastAsia="宋体" w:cs="宋体"/>
          <w:b/>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2、联合体协议；（</w:t>
      </w:r>
      <w:r>
        <w:rPr>
          <w:rFonts w:hint="eastAsia" w:ascii="宋体" w:hAnsi="宋体" w:cs="宋体"/>
          <w:sz w:val="24"/>
        </w:rPr>
        <w:t>本项目不适用，无需提供</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5</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、关于资格的声明函；</w:t>
      </w:r>
    </w:p>
    <w:p>
      <w:pPr>
        <w:pStyle w:val="31"/>
        <w:spacing w:line="360" w:lineRule="auto"/>
        <w:ind w:firstLine="480"/>
        <w:rPr>
          <w:lang w:val="fr-CH"/>
        </w:rPr>
      </w:pPr>
      <w:r>
        <w:rPr>
          <w:rFonts w:hint="eastAsia" w:ascii="宋体" w:hAnsi="宋体" w:cs="宋体"/>
          <w:kern w:val="2"/>
          <w:sz w:val="24"/>
          <w:szCs w:val="24"/>
        </w:rPr>
        <w:t>7</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11</w:t>
      </w:r>
      <w:r>
        <w:rPr>
          <w:rFonts w:hint="eastAsia" w:ascii="宋体" w:hAnsi="宋体" w:cs="宋体"/>
          <w:sz w:val="24"/>
          <w:lang w:val="fr-CH"/>
        </w:rPr>
        <w:t>、投标人简介（格式自拟）</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2</w:t>
      </w:r>
      <w:r>
        <w:rPr>
          <w:rFonts w:hint="eastAsia" w:ascii="宋体" w:hAnsi="宋体" w:cs="宋体"/>
          <w:sz w:val="24"/>
          <w:lang w:val="fr-CH"/>
        </w:rPr>
        <w:t>、投标人综合实力（格式自拟）</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3</w:t>
      </w:r>
      <w:r>
        <w:rPr>
          <w:rFonts w:hint="eastAsia" w:ascii="宋体" w:hAnsi="宋体" w:cs="宋体"/>
          <w:sz w:val="24"/>
          <w:lang w:val="fr-CH"/>
        </w:rPr>
        <w:t>、拟派本项目负责人（1人）（格式自拟）</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4</w:t>
      </w:r>
      <w:r>
        <w:rPr>
          <w:rFonts w:hint="eastAsia" w:ascii="宋体" w:hAnsi="宋体" w:cs="宋体"/>
          <w:sz w:val="24"/>
          <w:lang w:val="fr-CH"/>
        </w:rPr>
        <w:t>、项目团队人员情况（不含项目负责人）（格式自拟）</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15、投标人同类项目荣誉情况</w:t>
      </w:r>
      <w:r>
        <w:rPr>
          <w:rFonts w:hint="eastAsia" w:ascii="宋体" w:hAnsi="宋体" w:cs="宋体"/>
          <w:sz w:val="24"/>
          <w:lang w:val="fr-CH"/>
        </w:rPr>
        <w:t>（格式自拟）</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16、</w:t>
      </w:r>
      <w:r>
        <w:rPr>
          <w:rFonts w:hint="eastAsia" w:ascii="宋体" w:hAnsi="宋体" w:cs="宋体"/>
          <w:sz w:val="24"/>
          <w:lang w:val="fr-CH"/>
        </w:rPr>
        <w:t>投标单位认为有必要提供的其他材料（格式自拟）</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对项目需求的响应及理解</w:t>
      </w:r>
      <w:r>
        <w:rPr>
          <w:rFonts w:hint="eastAsia" w:ascii="宋体" w:hAnsi="宋体" w:cs="宋体"/>
          <w:sz w:val="24"/>
          <w:lang w:val="fr-CH" w:bidi="ar"/>
        </w:rPr>
        <w:t>（格式自拟）</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3、实施方案</w:t>
      </w:r>
      <w:r>
        <w:rPr>
          <w:rFonts w:hint="eastAsia" w:ascii="宋体" w:hAnsi="宋体" w:cs="宋体"/>
          <w:sz w:val="24"/>
          <w:lang w:val="fr-CH" w:bidi="ar"/>
        </w:rPr>
        <w:t>（格式自拟）</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4、项目重点难点分析、应对措施及相关的合理化建议</w:t>
      </w:r>
      <w:r>
        <w:rPr>
          <w:rFonts w:hint="eastAsia" w:ascii="宋体" w:hAnsi="宋体" w:cs="宋体"/>
          <w:sz w:val="24"/>
          <w:lang w:val="fr-CH" w:bidi="ar"/>
        </w:rPr>
        <w:t>（格式自拟）</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5、质量（完成时间、安全）保障措施及方案</w:t>
      </w:r>
      <w:r>
        <w:rPr>
          <w:rFonts w:hint="eastAsia" w:ascii="宋体" w:hAnsi="宋体" w:cs="宋体"/>
          <w:sz w:val="24"/>
          <w:lang w:val="fr-CH" w:bidi="ar"/>
        </w:rPr>
        <w:t>（格式自拟）</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6、服务应急预案</w:t>
      </w:r>
      <w:r>
        <w:rPr>
          <w:rFonts w:hint="eastAsia" w:ascii="宋体" w:hAnsi="宋体" w:cs="宋体"/>
          <w:sz w:val="24"/>
          <w:lang w:val="fr-CH" w:bidi="ar"/>
        </w:rPr>
        <w:t>（格式自拟）</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fr-CH"/>
        </w:rPr>
        <w:t>投标单位认为有必要提供的其他材料</w:t>
      </w:r>
      <w:r>
        <w:rPr>
          <w:rFonts w:hint="eastAsia" w:ascii="宋体" w:hAnsi="宋体" w:cs="宋体"/>
          <w:sz w:val="24"/>
          <w:lang w:val="fr-CH" w:bidi="ar"/>
        </w:rPr>
        <w:t>（格式自拟）</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9"/>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noWrap w:val="0"/>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noWrap w:val="0"/>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noWrap w:val="0"/>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noWrap w:val="0"/>
            <w:vAlign w:val="center"/>
          </w:tcPr>
          <w:p>
            <w:pPr>
              <w:spacing w:line="360" w:lineRule="auto"/>
              <w:jc w:val="center"/>
              <w:rPr>
                <w:rFonts w:ascii="宋体" w:hAnsi="宋体" w:cs="宋体"/>
                <w:sz w:val="24"/>
                <w:u w:val="single"/>
              </w:rPr>
            </w:pPr>
          </w:p>
        </w:tc>
        <w:tc>
          <w:tcPr>
            <w:tcW w:w="3225" w:type="dxa"/>
            <w:noWrap w:val="0"/>
            <w:vAlign w:val="center"/>
          </w:tcPr>
          <w:p>
            <w:pPr>
              <w:spacing w:line="360" w:lineRule="auto"/>
              <w:jc w:val="center"/>
              <w:rPr>
                <w:rFonts w:ascii="宋体" w:hAnsi="宋体" w:cs="宋体"/>
                <w:sz w:val="24"/>
                <w:u w:val="single"/>
              </w:rPr>
            </w:pPr>
          </w:p>
        </w:tc>
        <w:tc>
          <w:tcPr>
            <w:tcW w:w="2758" w:type="dxa"/>
            <w:noWrap w:val="0"/>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31"/>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9"/>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560" w:lineRule="exact"/>
              <w:jc w:val="center"/>
              <w:rPr>
                <w:rFonts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lang w:bidi="ar"/>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9"/>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31"/>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spacing w:line="360" w:lineRule="auto"/>
        <w:rPr>
          <w:rFonts w:ascii="宋体" w:hAnsi="宋体" w:cs="宋体"/>
          <w:sz w:val="24"/>
          <w:lang w:val="fr-CH"/>
        </w:rPr>
      </w:pPr>
      <w:r>
        <w:rPr>
          <w:rFonts w:hint="eastAsia" w:ascii="宋体" w:hAnsi="宋体" w:cs="宋体"/>
          <w:sz w:val="24"/>
          <w:lang w:val="fr-CH"/>
        </w:rPr>
        <w:br w:type="page"/>
      </w: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4.我单位具备《中华人民共和国政府采购法》第二十二条的条件。</w:t>
      </w:r>
    </w:p>
    <w:p>
      <w:pPr>
        <w:spacing w:line="360" w:lineRule="auto"/>
        <w:ind w:firstLine="480" w:firstLineChars="200"/>
        <w:rPr>
          <w:rFonts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12.我单位承诺不存在《深圳市财政局政府采购供应商信用信息管理办法》（深财规〔2023〕3号）列明的严重违法失信行为。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0"/>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31"/>
        <w:ind w:firstLine="482"/>
        <w:rPr>
          <w:rFonts w:ascii="宋体" w:hAnsi="宋体" w:cs="宋体"/>
          <w:b/>
          <w:sz w:val="24"/>
        </w:rPr>
      </w:pPr>
    </w:p>
    <w:p>
      <w:pPr>
        <w:pStyle w:val="31"/>
        <w:ind w:firstLine="482"/>
        <w:rPr>
          <w:rFonts w:ascii="宋体" w:hAnsi="宋体" w:cs="宋体"/>
          <w:b/>
          <w:sz w:val="24"/>
        </w:rPr>
      </w:pPr>
    </w:p>
    <w:p>
      <w:pPr>
        <w:pStyle w:val="31"/>
        <w:ind w:firstLine="482"/>
        <w:rPr>
          <w:rFonts w:ascii="宋体" w:hAnsi="宋体" w:cs="宋体"/>
          <w:b/>
          <w:sz w:val="24"/>
        </w:rPr>
      </w:pPr>
    </w:p>
    <w:p>
      <w:pPr>
        <w:pStyle w:val="31"/>
        <w:ind w:firstLine="482"/>
        <w:rPr>
          <w:rFonts w:ascii="宋体" w:hAnsi="宋体" w:cs="宋体"/>
          <w:b/>
          <w:sz w:val="24"/>
        </w:rPr>
      </w:pPr>
    </w:p>
    <w:p>
      <w:pPr>
        <w:pStyle w:val="31"/>
        <w:ind w:firstLine="482"/>
        <w:rPr>
          <w:rFonts w:ascii="宋体" w:hAnsi="宋体" w:cs="宋体"/>
          <w:b/>
          <w:sz w:val="24"/>
        </w:rPr>
      </w:pPr>
    </w:p>
    <w:p>
      <w:pPr>
        <w:pStyle w:val="31"/>
        <w:ind w:firstLine="482"/>
        <w:rPr>
          <w:rFonts w:ascii="宋体" w:hAnsi="宋体" w:cs="宋体"/>
          <w:b/>
          <w:sz w:val="24"/>
        </w:rPr>
      </w:pPr>
    </w:p>
    <w:p>
      <w:pPr>
        <w:pStyle w:val="31"/>
        <w:ind w:firstLine="482"/>
        <w:rPr>
          <w:rFonts w:ascii="宋体" w:hAnsi="宋体" w:cs="宋体"/>
          <w:b/>
          <w:sz w:val="24"/>
        </w:rPr>
      </w:pPr>
    </w:p>
    <w:p>
      <w:pPr>
        <w:pStyle w:val="31"/>
        <w:ind w:firstLine="482"/>
        <w:rPr>
          <w:rFonts w:ascii="宋体" w:hAnsi="宋体" w:cs="宋体"/>
          <w:b/>
          <w:sz w:val="24"/>
        </w:rPr>
      </w:pPr>
    </w:p>
    <w:p>
      <w:pPr>
        <w:jc w:val="left"/>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w:t>
      </w:r>
      <w:r>
        <w:rPr>
          <w:rFonts w:hint="eastAsia" w:ascii="宋体" w:hAnsi="宋体" w:cs="宋体"/>
          <w:sz w:val="24"/>
          <w:lang w:eastAsia="zh-CN"/>
        </w:rPr>
        <w:t>单位</w:t>
      </w:r>
      <w:r>
        <w:rPr>
          <w:rFonts w:hint="eastAsia" w:ascii="宋体" w:hAnsi="宋体" w:cs="宋体"/>
          <w:sz w:val="24"/>
        </w:rPr>
        <w:t>参与贵代理机构组织的项目（项目编号：   ）投标，现就企业诚信作如下声明与承诺：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color w:val="000000"/>
          <w:sz w:val="24"/>
        </w:rPr>
        <w:t>我单位承诺根据《深圳市财政局关于印发&lt;深圳市财政局政府采购供应商信用信息管理办法&gt;的通知》（深财规〔2023〕3号）相关规定，我</w:t>
      </w:r>
      <w:r>
        <w:rPr>
          <w:rFonts w:hint="eastAsia" w:ascii="宋体" w:hAnsi="宋体" w:cs="宋体"/>
          <w:color w:val="000000"/>
          <w:sz w:val="24"/>
          <w:lang w:val="en-US" w:eastAsia="zh-CN"/>
        </w:rPr>
        <w:t>单位</w:t>
      </w:r>
      <w:r>
        <w:rPr>
          <w:rFonts w:hint="eastAsia" w:ascii="宋体" w:hAnsi="宋体" w:cs="宋体"/>
          <w:color w:val="000000"/>
          <w:sz w:val="24"/>
        </w:rPr>
        <w:t>在全国范围内不存在因政府采购违法、违规行为受到财政部门罚款等一般行政处罚信息，不存在该办法第十一条所称在本市集中采购活动中的一般违法失信行为记录信息</w:t>
      </w:r>
      <w:r>
        <w:rPr>
          <w:rFonts w:hint="eastAsia" w:ascii="宋体" w:hAnsi="宋体" w:cs="宋体"/>
          <w:sz w:val="24"/>
        </w:rPr>
        <w:t>。</w:t>
      </w:r>
    </w:p>
    <w:p>
      <w:pPr>
        <w:spacing w:line="360" w:lineRule="auto"/>
        <w:ind w:firstLine="360" w:firstLineChars="150"/>
        <w:jc w:val="left"/>
        <w:rPr>
          <w:rFonts w:ascii="宋体" w:hAnsi="宋体" w:cs="宋体"/>
          <w:sz w:val="24"/>
        </w:rPr>
      </w:pPr>
      <w:r>
        <w:rPr>
          <w:rFonts w:hint="eastAsia" w:ascii="宋体" w:hAnsi="宋体" w:cs="宋体"/>
          <w:sz w:val="24"/>
        </w:rPr>
        <w:t>我</w:t>
      </w:r>
      <w:r>
        <w:rPr>
          <w:rFonts w:hint="eastAsia" w:ascii="宋体" w:hAnsi="宋体" w:cs="宋体"/>
          <w:sz w:val="24"/>
          <w:lang w:val="en-US" w:eastAsia="zh-CN"/>
        </w:rPr>
        <w:t>单位</w:t>
      </w:r>
      <w:r>
        <w:rPr>
          <w:rFonts w:hint="eastAsia" w:ascii="宋体" w:hAnsi="宋体" w:cs="宋体"/>
          <w:sz w:val="24"/>
        </w:rPr>
        <w:t>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10"/>
        <w:spacing w:line="360" w:lineRule="auto"/>
        <w:jc w:val="center"/>
        <w:rPr>
          <w:rFonts w:hAnsi="宋体" w:cs="宋体"/>
          <w:sz w:val="24"/>
        </w:rPr>
      </w:pPr>
      <w:r>
        <w:rPr>
          <w:rFonts w:hint="eastAsia" w:hAnsi="宋体" w:cs="宋体"/>
          <w:sz w:val="24"/>
        </w:rPr>
        <w:t xml:space="preserve">                                  承诺日期：    年  月  日</w:t>
      </w:r>
    </w:p>
    <w:p>
      <w:pPr>
        <w:pStyle w:val="10"/>
        <w:spacing w:line="360" w:lineRule="auto"/>
        <w:jc w:val="left"/>
        <w:rPr>
          <w:rFonts w:hAnsi="宋体" w:cs="宋体"/>
          <w:sz w:val="24"/>
        </w:rPr>
      </w:pPr>
    </w:p>
    <w:p>
      <w:pPr>
        <w:pStyle w:val="10"/>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31"/>
        <w:ind w:firstLine="420"/>
        <w:rPr>
          <w:lang w:val="fr-CH"/>
        </w:rPr>
      </w:pPr>
    </w:p>
    <w:p>
      <w:pPr>
        <w:pStyle w:val="31"/>
        <w:ind w:firstLine="420"/>
        <w:rPr>
          <w:lang w:val="fr-CH"/>
        </w:rPr>
      </w:pPr>
    </w:p>
    <w:p>
      <w:pPr>
        <w:pStyle w:val="31"/>
        <w:ind w:firstLine="420"/>
        <w:rPr>
          <w:lang w:val="fr-CH"/>
        </w:rPr>
      </w:pPr>
    </w:p>
    <w:p>
      <w:pPr>
        <w:tabs>
          <w:tab w:val="left" w:pos="640"/>
          <w:tab w:val="left" w:pos="840"/>
          <w:tab w:val="left" w:pos="1260"/>
          <w:tab w:val="left" w:pos="1418"/>
        </w:tabs>
        <w:spacing w:line="360" w:lineRule="auto"/>
        <w:rPr>
          <w:rFonts w:ascii="宋体" w:hAnsi="宋体" w:cs="宋体"/>
          <w:sz w:val="24"/>
        </w:rPr>
      </w:pPr>
    </w:p>
    <w:p>
      <w:pPr>
        <w:jc w:val="left"/>
        <w:rPr>
          <w:rFonts w:ascii="宋体" w:hAnsi="宋体" w:cs="宋体"/>
          <w:b/>
          <w:sz w:val="24"/>
        </w:rPr>
      </w:pPr>
      <w:r>
        <w:rPr>
          <w:rFonts w:hint="eastAsia"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rPr>
          <w:rFonts w:ascii="宋体" w:hAnsi="宋体" w:cs="宋体"/>
          <w:szCs w:val="21"/>
        </w:rPr>
      </w:pPr>
    </w:p>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10"/>
              <w:spacing w:line="360" w:lineRule="auto"/>
              <w:rPr>
                <w:rFonts w:ascii="Arial Narrow" w:hAnsi="Arial Narrow"/>
                <w:b/>
                <w:bCs/>
                <w:szCs w:val="21"/>
              </w:rPr>
            </w:pPr>
          </w:p>
        </w:tc>
        <w:tc>
          <w:tcPr>
            <w:tcW w:w="4677" w:type="dxa"/>
            <w:noWrap w:val="0"/>
            <w:vAlign w:val="top"/>
          </w:tcPr>
          <w:p>
            <w:pPr>
              <w:pStyle w:val="10"/>
              <w:spacing w:line="360" w:lineRule="auto"/>
              <w:rPr>
                <w:rFonts w:ascii="Arial Narrow" w:hAnsi="Arial Narrow"/>
                <w:b/>
                <w:bCs/>
                <w:szCs w:val="21"/>
              </w:rPr>
            </w:pPr>
          </w:p>
        </w:tc>
      </w:tr>
    </w:tbl>
    <w:p>
      <w:pPr>
        <w:pStyle w:val="10"/>
        <w:spacing w:line="360" w:lineRule="auto"/>
        <w:jc w:val="center"/>
        <w:rPr>
          <w:rFonts w:hAnsi="宋体" w:cs="宋体"/>
          <w:b/>
          <w:sz w:val="24"/>
        </w:rPr>
      </w:pPr>
      <w:r>
        <w:rPr>
          <w:rFonts w:hint="eastAsia" w:hAnsi="宋体" w:cs="宋体"/>
          <w:b/>
          <w:sz w:val="24"/>
        </w:rPr>
        <w:t>8、法定代表人/单位负责人授权书</w:t>
      </w:r>
    </w:p>
    <w:p>
      <w:pPr>
        <w:pStyle w:val="10"/>
        <w:spacing w:line="360" w:lineRule="auto"/>
        <w:rPr>
          <w:rFonts w:hAnsi="宋体" w:cs="宋体"/>
          <w:sz w:val="24"/>
        </w:rPr>
      </w:pPr>
    </w:p>
    <w:p>
      <w:pPr>
        <w:pStyle w:val="10"/>
        <w:spacing w:line="360" w:lineRule="auto"/>
        <w:rPr>
          <w:rFonts w:hAnsi="宋体" w:cs="宋体"/>
          <w:sz w:val="24"/>
        </w:rPr>
      </w:pPr>
      <w:r>
        <w:rPr>
          <w:rFonts w:hint="eastAsia" w:hAnsi="宋体" w:cs="宋体"/>
          <w:b/>
          <w:sz w:val="24"/>
        </w:rPr>
        <w:t>深圳市前海深港现代服务业合作区管理局：</w:t>
      </w:r>
    </w:p>
    <w:p>
      <w:pPr>
        <w:pStyle w:val="10"/>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（被授权人的姓名、职务、联系方式）为本公司的合法代表人，就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0"/>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pStyle w:val="2"/>
        <w:rPr>
          <w:rFonts w:ascii="宋体" w:hAnsi="宋体" w:cs="宋体"/>
          <w:b/>
          <w:sz w:val="24"/>
        </w:rPr>
      </w:pPr>
    </w:p>
    <w:p>
      <w:pPr>
        <w:rPr>
          <w:rFonts w:ascii="宋体" w:hAnsi="宋体" w:cs="宋体"/>
          <w:b/>
          <w:sz w:val="24"/>
        </w:rPr>
      </w:pPr>
    </w:p>
    <w:p>
      <w:pPr>
        <w:pStyle w:val="2"/>
        <w:rPr>
          <w:rFonts w:ascii="宋体" w:hAnsi="宋体" w:cs="宋体"/>
          <w:b/>
          <w:sz w:val="24"/>
        </w:rPr>
      </w:pPr>
    </w:p>
    <w:p>
      <w:pPr>
        <w:rPr>
          <w:rFonts w:ascii="宋体" w:hAnsi="宋体" w:cs="宋体"/>
          <w:b/>
          <w:sz w:val="24"/>
        </w:rPr>
      </w:pPr>
    </w:p>
    <w:p>
      <w:pPr>
        <w:pStyle w:val="2"/>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10"/>
              <w:spacing w:line="360" w:lineRule="auto"/>
              <w:rPr>
                <w:rFonts w:ascii="Arial Narrow" w:hAnsi="Arial Narrow"/>
                <w:b/>
                <w:bCs/>
                <w:szCs w:val="21"/>
              </w:rPr>
            </w:pPr>
          </w:p>
        </w:tc>
        <w:tc>
          <w:tcPr>
            <w:tcW w:w="4677" w:type="dxa"/>
            <w:noWrap w:val="0"/>
            <w:vAlign w:val="top"/>
          </w:tcPr>
          <w:p>
            <w:pPr>
              <w:pStyle w:val="10"/>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hint="eastAsia" w:ascii="宋体" w:hAnsi="宋体" w:cs="宋体"/>
          <w:sz w:val="24"/>
          <w:lang w:eastAsia="zh-CN"/>
        </w:rPr>
        <w:t>账号</w:t>
      </w:r>
      <w:r>
        <w:rPr>
          <w:rFonts w:hint="eastAsia" w:ascii="宋体" w:hAnsi="宋体" w:cs="宋体"/>
          <w:sz w:val="24"/>
        </w:rPr>
        <w:t>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sz w:val="24"/>
        </w:rPr>
      </w:pPr>
      <w:r>
        <w:rPr>
          <w:rFonts w:hint="eastAsia" w:ascii="宋体" w:hAnsi="宋体" w:cs="宋体"/>
          <w:sz w:val="24"/>
          <w:lang w:val="fr-CH"/>
        </w:rPr>
        <w:br w:type="page"/>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、投标人简介（格式自拟）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11、投标人综合实力（格式自拟）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2</w:t>
      </w:r>
      <w:r>
        <w:rPr>
          <w:rFonts w:hint="eastAsia" w:ascii="宋体" w:hAnsi="宋体" w:cs="宋体"/>
          <w:b/>
          <w:bCs/>
          <w:sz w:val="24"/>
          <w:lang w:val="fr-CH"/>
        </w:rPr>
        <w:t>、拟派本项目负责人（1人）（格式自拟）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3</w:t>
      </w:r>
      <w:r>
        <w:rPr>
          <w:rFonts w:hint="eastAsia" w:ascii="宋体" w:hAnsi="宋体" w:cs="宋体"/>
          <w:b/>
          <w:bCs/>
          <w:sz w:val="24"/>
          <w:lang w:val="fr-CH"/>
        </w:rPr>
        <w:t>、项目团队人员情况（不含项目负责人）（格式自拟）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14、</w:t>
      </w:r>
      <w:r>
        <w:rPr>
          <w:rFonts w:hint="eastAsia" w:ascii="宋体" w:hAnsi="宋体" w:cs="宋体"/>
          <w:b/>
          <w:bCs/>
          <w:sz w:val="24"/>
          <w:lang w:val="fr-CH"/>
        </w:rPr>
        <w:t>投标人同类项目荣誉情况（格式自拟）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5</w:t>
      </w:r>
      <w:r>
        <w:rPr>
          <w:rFonts w:hint="eastAsia" w:ascii="宋体" w:hAnsi="宋体" w:cs="宋体"/>
          <w:b/>
          <w:bCs/>
          <w:sz w:val="24"/>
          <w:lang w:val="fr-CH"/>
        </w:rPr>
        <w:t>、投标单位认为有必要提供的其他材料（格式自拟）</w:t>
      </w:r>
    </w:p>
    <w:p>
      <w:pPr>
        <w:tabs>
          <w:tab w:val="left" w:pos="640"/>
          <w:tab w:val="left" w:pos="1260"/>
          <w:tab w:val="left" w:pos="1418"/>
        </w:tabs>
        <w:spacing w:line="360" w:lineRule="auto"/>
        <w:rPr>
          <w:rFonts w:ascii="宋体" w:hAnsi="宋体" w:cs="宋体"/>
          <w:b/>
          <w:bCs/>
          <w:sz w:val="24"/>
          <w:lang w:val="fr-CH"/>
        </w:rPr>
      </w:pP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19"/>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noWrap w:val="0"/>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noWrap w:val="0"/>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noWrap w:val="0"/>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ascii="宋体" w:hAnsi="宋体" w:cs="宋体"/>
                <w:bCs/>
                <w:sz w:val="24"/>
              </w:rPr>
            </w:pPr>
            <w:r>
              <w:rPr>
                <w:rFonts w:hint="eastAsia" w:ascii="宋体" w:hAnsi="宋体" w:cs="宋体"/>
                <w:bCs/>
                <w:sz w:val="24"/>
              </w:rPr>
              <w:t>1</w:t>
            </w:r>
          </w:p>
        </w:tc>
        <w:tc>
          <w:tcPr>
            <w:tcW w:w="3507" w:type="dxa"/>
            <w:noWrap w:val="0"/>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noWrap w:val="0"/>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10"/>
        <w:spacing w:line="360" w:lineRule="auto"/>
        <w:rPr>
          <w:rFonts w:hAnsi="宋体" w:cs="宋体"/>
          <w:bCs/>
          <w:sz w:val="24"/>
        </w:rPr>
      </w:pPr>
    </w:p>
    <w:p>
      <w:pPr>
        <w:pStyle w:val="10"/>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sz w:val="24"/>
          <w:lang w:val="sq-AL"/>
        </w:rPr>
        <w:br w:type="page"/>
      </w:r>
      <w:r>
        <w:rPr>
          <w:rFonts w:hint="eastAsia" w:ascii="宋体" w:hAnsi="宋体" w:cs="宋体"/>
          <w:b/>
          <w:bCs/>
          <w:sz w:val="24"/>
          <w:lang w:val="fr-CH"/>
        </w:rPr>
        <w:t>2、对项目需求的响应及理解（格式自拟）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3、实施方案（格式自拟）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4、项目重点难点分析、应对措施及相关的合理化建议（格式自拟）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5、</w:t>
      </w:r>
      <w:r>
        <w:rPr>
          <w:rFonts w:hint="eastAsia" w:ascii="宋体" w:hAnsi="宋体" w:cs="宋体"/>
          <w:b/>
          <w:bCs/>
          <w:sz w:val="24"/>
          <w:lang w:val="fr-CH"/>
        </w:rPr>
        <w:t>质量（完成时间、安全）保障措施及方案</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6、服务应急预案</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7</w:t>
      </w:r>
      <w:r>
        <w:rPr>
          <w:rFonts w:hint="eastAsia" w:ascii="宋体" w:hAnsi="宋体" w:cs="宋体"/>
          <w:b/>
          <w:bCs/>
          <w:sz w:val="24"/>
          <w:lang w:val="fr-CH"/>
        </w:rPr>
        <w:t>、投标单位认为有必要提供的其他材料（格式自拟）</w:t>
      </w:r>
    </w:p>
    <w:p>
      <w:pPr>
        <w:tabs>
          <w:tab w:val="left" w:pos="640"/>
          <w:tab w:val="left" w:pos="1260"/>
          <w:tab w:val="left" w:pos="1418"/>
        </w:tabs>
        <w:spacing w:line="360" w:lineRule="auto"/>
        <w:rPr>
          <w:rFonts w:ascii="宋体" w:hAnsi="宋体" w:cs="宋体"/>
          <w:b/>
          <w:bCs/>
          <w:sz w:val="24"/>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rPr>
      </w:pPr>
      <w:r>
        <w:rPr>
          <w:rFonts w:hint="eastAsia" w:ascii="宋体" w:hAnsi="宋体" w:cs="宋体"/>
          <w:sz w:val="24"/>
          <w:lang w:val="fr-CH"/>
        </w:rPr>
        <w:br w:type="page"/>
      </w:r>
      <w:bookmarkEnd w:id="20"/>
      <w:bookmarkStart w:id="25" w:name="_Toc3166"/>
      <w:bookmarkStart w:id="26" w:name="_Toc6251"/>
      <w:r>
        <w:rPr>
          <w:rFonts w:hint="eastAsia" w:ascii="宋体" w:hAnsi="宋体" w:cs="宋体"/>
          <w:b/>
          <w:bCs/>
          <w:sz w:val="24"/>
        </w:rPr>
        <w:t>附件：相关政策</w:t>
      </w:r>
      <w:bookmarkEnd w:id="25"/>
      <w:bookmarkEnd w:id="26"/>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rPr>
      </w:pP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2"/>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19"/>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33"/>
              <w:jc w:val="center"/>
              <w:rPr>
                <w:b/>
                <w:sz w:val="24"/>
                <w:szCs w:val="24"/>
              </w:rPr>
            </w:pPr>
            <w:r>
              <w:rPr>
                <w:rFonts w:hint="eastAsia"/>
                <w:b/>
                <w:sz w:val="24"/>
                <w:szCs w:val="24"/>
              </w:rPr>
              <w:t>序号</w:t>
            </w:r>
          </w:p>
        </w:tc>
        <w:tc>
          <w:tcPr>
            <w:tcW w:w="1866" w:type="dxa"/>
            <w:noWrap w:val="0"/>
            <w:vAlign w:val="center"/>
          </w:tcPr>
          <w:p>
            <w:pPr>
              <w:pStyle w:val="33"/>
              <w:jc w:val="center"/>
              <w:rPr>
                <w:b/>
                <w:sz w:val="24"/>
                <w:szCs w:val="24"/>
              </w:rPr>
            </w:pPr>
            <w:r>
              <w:rPr>
                <w:rFonts w:hint="eastAsia"/>
                <w:b/>
                <w:sz w:val="24"/>
                <w:szCs w:val="24"/>
              </w:rPr>
              <w:t>项目名称</w:t>
            </w:r>
          </w:p>
        </w:tc>
        <w:tc>
          <w:tcPr>
            <w:tcW w:w="2010" w:type="dxa"/>
            <w:noWrap w:val="0"/>
            <w:vAlign w:val="center"/>
          </w:tcPr>
          <w:p>
            <w:pPr>
              <w:pStyle w:val="33"/>
              <w:jc w:val="center"/>
              <w:rPr>
                <w:b/>
                <w:sz w:val="24"/>
                <w:szCs w:val="24"/>
              </w:rPr>
            </w:pPr>
            <w:r>
              <w:rPr>
                <w:rFonts w:hint="eastAsia"/>
                <w:b/>
                <w:sz w:val="24"/>
                <w:szCs w:val="24"/>
              </w:rPr>
              <w:t>预留选项</w:t>
            </w:r>
          </w:p>
        </w:tc>
        <w:tc>
          <w:tcPr>
            <w:tcW w:w="2296" w:type="dxa"/>
            <w:noWrap w:val="0"/>
            <w:vAlign w:val="center"/>
          </w:tcPr>
          <w:p>
            <w:pPr>
              <w:pStyle w:val="33"/>
              <w:jc w:val="center"/>
              <w:rPr>
                <w:b/>
                <w:sz w:val="24"/>
                <w:szCs w:val="24"/>
              </w:rPr>
            </w:pPr>
            <w:r>
              <w:rPr>
                <w:rFonts w:hint="eastAsia"/>
                <w:b/>
                <w:sz w:val="24"/>
                <w:szCs w:val="24"/>
              </w:rPr>
              <w:t>面向中小企业采购金额</w:t>
            </w:r>
          </w:p>
        </w:tc>
        <w:tc>
          <w:tcPr>
            <w:tcW w:w="1784" w:type="dxa"/>
            <w:noWrap w:val="0"/>
            <w:vAlign w:val="center"/>
          </w:tcPr>
          <w:p>
            <w:pPr>
              <w:pStyle w:val="33"/>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restart"/>
            <w:noWrap w:val="0"/>
            <w:vAlign w:val="center"/>
          </w:tcPr>
          <w:p>
            <w:pPr>
              <w:pStyle w:val="33"/>
              <w:jc w:val="center"/>
              <w:rPr>
                <w:sz w:val="24"/>
                <w:szCs w:val="24"/>
              </w:rPr>
            </w:pPr>
          </w:p>
        </w:tc>
        <w:tc>
          <w:tcPr>
            <w:tcW w:w="1866" w:type="dxa"/>
            <w:tcBorders>
              <w:bottom w:val="nil"/>
            </w:tcBorders>
            <w:noWrap w:val="0"/>
            <w:vAlign w:val="center"/>
          </w:tcPr>
          <w:p>
            <w:pPr>
              <w:pStyle w:val="33"/>
              <w:jc w:val="center"/>
              <w:rPr>
                <w:sz w:val="24"/>
                <w:szCs w:val="24"/>
              </w:rPr>
            </w:pPr>
          </w:p>
        </w:tc>
        <w:tc>
          <w:tcPr>
            <w:tcW w:w="2010" w:type="dxa"/>
            <w:tcBorders>
              <w:bottom w:val="nil"/>
            </w:tcBorders>
            <w:noWrap w:val="0"/>
            <w:vAlign w:val="center"/>
          </w:tcPr>
          <w:p>
            <w:pPr>
              <w:pStyle w:val="33"/>
              <w:jc w:val="center"/>
              <w:rPr>
                <w:sz w:val="24"/>
                <w:szCs w:val="24"/>
              </w:rPr>
            </w:pPr>
            <w:r>
              <w:rPr>
                <w:rFonts w:hint="eastAsia"/>
                <w:sz w:val="24"/>
                <w:szCs w:val="24"/>
              </w:rPr>
              <w:t>（填写“采购项</w:t>
            </w:r>
          </w:p>
        </w:tc>
        <w:tc>
          <w:tcPr>
            <w:tcW w:w="2296" w:type="dxa"/>
            <w:tcBorders>
              <w:bottom w:val="nil"/>
            </w:tcBorders>
            <w:noWrap w:val="0"/>
            <w:vAlign w:val="center"/>
          </w:tcPr>
          <w:p>
            <w:pPr>
              <w:pStyle w:val="33"/>
              <w:jc w:val="center"/>
              <w:rPr>
                <w:sz w:val="24"/>
                <w:szCs w:val="24"/>
              </w:rPr>
            </w:pPr>
          </w:p>
        </w:tc>
        <w:tc>
          <w:tcPr>
            <w:tcW w:w="1784" w:type="dxa"/>
            <w:vMerge w:val="restart"/>
            <w:noWrap w:val="0"/>
            <w:vAlign w:val="center"/>
          </w:tcPr>
          <w:p>
            <w:pPr>
              <w:pStyle w:val="33"/>
              <w:jc w:val="center"/>
              <w:rPr>
                <w:sz w:val="24"/>
                <w:szCs w:val="24"/>
              </w:rPr>
            </w:pPr>
          </w:p>
          <w:p>
            <w:pPr>
              <w:pStyle w:val="33"/>
              <w:jc w:val="center"/>
              <w:rPr>
                <w:sz w:val="24"/>
                <w:szCs w:val="24"/>
              </w:rPr>
            </w:pPr>
          </w:p>
          <w:p>
            <w:pPr>
              <w:pStyle w:val="33"/>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33"/>
              <w:jc w:val="center"/>
              <w:rPr>
                <w:sz w:val="24"/>
                <w:szCs w:val="24"/>
              </w:rPr>
            </w:pPr>
          </w:p>
        </w:tc>
        <w:tc>
          <w:tcPr>
            <w:tcW w:w="2010" w:type="dxa"/>
            <w:tcBorders>
              <w:top w:val="nil"/>
              <w:bottom w:val="nil"/>
            </w:tcBorders>
            <w:noWrap w:val="0"/>
            <w:vAlign w:val="center"/>
          </w:tcPr>
          <w:p>
            <w:pPr>
              <w:pStyle w:val="33"/>
              <w:jc w:val="center"/>
              <w:rPr>
                <w:sz w:val="24"/>
                <w:szCs w:val="24"/>
              </w:rPr>
            </w:pPr>
            <w:r>
              <w:rPr>
                <w:rFonts w:hint="eastAsia"/>
                <w:sz w:val="24"/>
                <w:szCs w:val="24"/>
              </w:rPr>
              <w:t>目整体预留”、</w:t>
            </w:r>
          </w:p>
        </w:tc>
        <w:tc>
          <w:tcPr>
            <w:tcW w:w="2296" w:type="dxa"/>
            <w:tcBorders>
              <w:top w:val="nil"/>
              <w:bottom w:val="nil"/>
            </w:tcBorders>
            <w:noWrap w:val="0"/>
            <w:vAlign w:val="center"/>
          </w:tcPr>
          <w:p>
            <w:pPr>
              <w:pStyle w:val="33"/>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33"/>
              <w:jc w:val="center"/>
              <w:rPr>
                <w:sz w:val="24"/>
                <w:szCs w:val="24"/>
              </w:rPr>
            </w:pPr>
          </w:p>
        </w:tc>
        <w:tc>
          <w:tcPr>
            <w:tcW w:w="2010" w:type="dxa"/>
            <w:tcBorders>
              <w:top w:val="nil"/>
              <w:bottom w:val="nil"/>
            </w:tcBorders>
            <w:noWrap w:val="0"/>
            <w:vAlign w:val="center"/>
          </w:tcPr>
          <w:p>
            <w:pPr>
              <w:pStyle w:val="33"/>
              <w:jc w:val="center"/>
              <w:rPr>
                <w:sz w:val="24"/>
                <w:szCs w:val="24"/>
              </w:rPr>
            </w:pPr>
            <w:r>
              <w:rPr>
                <w:rFonts w:hint="eastAsia"/>
                <w:sz w:val="24"/>
                <w:szCs w:val="24"/>
              </w:rPr>
              <w:t>“设置专门采购</w:t>
            </w:r>
          </w:p>
        </w:tc>
        <w:tc>
          <w:tcPr>
            <w:tcW w:w="2296" w:type="dxa"/>
            <w:tcBorders>
              <w:top w:val="nil"/>
              <w:bottom w:val="nil"/>
            </w:tcBorders>
            <w:noWrap w:val="0"/>
            <w:vAlign w:val="center"/>
          </w:tcPr>
          <w:p>
            <w:pPr>
              <w:pStyle w:val="33"/>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33"/>
              <w:jc w:val="center"/>
              <w:rPr>
                <w:sz w:val="24"/>
                <w:szCs w:val="24"/>
              </w:rPr>
            </w:pPr>
            <w:r>
              <w:rPr>
                <w:rFonts w:hint="eastAsia"/>
                <w:sz w:val="24"/>
                <w:szCs w:val="24"/>
              </w:rPr>
              <w:t>（填写集中采</w:t>
            </w:r>
          </w:p>
        </w:tc>
        <w:tc>
          <w:tcPr>
            <w:tcW w:w="2010" w:type="dxa"/>
            <w:tcBorders>
              <w:top w:val="nil"/>
              <w:bottom w:val="nil"/>
            </w:tcBorders>
            <w:noWrap w:val="0"/>
            <w:vAlign w:val="center"/>
          </w:tcPr>
          <w:p>
            <w:pPr>
              <w:pStyle w:val="33"/>
              <w:jc w:val="center"/>
              <w:rPr>
                <w:sz w:val="24"/>
                <w:szCs w:val="24"/>
              </w:rPr>
            </w:pPr>
            <w:r>
              <w:rPr>
                <w:rFonts w:hint="eastAsia"/>
                <w:sz w:val="24"/>
                <w:szCs w:val="24"/>
              </w:rPr>
              <w:t>包”、“要求以</w:t>
            </w:r>
          </w:p>
        </w:tc>
        <w:tc>
          <w:tcPr>
            <w:tcW w:w="2296" w:type="dxa"/>
            <w:tcBorders>
              <w:top w:val="nil"/>
              <w:bottom w:val="nil"/>
            </w:tcBorders>
            <w:noWrap w:val="0"/>
            <w:vAlign w:val="center"/>
          </w:tcPr>
          <w:p>
            <w:pPr>
              <w:pStyle w:val="33"/>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33"/>
              <w:jc w:val="center"/>
              <w:rPr>
                <w:sz w:val="24"/>
                <w:szCs w:val="24"/>
              </w:rPr>
            </w:pPr>
            <w:r>
              <w:rPr>
                <w:rFonts w:hint="eastAsia"/>
                <w:sz w:val="24"/>
                <w:szCs w:val="24"/>
              </w:rPr>
              <w:t>购目录以内或</w:t>
            </w:r>
          </w:p>
        </w:tc>
        <w:tc>
          <w:tcPr>
            <w:tcW w:w="2010" w:type="dxa"/>
            <w:tcBorders>
              <w:top w:val="nil"/>
              <w:bottom w:val="nil"/>
            </w:tcBorders>
            <w:noWrap w:val="0"/>
            <w:vAlign w:val="center"/>
          </w:tcPr>
          <w:p>
            <w:pPr>
              <w:pStyle w:val="33"/>
              <w:jc w:val="center"/>
              <w:rPr>
                <w:sz w:val="24"/>
                <w:szCs w:val="24"/>
              </w:rPr>
            </w:pPr>
            <w:r>
              <w:rPr>
                <w:rFonts w:hint="eastAsia"/>
                <w:sz w:val="24"/>
                <w:szCs w:val="24"/>
              </w:rPr>
              <w:t>联合体形式参</w:t>
            </w:r>
          </w:p>
        </w:tc>
        <w:tc>
          <w:tcPr>
            <w:tcW w:w="2296" w:type="dxa"/>
            <w:tcBorders>
              <w:top w:val="nil"/>
              <w:bottom w:val="nil"/>
            </w:tcBorders>
            <w:noWrap w:val="0"/>
            <w:vAlign w:val="center"/>
          </w:tcPr>
          <w:p>
            <w:pPr>
              <w:pStyle w:val="33"/>
              <w:jc w:val="center"/>
              <w:rPr>
                <w:sz w:val="24"/>
                <w:szCs w:val="24"/>
              </w:rPr>
            </w:pPr>
            <w:r>
              <w:rPr>
                <w:rFonts w:hint="eastAsia"/>
                <w:sz w:val="24"/>
                <w:szCs w:val="24"/>
              </w:rPr>
              <w:t>（精确到万元）</w:t>
            </w: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33"/>
              <w:jc w:val="center"/>
              <w:rPr>
                <w:sz w:val="24"/>
                <w:szCs w:val="24"/>
              </w:rPr>
            </w:pPr>
            <w:r>
              <w:rPr>
                <w:rFonts w:hint="eastAsia"/>
                <w:sz w:val="24"/>
                <w:szCs w:val="24"/>
              </w:rPr>
              <w:t>者采购限额标</w:t>
            </w:r>
          </w:p>
        </w:tc>
        <w:tc>
          <w:tcPr>
            <w:tcW w:w="2010" w:type="dxa"/>
            <w:tcBorders>
              <w:top w:val="nil"/>
              <w:bottom w:val="nil"/>
            </w:tcBorders>
            <w:noWrap w:val="0"/>
            <w:vAlign w:val="center"/>
          </w:tcPr>
          <w:p>
            <w:pPr>
              <w:pStyle w:val="33"/>
              <w:jc w:val="center"/>
              <w:rPr>
                <w:sz w:val="24"/>
                <w:szCs w:val="24"/>
              </w:rPr>
            </w:pPr>
            <w:r>
              <w:rPr>
                <w:rFonts w:hint="eastAsia"/>
                <w:sz w:val="24"/>
                <w:szCs w:val="24"/>
              </w:rPr>
              <w:t>加”或者“要求</w:t>
            </w:r>
          </w:p>
        </w:tc>
        <w:tc>
          <w:tcPr>
            <w:tcW w:w="2296" w:type="dxa"/>
            <w:tcBorders>
              <w:top w:val="nil"/>
              <w:bottom w:val="nil"/>
            </w:tcBorders>
            <w:noWrap w:val="0"/>
            <w:vAlign w:val="center"/>
          </w:tcPr>
          <w:p>
            <w:pPr>
              <w:pStyle w:val="33"/>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33"/>
              <w:jc w:val="center"/>
              <w:rPr>
                <w:sz w:val="24"/>
                <w:szCs w:val="24"/>
              </w:rPr>
            </w:pPr>
            <w:r>
              <w:rPr>
                <w:rFonts w:hint="eastAsia"/>
                <w:sz w:val="24"/>
                <w:szCs w:val="24"/>
              </w:rPr>
              <w:t>准以上的采购项目</w:t>
            </w:r>
          </w:p>
        </w:tc>
        <w:tc>
          <w:tcPr>
            <w:tcW w:w="2010" w:type="dxa"/>
            <w:tcBorders>
              <w:top w:val="nil"/>
              <w:bottom w:val="nil"/>
            </w:tcBorders>
            <w:noWrap w:val="0"/>
            <w:vAlign w:val="center"/>
          </w:tcPr>
          <w:p>
            <w:pPr>
              <w:pStyle w:val="33"/>
              <w:jc w:val="center"/>
              <w:rPr>
                <w:sz w:val="24"/>
                <w:szCs w:val="24"/>
              </w:rPr>
            </w:pPr>
            <w:r>
              <w:rPr>
                <w:rFonts w:hint="eastAsia"/>
                <w:sz w:val="24"/>
                <w:szCs w:val="24"/>
              </w:rPr>
              <w:t>合同分包”，除</w:t>
            </w:r>
          </w:p>
        </w:tc>
        <w:tc>
          <w:tcPr>
            <w:tcW w:w="2296" w:type="dxa"/>
            <w:tcBorders>
              <w:top w:val="nil"/>
              <w:bottom w:val="nil"/>
            </w:tcBorders>
            <w:noWrap w:val="0"/>
            <w:vAlign w:val="center"/>
          </w:tcPr>
          <w:p>
            <w:pPr>
              <w:pStyle w:val="33"/>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33"/>
              <w:jc w:val="center"/>
              <w:rPr>
                <w:sz w:val="24"/>
                <w:szCs w:val="24"/>
              </w:rPr>
            </w:pPr>
          </w:p>
        </w:tc>
        <w:tc>
          <w:tcPr>
            <w:tcW w:w="2010" w:type="dxa"/>
            <w:tcBorders>
              <w:top w:val="nil"/>
              <w:bottom w:val="nil"/>
            </w:tcBorders>
            <w:noWrap w:val="0"/>
            <w:vAlign w:val="center"/>
          </w:tcPr>
          <w:p>
            <w:pPr>
              <w:pStyle w:val="33"/>
              <w:jc w:val="center"/>
              <w:rPr>
                <w:sz w:val="24"/>
                <w:szCs w:val="24"/>
              </w:rPr>
            </w:pPr>
            <w:r>
              <w:rPr>
                <w:rFonts w:hint="eastAsia"/>
                <w:sz w:val="24"/>
                <w:szCs w:val="24"/>
              </w:rPr>
              <w:t>“采购项目全部</w:t>
            </w:r>
          </w:p>
        </w:tc>
        <w:tc>
          <w:tcPr>
            <w:tcW w:w="2296" w:type="dxa"/>
            <w:tcBorders>
              <w:top w:val="nil"/>
              <w:bottom w:val="nil"/>
            </w:tcBorders>
            <w:noWrap w:val="0"/>
            <w:vAlign w:val="center"/>
          </w:tcPr>
          <w:p>
            <w:pPr>
              <w:pStyle w:val="33"/>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33"/>
              <w:jc w:val="center"/>
              <w:rPr>
                <w:sz w:val="24"/>
                <w:szCs w:val="24"/>
              </w:rPr>
            </w:pPr>
          </w:p>
        </w:tc>
        <w:tc>
          <w:tcPr>
            <w:tcW w:w="2010" w:type="dxa"/>
            <w:tcBorders>
              <w:top w:val="nil"/>
              <w:bottom w:val="nil"/>
            </w:tcBorders>
            <w:noWrap w:val="0"/>
            <w:vAlign w:val="center"/>
          </w:tcPr>
          <w:p>
            <w:pPr>
              <w:pStyle w:val="33"/>
              <w:jc w:val="center"/>
              <w:rPr>
                <w:sz w:val="24"/>
                <w:szCs w:val="24"/>
              </w:rPr>
            </w:pPr>
            <w:r>
              <w:rPr>
                <w:rFonts w:hint="eastAsia"/>
                <w:sz w:val="24"/>
                <w:szCs w:val="24"/>
              </w:rPr>
              <w:t>预留”外，还应</w:t>
            </w:r>
          </w:p>
        </w:tc>
        <w:tc>
          <w:tcPr>
            <w:tcW w:w="2296" w:type="dxa"/>
            <w:tcBorders>
              <w:top w:val="nil"/>
              <w:bottom w:val="nil"/>
            </w:tcBorders>
            <w:noWrap w:val="0"/>
            <w:vAlign w:val="center"/>
          </w:tcPr>
          <w:p>
            <w:pPr>
              <w:pStyle w:val="33"/>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bottom w:val="nil"/>
            </w:tcBorders>
            <w:noWrap w:val="0"/>
            <w:vAlign w:val="center"/>
          </w:tcPr>
          <w:p>
            <w:pPr>
              <w:pStyle w:val="33"/>
              <w:jc w:val="center"/>
              <w:rPr>
                <w:sz w:val="24"/>
                <w:szCs w:val="24"/>
              </w:rPr>
            </w:pPr>
          </w:p>
        </w:tc>
        <w:tc>
          <w:tcPr>
            <w:tcW w:w="2010" w:type="dxa"/>
            <w:tcBorders>
              <w:top w:val="nil"/>
              <w:bottom w:val="nil"/>
            </w:tcBorders>
            <w:noWrap w:val="0"/>
            <w:vAlign w:val="center"/>
          </w:tcPr>
          <w:p>
            <w:pPr>
              <w:pStyle w:val="33"/>
              <w:jc w:val="center"/>
              <w:rPr>
                <w:sz w:val="24"/>
                <w:szCs w:val="24"/>
              </w:rPr>
            </w:pPr>
            <w:r>
              <w:rPr>
                <w:rFonts w:hint="eastAsia"/>
                <w:sz w:val="24"/>
                <w:szCs w:val="24"/>
              </w:rPr>
              <w:t>当填写预留给中</w:t>
            </w:r>
          </w:p>
        </w:tc>
        <w:tc>
          <w:tcPr>
            <w:tcW w:w="2296" w:type="dxa"/>
            <w:tcBorders>
              <w:top w:val="nil"/>
              <w:bottom w:val="nil"/>
            </w:tcBorders>
            <w:noWrap w:val="0"/>
            <w:vAlign w:val="center"/>
          </w:tcPr>
          <w:p>
            <w:pPr>
              <w:pStyle w:val="33"/>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sz w:val="24"/>
              </w:rPr>
            </w:pPr>
          </w:p>
        </w:tc>
        <w:tc>
          <w:tcPr>
            <w:tcW w:w="1866" w:type="dxa"/>
            <w:tcBorders>
              <w:top w:val="nil"/>
            </w:tcBorders>
            <w:noWrap w:val="0"/>
            <w:vAlign w:val="center"/>
          </w:tcPr>
          <w:p>
            <w:pPr>
              <w:pStyle w:val="33"/>
              <w:jc w:val="center"/>
              <w:rPr>
                <w:sz w:val="24"/>
                <w:szCs w:val="24"/>
              </w:rPr>
            </w:pPr>
          </w:p>
        </w:tc>
        <w:tc>
          <w:tcPr>
            <w:tcW w:w="2010" w:type="dxa"/>
            <w:tcBorders>
              <w:top w:val="nil"/>
            </w:tcBorders>
            <w:noWrap w:val="0"/>
            <w:vAlign w:val="center"/>
          </w:tcPr>
          <w:p>
            <w:pPr>
              <w:pStyle w:val="33"/>
              <w:jc w:val="center"/>
              <w:rPr>
                <w:sz w:val="24"/>
                <w:szCs w:val="24"/>
              </w:rPr>
            </w:pPr>
            <w:r>
              <w:rPr>
                <w:rFonts w:hint="eastAsia"/>
                <w:sz w:val="24"/>
                <w:szCs w:val="24"/>
              </w:rPr>
              <w:t>小企业的比例）</w:t>
            </w:r>
          </w:p>
        </w:tc>
        <w:tc>
          <w:tcPr>
            <w:tcW w:w="2296" w:type="dxa"/>
            <w:tcBorders>
              <w:top w:val="nil"/>
            </w:tcBorders>
            <w:noWrap w:val="0"/>
            <w:vAlign w:val="center"/>
          </w:tcPr>
          <w:p>
            <w:pPr>
              <w:pStyle w:val="33"/>
              <w:jc w:val="center"/>
              <w:rPr>
                <w:sz w:val="24"/>
                <w:szCs w:val="24"/>
              </w:rPr>
            </w:pPr>
          </w:p>
        </w:tc>
        <w:tc>
          <w:tcPr>
            <w:tcW w:w="1784" w:type="dxa"/>
            <w:vMerge w:val="continue"/>
            <w:tcBorders>
              <w:top w:val="nil"/>
            </w:tcBorders>
            <w:noWrap w:val="0"/>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33"/>
              <w:jc w:val="center"/>
              <w:rPr>
                <w:sz w:val="24"/>
                <w:szCs w:val="24"/>
              </w:rPr>
            </w:pPr>
            <w:r>
              <w:rPr>
                <w:rFonts w:hint="eastAsia"/>
                <w:sz w:val="24"/>
                <w:szCs w:val="24"/>
              </w:rPr>
              <w:t>……</w:t>
            </w:r>
          </w:p>
        </w:tc>
        <w:tc>
          <w:tcPr>
            <w:tcW w:w="1866" w:type="dxa"/>
            <w:noWrap w:val="0"/>
            <w:vAlign w:val="center"/>
          </w:tcPr>
          <w:p>
            <w:pPr>
              <w:pStyle w:val="33"/>
              <w:jc w:val="center"/>
              <w:rPr>
                <w:sz w:val="24"/>
                <w:szCs w:val="24"/>
              </w:rPr>
            </w:pPr>
            <w:r>
              <w:rPr>
                <w:rFonts w:hint="eastAsia"/>
                <w:sz w:val="24"/>
                <w:szCs w:val="24"/>
              </w:rPr>
              <w:t>……</w:t>
            </w:r>
          </w:p>
        </w:tc>
        <w:tc>
          <w:tcPr>
            <w:tcW w:w="2010" w:type="dxa"/>
            <w:noWrap w:val="0"/>
            <w:vAlign w:val="center"/>
          </w:tcPr>
          <w:p>
            <w:pPr>
              <w:pStyle w:val="33"/>
              <w:jc w:val="center"/>
              <w:rPr>
                <w:sz w:val="24"/>
                <w:szCs w:val="24"/>
              </w:rPr>
            </w:pPr>
            <w:r>
              <w:rPr>
                <w:rFonts w:hint="eastAsia"/>
                <w:sz w:val="24"/>
                <w:szCs w:val="24"/>
              </w:rPr>
              <w:t>……</w:t>
            </w:r>
          </w:p>
        </w:tc>
        <w:tc>
          <w:tcPr>
            <w:tcW w:w="2296" w:type="dxa"/>
            <w:noWrap w:val="0"/>
            <w:vAlign w:val="center"/>
          </w:tcPr>
          <w:p>
            <w:pPr>
              <w:pStyle w:val="33"/>
              <w:jc w:val="center"/>
              <w:rPr>
                <w:sz w:val="24"/>
                <w:szCs w:val="24"/>
              </w:rPr>
            </w:pPr>
            <w:r>
              <w:rPr>
                <w:rFonts w:hint="eastAsia"/>
                <w:sz w:val="24"/>
                <w:szCs w:val="24"/>
              </w:rPr>
              <w:t>……</w:t>
            </w:r>
          </w:p>
        </w:tc>
        <w:tc>
          <w:tcPr>
            <w:tcW w:w="1784" w:type="dxa"/>
            <w:noWrap w:val="0"/>
            <w:vAlign w:val="center"/>
          </w:tcPr>
          <w:p>
            <w:pPr>
              <w:pStyle w:val="33"/>
              <w:jc w:val="center"/>
              <w:rPr>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ascii="宋体" w:hAnsi="宋体" w:cs="宋体"/>
          <w:sz w:val="24"/>
        </w:rPr>
      </w:pPr>
    </w:p>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 xml:space="preserve">部门（单位）名称： </w:t>
      </w:r>
    </w:p>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日期：</w:t>
      </w:r>
    </w:p>
    <w:p>
      <w:pPr>
        <w:pStyle w:val="2"/>
        <w:tabs>
          <w:tab w:val="left" w:pos="562"/>
          <w:tab w:val="left" w:pos="3372"/>
          <w:tab w:val="left" w:pos="3653"/>
        </w:tabs>
        <w:rPr>
          <w:rFonts w:ascii="宋体" w:hAnsi="宋体" w:cs="宋体"/>
          <w:sz w:val="24"/>
        </w:rPr>
      </w:pPr>
    </w:p>
    <w:p>
      <w:pPr>
        <w:pStyle w:val="3"/>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w:t>
      </w:r>
      <w:r>
        <w:rPr>
          <w:rFonts w:hint="eastAsia" w:ascii="宋体" w:hAnsi="宋体" w:cs="宋体"/>
          <w:b/>
          <w:bCs/>
          <w:sz w:val="24"/>
          <w:lang w:eastAsia="zh-CN"/>
        </w:rPr>
        <w:t>工业和信息化部</w:t>
      </w:r>
      <w:r>
        <w:rPr>
          <w:rFonts w:hint="eastAsia" w:ascii="宋体" w:hAnsi="宋体" w:cs="宋体"/>
          <w:b/>
          <w:bCs/>
          <w:sz w:val="24"/>
        </w:rPr>
        <w:t>、国家统计局、国家发展和改革委员会、财政部《关于印发〈中小企业划型标准规定〉的通知》（工信部联企〔2011〕300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
      <w:pPr>
        <w:pStyle w:val="2"/>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3"/>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pStyle w:val="2"/>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noWrap w:val="0"/>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360" w:lineRule="auto"/>
              <w:jc w:val="center"/>
              <w:rPr>
                <w:rFonts w:ascii="宋体" w:hAnsi="宋体" w:cs="宋体"/>
                <w:kern w:val="0"/>
                <w:sz w:val="24"/>
              </w:rPr>
            </w:pP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360" w:lineRule="auto"/>
              <w:jc w:val="center"/>
              <w:rPr>
                <w:rFonts w:ascii="宋体" w:hAnsi="宋体" w:cs="宋体"/>
                <w:kern w:val="0"/>
                <w:sz w:val="24"/>
              </w:rPr>
            </w:pP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360" w:lineRule="auto"/>
              <w:jc w:val="center"/>
              <w:rPr>
                <w:rFonts w:ascii="宋体" w:hAnsi="宋体" w:cs="宋体"/>
                <w:kern w:val="0"/>
                <w:sz w:val="24"/>
              </w:rPr>
            </w:pP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360" w:lineRule="auto"/>
              <w:jc w:val="center"/>
              <w:rPr>
                <w:rFonts w:ascii="宋体" w:hAnsi="宋体" w:cs="宋体"/>
                <w:kern w:val="0"/>
                <w:sz w:val="24"/>
              </w:rPr>
            </w:pP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360" w:lineRule="auto"/>
              <w:jc w:val="center"/>
              <w:rPr>
                <w:rFonts w:ascii="宋体" w:hAnsi="宋体" w:cs="宋体"/>
                <w:kern w:val="0"/>
                <w:sz w:val="24"/>
              </w:rPr>
            </w:pP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360" w:lineRule="auto"/>
              <w:jc w:val="center"/>
              <w:rPr>
                <w:rFonts w:ascii="宋体" w:hAnsi="宋体" w:cs="宋体"/>
                <w:kern w:val="0"/>
                <w:sz w:val="24"/>
              </w:rPr>
            </w:pP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360" w:lineRule="auto"/>
              <w:jc w:val="center"/>
              <w:rPr>
                <w:rFonts w:ascii="宋体" w:hAnsi="宋体" w:cs="宋体"/>
                <w:kern w:val="0"/>
                <w:sz w:val="24"/>
              </w:rPr>
            </w:pP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360" w:lineRule="auto"/>
              <w:jc w:val="center"/>
              <w:rPr>
                <w:rFonts w:ascii="宋体" w:hAnsi="宋体" w:cs="宋体"/>
                <w:kern w:val="0"/>
                <w:sz w:val="24"/>
              </w:rPr>
            </w:pP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360" w:lineRule="auto"/>
              <w:jc w:val="center"/>
              <w:rPr>
                <w:rFonts w:ascii="宋体" w:hAnsi="宋体" w:cs="宋体"/>
                <w:kern w:val="0"/>
                <w:sz w:val="24"/>
              </w:rPr>
            </w:pP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360" w:lineRule="auto"/>
              <w:jc w:val="center"/>
              <w:rPr>
                <w:rFonts w:ascii="宋体" w:hAnsi="宋体" w:cs="宋体"/>
                <w:kern w:val="0"/>
                <w:sz w:val="24"/>
              </w:rPr>
            </w:pP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360" w:lineRule="auto"/>
              <w:jc w:val="center"/>
              <w:rPr>
                <w:rFonts w:ascii="宋体" w:hAnsi="宋体" w:cs="宋体"/>
                <w:kern w:val="0"/>
                <w:sz w:val="24"/>
              </w:rPr>
            </w:pP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360" w:lineRule="auto"/>
              <w:jc w:val="center"/>
              <w:rPr>
                <w:rFonts w:ascii="宋体" w:hAnsi="宋体" w:cs="宋体"/>
                <w:kern w:val="0"/>
                <w:sz w:val="24"/>
              </w:rPr>
            </w:pP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360" w:lineRule="auto"/>
              <w:jc w:val="center"/>
              <w:rPr>
                <w:rFonts w:ascii="宋体" w:hAnsi="宋体" w:cs="宋体"/>
                <w:kern w:val="0"/>
                <w:sz w:val="24"/>
              </w:rPr>
            </w:pP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360" w:lineRule="auto"/>
              <w:jc w:val="center"/>
              <w:rPr>
                <w:rFonts w:ascii="宋体" w:hAnsi="宋体" w:cs="宋体"/>
                <w:kern w:val="0"/>
                <w:sz w:val="24"/>
              </w:rPr>
            </w:pP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6"/>
        <w:shd w:val="clear" w:color="auto" w:fill="FFFFFF"/>
        <w:spacing w:before="0" w:beforeAutospacing="0" w:after="0" w:afterAutospacing="0" w:line="360" w:lineRule="auto"/>
        <w:jc w:val="center"/>
      </w:pPr>
      <w:r>
        <w:rPr>
          <w:rFonts w:hint="eastAsia"/>
        </w:rPr>
        <w:t>　　</w:t>
      </w:r>
      <w:bookmarkStart w:id="27" w:name="sendNo"/>
      <w:r>
        <w:rPr>
          <w:rFonts w:hint="eastAsia"/>
        </w:rPr>
        <w:t>财库〔</w:t>
      </w:r>
      <w:bookmarkEnd w:id="27"/>
      <w:r>
        <w:rPr>
          <w:rFonts w:hint="eastAsia"/>
        </w:rPr>
        <w:t>2017〕141号</w:t>
      </w:r>
    </w:p>
    <w:p>
      <w:pPr>
        <w:pStyle w:val="16"/>
        <w:shd w:val="clear" w:color="auto" w:fill="FFFFFF"/>
        <w:spacing w:before="0" w:beforeAutospacing="0" w:after="0" w:afterAutospacing="0" w:line="360" w:lineRule="auto"/>
        <w:ind w:firstLine="480" w:firstLineChars="200"/>
      </w:pPr>
      <w:bookmarkStart w:id="28"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rPr>
        <w:t>：</w:t>
      </w:r>
    </w:p>
    <w:p>
      <w:pPr>
        <w:pStyle w:val="16"/>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pPr>
      <w:r>
        <w:rPr>
          <w:rFonts w:hint="eastAsia"/>
        </w:rPr>
        <w:t>七、本通知自2017年10月1日起执行。</w:t>
      </w:r>
    </w:p>
    <w:p>
      <w:pPr>
        <w:pStyle w:val="16"/>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6"/>
        <w:shd w:val="clear" w:color="auto" w:fill="FFFFFF"/>
        <w:spacing w:before="0" w:beforeAutospacing="0" w:after="0" w:afterAutospacing="0" w:line="360" w:lineRule="auto"/>
        <w:ind w:firstLine="480" w:firstLineChars="200"/>
        <w:jc w:val="right"/>
      </w:pPr>
      <w:r>
        <w:rPr>
          <w:rFonts w:hint="eastAsia"/>
        </w:rPr>
        <w:t>2017年8月22日</w:t>
      </w:r>
    </w:p>
    <w:p>
      <w:pPr>
        <w:pStyle w:val="34"/>
        <w:shd w:val="clear" w:color="auto" w:fill="FFFFFF"/>
        <w:spacing w:before="0" w:beforeAutospacing="0" w:after="0" w:afterAutospacing="0" w:line="360" w:lineRule="auto"/>
        <w:jc w:val="both"/>
      </w:pPr>
    </w:p>
    <w:p>
      <w:pPr>
        <w:pStyle w:val="34"/>
        <w:shd w:val="clear" w:color="auto" w:fill="FFFFFF"/>
        <w:spacing w:before="0" w:beforeAutospacing="0" w:after="0" w:afterAutospacing="0" w:line="360" w:lineRule="auto"/>
        <w:jc w:val="both"/>
      </w:pPr>
    </w:p>
    <w:p>
      <w:pPr>
        <w:pStyle w:val="34"/>
        <w:shd w:val="clear" w:color="auto" w:fill="FFFFFF"/>
        <w:spacing w:before="0" w:beforeAutospacing="0" w:after="0" w:afterAutospacing="0" w:line="360" w:lineRule="auto"/>
        <w:jc w:val="both"/>
      </w:pPr>
    </w:p>
    <w:p>
      <w:pPr>
        <w:pStyle w:val="34"/>
        <w:shd w:val="clear" w:color="auto" w:fill="FFFFFF"/>
        <w:spacing w:before="0" w:beforeAutospacing="0" w:after="0" w:afterAutospacing="0" w:line="360" w:lineRule="auto"/>
        <w:jc w:val="both"/>
      </w:pPr>
    </w:p>
    <w:p>
      <w:pPr>
        <w:pStyle w:val="34"/>
        <w:shd w:val="clear" w:color="auto" w:fill="FFFFFF"/>
        <w:spacing w:before="0" w:beforeAutospacing="0" w:after="0" w:afterAutospacing="0" w:line="360" w:lineRule="auto"/>
        <w:jc w:val="both"/>
      </w:pPr>
    </w:p>
    <w:p>
      <w:pPr>
        <w:pStyle w:val="34"/>
        <w:shd w:val="clear" w:color="auto" w:fill="FFFFFF"/>
        <w:spacing w:before="0" w:beforeAutospacing="0" w:after="0" w:afterAutospacing="0" w:line="360" w:lineRule="auto"/>
        <w:jc w:val="both"/>
      </w:pPr>
    </w:p>
    <w:p>
      <w:r>
        <w:rPr>
          <w:rFonts w:hint="eastAsia"/>
        </w:rPr>
        <w:br w:type="page"/>
      </w:r>
    </w:p>
    <w:p>
      <w:pPr>
        <w:pStyle w:val="34"/>
        <w:shd w:val="clear" w:color="auto" w:fill="FFFFFF"/>
        <w:spacing w:before="0" w:beforeAutospacing="0" w:after="0" w:afterAutospacing="0" w:line="360" w:lineRule="auto"/>
        <w:jc w:val="both"/>
      </w:pPr>
      <w:r>
        <w:rPr>
          <w:rFonts w:hint="eastAsia"/>
        </w:rPr>
        <w:t>附件：</w:t>
      </w:r>
    </w:p>
    <w:p>
      <w:pPr>
        <w:pStyle w:val="34"/>
        <w:shd w:val="clear" w:color="auto" w:fill="FFFFFF"/>
        <w:spacing w:before="0" w:beforeAutospacing="0" w:after="0" w:afterAutospacing="0" w:line="360" w:lineRule="auto"/>
        <w:ind w:firstLine="482" w:firstLineChars="200"/>
        <w:jc w:val="center"/>
      </w:pPr>
      <w:r>
        <w:rPr>
          <w:rStyle w:val="35"/>
          <w:rFonts w:hint="eastAsia"/>
          <w:b/>
          <w:bCs/>
        </w:rPr>
        <w:t>残疾人福利性单位声明函</w:t>
      </w:r>
    </w:p>
    <w:p>
      <w:pPr>
        <w:pStyle w:val="34"/>
        <w:shd w:val="clear" w:color="auto" w:fill="FFFFFF"/>
        <w:spacing w:before="0" w:beforeAutospacing="0" w:after="0" w:afterAutospacing="0" w:line="360" w:lineRule="auto"/>
        <w:ind w:firstLine="480" w:firstLineChars="200"/>
        <w:jc w:val="both"/>
      </w:pPr>
    </w:p>
    <w:p>
      <w:pPr>
        <w:pStyle w:val="34"/>
        <w:shd w:val="clear" w:color="auto" w:fill="FFFFFF"/>
        <w:spacing w:before="0" w:beforeAutospacing="0" w:after="0" w:afterAutospacing="0" w:line="360" w:lineRule="auto"/>
        <w:ind w:firstLine="480" w:firstLineChars="200"/>
        <w:jc w:val="both"/>
      </w:pPr>
      <w:r>
        <w:rPr>
          <w:rStyle w:val="35"/>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shd w:val="clear" w:color="auto" w:fill="FFFFFF"/>
        <w:spacing w:before="0" w:beforeAutospacing="0" w:after="0" w:afterAutospacing="0" w:line="360" w:lineRule="auto"/>
        <w:ind w:firstLine="480" w:firstLineChars="200"/>
        <w:jc w:val="both"/>
      </w:pPr>
      <w:r>
        <w:rPr>
          <w:rStyle w:val="35"/>
          <w:rFonts w:hint="eastAsia"/>
        </w:rPr>
        <w:t>本单位对上述声明的真实性负责。如有虚假，将依法承担相应责任。</w:t>
      </w:r>
    </w:p>
    <w:p>
      <w:pPr>
        <w:pStyle w:val="34"/>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34"/>
        <w:shd w:val="clear" w:color="auto" w:fill="FFFFFF"/>
        <w:spacing w:before="0" w:beforeAutospacing="0" w:after="0" w:afterAutospacing="0" w:line="360" w:lineRule="auto"/>
        <w:ind w:firstLine="480" w:firstLineChars="200"/>
        <w:jc w:val="both"/>
      </w:pPr>
    </w:p>
    <w:p>
      <w:pPr>
        <w:pStyle w:val="34"/>
        <w:shd w:val="clear" w:color="auto" w:fill="FFFFFF"/>
        <w:spacing w:before="0" w:beforeAutospacing="0" w:after="0" w:afterAutospacing="0" w:line="360" w:lineRule="auto"/>
        <w:ind w:right="2100" w:rightChars="1000"/>
        <w:jc w:val="right"/>
      </w:pPr>
      <w:r>
        <w:rPr>
          <w:rStyle w:val="35"/>
          <w:rFonts w:hint="eastAsia"/>
        </w:rPr>
        <w:t>单位名称（盖章）：</w:t>
      </w:r>
    </w:p>
    <w:p>
      <w:pPr>
        <w:pStyle w:val="34"/>
        <w:shd w:val="clear" w:color="auto" w:fill="FFFFFF"/>
        <w:spacing w:before="0" w:beforeAutospacing="0" w:after="0" w:afterAutospacing="0" w:line="360" w:lineRule="auto"/>
        <w:ind w:right="2100" w:rightChars="1000"/>
        <w:jc w:val="right"/>
        <w:rPr>
          <w:lang w:val="fr-CH"/>
        </w:rPr>
      </w:pPr>
      <w:r>
        <w:rPr>
          <w:rStyle w:val="35"/>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headerReference r:id="rId12" w:type="first"/>
      <w:headerReference r:id="rId10" w:type="default"/>
      <w:headerReference r:id="rId11"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jc w:val="right"/>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11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jc w:val="right"/>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11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kern w:val="0"/>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ZPio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DZPiozAgAAZQ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kern w:val="0"/>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K5b8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WH2LAtb&#10;vbM8Qkd5vF0dA+RMKkdROiXQnXjA9KU+9ZsSx/vPc4p6/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grlvzICAABl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21352796" name="WordArt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ffectLst/>
                    </wps:spPr>
                    <wps:bodyPr vert="horz" wrap="square" numCol="1" fromWordArt="1" anchor="t" anchorCtr="0">
                      <a:prstTxWarp prst="textPlain">
                        <a:avLst>
                          <a:gd name="adj" fmla="val 50000"/>
                        </a:avLst>
                      </a:prstTxWarp>
                      <a:spAutoFit/>
                    </wps:bodyPr>
                  </wps:wsp>
                </a:graphicData>
              </a:graphic>
            </wp:anchor>
          </w:drawing>
        </mc:Choice>
        <mc:Fallback>
          <w:pict>
            <v:shape id="WordArt 6" o:spid="_x0000_s1026" o:spt="202" type="#_x0000_t202" style="position:absolute;left:0pt;margin-left:0pt;margin-top:0pt;height:50pt;width:50pt;visibility:hidden;z-index:251662336;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IVPm0QAAAAUBAAAPAAAAAAAAAAEAIAAAACIAAABkcnMvZG93bnJldi54bWxQSwECFAAU&#10;AAAACACHTuJABtdGbzECAABsBAAADgAAAAAAAAABACAAAAAgAQAAZHJzL2Uyb0RvYy54bWxQSwUG&#10;AAAAAAYABgBZAQAAwwUAAAAA&#10;" adj="10800">
              <v:fill on="f" focussize="0,0"/>
              <v:stroke on="f"/>
              <v:imagedata o:title=""/>
              <o:lock v:ext="edit" selection="t" aspectratio="f"/>
              <v:textbox style="mso-fit-shape-to-text: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540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64825174"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ffectLst/>
                    </wps:spPr>
                    <wps:bodyPr vert="horz" wrap="square" numCol="1" fromWordArt="1" anchor="t" anchorCtr="0">
                      <a:prstTxWarp prst="textPlain">
                        <a:avLst>
                          <a:gd name="adj" fmla="val 50000"/>
                        </a:avLst>
                      </a:prstTxWarp>
                      <a:spAutoFit/>
                    </wps:bodyPr>
                  </wps:wsp>
                </a:graphicData>
              </a:graphic>
            </wp:anchor>
          </w:drawing>
        </mc:Choice>
        <mc:Fallback>
          <w:pict>
            <v:shape id="WordArt 2" o:spid="_x0000_s1026" o:spt="202" type="#_x0000_t202" style="position:absolute;left:0pt;margin-left:0pt;margin-top:0pt;height:50pt;width:50pt;visibility:hidden;z-index:251665408;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yFT5tEAAAAFAQAADwAAAAAAAAABACAAAAAiAAAAZHJzL2Rvd25yZXYueG1sUEsBAhQA&#10;FAAAAAgAh07iQPE/cUsyAgAAbAQAAA4AAAAAAAAAAQAgAAAAIAEAAGRycy9lMm9Eb2MueG1sUEsF&#10;BgAAAAAGAAYAWQEAAMQFAAAAAA==&#10;" adj="10800">
              <v:fill on="f" focussize="0,0"/>
              <v:stroke on="f"/>
              <v:imagedata o:title=""/>
              <o:lock v:ext="edit" selection="t" aspectratio="f"/>
              <v:textbox style="mso-fit-shape-to-text:t;"/>
            </v:shape>
          </w:pict>
        </mc:Fallback>
      </mc:AlternateContent>
    </w:r>
    <w:r>
      <w:pict>
        <v:shape id="_x0000_s3075" o:spid="_x0000_s3075" o:spt="136" type="#_x0000_t136" style="position:absolute;left:0pt;height:207.5pt;width:415pt;mso-position-horizontal:center;mso-position-horizontal-relative:margin;mso-position-vertical:center;mso-position-vertical-relative:margin;z-index:-251655168;mso-width-relative:page;mso-height-relative:page;" fillcolor="#000000" filled="t" stroked="f" coordsize="21600,21600">
          <v:path/>
          <v:fill on="t" focussize="0,0"/>
          <v:stroke on="f"/>
          <v:imagedata o:title=""/>
          <o:lock v:ext="edit" text="f"/>
          <v:textpath on="t" fitshape="t" fitpath="t" trim="f" xscale="f" string="闫佳20230621"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023964442"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ffectLst/>
                    </wps:spPr>
                    <wps:bodyPr vert="horz" wrap="square" numCol="1" fromWordArt="1" anchor="t" anchorCtr="0">
                      <a:prstTxWarp prst="textPlain">
                        <a:avLst>
                          <a:gd name="adj" fmla="val 50000"/>
                        </a:avLst>
                      </a:prstTxWarp>
                      <a:spAutoFit/>
                    </wps:bodyPr>
                  </wps:wsp>
                </a:graphicData>
              </a:graphic>
            </wp:anchor>
          </w:drawing>
        </mc:Choice>
        <mc:Fallback>
          <w:pict>
            <v:shape id="WordArt 4" o:spid="_x0000_s1026" o:spt="202" type="#_x0000_t202" style="position:absolute;left:0pt;margin-left:0pt;margin-top:0pt;height:50pt;width:50pt;visibility:hidden;z-index:251663360;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yFT5tEAAAAFAQAADwAAAAAAAAABACAAAAAiAAAAZHJzL2Rvd25yZXYueG1sUEsBAhQA&#10;FAAAAAgAh07iQNhRX78yAgAAbQQAAA4AAAAAAAAAAQAgAAAAIAEAAGRycy9lMm9Eb2MueG1sUEsF&#10;BgAAAAAGAAYAWQEAAMQFAAAAAA==&#10;" adj="10800">
              <v:fill on="f" focussize="0,0"/>
              <v:stroke on="f"/>
              <v:imagedata o:title=""/>
              <o:lock v:ext="edit" selection="t" aspectratio="f"/>
              <v:textbox style="mso-fit-shape-to-text:t;"/>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F2E357F0"/>
    <w:multiLevelType w:val="singleLevel"/>
    <w:tmpl w:val="F2E357F0"/>
    <w:lvl w:ilvl="0" w:tentative="0">
      <w:start w:val="1"/>
      <w:numFmt w:val="decimalEnclosedCircleChinese"/>
      <w:suff w:val="nothing"/>
      <w:lvlText w:val="%1　"/>
      <w:lvlJc w:val="left"/>
      <w:pPr>
        <w:ind w:left="0" w:firstLine="400"/>
      </w:pPr>
      <w:rPr>
        <w:rFonts w:hint="eastAsia"/>
      </w:rPr>
    </w:lvl>
  </w:abstractNum>
  <w:abstractNum w:abstractNumId="4">
    <w:nsid w:val="147E6560"/>
    <w:multiLevelType w:val="multilevel"/>
    <w:tmpl w:val="147E6560"/>
    <w:lvl w:ilvl="0" w:tentative="0">
      <w:start w:val="1"/>
      <w:numFmt w:val="chineseCountingThousand"/>
      <w:pStyle w:val="42"/>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557559BE"/>
    <w:multiLevelType w:val="singleLevel"/>
    <w:tmpl w:val="557559BE"/>
    <w:lvl w:ilvl="0" w:tentative="0">
      <w:start w:val="2"/>
      <w:numFmt w:val="chineseCounting"/>
      <w:suff w:val="nothing"/>
      <w:lvlText w:val="（%1）"/>
      <w:lvlJc w:val="left"/>
      <w:rPr>
        <w:rFonts w:hint="eastAsia"/>
      </w:rPr>
    </w:lvl>
  </w:abstractNum>
  <w:abstractNum w:abstractNumId="7">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4"/>
  </w:num>
  <w:num w:numId="2">
    <w:abstractNumId w:val="8"/>
  </w:num>
  <w:num w:numId="3">
    <w:abstractNumId w:val="1"/>
  </w:num>
  <w:num w:numId="4">
    <w:abstractNumId w:val="3"/>
  </w:num>
  <w:num w:numId="5">
    <w:abstractNumId w:val="0"/>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172A27"/>
    <w:rsid w:val="000F3780"/>
    <w:rsid w:val="00102FCF"/>
    <w:rsid w:val="00127819"/>
    <w:rsid w:val="00172A27"/>
    <w:rsid w:val="001D18BD"/>
    <w:rsid w:val="001D3334"/>
    <w:rsid w:val="001E733B"/>
    <w:rsid w:val="002D3A6D"/>
    <w:rsid w:val="00427844"/>
    <w:rsid w:val="00523433"/>
    <w:rsid w:val="00531F14"/>
    <w:rsid w:val="005B0D49"/>
    <w:rsid w:val="00621A13"/>
    <w:rsid w:val="00770252"/>
    <w:rsid w:val="007A52F5"/>
    <w:rsid w:val="007E232B"/>
    <w:rsid w:val="00821404"/>
    <w:rsid w:val="009261FF"/>
    <w:rsid w:val="00B7098E"/>
    <w:rsid w:val="00C26D89"/>
    <w:rsid w:val="00CD3D5E"/>
    <w:rsid w:val="00CD418D"/>
    <w:rsid w:val="00D05268"/>
    <w:rsid w:val="00E04AD1"/>
    <w:rsid w:val="00E65A04"/>
    <w:rsid w:val="00E75D82"/>
    <w:rsid w:val="00EE7285"/>
    <w:rsid w:val="010C37B8"/>
    <w:rsid w:val="016F05E9"/>
    <w:rsid w:val="01A11967"/>
    <w:rsid w:val="01BD17FD"/>
    <w:rsid w:val="02B9090A"/>
    <w:rsid w:val="02BD3216"/>
    <w:rsid w:val="031107FC"/>
    <w:rsid w:val="03344889"/>
    <w:rsid w:val="03510688"/>
    <w:rsid w:val="03C80805"/>
    <w:rsid w:val="042004D6"/>
    <w:rsid w:val="04220A01"/>
    <w:rsid w:val="04E7185A"/>
    <w:rsid w:val="05024E58"/>
    <w:rsid w:val="05690583"/>
    <w:rsid w:val="05D84CA5"/>
    <w:rsid w:val="05EB2641"/>
    <w:rsid w:val="063313B4"/>
    <w:rsid w:val="06897EFF"/>
    <w:rsid w:val="07552703"/>
    <w:rsid w:val="077AF5D6"/>
    <w:rsid w:val="07D06FDE"/>
    <w:rsid w:val="07DB29DD"/>
    <w:rsid w:val="085A6660"/>
    <w:rsid w:val="088C4E09"/>
    <w:rsid w:val="08C71150"/>
    <w:rsid w:val="09A36B41"/>
    <w:rsid w:val="0A183285"/>
    <w:rsid w:val="0A223D31"/>
    <w:rsid w:val="0B1A27AE"/>
    <w:rsid w:val="0B300A46"/>
    <w:rsid w:val="0B30205B"/>
    <w:rsid w:val="0B9650E5"/>
    <w:rsid w:val="0BC33EB3"/>
    <w:rsid w:val="0BCC6A37"/>
    <w:rsid w:val="0BD45EF5"/>
    <w:rsid w:val="0BF67D6A"/>
    <w:rsid w:val="0C4D7368"/>
    <w:rsid w:val="0C6C4A39"/>
    <w:rsid w:val="0CCB3933"/>
    <w:rsid w:val="0D376BE5"/>
    <w:rsid w:val="0DB46393"/>
    <w:rsid w:val="0DBFF8A4"/>
    <w:rsid w:val="0DFE1188"/>
    <w:rsid w:val="0E0636C2"/>
    <w:rsid w:val="0E541CB6"/>
    <w:rsid w:val="0E96238A"/>
    <w:rsid w:val="0F226313"/>
    <w:rsid w:val="0F260153"/>
    <w:rsid w:val="0F9B909F"/>
    <w:rsid w:val="0FA94F43"/>
    <w:rsid w:val="0FBC28CC"/>
    <w:rsid w:val="0FFE3C2D"/>
    <w:rsid w:val="10762E0F"/>
    <w:rsid w:val="1180592F"/>
    <w:rsid w:val="12117034"/>
    <w:rsid w:val="122F0D51"/>
    <w:rsid w:val="126D9995"/>
    <w:rsid w:val="12EA61D9"/>
    <w:rsid w:val="12ED74B0"/>
    <w:rsid w:val="12F47908"/>
    <w:rsid w:val="13BB0907"/>
    <w:rsid w:val="140D3389"/>
    <w:rsid w:val="14B80211"/>
    <w:rsid w:val="15297246"/>
    <w:rsid w:val="156E66B6"/>
    <w:rsid w:val="15787C5B"/>
    <w:rsid w:val="162D45A8"/>
    <w:rsid w:val="168B5553"/>
    <w:rsid w:val="1717300A"/>
    <w:rsid w:val="172B6B31"/>
    <w:rsid w:val="175D30A4"/>
    <w:rsid w:val="178E628A"/>
    <w:rsid w:val="17974DC1"/>
    <w:rsid w:val="1797A8E8"/>
    <w:rsid w:val="179B71CA"/>
    <w:rsid w:val="17AFCD58"/>
    <w:rsid w:val="17BF9709"/>
    <w:rsid w:val="17DFB82A"/>
    <w:rsid w:val="17E41A7D"/>
    <w:rsid w:val="17F917F2"/>
    <w:rsid w:val="18235CAA"/>
    <w:rsid w:val="18270E2D"/>
    <w:rsid w:val="18B65219"/>
    <w:rsid w:val="18BD7EDC"/>
    <w:rsid w:val="198C2042"/>
    <w:rsid w:val="199D0E65"/>
    <w:rsid w:val="19D86C84"/>
    <w:rsid w:val="19FA3545"/>
    <w:rsid w:val="1A035868"/>
    <w:rsid w:val="1A827038"/>
    <w:rsid w:val="1AD3361A"/>
    <w:rsid w:val="1AF56CB1"/>
    <w:rsid w:val="1B1D4692"/>
    <w:rsid w:val="1B3C173F"/>
    <w:rsid w:val="1B4E1CC5"/>
    <w:rsid w:val="1B7F54A3"/>
    <w:rsid w:val="1B7FF535"/>
    <w:rsid w:val="1BBFE1C1"/>
    <w:rsid w:val="1BFDEAE4"/>
    <w:rsid w:val="1BFFE856"/>
    <w:rsid w:val="1C215235"/>
    <w:rsid w:val="1CAF6DFF"/>
    <w:rsid w:val="1CBF97F2"/>
    <w:rsid w:val="1D0B0658"/>
    <w:rsid w:val="1D9A259A"/>
    <w:rsid w:val="1DEBDB17"/>
    <w:rsid w:val="1E7EB620"/>
    <w:rsid w:val="1E8D5784"/>
    <w:rsid w:val="1E8E7398"/>
    <w:rsid w:val="1EDD6EA9"/>
    <w:rsid w:val="1EF7CA78"/>
    <w:rsid w:val="1EFF6F72"/>
    <w:rsid w:val="1F0A406F"/>
    <w:rsid w:val="1F1D05E3"/>
    <w:rsid w:val="1F25C25A"/>
    <w:rsid w:val="1F3670F2"/>
    <w:rsid w:val="1F5BAC61"/>
    <w:rsid w:val="1F5D2FD1"/>
    <w:rsid w:val="1F6EF29D"/>
    <w:rsid w:val="1F752B76"/>
    <w:rsid w:val="1F7F4BF3"/>
    <w:rsid w:val="1FAFF4B3"/>
    <w:rsid w:val="1FB7081D"/>
    <w:rsid w:val="1FBAC58D"/>
    <w:rsid w:val="1FBBF8DB"/>
    <w:rsid w:val="1FD6A300"/>
    <w:rsid w:val="1FD96C40"/>
    <w:rsid w:val="1FFEA8A4"/>
    <w:rsid w:val="1FFF9FA2"/>
    <w:rsid w:val="2076032E"/>
    <w:rsid w:val="207865DF"/>
    <w:rsid w:val="20A4382C"/>
    <w:rsid w:val="213740D6"/>
    <w:rsid w:val="216300BC"/>
    <w:rsid w:val="2185500C"/>
    <w:rsid w:val="21893052"/>
    <w:rsid w:val="21A92B96"/>
    <w:rsid w:val="2260669D"/>
    <w:rsid w:val="227D45A9"/>
    <w:rsid w:val="22E21BC4"/>
    <w:rsid w:val="23BF0D43"/>
    <w:rsid w:val="23D13C15"/>
    <w:rsid w:val="23D64C00"/>
    <w:rsid w:val="24495099"/>
    <w:rsid w:val="248D3582"/>
    <w:rsid w:val="25747400"/>
    <w:rsid w:val="25801095"/>
    <w:rsid w:val="25D977F1"/>
    <w:rsid w:val="260D2D7B"/>
    <w:rsid w:val="2624159B"/>
    <w:rsid w:val="263C7034"/>
    <w:rsid w:val="2675E140"/>
    <w:rsid w:val="26E2701C"/>
    <w:rsid w:val="26FA79DF"/>
    <w:rsid w:val="271C5A1C"/>
    <w:rsid w:val="271F938A"/>
    <w:rsid w:val="2734033D"/>
    <w:rsid w:val="27636103"/>
    <w:rsid w:val="27BE2A52"/>
    <w:rsid w:val="27C052F3"/>
    <w:rsid w:val="27E880B4"/>
    <w:rsid w:val="27F26299"/>
    <w:rsid w:val="27F55E0F"/>
    <w:rsid w:val="27FE33CE"/>
    <w:rsid w:val="28641D7B"/>
    <w:rsid w:val="286533D6"/>
    <w:rsid w:val="28977EA2"/>
    <w:rsid w:val="289A3AA3"/>
    <w:rsid w:val="28AF1C14"/>
    <w:rsid w:val="29A1025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E0518"/>
    <w:rsid w:val="2DC86A18"/>
    <w:rsid w:val="2DDF7CF0"/>
    <w:rsid w:val="2DFF5839"/>
    <w:rsid w:val="2E3E806D"/>
    <w:rsid w:val="2E496312"/>
    <w:rsid w:val="2E5F5866"/>
    <w:rsid w:val="2EBC3384"/>
    <w:rsid w:val="2EEF79C5"/>
    <w:rsid w:val="2EF45D6A"/>
    <w:rsid w:val="2EF7EE3A"/>
    <w:rsid w:val="2F312A06"/>
    <w:rsid w:val="2F32348A"/>
    <w:rsid w:val="2F4C0476"/>
    <w:rsid w:val="2F561D90"/>
    <w:rsid w:val="2F6F2DA0"/>
    <w:rsid w:val="2F6F565C"/>
    <w:rsid w:val="2F7FF788"/>
    <w:rsid w:val="2F8C03F6"/>
    <w:rsid w:val="2F9B0E34"/>
    <w:rsid w:val="2FB77A4C"/>
    <w:rsid w:val="2FEAA120"/>
    <w:rsid w:val="2FFDCAA5"/>
    <w:rsid w:val="308A48AC"/>
    <w:rsid w:val="310061F3"/>
    <w:rsid w:val="317F7117"/>
    <w:rsid w:val="319B575E"/>
    <w:rsid w:val="31B72E5C"/>
    <w:rsid w:val="326E6142"/>
    <w:rsid w:val="3277773E"/>
    <w:rsid w:val="32AE6949"/>
    <w:rsid w:val="32F40FD3"/>
    <w:rsid w:val="32F977F1"/>
    <w:rsid w:val="32FF0317"/>
    <w:rsid w:val="337AE2D6"/>
    <w:rsid w:val="33DEF139"/>
    <w:rsid w:val="33E52AA0"/>
    <w:rsid w:val="33F915CE"/>
    <w:rsid w:val="33F9C19C"/>
    <w:rsid w:val="346DC6E6"/>
    <w:rsid w:val="34D5481E"/>
    <w:rsid w:val="3535527B"/>
    <w:rsid w:val="35E75334"/>
    <w:rsid w:val="35EB6C31"/>
    <w:rsid w:val="35F7ACF4"/>
    <w:rsid w:val="36B772DB"/>
    <w:rsid w:val="36BDDA7C"/>
    <w:rsid w:val="36EE6EF7"/>
    <w:rsid w:val="36F7F178"/>
    <w:rsid w:val="36FDBDE3"/>
    <w:rsid w:val="37304C91"/>
    <w:rsid w:val="373DBD37"/>
    <w:rsid w:val="3769533B"/>
    <w:rsid w:val="376B13D8"/>
    <w:rsid w:val="3774DA36"/>
    <w:rsid w:val="377DF0D3"/>
    <w:rsid w:val="37A37D92"/>
    <w:rsid w:val="37AA06DF"/>
    <w:rsid w:val="37B63894"/>
    <w:rsid w:val="37BFE1FD"/>
    <w:rsid w:val="37DD7DB5"/>
    <w:rsid w:val="37EBD977"/>
    <w:rsid w:val="37F73822"/>
    <w:rsid w:val="37FF5767"/>
    <w:rsid w:val="384B0C09"/>
    <w:rsid w:val="38607A0E"/>
    <w:rsid w:val="38791C4D"/>
    <w:rsid w:val="38A96204"/>
    <w:rsid w:val="38DCE36B"/>
    <w:rsid w:val="3948288A"/>
    <w:rsid w:val="397B1CE6"/>
    <w:rsid w:val="397E758C"/>
    <w:rsid w:val="399333C8"/>
    <w:rsid w:val="3A456D67"/>
    <w:rsid w:val="3A626B85"/>
    <w:rsid w:val="3A8F174A"/>
    <w:rsid w:val="3AC2456D"/>
    <w:rsid w:val="3AF774CA"/>
    <w:rsid w:val="3AFF7B57"/>
    <w:rsid w:val="3B1B2B15"/>
    <w:rsid w:val="3B3FC881"/>
    <w:rsid w:val="3B4A4050"/>
    <w:rsid w:val="3B6E5B2D"/>
    <w:rsid w:val="3B7905A1"/>
    <w:rsid w:val="3B7BF8D1"/>
    <w:rsid w:val="3B93441B"/>
    <w:rsid w:val="3BF3F690"/>
    <w:rsid w:val="3BF95706"/>
    <w:rsid w:val="3BFFAFAC"/>
    <w:rsid w:val="3C0223B7"/>
    <w:rsid w:val="3C6FA9D3"/>
    <w:rsid w:val="3C9FAAB0"/>
    <w:rsid w:val="3CBF52AA"/>
    <w:rsid w:val="3CE146F5"/>
    <w:rsid w:val="3CFC7333"/>
    <w:rsid w:val="3D146668"/>
    <w:rsid w:val="3D5358A8"/>
    <w:rsid w:val="3D6F35BF"/>
    <w:rsid w:val="3D84435C"/>
    <w:rsid w:val="3DB03A24"/>
    <w:rsid w:val="3DBDE794"/>
    <w:rsid w:val="3DBFC698"/>
    <w:rsid w:val="3DDF4999"/>
    <w:rsid w:val="3DEAAE5D"/>
    <w:rsid w:val="3DFEF73F"/>
    <w:rsid w:val="3E31A9C9"/>
    <w:rsid w:val="3EBC3261"/>
    <w:rsid w:val="3EC3748A"/>
    <w:rsid w:val="3EC45405"/>
    <w:rsid w:val="3ECC6910"/>
    <w:rsid w:val="3ECD1AE4"/>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A0E27"/>
    <w:rsid w:val="3FEFC185"/>
    <w:rsid w:val="3FF72816"/>
    <w:rsid w:val="3FFB77CB"/>
    <w:rsid w:val="3FFB87EC"/>
    <w:rsid w:val="3FFD2741"/>
    <w:rsid w:val="3FFDCBCA"/>
    <w:rsid w:val="3FFEAECC"/>
    <w:rsid w:val="3FFF03B9"/>
    <w:rsid w:val="40226BDD"/>
    <w:rsid w:val="4050335B"/>
    <w:rsid w:val="40810FC8"/>
    <w:rsid w:val="41CF6829"/>
    <w:rsid w:val="42337B3F"/>
    <w:rsid w:val="427D40B5"/>
    <w:rsid w:val="42957651"/>
    <w:rsid w:val="440918F1"/>
    <w:rsid w:val="447D7569"/>
    <w:rsid w:val="44B52210"/>
    <w:rsid w:val="44CB1698"/>
    <w:rsid w:val="44F324D8"/>
    <w:rsid w:val="455B5B96"/>
    <w:rsid w:val="459C5D66"/>
    <w:rsid w:val="459E2651"/>
    <w:rsid w:val="459F5CA0"/>
    <w:rsid w:val="45C41A3D"/>
    <w:rsid w:val="45F53819"/>
    <w:rsid w:val="462D6801"/>
    <w:rsid w:val="469D7925"/>
    <w:rsid w:val="46EA32A6"/>
    <w:rsid w:val="47053F7C"/>
    <w:rsid w:val="4706073F"/>
    <w:rsid w:val="47775721"/>
    <w:rsid w:val="478563C6"/>
    <w:rsid w:val="47C60945"/>
    <w:rsid w:val="47E9A1A0"/>
    <w:rsid w:val="48002B88"/>
    <w:rsid w:val="480E6DE3"/>
    <w:rsid w:val="48464D6E"/>
    <w:rsid w:val="484F4B48"/>
    <w:rsid w:val="48605FCE"/>
    <w:rsid w:val="48C06477"/>
    <w:rsid w:val="48C3322B"/>
    <w:rsid w:val="48F14BF7"/>
    <w:rsid w:val="4945059D"/>
    <w:rsid w:val="49BEA124"/>
    <w:rsid w:val="49CC6CB6"/>
    <w:rsid w:val="4A6202EB"/>
    <w:rsid w:val="4A7C4FC1"/>
    <w:rsid w:val="4A9A6CAF"/>
    <w:rsid w:val="4A9C5875"/>
    <w:rsid w:val="4AFD4615"/>
    <w:rsid w:val="4B454A0A"/>
    <w:rsid w:val="4B5A3FD8"/>
    <w:rsid w:val="4B887951"/>
    <w:rsid w:val="4BC20883"/>
    <w:rsid w:val="4C251B2D"/>
    <w:rsid w:val="4CF92E7B"/>
    <w:rsid w:val="4CFB6B2C"/>
    <w:rsid w:val="4D1DB812"/>
    <w:rsid w:val="4D357CE0"/>
    <w:rsid w:val="4DAFC284"/>
    <w:rsid w:val="4DBB3E33"/>
    <w:rsid w:val="4DE3154B"/>
    <w:rsid w:val="4DF5D2BF"/>
    <w:rsid w:val="4E5655E3"/>
    <w:rsid w:val="4E815E87"/>
    <w:rsid w:val="4ECD7EB5"/>
    <w:rsid w:val="4EDE35AC"/>
    <w:rsid w:val="4F0762C0"/>
    <w:rsid w:val="4F640F18"/>
    <w:rsid w:val="4F7E3902"/>
    <w:rsid w:val="4F9A44F8"/>
    <w:rsid w:val="4F9F214B"/>
    <w:rsid w:val="4FF395E6"/>
    <w:rsid w:val="4FFA569E"/>
    <w:rsid w:val="4FFF7B66"/>
    <w:rsid w:val="50FB17F3"/>
    <w:rsid w:val="51487335"/>
    <w:rsid w:val="51BCFBE2"/>
    <w:rsid w:val="51E01C33"/>
    <w:rsid w:val="51E44568"/>
    <w:rsid w:val="51F15DFD"/>
    <w:rsid w:val="51FF628E"/>
    <w:rsid w:val="522BBFAA"/>
    <w:rsid w:val="522D533A"/>
    <w:rsid w:val="52721D7E"/>
    <w:rsid w:val="53252976"/>
    <w:rsid w:val="53401509"/>
    <w:rsid w:val="53543ED7"/>
    <w:rsid w:val="536433D3"/>
    <w:rsid w:val="536F6462"/>
    <w:rsid w:val="53BD2119"/>
    <w:rsid w:val="547C1168"/>
    <w:rsid w:val="549324D8"/>
    <w:rsid w:val="54C251E5"/>
    <w:rsid w:val="54C469E3"/>
    <w:rsid w:val="55112EB4"/>
    <w:rsid w:val="553C7A36"/>
    <w:rsid w:val="5567BD2F"/>
    <w:rsid w:val="557D857A"/>
    <w:rsid w:val="557F84E0"/>
    <w:rsid w:val="55A211BE"/>
    <w:rsid w:val="55E7D38E"/>
    <w:rsid w:val="55F72F54"/>
    <w:rsid w:val="55F80356"/>
    <w:rsid w:val="55FF196E"/>
    <w:rsid w:val="567B2EA4"/>
    <w:rsid w:val="569E6BB1"/>
    <w:rsid w:val="56C7BF65"/>
    <w:rsid w:val="56DEF74B"/>
    <w:rsid w:val="56F52AF0"/>
    <w:rsid w:val="57380BEA"/>
    <w:rsid w:val="575DDB48"/>
    <w:rsid w:val="57A782E9"/>
    <w:rsid w:val="57A927F5"/>
    <w:rsid w:val="57BD2EED"/>
    <w:rsid w:val="57BFE2CB"/>
    <w:rsid w:val="57E260BE"/>
    <w:rsid w:val="57F758DB"/>
    <w:rsid w:val="57FF3DFF"/>
    <w:rsid w:val="57FF4AD2"/>
    <w:rsid w:val="57FFB7BC"/>
    <w:rsid w:val="585A0DAA"/>
    <w:rsid w:val="58E55E64"/>
    <w:rsid w:val="593739B8"/>
    <w:rsid w:val="593E081A"/>
    <w:rsid w:val="59C9319A"/>
    <w:rsid w:val="59D63A74"/>
    <w:rsid w:val="59D714F6"/>
    <w:rsid w:val="59DFFD93"/>
    <w:rsid w:val="5A042653"/>
    <w:rsid w:val="5A4947D3"/>
    <w:rsid w:val="5A707C18"/>
    <w:rsid w:val="5ABB1050"/>
    <w:rsid w:val="5AF93469"/>
    <w:rsid w:val="5B3B3860"/>
    <w:rsid w:val="5B5D2F92"/>
    <w:rsid w:val="5B7DDC28"/>
    <w:rsid w:val="5B7F624A"/>
    <w:rsid w:val="5BA57760"/>
    <w:rsid w:val="5BE72AE1"/>
    <w:rsid w:val="5BEB75A4"/>
    <w:rsid w:val="5BF42BBB"/>
    <w:rsid w:val="5BFFD5F5"/>
    <w:rsid w:val="5CA3140B"/>
    <w:rsid w:val="5CF634E9"/>
    <w:rsid w:val="5D355CB4"/>
    <w:rsid w:val="5D5D99E9"/>
    <w:rsid w:val="5D7FC7C9"/>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DF10FF"/>
    <w:rsid w:val="5FDF4403"/>
    <w:rsid w:val="5FDFE6D0"/>
    <w:rsid w:val="5FED422E"/>
    <w:rsid w:val="5FF48D17"/>
    <w:rsid w:val="5FF6893A"/>
    <w:rsid w:val="5FF8AACB"/>
    <w:rsid w:val="5FFB4E30"/>
    <w:rsid w:val="5FFB4F3D"/>
    <w:rsid w:val="5FFD8CB0"/>
    <w:rsid w:val="5FFF5037"/>
    <w:rsid w:val="5FFFE862"/>
    <w:rsid w:val="607D3748"/>
    <w:rsid w:val="610C3A9C"/>
    <w:rsid w:val="615C31E8"/>
    <w:rsid w:val="61B62DA1"/>
    <w:rsid w:val="61FF5178"/>
    <w:rsid w:val="6228188C"/>
    <w:rsid w:val="6243437A"/>
    <w:rsid w:val="62616D7C"/>
    <w:rsid w:val="628D14F2"/>
    <w:rsid w:val="62BD4574"/>
    <w:rsid w:val="6325773C"/>
    <w:rsid w:val="634C1706"/>
    <w:rsid w:val="63950329"/>
    <w:rsid w:val="63B63069"/>
    <w:rsid w:val="63E57C7D"/>
    <w:rsid w:val="64C200F2"/>
    <w:rsid w:val="64F57139"/>
    <w:rsid w:val="65655C60"/>
    <w:rsid w:val="6593F782"/>
    <w:rsid w:val="65BE74B1"/>
    <w:rsid w:val="65FD1E19"/>
    <w:rsid w:val="65FE0871"/>
    <w:rsid w:val="6609095A"/>
    <w:rsid w:val="66390EEC"/>
    <w:rsid w:val="66613576"/>
    <w:rsid w:val="66720F9F"/>
    <w:rsid w:val="66BB5DAD"/>
    <w:rsid w:val="66E7865B"/>
    <w:rsid w:val="66F7B9BD"/>
    <w:rsid w:val="66FF70F4"/>
    <w:rsid w:val="672F4BD5"/>
    <w:rsid w:val="67A30EFF"/>
    <w:rsid w:val="67A76A22"/>
    <w:rsid w:val="67CD7F64"/>
    <w:rsid w:val="67E75822"/>
    <w:rsid w:val="67FBCA81"/>
    <w:rsid w:val="67FEC540"/>
    <w:rsid w:val="67FF8842"/>
    <w:rsid w:val="68174789"/>
    <w:rsid w:val="688B16B1"/>
    <w:rsid w:val="692A7449"/>
    <w:rsid w:val="69360996"/>
    <w:rsid w:val="696D3286"/>
    <w:rsid w:val="6A4176E3"/>
    <w:rsid w:val="6AE517EE"/>
    <w:rsid w:val="6B0F7019"/>
    <w:rsid w:val="6B7DB2B6"/>
    <w:rsid w:val="6BA60BF0"/>
    <w:rsid w:val="6BAD01AB"/>
    <w:rsid w:val="6BB585A9"/>
    <w:rsid w:val="6BBB65E2"/>
    <w:rsid w:val="6BC734F5"/>
    <w:rsid w:val="6BEC1818"/>
    <w:rsid w:val="6BEEC337"/>
    <w:rsid w:val="6BFB3942"/>
    <w:rsid w:val="6BFC154B"/>
    <w:rsid w:val="6BFDD94E"/>
    <w:rsid w:val="6BFE6227"/>
    <w:rsid w:val="6BFF005A"/>
    <w:rsid w:val="6BFF12B7"/>
    <w:rsid w:val="6C1FE371"/>
    <w:rsid w:val="6C32189C"/>
    <w:rsid w:val="6C7B0821"/>
    <w:rsid w:val="6C7F72AC"/>
    <w:rsid w:val="6C892D57"/>
    <w:rsid w:val="6CB24BA3"/>
    <w:rsid w:val="6CE16F10"/>
    <w:rsid w:val="6CF9A775"/>
    <w:rsid w:val="6D312F6C"/>
    <w:rsid w:val="6D5050C7"/>
    <w:rsid w:val="6DBDB722"/>
    <w:rsid w:val="6DDF784E"/>
    <w:rsid w:val="6DDFE8A4"/>
    <w:rsid w:val="6DF5168E"/>
    <w:rsid w:val="6DFF2102"/>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F12FC6"/>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F5007A"/>
    <w:rsid w:val="73FEB008"/>
    <w:rsid w:val="73FF3C21"/>
    <w:rsid w:val="74077D93"/>
    <w:rsid w:val="74AE9EF4"/>
    <w:rsid w:val="74B15673"/>
    <w:rsid w:val="74FE88D1"/>
    <w:rsid w:val="750B3103"/>
    <w:rsid w:val="757B8C15"/>
    <w:rsid w:val="7590772A"/>
    <w:rsid w:val="75B556EC"/>
    <w:rsid w:val="75B7E9C3"/>
    <w:rsid w:val="75DE6D1A"/>
    <w:rsid w:val="75FF3FD3"/>
    <w:rsid w:val="7688309F"/>
    <w:rsid w:val="769E28CC"/>
    <w:rsid w:val="76A43029"/>
    <w:rsid w:val="76CFB604"/>
    <w:rsid w:val="76EB13C1"/>
    <w:rsid w:val="76EF4444"/>
    <w:rsid w:val="76FB10EB"/>
    <w:rsid w:val="76FD926B"/>
    <w:rsid w:val="76FF9977"/>
    <w:rsid w:val="77520F35"/>
    <w:rsid w:val="77534E09"/>
    <w:rsid w:val="7759F936"/>
    <w:rsid w:val="77633287"/>
    <w:rsid w:val="776FD87D"/>
    <w:rsid w:val="77747C81"/>
    <w:rsid w:val="777BDA6A"/>
    <w:rsid w:val="777F79C7"/>
    <w:rsid w:val="777FC199"/>
    <w:rsid w:val="778BDCF1"/>
    <w:rsid w:val="778D04E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9E691A"/>
    <w:rsid w:val="799F4D91"/>
    <w:rsid w:val="79BA2FEC"/>
    <w:rsid w:val="79DA45DF"/>
    <w:rsid w:val="79EF2068"/>
    <w:rsid w:val="79EFC2ED"/>
    <w:rsid w:val="79FF532C"/>
    <w:rsid w:val="7A3EA76F"/>
    <w:rsid w:val="7A6BC49B"/>
    <w:rsid w:val="7A7719EE"/>
    <w:rsid w:val="7AA8372E"/>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DD9DA"/>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45DABE3"/>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EEFABBC"/>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D9864D"/>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9A3E31"/>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B375E"/>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0AF7"/>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24"/>
    <w:unhideWhenUsed/>
    <w:qFormat/>
    <w:uiPriority w:val="99"/>
    <w:pPr>
      <w:spacing w:after="120"/>
    </w:pPr>
  </w:style>
  <w:style w:type="paragraph" w:styleId="3">
    <w:name w:val="Title"/>
    <w:basedOn w:val="1"/>
    <w:next w:val="1"/>
    <w:qFormat/>
    <w:uiPriority w:val="0"/>
    <w:pPr>
      <w:spacing w:before="240" w:after="60"/>
      <w:jc w:val="center"/>
      <w:outlineLvl w:val="0"/>
    </w:pPr>
    <w:rPr>
      <w:rFonts w:ascii="Arial" w:hAnsi="Arial" w:eastAsia="隶书"/>
      <w:b/>
      <w:bCs/>
      <w:sz w:val="32"/>
      <w:szCs w:val="32"/>
    </w:rPr>
  </w:style>
  <w:style w:type="paragraph" w:styleId="7">
    <w:name w:val="annotation text"/>
    <w:basedOn w:val="1"/>
    <w:link w:val="25"/>
    <w:unhideWhenUsed/>
    <w:qFormat/>
    <w:uiPriority w:val="0"/>
    <w:pPr>
      <w:jc w:val="left"/>
    </w:pPr>
    <w:rPr>
      <w:szCs w:val="21"/>
    </w:rPr>
  </w:style>
  <w:style w:type="paragraph" w:styleId="8">
    <w:name w:val="Body Text Indent"/>
    <w:basedOn w:val="1"/>
    <w:link w:val="26"/>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rPr>
      <w:rFonts w:ascii="宋体" w:hAnsi="Courier New"/>
    </w:rPr>
  </w:style>
  <w:style w:type="paragraph" w:styleId="11">
    <w:name w:val="Balloon Text"/>
    <w:basedOn w:val="1"/>
    <w:link w:val="27"/>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7"/>
    <w:next w:val="7"/>
    <w:link w:val="28"/>
    <w:qFormat/>
    <w:uiPriority w:val="0"/>
    <w:rPr>
      <w:b/>
      <w:bCs/>
      <w:szCs w:val="24"/>
    </w:rPr>
  </w:style>
  <w:style w:type="paragraph" w:styleId="18">
    <w:name w:val="Body Text First Indent"/>
    <w:basedOn w:val="2"/>
    <w:qFormat/>
    <w:uiPriority w:val="0"/>
    <w:pPr>
      <w:ind w:firstLine="420" w:firstLineChars="100"/>
    </w:pPr>
  </w:style>
  <w:style w:type="table" w:styleId="20">
    <w:name w:val="Table Grid"/>
    <w:basedOn w:val="19"/>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qFormat/>
    <w:uiPriority w:val="0"/>
  </w:style>
  <w:style w:type="character" w:styleId="23">
    <w:name w:val="annotation reference"/>
    <w:unhideWhenUsed/>
    <w:qFormat/>
    <w:uiPriority w:val="0"/>
    <w:rPr>
      <w:sz w:val="21"/>
      <w:szCs w:val="21"/>
    </w:rPr>
  </w:style>
  <w:style w:type="character" w:customStyle="1" w:styleId="24">
    <w:name w:val="正文文本 字符"/>
    <w:basedOn w:val="21"/>
    <w:link w:val="2"/>
    <w:qFormat/>
    <w:uiPriority w:val="99"/>
    <w:rPr>
      <w:kern w:val="2"/>
      <w:sz w:val="21"/>
      <w:szCs w:val="24"/>
    </w:rPr>
  </w:style>
  <w:style w:type="character" w:customStyle="1" w:styleId="25">
    <w:name w:val="批注文字 字符"/>
    <w:basedOn w:val="21"/>
    <w:link w:val="7"/>
    <w:qFormat/>
    <w:uiPriority w:val="0"/>
    <w:rPr>
      <w:kern w:val="2"/>
      <w:sz w:val="21"/>
      <w:szCs w:val="21"/>
    </w:rPr>
  </w:style>
  <w:style w:type="character" w:customStyle="1" w:styleId="26">
    <w:name w:val="正文文本缩进 字符"/>
    <w:link w:val="8"/>
    <w:semiHidden/>
    <w:qFormat/>
    <w:uiPriority w:val="99"/>
    <w:rPr>
      <w:kern w:val="0"/>
      <w:sz w:val="20"/>
      <w:szCs w:val="20"/>
    </w:rPr>
  </w:style>
  <w:style w:type="character" w:customStyle="1" w:styleId="27">
    <w:name w:val="批注框文本 字符"/>
    <w:basedOn w:val="21"/>
    <w:link w:val="11"/>
    <w:qFormat/>
    <w:uiPriority w:val="0"/>
    <w:rPr>
      <w:kern w:val="2"/>
      <w:sz w:val="18"/>
      <w:szCs w:val="18"/>
    </w:rPr>
  </w:style>
  <w:style w:type="character" w:customStyle="1" w:styleId="28">
    <w:name w:val="批注主题 字符"/>
    <w:basedOn w:val="25"/>
    <w:link w:val="17"/>
    <w:qFormat/>
    <w:uiPriority w:val="0"/>
    <w:rPr>
      <w:b/>
      <w:bCs/>
      <w:kern w:val="2"/>
      <w:sz w:val="21"/>
      <w:szCs w:val="24"/>
    </w:rPr>
  </w:style>
  <w:style w:type="paragraph" w:styleId="29">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1">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2">
    <w:name w:val="列出段落2"/>
    <w:basedOn w:val="1"/>
    <w:qFormat/>
    <w:uiPriority w:val="34"/>
    <w:pPr>
      <w:ind w:firstLine="420" w:firstLineChars="200"/>
    </w:pPr>
  </w:style>
  <w:style w:type="paragraph" w:customStyle="1" w:styleId="33">
    <w:name w:val="Table Paragraph"/>
    <w:basedOn w:val="1"/>
    <w:qFormat/>
    <w:uiPriority w:val="0"/>
    <w:pPr>
      <w:autoSpaceDE w:val="0"/>
      <w:autoSpaceDN w:val="0"/>
      <w:jc w:val="left"/>
    </w:pPr>
    <w:rPr>
      <w:rFonts w:ascii="宋体" w:hAnsi="宋体" w:cs="宋体"/>
      <w:kern w:val="0"/>
      <w:sz w:val="22"/>
      <w:szCs w:val="22"/>
    </w:rPr>
  </w:style>
  <w:style w:type="paragraph" w:customStyle="1" w:styleId="34">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5">
    <w:name w:val="qowt-font5-gb2312"/>
    <w:qFormat/>
    <w:uiPriority w:val="0"/>
  </w:style>
  <w:style w:type="paragraph" w:customStyle="1" w:styleId="36">
    <w:name w:val="msolistparagraph"/>
    <w:basedOn w:val="1"/>
    <w:qFormat/>
    <w:uiPriority w:val="0"/>
    <w:pPr>
      <w:ind w:firstLine="420" w:firstLineChars="200"/>
    </w:pPr>
  </w:style>
  <w:style w:type="paragraph" w:customStyle="1" w:styleId="37">
    <w:name w:val="正文格式"/>
    <w:basedOn w:val="8"/>
    <w:qFormat/>
    <w:uiPriority w:val="99"/>
    <w:pPr>
      <w:spacing w:after="0" w:line="360" w:lineRule="auto"/>
      <w:ind w:left="0" w:leftChars="0" w:firstLine="600"/>
    </w:pPr>
    <w:rPr>
      <w:rFonts w:eastAsia="仿宋_GB2312"/>
      <w:sz w:val="30"/>
      <w:szCs w:val="30"/>
    </w:rPr>
  </w:style>
  <w:style w:type="paragraph" w:customStyle="1" w:styleId="3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9">
    <w:name w:val="List Paragraph"/>
    <w:basedOn w:val="1"/>
    <w:qFormat/>
    <w:uiPriority w:val="34"/>
    <w:pPr>
      <w:ind w:firstLine="420" w:firstLineChars="200"/>
    </w:pPr>
  </w:style>
  <w:style w:type="paragraph" w:customStyle="1" w:styleId="40">
    <w:name w:val="9前海 标题"/>
    <w:basedOn w:val="1"/>
    <w:next w:val="41"/>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1">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2">
    <w:name w:val="1级标题"/>
    <w:basedOn w:val="1"/>
    <w:next w:val="43"/>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3">
    <w:name w:val="9前海 正文"/>
    <w:basedOn w:val="41"/>
    <w:qFormat/>
    <w:uiPriority w:val="0"/>
    <w:pPr>
      <w:ind w:firstLine="640"/>
    </w:pPr>
    <w:rPr>
      <w:rFonts w:ascii="仿宋_GB2312" w:eastAsia="仿宋_GB2312"/>
    </w:rPr>
  </w:style>
  <w:style w:type="paragraph" w:customStyle="1" w:styleId="44">
    <w:name w:val="2级标题"/>
    <w:basedOn w:val="43"/>
    <w:next w:val="43"/>
    <w:qFormat/>
    <w:uiPriority w:val="0"/>
    <w:pPr>
      <w:ind w:firstLine="643"/>
      <w:outlineLvl w:val="1"/>
    </w:pPr>
    <w:rPr>
      <w:rFonts w:ascii="楷体_GB2312" w:hAnsi="楷体" w:eastAsia="楷体_GB2312"/>
      <w:b/>
    </w:rPr>
  </w:style>
  <w:style w:type="character" w:customStyle="1" w:styleId="45">
    <w:name w:val="15"/>
    <w:basedOn w:val="21"/>
    <w:qFormat/>
    <w:uiPriority w:val="0"/>
    <w:rPr>
      <w:rFonts w:hint="default" w:ascii="Times New Roman" w:hAnsi="Times New Roman" w:cs="Times New Roman"/>
    </w:rPr>
  </w:style>
  <w:style w:type="paragraph" w:customStyle="1" w:styleId="46">
    <w:name w:val="（）列表模式"/>
    <w:basedOn w:val="1"/>
    <w:qFormat/>
    <w:uiPriority w:val="0"/>
    <w:pPr>
      <w:tabs>
        <w:tab w:val="left" w:pos="960"/>
        <w:tab w:val="left" w:pos="1470"/>
      </w:tabs>
      <w:spacing w:line="360" w:lineRule="auto"/>
      <w:ind w:left="1470" w:hanging="42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3075"/>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21304</Words>
  <Characters>22050</Characters>
  <Lines>297</Lines>
  <Paragraphs>83</Paragraphs>
  <TotalTime>278</TotalTime>
  <ScaleCrop>false</ScaleCrop>
  <LinksUpToDate>false</LinksUpToDate>
  <CharactersWithSpaces>23452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2023-09-28T12:34:00Z</dcterms:created>
  <dc:creator>黄雅静</dc:creator>
  <cp:lastModifiedBy>黎俊</cp:lastModifiedBy>
  <cp:lastPrinted>2024-11-17T04:16:00Z</cp:lastPrinted>
  <dcterms:modified xsi:type="dcterms:W3CDTF">2025-01-23T04:32:43Z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73395C7048E94DE0A62D54AC4A91B6D9_13</vt:lpwstr>
  </property>
  <property fmtid="{D5CDD505-2E9C-101B-9397-08002B2CF9AE}" pid="4" name="KSOTemplateDocerSaveRecord">
    <vt:lpwstr>eyJoZGlkIjoiZTU3NTRjNTExY2I1YWE0NmViMTcxOWJhNmRiMjA4N2YiLCJ1c2VySWQiOiI0ODgwOTI3MDUifQ==</vt:lpwstr>
  </property>
</Properties>
</file>