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rPr>
      </w:pPr>
    </w:p>
    <w:p>
      <w:pPr>
        <w:pStyle w:val="7"/>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6"/>
        <w:ind w:firstLine="420"/>
        <w:rPr>
          <w:rFonts w:hint="eastAsia" w:ascii="宋体" w:hAnsi="宋体" w:cs="宋体"/>
          <w:color w:val="auto"/>
        </w:rPr>
      </w:pPr>
    </w:p>
    <w:p>
      <w:pPr>
        <w:pStyle w:val="26"/>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招标编号：QH2024142</w:t>
      </w:r>
    </w:p>
    <w:p>
      <w:pPr>
        <w:pStyle w:val="26"/>
        <w:ind w:firstLine="420"/>
        <w:rPr>
          <w:rFonts w:hint="eastAsia" w:ascii="宋体" w:hAnsi="宋体" w:cs="宋体"/>
          <w:color w:val="auto"/>
        </w:rPr>
      </w:pPr>
    </w:p>
    <w:p>
      <w:pPr>
        <w:pStyle w:val="26"/>
        <w:ind w:firstLine="420"/>
        <w:rPr>
          <w:rFonts w:hint="eastAsia" w:ascii="宋体" w:hAnsi="宋体" w:cs="宋体"/>
          <w:color w:val="auto"/>
        </w:rPr>
      </w:pPr>
    </w:p>
    <w:p>
      <w:pPr>
        <w:pStyle w:val="26"/>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w:t>
      </w:r>
      <w:r>
        <w:rPr>
          <w:rFonts w:hint="eastAsia" w:ascii="宋体" w:hAnsi="宋体" w:cs="宋体"/>
          <w:b/>
          <w:color w:val="auto"/>
          <w:sz w:val="36"/>
          <w:szCs w:val="36"/>
          <w:lang w:eastAsia="zh-CN"/>
        </w:rPr>
        <w:t>前海蛇口自贸片区统计</w:t>
      </w:r>
      <w:r>
        <w:rPr>
          <w:rFonts w:hint="eastAsia" w:ascii="宋体" w:hAnsi="宋体" w:cs="宋体"/>
          <w:b/>
          <w:color w:val="auto"/>
          <w:sz w:val="36"/>
          <w:szCs w:val="36"/>
          <w:lang w:val="en-US" w:eastAsia="zh-CN"/>
        </w:rPr>
        <w:t>体系建设服务</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12</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7"/>
        <w:rPr>
          <w:rFonts w:hint="eastAsia"/>
          <w:color w:val="auto"/>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360" w:lineRule="auto"/>
        <w:ind w:firstLine="482" w:firstLineChars="200"/>
        <w:jc w:val="left"/>
        <w:rPr>
          <w:rFonts w:ascii="宋体" w:hAnsi="宋体" w:cs="宋体"/>
          <w:color w:val="auto"/>
          <w:sz w:val="24"/>
        </w:rPr>
      </w:pPr>
      <w:r>
        <w:rPr>
          <w:rStyle w:val="22"/>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6"/>
        <w:shd w:val="clear" w:color="auto" w:fill="FFFFFF"/>
        <w:spacing w:before="0" w:beforeAutospacing="0" w:after="0" w:afterAutospacing="0" w:line="360" w:lineRule="auto"/>
        <w:ind w:firstLine="480" w:firstLineChars="200"/>
        <w:rPr>
          <w:color w:val="auto"/>
        </w:rPr>
      </w:pPr>
      <w:bookmarkStart w:id="1" w:name="_Toc2750"/>
      <w:r>
        <w:rPr>
          <w:rFonts w:hint="eastAsia"/>
          <w:color w:val="auto"/>
        </w:rPr>
        <w:t>（一）在采购活动中应当回避而未回避的；</w:t>
      </w:r>
      <w:bookmarkEnd w:id="1"/>
    </w:p>
    <w:p>
      <w:pPr>
        <w:pStyle w:val="16"/>
        <w:shd w:val="clear" w:color="auto" w:fill="FFFFFF"/>
        <w:spacing w:before="0" w:beforeAutospacing="0" w:after="0" w:afterAutospacing="0" w:line="360" w:lineRule="auto"/>
        <w:ind w:firstLine="480" w:firstLineChars="200"/>
        <w:rPr>
          <w:color w:val="auto"/>
        </w:rPr>
      </w:pPr>
      <w:r>
        <w:rPr>
          <w:rFonts w:hint="eastAsia"/>
          <w:color w:val="auto"/>
        </w:rPr>
        <w:t>（二）未按照本条例规定签订、履行采购合同，造成严重后果的；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（三）隐瞒真实情况，提供虚假资料的；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（四）以非法手段排斥其他供应商参与竞争的；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（五）与其他采购参加人串通投标的；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（六）恶意投诉的；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（七）向采购项目相关人行贿或者提供其他不当利益的；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（八）阻碍、抗拒主管部门监督检查的；</w:t>
      </w:r>
    </w:p>
    <w:p>
      <w:pPr>
        <w:pStyle w:val="16"/>
        <w:shd w:val="clear" w:color="auto" w:fill="FFFFFF"/>
        <w:spacing w:before="0" w:beforeAutospacing="0" w:after="0" w:afterAutospacing="0" w:line="360" w:lineRule="auto"/>
        <w:ind w:firstLine="480" w:firstLineChars="200"/>
        <w:rPr>
          <w:color w:val="auto"/>
        </w:rPr>
      </w:pPr>
      <w:r>
        <w:rPr>
          <w:rFonts w:hint="eastAsia"/>
          <w:color w:val="auto"/>
        </w:rPr>
        <w:t>（九）其他违反本条例规定的行为。</w:t>
      </w:r>
    </w:p>
    <w:p>
      <w:pPr>
        <w:autoSpaceDE w:val="0"/>
        <w:autoSpaceDN w:val="0"/>
        <w:adjustRightInd w:val="0"/>
        <w:spacing w:line="360" w:lineRule="auto"/>
        <w:ind w:firstLine="360" w:firstLineChars="150"/>
        <w:jc w:val="left"/>
        <w:rPr>
          <w:rFonts w:ascii="宋体" w:hAnsi="宋体" w:cs="宋体"/>
          <w:color w:val="auto"/>
          <w:kern w:val="0"/>
          <w:sz w:val="24"/>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36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36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36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36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36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36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36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pStyle w:val="7"/>
        <w:tabs>
          <w:tab w:val="left" w:pos="562"/>
          <w:tab w:val="left" w:pos="3372"/>
          <w:tab w:val="left" w:pos="3653"/>
        </w:tabs>
        <w:spacing w:line="360" w:lineRule="auto"/>
        <w:rPr>
          <w:rFonts w:ascii="宋体" w:hAnsi="宋体" w:cs="宋体"/>
          <w:color w:val="auto"/>
        </w:rPr>
      </w:pPr>
    </w:p>
    <w:p>
      <w:pPr>
        <w:autoSpaceDE w:val="0"/>
        <w:autoSpaceDN w:val="0"/>
        <w:adjustRightInd w:val="0"/>
        <w:spacing w:line="36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napToGrid w:val="0"/>
        <w:spacing w:line="360" w:lineRule="auto"/>
        <w:ind w:firstLine="411" w:firstLineChars="196"/>
        <w:rPr>
          <w:rFonts w:hint="eastAsia" w:ascii="宋体" w:hAnsi="宋体" w:cs="宋体"/>
          <w:color w:val="auto"/>
          <w:sz w:val="24"/>
        </w:rPr>
      </w:pPr>
      <w:r>
        <w:rPr>
          <w:rFonts w:hint="eastAsia" w:ascii="宋体" w:hAnsi="宋体" w:cs="宋体"/>
          <w:color w:val="auto"/>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6" w:name="_Toc20808"/>
      <w:r>
        <w:rPr>
          <w:rFonts w:hint="eastAsia" w:ascii="宋体" w:hAnsi="宋体" w:cs="宋体"/>
          <w:b/>
          <w:bCs/>
          <w:color w:val="auto"/>
          <w:sz w:val="36"/>
          <w:szCs w:val="36"/>
          <w:lang w:val="zh-CN"/>
        </w:rPr>
        <w:t>目录</w:t>
      </w:r>
      <w:bookmarkEnd w:id="0"/>
      <w:bookmarkEnd w:id="6"/>
    </w:p>
    <w:p>
      <w:pPr>
        <w:pStyle w:val="13"/>
        <w:tabs>
          <w:tab w:val="right" w:leader="dot" w:pos="8306"/>
        </w:tabs>
        <w:spacing w:line="480" w:lineRule="auto"/>
        <w:rPr>
          <w:b/>
          <w:bCs/>
          <w:color w:val="auto"/>
          <w:sz w:val="24"/>
          <w:szCs w:val="32"/>
        </w:rPr>
      </w:pPr>
    </w:p>
    <w:p>
      <w:pPr>
        <w:pStyle w:val="13"/>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3"/>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9</w:t>
      </w:r>
      <w:r>
        <w:rPr>
          <w:b/>
          <w:bCs/>
          <w:color w:val="auto"/>
          <w:sz w:val="24"/>
        </w:rPr>
        <w:fldChar w:fldCharType="end"/>
      </w:r>
      <w:r>
        <w:rPr>
          <w:rFonts w:hint="eastAsia" w:ascii="宋体" w:hAnsi="宋体" w:cs="宋体"/>
          <w:b/>
          <w:bCs/>
          <w:color w:val="auto"/>
          <w:sz w:val="24"/>
        </w:rPr>
        <w:fldChar w:fldCharType="end"/>
      </w:r>
    </w:p>
    <w:p>
      <w:pPr>
        <w:pStyle w:val="13"/>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12</w:t>
      </w:r>
      <w:r>
        <w:rPr>
          <w:b/>
          <w:bCs/>
          <w:color w:val="auto"/>
          <w:sz w:val="24"/>
        </w:rPr>
        <w:fldChar w:fldCharType="end"/>
      </w:r>
      <w:r>
        <w:rPr>
          <w:rFonts w:hint="eastAsia" w:ascii="宋体" w:hAnsi="宋体" w:cs="宋体"/>
          <w:b/>
          <w:bCs/>
          <w:color w:val="auto"/>
          <w:sz w:val="24"/>
        </w:rPr>
        <w:fldChar w:fldCharType="end"/>
      </w:r>
    </w:p>
    <w:p>
      <w:pPr>
        <w:pStyle w:val="13"/>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14</w:t>
      </w:r>
      <w:r>
        <w:rPr>
          <w:b/>
          <w:bCs/>
          <w:color w:val="auto"/>
          <w:sz w:val="24"/>
        </w:rPr>
        <w:fldChar w:fldCharType="end"/>
      </w:r>
      <w:r>
        <w:rPr>
          <w:rFonts w:hint="eastAsia" w:ascii="宋体" w:hAnsi="宋体" w:cs="宋体"/>
          <w:b/>
          <w:bCs/>
          <w:color w:val="auto"/>
          <w:sz w:val="24"/>
        </w:rPr>
        <w:fldChar w:fldCharType="end"/>
      </w:r>
    </w:p>
    <w:p>
      <w:pPr>
        <w:pStyle w:val="13"/>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26</w:t>
      </w:r>
    </w:p>
    <w:p>
      <w:pPr>
        <w:pStyle w:val="13"/>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32</w:t>
      </w:r>
    </w:p>
    <w:p>
      <w:pPr>
        <w:pStyle w:val="13"/>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38</w:t>
      </w:r>
    </w:p>
    <w:p>
      <w:pPr>
        <w:pStyle w:val="13"/>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57</w:t>
      </w:r>
    </w:p>
    <w:p>
      <w:pPr>
        <w:pStyle w:val="13"/>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2"/>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7" w:name="_Toc17273"/>
      <w:r>
        <w:rPr>
          <w:rFonts w:hint="eastAsia" w:ascii="宋体" w:hAnsi="宋体" w:cs="宋体"/>
          <w:b/>
          <w:bCs/>
          <w:color w:val="auto"/>
          <w:sz w:val="24"/>
        </w:rPr>
        <w:t>招标邀请书（招标公告）</w:t>
      </w:r>
      <w:bookmarkEnd w:id="7"/>
    </w:p>
    <w:p>
      <w:pPr>
        <w:spacing w:line="360" w:lineRule="auto"/>
        <w:ind w:firstLine="480" w:firstLineChars="200"/>
        <w:jc w:val="right"/>
        <w:rPr>
          <w:rFonts w:hint="default"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 xml:space="preserve">文件编码:0722-2024FE3164SZF-1       </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w:t>
      </w:r>
      <w:r>
        <w:rPr>
          <w:rFonts w:hint="eastAsia" w:ascii="宋体" w:hAnsi="宋体" w:cs="宋体"/>
          <w:color w:val="auto"/>
          <w:sz w:val="24"/>
          <w:highlight w:val="none"/>
        </w:rPr>
        <w:t>业合作区管理局委托就“</w:t>
      </w:r>
      <w:r>
        <w:rPr>
          <w:rFonts w:hint="eastAsia" w:ascii="宋体" w:hAnsi="宋体" w:cs="宋体"/>
          <w:color w:val="auto"/>
          <w:sz w:val="24"/>
          <w:highlight w:val="none"/>
          <w:u w:val="single"/>
          <w:lang w:eastAsia="zh-CN"/>
        </w:rPr>
        <w:t>前海蛇口自贸片区统计</w:t>
      </w:r>
      <w:r>
        <w:rPr>
          <w:rFonts w:hint="eastAsia" w:ascii="宋体" w:hAnsi="宋体" w:cs="宋体"/>
          <w:color w:val="auto"/>
          <w:sz w:val="24"/>
          <w:highlight w:val="none"/>
          <w:u w:val="single"/>
          <w:lang w:val="en-US" w:eastAsia="zh-CN"/>
        </w:rPr>
        <w:t>体系建设服务</w:t>
      </w:r>
      <w:r>
        <w:rPr>
          <w:rFonts w:hint="eastAsia" w:ascii="宋体" w:hAnsi="宋体" w:cs="宋体"/>
          <w:color w:val="auto"/>
          <w:sz w:val="24"/>
          <w:highlight w:val="none"/>
          <w:u w:val="single"/>
          <w:lang w:eastAsia="zh-CN"/>
        </w:rPr>
        <w:t>项目</w:t>
      </w:r>
      <w:r>
        <w:rPr>
          <w:rFonts w:hint="eastAsia" w:ascii="宋体" w:hAnsi="宋体" w:cs="宋体"/>
          <w:color w:val="auto"/>
          <w:sz w:val="24"/>
          <w:highlight w:val="none"/>
        </w:rPr>
        <w:t>（招标编号：</w:t>
      </w:r>
      <w:r>
        <w:rPr>
          <w:rFonts w:hint="eastAsia" w:ascii="宋体" w:hAnsi="宋体" w:cs="宋体"/>
          <w:color w:val="auto"/>
          <w:sz w:val="24"/>
          <w:highlight w:val="none"/>
          <w:u w:val="single"/>
          <w:lang w:val="en-US" w:eastAsia="zh-CN"/>
        </w:rPr>
        <w:t>QH2024142</w:t>
      </w:r>
      <w:r>
        <w:rPr>
          <w:rFonts w:hint="eastAsia" w:ascii="宋体" w:hAnsi="宋体" w:cs="宋体"/>
          <w:color w:val="auto"/>
          <w:sz w:val="24"/>
          <w:highlight w:val="none"/>
        </w:rPr>
        <w:t>）”采用</w:t>
      </w:r>
      <w:r>
        <w:rPr>
          <w:rFonts w:hint="eastAsia" w:ascii="宋体" w:hAnsi="宋体" w:cs="宋体"/>
          <w:color w:val="auto"/>
          <w:sz w:val="24"/>
        </w:rPr>
        <w:t>简易招标方式采购，欢迎符合投标人资格要求的专业供应商积极参加投标。</w:t>
      </w:r>
    </w:p>
    <w:tbl>
      <w:tblPr>
        <w:tblStyle w:val="19"/>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招标编号</w:t>
            </w:r>
          </w:p>
        </w:tc>
        <w:tc>
          <w:tcPr>
            <w:tcW w:w="7015" w:type="dxa"/>
            <w:noWrap w:val="0"/>
            <w:vAlign w:val="center"/>
          </w:tcPr>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QH2024142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前海蛇口自贸片区统计</w:t>
            </w:r>
            <w:r>
              <w:rPr>
                <w:rFonts w:hint="eastAsia" w:ascii="宋体" w:hAnsi="宋体" w:cs="宋体"/>
                <w:color w:val="auto"/>
                <w:sz w:val="24"/>
                <w:lang w:val="en-US" w:eastAsia="zh-CN"/>
              </w:rPr>
              <w:t>体系建设服务</w:t>
            </w:r>
            <w:r>
              <w:rPr>
                <w:rFonts w:hint="eastAsia" w:ascii="宋体" w:hAnsi="宋体" w:eastAsia="宋体" w:cs="宋体"/>
                <w:color w:val="auto"/>
                <w:sz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szCs w:val="24"/>
                <w:lang w:eastAsia="zh-CN"/>
              </w:rPr>
              <w:t>为落实委领导在自贸区建设专题会上的指示精神，优化健全前海蛇口自贸片区统计体系，充分掌握前海蛇口自贸片区经济运行情况，为全面推进前海蛇口自贸片区改革发展提供更为优质的统计保障，</w:t>
            </w:r>
            <w:r>
              <w:rPr>
                <w:rFonts w:hint="eastAsia" w:ascii="宋体" w:hAnsi="宋体" w:eastAsia="宋体" w:cs="宋体"/>
                <w:color w:val="auto"/>
                <w:sz w:val="24"/>
                <w:lang w:eastAsia="zh-CN"/>
              </w:rPr>
              <w:t>拟委托专业机构承接《</w:t>
            </w:r>
            <w:r>
              <w:rPr>
                <w:rFonts w:hint="eastAsia" w:ascii="宋体" w:hAnsi="宋体" w:cs="宋体"/>
                <w:color w:val="auto"/>
                <w:sz w:val="24"/>
                <w:lang w:eastAsia="zh-CN"/>
              </w:rPr>
              <w:t>前海蛇口自贸片区统计体系建设服务项目</w:t>
            </w:r>
            <w:r>
              <w:rPr>
                <w:rFonts w:hint="eastAsia" w:ascii="宋体" w:hAnsi="宋体" w:eastAsia="宋体" w:cs="宋体"/>
                <w:color w:val="auto"/>
                <w:sz w:val="24"/>
                <w:lang w:eastAsia="zh-CN"/>
              </w:rPr>
              <w:t>》，开展蛇口自贸片区统计</w:t>
            </w:r>
            <w:r>
              <w:rPr>
                <w:rFonts w:hint="eastAsia" w:ascii="宋体" w:hAnsi="宋体" w:cs="宋体"/>
                <w:color w:val="auto"/>
                <w:sz w:val="24"/>
                <w:lang w:val="en-US" w:eastAsia="zh-CN"/>
              </w:rPr>
              <w:t>体系建设</w:t>
            </w:r>
            <w:r>
              <w:rPr>
                <w:rFonts w:hint="eastAsia" w:ascii="宋体" w:hAnsi="宋体" w:eastAsia="宋体" w:cs="宋体"/>
                <w:color w:val="auto"/>
                <w:sz w:val="24"/>
                <w:lang w:eastAsia="zh-CN"/>
              </w:rPr>
              <w:t>工作。具体详见用户需求书。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default" w:ascii="宋体" w:hAnsi="宋体" w:cs="宋体"/>
                <w:color w:val="auto"/>
                <w:sz w:val="24"/>
                <w:lang w:val="en-US" w:eastAsia="zh-CN"/>
              </w:rPr>
              <w:t>639</w:t>
            </w:r>
            <w:r>
              <w:rPr>
                <w:rFonts w:hint="eastAsia" w:ascii="宋体" w:hAnsi="宋体" w:cs="宋体"/>
                <w:color w:val="auto"/>
                <w:sz w:val="24"/>
                <w:lang w:val="en-US" w:eastAsia="zh-CN"/>
              </w:rPr>
              <w:t>,</w:t>
            </w:r>
            <w:r>
              <w:rPr>
                <w:rFonts w:hint="default" w:ascii="宋体" w:hAnsi="宋体" w:cs="宋体"/>
                <w:color w:val="auto"/>
                <w:sz w:val="24"/>
                <w:lang w:val="en-US" w:eastAsia="zh-CN"/>
              </w:rPr>
              <w:t>4</w:t>
            </w:r>
            <w:r>
              <w:rPr>
                <w:rFonts w:hint="eastAsia" w:ascii="宋体" w:hAnsi="宋体" w:cs="宋体"/>
                <w:color w:val="auto"/>
                <w:sz w:val="24"/>
                <w:lang w:val="en-US" w:eastAsia="zh-CN"/>
              </w:rPr>
              <w:t>0</w:t>
            </w:r>
            <w:r>
              <w:rPr>
                <w:rFonts w:hint="default" w:ascii="宋体" w:hAnsi="宋体" w:cs="宋体"/>
                <w:color w:val="auto"/>
                <w:sz w:val="24"/>
                <w:lang w:val="en-US" w:eastAsia="zh-CN"/>
              </w:rPr>
              <w:t>0</w:t>
            </w:r>
            <w:r>
              <w:rPr>
                <w:rFonts w:hint="eastAsia" w:ascii="宋体" w:hAnsi="宋体" w:cs="宋体"/>
                <w:color w:val="auto"/>
                <w:sz w:val="24"/>
                <w:lang w:val="en-US" w:eastAsia="zh-CN"/>
              </w:rPr>
              <w:t>.00</w:t>
            </w:r>
            <w:r>
              <w:rPr>
                <w:rFonts w:hint="eastAsia" w:ascii="宋体" w:hAnsi="宋体" w:cs="宋体"/>
                <w:color w:val="auto"/>
                <w:sz w:val="24"/>
                <w:lang w:eastAsia="zh-CN"/>
              </w:rPr>
              <w:t>（人民币陆拾叁万玖仟肆佰元</w:t>
            </w:r>
            <w:r>
              <w:rPr>
                <w:rFonts w:hint="eastAsia" w:ascii="宋体" w:hAnsi="宋体" w:cs="宋体"/>
                <w:color w:val="auto"/>
                <w:sz w:val="24"/>
                <w:lang w:val="en-US" w:eastAsia="zh-CN"/>
              </w:rPr>
              <w:t>整</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default" w:ascii="宋体" w:hAnsi="宋体" w:eastAsia="宋体" w:cs="宋体"/>
                <w:color w:val="auto"/>
                <w:kern w:val="0"/>
                <w:sz w:val="24"/>
                <w:highlight w:val="yellow"/>
                <w:lang w:val="en-US" w:eastAsia="zh-CN"/>
              </w:rPr>
            </w:pPr>
            <w:r>
              <w:rPr>
                <w:rFonts w:hint="eastAsia" w:ascii="宋体" w:hAnsi="宋体" w:cs="宋体"/>
                <w:color w:val="auto"/>
                <w:kern w:val="0"/>
                <w:sz w:val="24"/>
              </w:rPr>
              <w:t>将投标文件密</w:t>
            </w:r>
            <w:r>
              <w:rPr>
                <w:rFonts w:hint="eastAsia" w:ascii="宋体" w:hAnsi="宋体" w:cs="宋体"/>
                <w:color w:val="auto"/>
                <w:kern w:val="0"/>
                <w:sz w:val="24"/>
                <w:highlight w:val="none"/>
              </w:rPr>
              <w:t>封并在</w:t>
            </w:r>
            <w:r>
              <w:rPr>
                <w:rFonts w:hint="eastAsia" w:ascii="宋体" w:hAnsi="宋体" w:cs="宋体"/>
                <w:b/>
                <w:bCs/>
                <w:color w:val="auto"/>
                <w:kern w:val="0"/>
                <w:sz w:val="24"/>
                <w:highlight w:val="none"/>
              </w:rPr>
              <w:t>202</w:t>
            </w:r>
            <w:r>
              <w:rPr>
                <w:rFonts w:hint="eastAsia" w:ascii="宋体" w:hAnsi="宋体" w:cs="宋体"/>
                <w:b/>
                <w:bCs/>
                <w:color w:val="auto"/>
                <w:kern w:val="0"/>
                <w:sz w:val="24"/>
                <w:highlight w:val="none"/>
                <w:lang w:val="en-US" w:eastAsia="zh-CN"/>
              </w:rPr>
              <w:t>4</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12</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下</w:t>
            </w:r>
            <w:r>
              <w:rPr>
                <w:rFonts w:hint="eastAsia" w:ascii="宋体" w:hAnsi="宋体" w:cs="宋体"/>
                <w:b/>
                <w:bCs/>
                <w:color w:val="auto"/>
                <w:kern w:val="0"/>
                <w:sz w:val="24"/>
                <w:highlight w:val="none"/>
              </w:rPr>
              <w:t>午</w:t>
            </w:r>
            <w:r>
              <w:rPr>
                <w:rFonts w:hint="eastAsia" w:ascii="宋体" w:hAnsi="宋体" w:cs="宋体"/>
                <w:b/>
                <w:bCs/>
                <w:color w:val="auto"/>
                <w:kern w:val="0"/>
                <w:sz w:val="24"/>
                <w:highlight w:val="none"/>
                <w:lang w:val="en-US" w:eastAsia="zh-CN"/>
              </w:rPr>
              <w:t>14:30</w:t>
            </w:r>
            <w:r>
              <w:rPr>
                <w:rFonts w:hint="eastAsia" w:ascii="宋体" w:hAnsi="宋体" w:cs="宋体"/>
                <w:b/>
                <w:bCs/>
                <w:color w:val="auto"/>
                <w:kern w:val="0"/>
                <w:sz w:val="24"/>
                <w:lang w:val="en-US" w:eastAsia="zh-CN"/>
              </w:rPr>
              <w:t>时</w:t>
            </w:r>
            <w:r>
              <w:rPr>
                <w:rFonts w:hint="eastAsia" w:ascii="宋体" w:hAnsi="宋体" w:cs="宋体"/>
                <w:b/>
                <w:bCs/>
                <w:color w:val="auto"/>
                <w:kern w:val="0"/>
                <w:sz w:val="24"/>
              </w:rPr>
              <w:t>（北京时间）</w:t>
            </w:r>
            <w:r>
              <w:rPr>
                <w:rFonts w:hint="eastAsia" w:ascii="宋体" w:hAnsi="宋体" w:cs="宋体"/>
                <w:color w:val="auto"/>
                <w:kern w:val="0"/>
                <w:sz w:val="24"/>
                <w:highlight w:val="none"/>
              </w:rPr>
              <w:t>前送达（现场递交或邮寄）至深圳市南山区前海深港合作区桂湾五路123号前海管理局前海大厦T1栋</w:t>
            </w:r>
            <w:r>
              <w:rPr>
                <w:rFonts w:hint="eastAsia" w:ascii="宋体" w:hAnsi="宋体" w:cs="宋体"/>
                <w:color w:val="auto"/>
                <w:kern w:val="0"/>
                <w:sz w:val="24"/>
                <w:highlight w:val="none"/>
                <w:lang w:val="en-US" w:eastAsia="zh-CN"/>
              </w:rPr>
              <w:t>2108办公室</w:t>
            </w:r>
          </w:p>
          <w:p>
            <w:pPr>
              <w:adjustRightInd w:val="0"/>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联  系  人：</w:t>
            </w:r>
            <w:r>
              <w:rPr>
                <w:rFonts w:hint="eastAsia" w:ascii="宋体" w:hAnsi="宋体" w:eastAsia="宋体" w:cs="宋体"/>
                <w:color w:val="auto"/>
                <w:kern w:val="0"/>
                <w:sz w:val="24"/>
                <w:highlight w:val="none"/>
                <w:lang w:eastAsia="zh-CN"/>
              </w:rPr>
              <w:t>谭先生</w:t>
            </w:r>
          </w:p>
          <w:p>
            <w:pPr>
              <w:adjustRightInd w:val="0"/>
              <w:snapToGrid w:val="0"/>
              <w:spacing w:line="360" w:lineRule="auto"/>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电      话：0755-8810</w:t>
            </w:r>
            <w:r>
              <w:rPr>
                <w:rFonts w:hint="eastAsia" w:ascii="宋体" w:hAnsi="宋体" w:eastAsia="宋体" w:cs="宋体"/>
                <w:color w:val="auto"/>
                <w:kern w:val="0"/>
                <w:sz w:val="24"/>
                <w:highlight w:val="none"/>
                <w:lang w:val="en-US" w:eastAsia="zh-CN"/>
              </w:rPr>
              <w:t>5350</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w:t>
            </w:r>
            <w:r>
              <w:rPr>
                <w:rFonts w:hint="eastAsia" w:ascii="宋体" w:hAnsi="宋体" w:cs="宋体"/>
                <w:color w:val="auto"/>
                <w:kern w:val="0"/>
                <w:sz w:val="24"/>
                <w:lang w:val="en-US" w:eastAsia="zh-CN"/>
              </w:rPr>
              <w:t>他</w:t>
            </w:r>
            <w:r>
              <w:rPr>
                <w:rFonts w:hint="eastAsia" w:ascii="宋体" w:hAnsi="宋体" w:cs="宋体"/>
                <w:color w:val="auto"/>
                <w:kern w:val="0"/>
                <w:sz w:val="24"/>
              </w:rPr>
              <w:t>组织</w:t>
            </w:r>
            <w:r>
              <w:rPr>
                <w:rFonts w:hint="eastAsia" w:ascii="宋体" w:hAnsi="宋体" w:cs="宋体"/>
                <w:b/>
                <w:bCs/>
                <w:color w:val="auto"/>
                <w:kern w:val="0"/>
                <w:sz w:val="24"/>
              </w:rPr>
              <w:t>（</w:t>
            </w:r>
            <w:r>
              <w:rPr>
                <w:rFonts w:hint="eastAsia" w:ascii="宋体" w:hAnsi="宋体" w:cs="宋体"/>
                <w:b/>
                <w:bCs/>
                <w:color w:val="auto"/>
                <w:kern w:val="0"/>
                <w:sz w:val="24"/>
                <w:lang w:eastAsia="zh-CN"/>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b/>
                <w:bCs/>
                <w:color w:val="auto"/>
                <w:kern w:val="0"/>
                <w:sz w:val="24"/>
              </w:rPr>
              <w:t>）</w:t>
            </w:r>
            <w:r>
              <w:rPr>
                <w:rFonts w:hint="eastAsia" w:ascii="宋体" w:hAnsi="宋体" w:cs="宋体"/>
                <w:color w:val="auto"/>
                <w:kern w:val="0"/>
                <w:sz w:val="24"/>
              </w:rPr>
              <w:t>；</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rPr>
              <w:t>投标人承诺本单位（公司）不存在《深圳市财政局政府采购供应商信用信息管理办法》（深财规〔2023〕3号）列明的严重违法失信行为</w:t>
            </w:r>
            <w:r>
              <w:rPr>
                <w:rFonts w:hint="eastAsia" w:ascii="宋体" w:hAnsi="宋体" w:cs="宋体"/>
                <w:b/>
                <w:bCs/>
                <w:color w:val="auto"/>
                <w:kern w:val="0"/>
                <w:sz w:val="24"/>
              </w:rPr>
              <w:t>（由投标人在《政府采购投标及履约承诺函》中作出声明）</w:t>
            </w:r>
            <w:r>
              <w:rPr>
                <w:rFonts w:hint="eastAsia" w:ascii="宋体" w:hAnsi="宋体" w:cs="宋体"/>
                <w:b/>
                <w:bCs/>
                <w:color w:val="auto"/>
                <w:kern w:val="0"/>
                <w:sz w:val="24"/>
                <w:lang w:eastAsia="zh-CN"/>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3"/>
              </w:num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单位负责人为同一人或存在直接控股、管理关系的供应商不得参与同一合同项下的政府采购</w:t>
            </w:r>
            <w:r>
              <w:rPr>
                <w:rFonts w:hint="eastAsia" w:ascii="宋体" w:hAnsi="宋体" w:cs="宋体"/>
                <w:b/>
                <w:bCs/>
                <w:color w:val="auto"/>
                <w:kern w:val="0"/>
                <w:sz w:val="24"/>
                <w:highlight w:val="none"/>
              </w:rPr>
              <w:t>（由投标人在《政府采购投标及履约承诺函》中作出声明）；</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highlight w:val="none"/>
              </w:rPr>
              <w:t>为此项目提供整体设计、规范编制或者项目管理、监理、检测等服务的供应商，不得再参加此项目的其他招标采购活动</w:t>
            </w:r>
            <w:r>
              <w:rPr>
                <w:rFonts w:hint="eastAsia" w:ascii="宋体" w:hAnsi="宋体" w:cs="宋体"/>
                <w:b/>
                <w:bCs/>
                <w:color w:val="auto"/>
                <w:kern w:val="0"/>
                <w:sz w:val="24"/>
                <w:highlight w:val="none"/>
              </w:rPr>
              <w:t>（由投标人在《政府采购投标及履约承诺函》中作出声明）；</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highlight w:val="none"/>
                <w:u w:val="none"/>
              </w:rPr>
              <w:t>落实政府采购政策需满足的资格要求：本项目不属于专门面向特定企业（单位）的采购项目，本项目采购标的对应的中小企业划分标准所属行业为</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u w:val="single"/>
              </w:rPr>
              <w:t>租赁和商务服务业</w:t>
            </w:r>
          </w:p>
          <w:p>
            <w:pPr>
              <w:numPr>
                <w:ilvl w:val="0"/>
                <w:numId w:val="3"/>
              </w:numPr>
              <w:spacing w:line="360" w:lineRule="auto"/>
              <w:rPr>
                <w:rFonts w:hint="eastAsia"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t>不</w:t>
            </w:r>
            <w:r>
              <w:rPr>
                <w:rFonts w:hint="eastAsia" w:ascii="宋体" w:hAnsi="宋体" w:cs="宋体"/>
                <w:color w:val="auto"/>
                <w:kern w:val="0"/>
                <w:sz w:val="24"/>
              </w:rPr>
              <w:t>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4"/>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本次投标为总价包干，投标报价总价作为中标人与采购人签定的合同金额。项目预算控制</w:t>
            </w:r>
            <w:r>
              <w:rPr>
                <w:rFonts w:hint="eastAsia" w:ascii="宋体" w:hAnsi="宋体" w:cs="宋体"/>
                <w:color w:val="auto"/>
                <w:sz w:val="24"/>
                <w:lang w:val="en-US" w:eastAsia="zh-CN"/>
              </w:rPr>
              <w:t>63.94万元</w:t>
            </w:r>
            <w:r>
              <w:rPr>
                <w:rFonts w:hint="eastAsia" w:ascii="宋体" w:hAnsi="宋体" w:cs="宋体"/>
                <w:color w:val="auto"/>
                <w:sz w:val="24"/>
              </w:rPr>
              <w:t>以内，投标人的报价不可高于预算（限价），否则投标人的投标文件视同无效。</w:t>
            </w:r>
            <w:r>
              <w:rPr>
                <w:rFonts w:hint="eastAsia" w:ascii="宋体" w:hAnsi="宋体" w:eastAsia="宋体" w:cs="宋体"/>
                <w:bCs/>
                <w:color w:val="auto"/>
                <w:sz w:val="24"/>
                <w:szCs w:val="24"/>
                <w:highlight w:val="none"/>
              </w:rPr>
              <w:t>服务费包含</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提供本合同项下服务的全部费用，包括但不限于</w:t>
            </w:r>
            <w:r>
              <w:rPr>
                <w:rFonts w:hint="eastAsia" w:ascii="宋体" w:hAnsi="宋体" w:eastAsia="宋体" w:cs="宋体"/>
                <w:bCs/>
                <w:color w:val="auto"/>
                <w:sz w:val="24"/>
                <w:szCs w:val="24"/>
                <w:highlight w:val="none"/>
                <w:lang w:val="en-US" w:eastAsia="zh-CN"/>
              </w:rPr>
              <w:t>中标人完成本招标项目而发生的全部费用，包括</w:t>
            </w:r>
            <w:r>
              <w:rPr>
                <w:rFonts w:hint="eastAsia" w:ascii="宋体" w:hAnsi="宋体" w:eastAsia="宋体" w:cs="宋体"/>
                <w:bCs/>
                <w:color w:val="auto"/>
                <w:sz w:val="24"/>
                <w:szCs w:val="24"/>
                <w:highlight w:val="none"/>
              </w:rPr>
              <w:t>但不限于</w:t>
            </w:r>
            <w:r>
              <w:rPr>
                <w:rFonts w:hint="eastAsia" w:ascii="宋体" w:hAnsi="宋体" w:eastAsia="宋体" w:cs="宋体"/>
                <w:bCs/>
                <w:color w:val="auto"/>
                <w:sz w:val="24"/>
                <w:szCs w:val="24"/>
                <w:highlight w:val="none"/>
                <w:lang w:val="en-US" w:eastAsia="zh-CN"/>
              </w:rPr>
              <w:t>服务费、中标服务费、各种资料费、保险、税金、出差（如需）等所有费用，并提供合同要求的报告、全部成果文件和全部相关资料，以及其它相关服务的全部费用。其中出差费用应参照《深圳市财政委员会关于印发&lt;深圳市市直党政机关和事业单位差旅费管理办法&gt;的通知》执行</w:t>
            </w:r>
            <w:r>
              <w:rPr>
                <w:rFonts w:hint="eastAsia" w:ascii="宋体" w:hAnsi="宋体" w:cs="宋体"/>
                <w:color w:val="auto"/>
                <w:sz w:val="24"/>
              </w:rPr>
              <w:t>。</w:t>
            </w:r>
          </w:p>
          <w:p>
            <w:pPr>
              <w:numPr>
                <w:ilvl w:val="0"/>
                <w:numId w:val="4"/>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4"/>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4"/>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4"/>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u w:val="none"/>
              </w:rPr>
            </w:pPr>
            <w:r>
              <w:rPr>
                <w:rFonts w:hint="eastAsia" w:ascii="宋体" w:hAnsi="宋体" w:cs="宋体"/>
                <w:color w:val="auto"/>
                <w:kern w:val="0"/>
                <w:sz w:val="24"/>
                <w:u w:val="none"/>
              </w:rPr>
              <w:t>名      称：深圳市前海深港现代服务业合作区管理局</w:t>
            </w:r>
          </w:p>
          <w:p>
            <w:pPr>
              <w:spacing w:line="360" w:lineRule="auto"/>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联  系  人：</w:t>
            </w:r>
            <w:r>
              <w:rPr>
                <w:rFonts w:hint="eastAsia" w:ascii="宋体" w:hAnsi="宋体" w:cs="宋体"/>
                <w:color w:val="auto"/>
                <w:kern w:val="0"/>
                <w:sz w:val="24"/>
                <w:highlight w:val="none"/>
                <w:u w:val="none"/>
                <w:lang w:eastAsia="zh-CN"/>
              </w:rPr>
              <w:t>谭先生</w:t>
            </w:r>
          </w:p>
          <w:p>
            <w:pPr>
              <w:spacing w:line="360" w:lineRule="auto"/>
              <w:rPr>
                <w:rFonts w:hint="default"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rPr>
              <w:t>电      话：</w:t>
            </w:r>
            <w:r>
              <w:rPr>
                <w:rFonts w:hint="eastAsia" w:ascii="宋体" w:hAnsi="宋体" w:cs="宋体"/>
                <w:color w:val="auto"/>
                <w:kern w:val="0"/>
                <w:sz w:val="24"/>
                <w:highlight w:val="none"/>
                <w:u w:val="none"/>
                <w:lang w:val="en-US" w:eastAsia="zh-CN"/>
              </w:rPr>
              <w:t>0755-88105350</w:t>
            </w:r>
          </w:p>
          <w:p>
            <w:pPr>
              <w:spacing w:line="360" w:lineRule="auto"/>
              <w:rPr>
                <w:rFonts w:hint="eastAsia" w:ascii="宋体" w:hAnsi="宋体" w:cs="宋体"/>
                <w:color w:val="auto"/>
                <w:kern w:val="0"/>
                <w:sz w:val="24"/>
              </w:rPr>
            </w:pPr>
            <w:r>
              <w:rPr>
                <w:rFonts w:hint="eastAsia" w:ascii="宋体" w:hAnsi="宋体" w:cs="宋体"/>
                <w:color w:val="auto"/>
                <w:kern w:val="0"/>
                <w:sz w:val="24"/>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cs="宋体"/>
                <w:color w:val="auto"/>
                <w:kern w:val="0"/>
                <w:sz w:val="24"/>
              </w:rPr>
            </w:pPr>
            <w:r>
              <w:rPr>
                <w:rFonts w:hint="eastAsia" w:ascii="宋体" w:hAnsi="宋体" w:cs="宋体"/>
                <w:color w:val="auto"/>
                <w:kern w:val="0"/>
                <w:sz w:val="24"/>
              </w:rPr>
              <w:t>联  系  人： 凌女士、伍先生</w:t>
            </w:r>
          </w:p>
          <w:p>
            <w:pPr>
              <w:spacing w:line="360" w:lineRule="auto"/>
              <w:rPr>
                <w:rFonts w:hint="default" w:ascii="宋体" w:hAnsi="宋体" w:eastAsia="宋体" w:cs="宋体"/>
                <w:color w:val="auto"/>
                <w:kern w:val="0"/>
                <w:sz w:val="24"/>
                <w:lang w:val="en-US" w:eastAsia="zh-CN"/>
              </w:rPr>
            </w:pPr>
            <w:r>
              <w:rPr>
                <w:rFonts w:hint="eastAsia" w:ascii="宋体" w:hAnsi="宋体" w:cs="宋体"/>
                <w:color w:val="auto"/>
                <w:kern w:val="0"/>
                <w:sz w:val="24"/>
              </w:rPr>
              <w:t>电      话： 0755-82078919、82077364转</w:t>
            </w:r>
            <w:r>
              <w:rPr>
                <w:rFonts w:hint="eastAsia" w:ascii="宋体" w:hAnsi="宋体" w:cs="宋体"/>
                <w:color w:val="auto"/>
                <w:kern w:val="0"/>
                <w:sz w:val="24"/>
                <w:lang w:val="en-US" w:eastAsia="zh-CN"/>
              </w:rPr>
              <w:t>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0755-82077519、82078847 </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日</w:t>
      </w:r>
    </w:p>
    <w:p>
      <w:pPr>
        <w:numPr>
          <w:ilvl w:val="0"/>
          <w:numId w:val="2"/>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8" w:name="_Toc10214"/>
      <w:r>
        <w:rPr>
          <w:rFonts w:hint="eastAsia" w:ascii="宋体" w:hAnsi="宋体" w:cs="宋体"/>
          <w:b/>
          <w:bCs/>
          <w:color w:val="auto"/>
          <w:sz w:val="24"/>
        </w:rPr>
        <w:t>投标须知</w:t>
      </w:r>
      <w:bookmarkEnd w:id="8"/>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前海蛇口自贸片区统计体系建设项目</w:t>
      </w:r>
      <w:r>
        <w:rPr>
          <w:rFonts w:hint="eastAsia" w:ascii="宋体" w:hAnsi="宋体" w:cs="宋体"/>
          <w:color w:val="auto"/>
          <w:sz w:val="24"/>
        </w:rPr>
        <w:t>。</w:t>
      </w:r>
    </w:p>
    <w:p>
      <w:pPr>
        <w:spacing w:line="360" w:lineRule="auto"/>
        <w:rPr>
          <w:rFonts w:hint="eastAsia" w:ascii="宋体" w:hAnsi="宋体" w:cs="宋体"/>
          <w:b/>
          <w:bCs/>
          <w:color w:val="auto"/>
          <w:sz w:val="24"/>
        </w:rPr>
      </w:pPr>
      <w:r>
        <w:rPr>
          <w:rFonts w:hint="eastAsia" w:ascii="宋体" w:hAnsi="宋体" w:cs="宋体"/>
          <w:color w:val="auto"/>
          <w:sz w:val="24"/>
        </w:rPr>
        <w:t>2、本项目不属于《深圳市2023—2024年政府集中采购目录及限额标准》规定应集中采购项目，根据《中华人民共和国政府采购法》、《深圳经济特区</w:t>
      </w:r>
      <w:r>
        <w:rPr>
          <w:rFonts w:hint="eastAsia" w:ascii="宋体" w:hAnsi="宋体" w:cs="宋体"/>
          <w:color w:val="auto"/>
          <w:sz w:val="24"/>
          <w:lang w:val="en-US" w:eastAsia="zh-CN"/>
        </w:rPr>
        <w:t>政府</w:t>
      </w:r>
      <w:r>
        <w:rPr>
          <w:rFonts w:hint="eastAsia" w:ascii="宋体" w:hAnsi="宋体" w:cs="宋体"/>
          <w:color w:val="auto"/>
          <w:sz w:val="24"/>
        </w:rPr>
        <w:t>采购条例》的有关规定，中国远东国际招标有限公司受深圳市前海深港现代服务业合作区管理局委托组织采购</w:t>
      </w:r>
      <w:r>
        <w:rPr>
          <w:rFonts w:hint="eastAsia" w:ascii="宋体" w:hAnsi="宋体" w:cs="宋体"/>
          <w:color w:val="auto"/>
          <w:sz w:val="24"/>
          <w:lang w:eastAsia="zh-CN"/>
        </w:rPr>
        <w:t>。</w:t>
      </w:r>
      <w:r>
        <w:rPr>
          <w:rFonts w:hint="eastAsia" w:ascii="宋体" w:hAnsi="宋体" w:cs="宋体"/>
          <w:b/>
          <w:bCs/>
          <w:color w:val="auto"/>
          <w:sz w:val="24"/>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5套（1套正本，4套副本，1份电子文档）</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5"/>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5"/>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5"/>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26"/>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6"/>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19"/>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w:t>
      </w:r>
      <w:r>
        <w:rPr>
          <w:rFonts w:hint="eastAsia" w:ascii="宋体" w:hAnsi="宋体" w:cs="宋体"/>
          <w:color w:val="auto"/>
          <w:sz w:val="24"/>
          <w:lang w:val="en-US" w:eastAsia="zh-CN"/>
        </w:rPr>
        <w:t>账号</w:t>
      </w:r>
      <w:r>
        <w:rPr>
          <w:rFonts w:hint="eastAsia" w:ascii="宋体" w:hAnsi="宋体" w:cs="宋体"/>
          <w:color w:val="auto"/>
          <w:sz w:val="24"/>
        </w:rPr>
        <w:t>：11013651025501</w:t>
      </w:r>
    </w:p>
    <w:p>
      <w:pPr>
        <w:spacing w:line="360" w:lineRule="auto"/>
        <w:rPr>
          <w:rFonts w:hint="eastAsia"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开户银行：平安银行深圳中电支行</w:t>
      </w:r>
    </w:p>
    <w:p>
      <w:pPr>
        <w:numPr>
          <w:ilvl w:val="0"/>
          <w:numId w:val="2"/>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9" w:name="_Toc20176"/>
      <w:r>
        <w:rPr>
          <w:rFonts w:hint="eastAsia" w:ascii="宋体" w:hAnsi="宋体" w:cs="宋体"/>
          <w:b/>
          <w:bCs/>
          <w:color w:val="auto"/>
          <w:sz w:val="24"/>
        </w:rPr>
        <w:t>评标程序</w:t>
      </w:r>
      <w:bookmarkEnd w:id="9"/>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二、参加会议人员：投标人代表（如需）、项目负责代表（如需）、评审委员会成员、监督部门代表（如需）、采购代理机构代表。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三、会议主持人：中国远东国际招标有限公司工作人员 。</w:t>
      </w:r>
    </w:p>
    <w:p>
      <w:pPr>
        <w:spacing w:line="360" w:lineRule="auto"/>
        <w:rPr>
          <w:rFonts w:hint="eastAsia" w:ascii="宋体" w:hAnsi="宋体" w:cs="宋体"/>
          <w:color w:val="auto"/>
          <w:sz w:val="24"/>
          <w:highlight w:val="none"/>
        </w:rPr>
      </w:pPr>
      <w:r>
        <w:rPr>
          <w:rFonts w:hint="eastAsia" w:ascii="宋体" w:hAnsi="宋体" w:cs="宋体"/>
          <w:color w:val="auto"/>
          <w:sz w:val="24"/>
        </w:rPr>
        <w:t>四、开标时间：</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0时（北京时间）。</w:t>
      </w:r>
    </w:p>
    <w:p>
      <w:pPr>
        <w:spacing w:line="360" w:lineRule="auto"/>
        <w:rPr>
          <w:rFonts w:hint="eastAsia" w:ascii="宋体" w:hAnsi="宋体" w:cs="宋体"/>
          <w:color w:val="auto"/>
          <w:sz w:val="24"/>
        </w:rPr>
      </w:pPr>
      <w:r>
        <w:rPr>
          <w:rFonts w:hint="eastAsia" w:ascii="宋体" w:hAnsi="宋体" w:cs="宋体"/>
          <w:color w:val="auto"/>
          <w:sz w:val="24"/>
          <w:highlight w:val="none"/>
        </w:rPr>
        <w:t>五、会议开始：202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0时</w:t>
      </w:r>
      <w:r>
        <w:rPr>
          <w:rFonts w:hint="eastAsia" w:ascii="宋体" w:hAnsi="宋体" w:cs="宋体"/>
          <w:color w:val="auto"/>
          <w:sz w:val="24"/>
        </w:rPr>
        <w:t>（北京时间）由会议主持人宣布定标会议开始。</w:t>
      </w:r>
      <w:bookmarkStart w:id="50" w:name="_GoBack"/>
      <w:bookmarkEnd w:id="50"/>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w:t>
      </w:r>
      <w:r>
        <w:rPr>
          <w:rFonts w:hint="eastAsia" w:ascii="宋体" w:hAnsi="宋体" w:cs="宋体"/>
          <w:color w:val="auto"/>
          <w:sz w:val="24"/>
          <w:lang w:val="en-US" w:eastAsia="zh-CN"/>
        </w:rPr>
        <w:t>有</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7"/>
        </w:numPr>
        <w:spacing w:line="360" w:lineRule="auto"/>
        <w:rPr>
          <w:rFonts w:hint="eastAsia" w:ascii="宋体" w:hAnsi="宋体" w:cs="宋体"/>
          <w:color w:val="auto"/>
          <w:sz w:val="24"/>
        </w:rPr>
      </w:pPr>
      <w:r>
        <w:rPr>
          <w:rFonts w:hint="eastAsia" w:ascii="宋体" w:hAnsi="宋体" w:cs="宋体"/>
          <w:color w:val="auto"/>
          <w:sz w:val="24"/>
        </w:rPr>
        <w:t>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7"/>
        <w:rPr>
          <w:rFonts w:hint="eastAsia" w:ascii="宋体" w:hAnsi="宋体" w:cs="宋体"/>
          <w:color w:val="auto"/>
        </w:rPr>
      </w:pPr>
      <w:r>
        <w:rPr>
          <w:rFonts w:hint="eastAsia"/>
          <w:color w:val="auto"/>
        </w:rPr>
        <w:br w:type="page"/>
      </w:r>
    </w:p>
    <w:p>
      <w:pPr>
        <w:numPr>
          <w:ilvl w:val="0"/>
          <w:numId w:val="2"/>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10" w:name="_Toc3567"/>
      <w:r>
        <w:rPr>
          <w:rFonts w:hint="eastAsia" w:ascii="宋体" w:hAnsi="宋体" w:cs="宋体"/>
          <w:b/>
          <w:bCs/>
          <w:color w:val="auto"/>
          <w:sz w:val="24"/>
        </w:rPr>
        <w:t>合同格式及合同条款</w:t>
      </w:r>
      <w:bookmarkEnd w:id="10"/>
    </w:p>
    <w:p>
      <w:pPr>
        <w:spacing w:line="360" w:lineRule="auto"/>
        <w:ind w:firstLine="470" w:firstLineChars="196"/>
        <w:jc w:val="center"/>
        <w:rPr>
          <w:rFonts w:hint="eastAsia" w:ascii="宋体" w:hAnsi="宋体" w:cs="宋体"/>
          <w:color w:val="auto"/>
          <w:sz w:val="24"/>
        </w:rPr>
      </w:pPr>
      <w:bookmarkStart w:id="11" w:name="_Toc73518163"/>
      <w:bookmarkStart w:id="12" w:name="_Toc73521592"/>
      <w:bookmarkStart w:id="13" w:name="_Toc100052414"/>
      <w:bookmarkStart w:id="14" w:name="_Toc101074886"/>
      <w:bookmarkStart w:id="15" w:name="_Toc73517685"/>
      <w:bookmarkStart w:id="16" w:name="_Toc73521680"/>
      <w:bookmarkStart w:id="17" w:name="_Toc84303603"/>
    </w:p>
    <w:bookmarkEnd w:id="11"/>
    <w:bookmarkEnd w:id="12"/>
    <w:bookmarkEnd w:id="13"/>
    <w:bookmarkEnd w:id="14"/>
    <w:bookmarkEnd w:id="15"/>
    <w:bookmarkEnd w:id="16"/>
    <w:bookmarkEnd w:id="17"/>
    <w:p>
      <w:pPr>
        <w:pStyle w:val="2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6"/>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6"/>
        <w:spacing w:line="360" w:lineRule="auto"/>
        <w:ind w:left="1470" w:right="1470" w:firstLine="482"/>
        <w:jc w:val="center"/>
        <w:rPr>
          <w:rFonts w:hint="eastAsia" w:ascii="宋体" w:hAnsi="宋体" w:cs="宋体"/>
          <w:b/>
          <w:color w:val="auto"/>
          <w:sz w:val="24"/>
          <w:szCs w:val="24"/>
        </w:rPr>
      </w:pPr>
    </w:p>
    <w:p>
      <w:pPr>
        <w:pStyle w:val="2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6"/>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eastAsia="zh-CN"/>
        </w:rPr>
        <w:t>前海蛇口自贸片区统计</w:t>
      </w:r>
      <w:r>
        <w:rPr>
          <w:rFonts w:hint="eastAsia" w:ascii="宋体" w:hAnsi="宋体" w:cs="宋体"/>
          <w:b/>
          <w:color w:val="auto"/>
          <w:sz w:val="28"/>
          <w:szCs w:val="28"/>
          <w:lang w:val="en-US" w:eastAsia="zh-CN"/>
        </w:rPr>
        <w:t>体系建设</w:t>
      </w:r>
      <w:r>
        <w:rPr>
          <w:rFonts w:hint="eastAsia" w:ascii="宋体" w:hAnsi="宋体" w:cs="宋体"/>
          <w:b/>
          <w:color w:val="auto"/>
          <w:sz w:val="28"/>
          <w:szCs w:val="28"/>
          <w:lang w:eastAsia="zh-CN"/>
        </w:rPr>
        <w:t>项目</w:t>
      </w:r>
      <w:r>
        <w:rPr>
          <w:rFonts w:hint="eastAsia" w:ascii="宋体" w:hAnsi="宋体" w:cs="宋体"/>
          <w:b/>
          <w:color w:val="auto"/>
          <w:sz w:val="28"/>
          <w:szCs w:val="28"/>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6"/>
        <w:spacing w:line="360" w:lineRule="auto"/>
        <w:ind w:left="1470" w:right="1470" w:firstLine="480"/>
        <w:rPr>
          <w:rFonts w:hint="eastAsia" w:ascii="宋体" w:hAnsi="宋体" w:cs="宋体"/>
          <w:color w:val="auto"/>
          <w:sz w:val="24"/>
          <w:szCs w:val="24"/>
        </w:rPr>
      </w:pPr>
    </w:p>
    <w:p>
      <w:pPr>
        <w:pStyle w:val="26"/>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u w:val="single"/>
          <w:lang w:eastAsia="zh-CN"/>
        </w:rPr>
        <w:t>前海蛇口自贸片区统计</w:t>
      </w:r>
      <w:r>
        <w:rPr>
          <w:rFonts w:hint="eastAsia" w:ascii="宋体" w:hAnsi="宋体" w:cs="宋体"/>
          <w:color w:val="auto"/>
          <w:sz w:val="24"/>
          <w:u w:val="single"/>
          <w:lang w:val="en-US" w:eastAsia="zh-CN"/>
        </w:rPr>
        <w:t>体系建设</w:t>
      </w:r>
      <w:r>
        <w:rPr>
          <w:rFonts w:hint="eastAsia" w:ascii="宋体" w:hAnsi="宋体" w:cs="宋体"/>
          <w:color w:val="auto"/>
          <w:sz w:val="24"/>
          <w:u w:val="single"/>
          <w:lang w:eastAsia="zh-CN"/>
        </w:rPr>
        <w:t>项目</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eastAsia="zh-CN"/>
        </w:rPr>
        <w:t>四</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eastAsia="宋体" w:cs="宋体"/>
          <w:b/>
          <w:bCs/>
          <w:color w:val="auto"/>
          <w:sz w:val="24"/>
          <w:lang w:val="en-US" w:eastAsia="zh-CN"/>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val="en-US" w:eastAsia="zh-CN"/>
        </w:rPr>
        <w:t xml:space="preserve">     </w:t>
      </w:r>
      <w:r>
        <w:rPr>
          <w:rFonts w:hint="eastAsia" w:ascii="宋体" w:hAnsi="宋体" w:cs="宋体"/>
          <w:color w:val="auto"/>
          <w:sz w:val="24"/>
        </w:rPr>
        <w:t>】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color w:val="auto"/>
          <w:sz w:val="24"/>
          <w:u w:val="single"/>
        </w:rPr>
        <w:t>乙方</w:t>
      </w:r>
      <w:r>
        <w:rPr>
          <w:rFonts w:hint="eastAsia" w:ascii="宋体" w:hAnsi="宋体" w:cs="宋体"/>
          <w:color w:val="auto"/>
          <w:sz w:val="24"/>
        </w:rPr>
        <w:t>共同承担</w:t>
      </w:r>
      <w:r>
        <w:rPr>
          <w:rFonts w:hint="eastAsia" w:ascii="宋体" w:hAnsi="宋体" w:cs="宋体"/>
          <w:b/>
          <w:bCs/>
          <w:color w:val="auto"/>
          <w:kern w:val="0"/>
          <w:sz w:val="24"/>
          <w:u w:val="single"/>
        </w:rPr>
        <w:t xml:space="preserve"> </w:t>
      </w:r>
      <w:r>
        <w:rPr>
          <w:rFonts w:hint="eastAsia" w:ascii="宋体" w:hAnsi="宋体" w:cs="宋体"/>
          <w:b w:val="0"/>
          <w:bCs w:val="0"/>
          <w:color w:val="auto"/>
          <w:kern w:val="0"/>
          <w:sz w:val="24"/>
          <w:u w:val="single"/>
          <w:lang w:eastAsia="zh-CN"/>
        </w:rPr>
        <w:t>前海蛇口自贸片区统计</w:t>
      </w:r>
      <w:r>
        <w:rPr>
          <w:rFonts w:hint="eastAsia" w:ascii="宋体" w:hAnsi="宋体" w:cs="宋体"/>
          <w:b w:val="0"/>
          <w:bCs w:val="0"/>
          <w:color w:val="auto"/>
          <w:kern w:val="0"/>
          <w:sz w:val="24"/>
          <w:u w:val="single"/>
          <w:lang w:val="en-US" w:eastAsia="zh-CN"/>
        </w:rPr>
        <w:t>体系建设</w:t>
      </w:r>
      <w:r>
        <w:rPr>
          <w:rFonts w:hint="eastAsia" w:ascii="宋体" w:hAnsi="宋体" w:cs="宋体"/>
          <w:b w:val="0"/>
          <w:bCs w:val="0"/>
          <w:color w:val="auto"/>
          <w:kern w:val="0"/>
          <w:sz w:val="24"/>
          <w:u w:val="single"/>
          <w:lang w:eastAsia="zh-CN"/>
        </w:rPr>
        <w:t>项目</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rPr>
      </w:pPr>
      <w:bookmarkStart w:id="18" w:name="_Toc21577"/>
      <w:r>
        <w:rPr>
          <w:rFonts w:hint="eastAsia"/>
          <w:b/>
          <w:bCs/>
          <w:sz w:val="24"/>
          <w:szCs w:val="32"/>
        </w:rPr>
        <w:t>一、服务内容</w:t>
      </w:r>
      <w:r>
        <w:rPr>
          <w:rFonts w:hint="eastAsia"/>
          <w:b/>
          <w:bCs/>
          <w:sz w:val="24"/>
          <w:szCs w:val="32"/>
          <w:lang w:val="en-US" w:eastAsia="zh-CN"/>
        </w:rPr>
        <w:t>及服务要求</w:t>
      </w:r>
      <w:bookmarkEnd w:id="18"/>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建立前海蛇口自贸片区数据统计指标体系</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前海现有统计体系基础上，依据国家对自贸试验区提升战略的最新部署，对照国家各部委对自贸试验区在提升重点领域开放力度，推动跨境服务贸易、外商投资、数据跨境流动等领域实现突破的工作安排，重点在跨境服务贸易、数字经济、对港澳开放等领域构建既衔接国家现行统计体制又具前海蛇口自贸片区特色的高质量的数据统计体系。</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协助搭建前海蛇口自贸片区经济运行动态监测机制</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自贸区重点行业及头部企业，动态监测发展数据，跟踪企业动态，协助构建与市统计局、海关部门、金融监管部门以及南山区、宝安区统计机构的常态化统计联系机制，打通数据收集统计渠道，搭建前海蛇口自贸片区经济运行数据库。</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完善数据报送及运用机制</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按月度发布自贸区主要统计指标数据，对重点自贸片区数据进行多维度、结构式分析，形成更多准确反映自贸片区发展亮点数据指标并监测运行，及时形成自贸区经济数据运行报告及专题分析报告供决策参考。</w:t>
      </w:r>
    </w:p>
    <w:p>
      <w:pPr>
        <w:pageBreakBefore w:val="0"/>
        <w:widowControl w:val="0"/>
        <w:tabs>
          <w:tab w:val="left" w:pos="4267"/>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4.工作进度及阶段成果要求</w:t>
      </w:r>
    </w:p>
    <w:tbl>
      <w:tblPr>
        <w:tblStyle w:val="19"/>
        <w:tblW w:w="0" w:type="auto"/>
        <w:jc w:val="center"/>
        <w:tblLayout w:type="fixed"/>
        <w:tblCellMar>
          <w:top w:w="0" w:type="dxa"/>
          <w:left w:w="0" w:type="dxa"/>
          <w:bottom w:w="0" w:type="dxa"/>
          <w:right w:w="0" w:type="dxa"/>
        </w:tblCellMar>
      </w:tblPr>
      <w:tblGrid>
        <w:gridCol w:w="669"/>
        <w:gridCol w:w="1375"/>
        <w:gridCol w:w="2084"/>
        <w:gridCol w:w="4231"/>
      </w:tblGrid>
      <w:tr>
        <w:tblPrEx>
          <w:tblCellMar>
            <w:top w:w="0" w:type="dxa"/>
            <w:left w:w="0" w:type="dxa"/>
            <w:bottom w:w="0" w:type="dxa"/>
            <w:right w:w="0" w:type="dxa"/>
          </w:tblCellMar>
        </w:tblPrEx>
        <w:trPr>
          <w:cantSplit/>
          <w:trHeight w:val="2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50" w:line="36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序号</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50"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阶段</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50"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时间</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50"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主要工作</w:t>
            </w:r>
          </w:p>
        </w:tc>
      </w:tr>
      <w:tr>
        <w:tblPrEx>
          <w:tblCellMar>
            <w:top w:w="0" w:type="dxa"/>
            <w:left w:w="0" w:type="dxa"/>
            <w:bottom w:w="0" w:type="dxa"/>
            <w:right w:w="0" w:type="dxa"/>
          </w:tblCellMar>
        </w:tblPrEx>
        <w:trPr>
          <w:cantSplit/>
          <w:trHeight w:val="898"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1</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初期阶段</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项目签订后一个月内</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初步形成前海蛇口自贸区数据统计指标体系</w:t>
            </w:r>
          </w:p>
        </w:tc>
      </w:tr>
      <w:tr>
        <w:tblPrEx>
          <w:tblCellMar>
            <w:top w:w="0" w:type="dxa"/>
            <w:left w:w="0" w:type="dxa"/>
            <w:bottom w:w="0" w:type="dxa"/>
            <w:right w:w="0" w:type="dxa"/>
          </w:tblCellMar>
        </w:tblPrEx>
        <w:trPr>
          <w:cantSplit/>
          <w:trHeight w:val="2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中期阶段</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项目签订后半年内</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初步形成2份前海蛇口自贸区发展专题研究报告，协助搭建成熟的自贸区数据库</w:t>
            </w:r>
          </w:p>
        </w:tc>
      </w:tr>
      <w:tr>
        <w:tblPrEx>
          <w:tblCellMar>
            <w:top w:w="0" w:type="dxa"/>
            <w:left w:w="0" w:type="dxa"/>
            <w:bottom w:w="0" w:type="dxa"/>
            <w:right w:w="0" w:type="dxa"/>
          </w:tblCellMar>
        </w:tblPrEx>
        <w:trPr>
          <w:cantSplit/>
          <w:trHeight w:val="23"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lang w:val="en-US" w:eastAsia="zh-CN"/>
              </w:rPr>
            </w:pPr>
            <w:bookmarkStart w:id="19" w:name="_Toc30479"/>
            <w:r>
              <w:rPr>
                <w:rFonts w:hint="eastAsia" w:ascii="宋体" w:hAnsi="宋体" w:cs="宋体"/>
                <w:color w:val="auto"/>
                <w:sz w:val="24"/>
                <w:szCs w:val="24"/>
                <w:highlight w:val="none"/>
                <w:lang w:val="en-US" w:eastAsia="zh-CN"/>
              </w:rPr>
              <w:t>3</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交付阶段</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项目签订一年内</w:t>
            </w:r>
          </w:p>
        </w:tc>
        <w:tc>
          <w:tcPr>
            <w:tcW w:w="423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完成12份月度报告和4份前海蛇口自贸区发展专题研究报告</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二、保密条款</w:t>
      </w:r>
      <w:bookmarkEnd w:id="19"/>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乙方应以保密方式处理在编制本项目成果文件过程中自甲方、甲方工作人员或甲方关联机构获得的相关合同条文、计划或资料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乙方实施项目的程序应符合国家安全、保密的有关规定和标准。</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合同履行完毕，未经甲方的书面同意，乙方不得保存在履行合同过程中所获得或接触到的任何内部数据资料。</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上述保密义务不适用以下情况：</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获取的信息已被合法公开；</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获得信息拥有方书面许可并在该许可范围内披露；</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国家法律、法规规定的情形。</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如乙方违反上述保密条款，甲方有权解除本合同，乙方应在合同解除通知发出之日起10日内向甲方支付本合同总金额</w:t>
      </w:r>
      <w:r>
        <w:rPr>
          <w:rFonts w:hint="eastAsia" w:ascii="宋体" w:hAnsi="宋体" w:eastAsia="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rPr>
        <w:t>%的违约金，如果违约金无法弥补甲方损失，甲方保留要求乙方赔偿全部损失的权利</w:t>
      </w:r>
      <w:r>
        <w:rPr>
          <w:rFonts w:hint="eastAsia" w:ascii="宋体" w:hAnsi="宋体" w:cs="宋体"/>
          <w:color w:val="auto"/>
          <w:sz w:val="24"/>
        </w:rPr>
        <w:t>，包括但不限于上述索赔或责任所产生的诉讼费用、合理的律师费用、鉴定评估费用、调查费用、和解金额或生效法律文书中规定的赔偿金额</w:t>
      </w:r>
      <w:r>
        <w:rPr>
          <w:rFonts w:hint="eastAsia" w:ascii="宋体" w:hAnsi="宋体" w:eastAsia="宋体" w:cs="宋体"/>
          <w:color w:val="auto"/>
          <w:kern w:val="2"/>
          <w:sz w:val="24"/>
          <w:szCs w:val="24"/>
          <w:highlight w:val="none"/>
        </w:rPr>
        <w:t>。</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无论本合同或本合同其他条款是否有效、合同是否终止，本保密条款始终约束双方。国家秘密的保密期限由国家有关部门确定，工作秘密的保密期限由甲方确定。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20" w:name="_Toc27550"/>
      <w:r>
        <w:rPr>
          <w:rFonts w:hint="eastAsia"/>
          <w:b/>
          <w:bCs/>
          <w:sz w:val="24"/>
          <w:szCs w:val="32"/>
          <w:lang w:val="en-US" w:eastAsia="zh-CN"/>
        </w:rPr>
        <w:t>三、知识产权及项目成果归属</w:t>
      </w:r>
      <w:bookmarkEnd w:id="20"/>
    </w:p>
    <w:p>
      <w:pPr>
        <w:pStyle w:val="8"/>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（一）本项目全部阶段性成果和最终成果的所有权、知识产权以及与之相关的所有权利归采购方所有；本项目合同签署前各方已经拥有的知识产权权利，仍归各自所有。</w:t>
      </w:r>
    </w:p>
    <w:p>
      <w:pPr>
        <w:pStyle w:val="8"/>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有权对</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按照招标文件约定提供的成果进行后续改进。由此产生的具有实质性或创造性技术进步特征的新的技术成果及其权利全部由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享有。</w:t>
      </w:r>
    </w:p>
    <w:p>
      <w:pPr>
        <w:pStyle w:val="8"/>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所提交的全部阶段性成果和最终成果文件及任何数据、资料、软件等不得侵犯任何第三方的知识产权或其他权利，由于该等文件、数据、资料、软件侵权所导致的任何索赔或责任均由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承担。同时，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修改成果至不侵权或解除本项目合同，并保留要求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赔偿全部损失的权利，包括但不限于上述索赔或责任所产生的诉讼费用、合理的律师费用、鉴定评估费用、调查费用、和解金额或生效法律文书中规定的赔偿金额。</w:t>
      </w:r>
    </w:p>
    <w:p>
      <w:pPr>
        <w:pStyle w:val="8"/>
        <w:adjustRightIn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书面事先同意，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得将研究成果公开发表、内部刊用或用于其他任何项目，也不得将本项目的阶段性成果和/或最终成果文件及任何数据、资料、软件向任何其他方转让、授权任何其他方使用或用于本项目外的其他项目。如发生以上情况，</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应向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支付本合同总</w:t>
      </w:r>
      <w:r>
        <w:rPr>
          <w:rFonts w:hint="eastAsia" w:hAnsi="宋体" w:cs="宋体"/>
          <w:color w:val="auto"/>
          <w:sz w:val="24"/>
          <w:szCs w:val="24"/>
          <w:highlight w:val="none"/>
          <w:lang w:val="en-US" w:eastAsia="zh-CN"/>
        </w:rPr>
        <w:t>金额1</w:t>
      </w:r>
      <w:r>
        <w:rPr>
          <w:rFonts w:hint="eastAsia" w:ascii="宋体" w:hAnsi="宋体" w:eastAsia="宋体" w:cs="宋体"/>
          <w:color w:val="auto"/>
          <w:sz w:val="24"/>
          <w:szCs w:val="24"/>
          <w:highlight w:val="none"/>
        </w:rPr>
        <w:t>0%的违约金。同时，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保留</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赔偿全部损失的权利</w:t>
      </w:r>
      <w:r>
        <w:rPr>
          <w:rFonts w:hint="eastAsia" w:ascii="宋体" w:hAnsi="宋体" w:cs="宋体"/>
          <w:color w:val="auto"/>
          <w:sz w:val="24"/>
        </w:rPr>
        <w:t>，包括但不限于上述索赔或责任所产生的诉讼费用、合理的律师费用、鉴定评估费用、调查费用、和解金额或生效法律文书中规定的赔偿金额</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21" w:name="_Toc26541"/>
      <w:r>
        <w:rPr>
          <w:rFonts w:hint="eastAsia"/>
          <w:b/>
          <w:bCs/>
          <w:sz w:val="24"/>
          <w:szCs w:val="32"/>
          <w:lang w:val="en-US" w:eastAsia="zh-CN"/>
        </w:rPr>
        <w:t>四、甲方的权利与义务</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（一）甲方的权利</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甲方对统计服务过程的决策、控制、实施等环节实行全面管理，协调和监督统计服务工作开展，控制统计服务工作过程，进行统计服务成果验收。</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检查乙方统计服务人员到位情况，如因人力、能力不足致使统计服务工作不能按计划完成时，可要求乙方增加或替换相应的技术人员，直至甲方认可，乙方不得拒绝。</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甲方有权向乙方询问项目工作进展及相关情况，并要求乙方在指定时间内做出答复。</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甲方有权对乙方提交的阶段性成果、最终成果送审稿等相关工作文件进行审核并提出修改意见。</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如乙方所提供的成果文件不满足委托方的工作内容及商务需求，甲方有权要求乙方重新执行相应的工作服务，由此产生的全部费用由乙方自行承担。</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甲方有权要求乙方全面履行合同。甲方不接受部分履行，如本合同项下部分成果文件未能按时交付则视为整体延误。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（二）甲方的义务</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为使统计服务工作顺利进行，甲方应在一个合理的时间内向乙方提供能够获得的与统计服务工作有关的资料。</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甲方对乙方按照合同规定所履行的服务提供必要的支持与协助。</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根据合同约定的相关条款，按时支付乙方统计服务费用。</w:t>
      </w:r>
    </w:p>
    <w:p>
      <w:pPr>
        <w:pStyle w:val="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rPr>
        <w:t xml:space="preserve">    4、甲方应在收到乙方验收申请后的20</w:t>
      </w:r>
      <w:r>
        <w:rPr>
          <w:rFonts w:hint="eastAsia" w:ascii="宋体" w:hAnsi="宋体" w:cs="宋体"/>
          <w:color w:val="auto"/>
          <w:kern w:val="2"/>
          <w:sz w:val="24"/>
          <w:szCs w:val="24"/>
          <w:highlight w:val="none"/>
          <w:lang w:val="en-US" w:eastAsia="zh-CN"/>
        </w:rPr>
        <w:t>天</w:t>
      </w:r>
      <w:r>
        <w:rPr>
          <w:rFonts w:hint="eastAsia" w:ascii="宋体" w:hAnsi="宋体" w:eastAsia="宋体" w:cs="宋体"/>
          <w:color w:val="auto"/>
          <w:kern w:val="2"/>
          <w:sz w:val="24"/>
          <w:szCs w:val="24"/>
          <w:highlight w:val="none"/>
          <w:lang w:val="en-US" w:eastAsia="zh-CN"/>
        </w:rPr>
        <w:t>内完成成果验收。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22" w:name="_Toc22779"/>
      <w:r>
        <w:rPr>
          <w:rFonts w:hint="eastAsia"/>
          <w:b/>
          <w:bCs/>
          <w:sz w:val="24"/>
          <w:szCs w:val="32"/>
          <w:lang w:val="en-US" w:eastAsia="zh-CN"/>
        </w:rPr>
        <w:t>五、乙方的权利与义务</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（一）乙方的权利</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根据统计服务工作的需要，可要求甲方提供或协助乙方收集相关资料。</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参与本项统计服务相关的工作会议及技术会议（活动）。</w:t>
      </w:r>
    </w:p>
    <w:p>
      <w:pPr>
        <w:keepNext w:val="0"/>
        <w:keepLines w:val="0"/>
        <w:pageBreakBefore w:val="0"/>
        <w:widowControl w:val="0"/>
        <w:tabs>
          <w:tab w:val="left" w:pos="4267"/>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根据合同约定收取相应的统计服务费。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（二）乙方的义务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乙方应按国家及深圳的有关法律法规、设计标准、技术规范以及本合同约定的工作内容、工作进度等要求提供统计服务，并对其提交的统计服务成果负责。对于与本项目工作内容相关的其他相关项目，乙方应进行充分了解并做好协调与衔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为保证项目成果的质量，乙方在合同履行期间，应按照本项目工作内容要求，成立项目团队。项目负责人负责对项目实施全过程进行组织和指导，负责人及相关工作人员名单在甲方确认后如需更换，乙方应事先征得甲方的书面同意，且接替的工作人员的职位、资历、资质应与原定工作人员相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3、如乙方提供的统计服务成果文件不符合本合同要求，必须在甲方提出要求后7天内无条件修改，其费用由乙方自行承担。修改期间，甲方付款时间相应顺延。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4、未经甲方书面同意，乙方不得将本合同项下权利义务转让给任何第三方。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5、未经甲方书面同意，乙方不得将本合同项下任何权利义务予以分包。如甲方同意乙方分包的，分包单位的资质应事先经甲方审查和批准。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6、乙方对其工作人员在合同履行期间的一切行为负责，期间发生的一切安全事故责任、其它人身损害及因此发生的人身损害赔偿和其他费用由乙方自行承担，与甲方无关。若因此导致甲方支付赔偿及其他费用，乙方于甲方支付前述费用的三日内应全部偿还给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7、乙方必须按本合同约定的内容、标准和期限完成项目工作，并按照甲方要求将完成委托事项的相关资料交给甲方。如甲方需对工作进度进行调整，甲方、乙方应共同协商解决。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8、乙方有维护甲方声誉的义务，乙方不能以甲方名义从事与本项目无关的任何事务。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9、本合同期满或提前解除、终止后，乙方应将甲方的档案资料、信息数据等交还甲方，并应销毁或删除所有备份。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10、乙方在完成本项目过程中，不得损害其他任何第三方的知识产权等合法权益，否则由此造成的相关责任应当由乙方自行承担，与甲方无关。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23" w:name="_Toc15508"/>
      <w:r>
        <w:rPr>
          <w:rFonts w:hint="eastAsia"/>
          <w:b/>
          <w:bCs/>
          <w:sz w:val="24"/>
          <w:szCs w:val="32"/>
          <w:lang w:val="en-US" w:eastAsia="zh-CN"/>
        </w:rPr>
        <w:t>六、合同服务期限及履行方式</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lang w:val="en-US" w:eastAsia="zh-CN"/>
        </w:rPr>
        <w:t>1、服务期</w:t>
      </w:r>
      <w:r>
        <w:rPr>
          <w:rFonts w:hint="eastAsia"/>
          <w:sz w:val="24"/>
          <w:szCs w:val="32"/>
          <w:highlight w:val="none"/>
          <w:lang w:val="en-US" w:eastAsia="zh-CN"/>
        </w:rPr>
        <w:t>限：合同签订之日起一年内完成全部项目工作内容，工作成果按照双方约定时间交付。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2</w:t>
      </w:r>
      <w:r>
        <w:rPr>
          <w:rFonts w:hint="eastAsia"/>
          <w:sz w:val="24"/>
          <w:szCs w:val="32"/>
          <w:lang w:val="en-US" w:eastAsia="zh-CN"/>
        </w:rPr>
        <w:t>、</w:t>
      </w:r>
      <w:r>
        <w:rPr>
          <w:rFonts w:hint="eastAsia"/>
          <w:sz w:val="24"/>
          <w:szCs w:val="32"/>
          <w:highlight w:val="none"/>
          <w:lang w:val="en-US" w:eastAsia="zh-CN"/>
        </w:rPr>
        <w:t>履行方式：按甲方的工作内容及商务需求完成相应工作，并提交全部工作成果。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bookmarkStart w:id="24" w:name="_Toc29549"/>
      <w:r>
        <w:rPr>
          <w:rFonts w:hint="eastAsia"/>
          <w:sz w:val="24"/>
          <w:szCs w:val="32"/>
          <w:highlight w:val="none"/>
          <w:lang w:val="en-US" w:eastAsia="zh-CN"/>
        </w:rPr>
        <w:t>3</w:t>
      </w:r>
      <w:r>
        <w:rPr>
          <w:rFonts w:hint="eastAsia"/>
          <w:sz w:val="24"/>
          <w:szCs w:val="32"/>
          <w:lang w:val="en-US" w:eastAsia="zh-CN"/>
        </w:rPr>
        <w:t>、</w:t>
      </w:r>
      <w:r>
        <w:rPr>
          <w:rFonts w:hint="eastAsia"/>
          <w:sz w:val="24"/>
          <w:szCs w:val="32"/>
          <w:highlight w:val="none"/>
          <w:lang w:val="en-US" w:eastAsia="zh-CN"/>
        </w:rPr>
        <w:t>后续服务要求：乙方提交的本项目最终成果通过甲方审查验收之日起1年为本合同后续服务期。服务期内乙方应向甲方提供后续的专业技术支持与咨询服务。</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32"/>
          <w:highlight w:val="none"/>
          <w:lang w:val="en-US" w:eastAsia="zh-CN"/>
        </w:rPr>
      </w:pPr>
      <w:bookmarkStart w:id="25" w:name="_Toc20839"/>
      <w:r>
        <w:rPr>
          <w:rFonts w:hint="eastAsia"/>
          <w:b/>
          <w:bCs/>
          <w:sz w:val="24"/>
          <w:szCs w:val="32"/>
          <w:highlight w:val="none"/>
          <w:lang w:val="en-US" w:eastAsia="zh-CN"/>
        </w:rPr>
        <w:t>七、</w:t>
      </w:r>
      <w:bookmarkEnd w:id="25"/>
      <w:r>
        <w:rPr>
          <w:rFonts w:hint="eastAsia"/>
          <w:b/>
          <w:bCs/>
          <w:sz w:val="24"/>
          <w:szCs w:val="32"/>
          <w:highlight w:val="none"/>
          <w:lang w:val="en-US" w:eastAsia="zh-CN"/>
        </w:rPr>
        <w:t>验收方式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highlight w:val="none"/>
          <w:lang w:val="en-US" w:eastAsia="zh-CN"/>
        </w:rPr>
      </w:pPr>
      <w:r>
        <w:rPr>
          <w:rFonts w:hint="eastAsia"/>
          <w:sz w:val="24"/>
          <w:szCs w:val="32"/>
          <w:highlight w:val="none"/>
          <w:lang w:val="en-US" w:eastAsia="zh-CN"/>
        </w:rPr>
        <w:t>乙方按甲方要求在项目末期提交4份《</w:t>
      </w:r>
      <w:r>
        <w:rPr>
          <w:rFonts w:hint="eastAsia" w:ascii="宋体" w:hAnsi="宋体" w:cs="宋体"/>
          <w:color w:val="auto"/>
          <w:sz w:val="24"/>
          <w:szCs w:val="24"/>
          <w:highlight w:val="none"/>
          <w:lang w:val="en-US" w:eastAsia="zh-CN"/>
        </w:rPr>
        <w:t>前海蛇口自贸区发展专题研究报告</w:t>
      </w:r>
      <w:r>
        <w:rPr>
          <w:rFonts w:hint="eastAsia"/>
          <w:sz w:val="24"/>
          <w:szCs w:val="32"/>
          <w:highlight w:val="none"/>
          <w:lang w:val="en-US" w:eastAsia="zh-CN"/>
        </w:rPr>
        <w:t>》和12份度前海蛇口自贸区统计月度报告后，甲方在最终成果提交后20天内对工作进行审查，最终成果验收合格的标志为甲方审查通过。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26" w:name="_Toc31126"/>
      <w:r>
        <w:rPr>
          <w:rFonts w:hint="eastAsia"/>
          <w:b/>
          <w:bCs/>
          <w:sz w:val="24"/>
          <w:szCs w:val="32"/>
          <w:lang w:val="en-US" w:eastAsia="zh-CN"/>
        </w:rPr>
        <w:t>八、项目服务费用及付款方式</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1.</w:t>
      </w:r>
      <w:r>
        <w:rPr>
          <w:rFonts w:hint="eastAsia"/>
          <w:sz w:val="24"/>
          <w:szCs w:val="32"/>
        </w:rPr>
        <w:t>本合同</w:t>
      </w:r>
      <w:r>
        <w:rPr>
          <w:rFonts w:hint="eastAsia"/>
          <w:sz w:val="24"/>
          <w:szCs w:val="32"/>
          <w:lang w:eastAsia="zh-CN"/>
        </w:rPr>
        <w:t>项下</w:t>
      </w:r>
      <w:r>
        <w:rPr>
          <w:rFonts w:hint="eastAsia"/>
          <w:sz w:val="24"/>
          <w:szCs w:val="32"/>
        </w:rPr>
        <w:t>项目总金额</w:t>
      </w:r>
      <w:r>
        <w:rPr>
          <w:rFonts w:hint="eastAsia"/>
          <w:sz w:val="24"/>
          <w:szCs w:val="32"/>
          <w:lang w:val="en-US" w:eastAsia="zh-CN"/>
        </w:rPr>
        <w:t>为：</w:t>
      </w:r>
      <w:r>
        <w:rPr>
          <w:rFonts w:hint="eastAsia"/>
          <w:sz w:val="24"/>
          <w:szCs w:val="32"/>
        </w:rPr>
        <w:t>人民币</w:t>
      </w:r>
      <w:r>
        <w:rPr>
          <w:rFonts w:hint="eastAsia"/>
          <w:sz w:val="24"/>
          <w:szCs w:val="32"/>
          <w:u w:val="single"/>
          <w:lang w:val="en-US" w:eastAsia="zh-CN"/>
        </w:rPr>
        <w:t xml:space="preserve">      </w:t>
      </w:r>
      <w:r>
        <w:rPr>
          <w:rFonts w:hint="eastAsia"/>
          <w:sz w:val="24"/>
          <w:szCs w:val="32"/>
        </w:rPr>
        <w:t>整（￥</w:t>
      </w:r>
      <w:r>
        <w:rPr>
          <w:rFonts w:hint="eastAsia"/>
          <w:sz w:val="24"/>
          <w:szCs w:val="32"/>
          <w:u w:val="single"/>
          <w:lang w:val="en-US" w:eastAsia="zh-CN"/>
        </w:rPr>
        <w:t xml:space="preserve">      </w:t>
      </w:r>
      <w:r>
        <w:rPr>
          <w:rFonts w:hint="eastAsia"/>
          <w:sz w:val="24"/>
          <w:szCs w:val="32"/>
        </w:rPr>
        <w:t>）</w:t>
      </w:r>
      <w:r>
        <w:rPr>
          <w:rFonts w:hint="eastAsia"/>
          <w:sz w:val="24"/>
          <w:szCs w:val="32"/>
          <w:lang w:eastAsia="zh-CN"/>
        </w:rPr>
        <w:t>，</w:t>
      </w:r>
      <w:r>
        <w:rPr>
          <w:rFonts w:hint="eastAsia"/>
          <w:sz w:val="24"/>
          <w:szCs w:val="32"/>
          <w:lang w:val="en-US" w:eastAsia="zh-CN"/>
        </w:rPr>
        <w:t>其中不含税价为</w:t>
      </w:r>
      <w:r>
        <w:rPr>
          <w:rFonts w:hint="eastAsia"/>
          <w:sz w:val="24"/>
          <w:szCs w:val="32"/>
        </w:rPr>
        <w:t>￥</w:t>
      </w:r>
      <w:r>
        <w:rPr>
          <w:rFonts w:hint="eastAsia"/>
          <w:sz w:val="24"/>
          <w:szCs w:val="32"/>
          <w:u w:val="single"/>
          <w:lang w:val="en-US" w:eastAsia="zh-CN"/>
        </w:rPr>
        <w:t xml:space="preserve">      </w:t>
      </w:r>
      <w:r>
        <w:rPr>
          <w:rFonts w:hint="eastAsia"/>
          <w:sz w:val="24"/>
          <w:szCs w:val="32"/>
          <w:lang w:val="en-US" w:eastAsia="zh-CN"/>
        </w:rPr>
        <w:t>，税金为</w:t>
      </w:r>
      <w:r>
        <w:rPr>
          <w:rFonts w:hint="eastAsia"/>
          <w:sz w:val="24"/>
          <w:szCs w:val="32"/>
        </w:rPr>
        <w:t>￥</w:t>
      </w:r>
      <w:r>
        <w:rPr>
          <w:rFonts w:hint="eastAsia"/>
          <w:sz w:val="24"/>
          <w:szCs w:val="32"/>
          <w:u w:val="single"/>
          <w:lang w:val="en-US" w:eastAsia="zh-CN"/>
        </w:rPr>
        <w:t xml:space="preserve">      </w:t>
      </w:r>
      <w:r>
        <w:rPr>
          <w:rFonts w:hint="eastAsia"/>
          <w:sz w:val="24"/>
          <w:szCs w:val="32"/>
          <w:lang w:eastAsia="zh-CN"/>
        </w:rPr>
        <w:t>。</w:t>
      </w:r>
      <w:r>
        <w:rPr>
          <w:rFonts w:hint="eastAsia"/>
          <w:sz w:val="24"/>
          <w:szCs w:val="32"/>
        </w:rPr>
        <w:t>服务费包含乙方提供本合同项下服务的全部费用，包括但不限于</w:t>
      </w:r>
      <w:r>
        <w:rPr>
          <w:rFonts w:hint="eastAsia"/>
          <w:sz w:val="24"/>
          <w:szCs w:val="32"/>
          <w:lang w:val="en-US" w:eastAsia="zh-CN"/>
        </w:rPr>
        <w:t>投标人完成本招标项目而发生的全部费用，包括</w:t>
      </w:r>
      <w:r>
        <w:rPr>
          <w:rFonts w:hint="eastAsia"/>
          <w:sz w:val="24"/>
          <w:szCs w:val="32"/>
        </w:rPr>
        <w:t>但不限于</w:t>
      </w:r>
      <w:r>
        <w:rPr>
          <w:rFonts w:hint="eastAsia"/>
          <w:sz w:val="24"/>
          <w:szCs w:val="32"/>
          <w:lang w:val="en-US" w:eastAsia="zh-CN"/>
        </w:rPr>
        <w:t>服务费、中标服务费、各种资料费、保险、税金、出差（如需）等所有费用，并提供合同要求的报告、全部成果文件和全部相关资料，以及其它相关服务的全部费用。其中出差费用应参照《深圳市财政委员会关于印发&lt;深圳市市直党政机关和事业单位差旅费管理办法&gt;的通知》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2..</w:t>
      </w:r>
      <w:r>
        <w:rPr>
          <w:rFonts w:hint="eastAsia"/>
          <w:sz w:val="24"/>
          <w:szCs w:val="32"/>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bookmarkStart w:id="27" w:name="_Toc7588"/>
      <w:r>
        <w:rPr>
          <w:rFonts w:hint="eastAsia"/>
          <w:sz w:val="24"/>
          <w:szCs w:val="32"/>
        </w:rPr>
        <w:t>项目资金分</w:t>
      </w:r>
      <w:r>
        <w:rPr>
          <w:rFonts w:hint="eastAsia"/>
          <w:sz w:val="24"/>
          <w:szCs w:val="32"/>
          <w:lang w:val="en-US"/>
        </w:rPr>
        <w:t>2</w:t>
      </w:r>
      <w:r>
        <w:rPr>
          <w:rFonts w:hint="eastAsia"/>
          <w:sz w:val="24"/>
          <w:szCs w:val="32"/>
        </w:rPr>
        <w:t>期支付至乙方指定银行账户：</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32"/>
          <w:lang w:eastAsia="zh-CN"/>
        </w:rPr>
      </w:pPr>
      <w:bookmarkStart w:id="28" w:name="_Toc29399"/>
      <w:r>
        <w:rPr>
          <w:rFonts w:hint="eastAsia"/>
          <w:sz w:val="24"/>
          <w:szCs w:val="32"/>
          <w:lang w:val="en-US" w:eastAsia="zh-CN"/>
        </w:rPr>
        <w:t>2.</w:t>
      </w:r>
      <w:r>
        <w:rPr>
          <w:rFonts w:hint="eastAsia"/>
          <w:sz w:val="24"/>
          <w:szCs w:val="32"/>
        </w:rPr>
        <w:t>1.第一期：自本项目合同签订之日后，根据乙方提出的付款申请，</w:t>
      </w:r>
      <w:r>
        <w:rPr>
          <w:rFonts w:hint="eastAsia"/>
          <w:sz w:val="24"/>
          <w:szCs w:val="32"/>
          <w:lang w:eastAsia="zh-CN"/>
        </w:rPr>
        <w:t>甲方</w:t>
      </w:r>
      <w:r>
        <w:rPr>
          <w:rFonts w:hint="eastAsia"/>
          <w:sz w:val="24"/>
          <w:szCs w:val="32"/>
        </w:rPr>
        <w:t>向乙方支付合同总价款的</w:t>
      </w:r>
      <w:r>
        <w:rPr>
          <w:rFonts w:hint="eastAsia"/>
          <w:sz w:val="24"/>
          <w:szCs w:val="32"/>
          <w:lang w:val="en-US"/>
        </w:rPr>
        <w:t>50</w:t>
      </w:r>
      <w:r>
        <w:rPr>
          <w:rFonts w:hint="eastAsia"/>
          <w:sz w:val="24"/>
          <w:szCs w:val="32"/>
        </w:rPr>
        <w:t>%；</w:t>
      </w:r>
      <w:bookmarkEnd w:id="28"/>
      <w:r>
        <w:rPr>
          <w:sz w:val="24"/>
          <w:szCs w:val="32"/>
        </w:rPr>
        <w:t>即人民币</w:t>
      </w:r>
      <w:r>
        <w:rPr>
          <w:rFonts w:hint="eastAsia"/>
          <w:sz w:val="24"/>
          <w:szCs w:val="32"/>
          <w:u w:val="single"/>
          <w:lang w:val="en-US" w:eastAsia="zh-CN"/>
        </w:rPr>
        <w:t xml:space="preserve">      </w:t>
      </w:r>
      <w:r>
        <w:rPr>
          <w:sz w:val="24"/>
          <w:szCs w:val="32"/>
        </w:rPr>
        <w:t xml:space="preserve"> 整（</w:t>
      </w:r>
      <w:r>
        <w:rPr>
          <w:rFonts w:hint="eastAsia"/>
          <w:sz w:val="24"/>
          <w:szCs w:val="32"/>
        </w:rPr>
        <w:t>¥</w:t>
      </w:r>
      <w:r>
        <w:rPr>
          <w:rFonts w:hint="eastAsia"/>
          <w:sz w:val="24"/>
          <w:szCs w:val="32"/>
          <w:u w:val="single"/>
          <w:lang w:val="en-US" w:eastAsia="zh-CN"/>
        </w:rPr>
        <w:t xml:space="preserve">      </w:t>
      </w:r>
      <w:r>
        <w:rPr>
          <w:rFonts w:hint="eastAsia"/>
          <w:sz w:val="24"/>
          <w:szCs w:val="32"/>
        </w:rPr>
        <w:t>元</w:t>
      </w:r>
      <w:r>
        <w:rPr>
          <w:sz w:val="24"/>
          <w:szCs w:val="32"/>
        </w:rPr>
        <w:t>）</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32"/>
          <w:lang w:eastAsia="zh-CN"/>
        </w:rPr>
      </w:pPr>
      <w:r>
        <w:rPr>
          <w:rFonts w:hint="eastAsia"/>
          <w:sz w:val="24"/>
          <w:szCs w:val="32"/>
          <w:lang w:val="en-US" w:eastAsia="zh-CN"/>
        </w:rPr>
        <w:t>2.</w:t>
      </w:r>
      <w:r>
        <w:rPr>
          <w:rFonts w:hint="eastAsia"/>
          <w:sz w:val="24"/>
          <w:szCs w:val="32"/>
        </w:rPr>
        <w:t>2.第二期：乙方完成合同全部内容，经甲方验收合格后，</w:t>
      </w:r>
      <w:r>
        <w:rPr>
          <w:rFonts w:hint="eastAsia"/>
          <w:sz w:val="24"/>
          <w:szCs w:val="32"/>
          <w:lang w:eastAsia="zh-CN"/>
        </w:rPr>
        <w:t>甲方</w:t>
      </w:r>
      <w:r>
        <w:rPr>
          <w:rFonts w:hint="eastAsia"/>
          <w:sz w:val="24"/>
          <w:szCs w:val="32"/>
        </w:rPr>
        <w:t>向乙方支付项目合同总价款的</w:t>
      </w:r>
      <w:r>
        <w:rPr>
          <w:rFonts w:hint="eastAsia"/>
          <w:sz w:val="24"/>
          <w:szCs w:val="32"/>
          <w:lang w:val="en-US"/>
        </w:rPr>
        <w:t>50</w:t>
      </w:r>
      <w:r>
        <w:rPr>
          <w:rFonts w:hint="eastAsia"/>
          <w:sz w:val="24"/>
          <w:szCs w:val="32"/>
        </w:rPr>
        <w:t>%。</w:t>
      </w:r>
      <w:r>
        <w:rPr>
          <w:sz w:val="24"/>
          <w:szCs w:val="32"/>
        </w:rPr>
        <w:t>即人民币</w:t>
      </w:r>
      <w:r>
        <w:rPr>
          <w:rFonts w:hint="eastAsia"/>
          <w:sz w:val="24"/>
          <w:szCs w:val="32"/>
          <w:u w:val="single"/>
          <w:lang w:val="en-US" w:eastAsia="zh-CN"/>
        </w:rPr>
        <w:t xml:space="preserve">      </w:t>
      </w:r>
      <w:r>
        <w:rPr>
          <w:sz w:val="24"/>
          <w:szCs w:val="32"/>
        </w:rPr>
        <w:t>整（</w:t>
      </w:r>
      <w:r>
        <w:rPr>
          <w:rFonts w:hint="eastAsia"/>
          <w:sz w:val="24"/>
          <w:szCs w:val="32"/>
        </w:rPr>
        <w:t>¥</w:t>
      </w:r>
      <w:r>
        <w:rPr>
          <w:rFonts w:hint="eastAsia"/>
          <w:sz w:val="24"/>
          <w:szCs w:val="32"/>
          <w:u w:val="single"/>
          <w:lang w:val="en-US" w:eastAsia="zh-CN"/>
        </w:rPr>
        <w:t xml:space="preserve">      </w:t>
      </w:r>
      <w:r>
        <w:rPr>
          <w:rFonts w:hint="eastAsia"/>
          <w:sz w:val="24"/>
          <w:szCs w:val="32"/>
        </w:rPr>
        <w:t>元</w:t>
      </w:r>
      <w:r>
        <w:rPr>
          <w:sz w:val="24"/>
          <w:szCs w:val="32"/>
        </w:rPr>
        <w:t>）</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2.3.上述每期款项均在满足付款条件，且甲方收到乙方开具的载明相应金额的合格发票后15个工作日内付至乙方指定银行账户。如未及时收到发票，则甲方相应付款时间顺延。若因甲方付款审批影响支付进度，不视为违约，请乙方予以谅解，并不得就此向甲方索赔。甲方有权在支付价款时扣除乙方按照本合同应承担的违约金和赔补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29" w:name="_Toc26475"/>
      <w:r>
        <w:rPr>
          <w:rFonts w:hint="eastAsia"/>
          <w:sz w:val="24"/>
          <w:szCs w:val="32"/>
          <w:lang w:val="en-US" w:eastAsia="zh-CN"/>
        </w:rPr>
        <w:t>乙方收款信息</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30" w:name="_Toc28263"/>
      <w:r>
        <w:rPr>
          <w:rFonts w:hint="eastAsia"/>
          <w:sz w:val="24"/>
          <w:szCs w:val="32"/>
          <w:lang w:val="en-US" w:eastAsia="zh-CN"/>
        </w:rPr>
        <w:t>户名：</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31" w:name="_Toc26152"/>
      <w:r>
        <w:rPr>
          <w:rFonts w:hint="eastAsia"/>
          <w:sz w:val="24"/>
          <w:szCs w:val="32"/>
          <w:lang w:val="en-US" w:eastAsia="zh-CN"/>
        </w:rPr>
        <w:t>银行账号：</w:t>
      </w:r>
      <w:bookmarkEnd w:id="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32" w:name="_Toc438"/>
      <w:r>
        <w:rPr>
          <w:rFonts w:hint="eastAsia"/>
          <w:sz w:val="24"/>
          <w:szCs w:val="32"/>
          <w:lang w:val="en-US" w:eastAsia="zh-CN"/>
        </w:rPr>
        <w:t>开户银行：</w:t>
      </w:r>
      <w:bookmarkEnd w:id="32"/>
      <w:r>
        <w:rPr>
          <w:rFonts w:hint="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bookmarkStart w:id="33" w:name="_Toc27597"/>
      <w:r>
        <w:rPr>
          <w:rFonts w:hint="eastAsia"/>
          <w:sz w:val="24"/>
          <w:szCs w:val="32"/>
          <w:lang w:val="en-US" w:eastAsia="zh-CN"/>
        </w:rPr>
        <w:t>乙方应确保所提供的银行账号信息准确无误。如账号发生错误、变更等情况，应当提前10日以书面形式通知甲方，否则，由此而引起的一切责任均由乙方自行承担。</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34" w:name="_Toc26548"/>
      <w:r>
        <w:rPr>
          <w:rFonts w:hint="eastAsia"/>
          <w:b/>
          <w:bCs/>
          <w:sz w:val="24"/>
          <w:szCs w:val="32"/>
          <w:lang w:val="en-US" w:eastAsia="zh-CN"/>
        </w:rPr>
        <w:t>九、争议解决办法</w:t>
      </w:r>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甲方和乙方在履行本合同双方对有关问题发生争端时，双方应友好协商解决。协商不成的，双方可依法向深圳前海合作区人民法院起诉。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35" w:name="_Toc13355"/>
      <w:r>
        <w:rPr>
          <w:rFonts w:hint="eastAsia"/>
          <w:b/>
          <w:bCs/>
          <w:sz w:val="24"/>
          <w:szCs w:val="32"/>
          <w:lang w:val="en-US" w:eastAsia="zh-CN"/>
        </w:rPr>
        <w:t>十、违约责任</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32"/>
          <w:lang w:val="en-US" w:eastAsia="zh-CN"/>
        </w:rPr>
      </w:pPr>
      <w:r>
        <w:rPr>
          <w:rFonts w:hint="eastAsia"/>
          <w:b w:val="0"/>
          <w:bCs w:val="0"/>
          <w:sz w:val="24"/>
          <w:szCs w:val="32"/>
          <w:lang w:val="en-US" w:eastAsia="zh-CN"/>
        </w:rPr>
        <w:t>（一）甲方的违约责任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甲方未按本合同约定支付合同价款，经乙方书面催告甲方并给予不少于5个工作日的履行期限后甲方仍未支付的，乙方有权自该期限届满之日起要求甲方支付该阶段合同价款每日0.5‰的逾期违约金，逾期违约金总额不超过合同总价款的10%。逾期超过30（个）工作日（含30个工作日）以上时，乙方有权暂停履行下阶段工作，并书面通知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2、甲方无故拒绝或无正当理由拒绝项目验收或拒绝支付合同款项的，除应支付对应阶段的款项外，甲方应向乙方偿付合同总价款10%的违约金。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3、如政策性原因导致本项目停工不属于甲方违约，甲方根据乙方实际完成工作结算统计服务费，甲方不另行支付额外费用，并不承担任何违约责任。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（二）乙方的违约责任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 xml:space="preserve">1、乙方无任何理由部分或全部不履行合同中应承担的义务时，乙方应按本合同总价款的10%向甲方支付违约金。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未经甲方书面许可，乙方不得将本合同项目与任何第三方合作，或将本合同标的的全部或部分转委托给任何第三方。否则，甲方有权要求乙方终止与第三方的合同。乙方应承担因此而产生的相关责任，并向甲方支付本合同总额10%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本合同履行期间，因乙方原因，未能按规定时间完成工作的，每延误一天，甲方有权在尚未支付的合同款项中扣除该阶段合同价款的0.5‰。如乙方已完成阶段性成果且经甲方验收合格的，乙方有权要求甲方支付该阶段成果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4、本合同履行期间，发生下述情形时，甲方有权解除本合同，乙方应向甲方支付合同总价款10%的违约金，甲方有权在支付乙方的任何款项中扣除该等违约金，同时，甲方保留要求乙方赔偿相应损失的权利，另外，乙方应将已完成的阶段性成果移交给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（1）因乙方工作的错误或遗漏造成成果质量损失，且乙方未按甲方要求采取及时有效的补救措施的；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（2）乙方未能按合同约定的日期（含协商延缓的日期）提交工作成果，延误时间超过30个工作日；或乙方虽如期提交阶段性成果和最终成果，但最终成果连续二次未能通过验收的；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（3）发现乙方或乙方工作人员出现全部或部分丧失履行委托服务能力的情况，甲方有权通知乙方限期整改或更换工作人员，期限届满乙方并未进行改善的；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（4）乙方明确表示或者以自己的行为表明不履行本合同的。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bookmarkStart w:id="36" w:name="_Toc563"/>
      <w:r>
        <w:rPr>
          <w:rFonts w:hint="eastAsia"/>
          <w:b/>
          <w:bCs/>
          <w:sz w:val="24"/>
          <w:szCs w:val="32"/>
          <w:lang w:val="en-US" w:eastAsia="zh-CN"/>
        </w:rPr>
        <w:t>十一、项目变更</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eastAsia="宋体" w:cs="宋体"/>
          <w:bCs/>
          <w:color w:val="auto"/>
          <w:kern w:val="2"/>
          <w:sz w:val="24"/>
          <w:szCs w:val="24"/>
          <w:highlight w:val="none"/>
          <w:lang w:val="en-US" w:eastAsia="zh-CN"/>
        </w:rPr>
        <w:t>（一）</w:t>
      </w:r>
      <w:r>
        <w:rPr>
          <w:rFonts w:hint="eastAsia" w:ascii="宋体" w:hAnsi="宋体" w:cs="宋体"/>
          <w:color w:val="auto"/>
          <w:sz w:val="24"/>
        </w:rPr>
        <w:t>本合同履行过程中的需求变更和进度调整，以甲乙双方达成一致的书面文件为准。</w:t>
      </w:r>
    </w:p>
    <w:p>
      <w:pPr>
        <w:pageBreakBefore w:val="0"/>
        <w:kinsoku/>
        <w:overflowPunct/>
        <w:topLinePunct w:val="0"/>
        <w:bidi w:val="0"/>
        <w:snapToGrid w:val="0"/>
        <w:spacing w:line="360" w:lineRule="auto"/>
        <w:ind w:firstLine="480" w:firstLineChars="200"/>
        <w:rPr>
          <w:rFonts w:hint="eastAsia" w:ascii="宋体" w:hAnsi="宋体" w:cs="宋体"/>
          <w:color w:val="auto"/>
          <w:sz w:val="24"/>
        </w:rPr>
      </w:pPr>
      <w:r>
        <w:rPr>
          <w:rFonts w:hint="eastAsia" w:ascii="宋体" w:hAnsi="宋体" w:eastAsia="宋体" w:cs="宋体"/>
          <w:bCs/>
          <w:color w:val="auto"/>
          <w:kern w:val="2"/>
          <w:sz w:val="24"/>
          <w:szCs w:val="24"/>
          <w:highlight w:val="none"/>
          <w:lang w:val="en-US" w:eastAsia="zh-CN"/>
        </w:rPr>
        <w:t>（二）</w:t>
      </w:r>
      <w:r>
        <w:rPr>
          <w:rFonts w:hint="eastAsia" w:ascii="宋体" w:hAnsi="宋体" w:cs="宋体"/>
          <w:color w:val="auto"/>
          <w:sz w:val="24"/>
        </w:rPr>
        <w:t>乙方遇到不能按时交货或按期完工的情况，应及时以书面形式将不能按时完工的理由、延误时间通知甲方。甲方在收到乙方通知后，根据情况决定是否延长完成时间。如同意延长，则乙方责任期也相应延长。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ascii="宋体" w:hAnsi="宋体" w:eastAsia="宋体" w:cs="宋体"/>
          <w:bCs/>
          <w:color w:val="auto"/>
          <w:kern w:val="2"/>
          <w:sz w:val="24"/>
          <w:szCs w:val="24"/>
          <w:highlight w:val="none"/>
          <w:lang w:val="en-US" w:eastAsia="zh-CN"/>
        </w:rPr>
        <w:t>（三）</w:t>
      </w:r>
      <w:r>
        <w:rPr>
          <w:rFonts w:hint="eastAsia" w:ascii="宋体" w:hAnsi="宋体" w:cs="宋体"/>
          <w:color w:val="auto"/>
          <w:sz w:val="24"/>
        </w:rPr>
        <w:t>因非乙方责任造成项目进度推迟或延误，无法按照合同约定的日期完成相</w:t>
      </w:r>
      <w:r>
        <w:rPr>
          <w:rFonts w:hint="eastAsia"/>
          <w:sz w:val="24"/>
          <w:szCs w:val="32"/>
          <w:lang w:val="en-US" w:eastAsia="zh-CN"/>
        </w:rPr>
        <w:t>应的项目，双方经过协商可以进一步约定完成的日期，乙方的责任期也随之顺延。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（四）在合同所约定的工作范畴内的服务，本合同价格不予变更。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32"/>
          <w:lang w:val="en-US" w:eastAsia="zh-CN"/>
        </w:rPr>
      </w:pPr>
      <w:r>
        <w:rPr>
          <w:rFonts w:hint="eastAsia"/>
          <w:b/>
          <w:bCs/>
          <w:sz w:val="24"/>
          <w:szCs w:val="32"/>
          <w:lang w:val="en-US" w:eastAsia="zh-CN"/>
        </w:rPr>
        <w:t>十二、其他</w:t>
      </w:r>
      <w:bookmarkEnd w:id="36"/>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1、合同书及补充协议；</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2、中标通知书；</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3、招标文件（编号：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）、答疑及补充通知；</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4、投标书。</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（二）本合同替代此前双方所有关于本合同事项的口头或书面的纪要、备忘录、合同、协议。</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（三）本合同附件（如有）为合同不可分割的组成部分，与本合同一并加盖骑缝章后具有同等法律效力。若附件与合同正文有任何冲突，以合同正文为准。</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（四）本合同各条标题仅为提示之用，应以条文内容确定各方的权利义务。</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（五）本合同未尽事宜，由双方协商签订补充协议进行约定。补充协议应以书面形式作成，经双方法定代表人或其授权代表签字、盖章后与本合同具有同等法律效力。</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（六）本合同约定的权利和义务不因合同双方发生收购、兼并、重组、分立而发生变化。如果发生上述情形，则本合同约定的权利和义务随之转移至收购、兼并、重组或分立后成立的单位。</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（七）本合同在国家法律、法规和规章规定的范围内执行。当国家法律、法规和规章发生变化导致本合同有关条款与之抵触时，双方协商变更或废止该条款，在此情况下，双方互不承担责任。</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（八）如果本合同的任何条款在任何时候变成不合法、无效或不可强制执行而不从根本上影响本合同的效力时，本合同的其他条款不受影响。</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（十）本合同的任何内容不应被视为或解释为双方之间具有合资、合伙、代理关系。</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（十一）任何一方未经另一方同意不得向任何第三方透露本合同的签订及其内容。甲方向其关联公司透露前述内容的，不受此限。</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（十三）本合同自双方法定代表人或其授权代表签字、盖章之日起生效，有效期至后续服务期满之日止。</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sectPr>
          <w:footerReference r:id="rId6" w:type="default"/>
          <w:pgSz w:w="11906" w:h="16838"/>
          <w:pgMar w:top="2098" w:right="1588" w:bottom="1531" w:left="1588" w:header="709" w:footer="709" w:gutter="0"/>
          <w:pgBorders>
            <w:top w:val="none" w:sz="0" w:space="0"/>
            <w:left w:val="none" w:sz="0" w:space="0"/>
            <w:bottom w:val="none" w:sz="0" w:space="0"/>
            <w:right w:val="none" w:sz="0" w:space="0"/>
          </w:pgBorders>
          <w:cols w:space="720" w:num="1"/>
          <w:rtlGutter w:val="0"/>
          <w:docGrid w:linePitch="360" w:charSpace="0"/>
        </w:sectPr>
      </w:pPr>
      <w:r>
        <w:rPr>
          <w:rFonts w:hint="eastAsia" w:ascii="宋体" w:hAnsi="宋体" w:eastAsia="宋体" w:cs="宋体"/>
          <w:color w:val="auto"/>
          <w:kern w:val="2"/>
          <w:sz w:val="24"/>
          <w:szCs w:val="24"/>
          <w:highlight w:val="none"/>
          <w:lang w:val="en-US" w:eastAsia="zh-CN"/>
        </w:rPr>
        <w:t>（十四）本合同一式四份正本，甲方与乙方各执两份，均具同等法律效力。（以下无正文，为签章栏）</w:t>
      </w:r>
    </w:p>
    <w:p>
      <w:pPr>
        <w:tabs>
          <w:tab w:val="left" w:pos="4267"/>
        </w:tabs>
        <w:spacing w:line="360" w:lineRule="auto"/>
        <w:rPr>
          <w:rFonts w:hint="eastAsia" w:ascii="宋体" w:hAnsi="宋体" w:eastAsia="宋体" w:cs="宋体"/>
          <w:bCs/>
          <w:color w:val="auto"/>
          <w:sz w:val="21"/>
          <w:szCs w:val="21"/>
          <w:highlight w:val="none"/>
        </w:rPr>
      </w:pPr>
    </w:p>
    <w:p>
      <w:pPr>
        <w:tabs>
          <w:tab w:val="left" w:pos="4267"/>
        </w:tabs>
        <w:spacing w:line="360" w:lineRule="auto"/>
        <w:rPr>
          <w:rFonts w:hint="eastAsia" w:ascii="宋体" w:hAnsi="宋体" w:eastAsia="宋体" w:cs="宋体"/>
          <w:bCs/>
          <w:color w:val="auto"/>
          <w:sz w:val="21"/>
          <w:szCs w:val="21"/>
          <w:highlight w:val="none"/>
        </w:rPr>
      </w:pPr>
    </w:p>
    <w:p>
      <w:pPr>
        <w:tabs>
          <w:tab w:val="left" w:pos="4267"/>
        </w:tabs>
        <w:spacing w:line="360" w:lineRule="auto"/>
        <w:rPr>
          <w:rFonts w:hint="eastAsia" w:ascii="宋体" w:hAnsi="宋体" w:eastAsia="宋体" w:cs="宋体"/>
          <w:bCs/>
          <w:color w:val="auto"/>
          <w:sz w:val="21"/>
          <w:szCs w:val="21"/>
          <w:highlight w:val="none"/>
        </w:rPr>
      </w:pPr>
    </w:p>
    <w:p>
      <w:pPr>
        <w:tabs>
          <w:tab w:val="left" w:pos="4267"/>
        </w:tabs>
        <w:spacing w:line="360" w:lineRule="auto"/>
        <w:rPr>
          <w:rFonts w:hint="eastAsia" w:ascii="宋体" w:hAnsi="宋体" w:eastAsia="宋体" w:cs="宋体"/>
          <w:bCs/>
          <w:color w:val="auto"/>
          <w:sz w:val="21"/>
          <w:szCs w:val="21"/>
          <w:highlight w:val="none"/>
        </w:rPr>
      </w:pP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甲方（盖章）：</w:t>
      </w:r>
      <w:r>
        <w:rPr>
          <w:rFonts w:hint="eastAsia" w:ascii="宋体" w:hAnsi="宋体" w:eastAsia="宋体" w:cs="宋体"/>
          <w:color w:val="auto"/>
          <w:sz w:val="24"/>
          <w:szCs w:val="24"/>
          <w:highlight w:val="none"/>
        </w:rPr>
        <w:t>深圳市前海深港现代服务业合作区管理局</w:t>
      </w:r>
      <w:r>
        <w:rPr>
          <w:rFonts w:hint="eastAsia" w:ascii="宋体" w:hAnsi="宋体" w:eastAsia="宋体" w:cs="宋体"/>
          <w:color w:val="auto"/>
          <w:kern w:val="2"/>
          <w:sz w:val="24"/>
          <w:szCs w:val="24"/>
          <w:highlight w:val="none"/>
          <w:lang w:val="en-US" w:eastAsia="zh-CN"/>
        </w:rPr>
        <w:t xml:space="preserve"> </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法定代表人或授权代表（签字）：</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日期：      年    月    日            </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p>
    <w:p>
      <w:pPr>
        <w:pStyle w:val="9"/>
        <w:rPr>
          <w:rFonts w:hint="eastAsia" w:ascii="宋体" w:hAnsi="宋体" w:eastAsia="宋体" w:cs="宋体"/>
          <w:color w:val="auto"/>
          <w:kern w:val="2"/>
          <w:sz w:val="24"/>
          <w:szCs w:val="24"/>
          <w:highlight w:val="none"/>
          <w:lang w:val="en-US" w:eastAsia="zh-CN"/>
        </w:rPr>
      </w:pPr>
    </w:p>
    <w:p>
      <w:pPr>
        <w:pStyle w:val="9"/>
        <w:rPr>
          <w:rFonts w:hint="eastAsia" w:ascii="宋体" w:hAnsi="宋体" w:eastAsia="宋体" w:cs="宋体"/>
          <w:color w:val="auto"/>
          <w:kern w:val="2"/>
          <w:sz w:val="24"/>
          <w:szCs w:val="24"/>
          <w:highlight w:val="none"/>
          <w:lang w:val="en-US" w:eastAsia="zh-CN"/>
        </w:rPr>
      </w:pP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乙方（盖章）： </w:t>
      </w:r>
    </w:p>
    <w:p>
      <w:pPr>
        <w:tabs>
          <w:tab w:val="left" w:pos="4267"/>
        </w:tabs>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法定代表人或授权代表（签字）：</w:t>
      </w:r>
    </w:p>
    <w:p>
      <w:pPr>
        <w:pStyle w:val="9"/>
        <w:ind w:firstLine="480" w:firstLineChars="200"/>
        <w:rPr>
          <w:rFonts w:hint="eastAsia"/>
          <w:lang w:val="en-US" w:eastAsia="zh-CN"/>
        </w:rPr>
      </w:pPr>
      <w:r>
        <w:rPr>
          <w:rFonts w:hint="eastAsia" w:ascii="宋体" w:hAnsi="宋体" w:eastAsia="宋体" w:cs="宋体"/>
          <w:color w:val="auto"/>
          <w:kern w:val="2"/>
          <w:sz w:val="24"/>
          <w:szCs w:val="24"/>
          <w:highlight w:val="none"/>
          <w:lang w:val="en-US" w:eastAsia="zh-CN"/>
        </w:rPr>
        <w:t xml:space="preserve">日期：      年    月    日  </w:t>
      </w:r>
    </w:p>
    <w:p>
      <w:pPr>
        <w:rPr>
          <w:rFonts w:hint="eastAsia"/>
          <w:b/>
          <w:bCs/>
          <w:color w:val="auto"/>
          <w:sz w:val="21"/>
          <w:szCs w:val="21"/>
        </w:rPr>
      </w:pPr>
      <w:r>
        <w:rPr>
          <w:rFonts w:hint="eastAsia"/>
          <w:b/>
          <w:bCs/>
          <w:color w:val="auto"/>
          <w:sz w:val="21"/>
          <w:szCs w:val="21"/>
        </w:rPr>
        <w:br w:type="page"/>
      </w:r>
    </w:p>
    <w:p>
      <w:pPr>
        <w:tabs>
          <w:tab w:val="left" w:pos="4267"/>
        </w:tabs>
        <w:spacing w:line="360" w:lineRule="auto"/>
        <w:ind w:firstLine="0" w:firstLineChars="0"/>
        <w:rPr>
          <w:rFonts w:hint="eastAsia" w:ascii="宋体" w:hAnsi="宋体" w:eastAsia="宋体" w:cs="宋体"/>
          <w:color w:val="auto"/>
          <w:kern w:val="2"/>
          <w:sz w:val="24"/>
          <w:szCs w:val="24"/>
          <w:highlight w:val="none"/>
          <w:lang w:val="en-US" w:eastAsia="zh-CN"/>
        </w:rPr>
        <w:sectPr>
          <w:pgSz w:w="11906" w:h="16838"/>
          <w:pgMar w:top="2098" w:right="1588" w:bottom="1531" w:left="1588" w:header="709" w:footer="709" w:gutter="0"/>
          <w:pgBorders>
            <w:top w:val="none" w:sz="0" w:space="0"/>
            <w:left w:val="none" w:sz="0" w:space="0"/>
            <w:bottom w:val="none" w:sz="0" w:space="0"/>
            <w:right w:val="none" w:sz="0" w:space="0"/>
          </w:pgBorders>
          <w:cols w:space="720" w:num="1"/>
          <w:rtlGutter w:val="0"/>
          <w:docGrid w:linePitch="360" w:charSpace="0"/>
        </w:sectPr>
      </w:pPr>
    </w:p>
    <w:p>
      <w:pPr>
        <w:pStyle w:val="7"/>
        <w:rPr>
          <w:b/>
          <w:bCs/>
          <w:color w:val="auto"/>
          <w:sz w:val="21"/>
          <w:szCs w:val="21"/>
        </w:rPr>
      </w:pPr>
      <w:r>
        <w:rPr>
          <w:rFonts w:hint="eastAsia"/>
          <w:b/>
          <w:bCs/>
          <w:color w:val="auto"/>
          <w:sz w:val="21"/>
          <w:szCs w:val="21"/>
        </w:rPr>
        <w:t>附件1：服务团队名单</w:t>
      </w:r>
    </w:p>
    <w:p>
      <w:pPr>
        <w:jc w:val="center"/>
        <w:rPr>
          <w:b/>
          <w:bCs/>
          <w:color w:val="auto"/>
          <w:szCs w:val="21"/>
        </w:rPr>
      </w:pPr>
      <w:r>
        <w:rPr>
          <w:rFonts w:hint="eastAsia"/>
          <w:b/>
          <w:bCs/>
          <w:color w:val="auto"/>
          <w:szCs w:val="21"/>
        </w:rPr>
        <w:t>服务团队名单</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392"/>
        <w:gridCol w:w="2147"/>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 w:type="pct"/>
            <w:noWrap w:val="0"/>
            <w:vAlign w:val="top"/>
          </w:tcPr>
          <w:p>
            <w:pPr>
              <w:pStyle w:val="7"/>
              <w:jc w:val="center"/>
              <w:rPr>
                <w:b/>
                <w:bCs/>
                <w:color w:val="auto"/>
                <w:sz w:val="21"/>
                <w:szCs w:val="21"/>
              </w:rPr>
            </w:pPr>
            <w:r>
              <w:rPr>
                <w:rFonts w:hint="eastAsia"/>
                <w:b/>
                <w:bCs/>
                <w:color w:val="auto"/>
                <w:sz w:val="21"/>
                <w:szCs w:val="21"/>
              </w:rPr>
              <w:t>序号</w:t>
            </w:r>
          </w:p>
        </w:tc>
        <w:tc>
          <w:tcPr>
            <w:tcW w:w="1404" w:type="pct"/>
            <w:noWrap w:val="0"/>
            <w:vAlign w:val="top"/>
          </w:tcPr>
          <w:p>
            <w:pPr>
              <w:pStyle w:val="7"/>
              <w:jc w:val="center"/>
              <w:rPr>
                <w:b/>
                <w:bCs/>
                <w:color w:val="auto"/>
                <w:sz w:val="21"/>
                <w:szCs w:val="21"/>
              </w:rPr>
            </w:pPr>
            <w:r>
              <w:rPr>
                <w:rFonts w:hint="eastAsia"/>
                <w:b/>
                <w:bCs/>
                <w:color w:val="auto"/>
                <w:sz w:val="21"/>
                <w:szCs w:val="21"/>
              </w:rPr>
              <w:t>姓名</w:t>
            </w:r>
          </w:p>
        </w:tc>
        <w:tc>
          <w:tcPr>
            <w:tcW w:w="1260" w:type="pct"/>
            <w:noWrap w:val="0"/>
            <w:vAlign w:val="top"/>
          </w:tcPr>
          <w:p>
            <w:pPr>
              <w:pStyle w:val="7"/>
              <w:jc w:val="center"/>
              <w:rPr>
                <w:b/>
                <w:bCs/>
                <w:color w:val="auto"/>
                <w:sz w:val="21"/>
                <w:szCs w:val="21"/>
              </w:rPr>
            </w:pPr>
            <w:r>
              <w:rPr>
                <w:rFonts w:hint="eastAsia"/>
                <w:b/>
                <w:bCs/>
                <w:color w:val="auto"/>
                <w:sz w:val="21"/>
                <w:szCs w:val="21"/>
              </w:rPr>
              <w:t>岗位</w:t>
            </w:r>
          </w:p>
        </w:tc>
        <w:tc>
          <w:tcPr>
            <w:tcW w:w="1450" w:type="pct"/>
            <w:noWrap w:val="0"/>
            <w:vAlign w:val="top"/>
          </w:tcPr>
          <w:p>
            <w:pPr>
              <w:pStyle w:val="7"/>
              <w:jc w:val="center"/>
              <w:rPr>
                <w:b/>
                <w:bCs/>
                <w:color w:val="auto"/>
                <w:sz w:val="21"/>
                <w:szCs w:val="21"/>
              </w:rPr>
            </w:pPr>
            <w:r>
              <w:rPr>
                <w:rFonts w:hint="eastAsia"/>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pct"/>
            <w:noWrap w:val="0"/>
            <w:vAlign w:val="top"/>
          </w:tcPr>
          <w:p>
            <w:pPr>
              <w:pStyle w:val="7"/>
              <w:rPr>
                <w:color w:val="auto"/>
                <w:sz w:val="21"/>
                <w:szCs w:val="21"/>
              </w:rPr>
            </w:pPr>
          </w:p>
        </w:tc>
        <w:tc>
          <w:tcPr>
            <w:tcW w:w="1404" w:type="pct"/>
            <w:noWrap w:val="0"/>
            <w:vAlign w:val="top"/>
          </w:tcPr>
          <w:p>
            <w:pPr>
              <w:pStyle w:val="7"/>
              <w:rPr>
                <w:color w:val="auto"/>
                <w:sz w:val="21"/>
                <w:szCs w:val="21"/>
              </w:rPr>
            </w:pPr>
          </w:p>
        </w:tc>
        <w:tc>
          <w:tcPr>
            <w:tcW w:w="1260" w:type="pct"/>
            <w:noWrap w:val="0"/>
            <w:vAlign w:val="top"/>
          </w:tcPr>
          <w:p>
            <w:pPr>
              <w:pStyle w:val="7"/>
              <w:rPr>
                <w:color w:val="auto"/>
                <w:sz w:val="21"/>
                <w:szCs w:val="21"/>
              </w:rPr>
            </w:pPr>
          </w:p>
        </w:tc>
        <w:tc>
          <w:tcPr>
            <w:tcW w:w="1450" w:type="pct"/>
            <w:noWrap w:val="0"/>
            <w:vAlign w:val="top"/>
          </w:tcPr>
          <w:p>
            <w:pPr>
              <w:pStyle w:val="7"/>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pct"/>
            <w:noWrap w:val="0"/>
            <w:vAlign w:val="top"/>
          </w:tcPr>
          <w:p>
            <w:pPr>
              <w:pStyle w:val="7"/>
              <w:rPr>
                <w:color w:val="auto"/>
                <w:sz w:val="21"/>
                <w:szCs w:val="21"/>
              </w:rPr>
            </w:pPr>
          </w:p>
        </w:tc>
        <w:tc>
          <w:tcPr>
            <w:tcW w:w="1404" w:type="pct"/>
            <w:noWrap w:val="0"/>
            <w:vAlign w:val="top"/>
          </w:tcPr>
          <w:p>
            <w:pPr>
              <w:pStyle w:val="7"/>
              <w:rPr>
                <w:color w:val="auto"/>
                <w:sz w:val="21"/>
                <w:szCs w:val="21"/>
              </w:rPr>
            </w:pPr>
          </w:p>
        </w:tc>
        <w:tc>
          <w:tcPr>
            <w:tcW w:w="1260" w:type="pct"/>
            <w:noWrap w:val="0"/>
            <w:vAlign w:val="top"/>
          </w:tcPr>
          <w:p>
            <w:pPr>
              <w:pStyle w:val="7"/>
              <w:rPr>
                <w:color w:val="auto"/>
                <w:sz w:val="21"/>
                <w:szCs w:val="21"/>
              </w:rPr>
            </w:pPr>
          </w:p>
        </w:tc>
        <w:tc>
          <w:tcPr>
            <w:tcW w:w="1450" w:type="pct"/>
            <w:noWrap w:val="0"/>
            <w:vAlign w:val="top"/>
          </w:tcPr>
          <w:p>
            <w:pPr>
              <w:pStyle w:val="7"/>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pct"/>
            <w:noWrap w:val="0"/>
            <w:vAlign w:val="top"/>
          </w:tcPr>
          <w:p>
            <w:pPr>
              <w:pStyle w:val="7"/>
              <w:rPr>
                <w:color w:val="auto"/>
                <w:sz w:val="21"/>
                <w:szCs w:val="21"/>
              </w:rPr>
            </w:pPr>
          </w:p>
        </w:tc>
        <w:tc>
          <w:tcPr>
            <w:tcW w:w="1404" w:type="pct"/>
            <w:noWrap w:val="0"/>
            <w:vAlign w:val="top"/>
          </w:tcPr>
          <w:p>
            <w:pPr>
              <w:pStyle w:val="7"/>
              <w:rPr>
                <w:color w:val="auto"/>
                <w:sz w:val="21"/>
                <w:szCs w:val="21"/>
              </w:rPr>
            </w:pPr>
          </w:p>
        </w:tc>
        <w:tc>
          <w:tcPr>
            <w:tcW w:w="1260" w:type="pct"/>
            <w:noWrap w:val="0"/>
            <w:vAlign w:val="top"/>
          </w:tcPr>
          <w:p>
            <w:pPr>
              <w:pStyle w:val="7"/>
              <w:rPr>
                <w:color w:val="auto"/>
                <w:sz w:val="21"/>
                <w:szCs w:val="21"/>
              </w:rPr>
            </w:pPr>
          </w:p>
        </w:tc>
        <w:tc>
          <w:tcPr>
            <w:tcW w:w="1450" w:type="pct"/>
            <w:noWrap w:val="0"/>
            <w:vAlign w:val="top"/>
          </w:tcPr>
          <w:p>
            <w:pPr>
              <w:pStyle w:val="7"/>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pct"/>
            <w:noWrap w:val="0"/>
            <w:vAlign w:val="top"/>
          </w:tcPr>
          <w:p>
            <w:pPr>
              <w:pStyle w:val="7"/>
              <w:rPr>
                <w:color w:val="auto"/>
                <w:sz w:val="21"/>
                <w:szCs w:val="21"/>
              </w:rPr>
            </w:pPr>
          </w:p>
        </w:tc>
        <w:tc>
          <w:tcPr>
            <w:tcW w:w="1404" w:type="pct"/>
            <w:noWrap w:val="0"/>
            <w:vAlign w:val="top"/>
          </w:tcPr>
          <w:p>
            <w:pPr>
              <w:pStyle w:val="7"/>
              <w:rPr>
                <w:color w:val="auto"/>
                <w:sz w:val="21"/>
                <w:szCs w:val="21"/>
              </w:rPr>
            </w:pPr>
          </w:p>
        </w:tc>
        <w:tc>
          <w:tcPr>
            <w:tcW w:w="1260" w:type="pct"/>
            <w:noWrap w:val="0"/>
            <w:vAlign w:val="top"/>
          </w:tcPr>
          <w:p>
            <w:pPr>
              <w:pStyle w:val="7"/>
              <w:rPr>
                <w:color w:val="auto"/>
                <w:sz w:val="21"/>
                <w:szCs w:val="21"/>
              </w:rPr>
            </w:pPr>
          </w:p>
        </w:tc>
        <w:tc>
          <w:tcPr>
            <w:tcW w:w="1450" w:type="pct"/>
            <w:noWrap w:val="0"/>
            <w:vAlign w:val="top"/>
          </w:tcPr>
          <w:p>
            <w:pPr>
              <w:pStyle w:val="7"/>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pct"/>
            <w:noWrap w:val="0"/>
            <w:vAlign w:val="top"/>
          </w:tcPr>
          <w:p>
            <w:pPr>
              <w:pStyle w:val="7"/>
              <w:rPr>
                <w:color w:val="auto"/>
                <w:sz w:val="21"/>
                <w:szCs w:val="21"/>
              </w:rPr>
            </w:pPr>
          </w:p>
        </w:tc>
        <w:tc>
          <w:tcPr>
            <w:tcW w:w="1404" w:type="pct"/>
            <w:noWrap w:val="0"/>
            <w:vAlign w:val="top"/>
          </w:tcPr>
          <w:p>
            <w:pPr>
              <w:pStyle w:val="7"/>
              <w:rPr>
                <w:color w:val="auto"/>
                <w:sz w:val="21"/>
                <w:szCs w:val="21"/>
              </w:rPr>
            </w:pPr>
          </w:p>
        </w:tc>
        <w:tc>
          <w:tcPr>
            <w:tcW w:w="1260" w:type="pct"/>
            <w:noWrap w:val="0"/>
            <w:vAlign w:val="top"/>
          </w:tcPr>
          <w:p>
            <w:pPr>
              <w:pStyle w:val="7"/>
              <w:rPr>
                <w:color w:val="auto"/>
                <w:sz w:val="21"/>
                <w:szCs w:val="21"/>
              </w:rPr>
            </w:pPr>
          </w:p>
        </w:tc>
        <w:tc>
          <w:tcPr>
            <w:tcW w:w="1450" w:type="pct"/>
            <w:noWrap w:val="0"/>
            <w:vAlign w:val="top"/>
          </w:tcPr>
          <w:p>
            <w:pPr>
              <w:pStyle w:val="7"/>
              <w:rPr>
                <w:color w:val="auto"/>
                <w:sz w:val="21"/>
                <w:szCs w:val="21"/>
              </w:rPr>
            </w:pPr>
          </w:p>
        </w:tc>
      </w:tr>
    </w:tbl>
    <w:p>
      <w:pPr>
        <w:tabs>
          <w:tab w:val="left" w:pos="4267"/>
        </w:tabs>
        <w:spacing w:line="360" w:lineRule="auto"/>
        <w:rPr>
          <w:rFonts w:hint="eastAsia" w:ascii="宋体" w:hAnsi="宋体" w:eastAsia="宋体" w:cs="宋体"/>
          <w:color w:val="auto"/>
          <w:kern w:val="2"/>
          <w:sz w:val="24"/>
          <w:szCs w:val="24"/>
          <w:highlight w:val="none"/>
          <w:lang w:val="en-US" w:eastAsia="zh-CN"/>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kern w:val="2"/>
          <w:sz w:val="24"/>
          <w:szCs w:val="24"/>
          <w:highlight w:val="none"/>
          <w:lang w:val="en-US" w:eastAsia="zh-CN"/>
        </w:rPr>
        <w:t>注：本合同样本仅供参考，具体条款内容由采购单位和中标单位协商确定。</w:t>
      </w:r>
    </w:p>
    <w:p>
      <w:pPr>
        <w:rPr>
          <w:rFonts w:hint="eastAsia" w:ascii="宋体" w:hAnsi="宋体" w:cs="宋体"/>
          <w:b/>
          <w:bCs/>
          <w:color w:val="auto"/>
          <w:sz w:val="24"/>
        </w:rPr>
      </w:pPr>
      <w:r>
        <w:rPr>
          <w:rFonts w:hint="eastAsia" w:ascii="宋体" w:hAnsi="宋体" w:cs="宋体"/>
          <w:b/>
          <w:bCs/>
          <w:color w:val="auto"/>
          <w:sz w:val="24"/>
        </w:rPr>
        <w:br w:type="page"/>
      </w:r>
    </w:p>
    <w:p>
      <w:pPr>
        <w:numPr>
          <w:ilvl w:val="0"/>
          <w:numId w:val="2"/>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37" w:name="_Toc25518"/>
      <w:r>
        <w:rPr>
          <w:rFonts w:hint="eastAsia" w:ascii="宋体" w:hAnsi="宋体" w:cs="宋体"/>
          <w:b/>
          <w:bCs/>
          <w:color w:val="auto"/>
          <w:sz w:val="24"/>
        </w:rPr>
        <w:t>用户需求书</w:t>
      </w:r>
      <w:bookmarkEnd w:id="37"/>
    </w:p>
    <w:p>
      <w:pPr>
        <w:widowControl/>
        <w:spacing w:line="360" w:lineRule="auto"/>
        <w:ind w:firstLine="480"/>
        <w:rPr>
          <w:rFonts w:hint="eastAsia" w:ascii="宋体" w:hAnsi="宋体" w:cs="宋体"/>
          <w:b/>
          <w:color w:val="auto"/>
          <w:sz w:val="24"/>
        </w:rPr>
      </w:pPr>
      <w:r>
        <w:rPr>
          <w:rFonts w:hint="eastAsia" w:ascii="宋体" w:hAnsi="宋体" w:cs="宋体"/>
          <w:b/>
          <w:color w:val="auto"/>
          <w:sz w:val="24"/>
        </w:rPr>
        <w:t>说明：本章“用户需求书”的全部内容为本项目正常开展的基本要求，投标人必须</w:t>
      </w:r>
      <w:r>
        <w:rPr>
          <w:rFonts w:hint="eastAsia" w:ascii="宋体" w:hAnsi="宋体" w:cs="宋体"/>
          <w:b/>
          <w:color w:val="auto"/>
          <w:sz w:val="24"/>
          <w:u w:val="double"/>
        </w:rPr>
        <w:t>完全响应</w:t>
      </w:r>
      <w:r>
        <w:rPr>
          <w:rFonts w:hint="eastAsia" w:ascii="宋体" w:hAnsi="宋体" w:cs="宋体"/>
          <w:b/>
          <w:color w:val="auto"/>
          <w:sz w:val="24"/>
        </w:rPr>
        <w:t>，否则将导致投标无效。</w:t>
      </w:r>
    </w:p>
    <w:p>
      <w:pPr>
        <w:widowControl/>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zh-CN"/>
        </w:rPr>
        <w:t>项目总体概</w:t>
      </w:r>
      <w:r>
        <w:rPr>
          <w:rFonts w:hint="eastAsia" w:ascii="宋体" w:hAnsi="宋体" w:eastAsia="宋体" w:cs="宋体"/>
          <w:b/>
          <w:bCs/>
          <w:color w:val="auto"/>
          <w:sz w:val="24"/>
          <w:szCs w:val="24"/>
          <w:highlight w:val="none"/>
        </w:rPr>
        <w:t>况</w:t>
      </w:r>
    </w:p>
    <w:p>
      <w:pPr>
        <w:widowControl/>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为落实委领导在自贸区建设专题会上的指示精神，优化健全前海蛇口自贸片区统计体系，充分掌握前海蛇口自贸片区经济运行情况，为全面推进前海蛇口自贸片区改革发展提供更为优质的统计保障</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因此拟委托专业机构承接《</w:t>
      </w:r>
      <w:r>
        <w:rPr>
          <w:rFonts w:hint="eastAsia" w:ascii="宋体" w:hAnsi="宋体" w:cs="宋体"/>
          <w:color w:val="auto"/>
          <w:sz w:val="24"/>
          <w:szCs w:val="24"/>
          <w:highlight w:val="none"/>
          <w:lang w:val="en-US" w:eastAsia="zh-CN"/>
        </w:rPr>
        <w:t>前海蛇口自贸片区统计体系建设项目</w:t>
      </w:r>
      <w:r>
        <w:rPr>
          <w:rFonts w:hint="eastAsia" w:ascii="宋体" w:hAnsi="宋体" w:eastAsia="宋体" w:cs="宋体"/>
          <w:color w:val="auto"/>
          <w:sz w:val="24"/>
          <w:szCs w:val="24"/>
          <w:highlight w:val="none"/>
          <w:lang w:val="en-US" w:eastAsia="zh-CN"/>
        </w:rPr>
        <w:t>》，加快建立健全前海蛇口自贸片区统计体系。</w:t>
      </w:r>
    </w:p>
    <w:p>
      <w:pPr>
        <w:widowControl/>
        <w:spacing w:line="360" w:lineRule="auto"/>
        <w:ind w:firstLine="48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项目内容</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（一）建立前海蛇口自贸片区数据统计指标体系</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前海现有统计体系基础上，依据国家对自贸试验区提升战略的最新部署，对照国家各部委对自贸试验区在提升重点领域开放力度，推动跨境服务贸易、外商投资、数据跨境流动等领域实现突破的工作安排，重点在跨境服务贸易、数字经济、对港澳开放等领域构建既衔接国家现行统计体制又具前海蛇口自贸片区特色的高质量的数据统计体系。</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（二）协助搭建前海蛇口自贸片区经济运行动态监测机制</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自贸区重点行业及头部企业，动态监测发展数据，跟踪企业动态，协助构建与市统计局、海关部门、金融监管部门以及南山区、宝安区统计机构的常态化统计联系机制，打通数据收集统计渠道，搭建前海蛇口自贸片区经济运行数据库。</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（三）完善数据报送及运用机制</w:t>
      </w:r>
    </w:p>
    <w:p>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按月度发布自贸区主要统计指标数据，对重点自贸片区数据进行多维度、结构式分析，形成更多准确反映自贸片区发展亮点数据指标并监测运行，及时形成自贸区经济数据运行报告及专题分析报告供决策参考。</w:t>
      </w:r>
    </w:p>
    <w:p>
      <w:pPr>
        <w:widowControl/>
        <w:autoSpaceDE/>
        <w:autoSpaceDN/>
        <w:adjustRightInd/>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、工作进度及阶段成果要求</w:t>
      </w:r>
    </w:p>
    <w:tbl>
      <w:tblPr>
        <w:tblStyle w:val="19"/>
        <w:tblW w:w="0" w:type="auto"/>
        <w:jc w:val="center"/>
        <w:tblLayout w:type="fixed"/>
        <w:tblCellMar>
          <w:top w:w="0" w:type="dxa"/>
          <w:left w:w="0" w:type="dxa"/>
          <w:bottom w:w="0" w:type="dxa"/>
          <w:right w:w="0" w:type="dxa"/>
        </w:tblCellMar>
      </w:tblPr>
      <w:tblGrid>
        <w:gridCol w:w="636"/>
        <w:gridCol w:w="1308"/>
        <w:gridCol w:w="1983"/>
        <w:gridCol w:w="4026"/>
      </w:tblGrid>
      <w:tr>
        <w:tblPrEx>
          <w:tblCellMar>
            <w:top w:w="0" w:type="dxa"/>
            <w:left w:w="0" w:type="dxa"/>
            <w:bottom w:w="0" w:type="dxa"/>
            <w:right w:w="0"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序号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阶段</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时间</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主要工作</w:t>
            </w:r>
          </w:p>
        </w:tc>
      </w:tr>
      <w:tr>
        <w:tblPrEx>
          <w:tblCellMar>
            <w:top w:w="0" w:type="dxa"/>
            <w:left w:w="0" w:type="dxa"/>
            <w:bottom w:w="0" w:type="dxa"/>
            <w:right w:w="0" w:type="dxa"/>
          </w:tblCellMar>
        </w:tblPrEx>
        <w:trPr>
          <w:cantSplit/>
          <w:trHeight w:val="935"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en-US"/>
              </w:rPr>
              <w:t>1</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初期阶段</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项目签订后一个月内</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初步形成前海蛇口自贸区数据统计指标体系</w:t>
            </w:r>
          </w:p>
        </w:tc>
      </w:tr>
      <w:tr>
        <w:tblPrEx>
          <w:tblCellMar>
            <w:top w:w="0" w:type="dxa"/>
            <w:left w:w="0" w:type="dxa"/>
            <w:bottom w:w="0" w:type="dxa"/>
            <w:right w:w="0"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中期阶段</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项目签订后半年内</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初步形成2份前海蛇口自贸区发展专题研究报告，协助搭建成熟的自贸区数据库</w:t>
            </w:r>
          </w:p>
        </w:tc>
      </w:tr>
      <w:tr>
        <w:tblPrEx>
          <w:tblCellMar>
            <w:top w:w="0" w:type="dxa"/>
            <w:left w:w="0" w:type="dxa"/>
            <w:bottom w:w="0" w:type="dxa"/>
            <w:right w:w="0" w:type="dxa"/>
          </w:tblCellMar>
        </w:tblPrEx>
        <w:trPr>
          <w:cantSplit/>
          <w:trHeight w:val="23" w:hRule="atLeast"/>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交付阶段</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项目签订一年内</w:t>
            </w:r>
          </w:p>
        </w:tc>
        <w:tc>
          <w:tcPr>
            <w:tcW w:w="4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完成12份月度报告和4份前海蛇口自贸区发展专题研究报告</w:t>
            </w:r>
          </w:p>
        </w:tc>
      </w:tr>
    </w:tbl>
    <w:p>
      <w:pPr>
        <w:widowControl/>
        <w:spacing w:line="360" w:lineRule="auto"/>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、验收方式</w:t>
      </w:r>
    </w:p>
    <w:p>
      <w:pPr>
        <w:pStyle w:val="27"/>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kern w:val="2"/>
          <w:sz w:val="24"/>
          <w:szCs w:val="24"/>
          <w:highlight w:val="none"/>
          <w:lang w:val="en-US" w:eastAsia="zh-CN"/>
        </w:rPr>
        <w:t>在项目末期</w:t>
      </w:r>
      <w:r>
        <w:rPr>
          <w:rFonts w:hint="eastAsia"/>
          <w:sz w:val="24"/>
          <w:szCs w:val="32"/>
          <w:highlight w:val="none"/>
          <w:lang w:val="en-US" w:eastAsia="zh-CN"/>
        </w:rPr>
        <w:t>提交4份《</w:t>
      </w:r>
      <w:r>
        <w:rPr>
          <w:rFonts w:hint="eastAsia" w:ascii="宋体" w:hAnsi="宋体" w:cs="宋体"/>
          <w:color w:val="auto"/>
          <w:sz w:val="24"/>
          <w:szCs w:val="24"/>
          <w:highlight w:val="none"/>
          <w:lang w:val="en-US" w:eastAsia="zh-CN"/>
        </w:rPr>
        <w:t>前海蛇口自贸区发展专题研究报告</w:t>
      </w:r>
      <w:r>
        <w:rPr>
          <w:rFonts w:hint="eastAsia"/>
          <w:sz w:val="24"/>
          <w:szCs w:val="32"/>
          <w:highlight w:val="none"/>
          <w:lang w:val="en-US" w:eastAsia="zh-CN"/>
        </w:rPr>
        <w:t>》和12份度前海蛇口自贸区统计月度报告后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在最终成果提交后20天内对工作进行审查，最终成果验收合格的标志为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审查通过</w:t>
      </w:r>
      <w:r>
        <w:rPr>
          <w:rFonts w:hint="eastAsia" w:ascii="宋体" w:hAnsi="宋体" w:eastAsia="宋体" w:cs="宋体"/>
          <w:bCs/>
          <w:color w:val="auto"/>
          <w:sz w:val="24"/>
          <w:highlight w:val="none"/>
        </w:rPr>
        <w:t>。</w:t>
      </w:r>
    </w:p>
    <w:p>
      <w:pPr>
        <w:pStyle w:val="27"/>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color w:val="auto"/>
          <w:sz w:val="24"/>
          <w:highlight w:val="none"/>
          <w:lang w:val="en-US" w:eastAsia="zh-CN"/>
        </w:rPr>
      </w:pPr>
      <w:r>
        <w:rPr>
          <w:rFonts w:hint="eastAsia" w:ascii="宋体" w:hAnsi="宋体" w:cs="宋体"/>
          <w:b/>
          <w:bCs/>
          <w:color w:val="auto"/>
          <w:kern w:val="0"/>
          <w:sz w:val="24"/>
          <w:highlight w:val="none"/>
        </w:rPr>
        <w:t>（一）服务期限</w:t>
      </w:r>
      <w:r>
        <w:rPr>
          <w:rFonts w:hint="eastAsia" w:ascii="宋体" w:hAnsi="宋体" w:cs="宋体"/>
          <w:b/>
          <w:bCs/>
          <w:color w:val="auto"/>
          <w:kern w:val="0"/>
          <w:sz w:val="24"/>
          <w:highlight w:val="none"/>
          <w:lang w:val="en-US" w:eastAsia="zh-CN"/>
        </w:rPr>
        <w:t>及履行方式</w:t>
      </w:r>
    </w:p>
    <w:p>
      <w:pPr>
        <w:spacing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1.服务期限：合同签订之日起一年内完成全部项目工作内容，工作成果按照双方约定时间交付。</w:t>
      </w:r>
    </w:p>
    <w:p>
      <w:pPr>
        <w:spacing w:after="156" w:afterLines="50"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2.履行方式：按委托方的工作内容及商务需</w:t>
      </w:r>
      <w:r>
        <w:rPr>
          <w:rFonts w:hint="eastAsia" w:ascii="宋体" w:hAnsi="宋体" w:cs="宋体"/>
          <w:color w:val="auto"/>
          <w:sz w:val="24"/>
        </w:rPr>
        <w:t>求完成相应工作，并提交全部工作成果。</w:t>
      </w:r>
    </w:p>
    <w:p>
      <w:pPr>
        <w:spacing w:after="156" w:afterLines="50" w:line="360" w:lineRule="auto"/>
        <w:ind w:firstLine="480" w:firstLineChars="200"/>
        <w:rPr>
          <w:rFonts w:hint="eastAsia"/>
          <w:color w:val="auto"/>
        </w:rPr>
      </w:pPr>
      <w:r>
        <w:rPr>
          <w:rFonts w:hint="eastAsia" w:ascii="宋体" w:hAnsi="宋体" w:cs="宋体"/>
          <w:color w:val="auto"/>
          <w:sz w:val="24"/>
        </w:rPr>
        <w:t>3.后续服务要求：中标人提交的本项目最终成果通过采购人审查验收之日起1年为本合同后续服务期。服务期内中标人应向采购人提供后续的专业技术支持与咨询服务。</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二</w:t>
      </w:r>
      <w:r>
        <w:rPr>
          <w:rFonts w:hint="eastAsia" w:ascii="宋体" w:hAnsi="宋体" w:cs="宋体"/>
          <w:b/>
          <w:bCs/>
          <w:color w:val="auto"/>
          <w:kern w:val="0"/>
          <w:sz w:val="24"/>
        </w:rPr>
        <w:t>）报价要求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1.本次投标为总价包干，投标报价总价作为中标人与采购人签定的合同金额。项目预算控制</w:t>
      </w:r>
      <w:r>
        <w:rPr>
          <w:rFonts w:hint="eastAsia" w:ascii="宋体" w:hAnsi="宋体" w:cs="宋体"/>
          <w:color w:val="auto"/>
          <w:sz w:val="24"/>
          <w:lang w:val="en-US" w:eastAsia="zh-CN"/>
        </w:rPr>
        <w:t>63.94万元</w:t>
      </w:r>
      <w:r>
        <w:rPr>
          <w:rFonts w:hint="eastAsia" w:ascii="宋体" w:hAnsi="宋体" w:cs="宋体"/>
          <w:color w:val="auto"/>
          <w:sz w:val="24"/>
        </w:rPr>
        <w:t>以内，投标人的报价不可高于预算（限价），否则投标人的投标文件视同无效。</w:t>
      </w:r>
      <w:r>
        <w:rPr>
          <w:rFonts w:hint="eastAsia" w:ascii="宋体" w:hAnsi="宋体" w:eastAsia="宋体" w:cs="宋体"/>
          <w:bCs/>
          <w:color w:val="auto"/>
          <w:sz w:val="24"/>
          <w:szCs w:val="24"/>
          <w:highlight w:val="none"/>
        </w:rPr>
        <w:t>服务费包含</w:t>
      </w:r>
      <w:r>
        <w:rPr>
          <w:rFonts w:hint="eastAsia" w:ascii="宋体" w:hAnsi="宋体" w:eastAsia="宋体" w:cs="宋体"/>
          <w:bCs/>
          <w:color w:val="auto"/>
          <w:sz w:val="24"/>
          <w:szCs w:val="24"/>
          <w:highlight w:val="none"/>
          <w:lang w:val="en-US" w:eastAsia="zh-CN"/>
        </w:rPr>
        <w:t>中标人</w:t>
      </w:r>
      <w:r>
        <w:rPr>
          <w:rFonts w:hint="eastAsia" w:ascii="宋体" w:hAnsi="宋体" w:eastAsia="宋体" w:cs="宋体"/>
          <w:bCs/>
          <w:color w:val="auto"/>
          <w:sz w:val="24"/>
          <w:szCs w:val="24"/>
          <w:highlight w:val="none"/>
        </w:rPr>
        <w:t>提供本合同项下服务的全部费用，包括但不限于</w:t>
      </w:r>
      <w:r>
        <w:rPr>
          <w:rFonts w:hint="eastAsia" w:ascii="宋体" w:hAnsi="宋体" w:eastAsia="宋体" w:cs="宋体"/>
          <w:bCs/>
          <w:color w:val="auto"/>
          <w:sz w:val="24"/>
          <w:szCs w:val="24"/>
          <w:highlight w:val="none"/>
          <w:lang w:val="en-US" w:eastAsia="zh-CN"/>
        </w:rPr>
        <w:t>中标人完成本招标项目而发生的全部费用，包括</w:t>
      </w:r>
      <w:r>
        <w:rPr>
          <w:rFonts w:hint="eastAsia" w:ascii="宋体" w:hAnsi="宋体" w:eastAsia="宋体" w:cs="宋体"/>
          <w:bCs/>
          <w:color w:val="auto"/>
          <w:sz w:val="24"/>
          <w:szCs w:val="24"/>
          <w:highlight w:val="none"/>
        </w:rPr>
        <w:t>但不限于</w:t>
      </w:r>
      <w:r>
        <w:rPr>
          <w:rFonts w:hint="eastAsia" w:ascii="宋体" w:hAnsi="宋体" w:eastAsia="宋体" w:cs="宋体"/>
          <w:bCs/>
          <w:color w:val="auto"/>
          <w:sz w:val="24"/>
          <w:szCs w:val="24"/>
          <w:highlight w:val="none"/>
          <w:lang w:val="en-US" w:eastAsia="zh-CN"/>
        </w:rPr>
        <w:t>服务费、中标服务费、各种资料费、保险、税金、出差（如需）等所有费用，并提供合同要求的报告、全部成果文件和全部相关资料，以及其它相关服务的全部费用。其中出差费用应参照《深圳市财政委员会关于印发&lt;深圳市市直党政机关和事业单位差旅费管理办法&gt;的通知》执行</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三</w:t>
      </w:r>
      <w:r>
        <w:rPr>
          <w:rFonts w:hint="eastAsia" w:ascii="宋体" w:hAnsi="宋体" w:cs="宋体"/>
          <w:b/>
          <w:bCs/>
          <w:color w:val="auto"/>
          <w:kern w:val="0"/>
          <w:sz w:val="24"/>
          <w:highlight w:val="none"/>
        </w:rPr>
        <w:t>）付款方式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期支付至中标人指定银行账户：</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1.第一期：自本项目合同签订之日后，根据中标人提出的付款申请，采购人向中标人支付合同总价款的50%；</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2.第二期：中标人完成合同全部内容，经采购人验收合格后，采购人向中标人支付项目合同总价款的50%。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付款审批影响支付进度，不视为违约，请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r>
        <w:rPr>
          <w:rFonts w:hint="eastAsia" w:ascii="宋体" w:hAnsi="宋体" w:cs="宋体"/>
          <w:color w:val="auto"/>
          <w:sz w:val="24"/>
          <w:highlight w:val="none"/>
        </w:rPr>
        <w:t>。采购人有权在支付价款时扣除</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按照合同应承担的违约金和赔补偿金。</w:t>
      </w:r>
    </w:p>
    <w:p>
      <w:pPr>
        <w:tabs>
          <w:tab w:val="left" w:pos="720"/>
        </w:tabs>
        <w:autoSpaceDE w:val="0"/>
        <w:autoSpaceDN w:val="0"/>
        <w:adjustRightInd w:val="0"/>
        <w:spacing w:line="360" w:lineRule="auto"/>
        <w:ind w:right="17" w:firstLine="482" w:firstLineChars="200"/>
        <w:outlineLvl w:val="2"/>
        <w:rPr>
          <w:rFonts w:hint="eastAsia" w:ascii="宋体" w:hAnsi="宋体" w:eastAsia="宋体" w:cs="宋体"/>
          <w:b/>
          <w:bCs/>
          <w:color w:val="auto"/>
          <w:kern w:val="0"/>
          <w:sz w:val="24"/>
          <w:lang w:eastAsia="zh-CN"/>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四</w:t>
      </w:r>
      <w:r>
        <w:rPr>
          <w:rFonts w:hint="eastAsia" w:ascii="宋体" w:hAnsi="宋体" w:cs="宋体"/>
          <w:b/>
          <w:bCs/>
          <w:color w:val="auto"/>
          <w:kern w:val="0"/>
          <w:sz w:val="24"/>
        </w:rPr>
        <w:t>）</w:t>
      </w:r>
      <w:r>
        <w:rPr>
          <w:rFonts w:hint="eastAsia" w:ascii="宋体" w:hAnsi="宋体" w:cs="宋体"/>
          <w:b/>
          <w:bCs/>
          <w:color w:val="auto"/>
          <w:kern w:val="0"/>
          <w:sz w:val="24"/>
          <w:lang w:eastAsia="zh-CN"/>
        </w:rPr>
        <w:t>知识产权及项目成果归属</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本项目全部阶段性成果和最终成果的所有权、知识产权以及与之相关的所有权利归采购方所有；本项目合同签署前各方已经拥有的知识产权权利，仍归各自所有。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采购人与中标人确定，采购人有权对中标人按照招标文件约定提供的成果进行后续改进。由此产生的具有实质性或创造性技术进步特征的新的技术成果及其权利全部由采购人享有。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w:t>
      </w:r>
      <w:r>
        <w:rPr>
          <w:rFonts w:hint="eastAsia" w:ascii="宋体" w:hAnsi="宋体" w:cs="宋体"/>
          <w:color w:val="auto"/>
          <w:sz w:val="24"/>
          <w:lang w:val="en-US" w:eastAsia="zh-CN"/>
        </w:rPr>
        <w:t>1</w:t>
      </w:r>
      <w:r>
        <w:rPr>
          <w:rFonts w:hint="eastAsia" w:ascii="宋体" w:hAnsi="宋体" w:cs="宋体"/>
          <w:color w:val="auto"/>
          <w:sz w:val="24"/>
        </w:rPr>
        <w:t>0%的违约金。同时，采购人保留中标人赔偿全部损失的权利，包括但不限于上述索赔或责任所产生的诉讼费用、合理的律师费用、鉴定评估费用、调查费用、和解金额或生效法律文书中规定的赔偿金额。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中标人应以保密方式处理在编制本项目成果文件过程中自采购人、采购人工作人员或采购人关联机构获得的相关合同条文、计划或资料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合同履行完毕，未经采购人的书面同意，中标人不得保存在履行合同过程中所获得或接触到的任何内部数据资料。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如中标人违反上述保密条款，采购人有权解除本合同，中标人应在合同解除通知发出之日起10日内向采购人支付本合同服务费总金额10%的违约金，如果违约金无法弥补采购人损失，采购人保留要求中标人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无论本合同或本合同其他条款是否有效、合同是否终止，本保密条款始终约束双方。国家秘密的保密期限由国家有关部门确定，工作秘密的保密期限由采购人确定。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六</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（一）采购人的违约责任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未按本合同约定支付合同价款，经中标人书面催告采购人并给予不少于5个工作日的履行期限后采购人仍未支付的，中标人有权自该期限届满之日起要求采购人支付该阶段合同价款每日0.5‰的逾期违约金，逾期违约金总额不超过合同总价款的10%。逾期超过30（个）工作日（含30个工作日）以上时，中标人有权暂停履行下阶段工作，并书面通知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2、采购人无故拒绝或无正当理由拒绝项目验收或拒绝支付合同款项的，除应支付对应阶段的款项外，采购人应向中标人偿付合同总价款</w:t>
      </w:r>
      <w:r>
        <w:rPr>
          <w:rFonts w:hint="eastAsia" w:ascii="宋体" w:hAnsi="宋体" w:cs="宋体"/>
          <w:color w:val="auto"/>
          <w:sz w:val="24"/>
          <w:lang w:val="en-US" w:eastAsia="zh-CN"/>
        </w:rPr>
        <w:t>1</w:t>
      </w:r>
      <w:r>
        <w:rPr>
          <w:rFonts w:hint="eastAsia" w:ascii="宋体" w:hAnsi="宋体" w:cs="宋体"/>
          <w:color w:val="auto"/>
          <w:sz w:val="24"/>
        </w:rPr>
        <w:t>0%的违约金。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3、如政策性原因导致本项目停工不属于采购人违约，采购人根据中标人实际完成工作结算统计服务费，采购人不另行支付额外费用，并不承担任何违约责任。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（二）中标人的违约责任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1、中标人无任何理由部分或全部不履行合同中应承担的义务时，中标人应按本合同总价款的</w:t>
      </w:r>
      <w:r>
        <w:rPr>
          <w:rFonts w:hint="eastAsia" w:ascii="宋体" w:hAnsi="宋体" w:cs="宋体"/>
          <w:color w:val="auto"/>
          <w:sz w:val="24"/>
          <w:lang w:val="en-US" w:eastAsia="zh-CN"/>
        </w:rPr>
        <w:t>1</w:t>
      </w:r>
      <w:r>
        <w:rPr>
          <w:rFonts w:hint="eastAsia" w:ascii="宋体" w:hAnsi="宋体" w:cs="宋体"/>
          <w:color w:val="auto"/>
          <w:sz w:val="24"/>
        </w:rPr>
        <w:t xml:space="preserve">0%向采购人支付违约金。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未经采购人书面许可，中标人不得将本合同项目与任何第三方合作，或将本合同标的的全部或部分转委托给任何第三方。否则，采购人有权要求中标人终止与第三方的合同。中标人应承担因此而产生的相关责任，并向采购人支付本合同总额</w:t>
      </w:r>
      <w:r>
        <w:rPr>
          <w:rFonts w:hint="eastAsia" w:ascii="宋体" w:hAnsi="宋体" w:cs="宋体"/>
          <w:color w:val="auto"/>
          <w:sz w:val="24"/>
          <w:lang w:val="en-US" w:eastAsia="zh-CN"/>
        </w:rPr>
        <w:t>1</w:t>
      </w:r>
      <w:r>
        <w:rPr>
          <w:rFonts w:hint="eastAsia" w:ascii="宋体" w:hAnsi="宋体" w:cs="宋体"/>
          <w:color w:val="auto"/>
          <w:sz w:val="24"/>
        </w:rPr>
        <w:t>0%的违约金。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本合同履行期间，因中标人原因，未能按规定时间完成工作的，每延误一天，采购人有权在尚未支付的合同款项中扣除该阶段合同价款的0.5‰。如中标人已完成阶段性成果且经采购人验收合格的，中标人有权要求采购人支付该阶段成果的费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4、本合同履行期间，发生下述情形时，采购人有权解除本合同，中标人应向采购人支付合同总价款</w:t>
      </w:r>
      <w:r>
        <w:rPr>
          <w:rFonts w:hint="eastAsia" w:ascii="宋体" w:hAnsi="宋体" w:cs="宋体"/>
          <w:color w:val="auto"/>
          <w:sz w:val="24"/>
          <w:lang w:val="en-US" w:eastAsia="zh-CN"/>
        </w:rPr>
        <w:t>1</w:t>
      </w:r>
      <w:r>
        <w:rPr>
          <w:rFonts w:hint="eastAsia" w:ascii="宋体" w:hAnsi="宋体" w:cs="宋体"/>
          <w:color w:val="auto"/>
          <w:sz w:val="24"/>
        </w:rPr>
        <w:t>0%的违约金，采购人有权在支付中标人的任何款项中扣除该等违约金，同时，采购人保留要求中标人赔偿相应损失的权利，另外，中标人应将已完成的阶段性成果移交给采购人：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（1）因中标人工作的错误或遗漏造成成果质量损失，且中标人未按采购人要求采取及时有效的补救措施的；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（2）中标人未能按合同约定的日期（含协商延缓的日期）提交工作成果，延误时间超过30个工作日；或中标人虽如期提交阶段性成果和最终成果，但最终成果连续二次未能通过验收的；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（4）中标人明确表示或者以自己的行为表明不履行本合同的。</w:t>
      </w:r>
    </w:p>
    <w:p>
      <w:pPr>
        <w:widowControl/>
        <w:spacing w:line="240" w:lineRule="auto"/>
        <w:ind w:firstLine="0" w:firstLineChars="0"/>
        <w:rPr>
          <w:rFonts w:hint="eastAsia" w:ascii="宋体" w:hAnsi="宋体" w:cs="宋体"/>
          <w:color w:val="auto"/>
          <w:sz w:val="24"/>
        </w:rPr>
      </w:pPr>
      <w:r>
        <w:rPr>
          <w:rFonts w:hint="eastAsia" w:ascii="宋体" w:hAnsi="宋体" w:cs="宋体"/>
          <w:color w:val="auto"/>
          <w:sz w:val="24"/>
        </w:rPr>
        <w:br w:type="page"/>
      </w:r>
    </w:p>
    <w:p>
      <w:pPr>
        <w:widowControl/>
        <w:spacing w:line="360" w:lineRule="auto"/>
        <w:ind w:firstLine="482" w:firstLineChars="200"/>
        <w:jc w:val="center"/>
        <w:outlineLvl w:val="0"/>
        <w:rPr>
          <w:rFonts w:hint="eastAsia" w:ascii="宋体" w:cs="宋体"/>
          <w:b/>
          <w:bCs/>
          <w:color w:val="auto"/>
          <w:sz w:val="24"/>
        </w:rPr>
      </w:pPr>
      <w:bookmarkStart w:id="38" w:name="_Toc23822"/>
      <w:r>
        <w:rPr>
          <w:rFonts w:hint="eastAsia" w:ascii="宋体" w:cs="宋体"/>
          <w:b/>
          <w:bCs/>
          <w:color w:val="auto"/>
          <w:sz w:val="24"/>
        </w:rPr>
        <w:t>第六章 投标文件初审及招标项目评分表</w:t>
      </w:r>
      <w:bookmarkEnd w:id="38"/>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rPr>
            </w:pPr>
            <w:r>
              <w:rPr>
                <w:rFonts w:hint="eastAsia" w:ascii="宋体" w:hAnsi="宋体" w:cs="宋体"/>
                <w:color w:val="auto"/>
                <w:sz w:val="24"/>
              </w:rPr>
              <w:t>1</w:t>
            </w:r>
          </w:p>
        </w:tc>
        <w:tc>
          <w:tcPr>
            <w:tcW w:w="7108" w:type="dxa"/>
          </w:tcPr>
          <w:p>
            <w:pPr>
              <w:spacing w:line="360" w:lineRule="auto"/>
              <w:rPr>
                <w:rFonts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360" w:lineRule="auto"/>
              <w:jc w:val="center"/>
              <w:rPr>
                <w:rFonts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rPr>
            </w:pPr>
            <w:r>
              <w:rPr>
                <w:rFonts w:hint="eastAsia" w:ascii="宋体" w:hAnsi="宋体" w:cs="宋体"/>
                <w:color w:val="auto"/>
                <w:sz w:val="24"/>
              </w:rPr>
              <w:t>2</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rPr>
            </w:pPr>
            <w:r>
              <w:rPr>
                <w:rFonts w:hint="eastAsia" w:ascii="宋体" w:hAnsi="宋体" w:cs="宋体"/>
                <w:color w:val="auto"/>
                <w:sz w:val="24"/>
              </w:rPr>
              <w:t>3</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4</w:t>
            </w:r>
          </w:p>
        </w:tc>
        <w:tc>
          <w:tcPr>
            <w:tcW w:w="7108" w:type="dxa"/>
            <w:vAlign w:val="center"/>
          </w:tcPr>
          <w:p>
            <w:pPr>
              <w:spacing w:line="360" w:lineRule="auto"/>
              <w:rPr>
                <w:rFonts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5</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6</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7</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8</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9</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spacing w:line="360" w:lineRule="auto"/>
              <w:rPr>
                <w:rFonts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shd w:val="clear" w:color="auto" w:fill="auto"/>
          </w:tcPr>
          <w:p>
            <w:pPr>
              <w:spacing w:line="360" w:lineRule="auto"/>
              <w:rPr>
                <w:rFonts w:ascii="宋体" w:hAnsi="宋体" w:cs="宋体"/>
                <w:color w:val="auto"/>
                <w:sz w:val="24"/>
              </w:rPr>
            </w:pPr>
            <w:r>
              <w:rPr>
                <w:rFonts w:hint="eastAsia" w:ascii="宋体" w:hAnsi="宋体" w:cs="宋体"/>
                <w:color w:val="auto"/>
                <w:sz w:val="24"/>
              </w:rPr>
              <w:t>10</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360" w:lineRule="auto"/>
              <w:rPr>
                <w:rFonts w:ascii="宋体" w:hAnsi="宋体" w:cs="宋体"/>
                <w:color w:val="auto"/>
                <w:sz w:val="24"/>
              </w:rPr>
            </w:pPr>
            <w:r>
              <w:rPr>
                <w:rFonts w:hint="eastAsia" w:ascii="宋体" w:hAnsi="宋体" w:cs="宋体"/>
                <w:color w:val="auto"/>
                <w:sz w:val="24"/>
              </w:rPr>
              <w:t>11</w:t>
            </w:r>
          </w:p>
        </w:tc>
        <w:tc>
          <w:tcPr>
            <w:tcW w:w="7108" w:type="dxa"/>
            <w:vAlign w:val="center"/>
          </w:tcPr>
          <w:p>
            <w:pPr>
              <w:spacing w:line="360" w:lineRule="auto"/>
              <w:rPr>
                <w:rFonts w:ascii="宋体" w:hAnsi="宋体" w:cs="宋体"/>
                <w:color w:val="auto"/>
                <w:sz w:val="24"/>
              </w:rPr>
            </w:pPr>
            <w:r>
              <w:rPr>
                <w:rFonts w:hint="eastAsia" w:ascii="宋体" w:hAnsi="宋体" w:cs="宋体"/>
                <w:color w:val="auto"/>
                <w:sz w:val="24"/>
              </w:rPr>
              <w:t>未出现法律、法规规定的其他情形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highlight w:val="none"/>
        </w:rPr>
        <w:t>招标项目评分表</w:t>
      </w:r>
    </w:p>
    <w:tbl>
      <w:tblPr>
        <w:tblStyle w:val="19"/>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6"/>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lang w:val="en-US" w:eastAsia="zh-CN"/>
              </w:rPr>
            </w:pPr>
            <w:r>
              <w:rPr>
                <w:rFonts w:hint="eastAsia" w:ascii="宋体" w:hAnsi="宋体" w:cs="宋体"/>
                <w:b/>
                <w:bCs/>
                <w:color w:val="auto"/>
                <w:sz w:val="24"/>
                <w:lang w:val="en-US" w:eastAsia="zh-CN"/>
              </w:rPr>
              <w:t>投标报价得分=(评标基准价／投标报价)×10</w:t>
            </w:r>
          </w:p>
          <w:p>
            <w:pPr>
              <w:numPr>
                <w:ilvl w:val="0"/>
                <w:numId w:val="8"/>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8"/>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6"/>
              <w:spacing w:line="360" w:lineRule="auto"/>
              <w:ind w:left="216" w:leftChars="103"/>
              <w:rPr>
                <w:rFonts w:hint="eastAsia" w:ascii="宋体" w:hAnsi="宋体" w:cs="宋体"/>
                <w:color w:val="auto"/>
                <w:sz w:val="24"/>
                <w:lang w:val="en-US" w:eastAsia="zh-CN"/>
              </w:rPr>
            </w:pPr>
            <w:r>
              <w:rPr>
                <w:rFonts w:hint="eastAsia" w:ascii="宋体" w:hAnsi="宋体" w:cs="宋体"/>
                <w:bCs/>
                <w:color w:val="auto"/>
                <w:kern w:val="2"/>
                <w:sz w:val="24"/>
                <w:lang w:val="en-US" w:eastAsia="zh-CN"/>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50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资质情况</w:t>
            </w:r>
          </w:p>
        </w:tc>
        <w:tc>
          <w:tcPr>
            <w:tcW w:w="5907" w:type="dxa"/>
            <w:shd w:val="clear" w:color="auto" w:fill="auto"/>
            <w:noWrap w:val="0"/>
            <w:vAlign w:val="center"/>
          </w:tcPr>
          <w:p>
            <w:pPr>
              <w:widowControl/>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评分内容：</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投标人具有质量管理体系认证证书，得</w:t>
            </w:r>
            <w:r>
              <w:rPr>
                <w:rFonts w:hint="eastAsia" w:ascii="宋体" w:hAnsi="宋体" w:cs="宋体"/>
                <w:color w:val="auto"/>
                <w:sz w:val="24"/>
                <w:lang w:val="en-US" w:eastAsia="zh-CN"/>
              </w:rPr>
              <w:t>4</w:t>
            </w:r>
            <w:r>
              <w:rPr>
                <w:rFonts w:hint="eastAsia" w:ascii="宋体" w:hAnsi="宋体" w:eastAsia="宋体" w:cs="宋体"/>
                <w:color w:val="auto"/>
                <w:sz w:val="24"/>
                <w:lang w:val="zh-CN"/>
              </w:rPr>
              <w:t>分。</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评分依据：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lang w:val="zh-CN"/>
              </w:rPr>
              <w:t>投标人须提供在有效期内的认证证书和全国认证认可信息公共服务平台（认e云）（http://cx.cnca.cn/）的认证信息截图并加盖公章，</w:t>
            </w:r>
            <w:r>
              <w:rPr>
                <w:rFonts w:hint="eastAsia" w:ascii="宋体" w:hAnsi="宋体" w:eastAsia="宋体" w:cs="宋体"/>
                <w:color w:val="auto"/>
                <w:sz w:val="24"/>
                <w:lang w:val="en-US" w:eastAsia="zh-CN"/>
              </w:rPr>
              <w:t>且认证范围</w:t>
            </w:r>
            <w:r>
              <w:rPr>
                <w:rFonts w:hint="eastAsia" w:ascii="宋体" w:hAnsi="宋体" w:cs="宋体"/>
                <w:color w:val="auto"/>
                <w:sz w:val="24"/>
                <w:lang w:val="en-US" w:eastAsia="zh-CN"/>
              </w:rPr>
              <w:t>须包含</w:t>
            </w:r>
            <w:r>
              <w:rPr>
                <w:rFonts w:hint="eastAsia" w:ascii="宋体" w:hAnsi="宋体" w:eastAsia="宋体" w:cs="宋体"/>
                <w:color w:val="auto"/>
                <w:sz w:val="24"/>
                <w:lang w:val="en-US" w:eastAsia="zh-CN"/>
              </w:rPr>
              <w:t>数据分析。</w:t>
            </w:r>
            <w:r>
              <w:rPr>
                <w:rFonts w:hint="eastAsia" w:ascii="宋体" w:hAnsi="宋体" w:eastAsia="宋体" w:cs="宋体"/>
                <w:color w:val="auto"/>
                <w:sz w:val="24"/>
                <w:lang w:val="zh-CN"/>
              </w:rPr>
              <w:t>评分中出现无证明资料或专家无法凭所提供资料判断是否得分的情况，一律作不得分处理。</w:t>
            </w:r>
            <w:r>
              <w:rPr>
                <w:rFonts w:hint="eastAsia" w:ascii="宋体" w:hAnsi="宋体" w:cs="宋体"/>
                <w:color w:val="auto"/>
                <w:sz w:val="24"/>
                <w:szCs w:val="24"/>
                <w:lang w:val="en-US" w:eastAsia="zh-CN"/>
              </w:rPr>
              <w:t>由于成立时间不足三个月导致不能办理相应认证证书的，提供“成立时间不足三个月，不能办理认证”的书面证明材料，按已经获得计分。</w:t>
            </w:r>
          </w:p>
        </w:tc>
        <w:tc>
          <w:tcPr>
            <w:tcW w:w="901"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68" w:type="dxa"/>
            <w:noWrap w:val="0"/>
            <w:vAlign w:val="center"/>
          </w:tcPr>
          <w:p>
            <w:pPr>
              <w:widowControl/>
              <w:autoSpaceDE w:val="0"/>
              <w:autoSpaceDN w:val="0"/>
              <w:adjustRightInd w:val="0"/>
              <w:spacing w:line="360" w:lineRule="auto"/>
              <w:jc w:val="center"/>
              <w:rPr>
                <w:rFonts w:hint="default" w:ascii="宋体" w:hAnsi="宋体" w:eastAsia="宋体" w:cs="宋体"/>
                <w:color w:val="auto"/>
                <w:sz w:val="24"/>
                <w:lang w:val="en-US"/>
              </w:rPr>
            </w:pPr>
            <w:r>
              <w:rPr>
                <w:rFonts w:hint="eastAsia" w:ascii="宋体" w:hAnsi="宋体" w:cs="宋体"/>
                <w:color w:val="auto"/>
                <w:sz w:val="24"/>
                <w:lang w:val="en-US" w:eastAsia="zh-CN"/>
              </w:rPr>
              <w:t>同类项目业绩</w:t>
            </w:r>
          </w:p>
        </w:tc>
        <w:tc>
          <w:tcPr>
            <w:tcW w:w="5907" w:type="dxa"/>
            <w:shd w:val="clear" w:color="auto" w:fill="auto"/>
            <w:noWrap w:val="0"/>
            <w:vAlign w:val="center"/>
          </w:tcPr>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评审内容：</w:t>
            </w:r>
          </w:p>
          <w:p>
            <w:pPr>
              <w:widowControl/>
              <w:numPr>
                <w:ilvl w:val="-1"/>
                <w:numId w:val="0"/>
              </w:numPr>
              <w:spacing w:line="360" w:lineRule="auto"/>
              <w:jc w:val="left"/>
              <w:rPr>
                <w:rFonts w:hint="eastAsia" w:ascii="宋体" w:hAnsi="宋体" w:eastAsia="宋体" w:cs="宋体"/>
                <w:color w:val="auto"/>
                <w:sz w:val="24"/>
                <w:lang w:val="zh-CN"/>
              </w:rPr>
            </w:pPr>
            <w:r>
              <w:rPr>
                <w:rFonts w:hint="eastAsia" w:ascii="宋体" w:hAnsi="宋体" w:cs="宋体"/>
                <w:color w:val="auto"/>
                <w:sz w:val="24"/>
                <w:lang w:val="en-US" w:eastAsia="zh-CN"/>
              </w:rPr>
              <w:t>具有</w:t>
            </w:r>
            <w:r>
              <w:rPr>
                <w:rFonts w:hint="eastAsia" w:ascii="宋体" w:hAnsi="宋体" w:eastAsia="宋体" w:cs="宋体"/>
                <w:color w:val="auto"/>
                <w:sz w:val="24"/>
                <w:lang w:val="zh-CN"/>
              </w:rPr>
              <w:t>统计分析类或</w:t>
            </w:r>
            <w:r>
              <w:rPr>
                <w:rFonts w:hint="eastAsia" w:ascii="宋体" w:hAnsi="宋体" w:cs="宋体"/>
                <w:color w:val="auto"/>
                <w:sz w:val="24"/>
                <w:lang w:val="en-US" w:eastAsia="zh-CN"/>
              </w:rPr>
              <w:t>数据</w:t>
            </w:r>
            <w:r>
              <w:rPr>
                <w:rFonts w:hint="eastAsia" w:ascii="宋体" w:hAnsi="宋体" w:eastAsia="宋体" w:cs="宋体"/>
                <w:color w:val="auto"/>
                <w:sz w:val="24"/>
                <w:lang w:val="zh-CN"/>
              </w:rPr>
              <w:t>服务类项目</w:t>
            </w:r>
            <w:r>
              <w:rPr>
                <w:rFonts w:hint="eastAsia" w:ascii="宋体" w:hAnsi="宋体" w:cs="宋体"/>
                <w:color w:val="auto"/>
                <w:sz w:val="24"/>
                <w:lang w:val="en-US" w:eastAsia="zh-CN"/>
              </w:rPr>
              <w:t>经验</w:t>
            </w:r>
            <w:r>
              <w:rPr>
                <w:rFonts w:hint="eastAsia" w:ascii="宋体" w:hAnsi="宋体" w:eastAsia="宋体" w:cs="宋体"/>
                <w:color w:val="auto"/>
                <w:sz w:val="24"/>
                <w:lang w:val="zh-CN"/>
              </w:rPr>
              <w:t>的，每1个得</w:t>
            </w:r>
            <w:r>
              <w:rPr>
                <w:rFonts w:hint="eastAsia" w:ascii="宋体" w:hAnsi="宋体" w:cs="宋体"/>
                <w:color w:val="auto"/>
                <w:sz w:val="24"/>
                <w:lang w:val="en-US" w:eastAsia="zh-CN"/>
              </w:rPr>
              <w:t>2</w:t>
            </w:r>
            <w:r>
              <w:rPr>
                <w:rFonts w:hint="eastAsia" w:ascii="宋体" w:hAnsi="宋体" w:eastAsia="宋体" w:cs="宋体"/>
                <w:color w:val="auto"/>
                <w:sz w:val="24"/>
                <w:lang w:val="zh-CN"/>
              </w:rPr>
              <w:t>分，最高得</w:t>
            </w:r>
            <w:r>
              <w:rPr>
                <w:rFonts w:hint="eastAsia" w:ascii="宋体" w:hAnsi="宋体" w:cs="宋体"/>
                <w:color w:val="auto"/>
                <w:sz w:val="24"/>
                <w:lang w:val="en-US" w:eastAsia="zh-CN"/>
              </w:rPr>
              <w:t>12</w:t>
            </w:r>
            <w:r>
              <w:rPr>
                <w:rFonts w:hint="eastAsia" w:ascii="宋体" w:hAnsi="宋体" w:eastAsia="宋体" w:cs="宋体"/>
                <w:color w:val="auto"/>
                <w:sz w:val="24"/>
                <w:lang w:val="zh-CN"/>
              </w:rPr>
              <w:t>分</w:t>
            </w:r>
            <w:r>
              <w:rPr>
                <w:rFonts w:hint="eastAsia" w:ascii="宋体" w:hAnsi="宋体" w:cs="宋体"/>
                <w:color w:val="auto"/>
                <w:sz w:val="24"/>
                <w:lang w:val="zh-CN"/>
              </w:rPr>
              <w:t>。同一项目续签或补充协议不重复计分。</w:t>
            </w:r>
          </w:p>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评分依据：</w:t>
            </w:r>
          </w:p>
          <w:p>
            <w:pPr>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投标人须提供合同关键页</w:t>
            </w:r>
            <w:r>
              <w:rPr>
                <w:rFonts w:hint="eastAsia" w:ascii="宋体" w:hAnsi="宋体" w:cs="宋体"/>
                <w:color w:val="auto"/>
                <w:sz w:val="24"/>
                <w:lang w:val="en-US" w:eastAsia="zh-CN"/>
              </w:rPr>
              <w:t>并</w:t>
            </w:r>
            <w:r>
              <w:rPr>
                <w:rFonts w:hint="eastAsia" w:ascii="宋体" w:hAnsi="宋体" w:eastAsia="宋体" w:cs="宋体"/>
                <w:color w:val="auto"/>
                <w:sz w:val="24"/>
                <w:lang w:val="zh-CN"/>
              </w:rPr>
              <w:t>加盖投标人公章</w:t>
            </w:r>
            <w:r>
              <w:rPr>
                <w:rFonts w:hint="eastAsia" w:ascii="宋体" w:hAnsi="宋体" w:cs="宋体"/>
                <w:color w:val="auto"/>
                <w:sz w:val="24"/>
                <w:lang w:val="zh-CN"/>
              </w:rPr>
              <w:t>，</w:t>
            </w:r>
            <w:r>
              <w:rPr>
                <w:rFonts w:hint="eastAsia" w:ascii="宋体" w:hAnsi="宋体" w:cs="宋体"/>
                <w:color w:val="auto"/>
                <w:sz w:val="24"/>
                <w:lang w:val="en-US" w:eastAsia="zh-CN"/>
              </w:rPr>
              <w:t>关键页</w:t>
            </w:r>
            <w:r>
              <w:rPr>
                <w:rFonts w:hint="eastAsia" w:ascii="宋体" w:hAnsi="宋体" w:eastAsia="宋体" w:cs="宋体"/>
                <w:color w:val="auto"/>
                <w:sz w:val="24"/>
                <w:lang w:val="zh-CN"/>
              </w:rPr>
              <w:t>包含</w:t>
            </w:r>
            <w:r>
              <w:rPr>
                <w:rFonts w:hint="eastAsia" w:ascii="宋体" w:hAnsi="宋体" w:cs="宋体"/>
                <w:color w:val="auto"/>
                <w:sz w:val="24"/>
                <w:lang w:val="en-US" w:eastAsia="zh-CN"/>
              </w:rPr>
              <w:t>项目名称</w:t>
            </w:r>
            <w:r>
              <w:rPr>
                <w:rFonts w:hint="eastAsia" w:ascii="宋体" w:hAnsi="宋体" w:eastAsia="宋体" w:cs="宋体"/>
                <w:color w:val="auto"/>
                <w:sz w:val="24"/>
                <w:lang w:val="zh-CN"/>
              </w:rPr>
              <w:t>、</w:t>
            </w:r>
            <w:r>
              <w:rPr>
                <w:rFonts w:hint="eastAsia" w:ascii="宋体" w:hAnsi="宋体" w:cs="宋体"/>
                <w:color w:val="auto"/>
                <w:sz w:val="24"/>
                <w:lang w:val="en-US" w:eastAsia="zh-CN"/>
              </w:rPr>
              <w:t>合作</w:t>
            </w:r>
            <w:r>
              <w:rPr>
                <w:rFonts w:hint="eastAsia" w:ascii="宋体" w:hAnsi="宋体" w:eastAsia="宋体" w:cs="宋体"/>
                <w:color w:val="auto"/>
                <w:sz w:val="24"/>
                <w:lang w:val="zh-CN"/>
              </w:rPr>
              <w:t>内容和</w:t>
            </w:r>
            <w:r>
              <w:rPr>
                <w:rFonts w:hint="eastAsia" w:ascii="宋体" w:hAnsi="宋体" w:cs="宋体"/>
                <w:color w:val="auto"/>
                <w:sz w:val="24"/>
                <w:lang w:val="en-US" w:eastAsia="zh-CN"/>
              </w:rPr>
              <w:t>合同双方</w:t>
            </w:r>
            <w:r>
              <w:rPr>
                <w:rFonts w:hint="eastAsia" w:ascii="宋体" w:hAnsi="宋体" w:eastAsia="宋体" w:cs="宋体"/>
                <w:color w:val="auto"/>
                <w:sz w:val="24"/>
                <w:lang w:val="zh-CN"/>
              </w:rPr>
              <w:t>盖章。评分中出现无证明资料或专家无法凭所提供资料判断是否得分的情况，一律不得分。</w:t>
            </w:r>
          </w:p>
        </w:tc>
        <w:tc>
          <w:tcPr>
            <w:tcW w:w="901"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cs="宋体"/>
                <w:color w:val="auto"/>
                <w:sz w:val="24"/>
                <w:lang w:val="en-US" w:eastAsia="zh-CN"/>
              </w:rPr>
              <w:t>2</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168"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项目负责人（仅限1人）</w:t>
            </w:r>
          </w:p>
        </w:tc>
        <w:tc>
          <w:tcPr>
            <w:tcW w:w="5907" w:type="dxa"/>
            <w:shd w:val="clear" w:color="auto" w:fill="auto"/>
            <w:noWrap w:val="0"/>
            <w:vAlign w:val="center"/>
          </w:tcPr>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评分内容：</w:t>
            </w:r>
          </w:p>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1、具备高级统计师</w:t>
            </w:r>
            <w:r>
              <w:rPr>
                <w:rFonts w:hint="eastAsia" w:ascii="宋体" w:hAnsi="宋体" w:cs="宋体"/>
                <w:color w:val="auto"/>
                <w:sz w:val="24"/>
                <w:lang w:val="en-US" w:eastAsia="zh-CN"/>
              </w:rPr>
              <w:t>或高级大数据分析师</w:t>
            </w:r>
            <w:r>
              <w:rPr>
                <w:rFonts w:hint="eastAsia" w:ascii="宋体" w:hAnsi="宋体" w:eastAsia="宋体" w:cs="宋体"/>
                <w:color w:val="auto"/>
                <w:sz w:val="24"/>
                <w:lang w:val="en-US" w:eastAsia="zh-CN"/>
              </w:rPr>
              <w:t>证书</w:t>
            </w:r>
            <w:r>
              <w:rPr>
                <w:rFonts w:hint="eastAsia" w:ascii="宋体" w:hAnsi="宋体" w:eastAsia="宋体" w:cs="宋体"/>
                <w:color w:val="auto"/>
                <w:sz w:val="24"/>
                <w:lang w:val="zh-CN"/>
              </w:rPr>
              <w:t>的，</w:t>
            </w:r>
            <w:r>
              <w:rPr>
                <w:rFonts w:hint="eastAsia" w:ascii="宋体" w:hAnsi="宋体" w:cs="宋体"/>
                <w:color w:val="auto"/>
                <w:sz w:val="24"/>
                <w:lang w:val="en-US" w:eastAsia="zh-CN"/>
              </w:rPr>
              <w:t>每提供1个</w:t>
            </w:r>
            <w:r>
              <w:rPr>
                <w:rFonts w:hint="eastAsia" w:ascii="宋体" w:hAnsi="宋体" w:eastAsia="宋体" w:cs="宋体"/>
                <w:color w:val="auto"/>
                <w:sz w:val="24"/>
                <w:lang w:val="zh-CN"/>
              </w:rPr>
              <w:t>得</w:t>
            </w:r>
            <w:r>
              <w:rPr>
                <w:rFonts w:hint="eastAsia" w:ascii="宋体" w:hAnsi="宋体" w:cs="宋体"/>
                <w:color w:val="auto"/>
                <w:sz w:val="24"/>
                <w:lang w:val="en-US" w:eastAsia="zh-CN"/>
              </w:rPr>
              <w:t>1.5</w:t>
            </w:r>
            <w:r>
              <w:rPr>
                <w:rFonts w:hint="eastAsia" w:ascii="宋体" w:hAnsi="宋体" w:eastAsia="宋体" w:cs="宋体"/>
                <w:color w:val="auto"/>
                <w:sz w:val="24"/>
                <w:lang w:val="zh-CN"/>
              </w:rPr>
              <w:t>分</w:t>
            </w:r>
            <w:r>
              <w:rPr>
                <w:rFonts w:hint="eastAsia" w:ascii="宋体" w:hAnsi="宋体" w:cs="宋体"/>
                <w:color w:val="auto"/>
                <w:sz w:val="24"/>
                <w:lang w:val="zh-CN"/>
              </w:rPr>
              <w:t>，</w:t>
            </w:r>
            <w:r>
              <w:rPr>
                <w:rFonts w:hint="eastAsia" w:ascii="宋体" w:hAnsi="宋体" w:cs="宋体"/>
                <w:color w:val="auto"/>
                <w:sz w:val="24"/>
                <w:lang w:val="en-US" w:eastAsia="zh-CN"/>
              </w:rPr>
              <w:t>同一类型证书不可重复得分，最高得3分</w:t>
            </w:r>
            <w:r>
              <w:rPr>
                <w:rFonts w:hint="eastAsia" w:ascii="宋体" w:hAnsi="宋体" w:eastAsia="宋体" w:cs="宋体"/>
                <w:color w:val="auto"/>
                <w:sz w:val="24"/>
                <w:lang w:val="zh-CN"/>
              </w:rPr>
              <w:t>；</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zh-CN"/>
              </w:rPr>
              <w:t>2、</w:t>
            </w:r>
            <w:r>
              <w:rPr>
                <w:rFonts w:hint="eastAsia" w:ascii="宋体" w:hAnsi="宋体" w:cs="宋体"/>
                <w:color w:val="auto"/>
                <w:sz w:val="24"/>
                <w:lang w:val="en-US" w:eastAsia="zh-CN"/>
              </w:rPr>
              <w:t>在</w:t>
            </w:r>
            <w:r>
              <w:rPr>
                <w:rFonts w:hint="eastAsia" w:ascii="宋体" w:hAnsi="宋体" w:eastAsia="宋体" w:cs="宋体"/>
                <w:color w:val="auto"/>
                <w:sz w:val="24"/>
                <w:lang w:val="en-US" w:eastAsia="zh-CN"/>
              </w:rPr>
              <w:t>数据</w:t>
            </w:r>
            <w:r>
              <w:rPr>
                <w:rFonts w:hint="eastAsia" w:ascii="宋体" w:hAnsi="宋体" w:cs="宋体"/>
                <w:color w:val="auto"/>
                <w:sz w:val="24"/>
                <w:lang w:val="en-US" w:eastAsia="zh-CN"/>
              </w:rPr>
              <w:t>分析</w:t>
            </w:r>
            <w:r>
              <w:rPr>
                <w:rFonts w:hint="eastAsia" w:ascii="宋体" w:hAnsi="宋体" w:eastAsia="宋体" w:cs="宋体"/>
                <w:color w:val="auto"/>
                <w:sz w:val="24"/>
                <w:lang w:val="en-US" w:eastAsia="zh-CN"/>
              </w:rPr>
              <w:t>类（</w:t>
            </w:r>
            <w:r>
              <w:rPr>
                <w:rFonts w:hint="eastAsia" w:ascii="宋体" w:hAnsi="宋体" w:cs="宋体"/>
                <w:color w:val="auto"/>
                <w:sz w:val="24"/>
                <w:lang w:val="en-US" w:eastAsia="zh-CN"/>
              </w:rPr>
              <w:t>名称或内容须包含</w:t>
            </w:r>
            <w:r>
              <w:rPr>
                <w:rFonts w:hint="eastAsia" w:ascii="宋体" w:hAnsi="宋体" w:eastAsia="宋体" w:cs="宋体"/>
                <w:color w:val="auto"/>
                <w:sz w:val="24"/>
                <w:lang w:val="en-US" w:eastAsia="zh-CN"/>
              </w:rPr>
              <w:t>数据分析）研发工作</w:t>
            </w:r>
            <w:r>
              <w:rPr>
                <w:rFonts w:hint="eastAsia" w:ascii="宋体" w:hAnsi="宋体" w:cs="宋体"/>
                <w:color w:val="auto"/>
                <w:sz w:val="24"/>
                <w:lang w:val="en-US" w:eastAsia="zh-CN"/>
              </w:rPr>
              <w:t>担任过第一发明人</w:t>
            </w:r>
            <w:r>
              <w:rPr>
                <w:rFonts w:hint="eastAsia" w:ascii="宋体" w:hAnsi="宋体" w:eastAsia="宋体" w:cs="宋体"/>
                <w:color w:val="auto"/>
                <w:sz w:val="24"/>
                <w:lang w:val="en-US" w:eastAsia="zh-CN"/>
              </w:rPr>
              <w:t>的，每提供1个得2分，最高得2分；</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在</w:t>
            </w:r>
            <w:r>
              <w:rPr>
                <w:rFonts w:hint="eastAsia" w:ascii="宋体" w:hAnsi="宋体" w:eastAsia="宋体" w:cs="宋体"/>
                <w:color w:val="auto"/>
                <w:sz w:val="24"/>
                <w:lang w:val="zh-CN"/>
              </w:rPr>
              <w:t>统计类工作</w:t>
            </w:r>
            <w:r>
              <w:rPr>
                <w:rFonts w:hint="eastAsia" w:ascii="宋体" w:hAnsi="宋体" w:eastAsia="宋体" w:cs="宋体"/>
                <w:color w:val="auto"/>
                <w:sz w:val="24"/>
                <w:lang w:val="en-US" w:eastAsia="zh-CN"/>
              </w:rPr>
              <w:t>中</w:t>
            </w:r>
            <w:r>
              <w:rPr>
                <w:rFonts w:hint="eastAsia" w:ascii="宋体" w:hAnsi="宋体" w:eastAsia="宋体" w:cs="宋体"/>
                <w:color w:val="auto"/>
                <w:sz w:val="24"/>
                <w:lang w:val="zh-CN"/>
              </w:rPr>
              <w:t>获得过</w:t>
            </w:r>
            <w:r>
              <w:rPr>
                <w:rFonts w:hint="eastAsia" w:ascii="宋体" w:hAnsi="宋体" w:eastAsia="宋体" w:cs="宋体"/>
                <w:color w:val="auto"/>
                <w:sz w:val="24"/>
                <w:lang w:val="zh-CN" w:eastAsia="zh-CN"/>
              </w:rPr>
              <w:t>省级（含副省级）</w:t>
            </w:r>
            <w:r>
              <w:rPr>
                <w:rFonts w:hint="eastAsia" w:ascii="宋体" w:hAnsi="宋体" w:cs="宋体"/>
                <w:color w:val="auto"/>
                <w:sz w:val="24"/>
                <w:lang w:val="zh-CN" w:eastAsia="zh-CN"/>
              </w:rPr>
              <w:t>及</w:t>
            </w:r>
            <w:r>
              <w:rPr>
                <w:rFonts w:hint="eastAsia" w:ascii="宋体" w:hAnsi="宋体" w:eastAsia="宋体" w:cs="宋体"/>
                <w:color w:val="auto"/>
                <w:sz w:val="24"/>
                <w:lang w:val="zh-CN" w:eastAsia="zh-CN"/>
              </w:rPr>
              <w:t>以上行政事业单</w:t>
            </w:r>
            <w:r>
              <w:rPr>
                <w:rFonts w:hint="eastAsia" w:ascii="宋体" w:hAnsi="宋体" w:eastAsia="宋体" w:cs="宋体"/>
                <w:color w:val="auto"/>
                <w:sz w:val="24"/>
                <w:lang w:val="en-US" w:eastAsia="zh-CN"/>
              </w:rPr>
              <w:t>位（含内设或临时机构 ）颁发的个人</w:t>
            </w:r>
            <w:r>
              <w:rPr>
                <w:rFonts w:hint="eastAsia" w:ascii="宋体" w:hAnsi="宋体" w:eastAsia="宋体" w:cs="宋体"/>
                <w:color w:val="auto"/>
                <w:sz w:val="24"/>
                <w:lang w:val="zh-CN"/>
              </w:rPr>
              <w:t>表彰的，</w:t>
            </w:r>
            <w:r>
              <w:rPr>
                <w:rFonts w:hint="eastAsia" w:ascii="宋体" w:hAnsi="宋体" w:eastAsia="宋体" w:cs="宋体"/>
                <w:color w:val="auto"/>
                <w:sz w:val="24"/>
                <w:lang w:val="en-US" w:eastAsia="zh-CN"/>
              </w:rPr>
              <w:t>每提供1个</w:t>
            </w:r>
            <w:r>
              <w:rPr>
                <w:rFonts w:hint="eastAsia" w:ascii="宋体" w:hAnsi="宋体" w:eastAsia="宋体" w:cs="宋体"/>
                <w:color w:val="auto"/>
                <w:sz w:val="24"/>
                <w:lang w:val="zh-CN"/>
              </w:rPr>
              <w:t>得</w:t>
            </w: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分，</w:t>
            </w:r>
            <w:r>
              <w:rPr>
                <w:rFonts w:hint="eastAsia" w:ascii="宋体" w:hAnsi="宋体" w:eastAsia="宋体" w:cs="宋体"/>
                <w:color w:val="auto"/>
                <w:sz w:val="24"/>
                <w:lang w:val="en-US" w:eastAsia="zh-CN"/>
              </w:rPr>
              <w:t>同一项目不可重复得分，最高得2分。</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4、具有统计分析类项目管理经验（担任项目负责人）的，每提供1个项目得1.5分，最高得3分。</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以上</w:t>
            </w:r>
            <w:r>
              <w:rPr>
                <w:rFonts w:hint="eastAsia" w:ascii="宋体" w:hAnsi="宋体" w:cs="宋体"/>
                <w:color w:val="auto"/>
                <w:sz w:val="24"/>
                <w:lang w:val="en-US" w:eastAsia="zh-CN"/>
              </w:rPr>
              <w:t>4</w:t>
            </w:r>
            <w:r>
              <w:rPr>
                <w:rFonts w:hint="eastAsia" w:ascii="宋体" w:hAnsi="宋体" w:eastAsia="宋体" w:cs="宋体"/>
                <w:color w:val="auto"/>
                <w:sz w:val="24"/>
                <w:lang w:val="zh-CN"/>
              </w:rPr>
              <w:t>项累计得分，最高得</w:t>
            </w:r>
            <w:r>
              <w:rPr>
                <w:rFonts w:hint="eastAsia" w:ascii="宋体" w:hAnsi="宋体" w:cs="宋体"/>
                <w:color w:val="auto"/>
                <w:sz w:val="24"/>
                <w:lang w:val="en-US" w:eastAsia="zh-CN"/>
              </w:rPr>
              <w:t>10</w:t>
            </w:r>
            <w:r>
              <w:rPr>
                <w:rFonts w:hint="eastAsia" w:ascii="宋体" w:hAnsi="宋体" w:eastAsia="宋体" w:cs="宋体"/>
                <w:color w:val="auto"/>
                <w:sz w:val="24"/>
                <w:lang w:val="zh-CN"/>
              </w:rPr>
              <w:t>分。</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评分依据：</w:t>
            </w:r>
          </w:p>
          <w:p>
            <w:pPr>
              <w:numPr>
                <w:ilvl w:val="0"/>
                <w:numId w:val="9"/>
              </w:numPr>
              <w:spacing w:line="360" w:lineRule="auto"/>
              <w:rPr>
                <w:rFonts w:hint="eastAsia" w:ascii="宋体" w:hAnsi="宋体" w:cs="宋体"/>
                <w:color w:val="auto"/>
                <w:sz w:val="24"/>
                <w:lang w:val="en-US" w:eastAsia="zh-CN"/>
              </w:rPr>
            </w:pPr>
            <w:r>
              <w:rPr>
                <w:rFonts w:hint="eastAsia" w:ascii="宋体" w:hAnsi="宋体" w:eastAsia="宋体" w:cs="宋体"/>
                <w:color w:val="auto"/>
                <w:sz w:val="24"/>
                <w:lang w:val="zh-CN"/>
              </w:rPr>
              <w:t>投标人须提供职称证书、荣誉证书</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发明专利证书</w:t>
            </w:r>
            <w:r>
              <w:rPr>
                <w:rFonts w:hint="eastAsia" w:ascii="宋体" w:hAnsi="宋体" w:cs="宋体"/>
                <w:color w:val="auto"/>
                <w:sz w:val="24"/>
                <w:lang w:val="en-US" w:eastAsia="zh-CN"/>
              </w:rPr>
              <w:t>复印件并加盖投标人公章。</w:t>
            </w:r>
          </w:p>
          <w:p>
            <w:pPr>
              <w:numPr>
                <w:ilvl w:val="0"/>
                <w:numId w:val="9"/>
              </w:numPr>
              <w:spacing w:line="360" w:lineRule="auto"/>
              <w:rPr>
                <w:rFonts w:hint="eastAsia" w:ascii="宋体" w:hAnsi="宋体" w:eastAsia="宋体" w:cs="宋体"/>
                <w:color w:val="auto"/>
                <w:sz w:val="24"/>
                <w:szCs w:val="24"/>
              </w:rPr>
            </w:pPr>
            <w:r>
              <w:rPr>
                <w:rFonts w:hint="eastAsia" w:ascii="宋体" w:hAnsi="宋体" w:cs="宋体"/>
                <w:color w:val="auto"/>
                <w:sz w:val="24"/>
                <w:lang w:val="en-US" w:eastAsia="zh-CN"/>
              </w:rPr>
              <w:t>项目经验证明须</w:t>
            </w:r>
            <w:r>
              <w:rPr>
                <w:rFonts w:hint="eastAsia" w:ascii="宋体" w:hAnsi="宋体" w:eastAsia="宋体" w:cs="宋体"/>
                <w:color w:val="auto"/>
                <w:sz w:val="24"/>
                <w:lang w:val="en-US" w:eastAsia="zh-CN"/>
              </w:rPr>
              <w:t>提供合同关键页（</w:t>
            </w:r>
            <w:r>
              <w:rPr>
                <w:rFonts w:hint="eastAsia" w:ascii="宋体" w:hAnsi="宋体" w:eastAsia="宋体" w:cs="宋体"/>
                <w:color w:val="auto"/>
                <w:sz w:val="24"/>
                <w:lang w:val="zh-CN"/>
              </w:rPr>
              <w:t>包含</w:t>
            </w:r>
            <w:r>
              <w:rPr>
                <w:rFonts w:hint="eastAsia" w:ascii="宋体" w:hAnsi="宋体" w:cs="宋体"/>
                <w:color w:val="auto"/>
                <w:sz w:val="24"/>
                <w:lang w:val="en-US" w:eastAsia="zh-CN"/>
              </w:rPr>
              <w:t>项目名称</w:t>
            </w:r>
            <w:r>
              <w:rPr>
                <w:rFonts w:hint="eastAsia" w:ascii="宋体" w:hAnsi="宋体" w:eastAsia="宋体" w:cs="宋体"/>
                <w:color w:val="auto"/>
                <w:sz w:val="24"/>
                <w:lang w:val="zh-CN"/>
              </w:rPr>
              <w:t>、</w:t>
            </w:r>
            <w:r>
              <w:rPr>
                <w:rFonts w:hint="eastAsia" w:ascii="宋体" w:hAnsi="宋体" w:cs="宋体"/>
                <w:color w:val="auto"/>
                <w:sz w:val="24"/>
                <w:lang w:val="en-US" w:eastAsia="zh-CN"/>
              </w:rPr>
              <w:t>合作</w:t>
            </w:r>
            <w:r>
              <w:rPr>
                <w:rFonts w:hint="eastAsia" w:ascii="宋体" w:hAnsi="宋体" w:eastAsia="宋体" w:cs="宋体"/>
                <w:color w:val="auto"/>
                <w:sz w:val="24"/>
                <w:lang w:val="zh-CN"/>
              </w:rPr>
              <w:t>内容和</w:t>
            </w:r>
            <w:r>
              <w:rPr>
                <w:rFonts w:hint="eastAsia" w:ascii="宋体" w:hAnsi="宋体" w:cs="宋体"/>
                <w:color w:val="auto"/>
                <w:sz w:val="24"/>
                <w:lang w:val="en-US" w:eastAsia="zh-CN"/>
              </w:rPr>
              <w:t>合同双方</w:t>
            </w:r>
            <w:r>
              <w:rPr>
                <w:rFonts w:hint="eastAsia" w:ascii="宋体" w:hAnsi="宋体" w:eastAsia="宋体" w:cs="宋体"/>
                <w:color w:val="auto"/>
                <w:sz w:val="24"/>
                <w:lang w:val="zh-CN"/>
              </w:rPr>
              <w:t>盖章</w:t>
            </w:r>
            <w:r>
              <w:rPr>
                <w:rFonts w:hint="eastAsia" w:ascii="宋体" w:hAnsi="宋体" w:eastAsia="宋体" w:cs="宋体"/>
                <w:color w:val="auto"/>
                <w:sz w:val="24"/>
                <w:lang w:val="en-US" w:eastAsia="zh-CN"/>
              </w:rPr>
              <w:t>及人员信息），如合同无法体现人员</w:t>
            </w:r>
            <w:r>
              <w:rPr>
                <w:rFonts w:hint="eastAsia" w:ascii="宋体" w:hAnsi="宋体" w:cs="宋体"/>
                <w:color w:val="auto"/>
                <w:sz w:val="24"/>
                <w:lang w:val="en-US" w:eastAsia="zh-CN"/>
              </w:rPr>
              <w:t>信息</w:t>
            </w:r>
            <w:r>
              <w:rPr>
                <w:rFonts w:hint="eastAsia" w:ascii="宋体" w:hAnsi="宋体" w:eastAsia="宋体" w:cs="宋体"/>
                <w:color w:val="auto"/>
                <w:sz w:val="24"/>
                <w:lang w:val="en-US" w:eastAsia="zh-CN"/>
              </w:rPr>
              <w:t>，须同时提供合同采购人出具的证明复印件加盖公章，原件备查)</w:t>
            </w:r>
            <w:r>
              <w:rPr>
                <w:rFonts w:hint="eastAsia" w:ascii="宋体" w:hAnsi="宋体" w:cs="宋体"/>
                <w:color w:val="auto"/>
                <w:sz w:val="24"/>
                <w:lang w:val="en-US" w:eastAsia="zh-CN"/>
              </w:rPr>
              <w:t>。</w:t>
            </w:r>
          </w:p>
          <w:p>
            <w:pPr>
              <w:numPr>
                <w:ilvl w:val="0"/>
                <w:numId w:val="9"/>
              </w:numPr>
              <w:spacing w:line="360" w:lineRule="auto"/>
              <w:rPr>
                <w:rFonts w:hint="eastAsia" w:ascii="宋体" w:hAnsi="宋体" w:eastAsia="宋体" w:cs="宋体"/>
                <w:color w:val="auto"/>
                <w:sz w:val="24"/>
                <w:szCs w:val="24"/>
              </w:rPr>
            </w:pPr>
            <w:r>
              <w:rPr>
                <w:rFonts w:hint="eastAsia" w:ascii="宋体" w:hAnsi="宋体" w:cs="宋体"/>
                <w:color w:val="auto"/>
                <w:sz w:val="24"/>
                <w:lang w:val="en-US" w:eastAsia="zh-CN"/>
              </w:rPr>
              <w:t>提供</w:t>
            </w:r>
            <w:r>
              <w:rPr>
                <w:rFonts w:hint="eastAsia" w:ascii="宋体" w:hAnsi="宋体" w:eastAsia="宋体" w:cs="宋体"/>
                <w:color w:val="auto"/>
                <w:sz w:val="24"/>
                <w:lang w:val="zh-CN"/>
              </w:rPr>
              <w:t>近</w:t>
            </w:r>
            <w:r>
              <w:rPr>
                <w:rFonts w:hint="eastAsia" w:ascii="宋体" w:hAnsi="宋体" w:eastAsia="宋体" w:cs="宋体"/>
                <w:color w:val="auto"/>
                <w:sz w:val="24"/>
              </w:rPr>
              <w:t>3</w:t>
            </w:r>
            <w:r>
              <w:rPr>
                <w:rFonts w:hint="eastAsia" w:ascii="宋体" w:hAnsi="宋体" w:eastAsia="宋体" w:cs="宋体"/>
                <w:color w:val="auto"/>
                <w:sz w:val="24"/>
                <w:lang w:val="zh-CN"/>
              </w:rPr>
              <w:t>个月</w:t>
            </w:r>
            <w:r>
              <w:rPr>
                <w:rFonts w:hint="eastAsia" w:ascii="宋体" w:hAnsi="宋体" w:eastAsia="宋体" w:cs="宋体"/>
                <w:color w:val="auto"/>
                <w:sz w:val="24"/>
              </w:rPr>
              <w:t>任意一个月</w:t>
            </w:r>
            <w:r>
              <w:rPr>
                <w:rFonts w:hint="eastAsia" w:ascii="宋体" w:hAnsi="宋体" w:eastAsia="宋体" w:cs="宋体"/>
                <w:color w:val="auto"/>
                <w:sz w:val="24"/>
                <w:lang w:val="zh-CN"/>
              </w:rPr>
              <w:t>社保证明并加盖公章（</w:t>
            </w:r>
            <w:r>
              <w:rPr>
                <w:rFonts w:hint="eastAsia" w:ascii="宋体" w:hAnsi="宋体" w:eastAsia="宋体" w:cs="宋体"/>
                <w:b w:val="0"/>
                <w:bCs w:val="0"/>
                <w:color w:val="auto"/>
                <w:sz w:val="24"/>
                <w:szCs w:val="24"/>
                <w:lang w:val="zh-CN"/>
              </w:rPr>
              <w:t>如供应商为新成立单位且成立时间不足一个月的，可提供加盖公章的情况说明亦视为符合</w:t>
            </w:r>
            <w:r>
              <w:rPr>
                <w:rFonts w:hint="eastAsia" w:ascii="宋体" w:hAnsi="宋体" w:eastAsia="宋体" w:cs="宋体"/>
                <w:color w:val="auto"/>
                <w:sz w:val="24"/>
                <w:lang w:val="zh-CN"/>
              </w:rPr>
              <w:t>）</w:t>
            </w:r>
            <w:r>
              <w:rPr>
                <w:rFonts w:hint="eastAsia" w:ascii="宋体" w:hAnsi="宋体" w:cs="宋体"/>
                <w:color w:val="auto"/>
                <w:sz w:val="24"/>
                <w:lang w:val="zh-CN"/>
              </w:rPr>
              <w:t>。</w:t>
            </w:r>
          </w:p>
          <w:p>
            <w:pPr>
              <w:numPr>
                <w:ilvl w:val="0"/>
                <w:numId w:val="0"/>
              </w:numPr>
              <w:spacing w:line="360" w:lineRule="auto"/>
              <w:rPr>
                <w:rFonts w:hint="eastAsia" w:ascii="宋体" w:hAnsi="宋体" w:eastAsia="宋体" w:cs="宋体"/>
                <w:color w:val="auto"/>
                <w:sz w:val="24"/>
                <w:szCs w:val="24"/>
              </w:rPr>
            </w:pPr>
            <w:r>
              <w:rPr>
                <w:rFonts w:hint="eastAsia" w:ascii="宋体" w:hAnsi="宋体" w:cs="宋体"/>
                <w:color w:val="auto"/>
                <w:sz w:val="24"/>
                <w:lang w:val="en-US" w:eastAsia="zh-CN"/>
              </w:rPr>
              <w:t>以上证明材料均要求加盖投标人公章，</w:t>
            </w:r>
            <w:r>
              <w:rPr>
                <w:rFonts w:hint="eastAsia" w:ascii="宋体" w:hAnsi="宋体" w:eastAsia="宋体" w:cs="宋体"/>
                <w:color w:val="auto"/>
                <w:sz w:val="24"/>
                <w:lang w:val="zh-CN"/>
              </w:rPr>
              <w:t>原件备查。评分中出现无证明资料或专家无法凭所提供资料判断是否得分的情况，一律不得分。</w:t>
            </w:r>
          </w:p>
        </w:tc>
        <w:tc>
          <w:tcPr>
            <w:tcW w:w="901" w:type="dxa"/>
            <w:noWrap w:val="0"/>
            <w:vAlign w:val="center"/>
          </w:tcPr>
          <w:p>
            <w:pPr>
              <w:widowControl/>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拟安排的项目主要团队成员情况（项目负责人除外）</w:t>
            </w:r>
          </w:p>
        </w:tc>
        <w:tc>
          <w:tcPr>
            <w:tcW w:w="5907" w:type="dxa"/>
            <w:shd w:val="clear" w:color="auto" w:fill="auto"/>
            <w:noWrap w:val="0"/>
            <w:vAlign w:val="center"/>
          </w:tcPr>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评分内容：</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1、具备</w:t>
            </w:r>
            <w:r>
              <w:rPr>
                <w:rFonts w:hint="eastAsia" w:ascii="宋体" w:hAnsi="宋体" w:cs="宋体"/>
                <w:color w:val="auto"/>
                <w:sz w:val="24"/>
                <w:lang w:val="en-US" w:eastAsia="zh-CN"/>
              </w:rPr>
              <w:t>本科及</w:t>
            </w:r>
            <w:r>
              <w:rPr>
                <w:rFonts w:hint="eastAsia" w:ascii="宋体" w:hAnsi="宋体" w:cs="宋体"/>
                <w:color w:val="auto"/>
                <w:sz w:val="24"/>
                <w:lang w:val="zh-CN"/>
              </w:rPr>
              <w:t>以上</w:t>
            </w:r>
            <w:r>
              <w:rPr>
                <w:rFonts w:hint="eastAsia" w:ascii="宋体" w:hAnsi="宋体" w:eastAsia="宋体" w:cs="宋体"/>
                <w:color w:val="auto"/>
                <w:sz w:val="24"/>
                <w:lang w:val="zh-CN"/>
              </w:rPr>
              <w:t>学历的，每</w:t>
            </w:r>
            <w:r>
              <w:rPr>
                <w:rFonts w:hint="eastAsia" w:ascii="宋体" w:hAnsi="宋体" w:eastAsia="宋体" w:cs="宋体"/>
                <w:color w:val="auto"/>
                <w:sz w:val="24"/>
                <w:lang w:val="en-US" w:eastAsia="zh-CN"/>
              </w:rPr>
              <w:t>1人</w:t>
            </w:r>
            <w:r>
              <w:rPr>
                <w:rFonts w:hint="eastAsia" w:ascii="宋体" w:hAnsi="宋体" w:eastAsia="宋体" w:cs="宋体"/>
                <w:color w:val="auto"/>
                <w:sz w:val="24"/>
                <w:lang w:val="zh-CN"/>
              </w:rPr>
              <w:t>得1分，最高得3分；</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2、具备中级（及以上）统计师</w:t>
            </w:r>
            <w:r>
              <w:rPr>
                <w:rFonts w:hint="eastAsia" w:ascii="宋体" w:hAnsi="宋体" w:eastAsia="宋体" w:cs="宋体"/>
                <w:color w:val="auto"/>
                <w:sz w:val="24"/>
                <w:lang w:val="en-US" w:eastAsia="zh-CN"/>
              </w:rPr>
              <w:t>证书</w:t>
            </w:r>
            <w:r>
              <w:rPr>
                <w:rFonts w:hint="eastAsia" w:ascii="宋体" w:hAnsi="宋体" w:eastAsia="宋体" w:cs="宋体"/>
                <w:color w:val="auto"/>
                <w:sz w:val="24"/>
                <w:lang w:val="zh-CN"/>
              </w:rPr>
              <w:t>的，每</w:t>
            </w:r>
            <w:r>
              <w:rPr>
                <w:rFonts w:hint="eastAsia" w:ascii="宋体" w:hAnsi="宋体" w:eastAsia="宋体" w:cs="宋体"/>
                <w:color w:val="auto"/>
                <w:sz w:val="24"/>
                <w:lang w:val="en-US" w:eastAsia="zh-CN"/>
              </w:rPr>
              <w:t>1人</w:t>
            </w:r>
            <w:r>
              <w:rPr>
                <w:rFonts w:hint="eastAsia" w:ascii="宋体" w:hAnsi="宋体" w:eastAsia="宋体" w:cs="宋体"/>
                <w:color w:val="auto"/>
                <w:sz w:val="24"/>
                <w:lang w:val="zh-CN"/>
              </w:rPr>
              <w:t>得1</w:t>
            </w:r>
            <w:r>
              <w:rPr>
                <w:rFonts w:hint="eastAsia" w:ascii="宋体" w:hAnsi="宋体" w:cs="宋体"/>
                <w:color w:val="auto"/>
                <w:sz w:val="24"/>
                <w:lang w:val="en-US" w:eastAsia="zh-CN"/>
              </w:rPr>
              <w:t>.5</w:t>
            </w:r>
            <w:r>
              <w:rPr>
                <w:rFonts w:hint="eastAsia" w:ascii="宋体" w:hAnsi="宋体" w:eastAsia="宋体" w:cs="宋体"/>
                <w:color w:val="auto"/>
                <w:sz w:val="24"/>
                <w:lang w:val="zh-CN"/>
              </w:rPr>
              <w:t>分，最高得</w:t>
            </w:r>
            <w:r>
              <w:rPr>
                <w:rFonts w:hint="eastAsia" w:ascii="宋体" w:hAnsi="宋体" w:cs="宋体"/>
                <w:color w:val="auto"/>
                <w:sz w:val="24"/>
                <w:lang w:val="en-US" w:eastAsia="zh-CN"/>
              </w:rPr>
              <w:t>3</w:t>
            </w:r>
            <w:r>
              <w:rPr>
                <w:rFonts w:hint="eastAsia" w:ascii="宋体" w:hAnsi="宋体" w:eastAsia="宋体" w:cs="宋体"/>
                <w:color w:val="auto"/>
                <w:sz w:val="24"/>
                <w:lang w:val="zh-CN"/>
              </w:rPr>
              <w:t>分；</w:t>
            </w:r>
          </w:p>
          <w:p>
            <w:pPr>
              <w:spacing w:line="360" w:lineRule="auto"/>
              <w:rPr>
                <w:rFonts w:hint="eastAsia" w:ascii="宋体" w:hAnsi="宋体" w:eastAsia="宋体" w:cs="宋体"/>
                <w:color w:val="auto"/>
                <w:sz w:val="24"/>
                <w:lang w:val="zh-CN"/>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具备中级</w:t>
            </w:r>
            <w:r>
              <w:rPr>
                <w:rFonts w:hint="eastAsia" w:ascii="宋体" w:hAnsi="宋体" w:eastAsia="宋体" w:cs="宋体"/>
                <w:color w:val="auto"/>
                <w:sz w:val="24"/>
                <w:lang w:val="zh-CN"/>
              </w:rPr>
              <w:t>（及以上）</w:t>
            </w:r>
            <w:r>
              <w:rPr>
                <w:rFonts w:hint="eastAsia" w:ascii="宋体" w:hAnsi="宋体" w:cs="宋体"/>
                <w:color w:val="auto"/>
                <w:sz w:val="24"/>
                <w:lang w:val="en-US" w:eastAsia="zh-CN"/>
              </w:rPr>
              <w:t>大</w:t>
            </w:r>
            <w:r>
              <w:rPr>
                <w:rFonts w:hint="eastAsia" w:ascii="宋体" w:hAnsi="宋体" w:eastAsia="宋体" w:cs="宋体"/>
                <w:color w:val="auto"/>
                <w:sz w:val="24"/>
                <w:lang w:val="en-US" w:eastAsia="zh-CN"/>
              </w:rPr>
              <w:t>数据分析师</w:t>
            </w:r>
            <w:r>
              <w:rPr>
                <w:rFonts w:hint="eastAsia" w:ascii="宋体" w:hAnsi="宋体" w:cs="宋体"/>
                <w:color w:val="auto"/>
                <w:sz w:val="24"/>
                <w:lang w:val="en-US" w:eastAsia="zh-CN"/>
              </w:rPr>
              <w:t>或大数据工程师</w:t>
            </w:r>
            <w:r>
              <w:rPr>
                <w:rFonts w:hint="eastAsia" w:ascii="宋体" w:hAnsi="宋体" w:eastAsia="宋体" w:cs="宋体"/>
                <w:color w:val="auto"/>
                <w:sz w:val="24"/>
                <w:lang w:val="en-US" w:eastAsia="zh-CN"/>
              </w:rPr>
              <w:t>证书的，每1人得</w:t>
            </w:r>
            <w:r>
              <w:rPr>
                <w:rFonts w:hint="default" w:ascii="宋体" w:hAnsi="宋体" w:eastAsia="宋体" w:cs="宋体"/>
                <w:color w:val="auto"/>
                <w:sz w:val="24"/>
                <w:lang w:val="en-US" w:eastAsia="zh-CN"/>
              </w:rPr>
              <w:t>1</w:t>
            </w:r>
            <w:r>
              <w:rPr>
                <w:rFonts w:hint="eastAsia" w:ascii="宋体" w:hAnsi="宋体" w:eastAsia="宋体" w:cs="宋体"/>
                <w:color w:val="auto"/>
                <w:sz w:val="24"/>
                <w:lang w:val="en-US" w:eastAsia="zh-CN"/>
              </w:rPr>
              <w:t>分，最高得</w:t>
            </w: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分</w:t>
            </w:r>
            <w:r>
              <w:rPr>
                <w:rFonts w:hint="eastAsia" w:ascii="宋体" w:hAnsi="宋体" w:cs="宋体"/>
                <w:color w:val="auto"/>
                <w:sz w:val="24"/>
                <w:lang w:val="en-US" w:eastAsia="zh-CN"/>
              </w:rPr>
              <w:t>；</w:t>
            </w:r>
          </w:p>
          <w:p>
            <w:pPr>
              <w:spacing w:line="360" w:lineRule="auto"/>
              <w:rPr>
                <w:rFonts w:hint="eastAsia" w:ascii="宋体" w:hAnsi="宋体" w:eastAsia="宋体" w:cs="宋体"/>
                <w:color w:val="auto"/>
                <w:sz w:val="24"/>
                <w:lang w:val="zh-CN"/>
              </w:rPr>
            </w:pPr>
            <w:r>
              <w:rPr>
                <w:rFonts w:hint="eastAsia" w:ascii="宋体" w:hAnsi="宋体" w:cs="宋体"/>
                <w:color w:val="auto"/>
                <w:sz w:val="24"/>
                <w:lang w:val="en-US" w:eastAsia="zh-CN"/>
              </w:rPr>
              <w:t>4</w:t>
            </w:r>
            <w:r>
              <w:rPr>
                <w:rFonts w:hint="eastAsia" w:ascii="宋体" w:hAnsi="宋体" w:eastAsia="宋体" w:cs="宋体"/>
                <w:color w:val="auto"/>
                <w:sz w:val="24"/>
                <w:lang w:val="zh-CN"/>
              </w:rPr>
              <w:t>、参与过</w:t>
            </w:r>
            <w:r>
              <w:rPr>
                <w:rFonts w:hint="eastAsia" w:ascii="宋体" w:hAnsi="宋体" w:cs="宋体"/>
                <w:color w:val="auto"/>
                <w:sz w:val="24"/>
                <w:lang w:val="en-US" w:eastAsia="zh-CN"/>
              </w:rPr>
              <w:t>统计分析类项目</w:t>
            </w:r>
            <w:r>
              <w:rPr>
                <w:rFonts w:hint="eastAsia" w:ascii="宋体" w:hAnsi="宋体" w:eastAsia="宋体" w:cs="宋体"/>
                <w:color w:val="auto"/>
                <w:sz w:val="24"/>
                <w:lang w:val="en-US" w:eastAsia="zh-CN"/>
              </w:rPr>
              <w:t>的</w:t>
            </w:r>
            <w:r>
              <w:rPr>
                <w:rFonts w:hint="eastAsia" w:ascii="宋体" w:hAnsi="宋体" w:eastAsia="宋体" w:cs="宋体"/>
                <w:color w:val="auto"/>
                <w:sz w:val="24"/>
                <w:lang w:val="zh-CN"/>
              </w:rPr>
              <w:t>，每</w:t>
            </w:r>
            <w:r>
              <w:rPr>
                <w:rFonts w:hint="eastAsia" w:ascii="宋体" w:hAnsi="宋体" w:eastAsia="宋体" w:cs="宋体"/>
                <w:color w:val="auto"/>
                <w:sz w:val="24"/>
                <w:lang w:val="en-US" w:eastAsia="zh-CN"/>
              </w:rPr>
              <w:t>1人</w:t>
            </w:r>
            <w:r>
              <w:rPr>
                <w:rFonts w:hint="eastAsia" w:ascii="宋体" w:hAnsi="宋体" w:eastAsia="宋体" w:cs="宋体"/>
                <w:color w:val="auto"/>
                <w:sz w:val="24"/>
                <w:lang w:val="zh-CN"/>
              </w:rPr>
              <w:t>得</w:t>
            </w:r>
            <w:r>
              <w:rPr>
                <w:rFonts w:hint="eastAsia" w:ascii="宋体" w:hAnsi="宋体" w:cs="宋体"/>
                <w:color w:val="auto"/>
                <w:sz w:val="24"/>
                <w:lang w:val="en-US" w:eastAsia="zh-CN"/>
              </w:rPr>
              <w:t>0.5</w:t>
            </w:r>
            <w:r>
              <w:rPr>
                <w:rFonts w:hint="eastAsia" w:ascii="宋体" w:hAnsi="宋体" w:eastAsia="宋体" w:cs="宋体"/>
                <w:color w:val="auto"/>
                <w:sz w:val="24"/>
                <w:lang w:val="zh-CN"/>
              </w:rPr>
              <w:t>分，最高得</w:t>
            </w:r>
            <w:r>
              <w:rPr>
                <w:rFonts w:hint="eastAsia" w:ascii="宋体" w:hAnsi="宋体" w:cs="宋体"/>
                <w:color w:val="auto"/>
                <w:sz w:val="24"/>
                <w:lang w:val="en-US" w:eastAsia="zh-CN"/>
              </w:rPr>
              <w:t>2</w:t>
            </w:r>
            <w:r>
              <w:rPr>
                <w:rFonts w:hint="eastAsia" w:ascii="宋体" w:hAnsi="宋体" w:eastAsia="宋体" w:cs="宋体"/>
                <w:color w:val="auto"/>
                <w:sz w:val="24"/>
                <w:lang w:val="zh-CN"/>
              </w:rPr>
              <w:t>分。</w:t>
            </w:r>
            <w:r>
              <w:rPr>
                <w:rFonts w:hint="eastAsia" w:ascii="宋体" w:hAnsi="宋体" w:cs="宋体"/>
                <w:color w:val="auto"/>
                <w:sz w:val="24"/>
                <w:lang w:val="zh-CN"/>
              </w:rPr>
              <w:t>同一项目多人参与均可计分。</w:t>
            </w:r>
          </w:p>
          <w:p>
            <w:pPr>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以上</w:t>
            </w:r>
            <w:r>
              <w:rPr>
                <w:rFonts w:hint="eastAsia" w:ascii="宋体" w:hAnsi="宋体" w:cs="宋体"/>
                <w:color w:val="auto"/>
                <w:sz w:val="24"/>
                <w:lang w:val="en-US" w:eastAsia="zh-CN"/>
              </w:rPr>
              <w:t>4</w:t>
            </w:r>
            <w:r>
              <w:rPr>
                <w:rFonts w:hint="eastAsia" w:ascii="宋体" w:hAnsi="宋体" w:eastAsia="宋体" w:cs="宋体"/>
                <w:color w:val="auto"/>
                <w:sz w:val="24"/>
                <w:lang w:val="zh-CN"/>
              </w:rPr>
              <w:t>项累计得分，最高得1</w:t>
            </w:r>
            <w:r>
              <w:rPr>
                <w:rFonts w:hint="eastAsia" w:ascii="宋体" w:hAnsi="宋体" w:cs="宋体"/>
                <w:color w:val="auto"/>
                <w:sz w:val="24"/>
                <w:lang w:val="en-US" w:eastAsia="zh-CN"/>
              </w:rPr>
              <w:t>1</w:t>
            </w:r>
            <w:r>
              <w:rPr>
                <w:rFonts w:hint="eastAsia" w:ascii="宋体" w:hAnsi="宋体" w:eastAsia="宋体" w:cs="宋体"/>
                <w:color w:val="auto"/>
                <w:sz w:val="24"/>
                <w:lang w:val="zh-CN"/>
              </w:rPr>
              <w:t>分。</w:t>
            </w:r>
          </w:p>
          <w:p>
            <w:pPr>
              <w:widowControl/>
              <w:spacing w:line="360" w:lineRule="auto"/>
              <w:rPr>
                <w:rFonts w:hint="eastAsia" w:ascii="宋体" w:hAnsi="宋体" w:eastAsia="宋体" w:cs="宋体"/>
                <w:color w:val="auto"/>
                <w:sz w:val="24"/>
                <w:lang w:val="zh-CN"/>
              </w:rPr>
            </w:pPr>
            <w:r>
              <w:rPr>
                <w:rFonts w:hint="eastAsia" w:ascii="宋体" w:hAnsi="宋体" w:eastAsia="宋体" w:cs="宋体"/>
                <w:color w:val="auto"/>
                <w:sz w:val="24"/>
                <w:lang w:val="zh-CN"/>
              </w:rPr>
              <w:t>评分依据：</w:t>
            </w:r>
          </w:p>
          <w:p>
            <w:pPr>
              <w:spacing w:line="360" w:lineRule="auto"/>
              <w:rPr>
                <w:rFonts w:hint="eastAsia" w:ascii="宋体" w:hAnsi="宋体" w:cs="宋体"/>
                <w:color w:val="auto"/>
                <w:sz w:val="24"/>
                <w:lang w:val="zh-CN"/>
              </w:rPr>
            </w:pPr>
            <w:r>
              <w:rPr>
                <w:rFonts w:hint="eastAsia" w:ascii="宋体" w:hAnsi="宋体" w:cs="宋体"/>
                <w:color w:val="auto"/>
                <w:sz w:val="24"/>
                <w:lang w:val="en-US" w:eastAsia="zh-CN"/>
              </w:rPr>
              <w:t>1、</w:t>
            </w:r>
            <w:r>
              <w:rPr>
                <w:rFonts w:hint="eastAsia" w:ascii="宋体" w:hAnsi="宋体" w:eastAsia="宋体" w:cs="宋体"/>
                <w:color w:val="auto"/>
                <w:sz w:val="24"/>
                <w:lang w:val="zh-CN"/>
              </w:rPr>
              <w:t>投标人须提供</w:t>
            </w:r>
            <w:r>
              <w:rPr>
                <w:rFonts w:hint="eastAsia" w:ascii="宋体" w:hAnsi="宋体" w:eastAsia="宋体" w:cs="宋体"/>
                <w:color w:val="auto"/>
                <w:sz w:val="24"/>
                <w:lang w:val="en-US" w:eastAsia="zh-CN"/>
              </w:rPr>
              <w:t>毕业</w:t>
            </w:r>
            <w:r>
              <w:rPr>
                <w:rFonts w:hint="eastAsia" w:ascii="宋体" w:hAnsi="宋体" w:eastAsia="宋体" w:cs="宋体"/>
                <w:color w:val="auto"/>
                <w:sz w:val="24"/>
                <w:lang w:val="zh-CN"/>
              </w:rPr>
              <w:t>证书</w:t>
            </w:r>
            <w:r>
              <w:rPr>
                <w:rFonts w:hint="eastAsia" w:ascii="宋体" w:hAnsi="宋体" w:cs="宋体"/>
                <w:color w:val="auto"/>
                <w:sz w:val="24"/>
                <w:lang w:val="zh-CN"/>
              </w:rPr>
              <w:t>（</w:t>
            </w:r>
            <w:r>
              <w:rPr>
                <w:rFonts w:hint="eastAsia" w:ascii="宋体" w:hAnsi="宋体" w:cs="宋体"/>
                <w:color w:val="auto"/>
                <w:sz w:val="24"/>
                <w:lang w:val="en-US" w:eastAsia="zh-CN"/>
              </w:rPr>
              <w:t>或学历证书</w:t>
            </w:r>
            <w:r>
              <w:rPr>
                <w:rFonts w:hint="eastAsia" w:ascii="宋体" w:hAnsi="宋体" w:cs="宋体"/>
                <w:color w:val="auto"/>
                <w:sz w:val="24"/>
                <w:lang w:val="zh-CN"/>
              </w:rPr>
              <w:t>）</w:t>
            </w:r>
            <w:r>
              <w:rPr>
                <w:rFonts w:hint="eastAsia" w:ascii="宋体" w:hAnsi="宋体" w:eastAsia="宋体" w:cs="宋体"/>
                <w:color w:val="auto"/>
                <w:sz w:val="24"/>
                <w:lang w:val="en-US" w:eastAsia="zh-CN"/>
              </w:rPr>
              <w:t>复印件</w:t>
            </w:r>
            <w:r>
              <w:rPr>
                <w:rFonts w:hint="eastAsia" w:ascii="宋体" w:hAnsi="宋体" w:eastAsia="宋体" w:cs="宋体"/>
                <w:color w:val="auto"/>
                <w:sz w:val="24"/>
                <w:szCs w:val="24"/>
                <w:lang w:val="en-US" w:eastAsia="zh-CN"/>
              </w:rPr>
              <w:t>及学信网查询截图，原件备查。对于较早颁发的学历证书，学信网无法查询的，除要求提供证书扫描件，需要提供其他佐证材料（如毕业院校、人社部门等颁发机构或监管机构等单位出具的证明）作为可以得分的依据。（若为境外留学学历，无需提供学信网查询记录，需提供教育部留学服务中心出具的学历学位认证书）</w:t>
            </w:r>
            <w:r>
              <w:rPr>
                <w:rFonts w:hint="eastAsia" w:ascii="宋体" w:hAnsi="宋体" w:cs="宋体"/>
                <w:color w:val="auto"/>
                <w:sz w:val="24"/>
                <w:lang w:val="zh-CN"/>
              </w:rPr>
              <w:t>。</w:t>
            </w:r>
          </w:p>
          <w:p>
            <w:pPr>
              <w:numPr>
                <w:ilvl w:val="0"/>
                <w:numId w:val="10"/>
              </w:num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zh-CN"/>
              </w:rPr>
              <w:t>职称证书、</w:t>
            </w:r>
            <w:r>
              <w:rPr>
                <w:rFonts w:hint="eastAsia" w:ascii="宋体" w:hAnsi="宋体" w:cs="宋体"/>
                <w:color w:val="auto"/>
                <w:sz w:val="24"/>
                <w:lang w:val="en-US" w:eastAsia="zh-CN"/>
              </w:rPr>
              <w:t>项目经验证明须</w:t>
            </w:r>
            <w:r>
              <w:rPr>
                <w:rFonts w:hint="eastAsia" w:ascii="宋体" w:hAnsi="宋体" w:eastAsia="宋体" w:cs="宋体"/>
                <w:color w:val="auto"/>
                <w:sz w:val="24"/>
                <w:lang w:val="en-US" w:eastAsia="zh-CN"/>
              </w:rPr>
              <w:t>提供合同关键页（</w:t>
            </w:r>
            <w:r>
              <w:rPr>
                <w:rFonts w:hint="eastAsia" w:ascii="宋体" w:hAnsi="宋体" w:eastAsia="宋体" w:cs="宋体"/>
                <w:color w:val="auto"/>
                <w:sz w:val="24"/>
                <w:lang w:val="zh-CN"/>
              </w:rPr>
              <w:t>包含</w:t>
            </w:r>
            <w:r>
              <w:rPr>
                <w:rFonts w:hint="eastAsia" w:ascii="宋体" w:hAnsi="宋体" w:cs="宋体"/>
                <w:color w:val="auto"/>
                <w:sz w:val="24"/>
                <w:lang w:val="en-US" w:eastAsia="zh-CN"/>
              </w:rPr>
              <w:t>项目名称</w:t>
            </w:r>
            <w:r>
              <w:rPr>
                <w:rFonts w:hint="eastAsia" w:ascii="宋体" w:hAnsi="宋体" w:eastAsia="宋体" w:cs="宋体"/>
                <w:color w:val="auto"/>
                <w:sz w:val="24"/>
                <w:lang w:val="zh-CN"/>
              </w:rPr>
              <w:t>、</w:t>
            </w:r>
            <w:r>
              <w:rPr>
                <w:rFonts w:hint="eastAsia" w:ascii="宋体" w:hAnsi="宋体" w:cs="宋体"/>
                <w:color w:val="auto"/>
                <w:sz w:val="24"/>
                <w:lang w:val="en-US" w:eastAsia="zh-CN"/>
              </w:rPr>
              <w:t>合作</w:t>
            </w:r>
            <w:r>
              <w:rPr>
                <w:rFonts w:hint="eastAsia" w:ascii="宋体" w:hAnsi="宋体" w:eastAsia="宋体" w:cs="宋体"/>
                <w:color w:val="auto"/>
                <w:sz w:val="24"/>
                <w:lang w:val="zh-CN"/>
              </w:rPr>
              <w:t>内容和</w:t>
            </w:r>
            <w:r>
              <w:rPr>
                <w:rFonts w:hint="eastAsia" w:ascii="宋体" w:hAnsi="宋体" w:cs="宋体"/>
                <w:color w:val="auto"/>
                <w:sz w:val="24"/>
                <w:lang w:val="en-US" w:eastAsia="zh-CN"/>
              </w:rPr>
              <w:t>合同双方</w:t>
            </w:r>
            <w:r>
              <w:rPr>
                <w:rFonts w:hint="eastAsia" w:ascii="宋体" w:hAnsi="宋体" w:eastAsia="宋体" w:cs="宋体"/>
                <w:color w:val="auto"/>
                <w:sz w:val="24"/>
                <w:lang w:val="zh-CN"/>
              </w:rPr>
              <w:t>盖章</w:t>
            </w:r>
            <w:r>
              <w:rPr>
                <w:rFonts w:hint="eastAsia" w:ascii="宋体" w:hAnsi="宋体" w:cs="宋体"/>
                <w:color w:val="auto"/>
                <w:sz w:val="24"/>
                <w:lang w:val="en-US" w:eastAsia="zh-CN"/>
              </w:rPr>
              <w:t>,体现人员名称</w:t>
            </w:r>
            <w:r>
              <w:rPr>
                <w:rFonts w:hint="eastAsia" w:ascii="宋体" w:hAnsi="宋体" w:eastAsia="宋体" w:cs="宋体"/>
                <w:color w:val="auto"/>
                <w:sz w:val="24"/>
                <w:lang w:val="en-US" w:eastAsia="zh-CN"/>
              </w:rPr>
              <w:t>），如合同无法体现人员</w:t>
            </w:r>
            <w:r>
              <w:rPr>
                <w:rFonts w:hint="eastAsia" w:ascii="宋体" w:hAnsi="宋体" w:cs="宋体"/>
                <w:color w:val="auto"/>
                <w:sz w:val="24"/>
                <w:lang w:val="en-US" w:eastAsia="zh-CN"/>
              </w:rPr>
              <w:t>信息</w:t>
            </w:r>
            <w:r>
              <w:rPr>
                <w:rFonts w:hint="eastAsia" w:ascii="宋体" w:hAnsi="宋体" w:eastAsia="宋体" w:cs="宋体"/>
                <w:color w:val="auto"/>
                <w:sz w:val="24"/>
                <w:lang w:val="en-US" w:eastAsia="zh-CN"/>
              </w:rPr>
              <w:t>，须同时提供合同采购人出具的证明复印件加盖公章</w:t>
            </w:r>
            <w:r>
              <w:rPr>
                <w:rFonts w:hint="eastAsia" w:ascii="宋体" w:hAnsi="宋体" w:cs="宋体"/>
                <w:color w:val="auto"/>
                <w:sz w:val="24"/>
                <w:lang w:val="en-US" w:eastAsia="zh-CN"/>
              </w:rPr>
              <w:t>。</w:t>
            </w:r>
          </w:p>
          <w:p>
            <w:pPr>
              <w:numPr>
                <w:ilvl w:val="0"/>
                <w:numId w:val="10"/>
              </w:numPr>
              <w:spacing w:line="360" w:lineRule="auto"/>
              <w:rPr>
                <w:rFonts w:hint="eastAsia" w:ascii="宋体" w:hAnsi="宋体" w:eastAsia="宋体" w:cs="宋体"/>
                <w:color w:val="auto"/>
                <w:kern w:val="0"/>
                <w:sz w:val="24"/>
                <w:szCs w:val="24"/>
              </w:rPr>
            </w:pPr>
            <w:r>
              <w:rPr>
                <w:rFonts w:hint="eastAsia" w:ascii="宋体" w:hAnsi="宋体" w:cs="宋体"/>
                <w:color w:val="auto"/>
                <w:sz w:val="24"/>
                <w:lang w:val="en-US" w:eastAsia="zh-CN"/>
              </w:rPr>
              <w:t>提供</w:t>
            </w:r>
            <w:r>
              <w:rPr>
                <w:rFonts w:hint="eastAsia" w:ascii="宋体" w:hAnsi="宋体" w:eastAsia="宋体" w:cs="宋体"/>
                <w:color w:val="auto"/>
                <w:sz w:val="24"/>
                <w:lang w:val="zh-CN"/>
              </w:rPr>
              <w:t>近</w:t>
            </w:r>
            <w:r>
              <w:rPr>
                <w:rFonts w:hint="eastAsia" w:ascii="宋体" w:hAnsi="宋体" w:eastAsia="宋体" w:cs="宋体"/>
                <w:color w:val="auto"/>
                <w:sz w:val="24"/>
              </w:rPr>
              <w:t>3</w:t>
            </w:r>
            <w:r>
              <w:rPr>
                <w:rFonts w:hint="eastAsia" w:ascii="宋体" w:hAnsi="宋体" w:eastAsia="宋体" w:cs="宋体"/>
                <w:color w:val="auto"/>
                <w:sz w:val="24"/>
                <w:lang w:val="zh-CN"/>
              </w:rPr>
              <w:t>个月</w:t>
            </w:r>
            <w:r>
              <w:rPr>
                <w:rFonts w:hint="eastAsia" w:ascii="宋体" w:hAnsi="宋体" w:eastAsia="宋体" w:cs="宋体"/>
                <w:color w:val="auto"/>
                <w:sz w:val="24"/>
              </w:rPr>
              <w:t>任意一个月</w:t>
            </w:r>
            <w:r>
              <w:rPr>
                <w:rFonts w:hint="eastAsia" w:ascii="宋体" w:hAnsi="宋体" w:eastAsia="宋体" w:cs="宋体"/>
                <w:color w:val="auto"/>
                <w:sz w:val="24"/>
                <w:lang w:val="zh-CN"/>
              </w:rPr>
              <w:t>社保证明并加盖公章（</w:t>
            </w:r>
            <w:r>
              <w:rPr>
                <w:rFonts w:hint="eastAsia" w:ascii="宋体" w:hAnsi="宋体" w:eastAsia="宋体" w:cs="宋体"/>
                <w:b w:val="0"/>
                <w:bCs w:val="0"/>
                <w:color w:val="auto"/>
                <w:sz w:val="24"/>
                <w:szCs w:val="24"/>
                <w:lang w:val="zh-CN"/>
              </w:rPr>
              <w:t>如供应商为新成立单位且成立时间不足一个月的，可提供加盖公章的情况说明亦视为符合</w:t>
            </w:r>
            <w:r>
              <w:rPr>
                <w:rFonts w:hint="eastAsia" w:ascii="宋体" w:hAnsi="宋体" w:cs="宋体"/>
                <w:b w:val="0"/>
                <w:bCs w:val="0"/>
                <w:color w:val="auto"/>
                <w:sz w:val="24"/>
                <w:szCs w:val="24"/>
                <w:lang w:val="zh-CN"/>
              </w:rPr>
              <w:t>，</w:t>
            </w:r>
            <w:r>
              <w:rPr>
                <w:rFonts w:hint="default" w:ascii="宋体" w:hAnsi="宋体" w:eastAsia="宋体" w:cs="宋体"/>
                <w:color w:val="auto"/>
                <w:sz w:val="24"/>
                <w:szCs w:val="24"/>
                <w:lang w:val="en-US" w:eastAsia="zh-CN"/>
              </w:rPr>
              <w:t>如为退休返聘人员提供退休证明和聘用合同</w:t>
            </w:r>
            <w:r>
              <w:rPr>
                <w:rFonts w:hint="eastAsia" w:ascii="宋体" w:hAnsi="宋体" w:eastAsia="宋体" w:cs="宋体"/>
                <w:b w:val="0"/>
                <w:bCs w:val="0"/>
                <w:color w:val="auto"/>
                <w:sz w:val="24"/>
                <w:szCs w:val="24"/>
                <w:lang w:val="zh-CN"/>
              </w:rPr>
              <w:t>亦视为符合</w:t>
            </w:r>
            <w:r>
              <w:rPr>
                <w:rFonts w:hint="eastAsia" w:ascii="宋体" w:hAnsi="宋体" w:eastAsia="宋体" w:cs="宋体"/>
                <w:color w:val="auto"/>
                <w:sz w:val="24"/>
                <w:lang w:val="zh-CN"/>
              </w:rPr>
              <w:t>）</w:t>
            </w:r>
            <w:r>
              <w:rPr>
                <w:rFonts w:hint="eastAsia" w:ascii="宋体" w:hAnsi="宋体" w:cs="宋体"/>
                <w:color w:val="auto"/>
                <w:sz w:val="24"/>
                <w:lang w:val="zh-CN"/>
              </w:rPr>
              <w:t>。</w:t>
            </w:r>
          </w:p>
          <w:p>
            <w:pPr>
              <w:numPr>
                <w:ilvl w:val="0"/>
                <w:numId w:val="0"/>
              </w:numPr>
              <w:spacing w:line="360" w:lineRule="auto"/>
              <w:rPr>
                <w:rFonts w:hint="eastAsia" w:ascii="宋体" w:hAnsi="宋体" w:eastAsia="宋体" w:cs="宋体"/>
                <w:color w:val="auto"/>
                <w:kern w:val="0"/>
                <w:sz w:val="24"/>
                <w:szCs w:val="24"/>
              </w:rPr>
            </w:pPr>
            <w:r>
              <w:rPr>
                <w:rFonts w:hint="eastAsia" w:ascii="宋体" w:hAnsi="宋体" w:cs="宋体"/>
                <w:color w:val="auto"/>
                <w:sz w:val="24"/>
                <w:lang w:val="en-US" w:eastAsia="zh-CN"/>
              </w:rPr>
              <w:t>4、以上证明材料均要求加盖投标人公章，原件备查。</w:t>
            </w:r>
            <w:r>
              <w:rPr>
                <w:rFonts w:hint="eastAsia" w:ascii="宋体" w:hAnsi="宋体" w:eastAsia="宋体" w:cs="宋体"/>
                <w:color w:val="auto"/>
                <w:sz w:val="24"/>
                <w:lang w:val="zh-CN"/>
              </w:rPr>
              <w:t>评分中出现无证明资料或专家无法凭所提供资料判断是否得分的情况，一律不得分。</w:t>
            </w:r>
          </w:p>
        </w:tc>
        <w:tc>
          <w:tcPr>
            <w:tcW w:w="901"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cs="宋体"/>
                <w:color w:val="auto"/>
                <w:sz w:val="24"/>
                <w:lang w:val="en-US" w:eastAsia="zh-CN"/>
              </w:rPr>
              <w:t>1</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68"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zh-CN"/>
              </w:rPr>
              <w:t>自主知识产权产品（创新、设计）情况</w:t>
            </w:r>
          </w:p>
        </w:tc>
        <w:tc>
          <w:tcPr>
            <w:tcW w:w="5907" w:type="dxa"/>
            <w:shd w:val="clear" w:color="auto" w:fill="auto"/>
            <w:noWrap w:val="0"/>
            <w:vAlign w:val="center"/>
          </w:tcPr>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评审内容：</w:t>
            </w:r>
          </w:p>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具有统计</w:t>
            </w:r>
            <w:r>
              <w:rPr>
                <w:rFonts w:hint="eastAsia" w:ascii="宋体" w:hAnsi="宋体" w:cs="宋体"/>
                <w:color w:val="auto"/>
                <w:sz w:val="24"/>
                <w:lang w:val="en-US" w:eastAsia="zh-CN"/>
              </w:rPr>
              <w:t>分析</w:t>
            </w:r>
            <w:r>
              <w:rPr>
                <w:rFonts w:hint="eastAsia" w:ascii="宋体" w:hAnsi="宋体" w:eastAsia="宋体" w:cs="宋体"/>
                <w:color w:val="auto"/>
                <w:sz w:val="24"/>
                <w:lang w:val="zh-CN"/>
              </w:rPr>
              <w:t>类或</w:t>
            </w:r>
            <w:r>
              <w:rPr>
                <w:rFonts w:hint="eastAsia" w:ascii="宋体" w:hAnsi="宋体" w:cs="宋体"/>
                <w:color w:val="auto"/>
                <w:sz w:val="24"/>
                <w:lang w:val="en-US" w:eastAsia="zh-CN"/>
              </w:rPr>
              <w:t>数据服务</w:t>
            </w:r>
            <w:r>
              <w:rPr>
                <w:rFonts w:hint="eastAsia" w:ascii="宋体" w:hAnsi="宋体" w:eastAsia="宋体" w:cs="宋体"/>
                <w:color w:val="auto"/>
                <w:sz w:val="24"/>
                <w:lang w:val="zh-CN"/>
              </w:rPr>
              <w:t>类</w:t>
            </w:r>
            <w:r>
              <w:rPr>
                <w:rFonts w:hint="eastAsia" w:ascii="宋体" w:hAnsi="宋体" w:cs="宋体"/>
                <w:color w:val="auto"/>
                <w:sz w:val="24"/>
                <w:lang w:val="en-US" w:eastAsia="zh-CN"/>
              </w:rPr>
              <w:t>或动态监测类</w:t>
            </w:r>
            <w:r>
              <w:rPr>
                <w:rFonts w:hint="eastAsia" w:ascii="宋体" w:hAnsi="宋体" w:eastAsia="宋体" w:cs="宋体"/>
                <w:color w:val="auto"/>
                <w:sz w:val="24"/>
                <w:lang w:val="zh-CN"/>
              </w:rPr>
              <w:t>软件著作权的，每</w:t>
            </w:r>
            <w:r>
              <w:rPr>
                <w:rFonts w:hint="eastAsia" w:ascii="宋体" w:hAnsi="宋体" w:cs="宋体"/>
                <w:color w:val="auto"/>
                <w:sz w:val="24"/>
                <w:lang w:val="en-US" w:eastAsia="zh-CN"/>
              </w:rPr>
              <w:t>1</w:t>
            </w:r>
            <w:r>
              <w:rPr>
                <w:rFonts w:hint="eastAsia" w:ascii="宋体" w:hAnsi="宋体" w:eastAsia="宋体" w:cs="宋体"/>
                <w:color w:val="auto"/>
                <w:sz w:val="24"/>
                <w:lang w:val="zh-CN"/>
              </w:rPr>
              <w:t>个</w:t>
            </w:r>
            <w:r>
              <w:rPr>
                <w:rFonts w:hint="eastAsia" w:ascii="宋体" w:hAnsi="宋体" w:cs="宋体"/>
                <w:color w:val="auto"/>
                <w:sz w:val="24"/>
                <w:lang w:val="en-US" w:eastAsia="zh-CN"/>
              </w:rPr>
              <w:t>类型</w:t>
            </w:r>
            <w:r>
              <w:rPr>
                <w:rFonts w:hint="eastAsia" w:ascii="宋体" w:hAnsi="宋体" w:eastAsia="宋体" w:cs="宋体"/>
                <w:color w:val="auto"/>
                <w:sz w:val="24"/>
                <w:lang w:val="zh-CN"/>
              </w:rPr>
              <w:t>得1分，最高得3分；</w:t>
            </w:r>
          </w:p>
          <w:p>
            <w:pPr>
              <w:widowControl/>
              <w:numPr>
                <w:ilvl w:val="0"/>
                <w:numId w:val="11"/>
              </w:numPr>
              <w:spacing w:line="360" w:lineRule="auto"/>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具有数据</w:t>
            </w:r>
            <w:r>
              <w:rPr>
                <w:rFonts w:hint="eastAsia" w:ascii="宋体" w:hAnsi="宋体" w:cs="宋体"/>
                <w:color w:val="auto"/>
                <w:sz w:val="24"/>
                <w:lang w:val="en-US" w:eastAsia="zh-CN"/>
              </w:rPr>
              <w:t>分析</w:t>
            </w:r>
            <w:r>
              <w:rPr>
                <w:rFonts w:hint="eastAsia" w:ascii="宋体" w:hAnsi="宋体" w:eastAsia="宋体" w:cs="宋体"/>
                <w:color w:val="auto"/>
                <w:sz w:val="24"/>
                <w:lang w:val="en-US" w:eastAsia="zh-CN"/>
              </w:rPr>
              <w:t>类（</w:t>
            </w:r>
            <w:r>
              <w:rPr>
                <w:rFonts w:hint="eastAsia" w:ascii="宋体" w:hAnsi="宋体" w:cs="宋体"/>
                <w:color w:val="auto"/>
                <w:sz w:val="24"/>
                <w:lang w:val="en-US" w:eastAsia="zh-CN"/>
              </w:rPr>
              <w:t>名称或内容</w:t>
            </w:r>
            <w:r>
              <w:rPr>
                <w:rFonts w:hint="eastAsia" w:ascii="宋体" w:hAnsi="宋体" w:eastAsia="宋体" w:cs="宋体"/>
                <w:color w:val="auto"/>
                <w:sz w:val="24"/>
                <w:lang w:val="en-US" w:eastAsia="zh-CN"/>
              </w:rPr>
              <w:t>须包</w:t>
            </w:r>
            <w:r>
              <w:rPr>
                <w:rFonts w:hint="eastAsia" w:ascii="宋体" w:hAnsi="宋体" w:cs="宋体"/>
                <w:color w:val="auto"/>
                <w:sz w:val="24"/>
                <w:lang w:val="en-US" w:eastAsia="zh-CN"/>
              </w:rPr>
              <w:t>含数据分析</w:t>
            </w:r>
            <w:r>
              <w:rPr>
                <w:rFonts w:hint="eastAsia" w:ascii="宋体" w:hAnsi="宋体" w:eastAsia="宋体" w:cs="宋体"/>
                <w:color w:val="auto"/>
                <w:sz w:val="24"/>
                <w:lang w:val="en-US" w:eastAsia="zh-CN"/>
              </w:rPr>
              <w:t>）发明专利的，每1个得2分，最高得2分；</w:t>
            </w:r>
          </w:p>
          <w:p>
            <w:pPr>
              <w:widowControl/>
              <w:numPr>
                <w:ilvl w:val="0"/>
                <w:numId w:val="11"/>
              </w:numPr>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具有</w:t>
            </w:r>
            <w:r>
              <w:rPr>
                <w:rFonts w:hint="eastAsia" w:ascii="宋体" w:hAnsi="宋体" w:cs="宋体"/>
                <w:color w:val="auto"/>
                <w:sz w:val="24"/>
                <w:lang w:val="en-US" w:eastAsia="zh-CN"/>
              </w:rPr>
              <w:t>经济</w:t>
            </w:r>
            <w:r>
              <w:rPr>
                <w:rFonts w:hint="eastAsia" w:ascii="宋体" w:hAnsi="宋体" w:eastAsia="宋体" w:cs="宋体"/>
                <w:color w:val="auto"/>
                <w:sz w:val="24"/>
                <w:lang w:val="en-US" w:eastAsia="zh-CN"/>
              </w:rPr>
              <w:t>类（</w:t>
            </w:r>
            <w:r>
              <w:rPr>
                <w:rFonts w:hint="eastAsia" w:ascii="宋体" w:hAnsi="宋体" w:cs="宋体"/>
                <w:color w:val="auto"/>
                <w:sz w:val="24"/>
                <w:lang w:val="en-US" w:eastAsia="zh-CN"/>
              </w:rPr>
              <w:t>名称</w:t>
            </w:r>
            <w:r>
              <w:rPr>
                <w:rFonts w:hint="eastAsia" w:ascii="宋体" w:hAnsi="宋体" w:eastAsia="宋体" w:cs="宋体"/>
                <w:color w:val="auto"/>
                <w:sz w:val="24"/>
                <w:lang w:val="en-US" w:eastAsia="zh-CN"/>
              </w:rPr>
              <w:t>须包</w:t>
            </w:r>
            <w:r>
              <w:rPr>
                <w:rFonts w:hint="eastAsia" w:ascii="宋体" w:hAnsi="宋体" w:cs="宋体"/>
                <w:color w:val="auto"/>
                <w:sz w:val="24"/>
                <w:lang w:val="en-US" w:eastAsia="zh-CN"/>
              </w:rPr>
              <w:t>含经济指标相关</w:t>
            </w:r>
            <w:r>
              <w:rPr>
                <w:rFonts w:hint="eastAsia" w:ascii="宋体" w:hAnsi="宋体" w:eastAsia="宋体" w:cs="宋体"/>
                <w:color w:val="auto"/>
                <w:sz w:val="24"/>
                <w:lang w:val="en-US" w:eastAsia="zh-CN"/>
              </w:rPr>
              <w:t>或投资分析</w:t>
            </w:r>
            <w:r>
              <w:rPr>
                <w:rFonts w:hint="eastAsia" w:ascii="宋体" w:hAnsi="宋体" w:cs="宋体"/>
                <w:color w:val="auto"/>
                <w:sz w:val="24"/>
                <w:lang w:val="en-US" w:eastAsia="zh-CN"/>
              </w:rPr>
              <w:t>相关或动态分析相关</w:t>
            </w:r>
            <w:r>
              <w:rPr>
                <w:rFonts w:hint="eastAsia" w:ascii="宋体" w:hAnsi="宋体" w:eastAsia="宋体" w:cs="宋体"/>
                <w:color w:val="auto"/>
                <w:sz w:val="24"/>
                <w:lang w:val="en-US" w:eastAsia="zh-CN"/>
              </w:rPr>
              <w:t>）数据知识产权的，每1个</w:t>
            </w:r>
            <w:r>
              <w:rPr>
                <w:rFonts w:hint="eastAsia" w:ascii="宋体" w:hAnsi="宋体" w:cs="宋体"/>
                <w:color w:val="auto"/>
                <w:sz w:val="24"/>
                <w:lang w:val="en-US" w:eastAsia="zh-CN"/>
              </w:rPr>
              <w:t>类型</w:t>
            </w:r>
            <w:r>
              <w:rPr>
                <w:rFonts w:hint="eastAsia" w:ascii="宋体" w:hAnsi="宋体" w:eastAsia="宋体" w:cs="宋体"/>
                <w:color w:val="auto"/>
                <w:sz w:val="24"/>
                <w:lang w:val="en-US" w:eastAsia="zh-CN"/>
              </w:rPr>
              <w:t>得1分，最高得3分。</w:t>
            </w:r>
          </w:p>
          <w:p>
            <w:pPr>
              <w:widowControl/>
              <w:numPr>
                <w:ilvl w:val="-1"/>
                <w:numId w:val="0"/>
              </w:numPr>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en-US" w:eastAsia="zh-CN"/>
              </w:rPr>
              <w:t>以上3项累计得分，最高得8分。</w:t>
            </w:r>
          </w:p>
          <w:p>
            <w:pPr>
              <w:widowControl/>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评分依据：</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lang w:val="zh-CN"/>
              </w:rPr>
              <w:t>投标人</w:t>
            </w:r>
            <w:r>
              <w:rPr>
                <w:rFonts w:hint="eastAsia" w:ascii="宋体" w:hAnsi="宋体" w:eastAsia="宋体" w:cs="宋体"/>
                <w:color w:val="auto"/>
                <w:sz w:val="24"/>
                <w:lang w:val="en-US" w:eastAsia="zh-CN"/>
              </w:rPr>
              <w:t>自有的</w:t>
            </w:r>
            <w:r>
              <w:rPr>
                <w:rFonts w:hint="eastAsia" w:ascii="宋体" w:hAnsi="宋体" w:eastAsia="宋体" w:cs="宋体"/>
                <w:color w:val="auto"/>
                <w:sz w:val="24"/>
                <w:lang w:val="zh-CN"/>
              </w:rPr>
              <w:t>须提供计算机软件著作权登记证书、发明专利证书、数据知识产权登记证书扫描件（著作权人</w:t>
            </w:r>
            <w:r>
              <w:rPr>
                <w:rFonts w:hint="eastAsia" w:ascii="宋体" w:hAnsi="宋体" w:eastAsia="宋体" w:cs="宋体"/>
                <w:color w:val="auto"/>
                <w:sz w:val="24"/>
                <w:lang w:val="en-US" w:eastAsia="zh-CN"/>
              </w:rPr>
              <w:t>/专利权人/登记主体</w:t>
            </w:r>
            <w:r>
              <w:rPr>
                <w:rFonts w:hint="eastAsia" w:ascii="宋体" w:hAnsi="宋体" w:eastAsia="宋体" w:cs="宋体"/>
                <w:color w:val="auto"/>
                <w:sz w:val="24"/>
                <w:lang w:val="zh-CN"/>
              </w:rPr>
              <w:t>需为</w:t>
            </w:r>
            <w:r>
              <w:rPr>
                <w:rFonts w:hint="eastAsia" w:ascii="宋体" w:hAnsi="宋体" w:cs="宋体"/>
                <w:color w:val="auto"/>
                <w:sz w:val="24"/>
                <w:lang w:val="en-US" w:eastAsia="zh-CN"/>
              </w:rPr>
              <w:t>投标人</w:t>
            </w:r>
            <w:r>
              <w:rPr>
                <w:rFonts w:hint="eastAsia" w:ascii="宋体" w:hAnsi="宋体" w:eastAsia="宋体" w:cs="宋体"/>
                <w:color w:val="auto"/>
                <w:sz w:val="24"/>
                <w:lang w:val="zh-CN"/>
              </w:rPr>
              <w:t>），购买或租赁的提供专利证书或软件著作权登记证书</w:t>
            </w:r>
            <w:r>
              <w:rPr>
                <w:rFonts w:hint="eastAsia" w:ascii="宋体" w:hAnsi="宋体" w:eastAsia="宋体" w:cs="宋体"/>
                <w:color w:val="auto"/>
                <w:sz w:val="24"/>
                <w:lang w:val="en-US" w:eastAsia="zh-CN"/>
              </w:rPr>
              <w:t>或</w:t>
            </w:r>
            <w:r>
              <w:rPr>
                <w:rFonts w:hint="eastAsia" w:ascii="宋体" w:hAnsi="宋体" w:eastAsia="宋体" w:cs="宋体"/>
                <w:color w:val="auto"/>
                <w:sz w:val="24"/>
                <w:lang w:val="zh-CN"/>
              </w:rPr>
              <w:t>数据知识产权登记</w:t>
            </w:r>
            <w:r>
              <w:rPr>
                <w:rFonts w:hint="eastAsia" w:ascii="宋体" w:hAnsi="宋体" w:eastAsia="宋体" w:cs="宋体"/>
                <w:color w:val="auto"/>
                <w:sz w:val="24"/>
                <w:lang w:val="en-US" w:eastAsia="zh-CN"/>
              </w:rPr>
              <w:t>证书</w:t>
            </w:r>
            <w:r>
              <w:rPr>
                <w:rFonts w:hint="eastAsia" w:ascii="宋体" w:hAnsi="宋体" w:eastAsia="宋体" w:cs="宋体"/>
                <w:color w:val="auto"/>
                <w:sz w:val="24"/>
                <w:lang w:val="zh-CN"/>
              </w:rPr>
              <w:t>（著作权人</w:t>
            </w:r>
            <w:r>
              <w:rPr>
                <w:rFonts w:hint="eastAsia" w:ascii="宋体" w:hAnsi="宋体" w:eastAsia="宋体" w:cs="宋体"/>
                <w:color w:val="auto"/>
                <w:sz w:val="24"/>
                <w:lang w:val="en-US" w:eastAsia="zh-CN"/>
              </w:rPr>
              <w:t>/专利权人/登记主体</w:t>
            </w:r>
            <w:r>
              <w:rPr>
                <w:rFonts w:hint="eastAsia" w:ascii="宋体" w:hAnsi="宋体" w:eastAsia="宋体" w:cs="宋体"/>
                <w:color w:val="auto"/>
                <w:sz w:val="24"/>
                <w:lang w:val="zh-CN"/>
              </w:rPr>
              <w:t>需为出售或出租方）和提供购买合同或租赁合同。</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上述证书均需加盖公章，原件备查。</w:t>
            </w:r>
            <w:r>
              <w:rPr>
                <w:rFonts w:hint="eastAsia" w:ascii="宋体" w:hAnsi="宋体" w:eastAsia="宋体" w:cs="宋体"/>
                <w:color w:val="auto"/>
                <w:sz w:val="24"/>
                <w:lang w:val="zh-CN"/>
              </w:rPr>
              <w:t>评分中出现无证明资料或专家无法凭所提供资料判断是否得分的情况，一律不得分。</w:t>
            </w:r>
          </w:p>
        </w:tc>
        <w:tc>
          <w:tcPr>
            <w:tcW w:w="901" w:type="dxa"/>
            <w:noWrap w:val="0"/>
            <w:vAlign w:val="center"/>
          </w:tcPr>
          <w:p>
            <w:pPr>
              <w:widowControl/>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（一）评分内容：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1、投标人提供企业诚信声明与承诺加盖公章；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p>
        </w:tc>
        <w:tc>
          <w:tcPr>
            <w:tcW w:w="901"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1079"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三、技术部分（</w:t>
            </w:r>
            <w:r>
              <w:rPr>
                <w:rFonts w:hint="eastAsia" w:ascii="宋体" w:hAnsi="宋体" w:cs="宋体"/>
                <w:b/>
                <w:color w:val="auto"/>
                <w:sz w:val="24"/>
                <w:highlight w:val="none"/>
                <w:lang w:val="en-US" w:eastAsia="zh-CN"/>
              </w:rPr>
              <w:t>40</w:t>
            </w:r>
            <w:r>
              <w:rPr>
                <w:rFonts w:hint="eastAsia" w:ascii="宋体" w:hAnsi="宋体" w:cs="宋体"/>
                <w:b/>
                <w:color w:val="auto"/>
                <w:sz w:val="24"/>
                <w:highlight w:val="none"/>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需求理解</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评审内容：</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1、明确了解</w:t>
            </w:r>
            <w:r>
              <w:rPr>
                <w:rFonts w:hint="eastAsia" w:ascii="宋体" w:hAnsi="宋体" w:cs="宋体"/>
                <w:color w:val="auto"/>
                <w:sz w:val="24"/>
                <w:highlight w:val="none"/>
                <w:lang w:val="en-US" w:eastAsia="zh-CN"/>
              </w:rPr>
              <w:t>前海蛇口自贸区统计分析年度报告</w:t>
            </w:r>
            <w:r>
              <w:rPr>
                <w:rFonts w:hint="eastAsia" w:ascii="宋体" w:hAnsi="宋体" w:eastAsia="宋体" w:cs="宋体"/>
                <w:color w:val="auto"/>
                <w:sz w:val="24"/>
                <w:highlight w:val="none"/>
                <w:lang w:val="zh-CN"/>
              </w:rPr>
              <w:t>的时效、框架和内容的需求；</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2、明确了解</w:t>
            </w:r>
            <w:r>
              <w:rPr>
                <w:rFonts w:hint="eastAsia" w:ascii="宋体" w:hAnsi="宋体" w:cs="宋体"/>
                <w:color w:val="auto"/>
                <w:sz w:val="24"/>
                <w:highlight w:val="none"/>
                <w:lang w:val="en-US" w:eastAsia="zh-CN"/>
              </w:rPr>
              <w:t>前海蛇口自贸区月度数据</w:t>
            </w:r>
            <w:r>
              <w:rPr>
                <w:rFonts w:hint="eastAsia" w:ascii="宋体" w:hAnsi="宋体" w:eastAsia="宋体" w:cs="宋体"/>
                <w:color w:val="auto"/>
                <w:sz w:val="24"/>
                <w:highlight w:val="none"/>
                <w:lang w:val="zh-CN"/>
              </w:rPr>
              <w:t>报告的框架、内容和</w:t>
            </w:r>
            <w:r>
              <w:rPr>
                <w:rFonts w:hint="eastAsia" w:ascii="宋体" w:hAnsi="宋体" w:cs="宋体"/>
                <w:color w:val="auto"/>
                <w:sz w:val="24"/>
                <w:highlight w:val="none"/>
                <w:lang w:val="en-US" w:eastAsia="zh-CN"/>
              </w:rPr>
              <w:t>时效</w:t>
            </w:r>
            <w:r>
              <w:rPr>
                <w:rFonts w:hint="eastAsia" w:ascii="宋体" w:hAnsi="宋体" w:eastAsia="宋体" w:cs="宋体"/>
                <w:color w:val="auto"/>
                <w:sz w:val="24"/>
                <w:highlight w:val="none"/>
                <w:lang w:val="zh-CN"/>
              </w:rPr>
              <w:t>的需求；</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3、明确了解</w:t>
            </w:r>
            <w:r>
              <w:rPr>
                <w:rFonts w:hint="eastAsia" w:ascii="宋体" w:hAnsi="宋体" w:cs="宋体"/>
                <w:color w:val="auto"/>
                <w:sz w:val="24"/>
                <w:highlight w:val="none"/>
                <w:lang w:val="en-US" w:eastAsia="zh-CN"/>
              </w:rPr>
              <w:t>前海蛇口自贸区</w:t>
            </w:r>
            <w:r>
              <w:rPr>
                <w:rFonts w:hint="eastAsia" w:ascii="宋体" w:hAnsi="宋体" w:eastAsia="宋体" w:cs="宋体"/>
                <w:color w:val="auto"/>
                <w:sz w:val="24"/>
                <w:highlight w:val="none"/>
                <w:lang w:val="zh-CN"/>
              </w:rPr>
              <w:t>数据体系、标签和分类标准的需求。</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满足以上3项的得3分，满足以上2项的得2分，其他情况不得分。在此基础上，专家根据内容的合理性进行评分：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1、优：分析全面透彻，符合项目实际情况，针对性强、内容合理的评价为优，得5分；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2、良：分析较为透彻，较为符合项目实际情况，有一定针对性和说服力的评价为良，得3分；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3、中：分析基本符合实际，针对性和说服力一般的评价为中，得1分；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4、差：分析不到位、描述不清晰，缺乏针对性和说服力的或未提供的评价为差，</w:t>
            </w:r>
            <w:r>
              <w:rPr>
                <w:rFonts w:hint="eastAsia" w:ascii="宋体" w:hAnsi="宋体" w:eastAsia="宋体" w:cs="宋体"/>
                <w:color w:val="auto"/>
                <w:sz w:val="24"/>
                <w:highlight w:val="none"/>
                <w:lang w:val="en-US" w:eastAsia="zh-CN"/>
              </w:rPr>
              <w:t>不得</w:t>
            </w:r>
            <w:r>
              <w:rPr>
                <w:rFonts w:hint="eastAsia" w:ascii="宋体" w:hAnsi="宋体" w:eastAsia="宋体" w:cs="宋体"/>
                <w:color w:val="auto"/>
                <w:sz w:val="24"/>
                <w:highlight w:val="none"/>
                <w:lang w:val="zh-CN"/>
              </w:rPr>
              <w:t>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8</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数据质量把控</w:t>
            </w:r>
          </w:p>
        </w:tc>
        <w:tc>
          <w:tcPr>
            <w:tcW w:w="5907" w:type="dxa"/>
            <w:noWrap w:val="0"/>
            <w:vAlign w:val="top"/>
          </w:tcPr>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评审内容：</w:t>
            </w:r>
          </w:p>
          <w:p>
            <w:pPr>
              <w:autoSpaceDE w:val="0"/>
              <w:autoSpaceDN w:val="0"/>
              <w:adjustRightInd w:val="0"/>
              <w:spacing w:line="360" w:lineRule="auto"/>
              <w:jc w:val="left"/>
              <w:rPr>
                <w:rFonts w:hint="eastAsia" w:ascii="宋体" w:hAnsi="宋体" w:eastAsia="宋体" w:cs="宋体"/>
                <w:color w:val="auto"/>
                <w:sz w:val="24"/>
                <w:lang w:val="zh-CN" w:eastAsia="zh-Hans"/>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Hans"/>
              </w:rPr>
              <w:t>需结合前海实际情况，对统计数据从计划、获取、存储、共享、维护、应用等生命周期的每个阶段里可能引发的各项数据质量问题列明数据质量保障环节及管理方法；</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eastAsia="zh-Hans"/>
              </w:rPr>
              <w:t>2</w:t>
            </w:r>
            <w:r>
              <w:rPr>
                <w:rFonts w:hint="eastAsia" w:ascii="宋体" w:hAnsi="宋体" w:eastAsia="宋体" w:cs="宋体"/>
                <w:color w:val="auto"/>
                <w:sz w:val="24"/>
                <w:lang w:val="zh-CN"/>
              </w:rPr>
              <w:t>、</w:t>
            </w:r>
            <w:r>
              <w:rPr>
                <w:rFonts w:hint="eastAsia" w:ascii="宋体" w:hAnsi="宋体" w:eastAsia="宋体" w:cs="宋体"/>
                <w:color w:val="auto"/>
                <w:sz w:val="24"/>
                <w:lang w:val="zh-CN" w:eastAsia="zh-Hans"/>
              </w:rPr>
              <w:t>需明确具体数据质量把控流程。</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满足以上2点得5分，满足任意1点得2分，未满足不得分。在此基础上，专家根据各供应商的具体响应内容按照量化的评审因素指标进一步评审：</w:t>
            </w:r>
          </w:p>
          <w:p>
            <w:pPr>
              <w:autoSpaceDE w:val="0"/>
              <w:autoSpaceDN w:val="0"/>
              <w:adjustRightInd w:val="0"/>
              <w:spacing w:line="360" w:lineRule="auto"/>
              <w:jc w:val="left"/>
              <w:rPr>
                <w:rFonts w:hint="eastAsia" w:ascii="宋体" w:hAnsi="宋体" w:eastAsia="宋体" w:cs="宋体"/>
                <w:color w:val="auto"/>
                <w:sz w:val="24"/>
                <w:lang w:val="zh-CN" w:eastAsia="zh-Hans"/>
              </w:rPr>
            </w:pPr>
            <w:r>
              <w:rPr>
                <w:rFonts w:hint="eastAsia" w:ascii="宋体" w:hAnsi="宋体" w:eastAsia="宋体" w:cs="宋体"/>
                <w:color w:val="auto"/>
                <w:sz w:val="24"/>
                <w:lang w:val="zh-CN"/>
              </w:rPr>
              <w:t xml:space="preserve">1、优：数据质量把控方案准确、符合项目要求，具体实施措施科学有效，评审为优的得5分； </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2、良：实施方案分析准确、较符合项目要求，具体实施措施较科学有效，评审为良的得2分；</w:t>
            </w:r>
          </w:p>
          <w:p>
            <w:pPr>
              <w:autoSpaceDE w:val="0"/>
              <w:autoSpaceDN w:val="0"/>
              <w:adjustRightInd w:val="0"/>
              <w:spacing w:line="360" w:lineRule="auto"/>
              <w:jc w:val="left"/>
              <w:rPr>
                <w:rFonts w:hint="eastAsia" w:ascii="宋体" w:hAnsi="宋体" w:eastAsia="宋体" w:cs="宋体"/>
                <w:color w:val="auto"/>
                <w:sz w:val="24"/>
                <w:lang w:val="zh-CN" w:eastAsia="zh-Hans"/>
              </w:rPr>
            </w:pPr>
            <w:r>
              <w:rPr>
                <w:rFonts w:hint="eastAsia" w:ascii="宋体" w:hAnsi="宋体" w:eastAsia="宋体" w:cs="宋体"/>
                <w:color w:val="auto"/>
                <w:sz w:val="24"/>
                <w:lang w:val="zh-CN"/>
              </w:rPr>
              <w:t xml:space="preserve">3、中：数据质量把控方案基本准确、基本符合项目要求，具体实施措施基本科学有效，评审为中的得1分； </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4、差：数据质量把控方案不准确、不符合项目要求，具体实施措施不科学有效的或未提供的评审为差的，</w:t>
            </w:r>
            <w:r>
              <w:rPr>
                <w:rFonts w:hint="eastAsia" w:ascii="宋体" w:hAnsi="宋体" w:eastAsia="宋体" w:cs="宋体"/>
                <w:color w:val="auto"/>
                <w:sz w:val="24"/>
                <w:lang w:val="en-US" w:eastAsia="zh-CN"/>
              </w:rPr>
              <w:t>不得</w:t>
            </w:r>
            <w:r>
              <w:rPr>
                <w:rFonts w:hint="eastAsia" w:ascii="宋体" w:hAnsi="宋体" w:eastAsia="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10</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项目重点难点分析、应对措施及相关的合理化建议</w:t>
            </w:r>
          </w:p>
          <w:p>
            <w:pPr>
              <w:autoSpaceDE w:val="0"/>
              <w:autoSpaceDN w:val="0"/>
              <w:adjustRightInd w:val="0"/>
              <w:spacing w:line="360" w:lineRule="auto"/>
              <w:jc w:val="center"/>
              <w:rPr>
                <w:rFonts w:hint="eastAsia" w:ascii="宋体" w:hAnsi="宋体" w:eastAsia="宋体" w:cs="宋体"/>
                <w:color w:val="auto"/>
                <w:sz w:val="24"/>
                <w:lang w:val="zh-CN"/>
              </w:rPr>
            </w:pP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评审内容：</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1、清晰认知</w:t>
            </w:r>
            <w:r>
              <w:rPr>
                <w:rFonts w:hint="eastAsia" w:ascii="宋体" w:hAnsi="宋体" w:cs="宋体"/>
                <w:color w:val="auto"/>
                <w:sz w:val="24"/>
                <w:highlight w:val="none"/>
                <w:lang w:val="en-US" w:eastAsia="zh-CN"/>
              </w:rPr>
              <w:t>前海蛇口自贸区统计</w:t>
            </w:r>
            <w:r>
              <w:rPr>
                <w:rFonts w:hint="eastAsia" w:ascii="宋体" w:hAnsi="宋体" w:eastAsia="宋体" w:cs="宋体"/>
                <w:color w:val="auto"/>
                <w:sz w:val="24"/>
                <w:highlight w:val="none"/>
                <w:lang w:val="zh-CN" w:eastAsia="zh-Hans"/>
              </w:rPr>
              <w:t>分析工作</w:t>
            </w:r>
            <w:r>
              <w:rPr>
                <w:rFonts w:hint="eastAsia" w:ascii="宋体" w:hAnsi="宋体" w:eastAsia="宋体" w:cs="宋体"/>
                <w:color w:val="auto"/>
                <w:sz w:val="24"/>
                <w:highlight w:val="none"/>
                <w:lang w:val="zh-CN"/>
              </w:rPr>
              <w:t>的重点和全面性，有明确的框架和要点；</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2、明晰</w:t>
            </w:r>
            <w:r>
              <w:rPr>
                <w:rFonts w:hint="eastAsia" w:ascii="宋体" w:hAnsi="宋体" w:cs="宋体"/>
                <w:color w:val="auto"/>
                <w:sz w:val="24"/>
                <w:highlight w:val="none"/>
                <w:lang w:val="en-US" w:eastAsia="zh-CN"/>
              </w:rPr>
              <w:t>前海蛇口自贸区统计指标体系</w:t>
            </w:r>
            <w:r>
              <w:rPr>
                <w:rFonts w:hint="eastAsia" w:ascii="宋体" w:hAnsi="宋体" w:eastAsia="宋体" w:cs="宋体"/>
                <w:color w:val="auto"/>
                <w:sz w:val="24"/>
                <w:highlight w:val="none"/>
                <w:lang w:val="zh-CN"/>
              </w:rPr>
              <w:t>的指标设置、数据核验以及指标统计</w:t>
            </w:r>
            <w:r>
              <w:rPr>
                <w:rFonts w:hint="eastAsia" w:ascii="宋体" w:hAnsi="宋体" w:cs="宋体"/>
                <w:color w:val="auto"/>
                <w:sz w:val="24"/>
                <w:highlight w:val="none"/>
                <w:lang w:val="zh-CN"/>
              </w:rPr>
              <w:t>；</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3、清晰认知数据采集的难点和重点，有明确的数据采集指标和数据采集频率。</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满足以上3项的得8分，满足以上2项的得4分，其他情况不得分。在此基础上，专家根据内容的合理性进行评分：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1、优：分析透彻、依据着实，内容全面、针对性强、科学合理且可行性强的评价为优，得5分；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2、良：分析较为透彻、依据着实，内容较全面、针对性、合理性和可行性较强的评价为良，得3分；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3、中：分析一般透彻、依据一般，内容部分缺项、针对性、合理性和可行性一般的评价为中，得1分；</w:t>
            </w:r>
          </w:p>
          <w:p>
            <w:pPr>
              <w:autoSpaceDE w:val="0"/>
              <w:autoSpaceDN w:val="0"/>
              <w:adjustRightInd w:val="0"/>
              <w:spacing w:line="360" w:lineRule="auto"/>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4、差：分析不透彻、内容缺项较多，不具有针对性和可行性的或未提供的评价为差，</w:t>
            </w:r>
            <w:r>
              <w:rPr>
                <w:rFonts w:hint="eastAsia" w:ascii="宋体" w:hAnsi="宋体" w:eastAsia="宋体" w:cs="宋体"/>
                <w:color w:val="auto"/>
                <w:sz w:val="24"/>
                <w:highlight w:val="none"/>
                <w:lang w:val="en-US" w:eastAsia="zh-CN"/>
              </w:rPr>
              <w:t>不得</w:t>
            </w:r>
            <w:r>
              <w:rPr>
                <w:rFonts w:hint="eastAsia" w:ascii="宋体" w:hAnsi="宋体" w:eastAsia="宋体" w:cs="宋体"/>
                <w:color w:val="auto"/>
                <w:sz w:val="24"/>
                <w:highlight w:val="none"/>
                <w:lang w:val="zh-CN"/>
              </w:rPr>
              <w:t>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zh-CN"/>
              </w:rPr>
              <w:t>13</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项目管理措施和进度计划</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评审内容：</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1、项目运营方案；</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2、项目质量管理制度与措施；</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3、项目里程碑计划；</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4、项目应急预案；</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5、响应时间（投标人须在1小时内及时响应采购方需求，并在24小时内提出解决方案）。</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满足以上5项的得3分，满足以上4项的得2分，满足以上3项的得1分，其他情况不得分。在此基础上，专家根据内容的合理性进行评分：</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1、优：内容完整详细，符合项目实际情况，可行性强的评价为优，得4分；</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2、良：内容完整，基本符合项目实际情况，可行性较好的评价为良，得2分；</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3、中：内容能符合项目部分要求，较符合项目实际情况的评价为中，得1分；</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4、差：内容不符合项目要求，不符合项目实际情况的或未提供的评价为差，</w:t>
            </w:r>
            <w:r>
              <w:rPr>
                <w:rFonts w:hint="eastAsia" w:ascii="宋体" w:hAnsi="宋体" w:eastAsia="宋体" w:cs="宋体"/>
                <w:color w:val="auto"/>
                <w:sz w:val="24"/>
                <w:lang w:val="en-US" w:eastAsia="zh-CN"/>
              </w:rPr>
              <w:t>不得</w:t>
            </w:r>
            <w:r>
              <w:rPr>
                <w:rFonts w:hint="eastAsia" w:ascii="宋体" w:hAnsi="宋体" w:eastAsia="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zh-CN"/>
              </w:rPr>
              <w:t>7</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项目服务承诺</w:t>
            </w:r>
          </w:p>
        </w:tc>
        <w:tc>
          <w:tcPr>
            <w:tcW w:w="5907" w:type="dxa"/>
            <w:noWrap w:val="0"/>
            <w:vAlign w:val="center"/>
          </w:tcPr>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评审内容：</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1、在项目服务期间，未经招标人同意，不得随意更换团队人员，确保服务连续性、稳定性；</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2、服务质量达到招标文件要求；</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3、服务期满后，严格遵守保密承诺的原则，不泄露与项目有关的任何信息。</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投标人承诺以上全部三项得</w:t>
            </w:r>
            <w:r>
              <w:rPr>
                <w:rFonts w:hint="eastAsia" w:ascii="宋体" w:hAnsi="宋体" w:eastAsia="宋体" w:cs="宋体"/>
                <w:color w:val="auto"/>
                <w:sz w:val="24"/>
                <w:lang w:val="en-US" w:eastAsia="zh-CN"/>
              </w:rPr>
              <w:t>2</w:t>
            </w:r>
            <w:r>
              <w:rPr>
                <w:rFonts w:hint="eastAsia" w:ascii="宋体" w:hAnsi="宋体" w:eastAsia="宋体" w:cs="宋体"/>
                <w:color w:val="auto"/>
                <w:sz w:val="24"/>
                <w:lang w:val="zh-CN"/>
              </w:rPr>
              <w:t>分，否则不得分。</w:t>
            </w:r>
          </w:p>
          <w:p>
            <w:pPr>
              <w:autoSpaceDE w:val="0"/>
              <w:autoSpaceDN w:val="0"/>
              <w:adjustRightInd w:val="0"/>
              <w:spacing w:line="360" w:lineRule="auto"/>
              <w:jc w:val="left"/>
              <w:rPr>
                <w:rFonts w:hint="eastAsia" w:ascii="宋体" w:hAnsi="宋体" w:eastAsia="宋体" w:cs="宋体"/>
                <w:color w:val="auto"/>
                <w:sz w:val="24"/>
                <w:lang w:val="zh-CN"/>
              </w:rPr>
            </w:pPr>
            <w:r>
              <w:rPr>
                <w:rFonts w:hint="eastAsia" w:ascii="宋体" w:hAnsi="宋体" w:eastAsia="宋体" w:cs="宋体"/>
                <w:color w:val="auto"/>
                <w:sz w:val="24"/>
                <w:lang w:val="zh-CN"/>
              </w:rPr>
              <w:t>要求提供承诺函（格式自定）作为得分依据，未提供承诺或承诺内容不满足要求不得分。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en-US" w:eastAsia="zh-CN"/>
              </w:rPr>
              <w:t>2</w:t>
            </w:r>
          </w:p>
        </w:tc>
        <w:tc>
          <w:tcPr>
            <w:tcW w:w="1079"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eastAsia="宋体" w:cs="宋体"/>
                <w:color w:val="auto"/>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lang w:val="fr-CH"/>
        </w:rPr>
        <w:sectPr>
          <w:footerReference r:id="rId7" w:type="default"/>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39" w:name="_Toc9548"/>
      <w:bookmarkStart w:id="40" w:name="_Hlk28269117"/>
      <w:r>
        <w:rPr>
          <w:rFonts w:hint="eastAsia" w:ascii="宋体" w:hAnsi="宋体" w:cs="宋体"/>
          <w:b/>
          <w:bCs/>
          <w:color w:val="auto"/>
          <w:sz w:val="24"/>
        </w:rPr>
        <w:t>第七章 附件（投标文件格式）</w:t>
      </w:r>
      <w:bookmarkEnd w:id="39"/>
    </w:p>
    <w:p>
      <w:pPr>
        <w:keepNext/>
        <w:keepLines/>
        <w:spacing w:before="260" w:after="260" w:line="440" w:lineRule="exact"/>
        <w:jc w:val="center"/>
        <w:outlineLvl w:val="1"/>
        <w:rPr>
          <w:rFonts w:hint="eastAsia" w:ascii="宋体" w:hAnsi="宋体" w:cs="宋体"/>
          <w:b/>
          <w:bCs/>
          <w:color w:val="auto"/>
          <w:sz w:val="24"/>
        </w:rPr>
      </w:pPr>
      <w:bookmarkStart w:id="41" w:name="_Toc5116"/>
      <w:bookmarkStart w:id="42" w:name="_Toc6548"/>
      <w:bookmarkStart w:id="43" w:name="_Toc19494"/>
      <w:bookmarkStart w:id="44" w:name="_Toc31827"/>
      <w:r>
        <w:rPr>
          <w:rFonts w:hint="eastAsia" w:ascii="宋体" w:hAnsi="宋体" w:cs="宋体"/>
          <w:b/>
          <w:bCs/>
          <w:color w:val="auto"/>
          <w:sz w:val="24"/>
        </w:rPr>
        <w:t>1、投标文件密封袋/封面参考</w:t>
      </w:r>
      <w:bookmarkEnd w:id="41"/>
      <w:bookmarkEnd w:id="42"/>
      <w:bookmarkEnd w:id="43"/>
      <w:bookmarkEnd w:id="44"/>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7"/>
              <w:tabs>
                <w:tab w:val="left" w:pos="562"/>
                <w:tab w:val="left" w:pos="3372"/>
                <w:tab w:val="left" w:pos="3653"/>
              </w:tabs>
              <w:spacing w:line="360" w:lineRule="auto"/>
              <w:rPr>
                <w:rFonts w:hint="eastAsia" w:ascii="仿宋_GB2312" w:eastAsia="仿宋_GB2312"/>
                <w:b/>
                <w:color w:val="auto"/>
                <w:sz w:val="32"/>
                <w:lang w:val="en-US" w:eastAsia="zh-CN"/>
              </w:rPr>
            </w:pPr>
          </w:p>
          <w:p>
            <w:pPr>
              <w:pStyle w:val="7"/>
              <w:tabs>
                <w:tab w:val="left" w:pos="562"/>
                <w:tab w:val="left" w:pos="3372"/>
                <w:tab w:val="left" w:pos="3653"/>
              </w:tabs>
              <w:spacing w:line="360" w:lineRule="auto"/>
              <w:jc w:val="center"/>
              <w:rPr>
                <w:rFonts w:hint="eastAsia" w:ascii="黑体" w:eastAsia="黑体"/>
                <w:b/>
                <w:color w:val="auto"/>
                <w:sz w:val="72"/>
                <w:szCs w:val="72"/>
                <w:lang w:val="en-US" w:eastAsia="zh-CN"/>
              </w:rPr>
            </w:pPr>
          </w:p>
          <w:p>
            <w:pPr>
              <w:pStyle w:val="7"/>
              <w:tabs>
                <w:tab w:val="left" w:pos="562"/>
                <w:tab w:val="left" w:pos="3372"/>
                <w:tab w:val="left" w:pos="3653"/>
              </w:tabs>
              <w:spacing w:line="360" w:lineRule="auto"/>
              <w:jc w:val="center"/>
              <w:rPr>
                <w:rFonts w:hint="eastAsia" w:ascii="黑体" w:eastAsia="黑体"/>
                <w:b/>
                <w:color w:val="auto"/>
                <w:sz w:val="72"/>
                <w:szCs w:val="72"/>
                <w:lang w:val="en-US" w:eastAsia="zh-CN"/>
              </w:rPr>
            </w:pPr>
            <w:r>
              <w:rPr>
                <w:rFonts w:hint="eastAsia" w:ascii="黑体" w:eastAsia="黑体"/>
                <w:b/>
                <w:color w:val="auto"/>
                <w:sz w:val="72"/>
                <w:szCs w:val="72"/>
                <w:lang w:val="en-US" w:eastAsia="zh-CN"/>
              </w:rPr>
              <w:t>投 标 文 件</w:t>
            </w:r>
          </w:p>
          <w:p>
            <w:pPr>
              <w:pStyle w:val="7"/>
              <w:tabs>
                <w:tab w:val="left" w:pos="562"/>
                <w:tab w:val="left" w:pos="3372"/>
                <w:tab w:val="left" w:pos="3653"/>
              </w:tabs>
              <w:spacing w:line="360" w:lineRule="auto"/>
              <w:jc w:val="center"/>
              <w:rPr>
                <w:rFonts w:hint="eastAsia" w:ascii="黑体" w:eastAsia="黑体"/>
                <w:b/>
                <w:strike/>
                <w:color w:val="auto"/>
                <w:sz w:val="32"/>
                <w:lang w:val="en-US" w:eastAsia="zh-CN"/>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7"/>
              <w:tabs>
                <w:tab w:val="left" w:pos="562"/>
                <w:tab w:val="left" w:pos="3372"/>
                <w:tab w:val="left" w:pos="3653"/>
              </w:tabs>
              <w:spacing w:line="360" w:lineRule="auto"/>
              <w:rPr>
                <w:rFonts w:hint="eastAsia" w:ascii="仿宋_GB2312" w:eastAsia="仿宋_GB2312"/>
                <w:b/>
                <w:color w:val="auto"/>
                <w:sz w:val="32"/>
                <w:lang w:val="en-US" w:eastAsia="zh-CN"/>
              </w:rPr>
            </w:pPr>
          </w:p>
          <w:p>
            <w:pPr>
              <w:rPr>
                <w:rFonts w:hint="eastAsia"/>
                <w:color w:val="auto"/>
              </w:rPr>
            </w:pPr>
          </w:p>
          <w:p>
            <w:pPr>
              <w:pStyle w:val="7"/>
              <w:tabs>
                <w:tab w:val="left" w:pos="562"/>
                <w:tab w:val="left" w:pos="3372"/>
                <w:tab w:val="left" w:pos="3653"/>
              </w:tabs>
              <w:spacing w:line="400" w:lineRule="exact"/>
              <w:ind w:firstLine="900" w:firstLineChars="320"/>
              <w:rPr>
                <w:rFonts w:hint="eastAsia" w:ascii="仿宋_GB2312" w:eastAsia="仿宋_GB2312"/>
                <w:b/>
                <w:color w:val="auto"/>
                <w:sz w:val="28"/>
                <w:szCs w:val="28"/>
                <w:lang w:val="en-US" w:eastAsia="zh-CN"/>
              </w:rPr>
            </w:pPr>
          </w:p>
          <w:p>
            <w:pPr>
              <w:pStyle w:val="7"/>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项目编号：</w:t>
            </w:r>
            <w:r>
              <w:rPr>
                <w:rFonts w:hint="eastAsia" w:ascii="宋体" w:hAnsi="宋体" w:cs="Arial"/>
                <w:b/>
                <w:bCs/>
                <w:color w:val="auto"/>
                <w:sz w:val="28"/>
                <w:szCs w:val="28"/>
                <w:u w:val="single"/>
                <w:lang w:val="en-US" w:eastAsia="zh-CN"/>
              </w:rPr>
              <w:t xml:space="preserve">                                   </w:t>
            </w:r>
          </w:p>
          <w:p>
            <w:pPr>
              <w:pStyle w:val="7"/>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项目名称：</w:t>
            </w:r>
            <w:r>
              <w:rPr>
                <w:rFonts w:hint="eastAsia" w:ascii="宋体" w:hAnsi="宋体" w:cs="Arial"/>
                <w:b/>
                <w:bCs/>
                <w:color w:val="auto"/>
                <w:sz w:val="28"/>
                <w:szCs w:val="28"/>
                <w:u w:val="single"/>
                <w:lang w:val="en-US" w:eastAsia="zh-CN"/>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投标人名称：</w:t>
            </w:r>
            <w:r>
              <w:rPr>
                <w:rFonts w:hint="eastAsia" w:ascii="宋体" w:hAnsi="宋体" w:cs="Arial"/>
                <w:b/>
                <w:bCs/>
                <w:color w:val="auto"/>
                <w:sz w:val="28"/>
                <w:szCs w:val="28"/>
                <w:u w:val="single"/>
                <w:lang w:val="en-US" w:eastAsia="zh-CN"/>
              </w:rPr>
              <w:t xml:space="preserve">                     （加盖公章）</w:t>
            </w:r>
          </w:p>
          <w:p>
            <w:pPr>
              <w:pStyle w:val="7"/>
              <w:tabs>
                <w:tab w:val="left" w:pos="562"/>
                <w:tab w:val="left" w:pos="3372"/>
                <w:tab w:val="left" w:pos="3653"/>
              </w:tabs>
              <w:spacing w:line="400" w:lineRule="exact"/>
              <w:ind w:firstLine="900" w:firstLineChars="320"/>
              <w:rPr>
                <w:rFonts w:hint="eastAsia" w:ascii="宋体" w:hAnsi="宋体" w:cs="Arial"/>
                <w:b/>
                <w:bCs/>
                <w:color w:val="auto"/>
                <w:sz w:val="28"/>
                <w:szCs w:val="28"/>
                <w:u w:val="single"/>
                <w:lang w:val="en-US" w:eastAsia="zh-CN"/>
              </w:rPr>
            </w:pPr>
            <w:r>
              <w:rPr>
                <w:rFonts w:hint="eastAsia" w:ascii="宋体" w:hAnsi="宋体" w:cs="宋体"/>
                <w:b/>
                <w:color w:val="auto"/>
                <w:sz w:val="28"/>
                <w:szCs w:val="28"/>
                <w:lang w:val="en-US" w:eastAsia="zh-CN"/>
              </w:rPr>
              <w:t>投标人地址：</w:t>
            </w:r>
            <w:r>
              <w:rPr>
                <w:rFonts w:hint="eastAsia" w:ascii="宋体" w:hAnsi="宋体" w:cs="Arial"/>
                <w:b/>
                <w:bCs/>
                <w:color w:val="auto"/>
                <w:sz w:val="28"/>
                <w:szCs w:val="28"/>
                <w:u w:val="single"/>
                <w:lang w:val="en-US" w:eastAsia="zh-CN"/>
              </w:rPr>
              <w:t xml:space="preserve">                                 </w:t>
            </w:r>
          </w:p>
          <w:p>
            <w:pPr>
              <w:pStyle w:val="7"/>
              <w:tabs>
                <w:tab w:val="left" w:pos="562"/>
                <w:tab w:val="left" w:pos="3372"/>
                <w:tab w:val="left" w:pos="3653"/>
              </w:tabs>
              <w:spacing w:line="400" w:lineRule="exact"/>
              <w:ind w:firstLine="900" w:firstLineChars="320"/>
              <w:rPr>
                <w:rFonts w:ascii="宋体" w:hAnsi="宋体" w:cs="Arial"/>
                <w:b/>
                <w:bCs/>
                <w:color w:val="auto"/>
                <w:sz w:val="28"/>
                <w:szCs w:val="28"/>
                <w:u w:val="single"/>
                <w:lang w:val="en-US" w:eastAsia="zh-CN"/>
              </w:rPr>
            </w:pPr>
            <w:r>
              <w:rPr>
                <w:rFonts w:hint="eastAsia" w:ascii="宋体" w:hAnsi="宋体" w:cs="Arial"/>
                <w:b/>
                <w:bCs/>
                <w:color w:val="auto"/>
                <w:sz w:val="28"/>
                <w:szCs w:val="28"/>
                <w:lang w:val="en-US" w:eastAsia="zh-CN"/>
              </w:rPr>
              <w:t>法定代表人/被授权人：</w:t>
            </w:r>
            <w:r>
              <w:rPr>
                <w:rFonts w:hint="eastAsia" w:ascii="宋体" w:hAnsi="宋体" w:cs="Arial"/>
                <w:b/>
                <w:bCs/>
                <w:color w:val="auto"/>
                <w:sz w:val="28"/>
                <w:szCs w:val="28"/>
                <w:u w:val="single"/>
                <w:lang w:val="en-US" w:eastAsia="zh-CN"/>
              </w:rPr>
              <w:t xml:space="preserve">                        </w:t>
            </w:r>
          </w:p>
          <w:p>
            <w:pPr>
              <w:pStyle w:val="7"/>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Arial"/>
                <w:b/>
                <w:bCs/>
                <w:color w:val="auto"/>
                <w:sz w:val="28"/>
                <w:szCs w:val="28"/>
                <w:lang w:val="en-US" w:eastAsia="zh-CN"/>
              </w:rPr>
              <w:t>联系电话：</w:t>
            </w:r>
            <w:r>
              <w:rPr>
                <w:rFonts w:hint="eastAsia" w:ascii="宋体" w:hAnsi="宋体" w:cs="Arial"/>
                <w:b/>
                <w:bCs/>
                <w:color w:val="auto"/>
                <w:sz w:val="28"/>
                <w:szCs w:val="28"/>
                <w:u w:val="single"/>
                <w:lang w:val="en-US" w:eastAsia="zh-CN"/>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45" w:name="_Toc16724"/>
      <w:r>
        <w:rPr>
          <w:rFonts w:hint="eastAsia" w:ascii="宋体" w:hAnsi="宋体" w:cs="宋体"/>
          <w:b/>
          <w:color w:val="auto"/>
          <w:sz w:val="24"/>
        </w:rPr>
        <w:t>2、投标文件—目录</w:t>
      </w:r>
      <w:bookmarkEnd w:id="45"/>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2"/>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12"/>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highlight w:val="none"/>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auto"/>
          <w:sz w:val="24"/>
        </w:rPr>
        <w:t>；</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13"/>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13"/>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资质情况；</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en-US" w:eastAsia="zh-CN"/>
        </w:rPr>
        <w:t>同类项目业绩</w:t>
      </w:r>
      <w:r>
        <w:rPr>
          <w:rFonts w:hint="eastAsia" w:ascii="宋体" w:hAnsi="宋体" w:cs="宋体"/>
          <w:color w:val="auto"/>
          <w:sz w:val="24"/>
          <w:lang w:val="fr-CH"/>
        </w:rPr>
        <w:t>；</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项目负责人（仅限1人）；</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拟安排的项目主要团队成员情况（项目负责人除外）；</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自主知识产权产品（创新、设计）情况；</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13"/>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4"/>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需求理解；</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数据质量把控；</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项目重点难点分析、应对措施及相关的合理化建议；</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项目管理措施和进度计划；</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项目服务承诺；</w:t>
      </w:r>
    </w:p>
    <w:p>
      <w:pPr>
        <w:numPr>
          <w:ilvl w:val="0"/>
          <w:numId w:val="14"/>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5"/>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9"/>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rPr>
          <w:rFonts w:hint="eastAsia"/>
          <w:color w:val="auto"/>
        </w:rPr>
      </w:pPr>
    </w:p>
    <w:p>
      <w:pPr>
        <w:numPr>
          <w:ilvl w:val="0"/>
          <w:numId w:val="15"/>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序号</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项目名称、内容</w:t>
            </w:r>
          </w:p>
        </w:tc>
        <w:tc>
          <w:tcPr>
            <w:tcW w:w="7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单位</w:t>
            </w:r>
          </w:p>
        </w:tc>
        <w:tc>
          <w:tcPr>
            <w:tcW w:w="180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数量（工作量）</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单价</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1</w:t>
            </w:r>
          </w:p>
        </w:tc>
        <w:tc>
          <w:tcPr>
            <w:tcW w:w="2212" w:type="dxa"/>
            <w:noWrap w:val="0"/>
            <w:vAlign w:val="center"/>
          </w:tcPr>
          <w:p>
            <w:pPr>
              <w:pStyle w:val="8"/>
              <w:spacing w:line="360" w:lineRule="auto"/>
              <w:jc w:val="center"/>
              <w:rPr>
                <w:rFonts w:hint="eastAsia" w:hAnsi="宋体" w:cs="宋体"/>
                <w:color w:val="auto"/>
                <w:sz w:val="24"/>
                <w:lang w:val="en-US" w:eastAsia="zh-CN"/>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auto"/>
                <w:sz w:val="24"/>
                <w:lang w:val="en-US" w:eastAsia="zh-CN"/>
              </w:rPr>
            </w:pPr>
            <w:r>
              <w:rPr>
                <w:rFonts w:hint="eastAsia" w:hAnsi="宋体" w:cs="宋体"/>
                <w:color w:val="auto"/>
                <w:sz w:val="24"/>
                <w:lang w:val="en-US" w:eastAsia="zh-CN"/>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6"/>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7"/>
        <w:rPr>
          <w:rFonts w:hint="eastAsia"/>
          <w:color w:val="auto"/>
        </w:rPr>
      </w:pPr>
    </w:p>
    <w:p>
      <w:pPr>
        <w:numPr>
          <w:ilvl w:val="0"/>
          <w:numId w:val="1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7"/>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7"/>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个官网中列入“失信被执行人、重大税收违法失信主体、政府采购严重违法失信行为记录名单”</w:t>
      </w:r>
      <w:r>
        <w:rPr>
          <w:rFonts w:hint="eastAsia" w:ascii="宋体" w:hAnsi="宋体" w:cs="宋体"/>
          <w:color w:val="auto"/>
          <w:sz w:val="24"/>
        </w:rPr>
        <w:t>。</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7"/>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13.</w:t>
      </w:r>
      <w:r>
        <w:rPr>
          <w:rFonts w:hint="eastAsia" w:ascii="宋体" w:hAnsi="宋体" w:cs="宋体"/>
          <w:color w:val="auto"/>
          <w:sz w:val="24"/>
        </w:rPr>
        <w:t>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6"/>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auto"/>
                <w:szCs w:val="21"/>
                <w:lang w:val="en-US" w:eastAsia="zh-CN"/>
              </w:rPr>
            </w:pPr>
          </w:p>
        </w:tc>
        <w:tc>
          <w:tcPr>
            <w:tcW w:w="4240" w:type="dxa"/>
            <w:noWrap w:val="0"/>
            <w:vAlign w:val="top"/>
          </w:tcPr>
          <w:p>
            <w:pPr>
              <w:pStyle w:val="8"/>
              <w:spacing w:line="360" w:lineRule="auto"/>
              <w:rPr>
                <w:rFonts w:ascii="Arial Narrow" w:hAnsi="Arial Narrow"/>
                <w:b/>
                <w:bCs/>
                <w:color w:val="auto"/>
                <w:szCs w:val="21"/>
                <w:lang w:val="en-US" w:eastAsia="zh-CN"/>
              </w:rPr>
            </w:pPr>
          </w:p>
        </w:tc>
      </w:tr>
    </w:tbl>
    <w:p>
      <w:pPr>
        <w:pStyle w:val="7"/>
        <w:rPr>
          <w:rFonts w:hint="eastAsia"/>
          <w:color w:val="auto"/>
          <w:lang w:val="fr-CH"/>
        </w:rPr>
      </w:pPr>
    </w:p>
    <w:p>
      <w:pPr>
        <w:numPr>
          <w:ilvl w:val="0"/>
          <w:numId w:val="16"/>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auto"/>
                <w:szCs w:val="21"/>
                <w:lang w:val="en-US" w:eastAsia="zh-CN"/>
              </w:rPr>
            </w:pPr>
          </w:p>
        </w:tc>
        <w:tc>
          <w:tcPr>
            <w:tcW w:w="4677" w:type="dxa"/>
            <w:noWrap w:val="0"/>
            <w:vAlign w:val="top"/>
          </w:tcPr>
          <w:p>
            <w:pPr>
              <w:pStyle w:val="8"/>
              <w:spacing w:line="360" w:lineRule="auto"/>
              <w:rPr>
                <w:rFonts w:ascii="Arial Narrow" w:hAnsi="Arial Narrow"/>
                <w:b/>
                <w:bCs/>
                <w:color w:val="auto"/>
                <w:szCs w:val="21"/>
                <w:lang w:val="en-US" w:eastAsia="zh-CN"/>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6"/>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7"/>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6"/>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7"/>
        <w:rPr>
          <w:rFonts w:hint="eastAsia"/>
          <w:color w:val="auto"/>
          <w:lang w:val="fr-CH"/>
        </w:rPr>
      </w:pPr>
    </w:p>
    <w:p>
      <w:pPr>
        <w:numPr>
          <w:ilvl w:val="0"/>
          <w:numId w:val="16"/>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资质情况</w:t>
      </w:r>
      <w:r>
        <w:rPr>
          <w:rFonts w:hint="eastAsia" w:ascii="宋体" w:hAnsi="宋体" w:cs="宋体"/>
          <w:color w:val="auto"/>
          <w:sz w:val="24"/>
        </w:rPr>
        <w:t>；</w:t>
      </w:r>
    </w:p>
    <w:p>
      <w:pPr>
        <w:numPr>
          <w:ilvl w:val="0"/>
          <w:numId w:val="16"/>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en-US" w:eastAsia="zh-CN"/>
        </w:rPr>
        <w:t>同类项目业绩</w:t>
      </w:r>
      <w:r>
        <w:rPr>
          <w:rFonts w:hint="eastAsia" w:ascii="宋体" w:hAnsi="宋体" w:cs="宋体"/>
          <w:color w:val="auto"/>
          <w:sz w:val="24"/>
        </w:rPr>
        <w:t>；</w:t>
      </w:r>
    </w:p>
    <w:p>
      <w:pPr>
        <w:numPr>
          <w:ilvl w:val="0"/>
          <w:numId w:val="16"/>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项目负责人（仅限1人）</w:t>
      </w:r>
      <w:r>
        <w:rPr>
          <w:rFonts w:hint="eastAsia" w:ascii="宋体" w:hAnsi="宋体" w:cs="宋体"/>
          <w:color w:val="auto"/>
          <w:sz w:val="24"/>
        </w:rPr>
        <w:t>；</w:t>
      </w:r>
    </w:p>
    <w:p>
      <w:pPr>
        <w:numPr>
          <w:ilvl w:val="0"/>
          <w:numId w:val="16"/>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拟安排的项目主要团队成员情况（项目负责人除外）</w:t>
      </w:r>
      <w:r>
        <w:rPr>
          <w:rFonts w:hint="eastAsia" w:ascii="宋体" w:hAnsi="宋体" w:cs="宋体"/>
          <w:color w:val="auto"/>
          <w:sz w:val="24"/>
        </w:rPr>
        <w:t>；</w:t>
      </w:r>
    </w:p>
    <w:p>
      <w:pPr>
        <w:numPr>
          <w:ilvl w:val="0"/>
          <w:numId w:val="16"/>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自主知识产权产品（创新、设计）情况</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6"/>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color w:val="auto"/>
          <w:sz w:val="24"/>
        </w:rPr>
        <w:t>特此声明与承诺！</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7"/>
        <w:rPr>
          <w:rFonts w:hint="eastAsia"/>
          <w:color w:val="auto"/>
          <w:lang w:val="fr-CH"/>
        </w:rPr>
      </w:pPr>
    </w:p>
    <w:p>
      <w:pPr>
        <w:numPr>
          <w:ilvl w:val="0"/>
          <w:numId w:val="16"/>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8"/>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9"/>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7"/>
        <w:spacing w:line="360" w:lineRule="auto"/>
        <w:rPr>
          <w:rFonts w:hint="eastAsia"/>
          <w:color w:val="auto"/>
          <w:lang w:val="fr-CH"/>
        </w:rPr>
      </w:pP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需求理解；</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数据质量把控；</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项目重点难点分析、应对措施及相关的合理化建议；</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项目管理措施和进度计划；</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项目服务承诺；</w:t>
      </w: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8"/>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40"/>
      <w:r>
        <w:rPr>
          <w:rFonts w:hint="eastAsia" w:ascii="宋体" w:hAnsi="宋体" w:cs="宋体"/>
          <w:color w:val="auto"/>
          <w:sz w:val="24"/>
          <w:lang w:val="fr-CH"/>
        </w:rPr>
        <w:t>（投标人可根据实际情况按照附件的格式提供中小微企业声明函）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2"/>
          <w:szCs w:val="28"/>
          <w:lang w:val="en-US" w:eastAsia="zh-CN"/>
        </w:rPr>
      </w:pPr>
      <w:r>
        <w:rPr>
          <w:rFonts w:hint="eastAsia" w:ascii="宋体" w:hAnsi="宋体" w:cs="宋体"/>
          <w:color w:val="auto"/>
          <w:sz w:val="24"/>
          <w:lang w:val="fr-CH"/>
        </w:rPr>
        <w:br w:type="page"/>
      </w:r>
      <w:bookmarkStart w:id="46" w:name="_Toc6251"/>
      <w:bookmarkStart w:id="47" w:name="_Toc742"/>
      <w:r>
        <w:rPr>
          <w:rFonts w:hint="eastAsia"/>
          <w:b/>
          <w:bCs/>
          <w:sz w:val="22"/>
          <w:szCs w:val="28"/>
          <w:lang w:val="en-US" w:eastAsia="zh-CN"/>
        </w:rPr>
        <w:t>附件：相关政策</w:t>
      </w:r>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sz w:val="22"/>
          <w:szCs w:val="28"/>
          <w:lang w:val="en-US" w:eastAsia="zh-CN"/>
        </w:rPr>
      </w:pPr>
      <w:r>
        <w:rPr>
          <w:rFonts w:hint="eastAsia"/>
          <w:b/>
          <w:bCs/>
          <w:sz w:val="22"/>
          <w:szCs w:val="28"/>
          <w:lang w:val="en-US" w:eastAsia="zh-CN"/>
        </w:rPr>
        <w:t>1、财政部、工业和信息化部《关于印发〈政府采购促进中小企业发展管理办法〉的通知》（财库〔2020〕46 号）</w:t>
      </w:r>
    </w:p>
    <w:p>
      <w:pPr>
        <w:pStyle w:val="7"/>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rPr>
          <w:rFonts w:hint="eastAsia" w:ascii="宋体" w:hAnsi="宋体" w:cs="宋体"/>
          <w:color w:val="auto"/>
        </w:rPr>
      </w:pP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附：1.中小企业声明函</w:t>
      </w:r>
    </w:p>
    <w:p>
      <w:pPr>
        <w:pStyle w:val="7"/>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7"/>
        <w:tabs>
          <w:tab w:val="left" w:pos="562"/>
          <w:tab w:val="left" w:pos="3372"/>
          <w:tab w:val="left" w:pos="3653"/>
        </w:tabs>
        <w:spacing w:before="3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7"/>
        <w:tabs>
          <w:tab w:val="left" w:pos="562"/>
          <w:tab w:val="left" w:pos="3372"/>
          <w:tab w:val="left" w:pos="3653"/>
        </w:tabs>
        <w:jc w:val="center"/>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line="360" w:lineRule="auto"/>
        <w:ind w:firstLine="472" w:firstLineChars="200"/>
        <w:textAlignment w:val="auto"/>
        <w:rPr>
          <w:rFonts w:hint="eastAsia" w:ascii="宋体" w:hAnsi="宋体" w:cs="宋体"/>
          <w:color w:val="auto"/>
          <w:spacing w:val="-2"/>
        </w:rPr>
      </w:pPr>
      <w:r>
        <w:rPr>
          <w:rFonts w:hint="eastAsia" w:ascii="宋体" w:hAnsi="宋体" w:cs="宋体"/>
          <w:color w:val="auto"/>
          <w:spacing w:val="-2"/>
        </w:rPr>
        <w:t>注意事项：</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ind w:firstLine="472" w:firstLineChars="200"/>
        <w:textAlignment w:val="auto"/>
        <w:rPr>
          <w:rFonts w:hint="eastAsia" w:ascii="宋体" w:hAnsi="宋体" w:eastAsia="宋体" w:cs="宋体"/>
          <w:color w:val="auto"/>
          <w:spacing w:val="-2"/>
        </w:rPr>
      </w:pPr>
      <w:r>
        <w:rPr>
          <w:rFonts w:hint="eastAsia" w:ascii="宋体" w:hAnsi="宋体" w:eastAsia="宋体" w:cs="宋体"/>
          <w:color w:val="auto"/>
          <w:spacing w:val="-2"/>
        </w:rPr>
        <w:t>1.从业人员、营业收入、资产总额填报上一年度数据，无上一年度数据的新成立企业可不填报；</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ind w:firstLine="472" w:firstLineChars="200"/>
        <w:textAlignment w:val="auto"/>
        <w:rPr>
          <w:rFonts w:hint="eastAsia" w:ascii="宋体" w:hAnsi="宋体" w:eastAsia="宋体" w:cs="宋体"/>
          <w:color w:val="auto"/>
          <w:spacing w:val="-2"/>
        </w:rPr>
      </w:pPr>
      <w:r>
        <w:rPr>
          <w:rFonts w:hint="eastAsia" w:ascii="宋体" w:hAnsi="宋体" w:eastAsia="宋体" w:cs="宋体"/>
          <w:color w:val="auto"/>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ind w:firstLine="472" w:firstLineChars="200"/>
        <w:textAlignment w:val="auto"/>
        <w:rPr>
          <w:rFonts w:hint="eastAsia" w:ascii="宋体" w:hAnsi="宋体" w:eastAsia="宋体" w:cs="宋体"/>
          <w:color w:val="auto"/>
          <w:spacing w:val="-2"/>
        </w:rPr>
      </w:pPr>
      <w:r>
        <w:rPr>
          <w:rFonts w:hint="eastAsia" w:ascii="宋体" w:hAnsi="宋体" w:eastAsia="宋体" w:cs="宋体"/>
          <w:color w:val="auto"/>
          <w:spacing w:val="-2"/>
        </w:rPr>
        <w:t>3.事业单位、社会组织等非企业主体不享受中小企业扶持政策，但事业单位、社会组织等非企业主体提供全部由中小企业制造的货物参加货物采购项目的除外。</w:t>
      </w:r>
    </w:p>
    <w:p>
      <w:pPr>
        <w:pStyle w:val="7"/>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after="0"/>
        <w:ind w:firstLine="472" w:firstLineChars="200"/>
        <w:textAlignment w:val="auto"/>
        <w:rPr>
          <w:rFonts w:hint="eastAsia" w:ascii="宋体" w:hAnsi="宋体" w:eastAsia="宋体" w:cs="宋体"/>
          <w:color w:val="auto"/>
          <w:spacing w:val="-2"/>
        </w:rPr>
      </w:pPr>
      <w:r>
        <w:rPr>
          <w:rFonts w:hint="eastAsia" w:ascii="宋体" w:hAnsi="宋体" w:eastAsia="宋体" w:cs="宋体"/>
          <w:color w:val="auto"/>
          <w:spacing w:val="-2"/>
        </w:rPr>
        <w:t>4.相关承接/承建企业的所属行业应当与采购标的所属行业（采购文件中明确的行业）相一致。</w:t>
      </w:r>
    </w:p>
    <w:p>
      <w:pPr>
        <w:pStyle w:val="7"/>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lang w:val="en-US" w:eastAsia="zh-CN"/>
        </w:rPr>
        <w:t>5.</w:t>
      </w: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ind w:left="4200" w:leftChars="2000"/>
        <w:rPr>
          <w:rFonts w:hint="eastAsia" w:ascii="宋体" w:hAnsi="宋体" w:cs="宋体"/>
          <w:color w:val="auto"/>
          <w:spacing w:val="-2"/>
        </w:rPr>
      </w:pPr>
    </w:p>
    <w:p>
      <w:pPr>
        <w:pStyle w:val="7"/>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7"/>
        <w:tabs>
          <w:tab w:val="left" w:pos="562"/>
          <w:tab w:val="left" w:pos="3372"/>
          <w:tab w:val="left" w:pos="3653"/>
        </w:tabs>
        <w:rPr>
          <w:rFonts w:hint="eastAsia" w:ascii="宋体" w:hAnsi="宋体" w:cs="宋体"/>
          <w:color w:val="auto"/>
          <w:spacing w:val="-2"/>
        </w:rPr>
      </w:pPr>
    </w:p>
    <w:p>
      <w:pPr>
        <w:pStyle w:val="7"/>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7"/>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7"/>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7"/>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9"/>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9"/>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29"/>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29"/>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29"/>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29"/>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9"/>
              <w:jc w:val="center"/>
              <w:rPr>
                <w:rFonts w:hint="eastAsia"/>
                <w:color w:val="auto"/>
                <w:sz w:val="24"/>
                <w:szCs w:val="24"/>
              </w:rPr>
            </w:pPr>
          </w:p>
        </w:tc>
        <w:tc>
          <w:tcPr>
            <w:tcW w:w="1866" w:type="dxa"/>
            <w:tcBorders>
              <w:bottom w:val="nil"/>
            </w:tcBorders>
            <w:noWrap w:val="0"/>
            <w:vAlign w:val="center"/>
          </w:tcPr>
          <w:p>
            <w:pPr>
              <w:pStyle w:val="29"/>
              <w:jc w:val="center"/>
              <w:rPr>
                <w:rFonts w:hint="eastAsia"/>
                <w:color w:val="auto"/>
                <w:sz w:val="24"/>
                <w:szCs w:val="24"/>
              </w:rPr>
            </w:pPr>
          </w:p>
        </w:tc>
        <w:tc>
          <w:tcPr>
            <w:tcW w:w="2010" w:type="dxa"/>
            <w:tcBorders>
              <w:bottom w:val="nil"/>
            </w:tcBorders>
            <w:noWrap w:val="0"/>
            <w:vAlign w:val="center"/>
          </w:tcPr>
          <w:p>
            <w:pPr>
              <w:pStyle w:val="29"/>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29"/>
              <w:jc w:val="center"/>
              <w:rPr>
                <w:rFonts w:hint="eastAsia"/>
                <w:color w:val="auto"/>
                <w:sz w:val="24"/>
                <w:szCs w:val="24"/>
              </w:rPr>
            </w:pPr>
          </w:p>
        </w:tc>
        <w:tc>
          <w:tcPr>
            <w:tcW w:w="1784" w:type="dxa"/>
            <w:vMerge w:val="restart"/>
            <w:noWrap w:val="0"/>
            <w:vAlign w:val="center"/>
          </w:tcPr>
          <w:p>
            <w:pPr>
              <w:pStyle w:val="29"/>
              <w:jc w:val="center"/>
              <w:rPr>
                <w:rFonts w:hint="eastAsia"/>
                <w:color w:val="auto"/>
                <w:sz w:val="24"/>
                <w:szCs w:val="24"/>
              </w:rPr>
            </w:pPr>
          </w:p>
          <w:p>
            <w:pPr>
              <w:pStyle w:val="29"/>
              <w:jc w:val="center"/>
              <w:rPr>
                <w:rFonts w:hint="eastAsia"/>
                <w:color w:val="auto"/>
                <w:sz w:val="24"/>
                <w:szCs w:val="24"/>
              </w:rPr>
            </w:pPr>
          </w:p>
          <w:p>
            <w:pPr>
              <w:pStyle w:val="29"/>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9"/>
              <w:jc w:val="center"/>
              <w:rPr>
                <w:rFonts w:hint="eastAsia"/>
                <w:color w:val="auto"/>
                <w:sz w:val="24"/>
                <w:szCs w:val="24"/>
              </w:rPr>
            </w:pPr>
          </w:p>
        </w:tc>
        <w:tc>
          <w:tcPr>
            <w:tcW w:w="2010" w:type="dxa"/>
            <w:tcBorders>
              <w:top w:val="nil"/>
              <w:bottom w:val="nil"/>
            </w:tcBorders>
            <w:noWrap w:val="0"/>
            <w:vAlign w:val="center"/>
          </w:tcPr>
          <w:p>
            <w:pPr>
              <w:pStyle w:val="29"/>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29"/>
              <w:jc w:val="center"/>
              <w:rPr>
                <w:rFonts w:hint="eastAsia"/>
                <w:color w:val="auto"/>
                <w:sz w:val="24"/>
                <w:szCs w:val="24"/>
              </w:rPr>
            </w:pPr>
          </w:p>
        </w:tc>
        <w:tc>
          <w:tcPr>
            <w:tcW w:w="2010" w:type="dxa"/>
            <w:tcBorders>
              <w:top w:val="nil"/>
            </w:tcBorders>
            <w:noWrap w:val="0"/>
            <w:vAlign w:val="center"/>
          </w:tcPr>
          <w:p>
            <w:pPr>
              <w:pStyle w:val="29"/>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29"/>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9"/>
              <w:jc w:val="center"/>
              <w:rPr>
                <w:rFonts w:hint="eastAsia"/>
                <w:color w:val="auto"/>
                <w:sz w:val="24"/>
                <w:szCs w:val="24"/>
              </w:rPr>
            </w:pPr>
            <w:r>
              <w:rPr>
                <w:rFonts w:hint="eastAsia"/>
                <w:color w:val="auto"/>
                <w:sz w:val="24"/>
                <w:szCs w:val="24"/>
              </w:rPr>
              <w:t>……</w:t>
            </w:r>
          </w:p>
        </w:tc>
        <w:tc>
          <w:tcPr>
            <w:tcW w:w="1866" w:type="dxa"/>
            <w:noWrap w:val="0"/>
            <w:vAlign w:val="center"/>
          </w:tcPr>
          <w:p>
            <w:pPr>
              <w:pStyle w:val="29"/>
              <w:jc w:val="center"/>
              <w:rPr>
                <w:rFonts w:hint="eastAsia"/>
                <w:color w:val="auto"/>
                <w:sz w:val="24"/>
                <w:szCs w:val="24"/>
              </w:rPr>
            </w:pPr>
            <w:r>
              <w:rPr>
                <w:rFonts w:hint="eastAsia"/>
                <w:color w:val="auto"/>
                <w:sz w:val="24"/>
                <w:szCs w:val="24"/>
              </w:rPr>
              <w:t>……</w:t>
            </w:r>
          </w:p>
        </w:tc>
        <w:tc>
          <w:tcPr>
            <w:tcW w:w="2010" w:type="dxa"/>
            <w:noWrap w:val="0"/>
            <w:vAlign w:val="center"/>
          </w:tcPr>
          <w:p>
            <w:pPr>
              <w:pStyle w:val="29"/>
              <w:jc w:val="center"/>
              <w:rPr>
                <w:rFonts w:hint="eastAsia"/>
                <w:color w:val="auto"/>
                <w:sz w:val="24"/>
                <w:szCs w:val="24"/>
              </w:rPr>
            </w:pPr>
            <w:r>
              <w:rPr>
                <w:rFonts w:hint="eastAsia"/>
                <w:color w:val="auto"/>
                <w:sz w:val="24"/>
                <w:szCs w:val="24"/>
              </w:rPr>
              <w:t>……</w:t>
            </w:r>
          </w:p>
        </w:tc>
        <w:tc>
          <w:tcPr>
            <w:tcW w:w="2296" w:type="dxa"/>
            <w:noWrap w:val="0"/>
            <w:vAlign w:val="center"/>
          </w:tcPr>
          <w:p>
            <w:pPr>
              <w:pStyle w:val="29"/>
              <w:jc w:val="center"/>
              <w:rPr>
                <w:rFonts w:hint="eastAsia"/>
                <w:color w:val="auto"/>
                <w:sz w:val="24"/>
                <w:szCs w:val="24"/>
              </w:rPr>
            </w:pPr>
            <w:r>
              <w:rPr>
                <w:rFonts w:hint="eastAsia"/>
                <w:color w:val="auto"/>
                <w:sz w:val="24"/>
                <w:szCs w:val="24"/>
              </w:rPr>
              <w:t>……</w:t>
            </w:r>
          </w:p>
        </w:tc>
        <w:tc>
          <w:tcPr>
            <w:tcW w:w="1784" w:type="dxa"/>
            <w:noWrap w:val="0"/>
            <w:vAlign w:val="center"/>
          </w:tcPr>
          <w:p>
            <w:pPr>
              <w:pStyle w:val="29"/>
              <w:jc w:val="center"/>
              <w:rPr>
                <w:rFonts w:hint="eastAsia"/>
                <w:color w:val="auto"/>
                <w:sz w:val="24"/>
                <w:szCs w:val="24"/>
              </w:rPr>
            </w:pPr>
            <w:r>
              <w:rPr>
                <w:rFonts w:hint="eastAsia"/>
                <w:color w:val="auto"/>
                <w:sz w:val="24"/>
                <w:szCs w:val="24"/>
              </w:rPr>
              <w:t>……</w:t>
            </w:r>
          </w:p>
        </w:tc>
      </w:tr>
    </w:tbl>
    <w:p>
      <w:pPr>
        <w:pStyle w:val="7"/>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7"/>
        <w:tabs>
          <w:tab w:val="left" w:pos="562"/>
          <w:tab w:val="left" w:pos="3372"/>
          <w:tab w:val="left" w:pos="3653"/>
        </w:tabs>
        <w:rPr>
          <w:rFonts w:hint="eastAsia" w:ascii="宋体" w:hAnsi="宋体" w:cs="宋体"/>
          <w:color w:val="auto"/>
        </w:rPr>
      </w:pPr>
    </w:p>
    <w:p>
      <w:pPr>
        <w:pStyle w:val="17"/>
        <w:jc w:val="both"/>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sectPr>
          <w:headerReference r:id="rId10" w:type="first"/>
          <w:headerReference r:id="rId8" w:type="default"/>
          <w:headerReference r:id="rId9" w:type="even"/>
          <w:pgSz w:w="11906" w:h="16838"/>
          <w:pgMar w:top="850" w:right="1803" w:bottom="709" w:left="1803" w:header="851" w:footer="992" w:gutter="0"/>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pPr>
      <w:r>
        <w:rPr>
          <w:rFonts w:hint="eastAsia"/>
          <w:b/>
          <w:bCs/>
          <w:sz w:val="22"/>
          <w:szCs w:val="28"/>
          <w:lang w:val="en-US" w:eastAsia="zh-CN"/>
        </w:rPr>
        <w:t>2、工业和信息化部、国家统计局、国家发展和改革委员会、财政部《关于印发〈中小企业划型标准规定〉的通知》（工信部联企〔2011〕300 号）</w:t>
      </w:r>
    </w:p>
    <w:p>
      <w:pPr>
        <w:pStyle w:val="7"/>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17"/>
        <w:jc w:val="both"/>
        <w:outlineLvl w:val="9"/>
        <w:rPr>
          <w:rFonts w:hint="eastAsia" w:ascii="宋体" w:hAnsi="宋体" w:eastAsia="宋体" w:cs="宋体"/>
          <w:color w:val="auto"/>
          <w:sz w:val="24"/>
          <w:szCs w:val="24"/>
        </w:rPr>
      </w:pPr>
    </w:p>
    <w:p>
      <w:pPr>
        <w:pStyle w:val="17"/>
        <w:jc w:val="both"/>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sectPr>
          <w:pgSz w:w="11906" w:h="16838"/>
          <w:pgMar w:top="850" w:right="1803" w:bottom="709" w:left="1803" w:header="851" w:footer="992" w:gutter="0"/>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pPr>
      <w:r>
        <w:rPr>
          <w:rFonts w:hint="eastAsia"/>
          <w:b/>
          <w:bCs/>
          <w:sz w:val="22"/>
          <w:szCs w:val="28"/>
          <w:lang w:val="en-US" w:eastAsia="zh-CN"/>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rPr>
          <w:rFonts w:hint="eastAsia" w:ascii="宋体" w:hAnsi="宋体" w:cs="宋体"/>
          <w:color w:val="auto"/>
        </w:rPr>
      </w:pPr>
    </w:p>
    <w:p>
      <w:pPr>
        <w:pStyle w:val="17"/>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sectPr>
          <w:pgSz w:w="11906" w:h="16838"/>
          <w:pgMar w:top="850" w:right="1803" w:bottom="709" w:left="1803" w:header="851" w:footer="992" w:gutter="0"/>
          <w:cols w:space="72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2"/>
          <w:szCs w:val="28"/>
          <w:lang w:val="en-US" w:eastAsia="zh-CN"/>
        </w:rPr>
      </w:pPr>
      <w:r>
        <w:rPr>
          <w:rFonts w:hint="eastAsia"/>
          <w:b/>
          <w:bCs/>
          <w:sz w:val="22"/>
          <w:szCs w:val="28"/>
          <w:lang w:val="en-US" w:eastAsia="zh-CN"/>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6"/>
        <w:shd w:val="clear" w:color="auto" w:fill="FFFFFF"/>
        <w:spacing w:before="0" w:beforeAutospacing="0" w:after="0" w:afterAutospacing="0"/>
        <w:jc w:val="center"/>
        <w:rPr>
          <w:rFonts w:hint="eastAsia"/>
          <w:color w:val="auto"/>
        </w:rPr>
      </w:pPr>
      <w:r>
        <w:rPr>
          <w:rFonts w:hint="eastAsia"/>
          <w:color w:val="auto"/>
        </w:rPr>
        <w:t>　　</w:t>
      </w:r>
      <w:bookmarkStart w:id="48" w:name="sendNo"/>
      <w:r>
        <w:rPr>
          <w:rFonts w:hint="eastAsia"/>
          <w:color w:val="auto"/>
        </w:rPr>
        <w:t>财库〔</w:t>
      </w:r>
      <w:bookmarkEnd w:id="48"/>
      <w:r>
        <w:rPr>
          <w:rFonts w:hint="eastAsia"/>
          <w:color w:val="auto"/>
        </w:rPr>
        <w:t>2017〕141号</w:t>
      </w:r>
    </w:p>
    <w:p>
      <w:pPr>
        <w:pStyle w:val="16"/>
        <w:shd w:val="clear" w:color="auto" w:fill="FFFFFF"/>
        <w:spacing w:before="0" w:beforeAutospacing="0" w:after="0" w:afterAutospacing="0"/>
        <w:ind w:firstLine="480" w:firstLineChars="200"/>
        <w:rPr>
          <w:rFonts w:hint="eastAsia"/>
          <w:color w:val="auto"/>
        </w:rPr>
      </w:pPr>
      <w:bookmarkStart w:id="49"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49"/>
      <w:r>
        <w:rPr>
          <w:rFonts w:hint="eastAsia"/>
          <w:color w:val="auto"/>
        </w:rPr>
        <w:t>：</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6"/>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6"/>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30"/>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30"/>
        <w:shd w:val="clear" w:color="auto" w:fill="FFFFFF"/>
        <w:spacing w:before="0" w:beforeAutospacing="0" w:after="0" w:afterAutospacing="0" w:line="560" w:lineRule="exact"/>
        <w:ind w:firstLine="482" w:firstLineChars="200"/>
        <w:jc w:val="center"/>
        <w:rPr>
          <w:rFonts w:hint="eastAsia"/>
          <w:color w:val="auto"/>
        </w:rPr>
      </w:pPr>
      <w:r>
        <w:rPr>
          <w:rStyle w:val="31"/>
          <w:rFonts w:hint="eastAsia"/>
          <w:b/>
          <w:bCs/>
          <w:color w:val="auto"/>
        </w:rPr>
        <w:t>残疾人福利性单位声明函</w:t>
      </w:r>
    </w:p>
    <w:p>
      <w:pPr>
        <w:pStyle w:val="30"/>
        <w:shd w:val="clear" w:color="auto" w:fill="FFFFFF"/>
        <w:spacing w:before="0" w:beforeAutospacing="0" w:after="0" w:afterAutospacing="0" w:line="560" w:lineRule="exact"/>
        <w:ind w:firstLine="480" w:firstLineChars="200"/>
        <w:jc w:val="both"/>
        <w:rPr>
          <w:rFonts w:hint="eastAsia"/>
          <w:color w:val="auto"/>
        </w:rPr>
      </w:pPr>
      <w:r>
        <w:rPr>
          <w:rStyle w:val="31"/>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hd w:val="clear" w:color="auto" w:fill="FFFFFF"/>
        <w:spacing w:before="0" w:beforeAutospacing="0" w:after="0" w:afterAutospacing="0" w:line="560" w:lineRule="exact"/>
        <w:ind w:firstLine="480" w:firstLineChars="200"/>
        <w:jc w:val="both"/>
        <w:rPr>
          <w:rFonts w:hint="eastAsia"/>
          <w:color w:val="auto"/>
        </w:rPr>
      </w:pPr>
      <w:r>
        <w:rPr>
          <w:rStyle w:val="31"/>
          <w:rFonts w:hint="eastAsia"/>
          <w:color w:val="auto"/>
        </w:rPr>
        <w:t>本单位对上述声明的真实性负责。如有虚假，将依法承担相应责任。</w:t>
      </w:r>
    </w:p>
    <w:p>
      <w:pPr>
        <w:pStyle w:val="30"/>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30"/>
        <w:shd w:val="clear" w:color="auto" w:fill="FFFFFF"/>
        <w:spacing w:before="0" w:beforeAutospacing="0" w:after="0" w:afterAutospacing="0" w:line="560" w:lineRule="exact"/>
        <w:ind w:right="2100" w:rightChars="1000"/>
        <w:jc w:val="right"/>
        <w:rPr>
          <w:rFonts w:hint="eastAsia"/>
          <w:color w:val="auto"/>
        </w:rPr>
      </w:pPr>
      <w:r>
        <w:rPr>
          <w:rStyle w:val="31"/>
          <w:rFonts w:hint="eastAsia"/>
          <w:color w:val="auto"/>
        </w:rPr>
        <w:t>单位名称（盖章）：</w:t>
      </w:r>
    </w:p>
    <w:p>
      <w:pPr>
        <w:pStyle w:val="30"/>
        <w:shd w:val="clear" w:color="auto" w:fill="FFFFFF"/>
        <w:spacing w:before="0" w:beforeAutospacing="0" w:after="0" w:afterAutospacing="0" w:line="560" w:lineRule="exact"/>
        <w:ind w:right="2100" w:rightChars="1000"/>
        <w:jc w:val="right"/>
        <w:rPr>
          <w:rFonts w:hint="eastAsia"/>
          <w:color w:val="auto"/>
          <w:lang w:val="fr-CH"/>
        </w:rPr>
      </w:pPr>
      <w:r>
        <w:rPr>
          <w:rStyle w:val="31"/>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25"/>
        <w:rPr>
          <w:rFonts w:hint="eastAsia"/>
          <w:color w:val="000000" w:themeColor="text1"/>
          <w:lang w:val="fr-CH"/>
          <w14:textFill>
            <w14:solidFill>
              <w14:schemeClr w14:val="tx1"/>
            </w14:solidFill>
          </w14:textFill>
        </w:rPr>
      </w:pPr>
    </w:p>
    <w:p>
      <w:pPr>
        <w:rPr>
          <w:color w:val="000000" w:themeColor="text1"/>
          <w14:textFill>
            <w14:solidFill>
              <w14:schemeClr w14:val="tx1"/>
            </w14:solidFill>
          </w14:textFill>
        </w:rPr>
      </w:pPr>
    </w:p>
    <w:sectPr>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Align="inline"/>
      <w:rPr>
        <w:rStyle w:val="23"/>
      </w:rPr>
    </w:pPr>
    <w:r>
      <w:fldChar w:fldCharType="begin"/>
    </w:r>
    <w:r>
      <w:rPr>
        <w:rStyle w:val="23"/>
      </w:rPr>
      <w:instrText xml:space="preserve">PAGE  </w:instrText>
    </w:r>
    <w:r>
      <w:fldChar w:fldCharType="separate"/>
    </w:r>
    <w:r>
      <w:rPr>
        <w:rStyle w:val="23"/>
      </w:rPr>
      <w:t>12</w:t>
    </w:r>
    <w: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Align="inline"/>
      <w:rPr>
        <w:rStyle w:val="23"/>
      </w:rPr>
    </w:pPr>
    <w:r>
      <w:fldChar w:fldCharType="begin"/>
    </w:r>
    <w:r>
      <w:rPr>
        <w:rStyle w:val="23"/>
      </w:rPr>
      <w:instrText xml:space="preserve">PAGE  </w:instrText>
    </w:r>
    <w:r>
      <w:fldChar w:fldCharType="separate"/>
    </w:r>
    <w:r>
      <w:rPr>
        <w:rStyle w:val="23"/>
      </w:rPr>
      <w:t>12</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4DDB0DA"/>
    <w:multiLevelType w:val="singleLevel"/>
    <w:tmpl w:val="94DDB0DA"/>
    <w:lvl w:ilvl="0" w:tentative="0">
      <w:start w:val="2"/>
      <w:numFmt w:val="decimal"/>
      <w:suff w:val="nothing"/>
      <w:lvlText w:val="%1、"/>
      <w:lvlJc w:val="left"/>
    </w:lvl>
  </w:abstractNum>
  <w:abstractNum w:abstractNumId="2">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3">
    <w:nsid w:val="A77657F5"/>
    <w:multiLevelType w:val="singleLevel"/>
    <w:tmpl w:val="A77657F5"/>
    <w:lvl w:ilvl="0" w:tentative="0">
      <w:start w:val="1"/>
      <w:numFmt w:val="decimal"/>
      <w:suff w:val="nothing"/>
      <w:lvlText w:val="（%1）"/>
      <w:lvlJc w:val="left"/>
    </w:lvl>
  </w:abstractNum>
  <w:abstractNum w:abstractNumId="4">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5">
    <w:nsid w:val="B60EDFBE"/>
    <w:multiLevelType w:val="singleLevel"/>
    <w:tmpl w:val="B60EDFBE"/>
    <w:lvl w:ilvl="0" w:tentative="0">
      <w:start w:val="1"/>
      <w:numFmt w:val="decimal"/>
      <w:suff w:val="nothing"/>
      <w:lvlText w:val="（%1）"/>
      <w:lvlJc w:val="left"/>
    </w:lvl>
  </w:abstractNum>
  <w:abstractNum w:abstractNumId="6">
    <w:nsid w:val="BFFEB4E7"/>
    <w:multiLevelType w:val="singleLevel"/>
    <w:tmpl w:val="BFFEB4E7"/>
    <w:lvl w:ilvl="0" w:tentative="0">
      <w:start w:val="1"/>
      <w:numFmt w:val="decimal"/>
      <w:suff w:val="nothing"/>
      <w:lvlText w:val="（%1）"/>
      <w:lvlJc w:val="left"/>
      <w:pPr>
        <w:ind w:left="480" w:firstLine="0"/>
      </w:pPr>
    </w:lvl>
  </w:abstractNum>
  <w:abstractNum w:abstractNumId="7">
    <w:nsid w:val="CBCC1AFC"/>
    <w:multiLevelType w:val="singleLevel"/>
    <w:tmpl w:val="CBCC1AFC"/>
    <w:lvl w:ilvl="0" w:tentative="0">
      <w:start w:val="5"/>
      <w:numFmt w:val="decimal"/>
      <w:suff w:val="nothing"/>
      <w:lvlText w:val="%1、"/>
      <w:lvlJc w:val="left"/>
    </w:lvl>
  </w:abstractNum>
  <w:abstractNum w:abstractNumId="8">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9">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0">
    <w:nsid w:val="3DD92D90"/>
    <w:multiLevelType w:val="singleLevel"/>
    <w:tmpl w:val="3DD92D90"/>
    <w:lvl w:ilvl="0" w:tentative="0">
      <w:start w:val="2"/>
      <w:numFmt w:val="decimal"/>
      <w:suff w:val="nothing"/>
      <w:lvlText w:val="%1、"/>
      <w:lvlJc w:val="left"/>
    </w:lvl>
  </w:abstractNum>
  <w:abstractNum w:abstractNumId="11">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2">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3">
    <w:nsid w:val="4956ED07"/>
    <w:multiLevelType w:val="singleLevel"/>
    <w:tmpl w:val="4956ED07"/>
    <w:lvl w:ilvl="0" w:tentative="0">
      <w:start w:val="1"/>
      <w:numFmt w:val="decimal"/>
      <w:suff w:val="nothing"/>
      <w:lvlText w:val="%1、"/>
      <w:lvlJc w:val="left"/>
    </w:lvl>
  </w:abstractNum>
  <w:abstractNum w:abstractNumId="14">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5">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6">
    <w:nsid w:val="5E1D57DD"/>
    <w:multiLevelType w:val="multilevel"/>
    <w:tmpl w:val="5E1D57DD"/>
    <w:lvl w:ilvl="0" w:tentative="0">
      <w:start w:val="1"/>
      <w:numFmt w:val="chineseCountingThousand"/>
      <w:pStyle w:val="18"/>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6"/>
  </w:num>
  <w:num w:numId="2">
    <w:abstractNumId w:val="17"/>
  </w:num>
  <w:num w:numId="3">
    <w:abstractNumId w:val="5"/>
  </w:num>
  <w:num w:numId="4">
    <w:abstractNumId w:val="3"/>
  </w:num>
  <w:num w:numId="5">
    <w:abstractNumId w:val="11"/>
  </w:num>
  <w:num w:numId="6">
    <w:abstractNumId w:val="6"/>
  </w:num>
  <w:num w:numId="7">
    <w:abstractNumId w:val="7"/>
  </w:num>
  <w:num w:numId="8">
    <w:abstractNumId w:val="12"/>
  </w:num>
  <w:num w:numId="9">
    <w:abstractNumId w:val="13"/>
  </w:num>
  <w:num w:numId="10">
    <w:abstractNumId w:val="1"/>
  </w:num>
  <w:num w:numId="11">
    <w:abstractNumId w:val="10"/>
  </w:num>
  <w:num w:numId="12">
    <w:abstractNumId w:val="4"/>
  </w:num>
  <w:num w:numId="13">
    <w:abstractNumId w:val="8"/>
  </w:num>
  <w:num w:numId="14">
    <w:abstractNumId w:val="2"/>
  </w:num>
  <w:num w:numId="15">
    <w:abstractNumId w:val="0"/>
  </w:num>
  <w:num w:numId="16">
    <w:abstractNumId w:val="9"/>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KSO_WPS_MARK_KEY" w:val="6c52a594-fa24-4eda-8bdf-1df5baad3362"/>
  </w:docVars>
  <w:rsids>
    <w:rsidRoot w:val="6F152D9A"/>
    <w:rsid w:val="0043073C"/>
    <w:rsid w:val="005D4603"/>
    <w:rsid w:val="008B1170"/>
    <w:rsid w:val="009E70F5"/>
    <w:rsid w:val="00A364B9"/>
    <w:rsid w:val="00B22BA0"/>
    <w:rsid w:val="00DE5743"/>
    <w:rsid w:val="01211AD4"/>
    <w:rsid w:val="01465165"/>
    <w:rsid w:val="0159301C"/>
    <w:rsid w:val="01AA3877"/>
    <w:rsid w:val="01C550D9"/>
    <w:rsid w:val="01CD6404"/>
    <w:rsid w:val="01F12E3E"/>
    <w:rsid w:val="020D55FC"/>
    <w:rsid w:val="022618D2"/>
    <w:rsid w:val="02271F3B"/>
    <w:rsid w:val="02274EC8"/>
    <w:rsid w:val="02881E0B"/>
    <w:rsid w:val="031134B4"/>
    <w:rsid w:val="0341645D"/>
    <w:rsid w:val="038325D2"/>
    <w:rsid w:val="03990047"/>
    <w:rsid w:val="03D930D0"/>
    <w:rsid w:val="03E219EE"/>
    <w:rsid w:val="042277B0"/>
    <w:rsid w:val="043D7D0C"/>
    <w:rsid w:val="04A005CC"/>
    <w:rsid w:val="04B50EB1"/>
    <w:rsid w:val="04C23560"/>
    <w:rsid w:val="04C63705"/>
    <w:rsid w:val="04FF037E"/>
    <w:rsid w:val="05D44C82"/>
    <w:rsid w:val="06336033"/>
    <w:rsid w:val="06490017"/>
    <w:rsid w:val="065C03C0"/>
    <w:rsid w:val="06857DCD"/>
    <w:rsid w:val="069E458D"/>
    <w:rsid w:val="06BE2A9A"/>
    <w:rsid w:val="06C44D16"/>
    <w:rsid w:val="070103DE"/>
    <w:rsid w:val="070D6D82"/>
    <w:rsid w:val="072F63A4"/>
    <w:rsid w:val="073A2526"/>
    <w:rsid w:val="07664625"/>
    <w:rsid w:val="07677245"/>
    <w:rsid w:val="07787DB5"/>
    <w:rsid w:val="077961C6"/>
    <w:rsid w:val="079A3CF2"/>
    <w:rsid w:val="07AC659B"/>
    <w:rsid w:val="07BC60B3"/>
    <w:rsid w:val="07FD54F6"/>
    <w:rsid w:val="08013745"/>
    <w:rsid w:val="08691ED9"/>
    <w:rsid w:val="08713E40"/>
    <w:rsid w:val="087C541A"/>
    <w:rsid w:val="08950582"/>
    <w:rsid w:val="08E57A87"/>
    <w:rsid w:val="08F43C68"/>
    <w:rsid w:val="09300B06"/>
    <w:rsid w:val="09491BC8"/>
    <w:rsid w:val="09823515"/>
    <w:rsid w:val="098A4A9C"/>
    <w:rsid w:val="09F77876"/>
    <w:rsid w:val="0A5E16A3"/>
    <w:rsid w:val="0A602146"/>
    <w:rsid w:val="0A6A21BF"/>
    <w:rsid w:val="0A8A693C"/>
    <w:rsid w:val="0AA72E75"/>
    <w:rsid w:val="0AB85257"/>
    <w:rsid w:val="0ACE378F"/>
    <w:rsid w:val="0B0E45A6"/>
    <w:rsid w:val="0B7B37EB"/>
    <w:rsid w:val="0BB91DF1"/>
    <w:rsid w:val="0BCB4B16"/>
    <w:rsid w:val="0BE62205"/>
    <w:rsid w:val="0BF202F5"/>
    <w:rsid w:val="0C2B0B3A"/>
    <w:rsid w:val="0C45359F"/>
    <w:rsid w:val="0C471B3A"/>
    <w:rsid w:val="0C822ACA"/>
    <w:rsid w:val="0C85560D"/>
    <w:rsid w:val="0CB70393"/>
    <w:rsid w:val="0CBB2DDD"/>
    <w:rsid w:val="0D046532"/>
    <w:rsid w:val="0D3F1CF7"/>
    <w:rsid w:val="0D5C54A5"/>
    <w:rsid w:val="0D7F3E0A"/>
    <w:rsid w:val="0D9F3011"/>
    <w:rsid w:val="0DC34AA9"/>
    <w:rsid w:val="0E303356"/>
    <w:rsid w:val="0E341C49"/>
    <w:rsid w:val="0E430BBB"/>
    <w:rsid w:val="0E4B0853"/>
    <w:rsid w:val="0E50135E"/>
    <w:rsid w:val="0E5400D2"/>
    <w:rsid w:val="0E59465B"/>
    <w:rsid w:val="0E9E6512"/>
    <w:rsid w:val="0EC73CBB"/>
    <w:rsid w:val="0EDC703A"/>
    <w:rsid w:val="0F19203C"/>
    <w:rsid w:val="0F2A5DFB"/>
    <w:rsid w:val="0F670FFA"/>
    <w:rsid w:val="0FAC4C5F"/>
    <w:rsid w:val="0FB700E9"/>
    <w:rsid w:val="0FE34DB9"/>
    <w:rsid w:val="0FE35044"/>
    <w:rsid w:val="0FE96BFE"/>
    <w:rsid w:val="10634BF3"/>
    <w:rsid w:val="10B40C48"/>
    <w:rsid w:val="11E178D7"/>
    <w:rsid w:val="12431D83"/>
    <w:rsid w:val="12793B4E"/>
    <w:rsid w:val="12A66E32"/>
    <w:rsid w:val="12D149BF"/>
    <w:rsid w:val="13062E42"/>
    <w:rsid w:val="13160D6D"/>
    <w:rsid w:val="13242E4C"/>
    <w:rsid w:val="1373154F"/>
    <w:rsid w:val="138A5087"/>
    <w:rsid w:val="139B74C4"/>
    <w:rsid w:val="13A1291C"/>
    <w:rsid w:val="13F57F6C"/>
    <w:rsid w:val="140E7C96"/>
    <w:rsid w:val="141C1811"/>
    <w:rsid w:val="144E5BAF"/>
    <w:rsid w:val="14544440"/>
    <w:rsid w:val="145B077C"/>
    <w:rsid w:val="148F7029"/>
    <w:rsid w:val="1494528A"/>
    <w:rsid w:val="14C64A14"/>
    <w:rsid w:val="14FE7D0A"/>
    <w:rsid w:val="15201FB1"/>
    <w:rsid w:val="15347304"/>
    <w:rsid w:val="153B4ABB"/>
    <w:rsid w:val="15567B46"/>
    <w:rsid w:val="16027A14"/>
    <w:rsid w:val="16115FDB"/>
    <w:rsid w:val="16322361"/>
    <w:rsid w:val="163A6938"/>
    <w:rsid w:val="164B3423"/>
    <w:rsid w:val="166512B3"/>
    <w:rsid w:val="16B63740"/>
    <w:rsid w:val="16BF796D"/>
    <w:rsid w:val="16CF7BB0"/>
    <w:rsid w:val="16F15B1D"/>
    <w:rsid w:val="17033CFE"/>
    <w:rsid w:val="17810102"/>
    <w:rsid w:val="17CF1E32"/>
    <w:rsid w:val="182201B4"/>
    <w:rsid w:val="18365A0D"/>
    <w:rsid w:val="183F48C2"/>
    <w:rsid w:val="18E667DE"/>
    <w:rsid w:val="18F17028"/>
    <w:rsid w:val="19094B92"/>
    <w:rsid w:val="190B1AB7"/>
    <w:rsid w:val="190E1E92"/>
    <w:rsid w:val="193E2DCB"/>
    <w:rsid w:val="194B4539"/>
    <w:rsid w:val="19677F5C"/>
    <w:rsid w:val="19AA0461"/>
    <w:rsid w:val="19B85C8E"/>
    <w:rsid w:val="19EF3664"/>
    <w:rsid w:val="1A6E1403"/>
    <w:rsid w:val="1A7437D6"/>
    <w:rsid w:val="1A8E78C8"/>
    <w:rsid w:val="1A914D5C"/>
    <w:rsid w:val="1A9B5FFB"/>
    <w:rsid w:val="1AA24685"/>
    <w:rsid w:val="1AED6666"/>
    <w:rsid w:val="1BB9498B"/>
    <w:rsid w:val="1BD96DDB"/>
    <w:rsid w:val="1C2529FF"/>
    <w:rsid w:val="1C427076"/>
    <w:rsid w:val="1C522596"/>
    <w:rsid w:val="1C5D559C"/>
    <w:rsid w:val="1C6F14EE"/>
    <w:rsid w:val="1CA7072B"/>
    <w:rsid w:val="1D2B18B9"/>
    <w:rsid w:val="1D374168"/>
    <w:rsid w:val="1D5D4327"/>
    <w:rsid w:val="1D7414B2"/>
    <w:rsid w:val="1D815FCC"/>
    <w:rsid w:val="1D927B8A"/>
    <w:rsid w:val="1DCA2E80"/>
    <w:rsid w:val="1DDA43AF"/>
    <w:rsid w:val="1E340C41"/>
    <w:rsid w:val="1E403142"/>
    <w:rsid w:val="1E5C2DB9"/>
    <w:rsid w:val="1E781388"/>
    <w:rsid w:val="1EA47B74"/>
    <w:rsid w:val="1EAE454F"/>
    <w:rsid w:val="1EC51899"/>
    <w:rsid w:val="1EEF7754"/>
    <w:rsid w:val="1EF65EF6"/>
    <w:rsid w:val="1F27593E"/>
    <w:rsid w:val="1F394761"/>
    <w:rsid w:val="1F572631"/>
    <w:rsid w:val="1F79077D"/>
    <w:rsid w:val="1F9028A2"/>
    <w:rsid w:val="1F9BB067"/>
    <w:rsid w:val="200655C0"/>
    <w:rsid w:val="20225213"/>
    <w:rsid w:val="20527E87"/>
    <w:rsid w:val="207417C9"/>
    <w:rsid w:val="20AA3CDC"/>
    <w:rsid w:val="20B23D8A"/>
    <w:rsid w:val="20FD531A"/>
    <w:rsid w:val="211508B6"/>
    <w:rsid w:val="218230A9"/>
    <w:rsid w:val="218B0B78"/>
    <w:rsid w:val="21A734D8"/>
    <w:rsid w:val="21F030D1"/>
    <w:rsid w:val="2221328A"/>
    <w:rsid w:val="223F287C"/>
    <w:rsid w:val="223F3056"/>
    <w:rsid w:val="22405675"/>
    <w:rsid w:val="22462A8A"/>
    <w:rsid w:val="22574EFE"/>
    <w:rsid w:val="22696FF6"/>
    <w:rsid w:val="229F2035"/>
    <w:rsid w:val="22E83DA8"/>
    <w:rsid w:val="22FD1499"/>
    <w:rsid w:val="23006025"/>
    <w:rsid w:val="230C1C0F"/>
    <w:rsid w:val="23531B69"/>
    <w:rsid w:val="23664217"/>
    <w:rsid w:val="23806518"/>
    <w:rsid w:val="23A5639B"/>
    <w:rsid w:val="23A67435"/>
    <w:rsid w:val="23BE1A45"/>
    <w:rsid w:val="23F171DD"/>
    <w:rsid w:val="240F5A90"/>
    <w:rsid w:val="243A63CC"/>
    <w:rsid w:val="24506E1F"/>
    <w:rsid w:val="246C10ED"/>
    <w:rsid w:val="249F3FA9"/>
    <w:rsid w:val="24C745BD"/>
    <w:rsid w:val="25FC2044"/>
    <w:rsid w:val="260F2A28"/>
    <w:rsid w:val="26135053"/>
    <w:rsid w:val="26176E7E"/>
    <w:rsid w:val="266D5898"/>
    <w:rsid w:val="26BE19EF"/>
    <w:rsid w:val="26E24FAE"/>
    <w:rsid w:val="27734588"/>
    <w:rsid w:val="27862674"/>
    <w:rsid w:val="27DA0163"/>
    <w:rsid w:val="28150C75"/>
    <w:rsid w:val="286F3F95"/>
    <w:rsid w:val="287B7F79"/>
    <w:rsid w:val="28D92B11"/>
    <w:rsid w:val="293D4466"/>
    <w:rsid w:val="29BF65DC"/>
    <w:rsid w:val="29CD4DD1"/>
    <w:rsid w:val="2A445BEE"/>
    <w:rsid w:val="2A5A1A2F"/>
    <w:rsid w:val="2ADF25DA"/>
    <w:rsid w:val="2B0674C1"/>
    <w:rsid w:val="2B353322"/>
    <w:rsid w:val="2B3D7387"/>
    <w:rsid w:val="2B6C7192"/>
    <w:rsid w:val="2B817BC9"/>
    <w:rsid w:val="2BB9468C"/>
    <w:rsid w:val="2BC2163A"/>
    <w:rsid w:val="2BD73CFD"/>
    <w:rsid w:val="2C2422F5"/>
    <w:rsid w:val="2C41042A"/>
    <w:rsid w:val="2CCB2770"/>
    <w:rsid w:val="2D0D5163"/>
    <w:rsid w:val="2D546C0A"/>
    <w:rsid w:val="2D5B7F98"/>
    <w:rsid w:val="2D614E83"/>
    <w:rsid w:val="2DB33013"/>
    <w:rsid w:val="2DD077B2"/>
    <w:rsid w:val="2DF301D1"/>
    <w:rsid w:val="2E615CCD"/>
    <w:rsid w:val="2E954DE4"/>
    <w:rsid w:val="2F3445FD"/>
    <w:rsid w:val="2F37730B"/>
    <w:rsid w:val="2F9D0A12"/>
    <w:rsid w:val="2FF11F73"/>
    <w:rsid w:val="30202C6F"/>
    <w:rsid w:val="302610FC"/>
    <w:rsid w:val="3043586B"/>
    <w:rsid w:val="3058256D"/>
    <w:rsid w:val="30766E97"/>
    <w:rsid w:val="30806AFC"/>
    <w:rsid w:val="30B71989"/>
    <w:rsid w:val="30E33504"/>
    <w:rsid w:val="310B6BF3"/>
    <w:rsid w:val="314C62CD"/>
    <w:rsid w:val="318A66B1"/>
    <w:rsid w:val="31A627B9"/>
    <w:rsid w:val="31B72085"/>
    <w:rsid w:val="31F60A7B"/>
    <w:rsid w:val="32236C2E"/>
    <w:rsid w:val="328C0BF4"/>
    <w:rsid w:val="33154745"/>
    <w:rsid w:val="33484B1B"/>
    <w:rsid w:val="33550FE6"/>
    <w:rsid w:val="335D7410"/>
    <w:rsid w:val="335E60EC"/>
    <w:rsid w:val="336D3EA4"/>
    <w:rsid w:val="336E7970"/>
    <w:rsid w:val="33C64EB5"/>
    <w:rsid w:val="343E641F"/>
    <w:rsid w:val="34637732"/>
    <w:rsid w:val="34BA01EF"/>
    <w:rsid w:val="34C74165"/>
    <w:rsid w:val="34E751DD"/>
    <w:rsid w:val="352F64C7"/>
    <w:rsid w:val="35C012AA"/>
    <w:rsid w:val="35C249F4"/>
    <w:rsid w:val="35E21FE4"/>
    <w:rsid w:val="363D6170"/>
    <w:rsid w:val="36525CB0"/>
    <w:rsid w:val="36C546D4"/>
    <w:rsid w:val="37021484"/>
    <w:rsid w:val="37205FF6"/>
    <w:rsid w:val="372E04CB"/>
    <w:rsid w:val="374F6745"/>
    <w:rsid w:val="37635EED"/>
    <w:rsid w:val="37865C12"/>
    <w:rsid w:val="38624A88"/>
    <w:rsid w:val="38945642"/>
    <w:rsid w:val="38A432E7"/>
    <w:rsid w:val="38DC3EDC"/>
    <w:rsid w:val="38F93D38"/>
    <w:rsid w:val="38FA68B7"/>
    <w:rsid w:val="391B4A7F"/>
    <w:rsid w:val="39202096"/>
    <w:rsid w:val="39394B01"/>
    <w:rsid w:val="396C0E37"/>
    <w:rsid w:val="396E2E01"/>
    <w:rsid w:val="39F50E2C"/>
    <w:rsid w:val="3A3F2303"/>
    <w:rsid w:val="3A950543"/>
    <w:rsid w:val="3A9E7716"/>
    <w:rsid w:val="3AAC6B47"/>
    <w:rsid w:val="3AC69175"/>
    <w:rsid w:val="3AD826C1"/>
    <w:rsid w:val="3ADA4C75"/>
    <w:rsid w:val="3ADA56C8"/>
    <w:rsid w:val="3B00217F"/>
    <w:rsid w:val="3B855DC3"/>
    <w:rsid w:val="3B974891"/>
    <w:rsid w:val="3BCB7275"/>
    <w:rsid w:val="3BD21711"/>
    <w:rsid w:val="3BD80F0D"/>
    <w:rsid w:val="3BF028B3"/>
    <w:rsid w:val="3C1C4D96"/>
    <w:rsid w:val="3C215F09"/>
    <w:rsid w:val="3C31001D"/>
    <w:rsid w:val="3C4B11D8"/>
    <w:rsid w:val="3CDD2778"/>
    <w:rsid w:val="3D1D0FA8"/>
    <w:rsid w:val="3D5610FE"/>
    <w:rsid w:val="3D7F382F"/>
    <w:rsid w:val="3D9B4E64"/>
    <w:rsid w:val="3D9B7F3D"/>
    <w:rsid w:val="3DC54FBA"/>
    <w:rsid w:val="3DFFDE8C"/>
    <w:rsid w:val="3E016A5C"/>
    <w:rsid w:val="3E0D394A"/>
    <w:rsid w:val="3E6B3DB3"/>
    <w:rsid w:val="3E90273A"/>
    <w:rsid w:val="3EA352FB"/>
    <w:rsid w:val="3EBC460F"/>
    <w:rsid w:val="3EBE3EE3"/>
    <w:rsid w:val="3EE33949"/>
    <w:rsid w:val="3EF97772"/>
    <w:rsid w:val="3F2859A4"/>
    <w:rsid w:val="3F3C7CCF"/>
    <w:rsid w:val="3F612B39"/>
    <w:rsid w:val="3F8C5D8F"/>
    <w:rsid w:val="3FD00372"/>
    <w:rsid w:val="3FD918E0"/>
    <w:rsid w:val="3FDD483D"/>
    <w:rsid w:val="3FE07E89"/>
    <w:rsid w:val="3FE2326F"/>
    <w:rsid w:val="4026570D"/>
    <w:rsid w:val="405745EF"/>
    <w:rsid w:val="407D110C"/>
    <w:rsid w:val="411B561D"/>
    <w:rsid w:val="41326E0A"/>
    <w:rsid w:val="41361B95"/>
    <w:rsid w:val="414D77A0"/>
    <w:rsid w:val="41A35612"/>
    <w:rsid w:val="421C7965"/>
    <w:rsid w:val="428F6994"/>
    <w:rsid w:val="42A15FF5"/>
    <w:rsid w:val="42B05D5C"/>
    <w:rsid w:val="42B27301"/>
    <w:rsid w:val="42C13476"/>
    <w:rsid w:val="42D55690"/>
    <w:rsid w:val="42DE3E28"/>
    <w:rsid w:val="431C567C"/>
    <w:rsid w:val="439971FA"/>
    <w:rsid w:val="43A833B4"/>
    <w:rsid w:val="43B7201E"/>
    <w:rsid w:val="43BD6E5F"/>
    <w:rsid w:val="43D04618"/>
    <w:rsid w:val="43F41FD8"/>
    <w:rsid w:val="440209A9"/>
    <w:rsid w:val="44BB1AE9"/>
    <w:rsid w:val="44D65FFB"/>
    <w:rsid w:val="44F350D2"/>
    <w:rsid w:val="45237196"/>
    <w:rsid w:val="45313690"/>
    <w:rsid w:val="457271D8"/>
    <w:rsid w:val="459816D9"/>
    <w:rsid w:val="45E43E84"/>
    <w:rsid w:val="461A0599"/>
    <w:rsid w:val="461B60BF"/>
    <w:rsid w:val="4649255C"/>
    <w:rsid w:val="469C746C"/>
    <w:rsid w:val="46B75DE7"/>
    <w:rsid w:val="472015A9"/>
    <w:rsid w:val="47867568"/>
    <w:rsid w:val="480908C5"/>
    <w:rsid w:val="48180B08"/>
    <w:rsid w:val="4847426C"/>
    <w:rsid w:val="48A34EE3"/>
    <w:rsid w:val="48C91AF4"/>
    <w:rsid w:val="48E766F3"/>
    <w:rsid w:val="490168B9"/>
    <w:rsid w:val="49997A26"/>
    <w:rsid w:val="4A165864"/>
    <w:rsid w:val="4A4060C9"/>
    <w:rsid w:val="4AA04DE4"/>
    <w:rsid w:val="4ABD14F2"/>
    <w:rsid w:val="4ACC3E2B"/>
    <w:rsid w:val="4AF313B8"/>
    <w:rsid w:val="4AF52CB6"/>
    <w:rsid w:val="4B9C37C9"/>
    <w:rsid w:val="4BA60AB1"/>
    <w:rsid w:val="4BAF1783"/>
    <w:rsid w:val="4BC114B6"/>
    <w:rsid w:val="4BCF5981"/>
    <w:rsid w:val="4BE34546"/>
    <w:rsid w:val="4BF94C2F"/>
    <w:rsid w:val="4C906769"/>
    <w:rsid w:val="4CE74F4D"/>
    <w:rsid w:val="4D1473C4"/>
    <w:rsid w:val="4D1A2C2C"/>
    <w:rsid w:val="4DDF102B"/>
    <w:rsid w:val="4DE33966"/>
    <w:rsid w:val="4E1844A1"/>
    <w:rsid w:val="4E1D47E8"/>
    <w:rsid w:val="4E310776"/>
    <w:rsid w:val="4E5E1120"/>
    <w:rsid w:val="4E9208C3"/>
    <w:rsid w:val="4EDE6657"/>
    <w:rsid w:val="4F226DC8"/>
    <w:rsid w:val="4F234ACC"/>
    <w:rsid w:val="4F2A7373"/>
    <w:rsid w:val="4F3E697A"/>
    <w:rsid w:val="4F6351A5"/>
    <w:rsid w:val="4F7E67DE"/>
    <w:rsid w:val="4F7F44DF"/>
    <w:rsid w:val="4F952A3E"/>
    <w:rsid w:val="4FA71C3F"/>
    <w:rsid w:val="4FAE7FA4"/>
    <w:rsid w:val="4FBA3692"/>
    <w:rsid w:val="4FDC241B"/>
    <w:rsid w:val="4FF6037E"/>
    <w:rsid w:val="501C6CBB"/>
    <w:rsid w:val="50346648"/>
    <w:rsid w:val="505C668F"/>
    <w:rsid w:val="50601F36"/>
    <w:rsid w:val="50964CC0"/>
    <w:rsid w:val="509F6090"/>
    <w:rsid w:val="50A540BB"/>
    <w:rsid w:val="50FE0AB7"/>
    <w:rsid w:val="512978E2"/>
    <w:rsid w:val="51346847"/>
    <w:rsid w:val="515D758B"/>
    <w:rsid w:val="516C5CF7"/>
    <w:rsid w:val="51867B3E"/>
    <w:rsid w:val="519D3E2C"/>
    <w:rsid w:val="51A575B0"/>
    <w:rsid w:val="51B164F9"/>
    <w:rsid w:val="51FB118C"/>
    <w:rsid w:val="51FF4AE6"/>
    <w:rsid w:val="520774F7"/>
    <w:rsid w:val="525B75EF"/>
    <w:rsid w:val="52666914"/>
    <w:rsid w:val="5267529D"/>
    <w:rsid w:val="529E3A37"/>
    <w:rsid w:val="52DB2E5E"/>
    <w:rsid w:val="53135B7C"/>
    <w:rsid w:val="5328435C"/>
    <w:rsid w:val="53A6051D"/>
    <w:rsid w:val="53AF2171"/>
    <w:rsid w:val="53B60FA0"/>
    <w:rsid w:val="53B92BD0"/>
    <w:rsid w:val="53C27B7A"/>
    <w:rsid w:val="53CF512F"/>
    <w:rsid w:val="53D92F4F"/>
    <w:rsid w:val="53E61F03"/>
    <w:rsid w:val="54360265"/>
    <w:rsid w:val="54A728B7"/>
    <w:rsid w:val="54BE5581"/>
    <w:rsid w:val="54C343AC"/>
    <w:rsid w:val="54E67898"/>
    <w:rsid w:val="550C37A2"/>
    <w:rsid w:val="55124B31"/>
    <w:rsid w:val="553757FC"/>
    <w:rsid w:val="5581276A"/>
    <w:rsid w:val="55DF74EC"/>
    <w:rsid w:val="56351CDB"/>
    <w:rsid w:val="56390C64"/>
    <w:rsid w:val="566D64C3"/>
    <w:rsid w:val="56743D30"/>
    <w:rsid w:val="56EB73E7"/>
    <w:rsid w:val="56F55208"/>
    <w:rsid w:val="571006E4"/>
    <w:rsid w:val="5737327E"/>
    <w:rsid w:val="57402295"/>
    <w:rsid w:val="57FC20CB"/>
    <w:rsid w:val="581320C1"/>
    <w:rsid w:val="5822070D"/>
    <w:rsid w:val="583D01CF"/>
    <w:rsid w:val="58C63C68"/>
    <w:rsid w:val="58D01E31"/>
    <w:rsid w:val="58D50A2B"/>
    <w:rsid w:val="5A0013FC"/>
    <w:rsid w:val="5A407A4A"/>
    <w:rsid w:val="5A4E09B0"/>
    <w:rsid w:val="5A7B0A82"/>
    <w:rsid w:val="5AA44386"/>
    <w:rsid w:val="5ABA15AB"/>
    <w:rsid w:val="5ADD6FF1"/>
    <w:rsid w:val="5AE26D53"/>
    <w:rsid w:val="5B1834F7"/>
    <w:rsid w:val="5B9B0047"/>
    <w:rsid w:val="5BC06890"/>
    <w:rsid w:val="5BD743DE"/>
    <w:rsid w:val="5BDC0C8B"/>
    <w:rsid w:val="5BF60D08"/>
    <w:rsid w:val="5C0C052C"/>
    <w:rsid w:val="5C4D4754"/>
    <w:rsid w:val="5C5A1297"/>
    <w:rsid w:val="5C6F429B"/>
    <w:rsid w:val="5C700ABB"/>
    <w:rsid w:val="5C8C73B3"/>
    <w:rsid w:val="5C9C6B0B"/>
    <w:rsid w:val="5CCE6402"/>
    <w:rsid w:val="5CDF179C"/>
    <w:rsid w:val="5D1A517B"/>
    <w:rsid w:val="5D5E25D8"/>
    <w:rsid w:val="5E24151B"/>
    <w:rsid w:val="5E343D6A"/>
    <w:rsid w:val="5E436EA1"/>
    <w:rsid w:val="5E6737F7"/>
    <w:rsid w:val="5EA246C8"/>
    <w:rsid w:val="5EAF6EE2"/>
    <w:rsid w:val="5EB729BA"/>
    <w:rsid w:val="5ED836FE"/>
    <w:rsid w:val="5EF07C91"/>
    <w:rsid w:val="5F132FF0"/>
    <w:rsid w:val="5F1E0A25"/>
    <w:rsid w:val="5F4E71AE"/>
    <w:rsid w:val="5FD01870"/>
    <w:rsid w:val="5FE77D07"/>
    <w:rsid w:val="5FEA0785"/>
    <w:rsid w:val="5FEF0897"/>
    <w:rsid w:val="60211516"/>
    <w:rsid w:val="60382473"/>
    <w:rsid w:val="603B26DF"/>
    <w:rsid w:val="605E3790"/>
    <w:rsid w:val="607E751E"/>
    <w:rsid w:val="609B1E7E"/>
    <w:rsid w:val="60E45417"/>
    <w:rsid w:val="61161505"/>
    <w:rsid w:val="613876CD"/>
    <w:rsid w:val="613C7568"/>
    <w:rsid w:val="613D36D1"/>
    <w:rsid w:val="61477910"/>
    <w:rsid w:val="61493688"/>
    <w:rsid w:val="616A6E87"/>
    <w:rsid w:val="618F2C11"/>
    <w:rsid w:val="61E45BE1"/>
    <w:rsid w:val="61F25ACE"/>
    <w:rsid w:val="61FC06FB"/>
    <w:rsid w:val="62306A78"/>
    <w:rsid w:val="623B56C7"/>
    <w:rsid w:val="62E6057E"/>
    <w:rsid w:val="6341070D"/>
    <w:rsid w:val="634C56B2"/>
    <w:rsid w:val="637901FC"/>
    <w:rsid w:val="638C3E3F"/>
    <w:rsid w:val="63A075C4"/>
    <w:rsid w:val="64427DEE"/>
    <w:rsid w:val="6445282D"/>
    <w:rsid w:val="645273F9"/>
    <w:rsid w:val="649C7F73"/>
    <w:rsid w:val="64C64FF0"/>
    <w:rsid w:val="64E421D7"/>
    <w:rsid w:val="65000502"/>
    <w:rsid w:val="654D08A6"/>
    <w:rsid w:val="658E3D60"/>
    <w:rsid w:val="65975ABE"/>
    <w:rsid w:val="65BA2DA7"/>
    <w:rsid w:val="65E358B9"/>
    <w:rsid w:val="65FC3B45"/>
    <w:rsid w:val="66903B07"/>
    <w:rsid w:val="669823E4"/>
    <w:rsid w:val="66BD4600"/>
    <w:rsid w:val="670E2D2E"/>
    <w:rsid w:val="6721001D"/>
    <w:rsid w:val="67334BBF"/>
    <w:rsid w:val="6739419F"/>
    <w:rsid w:val="673E681D"/>
    <w:rsid w:val="674768BC"/>
    <w:rsid w:val="678629DB"/>
    <w:rsid w:val="679F2254"/>
    <w:rsid w:val="67C47140"/>
    <w:rsid w:val="682E5386"/>
    <w:rsid w:val="686F41A0"/>
    <w:rsid w:val="687E455F"/>
    <w:rsid w:val="689E250C"/>
    <w:rsid w:val="68C233BF"/>
    <w:rsid w:val="68CA77A4"/>
    <w:rsid w:val="68D12617"/>
    <w:rsid w:val="68DA1A35"/>
    <w:rsid w:val="6901792E"/>
    <w:rsid w:val="69117181"/>
    <w:rsid w:val="691B590A"/>
    <w:rsid w:val="6944742F"/>
    <w:rsid w:val="69F85C4B"/>
    <w:rsid w:val="6A010FA4"/>
    <w:rsid w:val="6A7C062B"/>
    <w:rsid w:val="6AE01ADE"/>
    <w:rsid w:val="6AE85CC0"/>
    <w:rsid w:val="6B0A3E88"/>
    <w:rsid w:val="6B0B007F"/>
    <w:rsid w:val="6B213A4B"/>
    <w:rsid w:val="6BB6110A"/>
    <w:rsid w:val="6BD3071E"/>
    <w:rsid w:val="6C133210"/>
    <w:rsid w:val="6C134FBF"/>
    <w:rsid w:val="6C643B3D"/>
    <w:rsid w:val="6C7C7008"/>
    <w:rsid w:val="6C7D2C9B"/>
    <w:rsid w:val="6C8D2FC3"/>
    <w:rsid w:val="6C8D57E8"/>
    <w:rsid w:val="6CC369E5"/>
    <w:rsid w:val="6D152C7A"/>
    <w:rsid w:val="6D380749"/>
    <w:rsid w:val="6D401DE3"/>
    <w:rsid w:val="6D5835D1"/>
    <w:rsid w:val="6D632B13"/>
    <w:rsid w:val="6D8A305E"/>
    <w:rsid w:val="6D8C6AB1"/>
    <w:rsid w:val="6D9640F9"/>
    <w:rsid w:val="6D974716"/>
    <w:rsid w:val="6DBEEE79"/>
    <w:rsid w:val="6E1F40EF"/>
    <w:rsid w:val="6E5518BE"/>
    <w:rsid w:val="6E9835C9"/>
    <w:rsid w:val="6E9D0F19"/>
    <w:rsid w:val="6EEA46FD"/>
    <w:rsid w:val="6F101C89"/>
    <w:rsid w:val="6F1225EF"/>
    <w:rsid w:val="6F152D9A"/>
    <w:rsid w:val="6F3FB62F"/>
    <w:rsid w:val="6F600666"/>
    <w:rsid w:val="6F7D196F"/>
    <w:rsid w:val="6FA64098"/>
    <w:rsid w:val="6FB865A9"/>
    <w:rsid w:val="6FFF7C0E"/>
    <w:rsid w:val="70622071"/>
    <w:rsid w:val="7073599E"/>
    <w:rsid w:val="70736AC3"/>
    <w:rsid w:val="70783835"/>
    <w:rsid w:val="70A42689"/>
    <w:rsid w:val="70AB7ACB"/>
    <w:rsid w:val="70E1568B"/>
    <w:rsid w:val="715414DE"/>
    <w:rsid w:val="71A566B9"/>
    <w:rsid w:val="71DB20DB"/>
    <w:rsid w:val="72131F24"/>
    <w:rsid w:val="72273572"/>
    <w:rsid w:val="722C6DDA"/>
    <w:rsid w:val="723B0DCB"/>
    <w:rsid w:val="72583E79"/>
    <w:rsid w:val="725A654C"/>
    <w:rsid w:val="72816CA4"/>
    <w:rsid w:val="729D6E69"/>
    <w:rsid w:val="731C29AB"/>
    <w:rsid w:val="735E0EFB"/>
    <w:rsid w:val="73941CCC"/>
    <w:rsid w:val="73993FFB"/>
    <w:rsid w:val="744A1799"/>
    <w:rsid w:val="74DB0CCD"/>
    <w:rsid w:val="74DB6895"/>
    <w:rsid w:val="7521074C"/>
    <w:rsid w:val="75402C0D"/>
    <w:rsid w:val="757F36C5"/>
    <w:rsid w:val="75D27C98"/>
    <w:rsid w:val="75DF9364"/>
    <w:rsid w:val="760925E8"/>
    <w:rsid w:val="760947E0"/>
    <w:rsid w:val="7630179E"/>
    <w:rsid w:val="7645528D"/>
    <w:rsid w:val="76487F5B"/>
    <w:rsid w:val="767A2D9C"/>
    <w:rsid w:val="76934ECB"/>
    <w:rsid w:val="7696746C"/>
    <w:rsid w:val="76BB279C"/>
    <w:rsid w:val="76FC4390"/>
    <w:rsid w:val="77107490"/>
    <w:rsid w:val="773A3D47"/>
    <w:rsid w:val="77C61FA0"/>
    <w:rsid w:val="77C92590"/>
    <w:rsid w:val="77D17A45"/>
    <w:rsid w:val="77F515E3"/>
    <w:rsid w:val="77FE2FC7"/>
    <w:rsid w:val="78055809"/>
    <w:rsid w:val="78125870"/>
    <w:rsid w:val="78623556"/>
    <w:rsid w:val="79061938"/>
    <w:rsid w:val="79064CFE"/>
    <w:rsid w:val="791B1604"/>
    <w:rsid w:val="797572B9"/>
    <w:rsid w:val="79A90D10"/>
    <w:rsid w:val="79AC5F4A"/>
    <w:rsid w:val="79B0209F"/>
    <w:rsid w:val="79BF480D"/>
    <w:rsid w:val="79CE4C1B"/>
    <w:rsid w:val="79F91C98"/>
    <w:rsid w:val="7A344A7E"/>
    <w:rsid w:val="7A5F5873"/>
    <w:rsid w:val="7A886B78"/>
    <w:rsid w:val="7AC71421"/>
    <w:rsid w:val="7B197E7C"/>
    <w:rsid w:val="7B7B05EB"/>
    <w:rsid w:val="7B7C25FF"/>
    <w:rsid w:val="7BA615A2"/>
    <w:rsid w:val="7BB162A5"/>
    <w:rsid w:val="7BB8348D"/>
    <w:rsid w:val="7BF546E1"/>
    <w:rsid w:val="7BFF585B"/>
    <w:rsid w:val="7C46162C"/>
    <w:rsid w:val="7CBF400F"/>
    <w:rsid w:val="7CC652AA"/>
    <w:rsid w:val="7D2D3A06"/>
    <w:rsid w:val="7D337C34"/>
    <w:rsid w:val="7D40373A"/>
    <w:rsid w:val="7D4A0A5C"/>
    <w:rsid w:val="7D580E3B"/>
    <w:rsid w:val="7D7E6B8B"/>
    <w:rsid w:val="7DEB3451"/>
    <w:rsid w:val="7E221091"/>
    <w:rsid w:val="7E4E1E86"/>
    <w:rsid w:val="7EAE1FE7"/>
    <w:rsid w:val="7EC91358"/>
    <w:rsid w:val="7F141322"/>
    <w:rsid w:val="7F341DFF"/>
    <w:rsid w:val="7F374C3B"/>
    <w:rsid w:val="7FDC3989"/>
    <w:rsid w:val="7FEA09E2"/>
    <w:rsid w:val="7FEC1957"/>
    <w:rsid w:val="7FF37189"/>
    <w:rsid w:val="7FFD4D01"/>
    <w:rsid w:val="B5FF2DC1"/>
    <w:rsid w:val="B746C064"/>
    <w:rsid w:val="BC936312"/>
    <w:rsid w:val="BDBF2126"/>
    <w:rsid w:val="BEDDE7CF"/>
    <w:rsid w:val="BEFDBCD3"/>
    <w:rsid w:val="E75F9682"/>
    <w:rsid w:val="EA0B12A9"/>
    <w:rsid w:val="EBF7E8C2"/>
    <w:rsid w:val="ECCA9512"/>
    <w:rsid w:val="EDFF8061"/>
    <w:rsid w:val="F1FED842"/>
    <w:rsid w:val="F6DF842D"/>
    <w:rsid w:val="FA7FE889"/>
    <w:rsid w:val="FADDB4F8"/>
    <w:rsid w:val="FAE9CD5D"/>
    <w:rsid w:val="FB692196"/>
    <w:rsid w:val="FD9DDDF9"/>
    <w:rsid w:val="FFD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paragraph" w:styleId="3">
    <w:name w:val="heading 5"/>
    <w:basedOn w:val="1"/>
    <w:next w:val="4"/>
    <w:qFormat/>
    <w:uiPriority w:val="0"/>
    <w:pPr>
      <w:keepNext/>
      <w:keepLines/>
      <w:spacing w:before="280" w:after="290" w:line="376" w:lineRule="auto"/>
      <w:outlineLvl w:val="4"/>
    </w:pPr>
    <w:rPr>
      <w:b/>
      <w:kern w:val="0"/>
      <w:sz w:val="28"/>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szCs w:val="20"/>
    </w:rPr>
  </w:style>
  <w:style w:type="paragraph" w:styleId="5">
    <w:name w:val="Body Text Indent"/>
    <w:basedOn w:val="1"/>
    <w:unhideWhenUsed/>
    <w:qFormat/>
    <w:uiPriority w:val="99"/>
    <w:pPr>
      <w:spacing w:after="120"/>
      <w:ind w:left="420" w:leftChars="200"/>
    </w:pPr>
    <w:rPr>
      <w:kern w:val="0"/>
      <w:sz w:val="20"/>
      <w:szCs w:val="20"/>
    </w:rPr>
  </w:style>
  <w:style w:type="paragraph" w:styleId="6">
    <w:name w:val="annotation text"/>
    <w:basedOn w:val="1"/>
    <w:unhideWhenUsed/>
    <w:qFormat/>
    <w:uiPriority w:val="0"/>
    <w:pPr>
      <w:jc w:val="left"/>
    </w:pPr>
    <w:rPr>
      <w:kern w:val="0"/>
      <w:sz w:val="20"/>
    </w:rPr>
  </w:style>
  <w:style w:type="paragraph" w:styleId="7">
    <w:name w:val="Body Text"/>
    <w:basedOn w:val="1"/>
    <w:next w:val="1"/>
    <w:unhideWhenUsed/>
    <w:qFormat/>
    <w:uiPriority w:val="0"/>
    <w:pPr>
      <w:spacing w:after="120"/>
    </w:pPr>
    <w:rPr>
      <w:sz w:val="24"/>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envelope return"/>
    <w:basedOn w:val="1"/>
    <w:qFormat/>
    <w:uiPriority w:val="0"/>
    <w:pPr>
      <w:tabs>
        <w:tab w:val="left" w:pos="426"/>
      </w:tabs>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style>
  <w:style w:type="paragraph" w:styleId="14">
    <w:name w:val="List"/>
    <w:basedOn w:val="1"/>
    <w:qFormat/>
    <w:uiPriority w:val="0"/>
    <w:pPr>
      <w:ind w:left="200" w:hanging="200" w:hangingChars="200"/>
    </w:pPr>
    <w:rPr>
      <w:rFonts w:ascii="Calibri" w:hAnsi="Calibri"/>
      <w:szCs w:val="20"/>
    </w:rPr>
  </w:style>
  <w:style w:type="paragraph" w:styleId="15">
    <w:name w:val="toc 2"/>
    <w:basedOn w:val="1"/>
    <w:next w:val="1"/>
    <w:qFormat/>
    <w:uiPriority w:val="0"/>
    <w:pPr>
      <w:spacing w:line="600" w:lineRule="exact"/>
      <w:ind w:firstLine="880" w:firstLineChars="200"/>
    </w:pPr>
    <w:rPr>
      <w:rFonts w:eastAsia="仿宋_GB2312"/>
      <w:sz w:val="3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Body Text First Indent 2"/>
    <w:basedOn w:val="5"/>
    <w:next w:val="14"/>
    <w:qFormat/>
    <w:uiPriority w:val="0"/>
    <w:pPr>
      <w:numPr>
        <w:ilvl w:val="0"/>
        <w:numId w:val="1"/>
      </w:numPr>
      <w:tabs>
        <w:tab w:val="left" w:pos="1050"/>
        <w:tab w:val="left" w:pos="2040"/>
      </w:tabs>
      <w:ind w:left="420" w:firstLine="420" w:firstLineChars="200"/>
    </w:pPr>
    <w:rPr>
      <w:rFonts w:ascii="Calibri" w:hAnsi="Calibri" w:eastAsia="宋体"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paragraph" w:styleId="24">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5">
    <w:name w:val="正文格式"/>
    <w:basedOn w:val="5"/>
    <w:qFormat/>
    <w:uiPriority w:val="99"/>
    <w:pPr>
      <w:spacing w:after="0" w:line="360" w:lineRule="auto"/>
      <w:ind w:left="0" w:leftChars="0" w:firstLine="600"/>
    </w:pPr>
    <w:rPr>
      <w:rFonts w:eastAsia="仿宋_GB2312"/>
      <w:sz w:val="30"/>
      <w:szCs w:val="30"/>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7">
    <w:name w:val="List Paragraph"/>
    <w:basedOn w:val="1"/>
    <w:qFormat/>
    <w:uiPriority w:val="34"/>
    <w:pPr>
      <w:ind w:firstLine="420" w:firstLineChars="200"/>
    </w:pPr>
  </w:style>
  <w:style w:type="paragraph" w:customStyle="1" w:styleId="28">
    <w:name w:val="（）列表模式"/>
    <w:basedOn w:val="1"/>
    <w:qFormat/>
    <w:uiPriority w:val="0"/>
    <w:pPr>
      <w:tabs>
        <w:tab w:val="left" w:pos="960"/>
        <w:tab w:val="left" w:pos="1470"/>
      </w:tabs>
      <w:spacing w:line="360" w:lineRule="auto"/>
      <w:ind w:left="1470" w:hanging="420"/>
    </w:pPr>
    <w:rPr>
      <w:sz w:val="24"/>
      <w:szCs w:val="20"/>
    </w:r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customStyle="1" w:styleId="30">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qowt-font5-gb2312"/>
    <w:qFormat/>
    <w:uiPriority w:val="0"/>
  </w:style>
  <w:style w:type="paragraph" w:customStyle="1" w:styleId="32">
    <w:name w:val="正文 New New New New New"/>
    <w:qFormat/>
    <w:uiPriority w:val="0"/>
    <w:pPr>
      <w:widowControl w:val="0"/>
      <w:jc w:val="both"/>
    </w:pPr>
    <w:rPr>
      <w:rFonts w:ascii="等线" w:hAnsi="等线" w:eastAsia="等线" w:cs="等线"/>
      <w:kern w:val="2"/>
      <w:sz w:val="21"/>
      <w:szCs w:val="24"/>
      <w:lang w:val="en-US" w:eastAsia="zh-CN" w:bidi="ar-SA"/>
    </w:rPr>
  </w:style>
  <w:style w:type="character" w:customStyle="1" w:styleId="33">
    <w:name w:val="font61"/>
    <w:qFormat/>
    <w:uiPriority w:val="0"/>
    <w:rPr>
      <w:rFonts w:ascii="Calibri" w:hAnsi="Calibri" w:cs="Calibri"/>
      <w:color w:val="000000"/>
      <w:sz w:val="28"/>
      <w:szCs w:val="28"/>
      <w:u w:val="none"/>
    </w:rPr>
  </w:style>
  <w:style w:type="character" w:customStyle="1" w:styleId="34">
    <w:name w:val="font21"/>
    <w:qFormat/>
    <w:uiPriority w:val="0"/>
    <w:rPr>
      <w:rFonts w:hint="eastAsia" w:ascii="黑体" w:hAnsi="宋体" w:eastAsia="黑体" w:cs="黑体"/>
      <w:color w:val="000000"/>
      <w:sz w:val="28"/>
      <w:szCs w:val="28"/>
      <w:u w:val="none"/>
    </w:rPr>
  </w:style>
  <w:style w:type="character" w:customStyle="1" w:styleId="35">
    <w:name w:val="font3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23771</Words>
  <Characters>24442</Characters>
  <Lines>0</Lines>
  <Paragraphs>0</Paragraphs>
  <TotalTime>29</TotalTime>
  <ScaleCrop>false</ScaleCrop>
  <LinksUpToDate>false</LinksUpToDate>
  <CharactersWithSpaces>25885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2023-11-15T12:59:00Z</dcterms:created>
  <dc:creator>姬崽</dc:creator>
  <cp:lastModifiedBy>黎俊</cp:lastModifiedBy>
  <dcterms:modified xsi:type="dcterms:W3CDTF">2024-12-06T03:38:29Z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AAB7C53D86964282BD4392733F1A07AB_13</vt:lpwstr>
  </property>
</Properties>
</file>