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000000" w:themeColor="text1"/>
          <w:sz w:val="72"/>
          <w:szCs w:val="72"/>
          <w:lang w:val="en-US" w:eastAsia="zh-CN"/>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jc w:val="center"/>
        <w:rPr>
          <w:rFonts w:hint="eastAsia" w:ascii="宋体" w:hAnsi="宋体" w:cs="宋体"/>
          <w:b/>
          <w:color w:val="000000" w:themeColor="text1"/>
          <w:sz w:val="72"/>
          <w:szCs w:val="72"/>
          <w14:textFill>
            <w14:solidFill>
              <w14:schemeClr w14:val="tx1"/>
            </w14:solidFill>
          </w14:textFill>
        </w:rPr>
      </w:pPr>
      <w:r>
        <w:rPr>
          <w:rFonts w:hint="eastAsia" w:ascii="宋体" w:hAnsi="宋体" w:cs="宋体"/>
          <w:b/>
          <w:color w:val="000000" w:themeColor="text1"/>
          <w:sz w:val="72"/>
          <w:szCs w:val="72"/>
          <w14:textFill>
            <w14:solidFill>
              <w14:schemeClr w14:val="tx1"/>
            </w14:solidFill>
          </w14:textFill>
        </w:rPr>
        <w:t>简易招标文件</w:t>
      </w:r>
    </w:p>
    <w:p>
      <w:pPr>
        <w:jc w:val="center"/>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24"/>
        <w:ind w:firstLine="420"/>
        <w:rPr>
          <w:rFonts w:hint="eastAsia" w:ascii="宋体" w:hAnsi="宋体" w:cs="宋体"/>
          <w:color w:val="000000" w:themeColor="text1"/>
          <w14:textFill>
            <w14:solidFill>
              <w14:schemeClr w14:val="tx1"/>
            </w14:solidFill>
          </w14:textFill>
        </w:rPr>
      </w:pPr>
    </w:p>
    <w:p>
      <w:pPr>
        <w:pStyle w:val="24"/>
        <w:ind w:firstLine="420"/>
        <w:rPr>
          <w:rFonts w:hint="eastAsia" w:ascii="宋体" w:hAnsi="宋体" w:cs="宋体"/>
          <w:color w:val="000000" w:themeColor="text1"/>
          <w14:textFill>
            <w14:solidFill>
              <w14:schemeClr w14:val="tx1"/>
            </w14:solidFill>
          </w14:textFill>
        </w:rPr>
      </w:pPr>
    </w:p>
    <w:p>
      <w:pPr>
        <w:rPr>
          <w:rFonts w:hint="eastAsia" w:ascii="宋体" w:hAnsi="宋体" w:cs="宋体"/>
          <w:b/>
          <w:color w:val="000000" w:themeColor="text1"/>
          <w:sz w:val="44"/>
          <w14:textFill>
            <w14:solidFill>
              <w14:schemeClr w14:val="tx1"/>
            </w14:solidFill>
          </w14:textFill>
        </w:rPr>
      </w:pPr>
    </w:p>
    <w:p>
      <w:pPr>
        <w:ind w:left="2326" w:leftChars="247" w:right="-319" w:rightChars="-152" w:hanging="1807" w:hangingChars="500"/>
        <w:rPr>
          <w:rFonts w:hint="default" w:ascii="宋体" w:hAnsi="宋体" w:eastAsia="宋体" w:cs="宋体"/>
          <w:b/>
          <w:color w:val="000000" w:themeColor="text1"/>
          <w:sz w:val="36"/>
          <w:szCs w:val="36"/>
          <w:lang w:val="en-US" w:eastAsia="zh-CN"/>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招标编号：</w:t>
      </w:r>
      <w:r>
        <w:rPr>
          <w:rFonts w:hint="eastAsia" w:ascii="宋体" w:hAnsi="宋体" w:cs="宋体"/>
          <w:b/>
          <w:color w:val="000000" w:themeColor="text1"/>
          <w:sz w:val="36"/>
          <w:szCs w:val="36"/>
          <w:lang w:eastAsia="zh-CN"/>
          <w14:textFill>
            <w14:solidFill>
              <w14:schemeClr w14:val="tx1"/>
            </w14:solidFill>
          </w14:textFill>
        </w:rPr>
        <w:t>QH2024072</w:t>
      </w:r>
    </w:p>
    <w:p>
      <w:pPr>
        <w:pStyle w:val="24"/>
        <w:ind w:firstLine="420"/>
        <w:rPr>
          <w:rFonts w:hint="eastAsia" w:ascii="宋体" w:hAnsi="宋体" w:cs="宋体"/>
          <w:color w:val="000000" w:themeColor="text1"/>
          <w14:textFill>
            <w14:solidFill>
              <w14:schemeClr w14:val="tx1"/>
            </w14:solidFill>
          </w14:textFill>
        </w:rPr>
      </w:pPr>
    </w:p>
    <w:p>
      <w:pPr>
        <w:pStyle w:val="24"/>
        <w:ind w:firstLine="420"/>
        <w:rPr>
          <w:rFonts w:hint="eastAsia" w:ascii="宋体" w:hAnsi="宋体" w:cs="宋体"/>
          <w:color w:val="000000" w:themeColor="text1"/>
          <w14:textFill>
            <w14:solidFill>
              <w14:schemeClr w14:val="tx1"/>
            </w14:solidFill>
          </w14:textFill>
        </w:rPr>
      </w:pPr>
    </w:p>
    <w:p>
      <w:pPr>
        <w:pStyle w:val="24"/>
        <w:ind w:firstLine="420"/>
        <w:rPr>
          <w:rFonts w:hint="eastAsia" w:ascii="宋体" w:hAnsi="宋体" w:cs="宋体"/>
          <w:color w:val="000000" w:themeColor="text1"/>
          <w14:textFill>
            <w14:solidFill>
              <w14:schemeClr w14:val="tx1"/>
            </w14:solidFill>
          </w14:textFill>
        </w:rPr>
      </w:pPr>
    </w:p>
    <w:p>
      <w:pPr>
        <w:ind w:left="2326" w:leftChars="247" w:right="-319" w:rightChars="-152" w:hanging="1807" w:hangingChars="500"/>
        <w:rPr>
          <w:rFonts w:hint="eastAsia" w:ascii="宋体" w:hAnsi="宋体" w:eastAsia="宋体" w:cs="宋体"/>
          <w:b/>
          <w:color w:val="000000" w:themeColor="text1"/>
          <w:sz w:val="36"/>
          <w:szCs w:val="36"/>
          <w:lang w:eastAsia="zh-CN"/>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招标项目：</w:t>
      </w:r>
      <w:r>
        <w:rPr>
          <w:rFonts w:hint="eastAsia" w:ascii="宋体" w:hAnsi="宋体" w:cs="宋体"/>
          <w:b/>
          <w:color w:val="000000" w:themeColor="text1"/>
          <w:sz w:val="36"/>
          <w:szCs w:val="36"/>
          <w:lang w:eastAsia="zh-CN"/>
          <w14:textFill>
            <w14:solidFill>
              <w14:schemeClr w14:val="tx1"/>
            </w14:solidFill>
          </w14:textFill>
        </w:rPr>
        <w:t>前海桂湾片区规划建设运营国际化提升—前海梦工场北区5号楼建筑及公共空间提升研究</w:t>
      </w:r>
    </w:p>
    <w:p>
      <w:pPr>
        <w:ind w:firstLine="3264" w:firstLineChars="739"/>
        <w:rPr>
          <w:rFonts w:hint="eastAsia" w:ascii="宋体" w:hAnsi="宋体" w:cs="宋体"/>
          <w:b/>
          <w:color w:val="000000" w:themeColor="text1"/>
          <w:sz w:val="44"/>
          <w14:textFill>
            <w14:solidFill>
              <w14:schemeClr w14:val="tx1"/>
            </w14:solidFill>
          </w14:textFill>
        </w:rPr>
      </w:pPr>
    </w:p>
    <w:p>
      <w:pPr>
        <w:ind w:left="1260" w:leftChars="600" w:firstLine="1855" w:firstLineChars="420"/>
        <w:rPr>
          <w:rFonts w:hint="eastAsia" w:ascii="宋体" w:hAnsi="宋体" w:cs="宋体"/>
          <w:b/>
          <w:color w:val="000000" w:themeColor="text1"/>
          <w:sz w:val="44"/>
          <w14:textFill>
            <w14:solidFill>
              <w14:schemeClr w14:val="tx1"/>
            </w14:solidFill>
          </w14:textFill>
        </w:rPr>
      </w:pPr>
    </w:p>
    <w:p>
      <w:pPr>
        <w:rPr>
          <w:rFonts w:hint="eastAsia" w:ascii="宋体" w:hAnsi="宋体" w:cs="宋体"/>
          <w:b/>
          <w:color w:val="000000" w:themeColor="text1"/>
          <w:sz w:val="44"/>
          <w14:textFill>
            <w14:solidFill>
              <w14:schemeClr w14:val="tx1"/>
            </w14:solidFill>
          </w14:textFill>
        </w:rPr>
      </w:pPr>
    </w:p>
    <w:p>
      <w:pPr>
        <w:jc w:val="center"/>
        <w:rPr>
          <w:rFonts w:hint="eastAsia" w:ascii="宋体" w:hAnsi="宋体" w:cs="宋体"/>
          <w:b/>
          <w:bCs/>
          <w:color w:val="000000" w:themeColor="text1"/>
          <w:sz w:val="36"/>
          <w:szCs w:val="36"/>
          <w:lang w:val="zh-CN"/>
          <w14:textFill>
            <w14:solidFill>
              <w14:schemeClr w14:val="tx1"/>
            </w14:solidFill>
          </w14:textFill>
        </w:rPr>
      </w:pPr>
      <w:r>
        <w:rPr>
          <w:rFonts w:hint="eastAsia" w:ascii="宋体" w:hAnsi="宋体" w:cs="宋体"/>
          <w:b/>
          <w:bCs/>
          <w:color w:val="000000" w:themeColor="text1"/>
          <w:sz w:val="36"/>
          <w:szCs w:val="36"/>
          <w:lang w:val="zh-CN"/>
          <w14:textFill>
            <w14:solidFill>
              <w14:schemeClr w14:val="tx1"/>
            </w14:solidFill>
          </w14:textFill>
        </w:rPr>
        <w:t>深圳市前海深港现代服务业合作区管理局</w:t>
      </w:r>
    </w:p>
    <w:p>
      <w:pPr>
        <w:jc w:val="center"/>
        <w:rPr>
          <w:rFonts w:hint="eastAsia"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202</w:t>
      </w:r>
      <w:r>
        <w:rPr>
          <w:rFonts w:hint="eastAsia" w:ascii="宋体" w:hAnsi="宋体" w:cs="宋体"/>
          <w:b/>
          <w:bCs/>
          <w:color w:val="000000" w:themeColor="text1"/>
          <w:sz w:val="36"/>
          <w:szCs w:val="36"/>
          <w:lang w:val="en-US" w:eastAsia="zh-CN"/>
          <w14:textFill>
            <w14:solidFill>
              <w14:schemeClr w14:val="tx1"/>
            </w14:solidFill>
          </w14:textFill>
        </w:rPr>
        <w:t>4</w:t>
      </w:r>
      <w:r>
        <w:rPr>
          <w:rFonts w:hint="eastAsia" w:ascii="宋体" w:hAnsi="宋体" w:cs="宋体"/>
          <w:b/>
          <w:bCs/>
          <w:color w:val="000000" w:themeColor="text1"/>
          <w:sz w:val="36"/>
          <w:szCs w:val="36"/>
          <w14:textFill>
            <w14:solidFill>
              <w14:schemeClr w14:val="tx1"/>
            </w14:solidFill>
          </w14:textFill>
        </w:rPr>
        <w:t>年</w:t>
      </w:r>
      <w:r>
        <w:rPr>
          <w:rFonts w:hint="eastAsia" w:ascii="宋体" w:hAnsi="宋体" w:cs="宋体"/>
          <w:b/>
          <w:bCs/>
          <w:color w:val="000000" w:themeColor="text1"/>
          <w:sz w:val="36"/>
          <w:szCs w:val="36"/>
          <w:lang w:val="en-US" w:eastAsia="zh-CN"/>
          <w14:textFill>
            <w14:solidFill>
              <w14:schemeClr w14:val="tx1"/>
            </w14:solidFill>
          </w14:textFill>
        </w:rPr>
        <w:t>9</w:t>
      </w:r>
      <w:r>
        <w:rPr>
          <w:rFonts w:hint="eastAsia" w:ascii="宋体" w:hAnsi="宋体" w:cs="宋体"/>
          <w:b/>
          <w:bCs/>
          <w:color w:val="000000" w:themeColor="text1"/>
          <w:sz w:val="36"/>
          <w:szCs w:val="36"/>
          <w14:textFill>
            <w14:solidFill>
              <w14:schemeClr w14:val="tx1"/>
            </w14:solidFill>
          </w14:textFill>
        </w:rPr>
        <w:t>月</w:t>
      </w:r>
    </w:p>
    <w:p>
      <w:pPr>
        <w:autoSpaceDE w:val="0"/>
        <w:autoSpaceDN w:val="0"/>
        <w:adjustRightInd w:val="0"/>
        <w:spacing w:line="360" w:lineRule="auto"/>
        <w:jc w:val="center"/>
        <w:rPr>
          <w:rFonts w:hint="eastAsia" w:ascii="宋体" w:hAnsi="宋体" w:cs="宋体"/>
          <w:b/>
          <w:bCs/>
          <w:color w:val="000000" w:themeColor="text1"/>
          <w:kern w:val="0"/>
          <w:sz w:val="36"/>
          <w:szCs w:val="36"/>
          <w14:textFill>
            <w14:solidFill>
              <w14:schemeClr w14:val="tx1"/>
            </w14:solidFill>
          </w14:textFill>
        </w:rPr>
      </w:pPr>
      <w:bookmarkStart w:id="0" w:name="_Toc12932"/>
      <w:r>
        <w:rPr>
          <w:rFonts w:ascii="宋体" w:hAnsi="宋体"/>
          <w:b/>
          <w:bCs/>
          <w:color w:val="000000" w:themeColor="text1"/>
          <w:sz w:val="32"/>
          <w:szCs w:val="40"/>
          <w:u w:val="single"/>
          <w14:textFill>
            <w14:solidFill>
              <w14:schemeClr w14:val="tx1"/>
            </w14:solidFill>
          </w14:textFill>
        </w:rPr>
        <w:br w:type="page"/>
      </w:r>
      <w:r>
        <w:rPr>
          <w:rFonts w:hint="eastAsia" w:ascii="宋体" w:hAnsi="宋体" w:cs="宋体"/>
          <w:b/>
          <w:bCs/>
          <w:color w:val="000000" w:themeColor="text1"/>
          <w:kern w:val="0"/>
          <w:sz w:val="36"/>
          <w:szCs w:val="36"/>
          <w14:textFill>
            <w14:solidFill>
              <w14:schemeClr w14:val="tx1"/>
            </w14:solidFill>
          </w14:textFill>
        </w:rPr>
        <w:t>特别警示条款</w:t>
      </w:r>
    </w:p>
    <w:p>
      <w:pPr>
        <w:pStyle w:val="2"/>
        <w:rPr>
          <w:rFonts w:hint="eastAsia"/>
          <w:color w:val="000000" w:themeColor="text1"/>
          <w14:textFill>
            <w14:solidFill>
              <w14:schemeClr w14:val="tx1"/>
            </w14:solidFill>
          </w14:textFill>
        </w:rPr>
      </w:pP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（一）在采购活动中应当回避而未回避的；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（二）未按本条例规定签订、履行采购合同，造成严重后果的；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（三）隐瞒真实情况，提供虚假资料的；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（四）以非法手段排斥其他供应商参与竞争的；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（五）与其他采购参加人串通投标的；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（六）恶意投诉的；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（七）向采购项目相关人行贿或者提供其他不当利益的；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（八）阻碍、抗拒主管部门监督检查的；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（九）其他违反本条例规定的行为。</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二、《深圳经济特区政府采购条例实施细则》</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第七十五条 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第七十七条 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投标供应商不能提供项目负责人或者主要技术人员的劳动合同、社会保险等劳动关系证明材料的，视为存在前款第（三）项规定的情形。</w:t>
      </w:r>
    </w:p>
    <w:p>
      <w:pPr>
        <w:jc w:val="center"/>
        <w:outlineLvl w:val="0"/>
        <w:rPr>
          <w:rFonts w:hint="eastAsia" w:ascii="宋体" w:hAnsi="宋体" w:cs="宋体"/>
          <w:b/>
          <w:bCs/>
          <w:color w:val="000000" w:themeColor="text1"/>
          <w:sz w:val="36"/>
          <w:szCs w:val="36"/>
          <w:lang w:val="zh-CN"/>
          <w14:textFill>
            <w14:solidFill>
              <w14:schemeClr w14:val="tx1"/>
            </w14:solidFill>
          </w14:textFill>
        </w:rPr>
      </w:pPr>
      <w:r>
        <w:rPr>
          <w:rFonts w:hint="eastAsia" w:ascii="宋体" w:hAnsi="宋体" w:cs="宋体"/>
          <w:b/>
          <w:bCs/>
          <w:color w:val="000000" w:themeColor="text1"/>
          <w:sz w:val="36"/>
          <w:szCs w:val="36"/>
          <w:lang w:val="zh-CN"/>
          <w14:textFill>
            <w14:solidFill>
              <w14:schemeClr w14:val="tx1"/>
            </w14:solidFill>
          </w14:textFill>
        </w:rPr>
        <w:br w:type="page"/>
      </w:r>
      <w:bookmarkStart w:id="1" w:name="_Toc15819"/>
      <w:bookmarkStart w:id="2" w:name="_Toc20808"/>
      <w:r>
        <w:rPr>
          <w:rFonts w:hint="eastAsia" w:ascii="宋体" w:hAnsi="宋体" w:cs="宋体"/>
          <w:b/>
          <w:bCs/>
          <w:color w:val="000000" w:themeColor="text1"/>
          <w:sz w:val="36"/>
          <w:szCs w:val="36"/>
          <w:lang w:val="zh-CN"/>
          <w14:textFill>
            <w14:solidFill>
              <w14:schemeClr w14:val="tx1"/>
            </w14:solidFill>
          </w14:textFill>
        </w:rPr>
        <w:t>目录</w:t>
      </w:r>
      <w:bookmarkEnd w:id="0"/>
      <w:bookmarkEnd w:id="1"/>
      <w:bookmarkEnd w:id="2"/>
    </w:p>
    <w:p>
      <w:pPr>
        <w:pStyle w:val="12"/>
        <w:tabs>
          <w:tab w:val="right" w:leader="dot" w:pos="8306"/>
        </w:tabs>
        <w:spacing w:line="480" w:lineRule="auto"/>
        <w:rPr>
          <w:b/>
          <w:bCs/>
          <w:color w:val="000000" w:themeColor="text1"/>
          <w:sz w:val="24"/>
          <w:szCs w:val="32"/>
          <w14:textFill>
            <w14:solidFill>
              <w14:schemeClr w14:val="tx1"/>
            </w14:solidFill>
          </w14:textFill>
        </w:rPr>
      </w:pPr>
    </w:p>
    <w:p>
      <w:pPr>
        <w:pStyle w:val="12"/>
        <w:tabs>
          <w:tab w:val="right" w:leader="dot" w:pos="8306"/>
        </w:tabs>
        <w:spacing w:line="360" w:lineRule="auto"/>
        <w:rPr>
          <w:b/>
          <w:bCs w:val="0"/>
          <w:color w:val="000000" w:themeColor="text1"/>
          <w:sz w:val="24"/>
          <w:szCs w:val="32"/>
          <w14:textFill>
            <w14:solidFill>
              <w14:schemeClr w14:val="tx1"/>
            </w14:solidFill>
          </w14:textFill>
        </w:rPr>
      </w:pPr>
      <w:r>
        <w:rPr>
          <w:rFonts w:hint="eastAsia" w:ascii="宋体" w:hAnsi="宋体" w:cs="宋体"/>
          <w:b/>
          <w:bCs w:val="0"/>
          <w:color w:val="000000" w:themeColor="text1"/>
          <w:sz w:val="32"/>
          <w:szCs w:val="32"/>
          <w14:textFill>
            <w14:solidFill>
              <w14:schemeClr w14:val="tx1"/>
            </w14:solidFill>
          </w14:textFill>
        </w:rPr>
        <w:fldChar w:fldCharType="begin"/>
      </w:r>
      <w:r>
        <w:rPr>
          <w:rFonts w:hint="eastAsia" w:ascii="宋体" w:hAnsi="宋体" w:cs="宋体"/>
          <w:b/>
          <w:bCs w:val="0"/>
          <w:color w:val="000000" w:themeColor="text1"/>
          <w:sz w:val="32"/>
          <w:szCs w:val="32"/>
          <w14:textFill>
            <w14:solidFill>
              <w14:schemeClr w14:val="tx1"/>
            </w14:solidFill>
          </w14:textFill>
        </w:rPr>
        <w:instrText xml:space="preserve">TOC \o "1-1" \h \u </w:instrText>
      </w:r>
      <w:r>
        <w:rPr>
          <w:rFonts w:hint="eastAsia" w:ascii="宋体" w:hAnsi="宋体" w:cs="宋体"/>
          <w:b/>
          <w:bCs w:val="0"/>
          <w:color w:val="000000" w:themeColor="text1"/>
          <w:sz w:val="32"/>
          <w:szCs w:val="32"/>
          <w14:textFill>
            <w14:solidFill>
              <w14:schemeClr w14:val="tx1"/>
            </w14:solidFill>
          </w14:textFill>
        </w:rPr>
        <w:fldChar w:fldCharType="separate"/>
      </w:r>
      <w:r>
        <w:rPr>
          <w:rFonts w:hint="eastAsia" w:ascii="宋体" w:hAnsi="宋体" w:cs="宋体"/>
          <w:b/>
          <w:bCs w:val="0"/>
          <w:color w:val="000000" w:themeColor="text1"/>
          <w:sz w:val="24"/>
          <w:szCs w:val="32"/>
          <w14:textFill>
            <w14:solidFill>
              <w14:schemeClr w14:val="tx1"/>
            </w14:solidFill>
          </w14:textFill>
        </w:rPr>
        <w:fldChar w:fldCharType="begin"/>
      </w:r>
      <w:r>
        <w:rPr>
          <w:rFonts w:hint="eastAsia" w:ascii="宋体" w:hAnsi="宋体" w:cs="宋体"/>
          <w:b/>
          <w:bCs w:val="0"/>
          <w:color w:val="000000" w:themeColor="text1"/>
          <w:sz w:val="24"/>
          <w:szCs w:val="32"/>
          <w14:textFill>
            <w14:solidFill>
              <w14:schemeClr w14:val="tx1"/>
            </w14:solidFill>
          </w14:textFill>
        </w:rPr>
        <w:instrText xml:space="preserve"> HYPERLINK \l _Toc15819 </w:instrText>
      </w:r>
      <w:r>
        <w:rPr>
          <w:rFonts w:hint="eastAsia" w:ascii="宋体" w:hAnsi="宋体" w:cs="宋体"/>
          <w:b/>
          <w:bCs w:val="0"/>
          <w:color w:val="000000" w:themeColor="text1"/>
          <w:sz w:val="24"/>
          <w:szCs w:val="32"/>
          <w14:textFill>
            <w14:solidFill>
              <w14:schemeClr w14:val="tx1"/>
            </w14:solidFill>
          </w14:textFill>
        </w:rPr>
        <w:fldChar w:fldCharType="separate"/>
      </w:r>
      <w:r>
        <w:rPr>
          <w:rFonts w:hint="eastAsia" w:ascii="宋体" w:hAnsi="宋体" w:cs="宋体"/>
          <w:b/>
          <w:bCs w:val="0"/>
          <w:color w:val="000000" w:themeColor="text1"/>
          <w:sz w:val="24"/>
          <w:szCs w:val="44"/>
          <w:lang w:val="zh-CN"/>
          <w14:textFill>
            <w14:solidFill>
              <w14:schemeClr w14:val="tx1"/>
            </w14:solidFill>
          </w14:textFill>
        </w:rPr>
        <w:t>目录</w:t>
      </w:r>
      <w:r>
        <w:rPr>
          <w:b/>
          <w:bCs w:val="0"/>
          <w:color w:val="000000" w:themeColor="text1"/>
          <w:sz w:val="24"/>
          <w:szCs w:val="32"/>
          <w14:textFill>
            <w14:solidFill>
              <w14:schemeClr w14:val="tx1"/>
            </w14:solidFill>
          </w14:textFill>
        </w:rPr>
        <w:tab/>
      </w:r>
      <w:r>
        <w:rPr>
          <w:b/>
          <w:bCs w:val="0"/>
          <w:color w:val="000000" w:themeColor="text1"/>
          <w:sz w:val="24"/>
          <w:szCs w:val="32"/>
          <w14:textFill>
            <w14:solidFill>
              <w14:schemeClr w14:val="tx1"/>
            </w14:solidFill>
          </w14:textFill>
        </w:rPr>
        <w:fldChar w:fldCharType="begin"/>
      </w:r>
      <w:r>
        <w:rPr>
          <w:b/>
          <w:bCs w:val="0"/>
          <w:color w:val="000000" w:themeColor="text1"/>
          <w:sz w:val="24"/>
          <w:szCs w:val="32"/>
          <w14:textFill>
            <w14:solidFill>
              <w14:schemeClr w14:val="tx1"/>
            </w14:solidFill>
          </w14:textFill>
        </w:rPr>
        <w:instrText xml:space="preserve"> PAGEREF _Toc15819 \h </w:instrText>
      </w:r>
      <w:r>
        <w:rPr>
          <w:b/>
          <w:bCs w:val="0"/>
          <w:color w:val="000000" w:themeColor="text1"/>
          <w:sz w:val="24"/>
          <w:szCs w:val="32"/>
          <w14:textFill>
            <w14:solidFill>
              <w14:schemeClr w14:val="tx1"/>
            </w14:solidFill>
          </w14:textFill>
        </w:rPr>
        <w:fldChar w:fldCharType="separate"/>
      </w:r>
      <w:r>
        <w:rPr>
          <w:b/>
          <w:bCs w:val="0"/>
          <w:color w:val="000000" w:themeColor="text1"/>
          <w:sz w:val="24"/>
          <w:szCs w:val="32"/>
          <w14:textFill>
            <w14:solidFill>
              <w14:schemeClr w14:val="tx1"/>
            </w14:solidFill>
          </w14:textFill>
        </w:rPr>
        <w:t>4</w:t>
      </w:r>
      <w:r>
        <w:rPr>
          <w:b/>
          <w:bCs w:val="0"/>
          <w:color w:val="000000" w:themeColor="text1"/>
          <w:sz w:val="24"/>
          <w:szCs w:val="32"/>
          <w14:textFill>
            <w14:solidFill>
              <w14:schemeClr w14:val="tx1"/>
            </w14:solidFill>
          </w14:textFill>
        </w:rPr>
        <w:fldChar w:fldCharType="end"/>
      </w:r>
      <w:r>
        <w:rPr>
          <w:rFonts w:hint="eastAsia" w:ascii="宋体" w:hAnsi="宋体" w:cs="宋体"/>
          <w:b/>
          <w:bCs w:val="0"/>
          <w:color w:val="000000" w:themeColor="text1"/>
          <w:sz w:val="24"/>
          <w:szCs w:val="32"/>
          <w14:textFill>
            <w14:solidFill>
              <w14:schemeClr w14:val="tx1"/>
            </w14:solidFill>
          </w14:textFill>
        </w:rPr>
        <w:fldChar w:fldCharType="end"/>
      </w:r>
    </w:p>
    <w:p>
      <w:pPr>
        <w:pStyle w:val="12"/>
        <w:tabs>
          <w:tab w:val="right" w:leader="dot" w:pos="8306"/>
        </w:tabs>
        <w:spacing w:line="360" w:lineRule="auto"/>
        <w:rPr>
          <w:b/>
          <w:bCs w:val="0"/>
          <w:color w:val="000000" w:themeColor="text1"/>
          <w:sz w:val="24"/>
          <w:szCs w:val="32"/>
          <w14:textFill>
            <w14:solidFill>
              <w14:schemeClr w14:val="tx1"/>
            </w14:solidFill>
          </w14:textFill>
        </w:rPr>
      </w:pPr>
      <w:r>
        <w:rPr>
          <w:rFonts w:hint="eastAsia" w:ascii="宋体" w:hAnsi="宋体" w:cs="宋体"/>
          <w:b/>
          <w:bCs w:val="0"/>
          <w:color w:val="000000" w:themeColor="text1"/>
          <w:sz w:val="24"/>
          <w:szCs w:val="32"/>
          <w14:textFill>
            <w14:solidFill>
              <w14:schemeClr w14:val="tx1"/>
            </w14:solidFill>
          </w14:textFill>
        </w:rPr>
        <w:fldChar w:fldCharType="begin"/>
      </w:r>
      <w:r>
        <w:rPr>
          <w:rFonts w:hint="eastAsia" w:ascii="宋体" w:hAnsi="宋体" w:cs="宋体"/>
          <w:b/>
          <w:bCs w:val="0"/>
          <w:color w:val="000000" w:themeColor="text1"/>
          <w:sz w:val="24"/>
          <w:szCs w:val="32"/>
          <w14:textFill>
            <w14:solidFill>
              <w14:schemeClr w14:val="tx1"/>
            </w14:solidFill>
          </w14:textFill>
        </w:rPr>
        <w:instrText xml:space="preserve"> HYPERLINK \l _Toc12852 </w:instrText>
      </w:r>
      <w:r>
        <w:rPr>
          <w:rFonts w:hint="eastAsia" w:ascii="宋体" w:hAnsi="宋体" w:cs="宋体"/>
          <w:b/>
          <w:bCs w:val="0"/>
          <w:color w:val="000000" w:themeColor="text1"/>
          <w:sz w:val="24"/>
          <w:szCs w:val="32"/>
          <w14:textFill>
            <w14:solidFill>
              <w14:schemeClr w14:val="tx1"/>
            </w14:solidFill>
          </w14:textFill>
        </w:rPr>
        <w:fldChar w:fldCharType="separate"/>
      </w:r>
      <w:r>
        <w:rPr>
          <w:rFonts w:hint="eastAsia" w:ascii="宋体" w:hAnsi="宋体" w:cs="宋体"/>
          <w:b/>
          <w:bCs w:val="0"/>
          <w:color w:val="000000" w:themeColor="text1"/>
          <w:sz w:val="24"/>
          <w:szCs w:val="32"/>
          <w14:textFill>
            <w14:solidFill>
              <w14:schemeClr w14:val="tx1"/>
            </w14:solidFill>
          </w14:textFill>
        </w:rPr>
        <w:t>第一章 招标邀请书（招标公告）</w:t>
      </w:r>
      <w:r>
        <w:rPr>
          <w:b/>
          <w:bCs w:val="0"/>
          <w:color w:val="000000" w:themeColor="text1"/>
          <w:sz w:val="24"/>
          <w:szCs w:val="32"/>
          <w14:textFill>
            <w14:solidFill>
              <w14:schemeClr w14:val="tx1"/>
            </w14:solidFill>
          </w14:textFill>
        </w:rPr>
        <w:tab/>
      </w:r>
      <w:r>
        <w:rPr>
          <w:b/>
          <w:bCs w:val="0"/>
          <w:color w:val="000000" w:themeColor="text1"/>
          <w:sz w:val="24"/>
          <w:szCs w:val="32"/>
          <w14:textFill>
            <w14:solidFill>
              <w14:schemeClr w14:val="tx1"/>
            </w14:solidFill>
          </w14:textFill>
        </w:rPr>
        <w:fldChar w:fldCharType="begin"/>
      </w:r>
      <w:r>
        <w:rPr>
          <w:b/>
          <w:bCs w:val="0"/>
          <w:color w:val="000000" w:themeColor="text1"/>
          <w:sz w:val="24"/>
          <w:szCs w:val="32"/>
          <w14:textFill>
            <w14:solidFill>
              <w14:schemeClr w14:val="tx1"/>
            </w14:solidFill>
          </w14:textFill>
        </w:rPr>
        <w:instrText xml:space="preserve"> PAGEREF _Toc12852 \h </w:instrText>
      </w:r>
      <w:r>
        <w:rPr>
          <w:b/>
          <w:bCs w:val="0"/>
          <w:color w:val="000000" w:themeColor="text1"/>
          <w:sz w:val="24"/>
          <w:szCs w:val="32"/>
          <w14:textFill>
            <w14:solidFill>
              <w14:schemeClr w14:val="tx1"/>
            </w14:solidFill>
          </w14:textFill>
        </w:rPr>
        <w:fldChar w:fldCharType="separate"/>
      </w:r>
      <w:r>
        <w:rPr>
          <w:b/>
          <w:bCs w:val="0"/>
          <w:color w:val="000000" w:themeColor="text1"/>
          <w:sz w:val="24"/>
          <w:szCs w:val="32"/>
          <w14:textFill>
            <w14:solidFill>
              <w14:schemeClr w14:val="tx1"/>
            </w14:solidFill>
          </w14:textFill>
        </w:rPr>
        <w:t>5</w:t>
      </w:r>
      <w:r>
        <w:rPr>
          <w:b/>
          <w:bCs w:val="0"/>
          <w:color w:val="000000" w:themeColor="text1"/>
          <w:sz w:val="24"/>
          <w:szCs w:val="32"/>
          <w14:textFill>
            <w14:solidFill>
              <w14:schemeClr w14:val="tx1"/>
            </w14:solidFill>
          </w14:textFill>
        </w:rPr>
        <w:fldChar w:fldCharType="end"/>
      </w:r>
      <w:r>
        <w:rPr>
          <w:rFonts w:hint="eastAsia" w:ascii="宋体" w:hAnsi="宋体" w:cs="宋体"/>
          <w:b/>
          <w:bCs w:val="0"/>
          <w:color w:val="000000" w:themeColor="text1"/>
          <w:sz w:val="24"/>
          <w:szCs w:val="32"/>
          <w14:textFill>
            <w14:solidFill>
              <w14:schemeClr w14:val="tx1"/>
            </w14:solidFill>
          </w14:textFill>
        </w:rPr>
        <w:fldChar w:fldCharType="end"/>
      </w:r>
    </w:p>
    <w:p>
      <w:pPr>
        <w:pStyle w:val="12"/>
        <w:tabs>
          <w:tab w:val="right" w:leader="dot" w:pos="8306"/>
        </w:tabs>
        <w:spacing w:line="360" w:lineRule="auto"/>
        <w:rPr>
          <w:b/>
          <w:bCs w:val="0"/>
          <w:color w:val="000000" w:themeColor="text1"/>
          <w:sz w:val="24"/>
          <w:szCs w:val="32"/>
          <w14:textFill>
            <w14:solidFill>
              <w14:schemeClr w14:val="tx1"/>
            </w14:solidFill>
          </w14:textFill>
        </w:rPr>
      </w:pPr>
      <w:r>
        <w:rPr>
          <w:rFonts w:hint="eastAsia" w:ascii="宋体" w:hAnsi="宋体" w:cs="宋体"/>
          <w:b/>
          <w:bCs w:val="0"/>
          <w:color w:val="000000" w:themeColor="text1"/>
          <w:sz w:val="24"/>
          <w:szCs w:val="32"/>
          <w14:textFill>
            <w14:solidFill>
              <w14:schemeClr w14:val="tx1"/>
            </w14:solidFill>
          </w14:textFill>
        </w:rPr>
        <w:fldChar w:fldCharType="begin"/>
      </w:r>
      <w:r>
        <w:rPr>
          <w:rFonts w:hint="eastAsia" w:ascii="宋体" w:hAnsi="宋体" w:cs="宋体"/>
          <w:b/>
          <w:bCs w:val="0"/>
          <w:color w:val="000000" w:themeColor="text1"/>
          <w:sz w:val="24"/>
          <w:szCs w:val="32"/>
          <w14:textFill>
            <w14:solidFill>
              <w14:schemeClr w14:val="tx1"/>
            </w14:solidFill>
          </w14:textFill>
        </w:rPr>
        <w:instrText xml:space="preserve"> HYPERLINK \l _Toc12814 </w:instrText>
      </w:r>
      <w:r>
        <w:rPr>
          <w:rFonts w:hint="eastAsia" w:ascii="宋体" w:hAnsi="宋体" w:cs="宋体"/>
          <w:b/>
          <w:bCs w:val="0"/>
          <w:color w:val="000000" w:themeColor="text1"/>
          <w:sz w:val="24"/>
          <w:szCs w:val="32"/>
          <w14:textFill>
            <w14:solidFill>
              <w14:schemeClr w14:val="tx1"/>
            </w14:solidFill>
          </w14:textFill>
        </w:rPr>
        <w:fldChar w:fldCharType="separate"/>
      </w:r>
      <w:r>
        <w:rPr>
          <w:rFonts w:hint="eastAsia" w:ascii="宋体" w:hAnsi="宋体" w:cs="宋体"/>
          <w:b/>
          <w:bCs w:val="0"/>
          <w:color w:val="000000" w:themeColor="text1"/>
          <w:sz w:val="24"/>
          <w:szCs w:val="32"/>
          <w14:textFill>
            <w14:solidFill>
              <w14:schemeClr w14:val="tx1"/>
            </w14:solidFill>
          </w14:textFill>
        </w:rPr>
        <w:t>第二章 投标须知</w:t>
      </w:r>
      <w:r>
        <w:rPr>
          <w:b/>
          <w:bCs w:val="0"/>
          <w:color w:val="000000" w:themeColor="text1"/>
          <w:sz w:val="24"/>
          <w:szCs w:val="32"/>
          <w14:textFill>
            <w14:solidFill>
              <w14:schemeClr w14:val="tx1"/>
            </w14:solidFill>
          </w14:textFill>
        </w:rPr>
        <w:tab/>
      </w:r>
      <w:r>
        <w:rPr>
          <w:b/>
          <w:bCs w:val="0"/>
          <w:color w:val="000000" w:themeColor="text1"/>
          <w:sz w:val="24"/>
          <w:szCs w:val="32"/>
          <w14:textFill>
            <w14:solidFill>
              <w14:schemeClr w14:val="tx1"/>
            </w14:solidFill>
          </w14:textFill>
        </w:rPr>
        <w:fldChar w:fldCharType="begin"/>
      </w:r>
      <w:r>
        <w:rPr>
          <w:b/>
          <w:bCs w:val="0"/>
          <w:color w:val="000000" w:themeColor="text1"/>
          <w:sz w:val="24"/>
          <w:szCs w:val="32"/>
          <w14:textFill>
            <w14:solidFill>
              <w14:schemeClr w14:val="tx1"/>
            </w14:solidFill>
          </w14:textFill>
        </w:rPr>
        <w:instrText xml:space="preserve"> PAGEREF _Toc12814 \h </w:instrText>
      </w:r>
      <w:r>
        <w:rPr>
          <w:b/>
          <w:bCs w:val="0"/>
          <w:color w:val="000000" w:themeColor="text1"/>
          <w:sz w:val="24"/>
          <w:szCs w:val="32"/>
          <w14:textFill>
            <w14:solidFill>
              <w14:schemeClr w14:val="tx1"/>
            </w14:solidFill>
          </w14:textFill>
        </w:rPr>
        <w:fldChar w:fldCharType="separate"/>
      </w:r>
      <w:r>
        <w:rPr>
          <w:b/>
          <w:bCs w:val="0"/>
          <w:color w:val="000000" w:themeColor="text1"/>
          <w:sz w:val="24"/>
          <w:szCs w:val="32"/>
          <w14:textFill>
            <w14:solidFill>
              <w14:schemeClr w14:val="tx1"/>
            </w14:solidFill>
          </w14:textFill>
        </w:rPr>
        <w:t>8</w:t>
      </w:r>
      <w:r>
        <w:rPr>
          <w:b/>
          <w:bCs w:val="0"/>
          <w:color w:val="000000" w:themeColor="text1"/>
          <w:sz w:val="24"/>
          <w:szCs w:val="32"/>
          <w14:textFill>
            <w14:solidFill>
              <w14:schemeClr w14:val="tx1"/>
            </w14:solidFill>
          </w14:textFill>
        </w:rPr>
        <w:fldChar w:fldCharType="end"/>
      </w:r>
      <w:r>
        <w:rPr>
          <w:rFonts w:hint="eastAsia" w:ascii="宋体" w:hAnsi="宋体" w:cs="宋体"/>
          <w:b/>
          <w:bCs w:val="0"/>
          <w:color w:val="000000" w:themeColor="text1"/>
          <w:sz w:val="24"/>
          <w:szCs w:val="32"/>
          <w14:textFill>
            <w14:solidFill>
              <w14:schemeClr w14:val="tx1"/>
            </w14:solidFill>
          </w14:textFill>
        </w:rPr>
        <w:fldChar w:fldCharType="end"/>
      </w:r>
    </w:p>
    <w:p>
      <w:pPr>
        <w:pStyle w:val="12"/>
        <w:tabs>
          <w:tab w:val="right" w:leader="dot" w:pos="8306"/>
        </w:tabs>
        <w:spacing w:line="360" w:lineRule="auto"/>
        <w:rPr>
          <w:b/>
          <w:bCs w:val="0"/>
          <w:color w:val="000000" w:themeColor="text1"/>
          <w:sz w:val="24"/>
          <w:szCs w:val="32"/>
          <w14:textFill>
            <w14:solidFill>
              <w14:schemeClr w14:val="tx1"/>
            </w14:solidFill>
          </w14:textFill>
        </w:rPr>
      </w:pPr>
      <w:r>
        <w:rPr>
          <w:rFonts w:hint="eastAsia" w:ascii="宋体" w:hAnsi="宋体" w:cs="宋体"/>
          <w:b/>
          <w:bCs w:val="0"/>
          <w:color w:val="000000" w:themeColor="text1"/>
          <w:sz w:val="24"/>
          <w:szCs w:val="32"/>
          <w14:textFill>
            <w14:solidFill>
              <w14:schemeClr w14:val="tx1"/>
            </w14:solidFill>
          </w14:textFill>
        </w:rPr>
        <w:fldChar w:fldCharType="begin"/>
      </w:r>
      <w:r>
        <w:rPr>
          <w:rFonts w:hint="eastAsia" w:ascii="宋体" w:hAnsi="宋体" w:cs="宋体"/>
          <w:b/>
          <w:bCs w:val="0"/>
          <w:color w:val="000000" w:themeColor="text1"/>
          <w:sz w:val="24"/>
          <w:szCs w:val="32"/>
          <w14:textFill>
            <w14:solidFill>
              <w14:schemeClr w14:val="tx1"/>
            </w14:solidFill>
          </w14:textFill>
        </w:rPr>
        <w:instrText xml:space="preserve"> HYPERLINK \l _Toc21486 </w:instrText>
      </w:r>
      <w:r>
        <w:rPr>
          <w:rFonts w:hint="eastAsia" w:ascii="宋体" w:hAnsi="宋体" w:cs="宋体"/>
          <w:b/>
          <w:bCs w:val="0"/>
          <w:color w:val="000000" w:themeColor="text1"/>
          <w:sz w:val="24"/>
          <w:szCs w:val="32"/>
          <w14:textFill>
            <w14:solidFill>
              <w14:schemeClr w14:val="tx1"/>
            </w14:solidFill>
          </w14:textFill>
        </w:rPr>
        <w:fldChar w:fldCharType="separate"/>
      </w:r>
      <w:r>
        <w:rPr>
          <w:rFonts w:hint="eastAsia" w:ascii="宋体" w:hAnsi="宋体" w:cs="宋体"/>
          <w:b/>
          <w:bCs w:val="0"/>
          <w:color w:val="000000" w:themeColor="text1"/>
          <w:sz w:val="24"/>
          <w:szCs w:val="32"/>
          <w14:textFill>
            <w14:solidFill>
              <w14:schemeClr w14:val="tx1"/>
            </w14:solidFill>
          </w14:textFill>
        </w:rPr>
        <w:t>第三章 评标程序</w:t>
      </w:r>
      <w:r>
        <w:rPr>
          <w:b/>
          <w:bCs w:val="0"/>
          <w:color w:val="000000" w:themeColor="text1"/>
          <w:sz w:val="24"/>
          <w:szCs w:val="32"/>
          <w14:textFill>
            <w14:solidFill>
              <w14:schemeClr w14:val="tx1"/>
            </w14:solidFill>
          </w14:textFill>
        </w:rPr>
        <w:tab/>
      </w:r>
      <w:r>
        <w:rPr>
          <w:b/>
          <w:bCs w:val="0"/>
          <w:color w:val="000000" w:themeColor="text1"/>
          <w:sz w:val="24"/>
          <w:szCs w:val="32"/>
          <w14:textFill>
            <w14:solidFill>
              <w14:schemeClr w14:val="tx1"/>
            </w14:solidFill>
          </w14:textFill>
        </w:rPr>
        <w:fldChar w:fldCharType="begin"/>
      </w:r>
      <w:r>
        <w:rPr>
          <w:b/>
          <w:bCs w:val="0"/>
          <w:color w:val="000000" w:themeColor="text1"/>
          <w:sz w:val="24"/>
          <w:szCs w:val="32"/>
          <w14:textFill>
            <w14:solidFill>
              <w14:schemeClr w14:val="tx1"/>
            </w14:solidFill>
          </w14:textFill>
        </w:rPr>
        <w:instrText xml:space="preserve"> PAGEREF _Toc21486 \h </w:instrText>
      </w:r>
      <w:r>
        <w:rPr>
          <w:b/>
          <w:bCs w:val="0"/>
          <w:color w:val="000000" w:themeColor="text1"/>
          <w:sz w:val="24"/>
          <w:szCs w:val="32"/>
          <w14:textFill>
            <w14:solidFill>
              <w14:schemeClr w14:val="tx1"/>
            </w14:solidFill>
          </w14:textFill>
        </w:rPr>
        <w:fldChar w:fldCharType="separate"/>
      </w:r>
      <w:r>
        <w:rPr>
          <w:b/>
          <w:bCs w:val="0"/>
          <w:color w:val="000000" w:themeColor="text1"/>
          <w:sz w:val="24"/>
          <w:szCs w:val="32"/>
          <w14:textFill>
            <w14:solidFill>
              <w14:schemeClr w14:val="tx1"/>
            </w14:solidFill>
          </w14:textFill>
        </w:rPr>
        <w:t>11</w:t>
      </w:r>
      <w:r>
        <w:rPr>
          <w:b/>
          <w:bCs w:val="0"/>
          <w:color w:val="000000" w:themeColor="text1"/>
          <w:sz w:val="24"/>
          <w:szCs w:val="32"/>
          <w14:textFill>
            <w14:solidFill>
              <w14:schemeClr w14:val="tx1"/>
            </w14:solidFill>
          </w14:textFill>
        </w:rPr>
        <w:fldChar w:fldCharType="end"/>
      </w:r>
      <w:r>
        <w:rPr>
          <w:rFonts w:hint="eastAsia" w:ascii="宋体" w:hAnsi="宋体" w:cs="宋体"/>
          <w:b/>
          <w:bCs w:val="0"/>
          <w:color w:val="000000" w:themeColor="text1"/>
          <w:sz w:val="24"/>
          <w:szCs w:val="32"/>
          <w14:textFill>
            <w14:solidFill>
              <w14:schemeClr w14:val="tx1"/>
            </w14:solidFill>
          </w14:textFill>
        </w:rPr>
        <w:fldChar w:fldCharType="end"/>
      </w:r>
    </w:p>
    <w:p>
      <w:pPr>
        <w:pStyle w:val="12"/>
        <w:tabs>
          <w:tab w:val="right" w:leader="dot" w:pos="8306"/>
        </w:tabs>
        <w:spacing w:line="360" w:lineRule="auto"/>
        <w:rPr>
          <w:b/>
          <w:bCs w:val="0"/>
          <w:color w:val="000000" w:themeColor="text1"/>
          <w:sz w:val="24"/>
          <w:szCs w:val="32"/>
          <w14:textFill>
            <w14:solidFill>
              <w14:schemeClr w14:val="tx1"/>
            </w14:solidFill>
          </w14:textFill>
        </w:rPr>
      </w:pPr>
      <w:r>
        <w:rPr>
          <w:rFonts w:hint="eastAsia" w:ascii="宋体" w:hAnsi="宋体" w:cs="宋体"/>
          <w:b/>
          <w:bCs w:val="0"/>
          <w:color w:val="000000" w:themeColor="text1"/>
          <w:sz w:val="24"/>
          <w:szCs w:val="32"/>
          <w14:textFill>
            <w14:solidFill>
              <w14:schemeClr w14:val="tx1"/>
            </w14:solidFill>
          </w14:textFill>
        </w:rPr>
        <w:fldChar w:fldCharType="begin"/>
      </w:r>
      <w:r>
        <w:rPr>
          <w:rFonts w:hint="eastAsia" w:ascii="宋体" w:hAnsi="宋体" w:cs="宋体"/>
          <w:b/>
          <w:bCs w:val="0"/>
          <w:color w:val="000000" w:themeColor="text1"/>
          <w:sz w:val="24"/>
          <w:szCs w:val="32"/>
          <w14:textFill>
            <w14:solidFill>
              <w14:schemeClr w14:val="tx1"/>
            </w14:solidFill>
          </w14:textFill>
        </w:rPr>
        <w:instrText xml:space="preserve"> HYPERLINK \l _Toc8184 </w:instrText>
      </w:r>
      <w:r>
        <w:rPr>
          <w:rFonts w:hint="eastAsia" w:ascii="宋体" w:hAnsi="宋体" w:cs="宋体"/>
          <w:b/>
          <w:bCs w:val="0"/>
          <w:color w:val="000000" w:themeColor="text1"/>
          <w:sz w:val="24"/>
          <w:szCs w:val="32"/>
          <w14:textFill>
            <w14:solidFill>
              <w14:schemeClr w14:val="tx1"/>
            </w14:solidFill>
          </w14:textFill>
        </w:rPr>
        <w:fldChar w:fldCharType="separate"/>
      </w:r>
      <w:r>
        <w:rPr>
          <w:rFonts w:hint="eastAsia" w:ascii="宋体" w:hAnsi="宋体" w:cs="宋体"/>
          <w:b/>
          <w:bCs w:val="0"/>
          <w:color w:val="000000" w:themeColor="text1"/>
          <w:sz w:val="24"/>
          <w:szCs w:val="32"/>
          <w14:textFill>
            <w14:solidFill>
              <w14:schemeClr w14:val="tx1"/>
            </w14:solidFill>
          </w14:textFill>
        </w:rPr>
        <w:t>第四章 合同格式及合同条款</w:t>
      </w:r>
      <w:r>
        <w:rPr>
          <w:b/>
          <w:bCs w:val="0"/>
          <w:color w:val="000000" w:themeColor="text1"/>
          <w:sz w:val="24"/>
          <w:szCs w:val="32"/>
          <w14:textFill>
            <w14:solidFill>
              <w14:schemeClr w14:val="tx1"/>
            </w14:solidFill>
          </w14:textFill>
        </w:rPr>
        <w:tab/>
      </w:r>
      <w:r>
        <w:rPr>
          <w:b/>
          <w:bCs w:val="0"/>
          <w:color w:val="000000" w:themeColor="text1"/>
          <w:sz w:val="24"/>
          <w:szCs w:val="32"/>
          <w14:textFill>
            <w14:solidFill>
              <w14:schemeClr w14:val="tx1"/>
            </w14:solidFill>
          </w14:textFill>
        </w:rPr>
        <w:fldChar w:fldCharType="begin"/>
      </w:r>
      <w:r>
        <w:rPr>
          <w:b/>
          <w:bCs w:val="0"/>
          <w:color w:val="000000" w:themeColor="text1"/>
          <w:sz w:val="24"/>
          <w:szCs w:val="32"/>
          <w14:textFill>
            <w14:solidFill>
              <w14:schemeClr w14:val="tx1"/>
            </w14:solidFill>
          </w14:textFill>
        </w:rPr>
        <w:instrText xml:space="preserve"> PAGEREF _Toc8184 \h </w:instrText>
      </w:r>
      <w:r>
        <w:rPr>
          <w:b/>
          <w:bCs w:val="0"/>
          <w:color w:val="000000" w:themeColor="text1"/>
          <w:sz w:val="24"/>
          <w:szCs w:val="32"/>
          <w14:textFill>
            <w14:solidFill>
              <w14:schemeClr w14:val="tx1"/>
            </w14:solidFill>
          </w14:textFill>
        </w:rPr>
        <w:fldChar w:fldCharType="separate"/>
      </w:r>
      <w:r>
        <w:rPr>
          <w:b/>
          <w:bCs w:val="0"/>
          <w:color w:val="000000" w:themeColor="text1"/>
          <w:sz w:val="24"/>
          <w:szCs w:val="32"/>
          <w14:textFill>
            <w14:solidFill>
              <w14:schemeClr w14:val="tx1"/>
            </w14:solidFill>
          </w14:textFill>
        </w:rPr>
        <w:t>13</w:t>
      </w:r>
      <w:r>
        <w:rPr>
          <w:b/>
          <w:bCs w:val="0"/>
          <w:color w:val="000000" w:themeColor="text1"/>
          <w:sz w:val="24"/>
          <w:szCs w:val="32"/>
          <w14:textFill>
            <w14:solidFill>
              <w14:schemeClr w14:val="tx1"/>
            </w14:solidFill>
          </w14:textFill>
        </w:rPr>
        <w:fldChar w:fldCharType="end"/>
      </w:r>
      <w:r>
        <w:rPr>
          <w:rFonts w:hint="eastAsia" w:ascii="宋体" w:hAnsi="宋体" w:cs="宋体"/>
          <w:b/>
          <w:bCs w:val="0"/>
          <w:color w:val="000000" w:themeColor="text1"/>
          <w:sz w:val="24"/>
          <w:szCs w:val="32"/>
          <w14:textFill>
            <w14:solidFill>
              <w14:schemeClr w14:val="tx1"/>
            </w14:solidFill>
          </w14:textFill>
        </w:rPr>
        <w:fldChar w:fldCharType="end"/>
      </w:r>
    </w:p>
    <w:p>
      <w:pPr>
        <w:pStyle w:val="12"/>
        <w:tabs>
          <w:tab w:val="right" w:leader="dot" w:pos="8306"/>
        </w:tabs>
        <w:spacing w:line="360" w:lineRule="auto"/>
        <w:rPr>
          <w:b/>
          <w:bCs w:val="0"/>
          <w:color w:val="000000" w:themeColor="text1"/>
          <w:sz w:val="24"/>
          <w:szCs w:val="32"/>
          <w14:textFill>
            <w14:solidFill>
              <w14:schemeClr w14:val="tx1"/>
            </w14:solidFill>
          </w14:textFill>
        </w:rPr>
      </w:pPr>
      <w:r>
        <w:rPr>
          <w:rFonts w:hint="eastAsia" w:ascii="宋体" w:hAnsi="宋体" w:cs="宋体"/>
          <w:b/>
          <w:bCs w:val="0"/>
          <w:color w:val="000000" w:themeColor="text1"/>
          <w:sz w:val="24"/>
          <w:szCs w:val="32"/>
          <w14:textFill>
            <w14:solidFill>
              <w14:schemeClr w14:val="tx1"/>
            </w14:solidFill>
          </w14:textFill>
        </w:rPr>
        <w:fldChar w:fldCharType="begin"/>
      </w:r>
      <w:r>
        <w:rPr>
          <w:rFonts w:hint="eastAsia" w:ascii="宋体" w:hAnsi="宋体" w:cs="宋体"/>
          <w:b/>
          <w:bCs w:val="0"/>
          <w:color w:val="000000" w:themeColor="text1"/>
          <w:sz w:val="24"/>
          <w:szCs w:val="32"/>
          <w14:textFill>
            <w14:solidFill>
              <w14:schemeClr w14:val="tx1"/>
            </w14:solidFill>
          </w14:textFill>
        </w:rPr>
        <w:instrText xml:space="preserve"> HYPERLINK \l _Toc9484 </w:instrText>
      </w:r>
      <w:r>
        <w:rPr>
          <w:rFonts w:hint="eastAsia" w:ascii="宋体" w:hAnsi="宋体" w:cs="宋体"/>
          <w:b/>
          <w:bCs w:val="0"/>
          <w:color w:val="000000" w:themeColor="text1"/>
          <w:sz w:val="24"/>
          <w:szCs w:val="32"/>
          <w14:textFill>
            <w14:solidFill>
              <w14:schemeClr w14:val="tx1"/>
            </w14:solidFill>
          </w14:textFill>
        </w:rPr>
        <w:fldChar w:fldCharType="separate"/>
      </w:r>
      <w:r>
        <w:rPr>
          <w:rFonts w:hint="eastAsia" w:ascii="宋体" w:hAnsi="宋体" w:cs="宋体"/>
          <w:b/>
          <w:bCs w:val="0"/>
          <w:color w:val="000000" w:themeColor="text1"/>
          <w:sz w:val="24"/>
          <w:szCs w:val="32"/>
          <w14:textFill>
            <w14:solidFill>
              <w14:schemeClr w14:val="tx1"/>
            </w14:solidFill>
          </w14:textFill>
        </w:rPr>
        <w:t>第五章 用户需求书</w:t>
      </w:r>
      <w:r>
        <w:rPr>
          <w:b/>
          <w:bCs w:val="0"/>
          <w:color w:val="000000" w:themeColor="text1"/>
          <w:sz w:val="24"/>
          <w:szCs w:val="32"/>
          <w14:textFill>
            <w14:solidFill>
              <w14:schemeClr w14:val="tx1"/>
            </w14:solidFill>
          </w14:textFill>
        </w:rPr>
        <w:tab/>
      </w:r>
      <w:r>
        <w:rPr>
          <w:b/>
          <w:bCs w:val="0"/>
          <w:color w:val="000000" w:themeColor="text1"/>
          <w:sz w:val="24"/>
          <w:szCs w:val="32"/>
          <w14:textFill>
            <w14:solidFill>
              <w14:schemeClr w14:val="tx1"/>
            </w14:solidFill>
          </w14:textFill>
        </w:rPr>
        <w:fldChar w:fldCharType="begin"/>
      </w:r>
      <w:r>
        <w:rPr>
          <w:b/>
          <w:bCs w:val="0"/>
          <w:color w:val="000000" w:themeColor="text1"/>
          <w:sz w:val="24"/>
          <w:szCs w:val="32"/>
          <w14:textFill>
            <w14:solidFill>
              <w14:schemeClr w14:val="tx1"/>
            </w14:solidFill>
          </w14:textFill>
        </w:rPr>
        <w:instrText xml:space="preserve"> PAGEREF _Toc9484 \h </w:instrText>
      </w:r>
      <w:r>
        <w:rPr>
          <w:b/>
          <w:bCs w:val="0"/>
          <w:color w:val="000000" w:themeColor="text1"/>
          <w:sz w:val="24"/>
          <w:szCs w:val="32"/>
          <w14:textFill>
            <w14:solidFill>
              <w14:schemeClr w14:val="tx1"/>
            </w14:solidFill>
          </w14:textFill>
        </w:rPr>
        <w:fldChar w:fldCharType="separate"/>
      </w:r>
      <w:r>
        <w:rPr>
          <w:b/>
          <w:bCs w:val="0"/>
          <w:color w:val="000000" w:themeColor="text1"/>
          <w:sz w:val="24"/>
          <w:szCs w:val="32"/>
          <w14:textFill>
            <w14:solidFill>
              <w14:schemeClr w14:val="tx1"/>
            </w14:solidFill>
          </w14:textFill>
        </w:rPr>
        <w:t>24</w:t>
      </w:r>
      <w:r>
        <w:rPr>
          <w:b/>
          <w:bCs w:val="0"/>
          <w:color w:val="000000" w:themeColor="text1"/>
          <w:sz w:val="24"/>
          <w:szCs w:val="32"/>
          <w14:textFill>
            <w14:solidFill>
              <w14:schemeClr w14:val="tx1"/>
            </w14:solidFill>
          </w14:textFill>
        </w:rPr>
        <w:fldChar w:fldCharType="end"/>
      </w:r>
      <w:r>
        <w:rPr>
          <w:rFonts w:hint="eastAsia" w:ascii="宋体" w:hAnsi="宋体" w:cs="宋体"/>
          <w:b/>
          <w:bCs w:val="0"/>
          <w:color w:val="000000" w:themeColor="text1"/>
          <w:sz w:val="24"/>
          <w:szCs w:val="32"/>
          <w14:textFill>
            <w14:solidFill>
              <w14:schemeClr w14:val="tx1"/>
            </w14:solidFill>
          </w14:textFill>
        </w:rPr>
        <w:fldChar w:fldCharType="end"/>
      </w:r>
    </w:p>
    <w:p>
      <w:pPr>
        <w:pStyle w:val="12"/>
        <w:tabs>
          <w:tab w:val="right" w:leader="dot" w:pos="8306"/>
        </w:tabs>
        <w:spacing w:line="360" w:lineRule="auto"/>
        <w:rPr>
          <w:b/>
          <w:bCs w:val="0"/>
          <w:color w:val="000000" w:themeColor="text1"/>
          <w:sz w:val="24"/>
          <w:szCs w:val="32"/>
          <w14:textFill>
            <w14:solidFill>
              <w14:schemeClr w14:val="tx1"/>
            </w14:solidFill>
          </w14:textFill>
        </w:rPr>
      </w:pPr>
      <w:r>
        <w:rPr>
          <w:rFonts w:hint="eastAsia" w:ascii="宋体" w:hAnsi="宋体" w:cs="宋体"/>
          <w:b/>
          <w:bCs w:val="0"/>
          <w:color w:val="000000" w:themeColor="text1"/>
          <w:sz w:val="24"/>
          <w:szCs w:val="32"/>
          <w14:textFill>
            <w14:solidFill>
              <w14:schemeClr w14:val="tx1"/>
            </w14:solidFill>
          </w14:textFill>
        </w:rPr>
        <w:fldChar w:fldCharType="begin"/>
      </w:r>
      <w:r>
        <w:rPr>
          <w:rFonts w:hint="eastAsia" w:ascii="宋体" w:hAnsi="宋体" w:cs="宋体"/>
          <w:b/>
          <w:bCs w:val="0"/>
          <w:color w:val="000000" w:themeColor="text1"/>
          <w:sz w:val="24"/>
          <w:szCs w:val="32"/>
          <w14:textFill>
            <w14:solidFill>
              <w14:schemeClr w14:val="tx1"/>
            </w14:solidFill>
          </w14:textFill>
        </w:rPr>
        <w:instrText xml:space="preserve"> HYPERLINK \l _Toc8103 </w:instrText>
      </w:r>
      <w:r>
        <w:rPr>
          <w:rFonts w:hint="eastAsia" w:ascii="宋体" w:hAnsi="宋体" w:cs="宋体"/>
          <w:b/>
          <w:bCs w:val="0"/>
          <w:color w:val="000000" w:themeColor="text1"/>
          <w:sz w:val="24"/>
          <w:szCs w:val="32"/>
          <w14:textFill>
            <w14:solidFill>
              <w14:schemeClr w14:val="tx1"/>
            </w14:solidFill>
          </w14:textFill>
        </w:rPr>
        <w:fldChar w:fldCharType="separate"/>
      </w:r>
      <w:r>
        <w:rPr>
          <w:rFonts w:hint="eastAsia" w:ascii="宋体" w:cs="宋体"/>
          <w:b/>
          <w:bCs w:val="0"/>
          <w:color w:val="000000" w:themeColor="text1"/>
          <w:sz w:val="24"/>
          <w:szCs w:val="32"/>
          <w14:textFill>
            <w14:solidFill>
              <w14:schemeClr w14:val="tx1"/>
            </w14:solidFill>
          </w14:textFill>
        </w:rPr>
        <w:t>第六章 投标文件初审及招标项目评分表</w:t>
      </w:r>
      <w:r>
        <w:rPr>
          <w:b/>
          <w:bCs w:val="0"/>
          <w:color w:val="000000" w:themeColor="text1"/>
          <w:sz w:val="24"/>
          <w:szCs w:val="32"/>
          <w14:textFill>
            <w14:solidFill>
              <w14:schemeClr w14:val="tx1"/>
            </w14:solidFill>
          </w14:textFill>
        </w:rPr>
        <w:tab/>
      </w:r>
      <w:r>
        <w:rPr>
          <w:b/>
          <w:bCs w:val="0"/>
          <w:color w:val="000000" w:themeColor="text1"/>
          <w:sz w:val="24"/>
          <w:szCs w:val="32"/>
          <w14:textFill>
            <w14:solidFill>
              <w14:schemeClr w14:val="tx1"/>
            </w14:solidFill>
          </w14:textFill>
        </w:rPr>
        <w:fldChar w:fldCharType="begin"/>
      </w:r>
      <w:r>
        <w:rPr>
          <w:b/>
          <w:bCs w:val="0"/>
          <w:color w:val="000000" w:themeColor="text1"/>
          <w:sz w:val="24"/>
          <w:szCs w:val="32"/>
          <w14:textFill>
            <w14:solidFill>
              <w14:schemeClr w14:val="tx1"/>
            </w14:solidFill>
          </w14:textFill>
        </w:rPr>
        <w:instrText xml:space="preserve"> PAGEREF _Toc8103 \h </w:instrText>
      </w:r>
      <w:r>
        <w:rPr>
          <w:b/>
          <w:bCs w:val="0"/>
          <w:color w:val="000000" w:themeColor="text1"/>
          <w:sz w:val="24"/>
          <w:szCs w:val="32"/>
          <w14:textFill>
            <w14:solidFill>
              <w14:schemeClr w14:val="tx1"/>
            </w14:solidFill>
          </w14:textFill>
        </w:rPr>
        <w:fldChar w:fldCharType="separate"/>
      </w:r>
      <w:r>
        <w:rPr>
          <w:b/>
          <w:bCs w:val="0"/>
          <w:color w:val="000000" w:themeColor="text1"/>
          <w:sz w:val="24"/>
          <w:szCs w:val="32"/>
          <w14:textFill>
            <w14:solidFill>
              <w14:schemeClr w14:val="tx1"/>
            </w14:solidFill>
          </w14:textFill>
        </w:rPr>
        <w:t>31</w:t>
      </w:r>
      <w:r>
        <w:rPr>
          <w:b/>
          <w:bCs w:val="0"/>
          <w:color w:val="000000" w:themeColor="text1"/>
          <w:sz w:val="24"/>
          <w:szCs w:val="32"/>
          <w14:textFill>
            <w14:solidFill>
              <w14:schemeClr w14:val="tx1"/>
            </w14:solidFill>
          </w14:textFill>
        </w:rPr>
        <w:fldChar w:fldCharType="end"/>
      </w:r>
      <w:r>
        <w:rPr>
          <w:rFonts w:hint="eastAsia" w:ascii="宋体" w:hAnsi="宋体" w:cs="宋体"/>
          <w:b/>
          <w:bCs w:val="0"/>
          <w:color w:val="000000" w:themeColor="text1"/>
          <w:sz w:val="24"/>
          <w:szCs w:val="32"/>
          <w14:textFill>
            <w14:solidFill>
              <w14:schemeClr w14:val="tx1"/>
            </w14:solidFill>
          </w14:textFill>
        </w:rPr>
        <w:fldChar w:fldCharType="end"/>
      </w:r>
    </w:p>
    <w:p>
      <w:pPr>
        <w:pStyle w:val="12"/>
        <w:tabs>
          <w:tab w:val="right" w:leader="dot" w:pos="8306"/>
        </w:tabs>
        <w:spacing w:line="360" w:lineRule="auto"/>
        <w:rPr>
          <w:b/>
          <w:bCs w:val="0"/>
          <w:color w:val="000000" w:themeColor="text1"/>
          <w:sz w:val="24"/>
          <w:szCs w:val="32"/>
          <w14:textFill>
            <w14:solidFill>
              <w14:schemeClr w14:val="tx1"/>
            </w14:solidFill>
          </w14:textFill>
        </w:rPr>
      </w:pPr>
      <w:r>
        <w:rPr>
          <w:rFonts w:hint="eastAsia" w:ascii="宋体" w:hAnsi="宋体" w:cs="宋体"/>
          <w:b/>
          <w:bCs w:val="0"/>
          <w:color w:val="000000" w:themeColor="text1"/>
          <w:sz w:val="24"/>
          <w:szCs w:val="32"/>
          <w14:textFill>
            <w14:solidFill>
              <w14:schemeClr w14:val="tx1"/>
            </w14:solidFill>
          </w14:textFill>
        </w:rPr>
        <w:fldChar w:fldCharType="begin"/>
      </w:r>
      <w:r>
        <w:rPr>
          <w:rFonts w:hint="eastAsia" w:ascii="宋体" w:hAnsi="宋体" w:cs="宋体"/>
          <w:b/>
          <w:bCs w:val="0"/>
          <w:color w:val="000000" w:themeColor="text1"/>
          <w:sz w:val="24"/>
          <w:szCs w:val="32"/>
          <w14:textFill>
            <w14:solidFill>
              <w14:schemeClr w14:val="tx1"/>
            </w14:solidFill>
          </w14:textFill>
        </w:rPr>
        <w:instrText xml:space="preserve"> HYPERLINK \l _Toc510 </w:instrText>
      </w:r>
      <w:r>
        <w:rPr>
          <w:rFonts w:hint="eastAsia" w:ascii="宋体" w:hAnsi="宋体" w:cs="宋体"/>
          <w:b/>
          <w:bCs w:val="0"/>
          <w:color w:val="000000" w:themeColor="text1"/>
          <w:sz w:val="24"/>
          <w:szCs w:val="32"/>
          <w14:textFill>
            <w14:solidFill>
              <w14:schemeClr w14:val="tx1"/>
            </w14:solidFill>
          </w14:textFill>
        </w:rPr>
        <w:fldChar w:fldCharType="separate"/>
      </w:r>
      <w:r>
        <w:rPr>
          <w:rFonts w:hint="eastAsia" w:ascii="宋体" w:hAnsi="宋体" w:cs="宋体"/>
          <w:b/>
          <w:bCs w:val="0"/>
          <w:color w:val="000000" w:themeColor="text1"/>
          <w:sz w:val="24"/>
          <w:szCs w:val="32"/>
          <w14:textFill>
            <w14:solidFill>
              <w14:schemeClr w14:val="tx1"/>
            </w14:solidFill>
          </w14:textFill>
        </w:rPr>
        <w:t>第七章 附件（投标文件格式）</w:t>
      </w:r>
      <w:r>
        <w:rPr>
          <w:b/>
          <w:bCs w:val="0"/>
          <w:color w:val="000000" w:themeColor="text1"/>
          <w:sz w:val="24"/>
          <w:szCs w:val="32"/>
          <w14:textFill>
            <w14:solidFill>
              <w14:schemeClr w14:val="tx1"/>
            </w14:solidFill>
          </w14:textFill>
        </w:rPr>
        <w:tab/>
      </w:r>
      <w:r>
        <w:rPr>
          <w:b/>
          <w:bCs w:val="0"/>
          <w:color w:val="000000" w:themeColor="text1"/>
          <w:sz w:val="24"/>
          <w:szCs w:val="32"/>
          <w14:textFill>
            <w14:solidFill>
              <w14:schemeClr w14:val="tx1"/>
            </w14:solidFill>
          </w14:textFill>
        </w:rPr>
        <w:fldChar w:fldCharType="begin"/>
      </w:r>
      <w:r>
        <w:rPr>
          <w:b/>
          <w:bCs w:val="0"/>
          <w:color w:val="000000" w:themeColor="text1"/>
          <w:sz w:val="24"/>
          <w:szCs w:val="32"/>
          <w14:textFill>
            <w14:solidFill>
              <w14:schemeClr w14:val="tx1"/>
            </w14:solidFill>
          </w14:textFill>
        </w:rPr>
        <w:instrText xml:space="preserve"> PAGEREF _Toc510 \h </w:instrText>
      </w:r>
      <w:r>
        <w:rPr>
          <w:b/>
          <w:bCs w:val="0"/>
          <w:color w:val="000000" w:themeColor="text1"/>
          <w:sz w:val="24"/>
          <w:szCs w:val="32"/>
          <w14:textFill>
            <w14:solidFill>
              <w14:schemeClr w14:val="tx1"/>
            </w14:solidFill>
          </w14:textFill>
        </w:rPr>
        <w:fldChar w:fldCharType="separate"/>
      </w:r>
      <w:r>
        <w:rPr>
          <w:b/>
          <w:bCs w:val="0"/>
          <w:color w:val="000000" w:themeColor="text1"/>
          <w:sz w:val="24"/>
          <w:szCs w:val="32"/>
          <w14:textFill>
            <w14:solidFill>
              <w14:schemeClr w14:val="tx1"/>
            </w14:solidFill>
          </w14:textFill>
        </w:rPr>
        <w:t>38</w:t>
      </w:r>
      <w:r>
        <w:rPr>
          <w:b/>
          <w:bCs w:val="0"/>
          <w:color w:val="000000" w:themeColor="text1"/>
          <w:sz w:val="24"/>
          <w:szCs w:val="32"/>
          <w14:textFill>
            <w14:solidFill>
              <w14:schemeClr w14:val="tx1"/>
            </w14:solidFill>
          </w14:textFill>
        </w:rPr>
        <w:fldChar w:fldCharType="end"/>
      </w:r>
      <w:r>
        <w:rPr>
          <w:rFonts w:hint="eastAsia" w:ascii="宋体" w:hAnsi="宋体" w:cs="宋体"/>
          <w:b/>
          <w:bCs w:val="0"/>
          <w:color w:val="000000" w:themeColor="text1"/>
          <w:sz w:val="24"/>
          <w:szCs w:val="32"/>
          <w14:textFill>
            <w14:solidFill>
              <w14:schemeClr w14:val="tx1"/>
            </w14:solidFill>
          </w14:textFill>
        </w:rPr>
        <w:fldChar w:fldCharType="end"/>
      </w:r>
    </w:p>
    <w:p>
      <w:pPr>
        <w:pStyle w:val="12"/>
        <w:tabs>
          <w:tab w:val="right" w:leader="dot" w:pos="8306"/>
        </w:tabs>
        <w:spacing w:line="360" w:lineRule="auto"/>
        <w:rPr>
          <w:b/>
          <w:bCs w:val="0"/>
          <w:color w:val="000000" w:themeColor="text1"/>
          <w:sz w:val="24"/>
          <w:szCs w:val="32"/>
          <w14:textFill>
            <w14:solidFill>
              <w14:schemeClr w14:val="tx1"/>
            </w14:solidFill>
          </w14:textFill>
        </w:rPr>
      </w:pPr>
      <w:r>
        <w:rPr>
          <w:rFonts w:hint="eastAsia" w:ascii="宋体" w:hAnsi="宋体" w:cs="宋体"/>
          <w:b/>
          <w:bCs w:val="0"/>
          <w:color w:val="000000" w:themeColor="text1"/>
          <w:sz w:val="24"/>
          <w:szCs w:val="32"/>
          <w14:textFill>
            <w14:solidFill>
              <w14:schemeClr w14:val="tx1"/>
            </w14:solidFill>
          </w14:textFill>
        </w:rPr>
        <w:fldChar w:fldCharType="begin"/>
      </w:r>
      <w:r>
        <w:rPr>
          <w:rFonts w:hint="eastAsia" w:ascii="宋体" w:hAnsi="宋体" w:cs="宋体"/>
          <w:b/>
          <w:bCs w:val="0"/>
          <w:color w:val="000000" w:themeColor="text1"/>
          <w:sz w:val="24"/>
          <w:szCs w:val="32"/>
          <w14:textFill>
            <w14:solidFill>
              <w14:schemeClr w14:val="tx1"/>
            </w14:solidFill>
          </w14:textFill>
        </w:rPr>
        <w:instrText xml:space="preserve"> HYPERLINK \l _Toc21876 </w:instrText>
      </w:r>
      <w:r>
        <w:rPr>
          <w:rFonts w:hint="eastAsia" w:ascii="宋体" w:hAnsi="宋体" w:cs="宋体"/>
          <w:b/>
          <w:bCs w:val="0"/>
          <w:color w:val="000000" w:themeColor="text1"/>
          <w:sz w:val="24"/>
          <w:szCs w:val="32"/>
          <w14:textFill>
            <w14:solidFill>
              <w14:schemeClr w14:val="tx1"/>
            </w14:solidFill>
          </w14:textFill>
        </w:rPr>
        <w:fldChar w:fldCharType="separate"/>
      </w:r>
      <w:r>
        <w:rPr>
          <w:rFonts w:hint="eastAsia" w:ascii="宋体" w:hAnsi="宋体" w:cs="宋体"/>
          <w:b/>
          <w:bCs w:val="0"/>
          <w:color w:val="000000" w:themeColor="text1"/>
          <w:sz w:val="24"/>
          <w:szCs w:val="32"/>
          <w14:textFill>
            <w14:solidFill>
              <w14:schemeClr w14:val="tx1"/>
            </w14:solidFill>
          </w14:textFill>
        </w:rPr>
        <w:t>附件：相关政策</w:t>
      </w:r>
      <w:r>
        <w:rPr>
          <w:b/>
          <w:bCs w:val="0"/>
          <w:color w:val="000000" w:themeColor="text1"/>
          <w:sz w:val="24"/>
          <w:szCs w:val="32"/>
          <w14:textFill>
            <w14:solidFill>
              <w14:schemeClr w14:val="tx1"/>
            </w14:solidFill>
          </w14:textFill>
        </w:rPr>
        <w:tab/>
      </w:r>
      <w:r>
        <w:rPr>
          <w:b/>
          <w:bCs w:val="0"/>
          <w:color w:val="000000" w:themeColor="text1"/>
          <w:sz w:val="24"/>
          <w:szCs w:val="32"/>
          <w14:textFill>
            <w14:solidFill>
              <w14:schemeClr w14:val="tx1"/>
            </w14:solidFill>
          </w14:textFill>
        </w:rPr>
        <w:fldChar w:fldCharType="begin"/>
      </w:r>
      <w:r>
        <w:rPr>
          <w:b/>
          <w:bCs w:val="0"/>
          <w:color w:val="000000" w:themeColor="text1"/>
          <w:sz w:val="24"/>
          <w:szCs w:val="32"/>
          <w14:textFill>
            <w14:solidFill>
              <w14:schemeClr w14:val="tx1"/>
            </w14:solidFill>
          </w14:textFill>
        </w:rPr>
        <w:instrText xml:space="preserve"> PAGEREF _Toc21876 \h </w:instrText>
      </w:r>
      <w:r>
        <w:rPr>
          <w:b/>
          <w:bCs w:val="0"/>
          <w:color w:val="000000" w:themeColor="text1"/>
          <w:sz w:val="24"/>
          <w:szCs w:val="32"/>
          <w14:textFill>
            <w14:solidFill>
              <w14:schemeClr w14:val="tx1"/>
            </w14:solidFill>
          </w14:textFill>
        </w:rPr>
        <w:fldChar w:fldCharType="separate"/>
      </w:r>
      <w:r>
        <w:rPr>
          <w:b/>
          <w:bCs w:val="0"/>
          <w:color w:val="000000" w:themeColor="text1"/>
          <w:sz w:val="24"/>
          <w:szCs w:val="32"/>
          <w14:textFill>
            <w14:solidFill>
              <w14:schemeClr w14:val="tx1"/>
            </w14:solidFill>
          </w14:textFill>
        </w:rPr>
        <w:t>57</w:t>
      </w:r>
      <w:r>
        <w:rPr>
          <w:b/>
          <w:bCs w:val="0"/>
          <w:color w:val="000000" w:themeColor="text1"/>
          <w:sz w:val="24"/>
          <w:szCs w:val="32"/>
          <w14:textFill>
            <w14:solidFill>
              <w14:schemeClr w14:val="tx1"/>
            </w14:solidFill>
          </w14:textFill>
        </w:rPr>
        <w:fldChar w:fldCharType="end"/>
      </w:r>
      <w:r>
        <w:rPr>
          <w:rFonts w:hint="eastAsia" w:ascii="宋体" w:hAnsi="宋体" w:cs="宋体"/>
          <w:b/>
          <w:bCs w:val="0"/>
          <w:color w:val="000000" w:themeColor="text1"/>
          <w:sz w:val="24"/>
          <w:szCs w:val="32"/>
          <w14:textFill>
            <w14:solidFill>
              <w14:schemeClr w14:val="tx1"/>
            </w14:solidFill>
          </w14:textFill>
        </w:rPr>
        <w:fldChar w:fldCharType="end"/>
      </w:r>
    </w:p>
    <w:p>
      <w:pPr>
        <w:pStyle w:val="12"/>
        <w:tabs>
          <w:tab w:val="right" w:leader="dot" w:pos="8306"/>
        </w:tabs>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bCs w:val="0"/>
          <w:color w:val="000000" w:themeColor="text1"/>
          <w:sz w:val="24"/>
          <w:szCs w:val="32"/>
          <w14:textFill>
            <w14:solidFill>
              <w14:schemeClr w14:val="tx1"/>
            </w14:solidFill>
          </w14:textFill>
        </w:rPr>
        <w:fldChar w:fldCharType="end"/>
      </w:r>
    </w:p>
    <w:p>
      <w:pPr>
        <w:spacing w:line="360" w:lineRule="auto"/>
        <w:rPr>
          <w:color w:val="000000" w:themeColor="text1"/>
          <w14:textFill>
            <w14:solidFill>
              <w14:schemeClr w14:val="tx1"/>
            </w14:solidFill>
          </w14:textFill>
        </w:rPr>
      </w:pP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ascii="宋体"/>
          <w:b/>
          <w:bCs/>
          <w:color w:val="000000" w:themeColor="text1"/>
          <w:sz w:val="32"/>
          <w:szCs w:val="28"/>
          <w14:textFill>
            <w14:solidFill>
              <w14:schemeClr w14:val="tx1"/>
            </w14:solidFill>
          </w14:textFill>
        </w:rPr>
        <w:br w:type="page"/>
      </w:r>
      <w:r>
        <w:rPr>
          <w:rFonts w:hint="eastAsia" w:ascii="宋体"/>
          <w:b/>
          <w:bCs/>
          <w:color w:val="000000" w:themeColor="text1"/>
          <w:sz w:val="32"/>
          <w:szCs w:val="28"/>
          <w14:textFill>
            <w14:solidFill>
              <w14:schemeClr w14:val="tx1"/>
            </w14:solidFill>
          </w14:textFill>
        </w:rPr>
        <w:t xml:space="preserve"> </w:t>
      </w:r>
      <w:bookmarkStart w:id="3" w:name="_Toc12852"/>
      <w:r>
        <w:rPr>
          <w:rFonts w:hint="eastAsia" w:ascii="宋体" w:hAnsi="宋体" w:cs="宋体"/>
          <w:b/>
          <w:bCs/>
          <w:color w:val="000000" w:themeColor="text1"/>
          <w:sz w:val="24"/>
          <w14:textFill>
            <w14:solidFill>
              <w14:schemeClr w14:val="tx1"/>
            </w14:solidFill>
          </w14:textFill>
        </w:rPr>
        <w:t>招标邀请书（招标公告）</w:t>
      </w:r>
      <w:bookmarkEnd w:id="3"/>
    </w:p>
    <w:p>
      <w:pPr>
        <w:spacing w:line="360" w:lineRule="auto"/>
        <w:ind w:firstLine="480" w:firstLineChars="200"/>
        <w:jc w:val="right"/>
        <w:rPr>
          <w:rFonts w:hint="eastAsia"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14:textFill>
            <w14:solidFill>
              <w14:schemeClr w14:val="tx1"/>
            </w14:solidFill>
          </w14:textFill>
        </w:rPr>
        <w:t>文件编码:0722-2024FE</w:t>
      </w:r>
      <w:r>
        <w:rPr>
          <w:rFonts w:hint="eastAsia" w:ascii="宋体" w:hAnsi="宋体" w:cs="宋体"/>
          <w:color w:val="000000" w:themeColor="text1"/>
          <w:sz w:val="24"/>
          <w:lang w:val="en-US" w:eastAsia="zh-CN"/>
          <w14:textFill>
            <w14:solidFill>
              <w14:schemeClr w14:val="tx1"/>
            </w14:solidFill>
          </w14:textFill>
        </w:rPr>
        <w:t>2175</w:t>
      </w:r>
      <w:r>
        <w:rPr>
          <w:rFonts w:hint="eastAsia" w:ascii="宋体" w:hAnsi="宋体" w:cs="宋体"/>
          <w:color w:val="000000" w:themeColor="text1"/>
          <w:sz w:val="24"/>
          <w14:textFill>
            <w14:solidFill>
              <w14:schemeClr w14:val="tx1"/>
            </w14:solidFill>
          </w14:textFill>
        </w:rPr>
        <w:t>SZF-1</w:t>
      </w:r>
    </w:p>
    <w:p>
      <w:pPr>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中国远东国际招标有限公司（以下简称采购代理机构）受深圳市前海深港现代服务业合作区管理局委托就“</w:t>
      </w:r>
      <w:r>
        <w:rPr>
          <w:rFonts w:hint="eastAsia" w:ascii="宋体" w:hAnsi="宋体" w:cs="宋体"/>
          <w:color w:val="000000" w:themeColor="text1"/>
          <w:sz w:val="24"/>
          <w:u w:val="single"/>
          <w:lang w:eastAsia="zh-CN"/>
          <w14:textFill>
            <w14:solidFill>
              <w14:schemeClr w14:val="tx1"/>
            </w14:solidFill>
          </w14:textFill>
        </w:rPr>
        <w:t>前海桂湾片区规划建设运营国际化提升—前海梦工场北区5号楼建筑及公共空间提升研究</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lang w:eastAsia="zh-CN"/>
          <w14:textFill>
            <w14:solidFill>
              <w14:schemeClr w14:val="tx1"/>
            </w14:solidFill>
          </w14:textFill>
        </w:rPr>
        <w:t>QH2024072</w:t>
      </w:r>
      <w:r>
        <w:rPr>
          <w:rFonts w:hint="eastAsia" w:ascii="宋体" w:hAnsi="宋体" w:cs="宋体"/>
          <w:color w:val="000000" w:themeColor="text1"/>
          <w:sz w:val="24"/>
          <w14:textFill>
            <w14:solidFill>
              <w14:schemeClr w14:val="tx1"/>
            </w14:solidFill>
          </w14:textFill>
        </w:rPr>
        <w:t>）”采用简易招标方式采购，欢迎符合投标人资格要求的专业供应商积极参加投标。</w:t>
      </w:r>
    </w:p>
    <w:tbl>
      <w:tblPr>
        <w:tblStyle w:val="16"/>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p>
        </w:tc>
        <w:tc>
          <w:tcPr>
            <w:tcW w:w="7015" w:type="dxa"/>
            <w:noWrap w:val="0"/>
            <w:vAlign w:val="center"/>
          </w:tcPr>
          <w:p>
            <w:pPr>
              <w:spacing w:line="360" w:lineRule="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QH2024072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招标项目名称</w:t>
            </w:r>
          </w:p>
        </w:tc>
        <w:tc>
          <w:tcPr>
            <w:tcW w:w="7015" w:type="dxa"/>
            <w:noWrap w:val="0"/>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前海桂湾片区规划建设运营国际化提升—前海梦工场北区5号楼建筑及公共空间提升研究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标的内容</w:t>
            </w:r>
          </w:p>
        </w:tc>
        <w:tc>
          <w:tcPr>
            <w:tcW w:w="7015" w:type="dxa"/>
            <w:noWrap w:val="0"/>
            <w:vAlign w:val="center"/>
          </w:tcPr>
          <w:p>
            <w:pPr>
              <w:spacing w:line="360" w:lineRule="auto"/>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为深入贯彻落实党的二十届三中全会精神，落实《全面深化前海深港现代服务业合作区改革开放方案》《前海深港现代服务业合作区总体发展规划》有关任务要求，我局印发实施《桂湾片区规划建设运营国际化提升专项工作方案》（以下简称《工作方案》），聚焦港人港企所需，将桂湾片区打造成为全国独一无二的港人港企集聚区，呈现出港风港味浓郁、未来感十足的国际化新形象。《工作方案》明确要“全方位提升规划建设运营理念，多渠道开展国际化咨询”。</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前海深港广场位于桂湾片区中轴线，东端衔接梦工场北区，西衔接前海石公园（桂湾段）标志性建筑前海激浪，东西长约1.2公里，定位为融汇深港创意、产业、人文、休闲等功能，汇集深港文化元素，打造城市秀场、链接空间的滨海文化公共空间，形成最活力、最前沿、最人文、最融合独具特色的前海水平地标。</w:t>
            </w:r>
          </w:p>
          <w:p>
            <w:pPr>
              <w:spacing w:line="360" w:lineRule="auto"/>
              <w:ind w:firstLine="480" w:firstLineChars="200"/>
              <w:rPr>
                <w:rFonts w:hint="default"/>
                <w:color w:val="000000" w:themeColor="text1"/>
                <w:lang w:val="en-US"/>
                <w14:textFill>
                  <w14:solidFill>
                    <w14:schemeClr w14:val="tx1"/>
                  </w14:solidFill>
                </w14:textFill>
              </w:rPr>
            </w:pPr>
            <w:r>
              <w:rPr>
                <w:rFonts w:hint="eastAsia" w:ascii="宋体" w:hAnsi="宋体" w:cs="宋体"/>
                <w:color w:val="000000" w:themeColor="text1"/>
                <w:sz w:val="24"/>
                <w14:textFill>
                  <w14:solidFill>
                    <w14:schemeClr w14:val="tx1"/>
                  </w14:solidFill>
                </w14:textFill>
              </w:rPr>
              <w:t>梦工场北区5号楼及广场是前海桂湾片区城市中轴线东起点，是前海深港广场的重要组成部分。根据局工作部署，计划利用梦工场北区5号楼2~7层建筑空间引入学术交流、专业服务、创业路演、投资赋能、社群融入、文化交流、成果展示、城市名片、科技展示等功能, 将5号楼打造成为面向国际人才的地标性创新交流中心。</w:t>
            </w:r>
            <w:r>
              <w:rPr>
                <w:rFonts w:hint="eastAsia" w:ascii="宋体" w:hAnsi="宋体" w:cs="宋体"/>
                <w:color w:val="000000" w:themeColor="text1"/>
                <w:sz w:val="24"/>
                <w:lang w:val="en-US" w:eastAsia="zh-CN"/>
                <w14:textFill>
                  <w14:solidFill>
                    <w14:schemeClr w14:val="tx1"/>
                  </w14:solidFill>
                </w14:textFill>
              </w:rPr>
              <w:t>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项目预算</w:t>
            </w:r>
          </w:p>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（最高限价）</w:t>
            </w:r>
          </w:p>
        </w:tc>
        <w:tc>
          <w:tcPr>
            <w:tcW w:w="7015"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706</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20</w:t>
            </w:r>
            <w:r>
              <w:rPr>
                <w:rFonts w:hint="eastAsia" w:ascii="宋体" w:hAnsi="宋体" w:cs="宋体"/>
                <w:color w:val="000000" w:themeColor="text1"/>
                <w:sz w:val="24"/>
                <w:lang w:eastAsia="zh-CN"/>
                <w14:textFill>
                  <w14:solidFill>
                    <w14:schemeClr w14:val="tx1"/>
                  </w14:solidFill>
                </w14:textFill>
              </w:rPr>
              <w:t>0.00（人民币</w:t>
            </w:r>
            <w:r>
              <w:rPr>
                <w:rFonts w:hint="eastAsia" w:ascii="宋体" w:hAnsi="宋体" w:cs="宋体"/>
                <w:color w:val="000000" w:themeColor="text1"/>
                <w:sz w:val="24"/>
                <w:lang w:val="en-US" w:eastAsia="zh-CN"/>
                <w14:textFill>
                  <w14:solidFill>
                    <w14:schemeClr w14:val="tx1"/>
                  </w14:solidFill>
                </w14:textFill>
              </w:rPr>
              <w:t>柒拾万零陆仟贰佰</w:t>
            </w:r>
            <w:r>
              <w:rPr>
                <w:rFonts w:hint="eastAsia" w:ascii="宋体" w:hAnsi="宋体" w:cs="宋体"/>
                <w:color w:val="000000" w:themeColor="text1"/>
                <w:sz w:val="24"/>
                <w:lang w:eastAsia="zh-CN"/>
                <w14:textFill>
                  <w14:solidFill>
                    <w14:schemeClr w14:val="tx1"/>
                  </w14:solidFill>
                </w14:textFill>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noWrap w:val="0"/>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标书获得办法</w:t>
            </w:r>
          </w:p>
        </w:tc>
        <w:tc>
          <w:tcPr>
            <w:tcW w:w="7015" w:type="dxa"/>
            <w:noWrap w:val="0"/>
            <w:vAlign w:val="center"/>
          </w:tcPr>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noWrap w:val="0"/>
            <w:vAlign w:val="center"/>
          </w:tcPr>
          <w:p>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本项目所属行业</w:t>
            </w:r>
          </w:p>
        </w:tc>
        <w:tc>
          <w:tcPr>
            <w:tcW w:w="7015" w:type="dxa"/>
            <w:noWrap w:val="0"/>
            <w:vAlign w:val="center"/>
          </w:tcPr>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u w:val="none"/>
                <w14:textFill>
                  <w14:solidFill>
                    <w14:schemeClr w14:val="tx1"/>
                  </w14:solidFill>
                </w14:textFill>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noWrap w:val="0"/>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报名方式</w:t>
            </w:r>
          </w:p>
        </w:tc>
        <w:tc>
          <w:tcPr>
            <w:tcW w:w="7015" w:type="dxa"/>
            <w:noWrap w:val="0"/>
            <w:vAlign w:val="center"/>
          </w:tcPr>
          <w:p>
            <w:pPr>
              <w:adjustRightInd w:val="0"/>
              <w:snapToGrid w:val="0"/>
              <w:spacing w:line="360" w:lineRule="auto"/>
              <w:jc w:val="left"/>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将投标文件密封并在</w:t>
            </w:r>
            <w:r>
              <w:rPr>
                <w:rFonts w:hint="eastAsia" w:ascii="宋体" w:hAnsi="宋体" w:cs="宋体"/>
                <w:b/>
                <w:bCs/>
                <w:color w:val="000000" w:themeColor="text1"/>
                <w:kern w:val="0"/>
                <w:sz w:val="24"/>
                <w14:textFill>
                  <w14:solidFill>
                    <w14:schemeClr w14:val="tx1"/>
                  </w14:solidFill>
                </w14:textFill>
              </w:rPr>
              <w:t>202</w:t>
            </w:r>
            <w:r>
              <w:rPr>
                <w:rFonts w:hint="eastAsia" w:ascii="宋体" w:hAnsi="宋体" w:cs="宋体"/>
                <w:b/>
                <w:bCs/>
                <w:color w:val="000000" w:themeColor="text1"/>
                <w:kern w:val="0"/>
                <w:sz w:val="24"/>
                <w:lang w:val="en-US" w:eastAsia="zh-CN"/>
                <w14:textFill>
                  <w14:solidFill>
                    <w14:schemeClr w14:val="tx1"/>
                  </w14:solidFill>
                </w14:textFill>
              </w:rPr>
              <w:t>4</w:t>
            </w:r>
            <w:r>
              <w:rPr>
                <w:rFonts w:hint="eastAsia" w:ascii="宋体" w:hAnsi="宋体" w:cs="宋体"/>
                <w:b/>
                <w:bCs/>
                <w:color w:val="000000" w:themeColor="text1"/>
                <w:kern w:val="0"/>
                <w:sz w:val="24"/>
                <w14:textFill>
                  <w14:solidFill>
                    <w14:schemeClr w14:val="tx1"/>
                  </w14:solidFill>
                </w14:textFill>
              </w:rPr>
              <w:t>年</w:t>
            </w:r>
            <w:r>
              <w:rPr>
                <w:rFonts w:hint="eastAsia" w:ascii="宋体" w:hAnsi="宋体" w:cs="宋体"/>
                <w:b/>
                <w:bCs/>
                <w:color w:val="000000" w:themeColor="text1"/>
                <w:kern w:val="0"/>
                <w:sz w:val="24"/>
                <w:highlight w:val="none"/>
                <w:lang w:val="en-US" w:eastAsia="zh-CN"/>
                <w14:textFill>
                  <w14:solidFill>
                    <w14:schemeClr w14:val="tx1"/>
                  </w14:solidFill>
                </w14:textFill>
              </w:rPr>
              <w:t>9</w:t>
            </w:r>
            <w:r>
              <w:rPr>
                <w:rFonts w:hint="eastAsia" w:ascii="宋体" w:hAnsi="宋体" w:cs="宋体"/>
                <w:b/>
                <w:bCs/>
                <w:color w:val="000000" w:themeColor="text1"/>
                <w:kern w:val="0"/>
                <w:sz w:val="24"/>
                <w:highlight w:val="none"/>
                <w14:textFill>
                  <w14:solidFill>
                    <w14:schemeClr w14:val="tx1"/>
                  </w14:solidFill>
                </w14:textFill>
              </w:rPr>
              <w:t>月</w:t>
            </w:r>
            <w:r>
              <w:rPr>
                <w:rFonts w:hint="eastAsia" w:ascii="宋体" w:hAnsi="宋体" w:cs="宋体"/>
                <w:b/>
                <w:bCs/>
                <w:color w:val="000000" w:themeColor="text1"/>
                <w:kern w:val="0"/>
                <w:sz w:val="24"/>
                <w:highlight w:val="none"/>
                <w:lang w:val="en-US" w:eastAsia="zh-CN"/>
                <w14:textFill>
                  <w14:solidFill>
                    <w14:schemeClr w14:val="tx1"/>
                  </w14:solidFill>
                </w14:textFill>
              </w:rPr>
              <w:t>20</w:t>
            </w:r>
            <w:r>
              <w:rPr>
                <w:rFonts w:hint="eastAsia" w:ascii="宋体" w:hAnsi="宋体" w:cs="宋体"/>
                <w:b/>
                <w:bCs/>
                <w:color w:val="000000" w:themeColor="text1"/>
                <w:kern w:val="0"/>
                <w:sz w:val="24"/>
                <w:highlight w:val="none"/>
                <w14:textFill>
                  <w14:solidFill>
                    <w14:schemeClr w14:val="tx1"/>
                  </w14:solidFill>
                </w14:textFill>
              </w:rPr>
              <w:t>日下午</w:t>
            </w:r>
            <w:r>
              <w:rPr>
                <w:rFonts w:hint="eastAsia" w:ascii="宋体" w:hAnsi="宋体" w:cs="宋体"/>
                <w:b/>
                <w:bCs/>
                <w:color w:val="000000" w:themeColor="text1"/>
                <w:kern w:val="0"/>
                <w:sz w:val="24"/>
                <w:highlight w:val="none"/>
                <w:lang w:val="en-US" w:eastAsia="zh-CN"/>
                <w14:textFill>
                  <w14:solidFill>
                    <w14:schemeClr w14:val="tx1"/>
                  </w14:solidFill>
                </w14:textFill>
              </w:rPr>
              <w:t>14</w:t>
            </w:r>
            <w:r>
              <w:rPr>
                <w:rFonts w:hint="eastAsia" w:ascii="宋体" w:hAnsi="宋体" w:cs="宋体"/>
                <w:b/>
                <w:bCs/>
                <w:color w:val="000000" w:themeColor="text1"/>
                <w:kern w:val="0"/>
                <w:sz w:val="24"/>
                <w:lang w:eastAsia="zh-CN"/>
                <w14:textFill>
                  <w14:solidFill>
                    <w14:schemeClr w14:val="tx1"/>
                  </w14:solidFill>
                </w14:textFill>
              </w:rPr>
              <w:t>：</w:t>
            </w:r>
            <w:r>
              <w:rPr>
                <w:rFonts w:hint="eastAsia" w:ascii="宋体" w:hAnsi="宋体" w:cs="宋体"/>
                <w:b/>
                <w:bCs/>
                <w:color w:val="000000" w:themeColor="text1"/>
                <w:kern w:val="0"/>
                <w:sz w:val="24"/>
                <w:lang w:val="en-US" w:eastAsia="zh-CN"/>
                <w14:textFill>
                  <w14:solidFill>
                    <w14:schemeClr w14:val="tx1"/>
                  </w14:solidFill>
                </w14:textFill>
              </w:rPr>
              <w:t>30时</w:t>
            </w:r>
            <w:r>
              <w:rPr>
                <w:rFonts w:hint="eastAsia" w:ascii="宋体" w:hAnsi="宋体" w:cs="宋体"/>
                <w:b/>
                <w:bCs/>
                <w:color w:val="000000" w:themeColor="text1"/>
                <w:kern w:val="0"/>
                <w:sz w:val="24"/>
                <w14:textFill>
                  <w14:solidFill>
                    <w14:schemeClr w14:val="tx1"/>
                  </w14:solidFill>
                </w14:textFill>
              </w:rPr>
              <w:t>（北京时间）</w:t>
            </w:r>
            <w:r>
              <w:rPr>
                <w:rFonts w:hint="eastAsia" w:ascii="宋体" w:hAnsi="宋体" w:cs="宋体"/>
                <w:color w:val="000000" w:themeColor="text1"/>
                <w:kern w:val="0"/>
                <w:sz w:val="24"/>
                <w14:textFill>
                  <w14:solidFill>
                    <w14:schemeClr w14:val="tx1"/>
                  </w14:solidFill>
                </w14:textFill>
              </w:rPr>
              <w:t>前送达（现场递交或邮寄）</w:t>
            </w:r>
            <w:r>
              <w:rPr>
                <w:rFonts w:hint="eastAsia" w:ascii="宋体" w:hAnsi="宋体" w:cs="宋体"/>
                <w:color w:val="000000" w:themeColor="text1"/>
                <w:kern w:val="0"/>
                <w:sz w:val="24"/>
                <w:u w:val="none"/>
                <w14:textFill>
                  <w14:solidFill>
                    <w14:schemeClr w14:val="tx1"/>
                  </w14:solidFill>
                </w14:textFill>
              </w:rPr>
              <w:t>至深圳市南</w:t>
            </w:r>
            <w:r>
              <w:rPr>
                <w:rFonts w:hint="eastAsia" w:ascii="宋体" w:hAnsi="宋体" w:cs="宋体"/>
                <w:color w:val="000000" w:themeColor="text1"/>
                <w:kern w:val="0"/>
                <w:sz w:val="24"/>
                <w14:textFill>
                  <w14:solidFill>
                    <w14:schemeClr w14:val="tx1"/>
                  </w14:solidFill>
                </w14:textFill>
              </w:rPr>
              <w:t>山区前海深港合作区桂湾五路123号前海管理</w:t>
            </w:r>
            <w:r>
              <w:rPr>
                <w:rFonts w:hint="eastAsia" w:ascii="宋体" w:hAnsi="宋体" w:cs="宋体"/>
                <w:color w:val="000000" w:themeColor="text1"/>
                <w:kern w:val="0"/>
                <w:sz w:val="24"/>
                <w:highlight w:val="none"/>
                <w14:textFill>
                  <w14:solidFill>
                    <w14:schemeClr w14:val="tx1"/>
                  </w14:solidFill>
                </w14:textFill>
              </w:rPr>
              <w:t>局前海大厦T1栋</w:t>
            </w:r>
            <w:r>
              <w:rPr>
                <w:rFonts w:hint="eastAsia" w:ascii="宋体" w:hAnsi="宋体" w:cs="宋体"/>
                <w:color w:val="000000" w:themeColor="text1"/>
                <w:kern w:val="0"/>
                <w:sz w:val="24"/>
                <w:highlight w:val="none"/>
                <w:lang w:val="en-US" w:eastAsia="zh-CN"/>
                <w14:textFill>
                  <w14:solidFill>
                    <w14:schemeClr w14:val="tx1"/>
                  </w14:solidFill>
                </w14:textFill>
              </w:rPr>
              <w:t>2505</w:t>
            </w:r>
            <w:r>
              <w:rPr>
                <w:rFonts w:hint="eastAsia" w:ascii="宋体" w:hAnsi="宋体" w:eastAsia="宋体" w:cs="宋体"/>
                <w:color w:val="000000" w:themeColor="text1"/>
                <w:kern w:val="0"/>
                <w:sz w:val="24"/>
                <w:highlight w:val="none"/>
                <w:u w:val="none"/>
                <w:lang w:val="en-US" w:eastAsia="zh-CN"/>
                <w14:textFill>
                  <w14:solidFill>
                    <w14:schemeClr w14:val="tx1"/>
                  </w14:solidFill>
                </w14:textFill>
              </w:rPr>
              <w:t>室</w:t>
            </w:r>
          </w:p>
          <w:p>
            <w:pPr>
              <w:adjustRightInd w:val="0"/>
              <w:snapToGrid w:val="0"/>
              <w:spacing w:line="360" w:lineRule="auto"/>
              <w:jc w:val="left"/>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  系  人：</w:t>
            </w:r>
            <w:r>
              <w:rPr>
                <w:rFonts w:hint="eastAsia" w:ascii="宋体" w:hAnsi="宋体" w:cs="宋体"/>
                <w:color w:val="000000" w:themeColor="text1"/>
                <w:kern w:val="0"/>
                <w:sz w:val="24"/>
                <w:highlight w:val="none"/>
                <w:lang w:val="en-US" w:eastAsia="zh-CN"/>
                <w14:textFill>
                  <w14:solidFill>
                    <w14:schemeClr w14:val="tx1"/>
                  </w14:solidFill>
                </w14:textFill>
              </w:rPr>
              <w:t>蒋工</w:t>
            </w:r>
          </w:p>
          <w:p>
            <w:pPr>
              <w:adjustRightInd w:val="0"/>
              <w:snapToGrid w:val="0"/>
              <w:spacing w:line="360" w:lineRule="auto"/>
              <w:jc w:val="left"/>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电      话：0755-</w:t>
            </w:r>
            <w:r>
              <w:rPr>
                <w:rFonts w:hint="eastAsia" w:ascii="宋体" w:hAnsi="宋体" w:cs="宋体"/>
                <w:color w:val="000000" w:themeColor="text1"/>
                <w:kern w:val="0"/>
                <w:sz w:val="24"/>
                <w:highlight w:val="none"/>
                <w:lang w:val="en-US" w:eastAsia="zh-CN"/>
                <w14:textFill>
                  <w14:solidFill>
                    <w14:schemeClr w14:val="tx1"/>
                  </w14:solidFill>
                </w14:textFill>
              </w:rPr>
              <w:t>88105470</w:t>
            </w:r>
          </w:p>
          <w:p>
            <w:pPr>
              <w:adjustRightInd w:val="0"/>
              <w:snapToGrid w:val="0"/>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注：如需现场谈判，投标人需在评标半小时内到达评标现场。若因特殊原因，可进行视频会议谈判。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noWrap w:val="0"/>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投标人资格要求</w:t>
            </w:r>
          </w:p>
        </w:tc>
        <w:tc>
          <w:tcPr>
            <w:tcW w:w="7015" w:type="dxa"/>
            <w:noWrap w:val="0"/>
            <w:vAlign w:val="center"/>
          </w:tcPr>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在中华人民共和国境内注册的具有独立法人资格或具有独立承担民事责任的能力的其</w:t>
            </w:r>
            <w:r>
              <w:rPr>
                <w:rFonts w:hint="eastAsia" w:ascii="宋体" w:hAnsi="宋体" w:cs="宋体"/>
                <w:color w:val="000000" w:themeColor="text1"/>
                <w:kern w:val="0"/>
                <w:sz w:val="24"/>
                <w:lang w:val="en-US" w:eastAsia="zh-CN"/>
                <w14:textFill>
                  <w14:solidFill>
                    <w14:schemeClr w14:val="tx1"/>
                  </w14:solidFill>
                </w14:textFill>
              </w:rPr>
              <w:t>他</w:t>
            </w:r>
            <w:r>
              <w:rPr>
                <w:rFonts w:hint="eastAsia" w:ascii="宋体" w:hAnsi="宋体" w:cs="宋体"/>
                <w:color w:val="000000" w:themeColor="text1"/>
                <w:kern w:val="0"/>
                <w:sz w:val="24"/>
                <w14:textFill>
                  <w14:solidFill>
                    <w14:schemeClr w14:val="tx1"/>
                  </w14:solidFill>
                </w14:textFill>
              </w:rPr>
              <w:t>组织</w:t>
            </w:r>
            <w:r>
              <w:rPr>
                <w:rFonts w:hint="eastAsia" w:ascii="宋体" w:hAnsi="宋体" w:cs="宋体"/>
                <w:b/>
                <w:bCs/>
                <w:color w:val="000000" w:themeColor="text1"/>
                <w:kern w:val="0"/>
                <w:sz w:val="24"/>
                <w14:textFill>
                  <w14:solidFill>
                    <w14:schemeClr w14:val="tx1"/>
                  </w14:solidFill>
                </w14:textFill>
              </w:rPr>
              <w:t>（提供营业执照或事业单位法人证等法人证明复印件加盖投标人公章）</w:t>
            </w:r>
            <w:r>
              <w:rPr>
                <w:rFonts w:hint="eastAsia" w:ascii="宋体" w:hAnsi="宋体" w:cs="宋体"/>
                <w:color w:val="000000" w:themeColor="text1"/>
                <w:kern w:val="0"/>
                <w:sz w:val="24"/>
                <w14:textFill>
                  <w14:solidFill>
                    <w14:schemeClr w14:val="tx1"/>
                  </w14:solidFill>
                </w14:textFill>
              </w:rPr>
              <w:t>；</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参与政府采购项目投标的供应商近三年内无行贿犯罪记录</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r>
              <w:rPr>
                <w:rFonts w:hint="eastAsia" w:ascii="宋体" w:hAnsi="宋体" w:cs="宋体"/>
                <w:color w:val="000000" w:themeColor="text1"/>
                <w:kern w:val="0"/>
                <w:sz w:val="24"/>
                <w14:textFill>
                  <w14:solidFill>
                    <w14:schemeClr w14:val="tx1"/>
                  </w14:solidFill>
                </w14:textFill>
              </w:rPr>
              <w:t>；</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参与本项目投标前三年内，在经营活动中没有重大违法记录以及不存在被有关部门禁止参与政府采购活动且在有效期内的情况</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r>
              <w:rPr>
                <w:rFonts w:hint="eastAsia" w:ascii="宋体" w:hAnsi="宋体" w:cs="宋体"/>
                <w:color w:val="000000" w:themeColor="text1"/>
                <w:kern w:val="0"/>
                <w:sz w:val="24"/>
                <w14:textFill>
                  <w14:solidFill>
                    <w14:schemeClr w14:val="tx1"/>
                  </w14:solidFill>
                </w14:textFill>
              </w:rPr>
              <w:t>；</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投标人承诺“本单位（公司）不存在《深圳市财政局政府采购供应商信用信息管理办法》（深财规〔2023〕3号）列明的严重违法失信行为</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r>
              <w:rPr>
                <w:rFonts w:hint="eastAsia" w:ascii="宋体" w:hAnsi="宋体" w:cs="宋体"/>
                <w:b/>
                <w:bCs/>
                <w:color w:val="000000" w:themeColor="text1"/>
                <w:kern w:val="0"/>
                <w:sz w:val="24"/>
                <w:lang w:val="en-US" w:eastAsia="zh-CN"/>
                <w14:textFill>
                  <w14:solidFill>
                    <w14:schemeClr w14:val="tx1"/>
                  </w14:solidFill>
                </w14:textFill>
              </w:rPr>
              <w:t>;</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auto"/>
                <w:kern w:val="0"/>
                <w:sz w:val="24"/>
              </w:rPr>
              <w:t>投标人必须具有建筑行业建筑工程</w:t>
            </w:r>
            <w:r>
              <w:rPr>
                <w:rFonts w:hint="eastAsia" w:ascii="宋体" w:hAnsi="宋体" w:cs="宋体"/>
                <w:b/>
                <w:bCs/>
                <w:color w:val="auto"/>
                <w:kern w:val="0"/>
                <w:sz w:val="24"/>
                <w:lang w:val="en-US" w:eastAsia="zh-CN"/>
              </w:rPr>
              <w:t>乙</w:t>
            </w:r>
            <w:r>
              <w:rPr>
                <w:rFonts w:hint="eastAsia" w:ascii="宋体" w:hAnsi="宋体" w:cs="宋体"/>
                <w:b/>
                <w:bCs/>
                <w:color w:val="auto"/>
                <w:kern w:val="0"/>
                <w:sz w:val="24"/>
              </w:rPr>
              <w:t>级或以上资质（投标人提供资质证书复印件加盖公章</w:t>
            </w:r>
            <w:r>
              <w:rPr>
                <w:rFonts w:hint="eastAsia" w:ascii="宋体" w:hAnsi="宋体" w:cs="宋体"/>
                <w:b/>
                <w:bCs/>
                <w:color w:val="auto"/>
                <w:kern w:val="0"/>
                <w:sz w:val="24"/>
                <w:lang w:eastAsia="zh-CN"/>
              </w:rPr>
              <w:t>，</w:t>
            </w:r>
            <w:r>
              <w:rPr>
                <w:rFonts w:hint="eastAsia" w:ascii="宋体" w:hAnsi="宋体" w:cs="宋体"/>
                <w:b/>
                <w:bCs/>
                <w:color w:val="auto"/>
                <w:kern w:val="0"/>
                <w:sz w:val="24"/>
                <w:lang w:val="en-US" w:eastAsia="zh-CN"/>
              </w:rPr>
              <w:t>原件备查</w:t>
            </w:r>
            <w:r>
              <w:rPr>
                <w:rFonts w:hint="eastAsia" w:ascii="宋体" w:hAnsi="宋体" w:cs="宋体"/>
                <w:b/>
                <w:bCs/>
                <w:color w:val="auto"/>
                <w:kern w:val="0"/>
                <w:sz w:val="24"/>
              </w:rPr>
              <w:t>）</w:t>
            </w:r>
            <w:r>
              <w:rPr>
                <w:rFonts w:hint="eastAsia" w:ascii="宋体" w:hAnsi="宋体" w:cs="宋体"/>
                <w:b/>
                <w:bCs/>
                <w:color w:val="auto"/>
                <w:kern w:val="0"/>
                <w:sz w:val="24"/>
                <w:lang w:eastAsia="zh-CN"/>
              </w:rPr>
              <w:t>；</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本项目</w:t>
            </w:r>
            <w:r>
              <w:rPr>
                <w:rFonts w:ascii="宋体" w:hAnsi="宋体" w:cs="宋体"/>
                <w:color w:val="000000" w:themeColor="text1"/>
                <w:kern w:val="0"/>
                <w:sz w:val="24"/>
                <w14:textFill>
                  <w14:solidFill>
                    <w14:schemeClr w14:val="tx1"/>
                  </w14:solidFill>
                </w14:textFill>
              </w:rPr>
              <w:t>不</w:t>
            </w:r>
            <w:r>
              <w:rPr>
                <w:rFonts w:hint="eastAsia" w:ascii="宋体" w:hAnsi="宋体" w:cs="宋体"/>
                <w:color w:val="000000" w:themeColor="text1"/>
                <w:kern w:val="0"/>
                <w:sz w:val="24"/>
                <w14:textFill>
                  <w14:solidFill>
                    <w14:schemeClr w14:val="tx1"/>
                  </w14:solidFill>
                </w14:textFill>
              </w:rPr>
              <w:t>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noWrap w:val="0"/>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报价要求</w:t>
            </w:r>
          </w:p>
        </w:tc>
        <w:tc>
          <w:tcPr>
            <w:tcW w:w="7015" w:type="dxa"/>
            <w:noWrap w:val="0"/>
            <w:vAlign w:val="center"/>
          </w:tcPr>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本次投标为总价包干，投标报价总价作为中标人与采购人签</w:t>
            </w:r>
            <w:r>
              <w:rPr>
                <w:rFonts w:hint="eastAsia" w:ascii="宋体" w:hAnsi="宋体" w:cs="宋体"/>
                <w:color w:val="000000" w:themeColor="text1"/>
                <w:sz w:val="24"/>
                <w:lang w:val="en-US" w:eastAsia="zh-CN"/>
                <w14:textFill>
                  <w14:solidFill>
                    <w14:schemeClr w14:val="tx1"/>
                  </w14:solidFill>
                </w14:textFill>
              </w:rPr>
              <w:t>订</w:t>
            </w:r>
            <w:r>
              <w:rPr>
                <w:rFonts w:hint="eastAsia" w:ascii="宋体" w:hAnsi="宋体" w:cs="宋体"/>
                <w:color w:val="000000" w:themeColor="text1"/>
                <w:sz w:val="24"/>
                <w14:textFill>
                  <w14:solidFill>
                    <w14:schemeClr w14:val="tx1"/>
                  </w14:solidFill>
                </w14:textFill>
              </w:rPr>
              <w:t>的合同金额。投标人的报价不可高于</w:t>
            </w:r>
            <w:r>
              <w:rPr>
                <w:rFonts w:hint="eastAsia" w:ascii="宋体" w:hAnsi="宋体" w:cs="宋体"/>
                <w:color w:val="000000" w:themeColor="text1"/>
                <w:kern w:val="0"/>
                <w:sz w:val="24"/>
                <w14:textFill>
                  <w14:solidFill>
                    <w14:schemeClr w14:val="tx1"/>
                  </w14:solidFill>
                </w14:textFill>
              </w:rPr>
              <w:t>预算（限价），否则投标人的投标文件视同无效。</w:t>
            </w:r>
            <w:r>
              <w:rPr>
                <w:rFonts w:hint="eastAsia" w:ascii="宋体" w:hAnsi="宋体" w:cs="宋体"/>
                <w:color w:val="000000" w:themeColor="text1"/>
                <w:kern w:val="0"/>
                <w:sz w:val="24"/>
                <w:lang w:eastAsia="zh-CN"/>
                <w14:textFill>
                  <w14:solidFill>
                    <w14:schemeClr w14:val="tx1"/>
                  </w14:solidFill>
                </w14:textFill>
              </w:rPr>
              <w:t>投标人的投标总价为完成项目及招标文件或合同条款所规定的工作内容的各项费用，项目服务费包括</w:t>
            </w:r>
            <w:r>
              <w:rPr>
                <w:rFonts w:hint="eastAsia" w:ascii="宋体" w:hAnsi="宋体" w:cs="宋体"/>
                <w:color w:val="000000" w:themeColor="text1"/>
                <w:kern w:val="0"/>
                <w:sz w:val="24"/>
                <w:lang w:val="en-US" w:eastAsia="zh-CN"/>
                <w14:textFill>
                  <w14:solidFill>
                    <w14:schemeClr w14:val="tx1"/>
                  </w14:solidFill>
                </w14:textFill>
              </w:rPr>
              <w:t>但不限于：</w:t>
            </w:r>
            <w:r>
              <w:rPr>
                <w:rFonts w:hint="eastAsia" w:ascii="宋体" w:hAnsi="宋体" w:cs="宋体"/>
                <w:color w:val="auto"/>
                <w:kern w:val="0"/>
                <w:sz w:val="24"/>
                <w:lang w:val="en-US" w:eastAsia="zh-CN"/>
              </w:rPr>
              <w:t>调查调研、差旅费、项目成果报告编制、印刷费、专家咨询费以及会议费等所有费用，并提供合同要求的报告、全部规划研究成果文件和全部资料，以及其它相关服务的全部费用；由企业根据招标文件所提供的资料自行测算投标报价</w:t>
            </w:r>
            <w:r>
              <w:rPr>
                <w:rFonts w:hint="eastAsia" w:ascii="宋体" w:hAnsi="宋体" w:cs="宋体"/>
                <w:color w:val="000000" w:themeColor="text1"/>
                <w:kern w:val="0"/>
                <w:sz w:val="24"/>
                <w:lang w:val="en-US" w:eastAsia="zh-CN"/>
                <w14:textFill>
                  <w14:solidFill>
                    <w14:schemeClr w14:val="tx1"/>
                  </w14:solidFill>
                </w14:textFill>
              </w:rPr>
              <w:t>；一经中标，投标报价总价作为中标单位与采购人签订的合同金额，合同期限内不做调整</w:t>
            </w:r>
            <w:r>
              <w:rPr>
                <w:rFonts w:hint="eastAsia" w:ascii="宋体" w:hAnsi="宋体" w:cs="宋体"/>
                <w:color w:val="000000" w:themeColor="text1"/>
                <w:sz w:val="24"/>
                <w14:textFill>
                  <w14:solidFill>
                    <w14:schemeClr w14:val="tx1"/>
                  </w14:solidFill>
                </w14:textFill>
              </w:rPr>
              <w:t>。</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noWrap w:val="0"/>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联系方式</w:t>
            </w:r>
          </w:p>
        </w:tc>
        <w:tc>
          <w:tcPr>
            <w:tcW w:w="7015" w:type="dxa"/>
            <w:noWrap w:val="0"/>
            <w:vAlign w:val="center"/>
          </w:tcPr>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采购人信息：</w:t>
            </w:r>
          </w:p>
          <w:p>
            <w:pPr>
              <w:spacing w:line="360" w:lineRule="auto"/>
              <w:rPr>
                <w:rFonts w:hint="eastAsia" w:ascii="宋体" w:hAnsi="宋体" w:cs="宋体"/>
                <w:color w:val="000000" w:themeColor="text1"/>
                <w:kern w:val="0"/>
                <w:sz w:val="24"/>
                <w:u w:val="none"/>
                <w14:textFill>
                  <w14:solidFill>
                    <w14:schemeClr w14:val="tx1"/>
                  </w14:solidFill>
                </w14:textFill>
              </w:rPr>
            </w:pPr>
            <w:r>
              <w:rPr>
                <w:rFonts w:hint="eastAsia" w:ascii="宋体" w:hAnsi="宋体" w:cs="宋体"/>
                <w:color w:val="000000" w:themeColor="text1"/>
                <w:kern w:val="0"/>
                <w:sz w:val="24"/>
                <w:u w:val="none"/>
                <w14:textFill>
                  <w14:solidFill>
                    <w14:schemeClr w14:val="tx1"/>
                  </w14:solidFill>
                </w14:textFill>
              </w:rPr>
              <w:t>名      称：深圳市前海深港现代服务业合作区管理局</w:t>
            </w:r>
          </w:p>
          <w:p>
            <w:pPr>
              <w:spacing w:line="360" w:lineRule="auto"/>
              <w:rPr>
                <w:rFonts w:hint="default" w:ascii="宋体" w:hAnsi="宋体" w:cs="宋体"/>
                <w:color w:val="000000" w:themeColor="text1"/>
                <w:kern w:val="0"/>
                <w:sz w:val="24"/>
                <w:u w:val="none"/>
                <w:lang w:val="en-US"/>
                <w14:textFill>
                  <w14:solidFill>
                    <w14:schemeClr w14:val="tx1"/>
                  </w14:solidFill>
                </w14:textFill>
              </w:rPr>
            </w:pPr>
            <w:r>
              <w:rPr>
                <w:rFonts w:hint="eastAsia" w:ascii="宋体" w:hAnsi="宋体" w:cs="宋体"/>
                <w:color w:val="000000" w:themeColor="text1"/>
                <w:kern w:val="0"/>
                <w:sz w:val="24"/>
                <w:u w:val="none"/>
                <w14:textFill>
                  <w14:solidFill>
                    <w14:schemeClr w14:val="tx1"/>
                  </w14:solidFill>
                </w14:textFill>
              </w:rPr>
              <w:t>联  系  人：</w:t>
            </w:r>
            <w:r>
              <w:rPr>
                <w:rFonts w:hint="eastAsia" w:ascii="宋体" w:hAnsi="宋体" w:cs="宋体"/>
                <w:color w:val="000000" w:themeColor="text1"/>
                <w:kern w:val="0"/>
                <w:sz w:val="24"/>
                <w:highlight w:val="none"/>
                <w:lang w:val="en-US" w:eastAsia="zh-CN"/>
                <w14:textFill>
                  <w14:solidFill>
                    <w14:schemeClr w14:val="tx1"/>
                  </w14:solidFill>
                </w14:textFill>
              </w:rPr>
              <w:t>蒋工</w:t>
            </w:r>
          </w:p>
          <w:p>
            <w:pPr>
              <w:spacing w:line="360" w:lineRule="auto"/>
              <w:rPr>
                <w:rFonts w:hint="default" w:ascii="宋体" w:hAnsi="宋体" w:cs="宋体"/>
                <w:color w:val="000000" w:themeColor="text1"/>
                <w:kern w:val="0"/>
                <w:sz w:val="24"/>
                <w:highlight w:val="none"/>
                <w:u w:val="none"/>
                <w:lang w:val="en-US" w:eastAsia="zh-CN"/>
                <w14:textFill>
                  <w14:solidFill>
                    <w14:schemeClr w14:val="tx1"/>
                  </w14:solidFill>
                </w14:textFill>
              </w:rPr>
            </w:pPr>
            <w:r>
              <w:rPr>
                <w:rFonts w:hint="eastAsia" w:ascii="宋体" w:hAnsi="宋体" w:cs="宋体"/>
                <w:color w:val="000000" w:themeColor="text1"/>
                <w:kern w:val="0"/>
                <w:sz w:val="24"/>
                <w:u w:val="none"/>
                <w14:textFill>
                  <w14:solidFill>
                    <w14:schemeClr w14:val="tx1"/>
                  </w14:solidFill>
                </w14:textFill>
              </w:rPr>
              <w:t>电      话：0755</w:t>
            </w:r>
            <w:r>
              <w:rPr>
                <w:rFonts w:hint="eastAsia" w:ascii="宋体" w:hAnsi="宋体" w:cs="宋体"/>
                <w:color w:val="000000" w:themeColor="text1"/>
                <w:kern w:val="0"/>
                <w:sz w:val="24"/>
                <w:highlight w:val="none"/>
                <w:u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88105470</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采购代理机构信息：</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名      称： 中国远东国际招标有限公司</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地      址： 深圳市福田区上步南路1001号锦峰大厦22楼</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  系  人： 凌女士、伍先生</w:t>
            </w:r>
          </w:p>
          <w:p>
            <w:pPr>
              <w:spacing w:line="360" w:lineRule="auto"/>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      话： 0755-82078919、82077364转</w:t>
            </w:r>
            <w:r>
              <w:rPr>
                <w:rFonts w:hint="eastAsia" w:ascii="宋体" w:hAnsi="宋体" w:cs="宋体"/>
                <w:color w:val="000000" w:themeColor="text1"/>
                <w:kern w:val="0"/>
                <w:sz w:val="24"/>
                <w:lang w:val="en-US" w:eastAsia="zh-CN"/>
                <w14:textFill>
                  <w14:solidFill>
                    <w14:schemeClr w14:val="tx1"/>
                  </w14:solidFill>
                </w14:textFill>
              </w:rPr>
              <w:t>110</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传      真： 0755-82077519、82078847 </w:t>
            </w:r>
          </w:p>
        </w:tc>
      </w:tr>
    </w:tbl>
    <w:p>
      <w:pPr>
        <w:adjustRightInd w:val="0"/>
        <w:snapToGrid w:val="0"/>
        <w:spacing w:line="360" w:lineRule="auto"/>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中国远东国际招标有限公司</w:t>
      </w:r>
    </w:p>
    <w:p>
      <w:pPr>
        <w:adjustRightInd w:val="0"/>
        <w:snapToGrid w:val="0"/>
        <w:spacing w:line="360" w:lineRule="auto"/>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202</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14</w:t>
      </w:r>
      <w:r>
        <w:rPr>
          <w:rFonts w:hint="eastAsia" w:ascii="宋体" w:hAnsi="宋体" w:cs="宋体"/>
          <w:color w:val="000000" w:themeColor="text1"/>
          <w:sz w:val="24"/>
          <w14:textFill>
            <w14:solidFill>
              <w14:schemeClr w14:val="tx1"/>
            </w14:solidFill>
          </w14:textFill>
        </w:rPr>
        <w:t>日</w:t>
      </w:r>
    </w:p>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p>
    <w:p>
      <w:pPr>
        <w:pStyle w:val="2"/>
        <w:rPr>
          <w:rFonts w:hint="eastAsia"/>
        </w:rPr>
      </w:pP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bookmarkStart w:id="4" w:name="_Toc12814"/>
      <w:r>
        <w:rPr>
          <w:rFonts w:hint="eastAsia" w:ascii="宋体" w:hAnsi="宋体" w:cs="宋体"/>
          <w:b/>
          <w:bCs/>
          <w:color w:val="000000" w:themeColor="text1"/>
          <w:sz w:val="24"/>
          <w14:textFill>
            <w14:solidFill>
              <w14:schemeClr w14:val="tx1"/>
            </w14:solidFill>
          </w14:textFill>
        </w:rPr>
        <w:t>投标须知</w:t>
      </w:r>
      <w:bookmarkEnd w:id="4"/>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1、本项目是深圳市前海深港现代服务业合作区管理局的</w:t>
      </w:r>
      <w:r>
        <w:rPr>
          <w:rFonts w:hint="eastAsia" w:ascii="宋体" w:hAnsi="宋体" w:cs="宋体"/>
          <w:color w:val="000000" w:themeColor="text1"/>
          <w:sz w:val="24"/>
          <w:lang w:eastAsia="zh-CN"/>
          <w14:textFill>
            <w14:solidFill>
              <w14:schemeClr w14:val="tx1"/>
            </w14:solidFill>
          </w14:textFill>
        </w:rPr>
        <w:t>前海桂湾片区规划建设运营国际化提升—前海梦工场北区5号楼建筑及公共空间提升研究</w:t>
      </w:r>
      <w:r>
        <w:rPr>
          <w:rFonts w:hint="eastAsia" w:ascii="宋体" w:hAnsi="宋体" w:cs="宋体"/>
          <w:color w:val="000000" w:themeColor="text1"/>
          <w:sz w:val="24"/>
          <w14:textFill>
            <w14:solidFill>
              <w14:schemeClr w14:val="tx1"/>
            </w14:solidFill>
          </w14:textFill>
        </w:rPr>
        <w:t>。</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2、本项目不属于《深圳市2023—2024年政府集中采购目录及限额标准》规定应集中采购项目，根据《中华人民共和国政府采购法》、《深圳经济特区</w:t>
      </w:r>
      <w:r>
        <w:rPr>
          <w:rFonts w:hint="eastAsia" w:ascii="宋体" w:hAnsi="宋体" w:cs="宋体"/>
          <w:color w:val="000000" w:themeColor="text1"/>
          <w:sz w:val="24"/>
          <w:lang w:val="en-US" w:eastAsia="zh-CN"/>
          <w14:textFill>
            <w14:solidFill>
              <w14:schemeClr w14:val="tx1"/>
            </w14:solidFill>
          </w14:textFill>
        </w:rPr>
        <w:t>政府</w:t>
      </w:r>
      <w:r>
        <w:rPr>
          <w:rFonts w:hint="eastAsia" w:ascii="宋体" w:hAnsi="宋体" w:cs="宋体"/>
          <w:color w:val="000000" w:themeColor="text1"/>
          <w:sz w:val="24"/>
          <w14:textFill>
            <w14:solidFill>
              <w14:schemeClr w14:val="tx1"/>
            </w14:solidFill>
          </w14:textFill>
        </w:rPr>
        <w:t>采购条例》的有关规定，中国远东国际招标有限公司受深圳市前海深港现代服务业合作区管理局委托组织采购</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本次采购公开征集供应商，报名且符合招标文件初审的供应商满足3家或3家以上的，采用综合评分法的方式进行。报名且符合招标文件初审的供应商不足3家而致招标失败的，按以下流程执行：</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a.有效投标人为2家的，可在2家有效投标人中取得分最高者为中标供应商；</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b.如参与投标且符合招标文件要求的供应商仅有1家，评审委员会应与投标供应商进行谈判，成交价应为最初报价的95%。</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3、本项目根据项目的实际情况，公开征集符合投标人资格的供应商。请各供应商根据本文件的要求，准备</w:t>
      </w:r>
      <w:r>
        <w:rPr>
          <w:rFonts w:hint="eastAsia" w:ascii="宋体" w:hAnsi="宋体" w:cs="宋体"/>
          <w:b/>
          <w:bCs/>
          <w:color w:val="000000" w:themeColor="text1"/>
          <w:sz w:val="24"/>
          <w14:textFill>
            <w14:solidFill>
              <w14:schemeClr w14:val="tx1"/>
            </w14:solidFill>
          </w14:textFill>
        </w:rPr>
        <w:t>5套（1套正本，4套副本，1份电子文档）</w:t>
      </w:r>
      <w:r>
        <w:rPr>
          <w:rFonts w:hint="eastAsia" w:ascii="宋体" w:hAnsi="宋体" w:cs="宋体"/>
          <w:color w:val="000000" w:themeColor="text1"/>
          <w:sz w:val="24"/>
          <w14:textFill>
            <w14:solidFill>
              <w14:schemeClr w14:val="tx1"/>
            </w14:solidFill>
          </w14:textFill>
        </w:rPr>
        <w:t>完备的资料进行投标。</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4、本招标文件已对本次采购项目的商务条件和货物或服务的质量、技术要求、成果要求、交货要求、售后服务作出了明确的规定。</w:t>
      </w:r>
    </w:p>
    <w:p>
      <w:pPr>
        <w:snapToGrid w:val="0"/>
        <w:spacing w:after="78" w:afterLines="25"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5、响应文件要包括如下内容：</w:t>
      </w:r>
    </w:p>
    <w:p>
      <w:pPr>
        <w:numPr>
          <w:ilvl w:val="0"/>
          <w:numId w:val="4"/>
        </w:numPr>
        <w:tabs>
          <w:tab w:val="clear" w:pos="-420"/>
        </w:tabs>
        <w:snapToGrid w:val="0"/>
        <w:spacing w:after="78" w:afterLines="25" w:line="360" w:lineRule="auto"/>
        <w:ind w:left="1050" w:hanging="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价格部分；</w:t>
      </w:r>
    </w:p>
    <w:p>
      <w:pPr>
        <w:numPr>
          <w:ilvl w:val="0"/>
          <w:numId w:val="4"/>
        </w:numPr>
        <w:tabs>
          <w:tab w:val="clear" w:pos="-420"/>
        </w:tabs>
        <w:snapToGrid w:val="0"/>
        <w:spacing w:after="78" w:afterLines="25" w:line="360" w:lineRule="auto"/>
        <w:ind w:left="1050" w:hanging="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商务部分；</w:t>
      </w:r>
    </w:p>
    <w:p>
      <w:pPr>
        <w:numPr>
          <w:ilvl w:val="0"/>
          <w:numId w:val="4"/>
        </w:numPr>
        <w:tabs>
          <w:tab w:val="clear" w:pos="-420"/>
        </w:tabs>
        <w:snapToGrid w:val="0"/>
        <w:spacing w:after="78" w:afterLines="25" w:line="360" w:lineRule="auto"/>
        <w:ind w:left="1050" w:hanging="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技术部分。</w:t>
      </w:r>
    </w:p>
    <w:p>
      <w:pPr>
        <w:snapToGrid w:val="0"/>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cs="宋体"/>
          <w:bCs/>
          <w:color w:val="000000" w:themeColor="text1"/>
          <w:sz w:val="24"/>
          <w14:textFill>
            <w14:solidFill>
              <w14:schemeClr w14:val="tx1"/>
            </w14:solidFill>
          </w14:textFill>
        </w:rPr>
        <w:t>采购人会对本次招标的项目确定一个最高限价，最终成交价格超出最高限价将会被当作投标无效处理。</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9、本次采购凡涉及知识产权问题，由项目供应商负责。</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10、采购人将组成评审委员会，评审工作由评审委员会独立负责。</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12、采用综合评分法的情况：评审委员会将分别对供应商递交的投标文件进行评审。</w:t>
      </w:r>
    </w:p>
    <w:p>
      <w:pPr>
        <w:pStyle w:val="24"/>
        <w:snapToGrid w:val="0"/>
        <w:spacing w:line="360" w:lineRule="auto"/>
        <w:ind w:firstLine="480"/>
        <w:rPr>
          <w:rFonts w:hint="eastAsia"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（1）评审委员会将根据供应商的供货能力、服务能力、货物的质量、是否满足本次采购的商务条件、报价等方面的情况进行综合评审，评标委员会依据得分情况，取综合得分最高的供应商为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color w:val="000000" w:themeColor="text1"/>
          <w:sz w:val="24"/>
          <w:szCs w:val="24"/>
          <w14:textFill>
            <w14:solidFill>
              <w14:schemeClr w14:val="tx1"/>
            </w14:solidFill>
          </w14:textFill>
        </w:rPr>
        <w:t>第一</w:t>
      </w:r>
      <w:r>
        <w:rPr>
          <w:rFonts w:hint="eastAsia" w:ascii="宋体" w:hAnsi="宋体" w:cs="宋体"/>
          <w:color w:val="000000" w:themeColor="text1"/>
          <w:kern w:val="2"/>
          <w:sz w:val="24"/>
          <w:szCs w:val="24"/>
          <w14:textFill>
            <w14:solidFill>
              <w14:schemeClr w14:val="tx1"/>
            </w14:solidFill>
          </w14:textFill>
        </w:rPr>
        <w:t>中标候选人。</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（2）如果二个及以上供应商的综合评分相同时，取投标价格低者为第一中标候选人。</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（3）如果二个及以上供应商的综合评分相同，且投标价格也相同时，取技术部分得分高者为第一中标候选人。</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13、采用谈判的情况：参与投标且符合招标文件要求的供应商仅有一家，评审委员会将与投标供应商进行谈判。</w:t>
      </w:r>
    </w:p>
    <w:p>
      <w:pPr>
        <w:snapToGrid w:val="0"/>
        <w:spacing w:line="360" w:lineRule="auto"/>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（1）供应商在谈判时由项目负责人与评审委员会进行谈判；</w:t>
      </w:r>
    </w:p>
    <w:p>
      <w:pPr>
        <w:snapToGrid w:val="0"/>
        <w:spacing w:line="360" w:lineRule="auto"/>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（2）成交价应为最初报价的95%。</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14、所有的评审/谈判内容都必须保密。</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15、招标代理服务收费：</w:t>
      </w:r>
    </w:p>
    <w:p>
      <w:pPr>
        <w:snapToGrid w:val="0"/>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numPr>
          <w:ilvl w:val="0"/>
          <w:numId w:val="5"/>
        </w:numPr>
        <w:adjustRightInd w:val="0"/>
        <w:snapToGrid w:val="0"/>
        <w:spacing w:line="360" w:lineRule="auto"/>
        <w:ind w:right="26"/>
        <w:jc w:val="left"/>
        <w:rPr>
          <w:rFonts w:hint="eastAsia"/>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具体计取费率标准如下表所示：</w:t>
      </w:r>
    </w:p>
    <w:tbl>
      <w:tblPr>
        <w:tblStyle w:val="16"/>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中标金额</w:t>
            </w:r>
          </w:p>
        </w:tc>
        <w:tc>
          <w:tcPr>
            <w:tcW w:w="5495" w:type="dxa"/>
            <w:gridSpan w:val="3"/>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p>
        </w:tc>
        <w:tc>
          <w:tcPr>
            <w:tcW w:w="1843" w:type="dxa"/>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货物招标</w:t>
            </w:r>
          </w:p>
        </w:tc>
        <w:tc>
          <w:tcPr>
            <w:tcW w:w="1755" w:type="dxa"/>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服务招标</w:t>
            </w:r>
          </w:p>
        </w:tc>
        <w:tc>
          <w:tcPr>
            <w:tcW w:w="1897" w:type="dxa"/>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100万元以下</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100万元（含）-500万元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0.8%</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500万元（含）-1000万元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0.8%</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0.45%</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1000万元（含）-5000万元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0.5%</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0.25%</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5000万元（含）-1亿元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0.25%</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0.1%</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1亿元（含）-5亿元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5亿元（含）-10亿元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0.035%</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0.035%</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10亿元（含）-50亿元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0.008%</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0.008%</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50亿元（含）-100亿元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0.006%</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0.006%</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100亿元（含）以上</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0.004%</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0.004%</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0.004%</w:t>
            </w:r>
          </w:p>
        </w:tc>
      </w:tr>
    </w:tbl>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招标代理服务费缴纳至：</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开户名称：中国远东国际招标有限公司深圳分公司</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银行</w:t>
      </w:r>
      <w:r>
        <w:rPr>
          <w:rFonts w:hint="eastAsia" w:ascii="宋体" w:hAnsi="宋体" w:cs="宋体"/>
          <w:color w:val="000000" w:themeColor="text1"/>
          <w:sz w:val="24"/>
          <w:lang w:val="en-US" w:eastAsia="zh-CN"/>
          <w14:textFill>
            <w14:solidFill>
              <w14:schemeClr w14:val="tx1"/>
            </w14:solidFill>
          </w14:textFill>
        </w:rPr>
        <w:t>账号</w:t>
      </w:r>
      <w:r>
        <w:rPr>
          <w:rFonts w:hint="eastAsia" w:ascii="宋体" w:hAnsi="宋体" w:cs="宋体"/>
          <w:color w:val="000000" w:themeColor="text1"/>
          <w:sz w:val="24"/>
          <w14:textFill>
            <w14:solidFill>
              <w14:schemeClr w14:val="tx1"/>
            </w14:solidFill>
          </w14:textFill>
        </w:rPr>
        <w:t>：11013651025501</w:t>
      </w:r>
    </w:p>
    <w:p>
      <w:pPr>
        <w:spacing w:line="360" w:lineRule="auto"/>
        <w:rPr>
          <w:rFonts w:hint="eastAsia" w:ascii="宋体" w:hAnsi="宋体" w:cs="宋体"/>
          <w:b/>
          <w:bCs/>
          <w:color w:val="000000" w:themeColor="text1"/>
          <w:sz w:val="24"/>
          <w14:textFill>
            <w14:solidFill>
              <w14:schemeClr w14:val="tx1"/>
            </w14:solidFill>
          </w14:textFill>
        </w:rPr>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r>
        <w:rPr>
          <w:rFonts w:hint="eastAsia" w:ascii="宋体" w:hAnsi="宋体" w:cs="宋体"/>
          <w:color w:val="000000" w:themeColor="text1"/>
          <w:sz w:val="24"/>
          <w14:textFill>
            <w14:solidFill>
              <w14:schemeClr w14:val="tx1"/>
            </w14:solidFill>
          </w14:textFill>
        </w:rPr>
        <w:t>开户银行：平安银行深圳中电支行</w:t>
      </w: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bookmarkStart w:id="5" w:name="_Toc21486"/>
      <w:r>
        <w:rPr>
          <w:rFonts w:hint="eastAsia" w:ascii="宋体" w:hAnsi="宋体" w:cs="宋体"/>
          <w:b/>
          <w:bCs/>
          <w:color w:val="000000" w:themeColor="text1"/>
          <w:sz w:val="24"/>
          <w14:textFill>
            <w14:solidFill>
              <w14:schemeClr w14:val="tx1"/>
            </w14:solidFill>
          </w14:textFill>
        </w:rPr>
        <w:t>评标程序</w:t>
      </w:r>
      <w:bookmarkEnd w:id="5"/>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投标截止日前一天组成。</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二、参加会议人员：投标</w:t>
      </w:r>
      <w:bookmarkStart w:id="25" w:name="_GoBack"/>
      <w:bookmarkEnd w:id="25"/>
      <w:r>
        <w:rPr>
          <w:rFonts w:hint="eastAsia" w:ascii="宋体" w:hAnsi="宋体" w:cs="宋体"/>
          <w:color w:val="000000" w:themeColor="text1"/>
          <w:sz w:val="24"/>
          <w14:textFill>
            <w14:solidFill>
              <w14:schemeClr w14:val="tx1"/>
            </w14:solidFill>
          </w14:textFill>
        </w:rPr>
        <w:t>人代表（如需）、项目负责代表、评审委员会成员、监督部门代表（如需）、采购代理机构代表。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三、会议主持人：中国远东国际招标有限公司工作人员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四、开标时间：202</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20</w:t>
      </w:r>
      <w:r>
        <w:rPr>
          <w:rFonts w:hint="eastAsia" w:ascii="宋体" w:hAnsi="宋体" w:cs="宋体"/>
          <w:color w:val="000000" w:themeColor="text1"/>
          <w:sz w:val="24"/>
          <w14:textFill>
            <w14:solidFill>
              <w14:schemeClr w14:val="tx1"/>
            </w14:solidFill>
          </w14:textFill>
        </w:rPr>
        <w:t>日下午14:30时（北京时间）。</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五、会议开始：202</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20</w:t>
      </w:r>
      <w:r>
        <w:rPr>
          <w:rFonts w:hint="eastAsia" w:ascii="宋体" w:hAnsi="宋体" w:cs="宋体"/>
          <w:color w:val="000000" w:themeColor="text1"/>
          <w:sz w:val="24"/>
          <w14:textFill>
            <w14:solidFill>
              <w14:schemeClr w14:val="tx1"/>
            </w14:solidFill>
          </w14:textFill>
        </w:rPr>
        <w:t>日下午14:30时（北京时间）由会议主持人宣布定标会议开始。</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六、项目负责代表向采购代理机构代表送交投标文件，监督部门代表（如</w:t>
      </w:r>
      <w:r>
        <w:rPr>
          <w:rFonts w:hint="eastAsia" w:ascii="宋体" w:hAnsi="宋体" w:cs="宋体"/>
          <w:color w:val="000000" w:themeColor="text1"/>
          <w:sz w:val="24"/>
          <w:lang w:val="en-US" w:eastAsia="zh-CN"/>
          <w14:textFill>
            <w14:solidFill>
              <w14:schemeClr w14:val="tx1"/>
            </w14:solidFill>
          </w14:textFill>
        </w:rPr>
        <w:t>有</w:t>
      </w:r>
      <w:r>
        <w:rPr>
          <w:rFonts w:hint="eastAsia" w:ascii="宋体" w:hAnsi="宋体" w:cs="宋体"/>
          <w:color w:val="000000" w:themeColor="text1"/>
          <w:sz w:val="24"/>
          <w14:textFill>
            <w14:solidFill>
              <w14:schemeClr w14:val="tx1"/>
            </w14:solidFill>
          </w14:textFill>
        </w:rPr>
        <w:t>）确认投标文件密封完整，未密封投标文件将作为投标无效处理。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七、由采购代理机构代表现场拆封投标文件，并分发给评审委员会成员。</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八、评审委员会审查供应商的投标文件，工作人员记录审查的情况。</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九、评审委员会按以下工作程序进行：</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1、评标委员会对各供应商的投标文件进行初审，对未能通过初审的投标文件作投标无效处理。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2、对通过初审的供应商的投标文件进行详细的比较和评价。如需要，进行必要的澄清/说明工作。</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3、根据参与投标且符合招标文件要求的供应商数量情况，确定本项目的评审方法。</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4、采用综合评分法的情况：评审委员会将分别对供应商递交的投标文件进行评审。</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4.2如果二个及以上供应商的综合评分相同时，取投标价格低者为第一中标候选人。</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4.3如果二个及以上供应商的综合评分相同，且投标价格也相同时，取技术部分得分高者为第一中标候选人。</w:t>
      </w:r>
    </w:p>
    <w:p>
      <w:pPr>
        <w:numPr>
          <w:ilvl w:val="0"/>
          <w:numId w:val="6"/>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采用谈判的情况：参与投标且符合招标文件要求的供应商仅有一家，评审委员会将与投标供应商进行谈判。</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 供应商在谈判时由项目负责人与评审委员会进行谈判；</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 成交价应为最初报价的95%。</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6、评审委员会按照本项目招标文件中规定的评标方法确定中标供应商。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十、根据本次采购的结果，10个工作日内与中标供应商签订合同。</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bookmarkStart w:id="6" w:name="_Toc8184"/>
      <w:r>
        <w:rPr>
          <w:rFonts w:hint="eastAsia" w:ascii="宋体" w:hAnsi="宋体" w:cs="宋体"/>
          <w:b/>
          <w:bCs/>
          <w:color w:val="000000" w:themeColor="text1"/>
          <w:sz w:val="24"/>
          <w14:textFill>
            <w14:solidFill>
              <w14:schemeClr w14:val="tx1"/>
            </w14:solidFill>
          </w14:textFill>
        </w:rPr>
        <w:t>合同格式及合同条款</w:t>
      </w:r>
      <w:bookmarkEnd w:id="6"/>
    </w:p>
    <w:p>
      <w:pPr>
        <w:spacing w:line="360" w:lineRule="auto"/>
        <w:ind w:firstLine="470" w:firstLineChars="196"/>
        <w:jc w:val="center"/>
        <w:rPr>
          <w:rFonts w:hint="eastAsia" w:ascii="宋体" w:hAnsi="宋体" w:cs="宋体"/>
          <w:color w:val="000000" w:themeColor="text1"/>
          <w:sz w:val="24"/>
          <w14:textFill>
            <w14:solidFill>
              <w14:schemeClr w14:val="tx1"/>
            </w14:solidFill>
          </w14:textFill>
        </w:rPr>
      </w:pPr>
    </w:p>
    <w:p>
      <w:pPr>
        <w:pStyle w:val="24"/>
        <w:spacing w:line="360" w:lineRule="auto"/>
        <w:ind w:left="1470" w:right="1470" w:firstLine="482"/>
        <w:jc w:val="center"/>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合同编号（</w:t>
      </w:r>
      <w:r>
        <w:rPr>
          <w:rFonts w:hint="eastAsia" w:ascii="宋体" w:hAnsi="宋体" w:cs="宋体"/>
          <w:b/>
          <w:color w:val="000000" w:themeColor="text1"/>
          <w:sz w:val="24"/>
          <w:szCs w:val="24"/>
          <w:lang w:eastAsia="zh-CN"/>
          <w14:textFill>
            <w14:solidFill>
              <w14:schemeClr w14:val="tx1"/>
            </w14:solidFill>
          </w14:textFill>
        </w:rPr>
        <w:t>甲方</w:t>
      </w:r>
      <w:r>
        <w:rPr>
          <w:rFonts w:hint="eastAsia" w:ascii="宋体" w:hAnsi="宋体" w:cs="宋体"/>
          <w:b/>
          <w:color w:val="000000" w:themeColor="text1"/>
          <w:sz w:val="24"/>
          <w:szCs w:val="24"/>
          <w14:textFill>
            <w14:solidFill>
              <w14:schemeClr w14:val="tx1"/>
            </w14:solidFill>
          </w14:textFill>
        </w:rPr>
        <w:t xml:space="preserve">）：            </w:t>
      </w:r>
    </w:p>
    <w:p>
      <w:pPr>
        <w:pStyle w:val="24"/>
        <w:spacing w:line="360" w:lineRule="auto"/>
        <w:ind w:left="1470" w:right="1470" w:firstLine="482"/>
        <w:jc w:val="center"/>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合同编号（</w:t>
      </w:r>
      <w:r>
        <w:rPr>
          <w:rFonts w:hint="eastAsia" w:ascii="宋体" w:hAnsi="宋体" w:cs="宋体"/>
          <w:b/>
          <w:color w:val="000000" w:themeColor="text1"/>
          <w:sz w:val="24"/>
          <w:szCs w:val="24"/>
          <w:lang w:eastAsia="zh-CN"/>
          <w14:textFill>
            <w14:solidFill>
              <w14:schemeClr w14:val="tx1"/>
            </w14:solidFill>
          </w14:textFill>
        </w:rPr>
        <w:t>乙方</w:t>
      </w:r>
      <w:r>
        <w:rPr>
          <w:rFonts w:hint="eastAsia" w:ascii="宋体" w:hAnsi="宋体" w:cs="宋体"/>
          <w:b/>
          <w:color w:val="000000" w:themeColor="text1"/>
          <w:sz w:val="24"/>
          <w:szCs w:val="24"/>
          <w14:textFill>
            <w14:solidFill>
              <w14:schemeClr w14:val="tx1"/>
            </w14:solidFill>
          </w14:textFill>
        </w:rPr>
        <w:t xml:space="preserve">）：            </w:t>
      </w:r>
    </w:p>
    <w:p>
      <w:pPr>
        <w:pStyle w:val="24"/>
        <w:spacing w:line="360" w:lineRule="auto"/>
        <w:ind w:left="1470" w:right="1470" w:firstLine="482"/>
        <w:jc w:val="center"/>
        <w:rPr>
          <w:rFonts w:hint="eastAsia" w:ascii="宋体" w:hAnsi="宋体" w:cs="宋体"/>
          <w:b/>
          <w:color w:val="000000" w:themeColor="text1"/>
          <w:sz w:val="24"/>
          <w:szCs w:val="24"/>
          <w14:textFill>
            <w14:solidFill>
              <w14:schemeClr w14:val="tx1"/>
            </w14:solidFill>
          </w14:textFill>
        </w:rPr>
      </w:pPr>
    </w:p>
    <w:p>
      <w:pPr>
        <w:pStyle w:val="24"/>
        <w:spacing w:line="360" w:lineRule="auto"/>
        <w:ind w:left="1470" w:right="1470" w:firstLine="482"/>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w:t>
      </w:r>
    </w:p>
    <w:p>
      <w:pPr>
        <w:pStyle w:val="24"/>
        <w:spacing w:line="360" w:lineRule="auto"/>
        <w:ind w:left="1470" w:right="1470" w:firstLine="482"/>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w:t>
      </w:r>
    </w:p>
    <w:p>
      <w:pPr>
        <w:spacing w:line="360" w:lineRule="auto"/>
        <w:jc w:val="center"/>
        <w:outlineLvl w:val="1"/>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lang w:eastAsia="zh-CN"/>
          <w14:textFill>
            <w14:solidFill>
              <w14:schemeClr w14:val="tx1"/>
            </w14:solidFill>
          </w14:textFill>
        </w:rPr>
        <w:t>前海桂湾片区规划建设运营国际化提升—前海梦工场北区5号楼建筑及公共空间提升研究</w:t>
      </w:r>
      <w:r>
        <w:rPr>
          <w:rFonts w:hint="eastAsia" w:ascii="宋体" w:hAnsi="宋体" w:cs="宋体"/>
          <w:b/>
          <w:color w:val="000000" w:themeColor="text1"/>
          <w:sz w:val="28"/>
          <w:szCs w:val="28"/>
          <w14:textFill>
            <w14:solidFill>
              <w14:schemeClr w14:val="tx1"/>
            </w14:solidFill>
          </w14:textFill>
        </w:rPr>
        <w:t>委托合同</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pStyle w:val="24"/>
        <w:spacing w:line="360" w:lineRule="auto"/>
        <w:ind w:left="1470" w:right="1470"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pPr>
        <w:pStyle w:val="24"/>
        <w:spacing w:line="360" w:lineRule="auto"/>
        <w:ind w:left="1470" w:right="1470"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pPr>
        <w:keepNext w:val="0"/>
        <w:keepLines w:val="0"/>
        <w:pageBreakBefore w:val="0"/>
        <w:kinsoku/>
        <w:wordWrap/>
        <w:overflowPunct/>
        <w:topLinePunct w:val="0"/>
        <w:autoSpaceDE/>
        <w:autoSpaceDN/>
        <w:bidi w:val="0"/>
        <w:spacing w:line="460" w:lineRule="exact"/>
        <w:ind w:left="0" w:leftChars="0" w:firstLine="641" w:firstLineChars="266"/>
        <w:rPr>
          <w:rFonts w:hint="eastAsia" w:ascii="华文仿宋" w:hAnsi="华文仿宋" w:eastAsia="华文仿宋" w:cs="华文仿宋"/>
          <w:b/>
          <w:bCs/>
          <w:color w:val="000000"/>
          <w:sz w:val="24"/>
          <w:szCs w:val="24"/>
        </w:rPr>
      </w:pPr>
      <w:r>
        <w:rPr>
          <w:rFonts w:hint="eastAsia" w:ascii="华文仿宋" w:hAnsi="华文仿宋" w:eastAsia="华文仿宋" w:cs="华文仿宋"/>
          <w:b/>
          <w:bCs/>
          <w:color w:val="000000"/>
          <w:sz w:val="24"/>
          <w:szCs w:val="24"/>
          <w:lang w:eastAsia="zh-CN"/>
        </w:rPr>
        <w:t>甲方</w:t>
      </w:r>
      <w:r>
        <w:rPr>
          <w:rFonts w:hint="eastAsia" w:ascii="华文仿宋" w:hAnsi="华文仿宋" w:eastAsia="华文仿宋" w:cs="华文仿宋"/>
          <w:b/>
          <w:bCs/>
          <w:color w:val="000000"/>
          <w:sz w:val="24"/>
          <w:szCs w:val="24"/>
        </w:rPr>
        <w:t xml:space="preserve">： </w:t>
      </w:r>
    </w:p>
    <w:p>
      <w:pPr>
        <w:keepNext w:val="0"/>
        <w:keepLines w:val="0"/>
        <w:pageBreakBefore w:val="0"/>
        <w:kinsoku/>
        <w:wordWrap/>
        <w:overflowPunct/>
        <w:topLinePunct w:val="0"/>
        <w:autoSpaceDE/>
        <w:autoSpaceDN/>
        <w:bidi w:val="0"/>
        <w:spacing w:line="460" w:lineRule="exact"/>
        <w:ind w:left="0" w:leftChars="0" w:firstLine="641" w:firstLineChars="266"/>
        <w:rPr>
          <w:rFonts w:hint="eastAsia" w:ascii="华文仿宋" w:hAnsi="华文仿宋" w:eastAsia="华文仿宋" w:cs="华文仿宋"/>
          <w:b/>
          <w:bCs/>
          <w:color w:val="000000"/>
          <w:sz w:val="24"/>
          <w:szCs w:val="24"/>
        </w:rPr>
      </w:pPr>
      <w:r>
        <w:rPr>
          <w:rFonts w:hint="eastAsia" w:ascii="华文仿宋" w:hAnsi="华文仿宋" w:eastAsia="华文仿宋" w:cs="华文仿宋"/>
          <w:b/>
          <w:bCs/>
          <w:color w:val="000000"/>
          <w:sz w:val="24"/>
          <w:szCs w:val="24"/>
        </w:rPr>
        <w:t xml:space="preserve">地址： </w:t>
      </w:r>
    </w:p>
    <w:p>
      <w:pPr>
        <w:keepNext w:val="0"/>
        <w:keepLines w:val="0"/>
        <w:pageBreakBefore w:val="0"/>
        <w:kinsoku/>
        <w:wordWrap/>
        <w:overflowPunct/>
        <w:topLinePunct w:val="0"/>
        <w:autoSpaceDE/>
        <w:autoSpaceDN/>
        <w:bidi w:val="0"/>
        <w:spacing w:line="460" w:lineRule="exact"/>
        <w:ind w:left="0" w:leftChars="0" w:firstLine="641" w:firstLineChars="266"/>
        <w:rPr>
          <w:rFonts w:hint="eastAsia" w:ascii="华文仿宋" w:hAnsi="华文仿宋" w:eastAsia="华文仿宋" w:cs="华文仿宋"/>
          <w:b/>
          <w:bCs/>
          <w:color w:val="000000"/>
          <w:sz w:val="24"/>
          <w:szCs w:val="24"/>
        </w:rPr>
      </w:pPr>
      <w:r>
        <w:rPr>
          <w:rFonts w:hint="eastAsia" w:ascii="华文仿宋" w:hAnsi="华文仿宋" w:eastAsia="华文仿宋" w:cs="华文仿宋"/>
          <w:b/>
          <w:bCs/>
          <w:color w:val="000000"/>
          <w:sz w:val="24"/>
          <w:szCs w:val="24"/>
        </w:rPr>
        <w:t xml:space="preserve"> </w:t>
      </w:r>
    </w:p>
    <w:p>
      <w:pPr>
        <w:keepNext w:val="0"/>
        <w:keepLines w:val="0"/>
        <w:pageBreakBefore w:val="0"/>
        <w:kinsoku/>
        <w:wordWrap/>
        <w:overflowPunct/>
        <w:topLinePunct w:val="0"/>
        <w:autoSpaceDE/>
        <w:autoSpaceDN/>
        <w:bidi w:val="0"/>
        <w:spacing w:line="460" w:lineRule="exact"/>
        <w:ind w:left="0" w:leftChars="0" w:firstLine="641" w:firstLineChars="266"/>
        <w:rPr>
          <w:rFonts w:hint="eastAsia" w:ascii="华文仿宋" w:hAnsi="华文仿宋" w:eastAsia="华文仿宋" w:cs="华文仿宋"/>
          <w:b w:val="0"/>
          <w:bCs w:val="0"/>
          <w:color w:val="000000"/>
          <w:sz w:val="24"/>
          <w:szCs w:val="24"/>
          <w:u w:val="none"/>
        </w:rPr>
      </w:pPr>
      <w:r>
        <w:rPr>
          <w:rFonts w:hint="eastAsia" w:ascii="华文仿宋" w:hAnsi="华文仿宋" w:eastAsia="华文仿宋" w:cs="华文仿宋"/>
          <w:b/>
          <w:bCs/>
          <w:color w:val="000000"/>
          <w:sz w:val="24"/>
          <w:szCs w:val="24"/>
          <w:lang w:eastAsia="zh-CN"/>
        </w:rPr>
        <w:t>乙方</w:t>
      </w:r>
      <w:r>
        <w:rPr>
          <w:rFonts w:hint="eastAsia" w:ascii="华文仿宋" w:hAnsi="华文仿宋" w:eastAsia="华文仿宋" w:cs="华文仿宋"/>
          <w:b/>
          <w:bCs/>
          <w:color w:val="000000"/>
          <w:sz w:val="24"/>
          <w:szCs w:val="24"/>
        </w:rPr>
        <w:t>：</w:t>
      </w:r>
    </w:p>
    <w:p>
      <w:pPr>
        <w:keepNext w:val="0"/>
        <w:keepLines w:val="0"/>
        <w:pageBreakBefore w:val="0"/>
        <w:kinsoku/>
        <w:wordWrap/>
        <w:overflowPunct/>
        <w:topLinePunct w:val="0"/>
        <w:autoSpaceDE/>
        <w:autoSpaceDN/>
        <w:bidi w:val="0"/>
        <w:spacing w:line="460" w:lineRule="exact"/>
        <w:ind w:left="0" w:leftChars="0" w:firstLine="641" w:firstLineChars="266"/>
        <w:rPr>
          <w:rFonts w:hint="eastAsia" w:ascii="华文仿宋" w:hAnsi="华文仿宋" w:eastAsia="华文仿宋" w:cs="华文仿宋"/>
          <w:b w:val="0"/>
          <w:bCs w:val="0"/>
          <w:color w:val="000000"/>
          <w:sz w:val="24"/>
          <w:szCs w:val="24"/>
          <w:u w:val="none"/>
        </w:rPr>
      </w:pPr>
      <w:r>
        <w:rPr>
          <w:rFonts w:hint="eastAsia" w:ascii="华文仿宋" w:hAnsi="华文仿宋" w:eastAsia="华文仿宋" w:cs="华文仿宋"/>
          <w:b/>
          <w:bCs/>
          <w:color w:val="000000"/>
          <w:sz w:val="24"/>
          <w:szCs w:val="24"/>
        </w:rPr>
        <w:t>地址：</w:t>
      </w:r>
    </w:p>
    <w:p>
      <w:pPr>
        <w:keepNext w:val="0"/>
        <w:keepLines w:val="0"/>
        <w:pageBreakBefore w:val="0"/>
        <w:kinsoku/>
        <w:wordWrap/>
        <w:overflowPunct/>
        <w:topLinePunct w:val="0"/>
        <w:autoSpaceDE/>
        <w:autoSpaceDN/>
        <w:bidi w:val="0"/>
        <w:spacing w:line="460" w:lineRule="exact"/>
        <w:rPr>
          <w:rFonts w:hint="eastAsia" w:ascii="华文仿宋" w:hAnsi="华文仿宋" w:eastAsia="华文仿宋" w:cs="华文仿宋"/>
          <w:b/>
          <w:bCs/>
          <w:color w:val="000000"/>
          <w:sz w:val="24"/>
          <w:szCs w:val="24"/>
        </w:rPr>
      </w:pPr>
      <w:r>
        <w:rPr>
          <w:rFonts w:hint="eastAsia" w:ascii="华文仿宋" w:hAnsi="华文仿宋" w:eastAsia="华文仿宋" w:cs="华文仿宋"/>
          <w:b/>
          <w:bCs/>
          <w:color w:val="000000"/>
          <w:sz w:val="24"/>
          <w:szCs w:val="24"/>
        </w:rPr>
        <w:t xml:space="preserve"> </w:t>
      </w:r>
    </w:p>
    <w:p>
      <w:pPr>
        <w:keepNext w:val="0"/>
        <w:keepLines w:val="0"/>
        <w:pageBreakBefore w:val="0"/>
        <w:kinsoku/>
        <w:wordWrap/>
        <w:overflowPunct/>
        <w:topLinePunct w:val="0"/>
        <w:autoSpaceDE/>
        <w:autoSpaceDN/>
        <w:bidi w:val="0"/>
        <w:spacing w:line="460" w:lineRule="exact"/>
        <w:ind w:firstLine="480" w:firstLineChars="200"/>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sz w:val="24"/>
          <w:szCs w:val="24"/>
        </w:rPr>
        <w:t>以下</w:t>
      </w:r>
      <w:r>
        <w:rPr>
          <w:rFonts w:hint="eastAsia" w:ascii="华文仿宋" w:hAnsi="华文仿宋" w:eastAsia="华文仿宋" w:cs="华文仿宋"/>
          <w:color w:val="000000"/>
          <w:sz w:val="24"/>
          <w:szCs w:val="24"/>
          <w:lang w:eastAsia="zh-CN"/>
        </w:rPr>
        <w:t>甲方</w:t>
      </w:r>
      <w:r>
        <w:rPr>
          <w:rFonts w:hint="eastAsia" w:ascii="华文仿宋" w:hAnsi="华文仿宋" w:eastAsia="华文仿宋" w:cs="华文仿宋"/>
          <w:color w:val="000000"/>
          <w:sz w:val="24"/>
          <w:szCs w:val="24"/>
        </w:rPr>
        <w:t>和</w:t>
      </w:r>
      <w:r>
        <w:rPr>
          <w:rFonts w:hint="eastAsia" w:ascii="华文仿宋" w:hAnsi="华文仿宋" w:eastAsia="华文仿宋" w:cs="华文仿宋"/>
          <w:color w:val="000000"/>
          <w:sz w:val="24"/>
          <w:szCs w:val="24"/>
          <w:lang w:eastAsia="zh-CN"/>
        </w:rPr>
        <w:t>乙方</w:t>
      </w:r>
      <w:r>
        <w:rPr>
          <w:rFonts w:hint="eastAsia" w:ascii="华文仿宋" w:hAnsi="华文仿宋" w:eastAsia="华文仿宋" w:cs="华文仿宋"/>
          <w:color w:val="000000"/>
          <w:sz w:val="24"/>
          <w:szCs w:val="24"/>
        </w:rPr>
        <w:t>合称“双方”。</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根据《中华人民共和国民法典》等法律、法规的相关规定和编号为【</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】招标项目的中标结果，由【】单位（以下简称</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）为</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。按照《中华人民共和国民法典》和《深圳经济特区政府采购条例》，经深圳市前海深港现代服务业合作区管理局（以下简称</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）和【】单位（以下简称</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）协商，就</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委托</w:t>
      </w:r>
      <w:r>
        <w:rPr>
          <w:rFonts w:hint="eastAsia" w:ascii="仿宋_GB2312" w:hAnsi="仿宋_GB2312" w:eastAsia="仿宋_GB2312" w:cs="仿宋_GB2312"/>
          <w:b/>
          <w:bCs/>
          <w:color w:val="000000"/>
          <w:sz w:val="24"/>
          <w:szCs w:val="24"/>
          <w:u w:val="single"/>
          <w:lang w:eastAsia="zh-CN"/>
        </w:rPr>
        <w:t>乙方</w:t>
      </w:r>
      <w:r>
        <w:rPr>
          <w:rFonts w:hint="eastAsia" w:ascii="仿宋_GB2312" w:hAnsi="仿宋_GB2312" w:eastAsia="仿宋_GB2312" w:cs="仿宋_GB2312"/>
          <w:color w:val="000000"/>
          <w:sz w:val="24"/>
          <w:szCs w:val="24"/>
        </w:rPr>
        <w:t>共同承担</w:t>
      </w:r>
      <w:r>
        <w:rPr>
          <w:rFonts w:hint="eastAsia" w:ascii="仿宋_GB2312" w:hAnsi="仿宋_GB2312" w:eastAsia="仿宋_GB2312" w:cs="仿宋_GB2312"/>
          <w:b/>
          <w:bCs/>
          <w:color w:val="000000"/>
          <w:kern w:val="0"/>
          <w:sz w:val="24"/>
          <w:szCs w:val="24"/>
          <w:u w:val="single"/>
        </w:rPr>
        <w:t xml:space="preserve"> </w:t>
      </w:r>
      <w:r>
        <w:rPr>
          <w:rFonts w:hint="eastAsia" w:ascii="仿宋_GB2312" w:hAnsi="仿宋_GB2312" w:eastAsia="仿宋_GB2312" w:cs="仿宋_GB2312"/>
          <w:b/>
          <w:bCs/>
          <w:color w:val="000000"/>
          <w:kern w:val="0"/>
          <w:sz w:val="24"/>
          <w:szCs w:val="24"/>
          <w:u w:val="single"/>
          <w:lang w:val="en-US" w:eastAsia="zh-CN"/>
        </w:rPr>
        <w:t>*</w:t>
      </w:r>
      <w:r>
        <w:rPr>
          <w:rFonts w:hint="eastAsia" w:ascii="仿宋_GB2312" w:hAnsi="仿宋_GB2312" w:eastAsia="仿宋_GB2312" w:cs="仿宋_GB2312"/>
          <w:b/>
          <w:bCs/>
          <w:color w:val="000000"/>
          <w:kern w:val="0"/>
          <w:sz w:val="24"/>
          <w:szCs w:val="24"/>
          <w:u w:val="single"/>
        </w:rPr>
        <w:t>（以下简称本项目）</w:t>
      </w:r>
      <w:r>
        <w:rPr>
          <w:rFonts w:hint="eastAsia" w:ascii="仿宋_GB2312" w:hAnsi="仿宋_GB2312" w:eastAsia="仿宋_GB2312" w:cs="仿宋_GB2312"/>
          <w:color w:val="000000"/>
          <w:sz w:val="24"/>
          <w:szCs w:val="24"/>
        </w:rPr>
        <w:t>，达成以下合同条款：</w:t>
      </w:r>
    </w:p>
    <w:p>
      <w:pPr>
        <w:keepNext w:val="0"/>
        <w:keepLines w:val="0"/>
        <w:pageBreakBefore w:val="0"/>
        <w:kinsoku/>
        <w:wordWrap/>
        <w:overflowPunct/>
        <w:topLinePunct w:val="0"/>
        <w:autoSpaceDE/>
        <w:autoSpaceDN/>
        <w:bidi w:val="0"/>
        <w:spacing w:line="400" w:lineRule="exact"/>
        <w:ind w:firstLine="482" w:firstLineChars="200"/>
        <w:outlineLvl w:val="1"/>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highlight w:val="none"/>
          <w:shd w:val="clear" w:color="auto" w:fill="auto"/>
        </w:rPr>
        <w:t>第一条 项目内容</w:t>
      </w:r>
      <w:r>
        <w:rPr>
          <w:rFonts w:hint="eastAsia" w:ascii="仿宋_GB2312" w:hAnsi="仿宋_GB2312" w:eastAsia="仿宋_GB2312" w:cs="仿宋_GB2312"/>
          <w:b/>
          <w:bCs/>
          <w:color w:val="000000"/>
          <w:sz w:val="24"/>
          <w:szCs w:val="24"/>
          <w:highlight w:val="none"/>
          <w:shd w:val="clear" w:color="auto" w:fill="auto"/>
          <w:lang w:val="en-US" w:eastAsia="zh-CN"/>
        </w:rPr>
        <w:t>、工作进度、工作成果及验收</w:t>
      </w:r>
    </w:p>
    <w:p>
      <w:pPr>
        <w:keepNext w:val="0"/>
        <w:keepLines w:val="0"/>
        <w:pageBreakBefore w:val="0"/>
        <w:kinsoku/>
        <w:wordWrap/>
        <w:overflowPunct/>
        <w:topLinePunct w:val="0"/>
        <w:autoSpaceDE/>
        <w:autoSpaceDN/>
        <w:bidi w:val="0"/>
        <w:spacing w:line="400" w:lineRule="exact"/>
        <w:ind w:firstLine="480" w:firstLineChars="200"/>
        <w:outlineLvl w:val="2"/>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（一）工作范围</w:t>
      </w:r>
    </w:p>
    <w:p>
      <w:pPr>
        <w:spacing w:line="400" w:lineRule="exact"/>
        <w:ind w:firstLine="480" w:firstLineChars="200"/>
        <w:rPr>
          <w:rFonts w:hint="eastAsia" w:ascii="仿宋_GB2312" w:hAnsi="仿宋_GB2312" w:eastAsia="仿宋_GB2312" w:cs="仿宋_GB2312"/>
          <w:bCs w:val="0"/>
          <w:color w:val="000000"/>
          <w:sz w:val="24"/>
          <w:szCs w:val="24"/>
        </w:rPr>
      </w:pPr>
      <w:r>
        <w:rPr>
          <w:rFonts w:hint="eastAsia" w:ascii="仿宋_GB2312" w:hAnsi="仿宋_GB2312" w:eastAsia="仿宋_GB2312" w:cs="仿宋_GB2312"/>
          <w:bCs w:val="0"/>
          <w:color w:val="000000"/>
          <w:sz w:val="24"/>
          <w:szCs w:val="24"/>
        </w:rPr>
        <w:t>重点研究梦工场北区5号楼建筑及公共空间，并与桂湾片区城市中轴线、前海深港广场、梦工场北区的城市功能及城市景观一体化协调。</w:t>
      </w:r>
    </w:p>
    <w:p>
      <w:pPr>
        <w:keepNext w:val="0"/>
        <w:keepLines w:val="0"/>
        <w:pageBreakBefore w:val="0"/>
        <w:kinsoku/>
        <w:wordWrap/>
        <w:overflowPunct/>
        <w:topLinePunct w:val="0"/>
        <w:autoSpaceDE/>
        <w:autoSpaceDN/>
        <w:bidi w:val="0"/>
        <w:spacing w:line="400" w:lineRule="exact"/>
        <w:ind w:firstLine="480" w:firstLineChars="200"/>
        <w:outlineLvl w:val="2"/>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lang w:val="en-US" w:eastAsia="zh-CN"/>
        </w:rPr>
        <w:t>（二）项目</w:t>
      </w:r>
      <w:r>
        <w:rPr>
          <w:rFonts w:hint="eastAsia" w:ascii="仿宋_GB2312" w:hAnsi="仿宋_GB2312" w:eastAsia="仿宋_GB2312" w:cs="仿宋_GB2312"/>
          <w:b w:val="0"/>
          <w:bCs w:val="0"/>
          <w:color w:val="000000"/>
          <w:sz w:val="24"/>
          <w:szCs w:val="24"/>
        </w:rPr>
        <w:t>内容</w:t>
      </w:r>
    </w:p>
    <w:p>
      <w:pPr>
        <w:pStyle w:val="2"/>
        <w:keepNext w:val="0"/>
        <w:keepLines w:val="0"/>
        <w:pageBreakBefore w:val="0"/>
        <w:numPr>
          <w:ilvl w:val="0"/>
          <w:numId w:val="0"/>
        </w:numPr>
        <w:kinsoku/>
        <w:wordWrap/>
        <w:overflowPunct/>
        <w:topLinePunct w:val="0"/>
        <w:autoSpaceDE/>
        <w:autoSpaceDN/>
        <w:bidi w:val="0"/>
        <w:spacing w:after="0" w:line="400" w:lineRule="exact"/>
        <w:ind w:firstLine="480" w:firstLineChars="200"/>
        <w:rPr>
          <w:rFonts w:hint="eastAsia" w:ascii="仿宋_GB2312" w:hAnsi="仿宋_GB2312" w:eastAsia="仿宋_GB2312" w:cs="仿宋_GB2312"/>
          <w:bCs/>
          <w:color w:val="auto"/>
          <w:sz w:val="24"/>
          <w:szCs w:val="24"/>
          <w:highlight w:val="none"/>
          <w:lang w:eastAsia="zh-CN"/>
        </w:rPr>
      </w:pPr>
      <w:r>
        <w:rPr>
          <w:rFonts w:hint="eastAsia" w:ascii="仿宋_GB2312" w:hAnsi="仿宋_GB2312" w:eastAsia="仿宋_GB2312" w:cs="仿宋_GB2312"/>
          <w:bCs/>
          <w:color w:val="auto"/>
          <w:sz w:val="24"/>
          <w:szCs w:val="24"/>
          <w:highlight w:val="none"/>
          <w:lang w:eastAsia="zh-CN"/>
        </w:rPr>
        <w:t>1.项目调研及对标案例研究。系统分析城市及片区整体风貌并开展实地调研，梳理国内外相关优秀对标案例，形成针对性调研结论；</w:t>
      </w:r>
    </w:p>
    <w:p>
      <w:pPr>
        <w:pStyle w:val="2"/>
        <w:keepNext w:val="0"/>
        <w:keepLines w:val="0"/>
        <w:pageBreakBefore w:val="0"/>
        <w:numPr>
          <w:ilvl w:val="0"/>
          <w:numId w:val="0"/>
        </w:numPr>
        <w:kinsoku/>
        <w:wordWrap/>
        <w:overflowPunct/>
        <w:topLinePunct w:val="0"/>
        <w:autoSpaceDE/>
        <w:autoSpaceDN/>
        <w:bidi w:val="0"/>
        <w:spacing w:after="0" w:line="400" w:lineRule="exact"/>
        <w:ind w:firstLine="480" w:firstLineChars="200"/>
        <w:rPr>
          <w:rFonts w:hint="eastAsia" w:ascii="仿宋_GB2312" w:hAnsi="仿宋_GB2312" w:eastAsia="仿宋_GB2312" w:cs="仿宋_GB2312"/>
          <w:bCs/>
          <w:color w:val="auto"/>
          <w:sz w:val="24"/>
          <w:szCs w:val="24"/>
          <w:highlight w:val="none"/>
          <w:lang w:eastAsia="zh-CN"/>
        </w:rPr>
      </w:pPr>
      <w:r>
        <w:rPr>
          <w:rFonts w:hint="eastAsia" w:ascii="仿宋_GB2312" w:hAnsi="仿宋_GB2312" w:eastAsia="仿宋_GB2312" w:cs="仿宋_GB2312"/>
          <w:bCs/>
          <w:color w:val="auto"/>
          <w:sz w:val="24"/>
          <w:szCs w:val="24"/>
          <w:highlight w:val="none"/>
          <w:lang w:eastAsia="zh-CN"/>
        </w:rPr>
        <w:t>2.理念及愿景。根据调研分析，提出国际化提升的理念、愿景、工作思路及核心策略等；</w:t>
      </w:r>
    </w:p>
    <w:p>
      <w:pPr>
        <w:pStyle w:val="2"/>
        <w:keepNext w:val="0"/>
        <w:keepLines w:val="0"/>
        <w:pageBreakBefore w:val="0"/>
        <w:numPr>
          <w:ilvl w:val="0"/>
          <w:numId w:val="0"/>
        </w:numPr>
        <w:kinsoku/>
        <w:wordWrap/>
        <w:overflowPunct/>
        <w:topLinePunct w:val="0"/>
        <w:autoSpaceDE/>
        <w:autoSpaceDN/>
        <w:bidi w:val="0"/>
        <w:spacing w:after="0" w:line="400" w:lineRule="exact"/>
        <w:ind w:firstLine="480" w:firstLineChars="200"/>
        <w:rPr>
          <w:rFonts w:hint="eastAsia" w:ascii="仿宋_GB2312" w:hAnsi="仿宋_GB2312" w:eastAsia="仿宋_GB2312" w:cs="仿宋_GB2312"/>
          <w:bCs/>
          <w:color w:val="auto"/>
          <w:sz w:val="24"/>
          <w:szCs w:val="24"/>
          <w:highlight w:val="none"/>
          <w:lang w:eastAsia="zh-CN"/>
        </w:rPr>
      </w:pPr>
      <w:r>
        <w:rPr>
          <w:rFonts w:hint="eastAsia" w:ascii="仿宋_GB2312" w:hAnsi="仿宋_GB2312" w:eastAsia="仿宋_GB2312" w:cs="仿宋_GB2312"/>
          <w:bCs/>
          <w:color w:val="auto"/>
          <w:sz w:val="24"/>
          <w:szCs w:val="24"/>
          <w:highlight w:val="none"/>
          <w:lang w:eastAsia="zh-CN"/>
        </w:rPr>
        <w:t>3.建筑功能国际化提升研究。桂湾片区规划城市功能及现状研究、5号楼与深港广场、梦工场北区的功能衔接、5号楼建筑功能、第六立面、建筑风貌、标志性、流线组织等研究。</w:t>
      </w:r>
    </w:p>
    <w:p>
      <w:pPr>
        <w:pStyle w:val="2"/>
        <w:keepNext w:val="0"/>
        <w:keepLines w:val="0"/>
        <w:pageBreakBefore w:val="0"/>
        <w:numPr>
          <w:ilvl w:val="0"/>
          <w:numId w:val="0"/>
        </w:numPr>
        <w:kinsoku/>
        <w:wordWrap/>
        <w:overflowPunct/>
        <w:topLinePunct w:val="0"/>
        <w:autoSpaceDE/>
        <w:autoSpaceDN/>
        <w:bidi w:val="0"/>
        <w:spacing w:after="0" w:line="400" w:lineRule="exact"/>
        <w:ind w:firstLine="480" w:firstLineChars="200"/>
        <w:rPr>
          <w:rFonts w:hint="eastAsia" w:ascii="仿宋_GB2312" w:hAnsi="仿宋_GB2312" w:eastAsia="仿宋_GB2312" w:cs="仿宋_GB2312"/>
          <w:bCs/>
          <w:color w:val="auto"/>
          <w:sz w:val="24"/>
          <w:szCs w:val="24"/>
          <w:highlight w:val="none"/>
          <w:lang w:eastAsia="zh-CN"/>
        </w:rPr>
      </w:pPr>
      <w:r>
        <w:rPr>
          <w:rFonts w:hint="eastAsia" w:ascii="仿宋_GB2312" w:hAnsi="仿宋_GB2312" w:eastAsia="仿宋_GB2312" w:cs="仿宋_GB2312"/>
          <w:bCs/>
          <w:color w:val="auto"/>
          <w:sz w:val="24"/>
          <w:szCs w:val="24"/>
          <w:highlight w:val="none"/>
          <w:lang w:eastAsia="zh-CN"/>
        </w:rPr>
        <w:t>4.公共空间国际化提升研究。桂湾片区景观规划及现状研究</w:t>
      </w:r>
      <w:r>
        <w:rPr>
          <w:rFonts w:hint="eastAsia" w:ascii="仿宋_GB2312" w:hAnsi="仿宋_GB2312" w:eastAsia="仿宋_GB2312" w:cs="仿宋_GB2312"/>
          <w:bCs/>
          <w:color w:val="auto"/>
          <w:sz w:val="24"/>
          <w:szCs w:val="24"/>
          <w:highlight w:val="none"/>
          <w:lang w:val="en-US" w:eastAsia="zh-CN"/>
        </w:rPr>
        <w:t>、梦工场北区</w:t>
      </w:r>
      <w:r>
        <w:rPr>
          <w:rFonts w:hint="eastAsia" w:ascii="仿宋_GB2312" w:hAnsi="仿宋_GB2312" w:eastAsia="仿宋_GB2312" w:cs="仿宋_GB2312"/>
          <w:bCs/>
          <w:color w:val="auto"/>
          <w:sz w:val="24"/>
          <w:szCs w:val="24"/>
          <w:highlight w:val="none"/>
          <w:lang w:eastAsia="zh-CN"/>
        </w:rPr>
        <w:t>第六立面景观分析、5号楼与深港广场、梦工场北区及梦海大道的景观协调、5号楼室内外景观协调、5号楼公共空间（功能、城市形象、城市中轴线、景观园林、艺术装置、声光电、园区整体场景营造</w:t>
      </w:r>
      <w:r>
        <w:rPr>
          <w:rFonts w:hint="eastAsia" w:ascii="仿宋_GB2312" w:hAnsi="仿宋_GB2312" w:eastAsia="仿宋_GB2312" w:cs="仿宋_GB2312"/>
          <w:bCs/>
          <w:color w:val="auto"/>
          <w:sz w:val="24"/>
          <w:szCs w:val="24"/>
          <w:highlight w:val="none"/>
          <w:lang w:val="en-US" w:eastAsia="zh-CN"/>
        </w:rPr>
        <w:t>策略建议</w:t>
      </w:r>
      <w:r>
        <w:rPr>
          <w:rFonts w:hint="eastAsia" w:ascii="仿宋_GB2312" w:hAnsi="仿宋_GB2312" w:eastAsia="仿宋_GB2312" w:cs="仿宋_GB2312"/>
          <w:bCs/>
          <w:color w:val="auto"/>
          <w:sz w:val="24"/>
          <w:szCs w:val="24"/>
          <w:highlight w:val="none"/>
          <w:lang w:eastAsia="zh-CN"/>
        </w:rPr>
        <w:t>、园区广场与消防车道一体化设计）等研究。</w:t>
      </w:r>
    </w:p>
    <w:p>
      <w:pPr>
        <w:pStyle w:val="2"/>
        <w:keepNext w:val="0"/>
        <w:keepLines w:val="0"/>
        <w:pageBreakBefore w:val="0"/>
        <w:numPr>
          <w:ilvl w:val="0"/>
          <w:numId w:val="0"/>
        </w:numPr>
        <w:kinsoku/>
        <w:wordWrap/>
        <w:overflowPunct/>
        <w:topLinePunct w:val="0"/>
        <w:autoSpaceDE/>
        <w:autoSpaceDN/>
        <w:bidi w:val="0"/>
        <w:spacing w:after="0" w:line="400" w:lineRule="exact"/>
        <w:ind w:firstLine="480" w:firstLineChars="200"/>
        <w:rPr>
          <w:rFonts w:hint="eastAsia" w:ascii="仿宋_GB2312" w:hAnsi="仿宋_GB2312" w:eastAsia="仿宋_GB2312" w:cs="仿宋_GB2312"/>
          <w:bCs/>
          <w:color w:val="auto"/>
          <w:sz w:val="24"/>
          <w:szCs w:val="24"/>
          <w:highlight w:val="none"/>
          <w:lang w:eastAsia="zh-CN"/>
        </w:rPr>
      </w:pPr>
      <w:r>
        <w:rPr>
          <w:rFonts w:hint="eastAsia" w:ascii="仿宋_GB2312" w:hAnsi="仿宋_GB2312" w:eastAsia="仿宋_GB2312" w:cs="仿宋_GB2312"/>
          <w:bCs/>
          <w:color w:val="auto"/>
          <w:sz w:val="24"/>
          <w:szCs w:val="24"/>
          <w:highlight w:val="none"/>
          <w:lang w:eastAsia="zh-CN"/>
        </w:rPr>
        <w:t>5.专项研究。结构、材料、LED展示等相关专项研究。</w:t>
      </w:r>
    </w:p>
    <w:p>
      <w:pPr>
        <w:pStyle w:val="2"/>
        <w:keepNext w:val="0"/>
        <w:keepLines w:val="0"/>
        <w:pageBreakBefore w:val="0"/>
        <w:numPr>
          <w:ilvl w:val="0"/>
          <w:numId w:val="0"/>
        </w:numPr>
        <w:kinsoku/>
        <w:wordWrap/>
        <w:overflowPunct/>
        <w:topLinePunct w:val="0"/>
        <w:autoSpaceDE/>
        <w:autoSpaceDN/>
        <w:bidi w:val="0"/>
        <w:spacing w:after="0" w:line="400" w:lineRule="exact"/>
        <w:ind w:firstLine="480" w:firstLineChars="200"/>
        <w:rPr>
          <w:rFonts w:hint="eastAsia" w:ascii="仿宋_GB2312" w:hAnsi="仿宋_GB2312" w:eastAsia="仿宋_GB2312" w:cs="仿宋_GB2312"/>
          <w:bCs/>
          <w:color w:val="auto"/>
          <w:sz w:val="24"/>
          <w:szCs w:val="24"/>
          <w:highlight w:val="none"/>
          <w:lang w:eastAsia="zh-CN"/>
        </w:rPr>
      </w:pPr>
      <w:r>
        <w:rPr>
          <w:rFonts w:hint="eastAsia" w:ascii="仿宋_GB2312" w:hAnsi="仿宋_GB2312" w:eastAsia="仿宋_GB2312" w:cs="仿宋_GB2312"/>
          <w:bCs/>
          <w:color w:val="auto"/>
          <w:sz w:val="24"/>
          <w:szCs w:val="24"/>
          <w:highlight w:val="none"/>
          <w:lang w:eastAsia="zh-CN"/>
        </w:rPr>
        <w:t>6.造价估算。造价分析、提升组合建议、建筑及景观目标造价成本。</w:t>
      </w:r>
    </w:p>
    <w:p>
      <w:pPr>
        <w:pStyle w:val="2"/>
        <w:keepNext w:val="0"/>
        <w:keepLines w:val="0"/>
        <w:pageBreakBefore w:val="0"/>
        <w:numPr>
          <w:ilvl w:val="0"/>
          <w:numId w:val="0"/>
        </w:numPr>
        <w:kinsoku/>
        <w:wordWrap/>
        <w:overflowPunct/>
        <w:topLinePunct w:val="0"/>
        <w:autoSpaceDE/>
        <w:autoSpaceDN/>
        <w:bidi w:val="0"/>
        <w:spacing w:after="0" w:line="400" w:lineRule="exact"/>
        <w:ind w:firstLine="480" w:firstLineChars="200"/>
        <w:rPr>
          <w:rFonts w:hint="eastAsia" w:ascii="仿宋_GB2312" w:hAnsi="仿宋_GB2312" w:eastAsia="仿宋_GB2312" w:cs="仿宋_GB2312"/>
          <w:bCs/>
          <w:color w:val="auto"/>
          <w:sz w:val="24"/>
          <w:szCs w:val="24"/>
          <w:highlight w:val="none"/>
          <w:lang w:eastAsia="zh-CN"/>
        </w:rPr>
      </w:pPr>
      <w:r>
        <w:rPr>
          <w:rFonts w:hint="eastAsia" w:ascii="仿宋_GB2312" w:hAnsi="仿宋_GB2312" w:eastAsia="仿宋_GB2312" w:cs="仿宋_GB2312"/>
          <w:bCs/>
          <w:color w:val="auto"/>
          <w:sz w:val="24"/>
          <w:szCs w:val="24"/>
          <w:highlight w:val="none"/>
          <w:lang w:eastAsia="zh-CN"/>
        </w:rPr>
        <w:t>7.运营策划建议。提出项目公共空间的运营建议，如艺术展陈、活动策划等。</w:t>
      </w:r>
    </w:p>
    <w:p>
      <w:pPr>
        <w:pStyle w:val="2"/>
        <w:keepNext w:val="0"/>
        <w:keepLines w:val="0"/>
        <w:pageBreakBefore w:val="0"/>
        <w:numPr>
          <w:ilvl w:val="0"/>
          <w:numId w:val="0"/>
        </w:numPr>
        <w:kinsoku/>
        <w:wordWrap/>
        <w:overflowPunct/>
        <w:topLinePunct w:val="0"/>
        <w:autoSpaceDE/>
        <w:autoSpaceDN/>
        <w:bidi w:val="0"/>
        <w:adjustRightInd/>
        <w:snapToGrid/>
        <w:spacing w:after="0" w:line="400" w:lineRule="exact"/>
        <w:ind w:firstLine="480" w:firstLineChars="200"/>
        <w:textAlignment w:val="auto"/>
        <w:outlineLvl w:val="2"/>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（三）工作进度</w:t>
      </w:r>
    </w:p>
    <w:p>
      <w:pPr>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第一阶段：完成现状调研及前期资料收集，梳理项目及周边情况。完成第一次概念设计文件编制及汇报；（1个月）</w:t>
      </w:r>
    </w:p>
    <w:p>
      <w:pPr>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第二阶段：完成中期概念设计文件编制及汇报等，并提交成果文件；（2个月）</w:t>
      </w:r>
    </w:p>
    <w:p>
      <w:pPr>
        <w:spacing w:line="400" w:lineRule="exact"/>
        <w:ind w:firstLine="480" w:firstLineChars="200"/>
        <w:rPr>
          <w:rFonts w:hint="eastAsia"/>
          <w:lang w:val="en-US" w:eastAsia="zh-CN"/>
        </w:rPr>
      </w:pPr>
      <w:r>
        <w:rPr>
          <w:rFonts w:hint="eastAsia" w:ascii="仿宋_GB2312" w:hAnsi="仿宋_GB2312" w:eastAsia="仿宋_GB2312" w:cs="仿宋_GB2312"/>
          <w:b w:val="0"/>
          <w:bCs w:val="0"/>
          <w:color w:val="000000"/>
          <w:kern w:val="2"/>
          <w:sz w:val="24"/>
          <w:szCs w:val="24"/>
          <w:lang w:val="en-US" w:eastAsia="zh-CN" w:bidi="ar-SA"/>
        </w:rPr>
        <w:t>第三阶段：完成最终概念设计文件编制及汇报等及全部工作内容成果。（1个月）</w:t>
      </w:r>
    </w:p>
    <w:p>
      <w:pPr>
        <w:pStyle w:val="2"/>
        <w:keepNext w:val="0"/>
        <w:keepLines w:val="0"/>
        <w:pageBreakBefore w:val="0"/>
        <w:numPr>
          <w:ilvl w:val="0"/>
          <w:numId w:val="0"/>
        </w:numPr>
        <w:kinsoku/>
        <w:wordWrap/>
        <w:overflowPunct/>
        <w:topLinePunct w:val="0"/>
        <w:autoSpaceDE/>
        <w:autoSpaceDN/>
        <w:bidi w:val="0"/>
        <w:adjustRightInd/>
        <w:snapToGrid/>
        <w:spacing w:after="0" w:line="400" w:lineRule="exact"/>
        <w:textAlignment w:val="auto"/>
        <w:outlineLvl w:val="2"/>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 xml:space="preserve">   （四）工作成果</w:t>
      </w:r>
    </w:p>
    <w:p>
      <w:pPr>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第一阶段：提交第一版概念设计文件，包括PDF文件，纸质版文件4份；</w:t>
      </w:r>
    </w:p>
    <w:p>
      <w:pPr>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第二阶段：提交中期概念设计文件，包括PDF文件，纸质版文件4份；</w:t>
      </w:r>
    </w:p>
    <w:p>
      <w:pPr>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第三阶段：提交最终概念设计文件及全部成果电子文件，包括电子光盘2份，纸质文件4份。</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2"/>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eastAsia="zh-CN"/>
        </w:rPr>
        <w:t>（</w:t>
      </w:r>
      <w:r>
        <w:rPr>
          <w:rFonts w:hint="eastAsia" w:ascii="仿宋_GB2312" w:hAnsi="仿宋_GB2312" w:eastAsia="仿宋_GB2312" w:cs="仿宋_GB2312"/>
          <w:b w:val="0"/>
          <w:bCs w:val="0"/>
          <w:color w:val="000000"/>
          <w:sz w:val="24"/>
          <w:szCs w:val="24"/>
          <w:lang w:val="en-US" w:eastAsia="zh-CN"/>
        </w:rPr>
        <w:t>五）验收标准</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乙方</w:t>
      </w:r>
      <w:r>
        <w:rPr>
          <w:rFonts w:hint="eastAsia" w:ascii="仿宋_GB2312" w:hAnsi="仿宋_GB2312" w:eastAsia="仿宋_GB2312" w:cs="仿宋_GB2312"/>
          <w:color w:val="000000"/>
          <w:sz w:val="24"/>
          <w:szCs w:val="24"/>
        </w:rPr>
        <w:t>编制的本项目全部成果通过</w:t>
      </w:r>
      <w:r>
        <w:rPr>
          <w:rFonts w:hint="eastAsia" w:ascii="仿宋_GB2312" w:hAnsi="仿宋_GB2312" w:eastAsia="仿宋_GB2312" w:cs="仿宋_GB2312"/>
          <w:color w:val="000000"/>
          <w:sz w:val="24"/>
          <w:szCs w:val="24"/>
          <w:lang w:val="en-US" w:eastAsia="zh-CN"/>
        </w:rPr>
        <w:t>甲方</w:t>
      </w:r>
      <w:r>
        <w:rPr>
          <w:rFonts w:hint="eastAsia" w:ascii="仿宋_GB2312" w:hAnsi="仿宋_GB2312" w:eastAsia="仿宋_GB2312" w:cs="仿宋_GB2312"/>
          <w:color w:val="000000"/>
          <w:sz w:val="24"/>
          <w:szCs w:val="24"/>
        </w:rPr>
        <w:t>验收合格。</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outlineLvl w:val="1"/>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rPr>
        <w:t>第二条  服务期限</w:t>
      </w:r>
      <w:r>
        <w:rPr>
          <w:rFonts w:hint="eastAsia" w:ascii="仿宋_GB2312" w:hAnsi="仿宋_GB2312" w:eastAsia="仿宋_GB2312" w:cs="仿宋_GB2312"/>
          <w:b/>
          <w:bCs/>
          <w:color w:val="000000"/>
          <w:sz w:val="24"/>
          <w:szCs w:val="24"/>
          <w:lang w:eastAsia="zh-CN"/>
        </w:rPr>
        <w:t>、</w:t>
      </w:r>
      <w:r>
        <w:rPr>
          <w:rFonts w:hint="eastAsia" w:ascii="仿宋_GB2312" w:hAnsi="仿宋_GB2312" w:eastAsia="仿宋_GB2312" w:cs="仿宋_GB2312"/>
          <w:b/>
          <w:bCs/>
          <w:color w:val="000000"/>
          <w:sz w:val="24"/>
          <w:szCs w:val="24"/>
          <w:lang w:val="en-US" w:eastAsia="zh-CN"/>
        </w:rPr>
        <w:t>地点及后续服务要求</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1.服务期限：自合同签订日期起4个月内。</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2.后续服务要求：</w:t>
      </w:r>
      <w:r>
        <w:rPr>
          <w:rFonts w:hint="eastAsia" w:ascii="仿宋_GB2312" w:hAnsi="仿宋_GB2312" w:eastAsia="仿宋_GB2312" w:cs="仿宋_GB2312"/>
          <w:color w:val="000000"/>
          <w:sz w:val="24"/>
          <w:szCs w:val="24"/>
          <w:lang w:val="en-US" w:eastAsia="zh-CN"/>
        </w:rPr>
        <w:t>项目后续服务期限为最终成果通过甲方审查之日起的1年内，乙方须与甲方保持全面沟通，提供技术服务支持。</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3.服务地点：</w:t>
      </w:r>
      <w:r>
        <w:rPr>
          <w:rFonts w:hint="eastAsia" w:ascii="仿宋_GB2312" w:hAnsi="仿宋_GB2312" w:eastAsia="仿宋_GB2312" w:cs="仿宋_GB2312"/>
          <w:color w:val="000000"/>
          <w:sz w:val="24"/>
          <w:szCs w:val="24"/>
          <w:lang w:eastAsia="zh-CN"/>
        </w:rPr>
        <w:t>前海深港现代服务业合作区</w:t>
      </w:r>
      <w:r>
        <w:rPr>
          <w:rFonts w:hint="eastAsia" w:ascii="仿宋_GB2312" w:hAnsi="仿宋_GB2312" w:eastAsia="仿宋_GB2312" w:cs="仿宋_GB2312"/>
          <w:color w:val="000000"/>
          <w:sz w:val="24"/>
          <w:szCs w:val="24"/>
          <w:lang w:val="en-US" w:eastAsia="zh-CN"/>
        </w:rPr>
        <w:t>。</w:t>
      </w:r>
    </w:p>
    <w:p>
      <w:pPr>
        <w:keepNext w:val="0"/>
        <w:keepLines w:val="0"/>
        <w:pageBreakBefore w:val="0"/>
        <w:kinsoku/>
        <w:wordWrap/>
        <w:overflowPunct/>
        <w:topLinePunct w:val="0"/>
        <w:autoSpaceDE/>
        <w:autoSpaceDN/>
        <w:bidi w:val="0"/>
        <w:spacing w:line="400" w:lineRule="exact"/>
        <w:ind w:firstLine="482" w:firstLineChars="200"/>
        <w:outlineLvl w:val="1"/>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第三条  项目资料归属</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所有提交给</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的项目文件及相关资料的阶段性成果及最后文本，包括为履行服务范围所编制的计划和证明资料等，</w:t>
      </w:r>
      <w:r>
        <w:rPr>
          <w:rFonts w:hint="eastAsia" w:ascii="华文仿宋" w:hAnsi="华文仿宋" w:eastAsia="华文仿宋" w:cs="华文仿宋"/>
          <w:color w:val="000000"/>
          <w:sz w:val="24"/>
        </w:rPr>
        <w:t>在</w:t>
      </w:r>
      <w:r>
        <w:rPr>
          <w:rFonts w:hint="eastAsia" w:ascii="华文仿宋" w:hAnsi="华文仿宋" w:eastAsia="华文仿宋" w:cs="华文仿宋"/>
          <w:color w:val="000000"/>
          <w:sz w:val="24"/>
          <w:lang w:eastAsia="zh-CN"/>
        </w:rPr>
        <w:t>甲方</w:t>
      </w:r>
      <w:r>
        <w:rPr>
          <w:rFonts w:hint="eastAsia" w:ascii="华文仿宋" w:hAnsi="华文仿宋" w:eastAsia="华文仿宋" w:cs="华文仿宋"/>
          <w:color w:val="000000"/>
          <w:sz w:val="24"/>
        </w:rPr>
        <w:t>向</w:t>
      </w:r>
      <w:r>
        <w:rPr>
          <w:rFonts w:hint="eastAsia" w:ascii="华文仿宋" w:hAnsi="华文仿宋" w:eastAsia="华文仿宋" w:cs="华文仿宋"/>
          <w:color w:val="000000"/>
          <w:sz w:val="24"/>
          <w:lang w:eastAsia="zh-CN"/>
        </w:rPr>
        <w:t>乙方</w:t>
      </w:r>
      <w:r>
        <w:rPr>
          <w:rFonts w:hint="eastAsia" w:ascii="华文仿宋" w:hAnsi="华文仿宋" w:eastAsia="华文仿宋" w:cs="华文仿宋"/>
          <w:color w:val="000000"/>
          <w:sz w:val="24"/>
        </w:rPr>
        <w:t>付清全部服务费后，</w:t>
      </w:r>
      <w:r>
        <w:rPr>
          <w:rFonts w:hint="eastAsia" w:ascii="仿宋_GB2312" w:hAnsi="仿宋_GB2312" w:eastAsia="仿宋_GB2312" w:cs="仿宋_GB2312"/>
          <w:color w:val="000000"/>
          <w:sz w:val="24"/>
          <w:szCs w:val="24"/>
        </w:rPr>
        <w:t>都属于</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所有，</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在提交给</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之前应将上述资料进行整理归类和编制索引。</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未经</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的书面同意，不得将上述资料用于与本项目之外的任何项目，也不得将其泄露或授权给第三方使用。</w:t>
      </w:r>
    </w:p>
    <w:p>
      <w:pPr>
        <w:keepNext w:val="0"/>
        <w:keepLines w:val="0"/>
        <w:pageBreakBefore w:val="0"/>
        <w:kinsoku/>
        <w:wordWrap/>
        <w:overflowPunct/>
        <w:topLinePunct w:val="0"/>
        <w:autoSpaceDE/>
        <w:autoSpaceDN/>
        <w:bidi w:val="0"/>
        <w:spacing w:line="400" w:lineRule="exact"/>
        <w:ind w:firstLine="482" w:firstLineChars="200"/>
        <w:outlineLvl w:val="1"/>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第四条  双方的权利义务</w:t>
      </w:r>
    </w:p>
    <w:p>
      <w:pPr>
        <w:keepNext w:val="0"/>
        <w:keepLines w:val="0"/>
        <w:pageBreakBefore w:val="0"/>
        <w:kinsoku/>
        <w:wordWrap/>
        <w:overflowPunct/>
        <w:topLinePunct w:val="0"/>
        <w:autoSpaceDE/>
        <w:autoSpaceDN/>
        <w:bidi w:val="0"/>
        <w:spacing w:line="400" w:lineRule="exact"/>
        <w:ind w:firstLine="480" w:firstLineChars="200"/>
        <w:outlineLvl w:val="2"/>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的权利义务</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对研究过程的决策、控制、实施等环节实行全面管理，协调和监督研究工作开展，控制研究工作过程，进行研究成果验收。</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2.检查</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研究人员到位情况，如因人力、能力不足致使研究工作不能按计划完成时，有权要求</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增加或替换相应的技术人员，直至</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认可，</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不得拒绝。</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有权向</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询问项目工作进展及相关情况，并要求</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在指定时间内做出答复。</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有权对</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提交的阶段性成果、最终成果送审稿等相关工作文件进行审核并提出修改意见。</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5</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对</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在委托权限范围内完成委托事项有指导、监督权利。</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6</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有权要求</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全面履行合同。</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不接受部分履行，如本合同项下部分成果文件</w:t>
      </w:r>
      <w:r>
        <w:rPr>
          <w:rFonts w:hint="eastAsia" w:ascii="仿宋_GB2312" w:hAnsi="仿宋_GB2312" w:eastAsia="仿宋_GB2312" w:cs="仿宋_GB2312"/>
          <w:color w:val="000000"/>
          <w:sz w:val="24"/>
        </w:rPr>
        <w:t>因</w:t>
      </w:r>
      <w:r>
        <w:rPr>
          <w:rFonts w:hint="eastAsia" w:ascii="仿宋_GB2312" w:hAnsi="仿宋_GB2312" w:eastAsia="仿宋_GB2312" w:cs="仿宋_GB2312"/>
          <w:color w:val="000000"/>
          <w:sz w:val="24"/>
          <w:lang w:eastAsia="zh-CN"/>
        </w:rPr>
        <w:t>乙方</w:t>
      </w:r>
      <w:r>
        <w:rPr>
          <w:rFonts w:hint="eastAsia" w:ascii="仿宋_GB2312" w:hAnsi="仿宋_GB2312" w:eastAsia="仿宋_GB2312" w:cs="仿宋_GB2312"/>
          <w:color w:val="000000"/>
          <w:sz w:val="24"/>
        </w:rPr>
        <w:t>原因</w:t>
      </w:r>
      <w:r>
        <w:rPr>
          <w:rFonts w:hint="eastAsia" w:ascii="仿宋_GB2312" w:hAnsi="仿宋_GB2312" w:eastAsia="仿宋_GB2312" w:cs="仿宋_GB2312"/>
          <w:color w:val="000000"/>
          <w:sz w:val="24"/>
          <w:szCs w:val="24"/>
        </w:rPr>
        <w:t>未能按时交付则视为整体延误。</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7</w:t>
      </w:r>
      <w:r>
        <w:rPr>
          <w:rFonts w:hint="eastAsia" w:ascii="仿宋_GB2312" w:hAnsi="仿宋_GB2312" w:eastAsia="仿宋_GB2312" w:cs="仿宋_GB2312"/>
          <w:color w:val="000000"/>
          <w:sz w:val="24"/>
          <w:szCs w:val="24"/>
        </w:rPr>
        <w:t>.如</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所提供的项目成果不符合本合同的要求，</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有权要求</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重新执行相应的工作服务，由此产生的全部费用由</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自行承担，同时，</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的付款时间相应顺延。</w:t>
      </w:r>
    </w:p>
    <w:p>
      <w:pPr>
        <w:spacing w:line="40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8</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甲方</w:t>
      </w:r>
      <w:r>
        <w:rPr>
          <w:rFonts w:hint="eastAsia" w:ascii="仿宋_GB2312" w:hAnsi="仿宋_GB2312" w:eastAsia="仿宋_GB2312" w:cs="仿宋_GB2312"/>
          <w:color w:val="000000"/>
          <w:sz w:val="24"/>
        </w:rPr>
        <w:t>应在</w:t>
      </w:r>
      <w:r>
        <w:rPr>
          <w:rFonts w:hint="eastAsia" w:ascii="仿宋_GB2312" w:hAnsi="仿宋_GB2312" w:eastAsia="仿宋_GB2312" w:cs="仿宋_GB2312"/>
          <w:color w:val="000000"/>
          <w:sz w:val="24"/>
          <w:lang w:eastAsia="zh-CN"/>
        </w:rPr>
        <w:t>乙方</w:t>
      </w:r>
      <w:r>
        <w:rPr>
          <w:rFonts w:hint="eastAsia" w:ascii="仿宋_GB2312" w:hAnsi="仿宋_GB2312" w:eastAsia="仿宋_GB2312" w:cs="仿宋_GB2312"/>
          <w:color w:val="000000"/>
          <w:sz w:val="24"/>
        </w:rPr>
        <w:t>提交各阶段工作成果或修改后的成果之日起十（10）个工作日内提出明确具体的书面修改要求和修改意见或审查会议纪要（以下简称“书面意见”），且该等书面意见应当合理并具有可操作性。</w:t>
      </w:r>
      <w:r>
        <w:rPr>
          <w:rFonts w:hint="eastAsia" w:ascii="仿宋_GB2312" w:hAnsi="仿宋_GB2312" w:eastAsia="仿宋_GB2312" w:cs="仿宋_GB2312"/>
          <w:color w:val="000000"/>
          <w:sz w:val="24"/>
          <w:lang w:eastAsia="zh-CN"/>
        </w:rPr>
        <w:t>甲方</w:t>
      </w:r>
      <w:r>
        <w:rPr>
          <w:rFonts w:hint="eastAsia" w:ascii="仿宋_GB2312" w:hAnsi="仿宋_GB2312" w:eastAsia="仿宋_GB2312" w:cs="仿宋_GB2312"/>
          <w:color w:val="000000"/>
          <w:sz w:val="24"/>
        </w:rPr>
        <w:t>逾期未提出书面意见，或</w:t>
      </w:r>
      <w:r>
        <w:rPr>
          <w:rFonts w:hint="eastAsia" w:ascii="仿宋_GB2312" w:hAnsi="仿宋_GB2312" w:eastAsia="仿宋_GB2312" w:cs="仿宋_GB2312"/>
          <w:color w:val="000000"/>
          <w:sz w:val="24"/>
          <w:lang w:eastAsia="zh-CN"/>
        </w:rPr>
        <w:t>甲方</w:t>
      </w:r>
      <w:r>
        <w:rPr>
          <w:rFonts w:hint="eastAsia" w:ascii="仿宋_GB2312" w:hAnsi="仿宋_GB2312" w:eastAsia="仿宋_GB2312" w:cs="仿宋_GB2312"/>
          <w:color w:val="000000"/>
          <w:sz w:val="24"/>
        </w:rPr>
        <w:t>直接通知</w:t>
      </w:r>
      <w:r>
        <w:rPr>
          <w:rFonts w:hint="eastAsia" w:ascii="仿宋_GB2312" w:hAnsi="仿宋_GB2312" w:eastAsia="仿宋_GB2312" w:cs="仿宋_GB2312"/>
          <w:color w:val="000000"/>
          <w:sz w:val="24"/>
          <w:lang w:eastAsia="zh-CN"/>
        </w:rPr>
        <w:t>乙方</w:t>
      </w:r>
      <w:r>
        <w:rPr>
          <w:rFonts w:hint="eastAsia" w:ascii="仿宋_GB2312" w:hAnsi="仿宋_GB2312" w:eastAsia="仿宋_GB2312" w:cs="仿宋_GB2312"/>
          <w:color w:val="000000"/>
          <w:sz w:val="24"/>
        </w:rPr>
        <w:t>开始下阶段服务工作的，或向政府相关审批部门提交了</w:t>
      </w:r>
      <w:r>
        <w:rPr>
          <w:rFonts w:hint="eastAsia" w:ascii="仿宋_GB2312" w:hAnsi="仿宋_GB2312" w:eastAsia="仿宋_GB2312" w:cs="仿宋_GB2312"/>
          <w:color w:val="000000"/>
          <w:sz w:val="24"/>
          <w:lang w:eastAsia="zh-CN"/>
        </w:rPr>
        <w:t>乙方</w:t>
      </w:r>
      <w:r>
        <w:rPr>
          <w:rFonts w:hint="eastAsia" w:ascii="仿宋_GB2312" w:hAnsi="仿宋_GB2312" w:eastAsia="仿宋_GB2312" w:cs="仿宋_GB2312"/>
          <w:color w:val="000000"/>
          <w:sz w:val="24"/>
        </w:rPr>
        <w:t>的设计的，视为</w:t>
      </w:r>
      <w:r>
        <w:rPr>
          <w:rFonts w:hint="eastAsia" w:ascii="仿宋_GB2312" w:hAnsi="仿宋_GB2312" w:eastAsia="仿宋_GB2312" w:cs="仿宋_GB2312"/>
          <w:color w:val="000000"/>
          <w:sz w:val="24"/>
          <w:lang w:eastAsia="zh-CN"/>
        </w:rPr>
        <w:t>甲方</w:t>
      </w:r>
      <w:r>
        <w:rPr>
          <w:rFonts w:hint="eastAsia" w:ascii="仿宋_GB2312" w:hAnsi="仿宋_GB2312" w:eastAsia="仿宋_GB2312" w:cs="仿宋_GB2312"/>
          <w:color w:val="000000"/>
          <w:sz w:val="24"/>
        </w:rPr>
        <w:t>认可并接受</w:t>
      </w:r>
      <w:r>
        <w:rPr>
          <w:rFonts w:hint="eastAsia" w:ascii="仿宋_GB2312" w:hAnsi="仿宋_GB2312" w:eastAsia="仿宋_GB2312" w:cs="仿宋_GB2312"/>
          <w:color w:val="000000"/>
          <w:sz w:val="24"/>
          <w:lang w:eastAsia="zh-CN"/>
        </w:rPr>
        <w:t>乙方</w:t>
      </w:r>
      <w:r>
        <w:rPr>
          <w:rFonts w:hint="eastAsia" w:ascii="仿宋_GB2312" w:hAnsi="仿宋_GB2312" w:eastAsia="仿宋_GB2312" w:cs="仿宋_GB2312"/>
          <w:color w:val="000000"/>
          <w:sz w:val="24"/>
        </w:rPr>
        <w:t>提交的阶段工作成果或修改后的成果。</w:t>
      </w:r>
    </w:p>
    <w:p>
      <w:pPr>
        <w:spacing w:line="400" w:lineRule="exact"/>
        <w:ind w:firstLine="480" w:firstLineChars="200"/>
        <w:rPr>
          <w:rFonts w:hint="eastAsia"/>
        </w:rPr>
      </w:pPr>
      <w:r>
        <w:rPr>
          <w:rFonts w:hint="eastAsia" w:ascii="仿宋_GB2312" w:hAnsi="仿宋_GB2312" w:eastAsia="仿宋_GB2312" w:cs="仿宋_GB2312"/>
          <w:color w:val="000000"/>
          <w:sz w:val="24"/>
          <w:lang w:val="en-US" w:eastAsia="zh-CN"/>
        </w:rPr>
        <w:t>9.</w:t>
      </w:r>
      <w:r>
        <w:rPr>
          <w:rFonts w:hint="eastAsia" w:ascii="仿宋_GB2312" w:hAnsi="仿宋_GB2312" w:eastAsia="仿宋_GB2312" w:cs="仿宋_GB2312"/>
          <w:color w:val="000000"/>
          <w:sz w:val="24"/>
        </w:rPr>
        <w:t>若因</w:t>
      </w:r>
      <w:r>
        <w:rPr>
          <w:rFonts w:hint="eastAsia" w:ascii="仿宋_GB2312" w:hAnsi="仿宋_GB2312" w:eastAsia="仿宋_GB2312" w:cs="仿宋_GB2312"/>
          <w:color w:val="000000"/>
          <w:sz w:val="24"/>
          <w:lang w:eastAsia="zh-CN"/>
        </w:rPr>
        <w:t>甲方</w:t>
      </w:r>
      <w:r>
        <w:rPr>
          <w:rFonts w:hint="eastAsia" w:ascii="仿宋_GB2312" w:hAnsi="仿宋_GB2312" w:eastAsia="仿宋_GB2312" w:cs="仿宋_GB2312"/>
          <w:color w:val="000000"/>
          <w:sz w:val="24"/>
        </w:rPr>
        <w:t>原因造成设计内容、要求及范围等发生重大变更（重大变更是指项目设计要求、等级、标准、项目功能、结构等发生变更，项目资料错误或缺漏等导致的成果修改或调整）或服务周期超过合同约定需要</w:t>
      </w:r>
      <w:r>
        <w:rPr>
          <w:rFonts w:hint="eastAsia" w:ascii="仿宋_GB2312" w:hAnsi="仿宋_GB2312" w:eastAsia="仿宋_GB2312" w:cs="仿宋_GB2312"/>
          <w:color w:val="000000"/>
          <w:sz w:val="24"/>
          <w:lang w:eastAsia="zh-CN"/>
        </w:rPr>
        <w:t>乙方</w:t>
      </w:r>
      <w:r>
        <w:rPr>
          <w:rFonts w:hint="eastAsia" w:ascii="仿宋_GB2312" w:hAnsi="仿宋_GB2312" w:eastAsia="仿宋_GB2312" w:cs="仿宋_GB2312"/>
          <w:color w:val="000000"/>
          <w:sz w:val="24"/>
        </w:rPr>
        <w:t>对设计进行重做、修改、调整或超期继续提供服务的，视为额外服务。双方需协商一致签订补充协议。</w:t>
      </w:r>
      <w:r>
        <w:rPr>
          <w:rFonts w:hint="eastAsia" w:ascii="仿宋_GB2312" w:hAnsi="仿宋_GB2312" w:eastAsia="仿宋_GB2312" w:cs="仿宋_GB2312"/>
          <w:color w:val="000000"/>
          <w:sz w:val="24"/>
          <w:lang w:eastAsia="zh-CN"/>
        </w:rPr>
        <w:t>乙方</w:t>
      </w:r>
      <w:r>
        <w:rPr>
          <w:rFonts w:hint="eastAsia" w:ascii="仿宋_GB2312" w:hAnsi="仿宋_GB2312" w:eastAsia="仿宋_GB2312" w:cs="仿宋_GB2312"/>
          <w:color w:val="000000"/>
          <w:sz w:val="24"/>
        </w:rPr>
        <w:t>在收到</w:t>
      </w:r>
      <w:r>
        <w:rPr>
          <w:rFonts w:hint="eastAsia" w:ascii="仿宋_GB2312" w:hAnsi="仿宋_GB2312" w:eastAsia="仿宋_GB2312" w:cs="仿宋_GB2312"/>
          <w:color w:val="000000"/>
          <w:sz w:val="24"/>
          <w:lang w:eastAsia="zh-CN"/>
        </w:rPr>
        <w:t>甲方</w:t>
      </w:r>
      <w:r>
        <w:rPr>
          <w:rFonts w:hint="eastAsia" w:ascii="仿宋_GB2312" w:hAnsi="仿宋_GB2312" w:eastAsia="仿宋_GB2312" w:cs="仿宋_GB2312"/>
          <w:color w:val="000000"/>
          <w:sz w:val="24"/>
        </w:rPr>
        <w:t>的书面指示后进行下一阶段工作。</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10</w:t>
      </w:r>
      <w:r>
        <w:rPr>
          <w:rFonts w:hint="eastAsia" w:ascii="仿宋_GB2312" w:hAnsi="仿宋_GB2312" w:eastAsia="仿宋_GB2312" w:cs="仿宋_GB2312"/>
          <w:color w:val="000000"/>
          <w:sz w:val="24"/>
          <w:szCs w:val="24"/>
        </w:rPr>
        <w:t>.负责与本项目有关的第三方协调，提供开展项目服务工作的外部条件。</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11</w:t>
      </w:r>
      <w:r>
        <w:rPr>
          <w:rFonts w:hint="eastAsia" w:ascii="仿宋_GB2312" w:hAnsi="仿宋_GB2312" w:eastAsia="仿宋_GB2312" w:cs="仿宋_GB2312"/>
          <w:color w:val="000000"/>
          <w:sz w:val="24"/>
          <w:szCs w:val="24"/>
        </w:rPr>
        <w:t>.向</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提供与本项目服务工作有关的资料。</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12</w:t>
      </w:r>
      <w:r>
        <w:rPr>
          <w:rFonts w:hint="eastAsia" w:ascii="仿宋_GB2312" w:hAnsi="仿宋_GB2312" w:eastAsia="仿宋_GB2312" w:cs="仿宋_GB2312"/>
          <w:color w:val="000000"/>
          <w:sz w:val="24"/>
          <w:szCs w:val="24"/>
        </w:rPr>
        <w:t>.负责组织有关会议对项目成果的评审。</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13</w:t>
      </w:r>
      <w:r>
        <w:rPr>
          <w:rFonts w:hint="eastAsia" w:ascii="仿宋_GB2312" w:hAnsi="仿宋_GB2312" w:eastAsia="仿宋_GB2312" w:cs="仿宋_GB2312"/>
          <w:color w:val="000000"/>
          <w:sz w:val="24"/>
          <w:szCs w:val="24"/>
        </w:rPr>
        <w:t>.根据合同的条款按时支付合同价款</w:t>
      </w:r>
      <w:r>
        <w:rPr>
          <w:rFonts w:hint="eastAsia" w:ascii="仿宋_GB2312" w:hAnsi="仿宋_GB2312" w:eastAsia="仿宋_GB2312" w:cs="仿宋_GB2312"/>
          <w:color w:val="000000"/>
          <w:sz w:val="24"/>
          <w:szCs w:val="24"/>
          <w:lang w:eastAsia="zh-CN"/>
        </w:rPr>
        <w:t>。</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14.</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指定项目联系人：</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 xml:space="preserve">姓名： </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联系方式： </w:t>
      </w:r>
    </w:p>
    <w:p>
      <w:pPr>
        <w:keepNext w:val="0"/>
        <w:keepLines w:val="0"/>
        <w:pageBreakBefore w:val="0"/>
        <w:kinsoku/>
        <w:wordWrap/>
        <w:overflowPunct/>
        <w:topLinePunct w:val="0"/>
        <w:autoSpaceDE/>
        <w:autoSpaceDN/>
        <w:bidi w:val="0"/>
        <w:spacing w:line="400" w:lineRule="exact"/>
        <w:ind w:firstLine="480" w:firstLineChars="200"/>
        <w:outlineLvl w:val="2"/>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的权利义务</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在本项目服务过程中，如</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提供的资料不明确时可向</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提出书面报告。</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在本项目服务过程中，有权对第三方提出与本咨询服务业务有关的问题进行核对或查问。</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在本项目服务过程中，有到现场勘察并要求</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协调的权利。</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4.根据合同约定收取相应的合同价款。</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5</w:t>
      </w:r>
      <w:r>
        <w:rPr>
          <w:rFonts w:hint="eastAsia" w:ascii="仿宋_GB2312" w:hAnsi="仿宋_GB2312" w:eastAsia="仿宋_GB2312" w:cs="仿宋_GB2312"/>
          <w:color w:val="000000"/>
          <w:sz w:val="24"/>
          <w:szCs w:val="24"/>
        </w:rPr>
        <w:t>.应按照【】号招标文件、</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投标文件以及本合同的要求按期完成本项目服务工作。</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6</w:t>
      </w:r>
      <w:r>
        <w:rPr>
          <w:rFonts w:hint="eastAsia" w:ascii="仿宋_GB2312" w:hAnsi="仿宋_GB2312" w:eastAsia="仿宋_GB2312" w:cs="仿宋_GB2312"/>
          <w:color w:val="000000"/>
          <w:sz w:val="24"/>
          <w:szCs w:val="24"/>
        </w:rPr>
        <w:t>.在履行合同期间或合同规定期限内，不得泄露与本合同规定业务活动有关的保密资料。</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7</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应按国家、省及深圳的有关法律法规、设计标准、技术规范以及本合同约定的工作内容、工作进度等要求提供研究服务，并对其提交的研究意见负责。对于与本项目工作内容相关的 其他相关项目，</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应进行充分了解并做好协调与衔接工作。</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8</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应接受</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对工作进展的询问、监督和指导，严格按本合同约定的内容、标准和期限完成项目研究工作，并向</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提交项目研究成果。</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9</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应采取必要措施配合</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验收人员的工作,对于评审验收过程中发现的问题，</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应在发现问题之日起</w:t>
      </w:r>
      <w:r>
        <w:rPr>
          <w:rFonts w:hint="eastAsia" w:ascii="仿宋_GB2312" w:hAnsi="仿宋_GB2312" w:eastAsia="仿宋_GB2312" w:cs="仿宋_GB2312"/>
          <w:color w:val="000000"/>
          <w:sz w:val="24"/>
          <w:szCs w:val="24"/>
          <w:lang w:val="en-US" w:eastAsia="zh-CN"/>
        </w:rPr>
        <w:t>5</w:t>
      </w:r>
      <w:r>
        <w:rPr>
          <w:rFonts w:hint="eastAsia" w:ascii="仿宋_GB2312" w:hAnsi="仿宋_GB2312" w:eastAsia="仿宋_GB2312" w:cs="仿宋_GB2312"/>
          <w:color w:val="000000"/>
          <w:sz w:val="24"/>
          <w:szCs w:val="24"/>
        </w:rPr>
        <w:t>天内进行改正，以符合</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的需要。</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10</w:t>
      </w:r>
      <w:r>
        <w:rPr>
          <w:rFonts w:hint="eastAsia" w:ascii="仿宋_GB2312" w:hAnsi="仿宋_GB2312" w:eastAsia="仿宋_GB2312" w:cs="仿宋_GB2312"/>
          <w:color w:val="000000"/>
          <w:sz w:val="24"/>
          <w:szCs w:val="24"/>
        </w:rPr>
        <w:t>.如</w:t>
      </w:r>
      <w:r>
        <w:rPr>
          <w:rFonts w:hint="eastAsia" w:ascii="仿宋_GB2312" w:hAnsi="仿宋_GB2312" w:eastAsia="仿宋_GB2312" w:cs="仿宋_GB2312"/>
          <w:color w:val="000000"/>
          <w:sz w:val="24"/>
        </w:rPr>
        <w:t>因</w:t>
      </w:r>
      <w:r>
        <w:rPr>
          <w:rFonts w:hint="eastAsia" w:ascii="仿宋_GB2312" w:hAnsi="仿宋_GB2312" w:eastAsia="仿宋_GB2312" w:cs="仿宋_GB2312"/>
          <w:color w:val="000000"/>
          <w:sz w:val="24"/>
          <w:lang w:eastAsia="zh-CN"/>
        </w:rPr>
        <w:t>乙方</w:t>
      </w:r>
      <w:r>
        <w:rPr>
          <w:rFonts w:hint="eastAsia" w:ascii="仿宋_GB2312" w:hAnsi="仿宋_GB2312" w:eastAsia="仿宋_GB2312" w:cs="仿宋_GB2312"/>
          <w:color w:val="000000"/>
          <w:sz w:val="24"/>
        </w:rPr>
        <w:t>原因导致</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提供的研究意见等成果文件不符合本合同要求，必须在</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提出要求后3天内无条件修改，其费用由</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自行承担。修改期间，</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付款时间相应顺延。</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11</w:t>
      </w:r>
      <w:r>
        <w:rPr>
          <w:rFonts w:hint="eastAsia" w:ascii="仿宋_GB2312" w:hAnsi="仿宋_GB2312" w:eastAsia="仿宋_GB2312" w:cs="仿宋_GB2312"/>
          <w:color w:val="000000"/>
          <w:sz w:val="24"/>
          <w:szCs w:val="24"/>
        </w:rPr>
        <w:t>.未经</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书面在先同意，</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不得向任何第三方全部或部分转让本项目</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rPr>
        <w:t>但其中不包括效果图、模型制作、透视图制作和动画制作等</w:t>
      </w:r>
      <w:r>
        <w:rPr>
          <w:rFonts w:hint="eastAsia" w:ascii="仿宋_GB2312" w:hAnsi="仿宋_GB2312" w:eastAsia="仿宋_GB2312" w:cs="仿宋_GB2312"/>
          <w:color w:val="000000"/>
          <w:sz w:val="24"/>
          <w:szCs w:val="24"/>
        </w:rPr>
        <w:t>。</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12</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对其工作人员在合同履行期间的一切行为负责，期间发生的一切安全事故责任、其它人身损害及因此发生的人身损害赔偿和其他费用由</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自行承担，与</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无关。若因</w:t>
      </w:r>
      <w:r>
        <w:rPr>
          <w:rFonts w:hint="eastAsia" w:ascii="仿宋_GB2312" w:hAnsi="仿宋_GB2312" w:eastAsia="仿宋_GB2312" w:cs="仿宋_GB2312"/>
          <w:color w:val="000000"/>
          <w:sz w:val="24"/>
          <w:lang w:eastAsia="zh-CN"/>
        </w:rPr>
        <w:t>乙方</w:t>
      </w:r>
      <w:r>
        <w:rPr>
          <w:rFonts w:hint="eastAsia" w:ascii="仿宋_GB2312" w:hAnsi="仿宋_GB2312" w:eastAsia="仿宋_GB2312" w:cs="仿宋_GB2312"/>
          <w:color w:val="000000"/>
          <w:sz w:val="24"/>
        </w:rPr>
        <w:t>原因</w:t>
      </w:r>
      <w:r>
        <w:rPr>
          <w:rFonts w:hint="eastAsia" w:ascii="仿宋_GB2312" w:hAnsi="仿宋_GB2312" w:eastAsia="仿宋_GB2312" w:cs="仿宋_GB2312"/>
          <w:color w:val="000000"/>
          <w:sz w:val="24"/>
          <w:szCs w:val="24"/>
        </w:rPr>
        <w:t>导致</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支付赔偿及其他费用，</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应全部偿还给</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13</w:t>
      </w:r>
      <w:r>
        <w:rPr>
          <w:rFonts w:hint="eastAsia" w:ascii="仿宋_GB2312" w:hAnsi="仿宋_GB2312" w:eastAsia="仿宋_GB2312" w:cs="仿宋_GB2312"/>
          <w:color w:val="000000"/>
          <w:sz w:val="24"/>
          <w:szCs w:val="24"/>
        </w:rPr>
        <w:t>.为保证项目成果的质量，</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在合同履行期间，应按照服务内容要求组织专家队伍，成立专门的项目小组，并保障项目团队成员到位。</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应保证本合同的主要核心成员在项目实施期间全程参与项目实质性工作。如确需更换项目团队成员，</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应事先征得</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的同意，且接替人员的职位、资历应与原定成员相当。</w:t>
      </w:r>
      <w:r>
        <w:rPr>
          <w:rFonts w:hint="eastAsia" w:ascii="仿宋_GB2312" w:hAnsi="仿宋_GB2312" w:eastAsia="仿宋_GB2312" w:cs="仿宋_GB2312"/>
          <w:color w:val="000000"/>
          <w:sz w:val="24"/>
          <w:lang w:eastAsia="zh-CN"/>
        </w:rPr>
        <w:t>乙方</w:t>
      </w:r>
      <w:r>
        <w:rPr>
          <w:rFonts w:hint="eastAsia" w:ascii="仿宋_GB2312" w:hAnsi="仿宋_GB2312" w:eastAsia="仿宋_GB2312" w:cs="仿宋_GB2312"/>
          <w:color w:val="000000"/>
          <w:sz w:val="24"/>
        </w:rPr>
        <w:t>人员因离职、重病、伤残、死亡或不可抗力等原因外需要更换团队成员的，</w:t>
      </w:r>
      <w:r>
        <w:rPr>
          <w:rFonts w:hint="eastAsia" w:ascii="仿宋_GB2312" w:hAnsi="仿宋_GB2312" w:eastAsia="仿宋_GB2312" w:cs="仿宋_GB2312"/>
          <w:color w:val="000000"/>
          <w:sz w:val="24"/>
          <w:lang w:eastAsia="zh-CN"/>
        </w:rPr>
        <w:t>甲方</w:t>
      </w:r>
      <w:r>
        <w:rPr>
          <w:rFonts w:hint="eastAsia" w:ascii="仿宋_GB2312" w:hAnsi="仿宋_GB2312" w:eastAsia="仿宋_GB2312" w:cs="仿宋_GB2312"/>
          <w:color w:val="000000"/>
          <w:sz w:val="24"/>
        </w:rPr>
        <w:t>应当及时同意。</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14</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有维护</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声誉的义务，</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不能以</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名义从事与本项目无关的任何事务，否则</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有权追究其相关责任。</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15</w:t>
      </w:r>
      <w:r>
        <w:rPr>
          <w:rFonts w:hint="eastAsia" w:ascii="仿宋_GB2312" w:hAnsi="仿宋_GB2312" w:eastAsia="仿宋_GB2312" w:cs="仿宋_GB2312"/>
          <w:color w:val="000000"/>
          <w:sz w:val="24"/>
          <w:szCs w:val="24"/>
        </w:rPr>
        <w:t>.本合同期满或提前解除、终止后，</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应将</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的档案资料、信息数据等交还</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，并应销毁或删除所有备份。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16</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在完成本项目过程中，不得损害其他任何第三方的知识产权等合法权益，否则由此造成的相关责任应当由</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自行承担，与</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无关。</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17.乙方应配合按照甲方合理意见修改直至本合同范围内成果验收通过。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18</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指定项目联系人：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姓名：</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联系方式：</w:t>
      </w:r>
    </w:p>
    <w:p>
      <w:pPr>
        <w:keepNext w:val="0"/>
        <w:keepLines w:val="0"/>
        <w:pageBreakBefore w:val="0"/>
        <w:kinsoku/>
        <w:wordWrap/>
        <w:overflowPunct/>
        <w:topLinePunct w:val="0"/>
        <w:autoSpaceDE/>
        <w:autoSpaceDN/>
        <w:bidi w:val="0"/>
        <w:spacing w:line="400" w:lineRule="exact"/>
        <w:ind w:firstLine="482" w:firstLineChars="200"/>
        <w:outlineLvl w:val="1"/>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第</w:t>
      </w:r>
      <w:r>
        <w:rPr>
          <w:rFonts w:hint="eastAsia" w:ascii="仿宋_GB2312" w:hAnsi="仿宋_GB2312" w:eastAsia="仿宋_GB2312" w:cs="仿宋_GB2312"/>
          <w:b/>
          <w:bCs/>
          <w:color w:val="000000"/>
          <w:sz w:val="24"/>
          <w:szCs w:val="24"/>
          <w:lang w:val="en-US" w:eastAsia="zh-CN"/>
        </w:rPr>
        <w:t>五</w:t>
      </w:r>
      <w:r>
        <w:rPr>
          <w:rFonts w:hint="eastAsia" w:ascii="仿宋_GB2312" w:hAnsi="仿宋_GB2312" w:eastAsia="仿宋_GB2312" w:cs="仿宋_GB2312"/>
          <w:b/>
          <w:bCs/>
          <w:color w:val="000000"/>
          <w:sz w:val="24"/>
          <w:szCs w:val="24"/>
        </w:rPr>
        <w:t>条  人员要求</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以下为本项目核心领导团队。</w:t>
      </w:r>
    </w:p>
    <w:tbl>
      <w:tblPr>
        <w:tblStyle w:val="16"/>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950"/>
        <w:gridCol w:w="675"/>
        <w:gridCol w:w="513"/>
        <w:gridCol w:w="787"/>
        <w:gridCol w:w="3100"/>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序号</w:t>
            </w: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姓名</w:t>
            </w:r>
          </w:p>
        </w:tc>
        <w:tc>
          <w:tcPr>
            <w:tcW w:w="67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性别</w:t>
            </w:r>
          </w:p>
        </w:tc>
        <w:tc>
          <w:tcPr>
            <w:tcW w:w="51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年龄</w:t>
            </w:r>
          </w:p>
        </w:tc>
        <w:tc>
          <w:tcPr>
            <w:tcW w:w="7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学历</w:t>
            </w:r>
          </w:p>
        </w:tc>
        <w:tc>
          <w:tcPr>
            <w:tcW w:w="31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职务、职称或执业资格</w:t>
            </w:r>
          </w:p>
        </w:tc>
        <w:tc>
          <w:tcPr>
            <w:tcW w:w="151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拟任团队职务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sz w:val="24"/>
                <w:szCs w:val="24"/>
                <w:lang w:val="en-US" w:eastAsia="zh-CN"/>
              </w:rPr>
            </w:pPr>
          </w:p>
        </w:tc>
        <w:tc>
          <w:tcPr>
            <w:tcW w:w="67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color w:val="000000"/>
                <w:sz w:val="24"/>
                <w:szCs w:val="24"/>
              </w:rPr>
            </w:pPr>
          </w:p>
        </w:tc>
        <w:tc>
          <w:tcPr>
            <w:tcW w:w="51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color w:val="000000"/>
                <w:sz w:val="24"/>
                <w:szCs w:val="24"/>
                <w:lang w:val="en-US" w:eastAsia="zh-CN"/>
              </w:rPr>
            </w:pPr>
          </w:p>
        </w:tc>
        <w:tc>
          <w:tcPr>
            <w:tcW w:w="7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color w:val="000000"/>
                <w:sz w:val="24"/>
                <w:szCs w:val="24"/>
                <w:lang w:val="en-US" w:eastAsia="zh-CN"/>
              </w:rPr>
            </w:pPr>
          </w:p>
        </w:tc>
        <w:tc>
          <w:tcPr>
            <w:tcW w:w="31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sz w:val="24"/>
                <w:szCs w:val="24"/>
                <w:lang w:val="en-US" w:eastAsia="zh-CN"/>
              </w:rPr>
            </w:pPr>
          </w:p>
        </w:tc>
        <w:tc>
          <w:tcPr>
            <w:tcW w:w="151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w:t>
            </w: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sz w:val="24"/>
                <w:szCs w:val="24"/>
                <w:lang w:val="en-US" w:eastAsia="zh-CN"/>
              </w:rPr>
            </w:pPr>
          </w:p>
        </w:tc>
        <w:tc>
          <w:tcPr>
            <w:tcW w:w="67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color w:val="000000"/>
                <w:sz w:val="24"/>
                <w:szCs w:val="24"/>
                <w:lang w:val="en-US" w:eastAsia="zh-CN"/>
              </w:rPr>
            </w:pPr>
          </w:p>
        </w:tc>
        <w:tc>
          <w:tcPr>
            <w:tcW w:w="51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color w:val="000000"/>
                <w:sz w:val="24"/>
                <w:szCs w:val="24"/>
                <w:lang w:val="en-US" w:eastAsia="zh-CN"/>
              </w:rPr>
            </w:pPr>
          </w:p>
        </w:tc>
        <w:tc>
          <w:tcPr>
            <w:tcW w:w="7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color w:val="000000"/>
                <w:sz w:val="24"/>
                <w:szCs w:val="24"/>
              </w:rPr>
            </w:pPr>
          </w:p>
        </w:tc>
        <w:tc>
          <w:tcPr>
            <w:tcW w:w="31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color w:val="000000"/>
                <w:sz w:val="24"/>
                <w:szCs w:val="24"/>
                <w:lang w:val="en-US" w:eastAsia="zh-CN"/>
              </w:rPr>
            </w:pPr>
          </w:p>
        </w:tc>
        <w:tc>
          <w:tcPr>
            <w:tcW w:w="151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color w:val="000000"/>
                <w:sz w:val="24"/>
                <w:szCs w:val="24"/>
                <w:lang w:eastAsia="zh-CN"/>
              </w:rPr>
            </w:pPr>
          </w:p>
        </w:tc>
      </w:tr>
    </w:tbl>
    <w:p>
      <w:pPr>
        <w:pStyle w:val="2"/>
        <w:keepNext w:val="0"/>
        <w:keepLines w:val="0"/>
        <w:pageBreakBefore w:val="0"/>
        <w:kinsoku/>
        <w:wordWrap/>
        <w:overflowPunct/>
        <w:topLinePunct w:val="0"/>
        <w:autoSpaceDE/>
        <w:autoSpaceDN/>
        <w:bidi w:val="0"/>
        <w:spacing w:after="0" w:line="400" w:lineRule="exact"/>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参加本项目编制的人员必须具有国家和有关部门规定的相应资质。</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参加本项目编制的人员配置必须与合同中的项目成员组成一致，若需调整需经</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书面同意后，方可变更。</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必须以</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直属人员（直属人员指劳动合同、社会保险等劳动关系在</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的人员）参与本项目服务，不得使用挂靠队伍。</w:t>
      </w:r>
    </w:p>
    <w:p>
      <w:pPr>
        <w:keepNext w:val="0"/>
        <w:keepLines w:val="0"/>
        <w:pageBreakBefore w:val="0"/>
        <w:kinsoku/>
        <w:wordWrap/>
        <w:overflowPunct/>
        <w:topLinePunct w:val="0"/>
        <w:autoSpaceDE/>
        <w:autoSpaceDN/>
        <w:bidi w:val="0"/>
        <w:spacing w:line="400" w:lineRule="exact"/>
        <w:ind w:firstLine="482" w:firstLineChars="200"/>
        <w:outlineLvl w:val="1"/>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第</w:t>
      </w:r>
      <w:r>
        <w:rPr>
          <w:rFonts w:hint="eastAsia" w:ascii="仿宋_GB2312" w:hAnsi="仿宋_GB2312" w:eastAsia="仿宋_GB2312" w:cs="仿宋_GB2312"/>
          <w:b/>
          <w:bCs/>
          <w:color w:val="000000"/>
          <w:sz w:val="24"/>
          <w:szCs w:val="24"/>
          <w:lang w:val="en-US" w:eastAsia="zh-CN"/>
        </w:rPr>
        <w:t>六</w:t>
      </w:r>
      <w:r>
        <w:rPr>
          <w:rFonts w:hint="eastAsia" w:ascii="仿宋_GB2312" w:hAnsi="仿宋_GB2312" w:eastAsia="仿宋_GB2312" w:cs="仿宋_GB2312"/>
          <w:b/>
          <w:bCs/>
          <w:color w:val="000000"/>
          <w:sz w:val="24"/>
          <w:szCs w:val="24"/>
        </w:rPr>
        <w:t>条 成果权属与知识产权</w:t>
      </w:r>
    </w:p>
    <w:p>
      <w:pPr>
        <w:keepNext w:val="0"/>
        <w:keepLines w:val="0"/>
        <w:pageBreakBefore w:val="0"/>
        <w:widowControl/>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1.本项目最终成果（包括为后续服务范围所编制的文件）的所有权、知识产权以及与之相关的所有权利</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rPr>
        <w:t>在</w:t>
      </w:r>
      <w:r>
        <w:rPr>
          <w:rFonts w:hint="eastAsia" w:ascii="仿宋_GB2312" w:hAnsi="仿宋_GB2312" w:eastAsia="仿宋_GB2312" w:cs="仿宋_GB2312"/>
          <w:color w:val="000000"/>
          <w:sz w:val="24"/>
          <w:lang w:eastAsia="zh-CN"/>
        </w:rPr>
        <w:t>甲方</w:t>
      </w:r>
      <w:r>
        <w:rPr>
          <w:rFonts w:hint="eastAsia" w:ascii="仿宋_GB2312" w:hAnsi="仿宋_GB2312" w:eastAsia="仿宋_GB2312" w:cs="仿宋_GB2312"/>
          <w:color w:val="000000"/>
          <w:sz w:val="24"/>
        </w:rPr>
        <w:t>向</w:t>
      </w:r>
      <w:r>
        <w:rPr>
          <w:rFonts w:hint="eastAsia" w:ascii="仿宋_GB2312" w:hAnsi="仿宋_GB2312" w:eastAsia="仿宋_GB2312" w:cs="仿宋_GB2312"/>
          <w:color w:val="000000"/>
          <w:sz w:val="24"/>
          <w:lang w:eastAsia="zh-CN"/>
        </w:rPr>
        <w:t>乙方</w:t>
      </w:r>
      <w:r>
        <w:rPr>
          <w:rFonts w:hint="eastAsia" w:ascii="仿宋_GB2312" w:hAnsi="仿宋_GB2312" w:eastAsia="仿宋_GB2312" w:cs="仿宋_GB2312"/>
          <w:color w:val="000000"/>
          <w:sz w:val="24"/>
        </w:rPr>
        <w:t>付清全部服务费后</w:t>
      </w:r>
      <w:r>
        <w:rPr>
          <w:rFonts w:hint="eastAsia" w:ascii="仿宋_GB2312" w:hAnsi="仿宋_GB2312" w:eastAsia="仿宋_GB2312" w:cs="仿宋_GB2312"/>
          <w:color w:val="000000"/>
          <w:sz w:val="24"/>
          <w:szCs w:val="24"/>
        </w:rPr>
        <w:t>归</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所有</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lang w:eastAsia="zh-CN"/>
        </w:rPr>
        <w:t>乙方</w:t>
      </w:r>
      <w:r>
        <w:rPr>
          <w:rFonts w:hint="eastAsia" w:ascii="仿宋_GB2312" w:hAnsi="仿宋_GB2312" w:eastAsia="仿宋_GB2312" w:cs="仿宋_GB2312"/>
          <w:color w:val="000000"/>
          <w:sz w:val="24"/>
        </w:rPr>
        <w:t>保留该成果的署名权以及使用项目形象和资料进行专业推广和出版的权利</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本合同签署前甲乙双方已经拥有的知识产权权利，仍归各自所有。</w:t>
      </w:r>
    </w:p>
    <w:p>
      <w:pPr>
        <w:keepNext w:val="0"/>
        <w:keepLines w:val="0"/>
        <w:pageBreakBefore w:val="0"/>
        <w:widowControl/>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2.双方确定，</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有权对</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按照本合同约定提供的成果进行后续改进。由此产生的具有实质性或创造性特征的新的技术成果及其权利全部由</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享有。</w:t>
      </w:r>
    </w:p>
    <w:p>
      <w:pPr>
        <w:keepNext w:val="0"/>
        <w:keepLines w:val="0"/>
        <w:pageBreakBefore w:val="0"/>
        <w:widowControl/>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所提交的最终成果文件及任何数据、资料、软件等不得侵犯任何第三方的知识产权或其他权利，由于该等文件、数据、资料、软件侵权所导致的任何索赔或责任均由</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承担。同时，</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有权要求</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修改成果至不侵权或解除合同，并保留要求</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赔偿全部损失的权利，包括但不限于上述索赔或责任所产生的诉讼费用、合理的律师费用、鉴定评估费用、 调查费用、和解金额或生效法律文书中规定的赔偿金额。</w:t>
      </w:r>
    </w:p>
    <w:p>
      <w:pPr>
        <w:keepNext w:val="0"/>
        <w:keepLines w:val="0"/>
        <w:pageBreakBefore w:val="0"/>
        <w:widowControl/>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4.未经</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书面在先同意，</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不得将本项目的最终成果文件及任何数据、资料、软件向任何第三方转让、授权任何第三方使用或用于本合同项目外的其他项目。如发生以上情况，</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应向</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支付本合同总价款 20%的违约金，同时，</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保留要求</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赔偿全部损失的权利，包括但不限于上述索赔或责任所产生的诉讼费用、合理的律师费用、鉴定评估费用、调查费用、和解金额或生效法律文书中规定的赔偿金额。</w:t>
      </w:r>
    </w:p>
    <w:p>
      <w:pPr>
        <w:keepNext w:val="0"/>
        <w:keepLines w:val="0"/>
        <w:pageBreakBefore w:val="0"/>
        <w:widowControl/>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完成本项目的研究人员享有在有关技术成果文件上署名的权利和与</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共同获得有关荣誉证书、奖励的权利。</w:t>
      </w:r>
    </w:p>
    <w:p>
      <w:pPr>
        <w:keepNext w:val="0"/>
        <w:keepLines w:val="0"/>
        <w:pageBreakBefore w:val="0"/>
        <w:kinsoku/>
        <w:wordWrap/>
        <w:overflowPunct/>
        <w:topLinePunct w:val="0"/>
        <w:autoSpaceDE/>
        <w:autoSpaceDN/>
        <w:bidi w:val="0"/>
        <w:spacing w:line="400" w:lineRule="exact"/>
        <w:ind w:firstLine="482" w:firstLineChars="200"/>
        <w:outlineLvl w:val="1"/>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第</w:t>
      </w:r>
      <w:r>
        <w:rPr>
          <w:rFonts w:hint="eastAsia" w:ascii="仿宋_GB2312" w:hAnsi="仿宋_GB2312" w:eastAsia="仿宋_GB2312" w:cs="仿宋_GB2312"/>
          <w:b/>
          <w:bCs/>
          <w:color w:val="000000"/>
          <w:sz w:val="24"/>
          <w:szCs w:val="24"/>
          <w:lang w:val="en-US" w:eastAsia="zh-CN"/>
        </w:rPr>
        <w:t>七</w:t>
      </w:r>
      <w:r>
        <w:rPr>
          <w:rFonts w:hint="eastAsia" w:ascii="仿宋_GB2312" w:hAnsi="仿宋_GB2312" w:eastAsia="仿宋_GB2312" w:cs="仿宋_GB2312"/>
          <w:b/>
          <w:bCs/>
          <w:color w:val="000000"/>
          <w:sz w:val="24"/>
          <w:szCs w:val="24"/>
        </w:rPr>
        <w:t>条  保密条款</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合同项下的义务，且只能由相关的技术人员使用。</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应以保密方式处理在编制本项目成果文件过程中自</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工作人员或</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关联机 构获得的相关信息、资料、图纸、数据等，或由</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在履行合同过程中明确指明为秘密的任何信 息，以及</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因本项目工作内容所直接或间接取得、处理或接触的任何其他资料。未经</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书面 在先同意，</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不得向任何第三方透露与本项目有关的内容，或公开本项目的阶段性成果或最终 成果内容。即使向与履行合同有关的人员提供前述保密信息，也应限于履行合同的必需范围，且 这些人员应接受至少与本条款同等严格的保密条款的约束。</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实施项目的程序应符合国家安全、保密的有关规定和标准。</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4.上述保密义务不适用以下情况：</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1）获取的信息已被合法公开；</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2）获得信息拥有方书面许可并在该许可范围内披露；</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3）国家法律、法规规定的情形。</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5.如</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违反上述保密条款，</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有权解除合同，</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应在合同解除通知发出之日起 10 日内向</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支付合同服务费总金额 20%的违约金，如果违约金无法弥补</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损失，</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保留要求</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赔偿全部</w:t>
      </w:r>
      <w:r>
        <w:rPr>
          <w:rFonts w:hint="eastAsia" w:ascii="仿宋_GB2312" w:hAnsi="仿宋_GB2312" w:eastAsia="仿宋_GB2312" w:cs="仿宋_GB2312"/>
          <w:color w:val="000000"/>
          <w:sz w:val="24"/>
          <w:szCs w:val="24"/>
          <w:lang w:val="en-US" w:eastAsia="zh-CN"/>
        </w:rPr>
        <w:t>直接</w:t>
      </w:r>
      <w:r>
        <w:rPr>
          <w:rFonts w:hint="eastAsia" w:ascii="仿宋_GB2312" w:hAnsi="仿宋_GB2312" w:eastAsia="仿宋_GB2312" w:cs="仿宋_GB2312"/>
          <w:color w:val="000000"/>
          <w:sz w:val="24"/>
          <w:szCs w:val="24"/>
        </w:rPr>
        <w:t>损失的权利，包括但不限于上述索赔或责任所产生的诉讼费用、合理的律师费用、鉴定评估费用、 调查费用、和解金额或生效法律文书中规定的赔偿金额。</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6.无论合同或合同其他条款是否有效，本保密条款始终约束双方。国家秘密的保密期限由国 家有关部门确定，工作秘密的保密期限</w:t>
      </w:r>
      <w:r>
        <w:rPr>
          <w:rFonts w:hint="eastAsia" w:ascii="仿宋_GB2312" w:hAnsi="仿宋_GB2312" w:eastAsia="仿宋_GB2312" w:cs="仿宋_GB2312"/>
          <w:color w:val="000000"/>
          <w:sz w:val="24"/>
        </w:rPr>
        <w:t>为合同各方在履行本合同过程中及本合同终止后两年</w:t>
      </w:r>
      <w:r>
        <w:rPr>
          <w:rFonts w:hint="eastAsia" w:ascii="仿宋_GB2312" w:hAnsi="仿宋_GB2312" w:eastAsia="仿宋_GB2312" w:cs="仿宋_GB2312"/>
          <w:color w:val="000000"/>
          <w:sz w:val="24"/>
          <w:szCs w:val="24"/>
        </w:rPr>
        <w:t>。</w:t>
      </w:r>
    </w:p>
    <w:p>
      <w:pPr>
        <w:keepNext w:val="0"/>
        <w:keepLines w:val="0"/>
        <w:pageBreakBefore w:val="0"/>
        <w:kinsoku/>
        <w:wordWrap/>
        <w:overflowPunct/>
        <w:topLinePunct w:val="0"/>
        <w:autoSpaceDE/>
        <w:autoSpaceDN/>
        <w:bidi w:val="0"/>
        <w:spacing w:line="400" w:lineRule="exact"/>
        <w:ind w:firstLine="482" w:firstLineChars="200"/>
        <w:outlineLvl w:val="1"/>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第</w:t>
      </w:r>
      <w:r>
        <w:rPr>
          <w:rFonts w:hint="eastAsia" w:ascii="仿宋_GB2312" w:hAnsi="仿宋_GB2312" w:eastAsia="仿宋_GB2312" w:cs="仿宋_GB2312"/>
          <w:b/>
          <w:bCs/>
          <w:color w:val="000000"/>
          <w:sz w:val="24"/>
          <w:szCs w:val="24"/>
          <w:lang w:val="en-US" w:eastAsia="zh-CN"/>
        </w:rPr>
        <w:t>八</w:t>
      </w:r>
      <w:r>
        <w:rPr>
          <w:rFonts w:hint="eastAsia" w:ascii="仿宋_GB2312" w:hAnsi="仿宋_GB2312" w:eastAsia="仿宋_GB2312" w:cs="仿宋_GB2312"/>
          <w:b/>
          <w:bCs/>
          <w:color w:val="000000"/>
          <w:sz w:val="24"/>
          <w:szCs w:val="24"/>
        </w:rPr>
        <w:t>条  工作计划安排</w:t>
      </w:r>
    </w:p>
    <w:p>
      <w:pPr>
        <w:keepNext w:val="0"/>
        <w:keepLines w:val="0"/>
        <w:pageBreakBefore w:val="0"/>
        <w:numPr>
          <w:ilvl w:val="0"/>
          <w:numId w:val="0"/>
        </w:numPr>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本项目计划工作时间为自合同签订之日4个月内完成该项目相关成果的编制、汇报等工作，并经甲方审议通过。具体工作划分为3个阶段：</w:t>
      </w:r>
    </w:p>
    <w:p>
      <w:pPr>
        <w:keepNext w:val="0"/>
        <w:keepLines w:val="0"/>
        <w:pageBreakBefore w:val="0"/>
        <w:numPr>
          <w:ilvl w:val="0"/>
          <w:numId w:val="0"/>
        </w:numPr>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第一阶段：提交第一版概念设计文件，包括PDF文件，纸质版文件4份；</w:t>
      </w:r>
    </w:p>
    <w:p>
      <w:pPr>
        <w:keepNext w:val="0"/>
        <w:keepLines w:val="0"/>
        <w:pageBreakBefore w:val="0"/>
        <w:numPr>
          <w:ilvl w:val="0"/>
          <w:numId w:val="0"/>
        </w:numPr>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第二阶段：提交中期概念设计文件，包括PDF文件，纸质版文件4份；</w:t>
      </w:r>
    </w:p>
    <w:p>
      <w:pPr>
        <w:keepNext w:val="0"/>
        <w:keepLines w:val="0"/>
        <w:pageBreakBefore w:val="0"/>
        <w:numPr>
          <w:ilvl w:val="0"/>
          <w:numId w:val="0"/>
        </w:numPr>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第三阶段：提交最终概念设计文件及全部成果电子文件，包括电子光盘2份，纸质文件4份。</w:t>
      </w:r>
    </w:p>
    <w:p>
      <w:pPr>
        <w:keepNext w:val="0"/>
        <w:keepLines w:val="0"/>
        <w:pageBreakBefore w:val="0"/>
        <w:kinsoku/>
        <w:wordWrap/>
        <w:overflowPunct/>
        <w:topLinePunct w:val="0"/>
        <w:autoSpaceDE/>
        <w:autoSpaceDN/>
        <w:bidi w:val="0"/>
        <w:spacing w:line="400" w:lineRule="exact"/>
        <w:ind w:firstLine="482" w:firstLineChars="200"/>
        <w:outlineLvl w:val="1"/>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第</w:t>
      </w:r>
      <w:r>
        <w:rPr>
          <w:rFonts w:hint="eastAsia" w:ascii="仿宋_GB2312" w:hAnsi="仿宋_GB2312" w:eastAsia="仿宋_GB2312" w:cs="仿宋_GB2312"/>
          <w:b/>
          <w:bCs/>
          <w:color w:val="000000"/>
          <w:sz w:val="24"/>
          <w:szCs w:val="24"/>
          <w:lang w:val="en-US" w:eastAsia="zh-CN"/>
        </w:rPr>
        <w:t>九</w:t>
      </w:r>
      <w:r>
        <w:rPr>
          <w:rFonts w:hint="eastAsia" w:ascii="仿宋_GB2312" w:hAnsi="仿宋_GB2312" w:eastAsia="仿宋_GB2312" w:cs="仿宋_GB2312"/>
          <w:b/>
          <w:bCs/>
          <w:color w:val="000000"/>
          <w:sz w:val="24"/>
          <w:szCs w:val="24"/>
        </w:rPr>
        <w:t>条</w:t>
      </w:r>
      <w:r>
        <w:rPr>
          <w:rFonts w:hint="eastAsia" w:ascii="仿宋_GB2312" w:hAnsi="仿宋_GB2312" w:eastAsia="仿宋_GB2312" w:cs="仿宋_GB2312"/>
          <w:b/>
          <w:bCs/>
          <w:color w:val="000000"/>
          <w:sz w:val="24"/>
          <w:szCs w:val="24"/>
          <w:lang w:val="en-US" w:eastAsia="zh-CN"/>
        </w:rPr>
        <w:t xml:space="preserve">  </w:t>
      </w:r>
      <w:r>
        <w:rPr>
          <w:rFonts w:hint="eastAsia" w:ascii="仿宋_GB2312" w:hAnsi="仿宋_GB2312" w:eastAsia="仿宋_GB2312" w:cs="仿宋_GB2312"/>
          <w:b/>
          <w:bCs/>
          <w:color w:val="000000"/>
          <w:sz w:val="24"/>
          <w:szCs w:val="24"/>
        </w:rPr>
        <w:t>项目服务费用及付款方式</w:t>
      </w:r>
    </w:p>
    <w:p>
      <w:pPr>
        <w:keepNext w:val="0"/>
        <w:keepLines w:val="0"/>
        <w:pageBreakBefore w:val="0"/>
        <w:numPr>
          <w:ilvl w:val="0"/>
          <w:numId w:val="0"/>
        </w:numPr>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合同价款：合同总价为</w:t>
      </w:r>
      <w:r>
        <w:rPr>
          <w:rFonts w:hint="eastAsia" w:ascii="仿宋_GB2312" w:hAnsi="仿宋_GB2312" w:eastAsia="仿宋_GB2312" w:cs="仿宋_GB2312"/>
          <w:color w:val="000000"/>
          <w:sz w:val="24"/>
          <w:szCs w:val="24"/>
          <w:lang w:val="en-US" w:eastAsia="zh-CN"/>
        </w:rPr>
        <w:t>人民币（小写）</w:t>
      </w:r>
      <w:r>
        <w:rPr>
          <w:rFonts w:hint="eastAsia" w:ascii="仿宋_GB2312" w:hAnsi="仿宋_GB2312" w:eastAsia="仿宋_GB2312" w:cs="仿宋_GB2312"/>
          <w:b/>
          <w:bCs/>
          <w:color w:val="000000"/>
          <w:sz w:val="24"/>
          <w:szCs w:val="24"/>
          <w:u w:val="single"/>
        </w:rPr>
        <w:t>￥</w:t>
      </w:r>
      <w:r>
        <w:rPr>
          <w:rFonts w:hint="eastAsia" w:ascii="仿宋_GB2312" w:hAnsi="仿宋_GB2312" w:eastAsia="仿宋_GB2312" w:cs="仿宋_GB2312"/>
          <w:b/>
          <w:bCs/>
          <w:color w:val="000000"/>
          <w:sz w:val="24"/>
          <w:szCs w:val="24"/>
          <w:u w:val="single"/>
          <w:lang w:val="en-US" w:eastAsia="zh-CN"/>
        </w:rPr>
        <w:t xml:space="preserve">   元整</w:t>
      </w:r>
      <w:r>
        <w:rPr>
          <w:rFonts w:hint="eastAsia" w:ascii="仿宋_GB2312" w:hAnsi="仿宋_GB2312" w:eastAsia="仿宋_GB2312" w:cs="仿宋_GB2312"/>
          <w:b w:val="0"/>
          <w:bCs w:val="0"/>
          <w:color w:val="000000"/>
          <w:sz w:val="24"/>
          <w:szCs w:val="24"/>
          <w:u w:val="none"/>
          <w:lang w:val="en-US" w:eastAsia="zh-CN"/>
        </w:rPr>
        <w:t>，（大写）</w:t>
      </w:r>
      <w:r>
        <w:rPr>
          <w:rFonts w:hint="eastAsia" w:ascii="仿宋_GB2312" w:hAnsi="仿宋_GB2312" w:eastAsia="仿宋_GB2312" w:cs="仿宋_GB2312"/>
          <w:b w:val="0"/>
          <w:bCs w:val="0"/>
          <w:color w:val="000000"/>
          <w:sz w:val="24"/>
          <w:szCs w:val="24"/>
          <w:u w:val="single"/>
          <w:lang w:val="en-US" w:eastAsia="zh-CN"/>
        </w:rPr>
        <w:t xml:space="preserve">      </w:t>
      </w:r>
      <w:r>
        <w:rPr>
          <w:rFonts w:hint="eastAsia" w:ascii="仿宋_GB2312" w:hAnsi="仿宋_GB2312" w:eastAsia="仿宋_GB2312" w:cs="仿宋_GB2312"/>
          <w:color w:val="000000"/>
          <w:sz w:val="24"/>
          <w:szCs w:val="24"/>
        </w:rPr>
        <w:t>（含税）。包括</w:t>
      </w:r>
      <w:r>
        <w:rPr>
          <w:rFonts w:hint="eastAsia" w:ascii="仿宋_GB2312" w:hAnsi="仿宋_GB2312" w:eastAsia="仿宋_GB2312" w:cs="仿宋_GB2312"/>
          <w:color w:val="000000"/>
          <w:sz w:val="24"/>
          <w:szCs w:val="24"/>
          <w:lang w:val="en-US" w:eastAsia="zh-CN"/>
        </w:rPr>
        <w:t>但不限于：调查调研、差旅费、项目成果报告编制、印刷费、专家咨询费以及会议费等所有费用，并提供合同要求的报告、全部规划研究成果文件和全部资料，以及其它相关服务的全部费用</w:t>
      </w:r>
      <w:r>
        <w:rPr>
          <w:rFonts w:hint="eastAsia" w:ascii="仿宋_GB2312" w:hAnsi="仿宋_GB2312" w:eastAsia="仿宋_GB2312" w:cs="仿宋_GB2312"/>
          <w:color w:val="000000"/>
          <w:sz w:val="24"/>
          <w:szCs w:val="24"/>
          <w:u w:val="none"/>
        </w:rPr>
        <w:t>。</w:t>
      </w:r>
    </w:p>
    <w:p>
      <w:pPr>
        <w:pStyle w:val="2"/>
        <w:keepNext w:val="0"/>
        <w:keepLines w:val="0"/>
        <w:pageBreakBefore w:val="0"/>
        <w:kinsoku/>
        <w:wordWrap/>
        <w:overflowPunct/>
        <w:topLinePunct w:val="0"/>
        <w:autoSpaceDE/>
        <w:autoSpaceDN/>
        <w:bidi w:val="0"/>
        <w:spacing w:after="0"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本合同共分四期进行付款：首期款30%，第二期款</w:t>
      </w: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0%，第三期款</w:t>
      </w:r>
      <w:r>
        <w:rPr>
          <w:rFonts w:hint="eastAsia" w:ascii="仿宋_GB2312" w:hAnsi="仿宋_GB2312" w:eastAsia="仿宋_GB2312" w:cs="仿宋_GB2312"/>
          <w:color w:val="000000"/>
          <w:sz w:val="24"/>
          <w:szCs w:val="24"/>
          <w:lang w:val="en-US"/>
        </w:rPr>
        <w:t>3</w:t>
      </w:r>
      <w:r>
        <w:rPr>
          <w:rFonts w:hint="eastAsia" w:ascii="仿宋_GB2312" w:hAnsi="仿宋_GB2312" w:eastAsia="仿宋_GB2312" w:cs="仿宋_GB2312"/>
          <w:color w:val="000000"/>
          <w:sz w:val="24"/>
          <w:szCs w:val="24"/>
        </w:rPr>
        <w:t>0%，第四期</w:t>
      </w: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rPr>
        <w:t>0%:</w:t>
      </w:r>
    </w:p>
    <w:p>
      <w:pPr>
        <w:pStyle w:val="2"/>
        <w:keepNext w:val="0"/>
        <w:keepLines w:val="0"/>
        <w:pageBreakBefore w:val="0"/>
        <w:kinsoku/>
        <w:wordWrap/>
        <w:overflowPunct/>
        <w:topLinePunct w:val="0"/>
        <w:autoSpaceDE/>
        <w:autoSpaceDN/>
        <w:bidi w:val="0"/>
        <w:spacing w:after="0"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（1）第一期：签订合同15个工作日内，支付合同总价款的30%，即人民币</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小写）</w:t>
      </w:r>
      <w:r>
        <w:rPr>
          <w:rFonts w:hint="eastAsia" w:ascii="仿宋_GB2312" w:hAnsi="仿宋_GB2312" w:eastAsia="仿宋_GB2312" w:cs="仿宋_GB2312"/>
          <w:b/>
          <w:bCs/>
          <w:color w:val="000000"/>
          <w:sz w:val="24"/>
          <w:szCs w:val="24"/>
          <w:u w:val="single"/>
        </w:rPr>
        <w:t>￥</w:t>
      </w:r>
      <w:r>
        <w:rPr>
          <w:rFonts w:hint="eastAsia" w:ascii="仿宋_GB2312" w:hAnsi="仿宋_GB2312" w:eastAsia="仿宋_GB2312" w:cs="仿宋_GB2312"/>
          <w:b/>
          <w:bCs/>
          <w:color w:val="000000"/>
          <w:sz w:val="24"/>
          <w:szCs w:val="24"/>
          <w:u w:val="single"/>
          <w:lang w:val="en-US" w:eastAsia="zh-CN"/>
        </w:rPr>
        <w:t xml:space="preserve">      元</w:t>
      </w:r>
      <w:r>
        <w:rPr>
          <w:rFonts w:hint="eastAsia" w:ascii="仿宋_GB2312" w:hAnsi="仿宋_GB2312" w:eastAsia="仿宋_GB2312" w:cs="仿宋_GB2312"/>
          <w:b/>
          <w:bCs/>
          <w:color w:val="000000"/>
          <w:sz w:val="24"/>
          <w:szCs w:val="24"/>
          <w:u w:val="single"/>
        </w:rPr>
        <w:t>整</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大写）</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b/>
          <w:bCs/>
          <w:color w:val="000000"/>
          <w:sz w:val="24"/>
          <w:szCs w:val="24"/>
          <w:u w:val="single"/>
          <w:lang w:val="en-US" w:eastAsia="zh-CN"/>
        </w:rPr>
        <w:t>元整</w:t>
      </w:r>
      <w:r>
        <w:rPr>
          <w:rFonts w:hint="eastAsia" w:ascii="仿宋_GB2312" w:hAnsi="仿宋_GB2312" w:eastAsia="仿宋_GB2312" w:cs="仿宋_GB2312"/>
          <w:color w:val="000000"/>
          <w:sz w:val="24"/>
          <w:szCs w:val="24"/>
        </w:rPr>
        <w:t>；</w:t>
      </w:r>
    </w:p>
    <w:p>
      <w:pPr>
        <w:pStyle w:val="2"/>
        <w:keepNext w:val="0"/>
        <w:keepLines w:val="0"/>
        <w:pageBreakBefore w:val="0"/>
        <w:kinsoku/>
        <w:wordWrap/>
        <w:overflowPunct/>
        <w:topLinePunct w:val="0"/>
        <w:autoSpaceDE/>
        <w:autoSpaceDN/>
        <w:bidi w:val="0"/>
        <w:spacing w:after="0"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（2）第二期：完成《中期概念设计文件编制及汇报</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并</w:t>
      </w:r>
      <w:r>
        <w:rPr>
          <w:rFonts w:hint="eastAsia" w:ascii="仿宋_GB2312" w:hAnsi="仿宋_GB2312" w:eastAsia="仿宋_GB2312" w:cs="仿宋_GB2312"/>
          <w:color w:val="000000"/>
          <w:sz w:val="24"/>
          <w:szCs w:val="24"/>
        </w:rPr>
        <w:t>通过</w:t>
      </w:r>
      <w:r>
        <w:rPr>
          <w:rFonts w:hint="eastAsia" w:ascii="仿宋_GB2312" w:hAnsi="仿宋_GB2312" w:eastAsia="仿宋_GB2312" w:cs="仿宋_GB2312"/>
          <w:color w:val="000000"/>
          <w:sz w:val="24"/>
          <w:szCs w:val="24"/>
          <w:lang w:val="en-US" w:eastAsia="zh-CN"/>
        </w:rPr>
        <w:t>甲方</w:t>
      </w:r>
      <w:r>
        <w:rPr>
          <w:rFonts w:hint="eastAsia" w:ascii="仿宋_GB2312" w:hAnsi="仿宋_GB2312" w:eastAsia="仿宋_GB2312" w:cs="仿宋_GB2312"/>
          <w:color w:val="000000"/>
          <w:sz w:val="24"/>
          <w:szCs w:val="24"/>
        </w:rPr>
        <w:t>验收合格后，支付合同总价款的</w:t>
      </w: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0%，</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小写）</w:t>
      </w:r>
      <w:r>
        <w:rPr>
          <w:rFonts w:hint="eastAsia" w:ascii="仿宋_GB2312" w:hAnsi="仿宋_GB2312" w:eastAsia="仿宋_GB2312" w:cs="仿宋_GB2312"/>
          <w:b/>
          <w:bCs/>
          <w:color w:val="000000"/>
          <w:sz w:val="24"/>
          <w:szCs w:val="24"/>
          <w:u w:val="single"/>
        </w:rPr>
        <w:t>￥</w:t>
      </w:r>
      <w:r>
        <w:rPr>
          <w:rFonts w:hint="eastAsia" w:ascii="仿宋_GB2312" w:hAnsi="仿宋_GB2312" w:eastAsia="仿宋_GB2312" w:cs="仿宋_GB2312"/>
          <w:b/>
          <w:bCs/>
          <w:color w:val="000000"/>
          <w:sz w:val="24"/>
          <w:szCs w:val="24"/>
          <w:u w:val="single"/>
          <w:lang w:val="en-US" w:eastAsia="zh-CN"/>
        </w:rPr>
        <w:t xml:space="preserve">     元</w:t>
      </w:r>
      <w:r>
        <w:rPr>
          <w:rFonts w:hint="eastAsia" w:ascii="仿宋_GB2312" w:hAnsi="仿宋_GB2312" w:eastAsia="仿宋_GB2312" w:cs="仿宋_GB2312"/>
          <w:b/>
          <w:bCs/>
          <w:color w:val="000000"/>
          <w:sz w:val="24"/>
          <w:szCs w:val="24"/>
          <w:u w:val="single"/>
        </w:rPr>
        <w:t>整</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大写）</w:t>
      </w:r>
      <w:r>
        <w:rPr>
          <w:rFonts w:hint="eastAsia" w:ascii="仿宋_GB2312" w:hAnsi="仿宋_GB2312" w:eastAsia="仿宋_GB2312" w:cs="仿宋_GB2312"/>
          <w:b/>
          <w:bCs/>
          <w:color w:val="000000"/>
          <w:sz w:val="24"/>
          <w:szCs w:val="24"/>
          <w:u w:val="single"/>
          <w:lang w:val="en-US" w:eastAsia="zh-CN"/>
        </w:rPr>
        <w:t xml:space="preserve">       元整</w:t>
      </w:r>
      <w:r>
        <w:rPr>
          <w:rFonts w:hint="eastAsia" w:ascii="仿宋_GB2312" w:hAnsi="仿宋_GB2312" w:eastAsia="仿宋_GB2312" w:cs="仿宋_GB2312"/>
          <w:color w:val="000000"/>
          <w:sz w:val="24"/>
          <w:szCs w:val="24"/>
        </w:rPr>
        <w:t>；</w:t>
      </w:r>
    </w:p>
    <w:p>
      <w:pPr>
        <w:pStyle w:val="2"/>
        <w:keepNext w:val="0"/>
        <w:keepLines w:val="0"/>
        <w:pageBreakBefore w:val="0"/>
        <w:kinsoku/>
        <w:wordWrap/>
        <w:overflowPunct/>
        <w:topLinePunct w:val="0"/>
        <w:autoSpaceDE/>
        <w:autoSpaceDN/>
        <w:bidi w:val="0"/>
        <w:spacing w:after="0"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（3）第三期：完成《最终概念设计</w:t>
      </w:r>
      <w:r>
        <w:rPr>
          <w:rFonts w:hint="eastAsia" w:ascii="仿宋_GB2312" w:hAnsi="仿宋_GB2312" w:eastAsia="仿宋_GB2312" w:cs="仿宋_GB2312"/>
          <w:color w:val="000000"/>
          <w:sz w:val="24"/>
          <w:szCs w:val="24"/>
          <w:lang w:val="en-US" w:eastAsia="zh-CN"/>
        </w:rPr>
        <w:t>文件编制及汇报</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经甲方局领导专题会审议通过后</w:t>
      </w:r>
      <w:r>
        <w:rPr>
          <w:rFonts w:hint="eastAsia" w:ascii="仿宋_GB2312" w:hAnsi="仿宋_GB2312" w:eastAsia="仿宋_GB2312" w:cs="仿宋_GB2312"/>
          <w:color w:val="000000"/>
          <w:sz w:val="24"/>
          <w:szCs w:val="24"/>
        </w:rPr>
        <w:t>，支付合同总价款的</w:t>
      </w:r>
      <w:r>
        <w:rPr>
          <w:rFonts w:hint="eastAsia" w:ascii="仿宋_GB2312" w:hAnsi="仿宋_GB2312" w:eastAsia="仿宋_GB2312" w:cs="仿宋_GB2312"/>
          <w:color w:val="000000"/>
          <w:sz w:val="24"/>
          <w:szCs w:val="24"/>
          <w:lang w:val="en-US"/>
        </w:rPr>
        <w:t>3</w:t>
      </w:r>
      <w:r>
        <w:rPr>
          <w:rFonts w:hint="eastAsia" w:ascii="仿宋_GB2312" w:hAnsi="仿宋_GB2312" w:eastAsia="仿宋_GB2312" w:cs="仿宋_GB2312"/>
          <w:color w:val="000000"/>
          <w:sz w:val="24"/>
          <w:szCs w:val="24"/>
        </w:rPr>
        <w:t>0%，即人民币</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小写）</w:t>
      </w:r>
      <w:r>
        <w:rPr>
          <w:rFonts w:hint="eastAsia" w:ascii="仿宋_GB2312" w:hAnsi="仿宋_GB2312" w:eastAsia="仿宋_GB2312" w:cs="仿宋_GB2312"/>
          <w:b/>
          <w:bCs/>
          <w:color w:val="000000"/>
          <w:sz w:val="24"/>
          <w:szCs w:val="24"/>
          <w:u w:val="single"/>
        </w:rPr>
        <w:t>￥</w:t>
      </w:r>
      <w:r>
        <w:rPr>
          <w:rFonts w:hint="eastAsia" w:ascii="仿宋_GB2312" w:hAnsi="仿宋_GB2312" w:eastAsia="仿宋_GB2312" w:cs="仿宋_GB2312"/>
          <w:b/>
          <w:bCs/>
          <w:color w:val="000000"/>
          <w:sz w:val="24"/>
          <w:szCs w:val="24"/>
          <w:u w:val="single"/>
          <w:lang w:val="en-US" w:eastAsia="zh-CN"/>
        </w:rPr>
        <w:t xml:space="preserve">     元</w:t>
      </w:r>
      <w:r>
        <w:rPr>
          <w:rFonts w:hint="eastAsia" w:ascii="仿宋_GB2312" w:hAnsi="仿宋_GB2312" w:eastAsia="仿宋_GB2312" w:cs="仿宋_GB2312"/>
          <w:b/>
          <w:bCs/>
          <w:color w:val="000000"/>
          <w:sz w:val="24"/>
          <w:szCs w:val="24"/>
          <w:u w:val="single"/>
        </w:rPr>
        <w:t>整</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大写）</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b/>
          <w:bCs/>
          <w:color w:val="000000"/>
          <w:sz w:val="24"/>
          <w:szCs w:val="24"/>
          <w:u w:val="single"/>
          <w:lang w:val="en-US" w:eastAsia="zh-CN"/>
        </w:rPr>
        <w:t>元整</w:t>
      </w:r>
      <w:r>
        <w:rPr>
          <w:rFonts w:hint="eastAsia" w:ascii="仿宋_GB2312" w:hAnsi="仿宋_GB2312" w:eastAsia="仿宋_GB2312" w:cs="仿宋_GB2312"/>
          <w:color w:val="000000"/>
          <w:sz w:val="24"/>
          <w:szCs w:val="24"/>
        </w:rPr>
        <w:t>；</w:t>
      </w:r>
    </w:p>
    <w:p>
      <w:pPr>
        <w:pStyle w:val="2"/>
        <w:keepNext w:val="0"/>
        <w:keepLines w:val="0"/>
        <w:pageBreakBefore w:val="0"/>
        <w:kinsoku/>
        <w:wordWrap/>
        <w:overflowPunct/>
        <w:topLinePunct w:val="0"/>
        <w:autoSpaceDE/>
        <w:autoSpaceDN/>
        <w:bidi w:val="0"/>
        <w:spacing w:after="0"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（4）第四期：完成全部</w:t>
      </w:r>
      <w:r>
        <w:rPr>
          <w:rFonts w:hint="eastAsia" w:ascii="仿宋_GB2312" w:hAnsi="仿宋_GB2312" w:eastAsia="仿宋_GB2312" w:cs="仿宋_GB2312"/>
          <w:color w:val="000000"/>
          <w:sz w:val="24"/>
          <w:szCs w:val="24"/>
          <w:lang w:val="en-US" w:eastAsia="zh-CN"/>
        </w:rPr>
        <w:t>最终成果</w:t>
      </w:r>
      <w:r>
        <w:rPr>
          <w:rFonts w:hint="eastAsia" w:ascii="仿宋_GB2312" w:hAnsi="仿宋_GB2312" w:eastAsia="仿宋_GB2312" w:cs="仿宋_GB2312"/>
          <w:color w:val="000000"/>
          <w:sz w:val="24"/>
          <w:szCs w:val="24"/>
        </w:rPr>
        <w:t>内容</w:t>
      </w:r>
      <w:r>
        <w:rPr>
          <w:rFonts w:hint="eastAsia" w:ascii="仿宋_GB2312" w:hAnsi="仿宋_GB2312" w:eastAsia="仿宋_GB2312" w:cs="仿宋_GB2312"/>
          <w:color w:val="000000"/>
          <w:sz w:val="24"/>
          <w:szCs w:val="24"/>
          <w:lang w:val="en-US" w:eastAsia="zh-CN"/>
        </w:rPr>
        <w:t>和</w:t>
      </w:r>
      <w:r>
        <w:rPr>
          <w:rFonts w:hint="eastAsia" w:ascii="仿宋_GB2312" w:hAnsi="仿宋_GB2312" w:eastAsia="仿宋_GB2312" w:cs="仿宋_GB2312"/>
          <w:color w:val="000000"/>
          <w:sz w:val="24"/>
          <w:szCs w:val="24"/>
        </w:rPr>
        <w:t>提交全部成果文件，并通过</w:t>
      </w:r>
      <w:r>
        <w:rPr>
          <w:rFonts w:hint="eastAsia" w:ascii="仿宋_GB2312" w:hAnsi="仿宋_GB2312" w:eastAsia="仿宋_GB2312" w:cs="仿宋_GB2312"/>
          <w:color w:val="000000"/>
          <w:sz w:val="24"/>
          <w:szCs w:val="24"/>
          <w:lang w:val="en-US" w:eastAsia="zh-CN"/>
        </w:rPr>
        <w:t>甲方</w:t>
      </w:r>
      <w:r>
        <w:rPr>
          <w:rFonts w:hint="eastAsia" w:ascii="仿宋_GB2312" w:hAnsi="仿宋_GB2312" w:eastAsia="仿宋_GB2312" w:cs="仿宋_GB2312"/>
          <w:color w:val="000000"/>
          <w:sz w:val="24"/>
          <w:szCs w:val="24"/>
        </w:rPr>
        <w:t>验收合格后，支付合同总价款的</w:t>
      </w: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rPr>
        <w:t>0%，即人民币</w:t>
      </w:r>
      <w:r>
        <w:rPr>
          <w:rFonts w:hint="eastAsia" w:ascii="仿宋_GB2312" w:hAnsi="仿宋_GB2312" w:eastAsia="仿宋_GB2312" w:cs="仿宋_GB2312"/>
          <w:b/>
          <w:bCs/>
          <w:color w:val="000000"/>
          <w:sz w:val="24"/>
          <w:szCs w:val="24"/>
          <w:u w:val="single"/>
        </w:rPr>
        <w:t>￥</w:t>
      </w:r>
      <w:r>
        <w:rPr>
          <w:rFonts w:hint="eastAsia" w:ascii="仿宋_GB2312" w:hAnsi="仿宋_GB2312" w:eastAsia="仿宋_GB2312" w:cs="仿宋_GB2312"/>
          <w:b/>
          <w:bCs/>
          <w:color w:val="000000"/>
          <w:sz w:val="24"/>
          <w:szCs w:val="24"/>
          <w:u w:val="single"/>
          <w:lang w:val="en-US" w:eastAsia="zh-CN"/>
        </w:rPr>
        <w:t xml:space="preserve">     元</w:t>
      </w:r>
      <w:r>
        <w:rPr>
          <w:rFonts w:hint="eastAsia" w:ascii="仿宋_GB2312" w:hAnsi="仿宋_GB2312" w:eastAsia="仿宋_GB2312" w:cs="仿宋_GB2312"/>
          <w:b/>
          <w:bCs/>
          <w:color w:val="000000"/>
          <w:sz w:val="24"/>
          <w:szCs w:val="24"/>
          <w:u w:val="single"/>
        </w:rPr>
        <w:t>整</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大写）</w:t>
      </w:r>
      <w:r>
        <w:rPr>
          <w:rFonts w:hint="eastAsia" w:ascii="仿宋_GB2312" w:hAnsi="仿宋_GB2312" w:eastAsia="仿宋_GB2312" w:cs="仿宋_GB2312"/>
          <w:b/>
          <w:bCs/>
          <w:color w:val="000000"/>
          <w:sz w:val="24"/>
          <w:szCs w:val="24"/>
          <w:u w:val="single"/>
          <w:lang w:val="en-US" w:eastAsia="zh-CN"/>
        </w:rPr>
        <w:t xml:space="preserve">    元整</w:t>
      </w:r>
      <w:r>
        <w:rPr>
          <w:rFonts w:hint="eastAsia" w:ascii="仿宋_GB2312" w:hAnsi="仿宋_GB2312" w:eastAsia="仿宋_GB2312" w:cs="仿宋_GB2312"/>
          <w:color w:val="000000"/>
          <w:sz w:val="24"/>
          <w:szCs w:val="24"/>
        </w:rPr>
        <w:t>；</w:t>
      </w:r>
    </w:p>
    <w:p>
      <w:pPr>
        <w:pStyle w:val="2"/>
        <w:keepNext w:val="0"/>
        <w:keepLines w:val="0"/>
        <w:pageBreakBefore w:val="0"/>
        <w:kinsoku/>
        <w:wordWrap/>
        <w:overflowPunct/>
        <w:topLinePunct w:val="0"/>
        <w:autoSpaceDE/>
        <w:autoSpaceDN/>
        <w:bidi w:val="0"/>
        <w:spacing w:after="0"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2.2.</w:t>
      </w:r>
      <w:r>
        <w:rPr>
          <w:rFonts w:hint="eastAsia" w:ascii="仿宋_GB2312" w:hAnsi="仿宋_GB2312" w:eastAsia="仿宋_GB2312" w:cs="仿宋_GB2312"/>
          <w:color w:val="000000"/>
          <w:sz w:val="24"/>
          <w:szCs w:val="24"/>
        </w:rPr>
        <w:t>上述每期款项均在满足付款条件，且</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收到</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开具的载明相应金额的合格发票后15个工作日内付至</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指定银行账户。如未及时收到发票，则</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相应付款时间顺延。若因</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付款审批影响支付进度，请</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予以谅解，并不得就此向</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索赔。</w:t>
      </w:r>
    </w:p>
    <w:p>
      <w:pPr>
        <w:pStyle w:val="2"/>
        <w:keepNext w:val="0"/>
        <w:keepLines w:val="0"/>
        <w:pageBreakBefore w:val="0"/>
        <w:kinsoku/>
        <w:wordWrap/>
        <w:overflowPunct/>
        <w:topLinePunct w:val="0"/>
        <w:autoSpaceDE/>
        <w:autoSpaceDN/>
        <w:bidi w:val="0"/>
        <w:spacing w:after="0"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银行账户信息：</w:t>
      </w:r>
    </w:p>
    <w:p>
      <w:pPr>
        <w:pStyle w:val="2"/>
        <w:keepNext w:val="0"/>
        <w:keepLines w:val="0"/>
        <w:pageBreakBefore w:val="0"/>
        <w:kinsoku/>
        <w:wordWrap/>
        <w:overflowPunct/>
        <w:topLinePunct w:val="0"/>
        <w:autoSpaceDE/>
        <w:autoSpaceDN/>
        <w:bidi w:val="0"/>
        <w:spacing w:after="0"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开户银行： </w:t>
      </w:r>
    </w:p>
    <w:p>
      <w:pPr>
        <w:pStyle w:val="2"/>
        <w:keepNext w:val="0"/>
        <w:keepLines w:val="0"/>
        <w:pageBreakBefore w:val="0"/>
        <w:kinsoku/>
        <w:wordWrap/>
        <w:overflowPunct/>
        <w:topLinePunct w:val="0"/>
        <w:autoSpaceDE/>
        <w:autoSpaceDN/>
        <w:bidi w:val="0"/>
        <w:spacing w:after="0"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开</w:t>
      </w:r>
      <w:r>
        <w:rPr>
          <w:rFonts w:hint="eastAsia" w:ascii="仿宋_GB2312" w:hAnsi="仿宋_GB2312" w:eastAsia="仿宋_GB2312" w:cs="仿宋_GB2312"/>
          <w:color w:val="000000"/>
          <w:sz w:val="24"/>
          <w:szCs w:val="24"/>
        </w:rPr>
        <w:t>户名</w:t>
      </w:r>
      <w:r>
        <w:rPr>
          <w:rFonts w:hint="eastAsia" w:ascii="仿宋_GB2312" w:hAnsi="仿宋_GB2312" w:eastAsia="仿宋_GB2312" w:cs="仿宋_GB2312"/>
          <w:color w:val="000000"/>
          <w:sz w:val="24"/>
          <w:szCs w:val="24"/>
          <w:lang w:val="en-US" w:eastAsia="zh-CN"/>
        </w:rPr>
        <w:t>称</w:t>
      </w:r>
      <w:r>
        <w:rPr>
          <w:rFonts w:hint="eastAsia" w:ascii="仿宋_GB2312" w:hAnsi="仿宋_GB2312" w:eastAsia="仿宋_GB2312" w:cs="仿宋_GB2312"/>
          <w:color w:val="000000"/>
          <w:sz w:val="24"/>
          <w:szCs w:val="24"/>
        </w:rPr>
        <w:t>：</w:t>
      </w:r>
    </w:p>
    <w:p>
      <w:pPr>
        <w:pStyle w:val="2"/>
        <w:keepNext w:val="0"/>
        <w:keepLines w:val="0"/>
        <w:pageBreakBefore w:val="0"/>
        <w:kinsoku/>
        <w:wordWrap/>
        <w:overflowPunct/>
        <w:topLinePunct w:val="0"/>
        <w:autoSpaceDE/>
        <w:autoSpaceDN/>
        <w:bidi w:val="0"/>
        <w:spacing w:after="0"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银行</w:t>
      </w:r>
      <w:r>
        <w:rPr>
          <w:rFonts w:hint="eastAsia" w:ascii="仿宋_GB2312" w:hAnsi="仿宋_GB2312" w:eastAsia="仿宋_GB2312" w:cs="仿宋_GB2312"/>
          <w:color w:val="000000"/>
          <w:sz w:val="24"/>
          <w:szCs w:val="24"/>
        </w:rPr>
        <w:t>账号：</w:t>
      </w:r>
    </w:p>
    <w:p>
      <w:pPr>
        <w:keepNext w:val="0"/>
        <w:keepLines w:val="0"/>
        <w:pageBreakBefore w:val="0"/>
        <w:kinsoku/>
        <w:wordWrap/>
        <w:overflowPunct/>
        <w:topLinePunct w:val="0"/>
        <w:autoSpaceDE/>
        <w:autoSpaceDN/>
        <w:bidi w:val="0"/>
        <w:spacing w:line="400" w:lineRule="exact"/>
        <w:ind w:firstLine="482" w:firstLineChars="200"/>
        <w:outlineLvl w:val="1"/>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第十条 合同提前终止</w:t>
      </w:r>
    </w:p>
    <w:p>
      <w:pPr>
        <w:pStyle w:val="24"/>
        <w:keepNext w:val="0"/>
        <w:keepLines w:val="0"/>
        <w:pageBreakBefore w:val="0"/>
        <w:kinsoku/>
        <w:wordWrap/>
        <w:overflowPunct/>
        <w:topLinePunct w:val="0"/>
        <w:autoSpaceDE/>
        <w:autoSpaceDN/>
        <w:bidi w:val="0"/>
        <w:spacing w:line="400" w:lineRule="exact"/>
        <w:ind w:firstLine="48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rPr>
        <w:t>双方协商同意提前终止本合同的，按双方协商约定的方式进行清算执行。</w:t>
      </w:r>
    </w:p>
    <w:p>
      <w:pPr>
        <w:pStyle w:val="24"/>
        <w:keepNext w:val="0"/>
        <w:keepLines w:val="0"/>
        <w:pageBreakBefore w:val="0"/>
        <w:kinsoku/>
        <w:wordWrap/>
        <w:overflowPunct/>
        <w:topLinePunct w:val="0"/>
        <w:autoSpaceDE/>
        <w:autoSpaceDN/>
        <w:bidi w:val="0"/>
        <w:spacing w:line="400" w:lineRule="exact"/>
        <w:ind w:firstLine="48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如果一方发生破产、解散、被依法关闭、撤销或已进入清算阶段等情形，发生上述情形的一方有义务在事由发生后15个工作日内以书面方式通知对方，对方有权解除合同。在该等情形下，</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已向</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支付的款项不退还，并且</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应根据</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已进行的实际工作量支付相应阶段服务费用，同时</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应向</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提交在合同终止日前完成的所有项目文件和相关资料。</w:t>
      </w:r>
    </w:p>
    <w:p>
      <w:pPr>
        <w:pStyle w:val="24"/>
        <w:keepNext w:val="0"/>
        <w:keepLines w:val="0"/>
        <w:pageBreakBefore w:val="0"/>
        <w:kinsoku/>
        <w:wordWrap/>
        <w:overflowPunct/>
        <w:topLinePunct w:val="0"/>
        <w:autoSpaceDE/>
        <w:autoSpaceDN/>
        <w:bidi w:val="0"/>
        <w:spacing w:line="400" w:lineRule="exact"/>
        <w:ind w:firstLine="48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有下列情形之一的，本合同自</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向</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发出书面通知之日起终止：</w:t>
      </w:r>
    </w:p>
    <w:p>
      <w:pPr>
        <w:pStyle w:val="24"/>
        <w:keepNext w:val="0"/>
        <w:keepLines w:val="0"/>
        <w:pageBreakBefore w:val="0"/>
        <w:kinsoku/>
        <w:wordWrap/>
        <w:overflowPunct/>
        <w:topLinePunct w:val="0"/>
        <w:autoSpaceDE/>
        <w:autoSpaceDN/>
        <w:bidi w:val="0"/>
        <w:spacing w:line="400" w:lineRule="exact"/>
        <w:ind w:firstLine="48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的职能发生转变，不再具有委托职能。</w:t>
      </w:r>
    </w:p>
    <w:p>
      <w:pPr>
        <w:pStyle w:val="24"/>
        <w:keepNext w:val="0"/>
        <w:keepLines w:val="0"/>
        <w:pageBreakBefore w:val="0"/>
        <w:kinsoku/>
        <w:wordWrap/>
        <w:overflowPunct/>
        <w:topLinePunct w:val="0"/>
        <w:autoSpaceDE/>
        <w:autoSpaceDN/>
        <w:bidi w:val="0"/>
        <w:spacing w:line="400" w:lineRule="exact"/>
        <w:ind w:firstLine="48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本合同签订时适用的法律法规或政策发生变化，且对本合同的继续履行造成重大影响。</w:t>
      </w:r>
    </w:p>
    <w:p>
      <w:pPr>
        <w:pStyle w:val="24"/>
        <w:keepNext w:val="0"/>
        <w:keepLines w:val="0"/>
        <w:pageBreakBefore w:val="0"/>
        <w:kinsoku/>
        <w:wordWrap/>
        <w:overflowPunct/>
        <w:topLinePunct w:val="0"/>
        <w:autoSpaceDE/>
        <w:autoSpaceDN/>
        <w:bidi w:val="0"/>
        <w:spacing w:line="400" w:lineRule="exact"/>
        <w:ind w:firstLine="48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发生以上情形，</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已向</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支付的款项不退还，并且</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应根据</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已进行的实际工作量支付相应阶段服务费用，同时</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应向</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提交在合同终止日前完成的所有项目文件和相关资料。</w:t>
      </w:r>
    </w:p>
    <w:p>
      <w:pPr>
        <w:pStyle w:val="24"/>
        <w:keepNext w:val="0"/>
        <w:keepLines w:val="0"/>
        <w:pageBreakBefore w:val="0"/>
        <w:kinsoku/>
        <w:wordWrap/>
        <w:overflowPunct/>
        <w:topLinePunct w:val="0"/>
        <w:autoSpaceDE/>
        <w:autoSpaceDN/>
        <w:bidi w:val="0"/>
        <w:spacing w:line="400" w:lineRule="exact"/>
        <w:ind w:firstLine="48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如发生不可抗力或其他超出合同双方控制的事件，致使一方无法履行合同，本合同解除。</w:t>
      </w:r>
    </w:p>
    <w:p>
      <w:pPr>
        <w:pStyle w:val="24"/>
        <w:keepNext w:val="0"/>
        <w:keepLines w:val="0"/>
        <w:pageBreakBefore w:val="0"/>
        <w:kinsoku/>
        <w:wordWrap/>
        <w:overflowPunct/>
        <w:topLinePunct w:val="0"/>
        <w:autoSpaceDE/>
        <w:autoSpaceDN/>
        <w:bidi w:val="0"/>
        <w:spacing w:line="400" w:lineRule="exact"/>
        <w:ind w:firstLine="48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24"/>
        <w:keepNext w:val="0"/>
        <w:keepLines w:val="0"/>
        <w:pageBreakBefore w:val="0"/>
        <w:kinsoku/>
        <w:wordWrap/>
        <w:overflowPunct/>
        <w:topLinePunct w:val="0"/>
        <w:autoSpaceDE/>
        <w:autoSpaceDN/>
        <w:bidi w:val="0"/>
        <w:spacing w:line="400" w:lineRule="exact"/>
        <w:ind w:firstLine="48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发生不可抗力，甲乙双方承担各自的损失。由于其中一方迟延履行合同义务后发生不可抗力的，其违约责任不能免除。</w:t>
      </w:r>
    </w:p>
    <w:p>
      <w:pPr>
        <w:pStyle w:val="24"/>
        <w:keepNext w:val="0"/>
        <w:keepLines w:val="0"/>
        <w:pageBreakBefore w:val="0"/>
        <w:kinsoku/>
        <w:wordWrap/>
        <w:overflowPunct/>
        <w:topLinePunct w:val="0"/>
        <w:autoSpaceDE/>
        <w:autoSpaceDN/>
        <w:bidi w:val="0"/>
        <w:spacing w:line="400" w:lineRule="exact"/>
        <w:ind w:firstLine="48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不可抗力事件导致一方无法履行合同义务或继续履行已无意义，由双方协商终止本合同并进行清算，</w:t>
      </w:r>
      <w:r>
        <w:rPr>
          <w:rFonts w:hint="eastAsia" w:ascii="仿宋_GB2312" w:hAnsi="仿宋_GB2312" w:eastAsia="仿宋_GB2312" w:cs="仿宋_GB2312"/>
          <w:color w:val="000000"/>
          <w:sz w:val="24"/>
          <w:szCs w:val="24"/>
          <w:lang w:eastAsia="zh-CN"/>
        </w:rPr>
        <w:t>甲方</w:t>
      </w:r>
      <w:r>
        <w:rPr>
          <w:rFonts w:hint="eastAsia" w:ascii="华文仿宋" w:hAnsi="华文仿宋" w:eastAsia="华文仿宋" w:cs="华文仿宋"/>
          <w:color w:val="000000"/>
          <w:sz w:val="24"/>
          <w:szCs w:val="24"/>
        </w:rPr>
        <w:t>已向</w:t>
      </w:r>
      <w:r>
        <w:rPr>
          <w:rFonts w:hint="eastAsia" w:ascii="华文仿宋" w:hAnsi="华文仿宋" w:eastAsia="华文仿宋" w:cs="华文仿宋"/>
          <w:color w:val="000000"/>
          <w:sz w:val="24"/>
          <w:szCs w:val="24"/>
          <w:lang w:eastAsia="zh-CN"/>
        </w:rPr>
        <w:t>乙方</w:t>
      </w:r>
      <w:r>
        <w:rPr>
          <w:rFonts w:hint="eastAsia" w:ascii="华文仿宋" w:hAnsi="华文仿宋" w:eastAsia="华文仿宋" w:cs="华文仿宋"/>
          <w:color w:val="000000"/>
          <w:sz w:val="24"/>
          <w:szCs w:val="24"/>
        </w:rPr>
        <w:t>支付的款项不退还，并且</w:t>
      </w:r>
      <w:r>
        <w:rPr>
          <w:rFonts w:hint="eastAsia" w:ascii="华文仿宋" w:hAnsi="华文仿宋" w:eastAsia="华文仿宋" w:cs="华文仿宋"/>
          <w:color w:val="000000"/>
          <w:sz w:val="24"/>
          <w:szCs w:val="24"/>
          <w:lang w:eastAsia="zh-CN"/>
        </w:rPr>
        <w:t>甲方</w:t>
      </w:r>
      <w:r>
        <w:rPr>
          <w:rFonts w:hint="eastAsia" w:ascii="仿宋_GB2312" w:hAnsi="仿宋_GB2312" w:eastAsia="仿宋_GB2312" w:cs="仿宋_GB2312"/>
          <w:color w:val="000000"/>
          <w:sz w:val="24"/>
          <w:szCs w:val="24"/>
        </w:rPr>
        <w:t>应按照</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已完成的工作量支付</w:t>
      </w:r>
      <w:r>
        <w:rPr>
          <w:rFonts w:hint="eastAsia" w:ascii="仿宋_GB2312" w:hAnsi="仿宋_GB2312" w:eastAsia="仿宋_GB2312" w:cs="仿宋_GB2312"/>
          <w:color w:val="000000"/>
          <w:sz w:val="24"/>
          <w:szCs w:val="24"/>
          <w:lang w:val="en-US" w:eastAsia="zh-CN"/>
        </w:rPr>
        <w:t>相应阶段</w:t>
      </w:r>
      <w:r>
        <w:rPr>
          <w:rFonts w:hint="eastAsia" w:ascii="仿宋_GB2312" w:hAnsi="仿宋_GB2312" w:eastAsia="仿宋_GB2312" w:cs="仿宋_GB2312"/>
          <w:color w:val="000000"/>
          <w:sz w:val="24"/>
          <w:szCs w:val="24"/>
        </w:rPr>
        <w:t>款项，同时</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应向</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提交在合同终止日前完成的所有项目文件和相关资料。</w:t>
      </w:r>
    </w:p>
    <w:p>
      <w:pPr>
        <w:pStyle w:val="24"/>
        <w:keepNext w:val="0"/>
        <w:keepLines w:val="0"/>
        <w:pageBreakBefore w:val="0"/>
        <w:kinsoku/>
        <w:wordWrap/>
        <w:overflowPunct/>
        <w:topLinePunct w:val="0"/>
        <w:autoSpaceDE/>
        <w:autoSpaceDN/>
        <w:bidi w:val="0"/>
        <w:spacing w:line="400" w:lineRule="exact"/>
        <w:ind w:firstLine="48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5．在合同签订后，非因</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原因导致合同终止或解除的，不退还</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在本合同下已经支付的任何费用，并且</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应根据</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已进行的实际工作量支付相应阶段服务费用，不足一半时，按该阶段设计咨询服务费的一半支付；超过一半时，按该阶段设计咨询服务费的全部支付。</w:t>
      </w:r>
    </w:p>
    <w:p>
      <w:pPr>
        <w:keepNext w:val="0"/>
        <w:keepLines w:val="0"/>
        <w:pageBreakBefore w:val="0"/>
        <w:kinsoku/>
        <w:wordWrap/>
        <w:overflowPunct/>
        <w:topLinePunct w:val="0"/>
        <w:autoSpaceDE/>
        <w:autoSpaceDN/>
        <w:bidi w:val="0"/>
        <w:spacing w:line="400" w:lineRule="exact"/>
        <w:ind w:firstLine="482" w:firstLineChars="200"/>
        <w:outlineLvl w:val="1"/>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第十</w:t>
      </w:r>
      <w:r>
        <w:rPr>
          <w:rFonts w:hint="eastAsia" w:ascii="仿宋_GB2312" w:hAnsi="仿宋_GB2312" w:eastAsia="仿宋_GB2312" w:cs="仿宋_GB2312"/>
          <w:b/>
          <w:bCs/>
          <w:color w:val="000000"/>
          <w:sz w:val="24"/>
          <w:szCs w:val="24"/>
          <w:lang w:val="en-US" w:eastAsia="zh-CN"/>
        </w:rPr>
        <w:t>一</w:t>
      </w:r>
      <w:r>
        <w:rPr>
          <w:rFonts w:hint="eastAsia" w:ascii="仿宋_GB2312" w:hAnsi="仿宋_GB2312" w:eastAsia="仿宋_GB2312" w:cs="仿宋_GB2312"/>
          <w:b/>
          <w:bCs/>
          <w:color w:val="000000"/>
          <w:sz w:val="24"/>
          <w:szCs w:val="24"/>
        </w:rPr>
        <w:t>条  争议解决办法</w:t>
      </w:r>
    </w:p>
    <w:p>
      <w:pPr>
        <w:keepNext w:val="0"/>
        <w:keepLines w:val="0"/>
        <w:pageBreakBefore w:val="0"/>
        <w:kinsoku/>
        <w:wordWrap/>
        <w:overflowPunct/>
        <w:topLinePunct w:val="0"/>
        <w:autoSpaceDE/>
        <w:autoSpaceDN/>
        <w:bidi w:val="0"/>
        <w:snapToGrid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因本合同的履行发生的或与本合同有关的争议或纠纷，由甲乙双方协商解决。协商不成的，</w:t>
      </w:r>
      <w:r>
        <w:rPr>
          <w:rFonts w:hint="eastAsia" w:ascii="仿宋_GB2312" w:hAnsi="仿宋_GB2312" w:eastAsia="仿宋_GB2312" w:cs="仿宋_GB2312"/>
          <w:color w:val="000000"/>
          <w:sz w:val="24"/>
          <w:szCs w:val="24"/>
          <w:lang w:eastAsia="zh-CN"/>
        </w:rPr>
        <w:t>双方同意将争议提交</w:t>
      </w:r>
      <w:r>
        <w:rPr>
          <w:rFonts w:hint="eastAsia" w:ascii="仿宋_GB2312" w:hAnsi="仿宋_GB2312" w:eastAsia="仿宋_GB2312" w:cs="仿宋_GB2312"/>
          <w:color w:val="000000"/>
          <w:sz w:val="24"/>
          <w:szCs w:val="24"/>
        </w:rPr>
        <w:t>深圳前海合作区人民法院</w:t>
      </w:r>
      <w:r>
        <w:rPr>
          <w:rFonts w:hint="eastAsia" w:ascii="仿宋_GB2312" w:hAnsi="仿宋_GB2312" w:eastAsia="仿宋_GB2312" w:cs="仿宋_GB2312"/>
          <w:color w:val="000000"/>
          <w:sz w:val="24"/>
          <w:szCs w:val="24"/>
          <w:lang w:eastAsia="zh-CN"/>
        </w:rPr>
        <w:t>通过</w:t>
      </w:r>
      <w:r>
        <w:rPr>
          <w:rFonts w:hint="eastAsia" w:ascii="仿宋_GB2312" w:hAnsi="仿宋_GB2312" w:eastAsia="仿宋_GB2312" w:cs="仿宋_GB2312"/>
          <w:color w:val="000000"/>
          <w:sz w:val="24"/>
          <w:szCs w:val="24"/>
        </w:rPr>
        <w:t>诉讼</w:t>
      </w:r>
      <w:r>
        <w:rPr>
          <w:rFonts w:hint="eastAsia" w:ascii="仿宋_GB2312" w:hAnsi="仿宋_GB2312" w:eastAsia="仿宋_GB2312" w:cs="仿宋_GB2312"/>
          <w:color w:val="000000"/>
          <w:sz w:val="24"/>
          <w:szCs w:val="24"/>
          <w:lang w:eastAsia="zh-CN"/>
        </w:rPr>
        <w:t>解决</w:t>
      </w:r>
      <w:r>
        <w:rPr>
          <w:rFonts w:hint="eastAsia" w:ascii="仿宋_GB2312" w:hAnsi="仿宋_GB2312" w:eastAsia="仿宋_GB2312" w:cs="仿宋_GB2312"/>
          <w:color w:val="000000"/>
          <w:sz w:val="24"/>
        </w:rPr>
        <w:t>，包括律师费、鉴定费、翻译费、诉讼费在内的各项费用应当由败诉方承担</w:t>
      </w:r>
      <w:r>
        <w:rPr>
          <w:rFonts w:hint="eastAsia" w:ascii="仿宋_GB2312" w:hAnsi="仿宋_GB2312" w:eastAsia="仿宋_GB2312" w:cs="仿宋_GB2312"/>
          <w:color w:val="000000"/>
          <w:sz w:val="24"/>
          <w:szCs w:val="24"/>
        </w:rPr>
        <w:t>。</w:t>
      </w:r>
    </w:p>
    <w:p>
      <w:pPr>
        <w:keepNext w:val="0"/>
        <w:keepLines w:val="0"/>
        <w:pageBreakBefore w:val="0"/>
        <w:numPr>
          <w:ilvl w:val="0"/>
          <w:numId w:val="0"/>
        </w:numPr>
        <w:kinsoku/>
        <w:wordWrap/>
        <w:overflowPunct/>
        <w:topLinePunct w:val="0"/>
        <w:autoSpaceDE/>
        <w:autoSpaceDN/>
        <w:bidi w:val="0"/>
        <w:spacing w:line="400" w:lineRule="exact"/>
        <w:ind w:firstLine="482" w:firstLineChars="200"/>
        <w:outlineLvl w:val="1"/>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第十</w:t>
      </w:r>
      <w:r>
        <w:rPr>
          <w:rFonts w:hint="eastAsia" w:ascii="仿宋_GB2312" w:hAnsi="仿宋_GB2312" w:eastAsia="仿宋_GB2312" w:cs="仿宋_GB2312"/>
          <w:b/>
          <w:bCs/>
          <w:color w:val="000000"/>
          <w:sz w:val="24"/>
          <w:szCs w:val="24"/>
          <w:lang w:val="en-US" w:eastAsia="zh-CN"/>
        </w:rPr>
        <w:t>二</w:t>
      </w:r>
      <w:r>
        <w:rPr>
          <w:rFonts w:hint="eastAsia" w:ascii="仿宋_GB2312" w:hAnsi="仿宋_GB2312" w:eastAsia="仿宋_GB2312" w:cs="仿宋_GB2312"/>
          <w:b/>
          <w:bCs/>
          <w:color w:val="000000"/>
          <w:sz w:val="24"/>
          <w:szCs w:val="24"/>
        </w:rPr>
        <w:t>条</w:t>
      </w:r>
      <w:r>
        <w:rPr>
          <w:rFonts w:hint="eastAsia" w:ascii="仿宋_GB2312" w:hAnsi="仿宋_GB2312" w:eastAsia="仿宋_GB2312" w:cs="仿宋_GB2312"/>
          <w:b/>
          <w:bCs/>
          <w:color w:val="000000"/>
          <w:sz w:val="24"/>
          <w:szCs w:val="24"/>
          <w:lang w:val="en-US" w:eastAsia="zh-CN"/>
        </w:rPr>
        <w:t xml:space="preserve">  </w:t>
      </w:r>
      <w:r>
        <w:rPr>
          <w:rFonts w:hint="eastAsia" w:ascii="仿宋_GB2312" w:hAnsi="仿宋_GB2312" w:eastAsia="仿宋_GB2312" w:cs="仿宋_GB2312"/>
          <w:b/>
          <w:bCs/>
          <w:color w:val="000000"/>
          <w:sz w:val="24"/>
          <w:szCs w:val="24"/>
        </w:rPr>
        <w:t>项目变更</w:t>
      </w:r>
    </w:p>
    <w:p>
      <w:pPr>
        <w:keepNext w:val="0"/>
        <w:keepLines w:val="0"/>
        <w:pageBreakBefore w:val="0"/>
        <w:kinsoku/>
        <w:wordWrap/>
        <w:overflowPunct/>
        <w:topLinePunct w:val="0"/>
        <w:autoSpaceDE/>
        <w:autoSpaceDN/>
        <w:bidi w:val="0"/>
        <w:snapToGrid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本合同履行过程中的需求变更和进度调整，以甲乙双方达成一致的书面文件为准。</w:t>
      </w:r>
    </w:p>
    <w:p>
      <w:pPr>
        <w:keepNext w:val="0"/>
        <w:keepLines w:val="0"/>
        <w:pageBreakBefore w:val="0"/>
        <w:kinsoku/>
        <w:wordWrap/>
        <w:overflowPunct/>
        <w:topLinePunct w:val="0"/>
        <w:autoSpaceDE/>
        <w:autoSpaceDN/>
        <w:bidi w:val="0"/>
        <w:snapToGrid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遇到不能按时交货或按期完工的情况，应及时以书面形式将不能按时完工的理由、延误时间通知</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在收到</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通知后，根据情况决定是否延长完成时间。如同意延长，则</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责任期也相应延长。</w:t>
      </w:r>
    </w:p>
    <w:p>
      <w:pPr>
        <w:keepNext w:val="0"/>
        <w:keepLines w:val="0"/>
        <w:pageBreakBefore w:val="0"/>
        <w:kinsoku/>
        <w:wordWrap/>
        <w:overflowPunct/>
        <w:topLinePunct w:val="0"/>
        <w:autoSpaceDE/>
        <w:autoSpaceDN/>
        <w:bidi w:val="0"/>
        <w:snapToGrid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因非</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责任造成项目进度推迟或延误，无法按照合同约定的日期完成相应的项目，双方经过协商可以进一步约定完成的日期，</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的责任期也随之顺延。</w:t>
      </w:r>
    </w:p>
    <w:p>
      <w:pPr>
        <w:keepNext w:val="0"/>
        <w:keepLines w:val="0"/>
        <w:pageBreakBefore w:val="0"/>
        <w:kinsoku/>
        <w:wordWrap/>
        <w:overflowPunct/>
        <w:topLinePunct w:val="0"/>
        <w:autoSpaceDE/>
        <w:autoSpaceDN/>
        <w:bidi w:val="0"/>
        <w:snapToGrid w:val="0"/>
        <w:spacing w:line="400" w:lineRule="exact"/>
        <w:ind w:firstLine="480" w:firstLineChars="200"/>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4</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在合同所约定的工作范畴内的服务，本合同价格不予变更</w:t>
      </w:r>
      <w:r>
        <w:rPr>
          <w:rFonts w:hint="eastAsia" w:ascii="仿宋_GB2312" w:hAnsi="仿宋_GB2312" w:eastAsia="仿宋_GB2312" w:cs="仿宋_GB2312"/>
          <w:color w:val="000000"/>
          <w:sz w:val="24"/>
          <w:szCs w:val="24"/>
          <w:lang w:eastAsia="zh-CN"/>
        </w:rPr>
        <w:t>。</w:t>
      </w:r>
    </w:p>
    <w:p>
      <w:pPr>
        <w:keepNext w:val="0"/>
        <w:keepLines w:val="0"/>
        <w:pageBreakBefore w:val="0"/>
        <w:numPr>
          <w:ilvl w:val="0"/>
          <w:numId w:val="0"/>
        </w:numPr>
        <w:kinsoku/>
        <w:wordWrap/>
        <w:overflowPunct/>
        <w:topLinePunct w:val="0"/>
        <w:autoSpaceDE/>
        <w:autoSpaceDN/>
        <w:bidi w:val="0"/>
        <w:spacing w:line="400" w:lineRule="exact"/>
        <w:ind w:firstLine="482" w:firstLineChars="200"/>
        <w:outlineLvl w:val="1"/>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第十</w:t>
      </w:r>
      <w:r>
        <w:rPr>
          <w:rFonts w:hint="eastAsia" w:ascii="仿宋_GB2312" w:hAnsi="仿宋_GB2312" w:eastAsia="仿宋_GB2312" w:cs="仿宋_GB2312"/>
          <w:b/>
          <w:bCs/>
          <w:color w:val="000000"/>
          <w:sz w:val="24"/>
          <w:szCs w:val="24"/>
          <w:lang w:val="en-US" w:eastAsia="zh-CN"/>
        </w:rPr>
        <w:t>三</w:t>
      </w:r>
      <w:r>
        <w:rPr>
          <w:rFonts w:hint="eastAsia" w:ascii="仿宋_GB2312" w:hAnsi="仿宋_GB2312" w:eastAsia="仿宋_GB2312" w:cs="仿宋_GB2312"/>
          <w:b/>
          <w:bCs/>
          <w:color w:val="000000"/>
          <w:sz w:val="24"/>
          <w:szCs w:val="24"/>
        </w:rPr>
        <w:t>条</w:t>
      </w:r>
      <w:r>
        <w:rPr>
          <w:rFonts w:hint="eastAsia" w:ascii="仿宋_GB2312" w:hAnsi="仿宋_GB2312" w:eastAsia="仿宋_GB2312" w:cs="仿宋_GB2312"/>
          <w:b/>
          <w:bCs/>
          <w:color w:val="000000"/>
          <w:sz w:val="24"/>
          <w:szCs w:val="24"/>
          <w:lang w:val="en-US" w:eastAsia="zh-CN"/>
        </w:rPr>
        <w:t xml:space="preserve">  </w:t>
      </w:r>
      <w:r>
        <w:rPr>
          <w:rFonts w:hint="eastAsia" w:ascii="仿宋_GB2312" w:hAnsi="仿宋_GB2312" w:eastAsia="仿宋_GB2312" w:cs="仿宋_GB2312"/>
          <w:b/>
          <w:bCs/>
          <w:color w:val="000000"/>
          <w:sz w:val="24"/>
          <w:szCs w:val="24"/>
        </w:rPr>
        <w:t>风险责任</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应完全地按照【】号招标文件的要求和</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投标文件的承诺完成本项目，出于自身财务、技术、人力等原因导致项目失败的，应承担全部责任。</w:t>
      </w:r>
    </w:p>
    <w:p>
      <w:pPr>
        <w:keepNext w:val="0"/>
        <w:keepLines w:val="0"/>
        <w:pageBreakBefore w:val="0"/>
        <w:kinsoku/>
        <w:wordWrap/>
        <w:overflowPunct/>
        <w:topLinePunct w:val="0"/>
        <w:autoSpaceDE/>
        <w:autoSpaceDN/>
        <w:bidi w:val="0"/>
        <w:spacing w:line="400" w:lineRule="exact"/>
        <w:ind w:firstLine="482" w:firstLineChars="200"/>
        <w:outlineLvl w:val="1"/>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第十</w:t>
      </w:r>
      <w:r>
        <w:rPr>
          <w:rFonts w:hint="eastAsia" w:ascii="仿宋_GB2312" w:hAnsi="仿宋_GB2312" w:eastAsia="仿宋_GB2312" w:cs="仿宋_GB2312"/>
          <w:b/>
          <w:bCs/>
          <w:color w:val="000000"/>
          <w:sz w:val="24"/>
          <w:szCs w:val="24"/>
          <w:lang w:val="en-US" w:eastAsia="zh-CN"/>
        </w:rPr>
        <w:t>四</w:t>
      </w:r>
      <w:r>
        <w:rPr>
          <w:rFonts w:hint="eastAsia" w:ascii="仿宋_GB2312" w:hAnsi="仿宋_GB2312" w:eastAsia="仿宋_GB2312" w:cs="仿宋_GB2312"/>
          <w:b/>
          <w:bCs/>
          <w:color w:val="000000"/>
          <w:sz w:val="24"/>
          <w:szCs w:val="24"/>
        </w:rPr>
        <w:t>条  违约责任</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1.如</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未按照合同约定的时间完成本项目各阶段工作，且未经</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书面同意延长服务成果完成期限的，每迟延一日，</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有权自尚未支付的合同款项中扣除</w:t>
      </w:r>
      <w:r>
        <w:rPr>
          <w:rFonts w:hint="eastAsia" w:ascii="仿宋_GB2312" w:hAnsi="仿宋_GB2312" w:eastAsia="仿宋_GB2312" w:cs="仿宋_GB2312"/>
          <w:color w:val="000000"/>
          <w:sz w:val="24"/>
          <w:szCs w:val="24"/>
          <w:lang w:val="en-US" w:eastAsia="zh-CN"/>
        </w:rPr>
        <w:t>本阶段</w:t>
      </w:r>
      <w:r>
        <w:rPr>
          <w:rFonts w:hint="eastAsia" w:ascii="仿宋_GB2312" w:hAnsi="仿宋_GB2312" w:eastAsia="仿宋_GB2312" w:cs="仿宋_GB2312"/>
          <w:color w:val="000000"/>
          <w:sz w:val="24"/>
          <w:szCs w:val="24"/>
        </w:rPr>
        <w:t>合同服务费总金额的1‰的逾期违约金</w:t>
      </w:r>
      <w:r>
        <w:rPr>
          <w:rFonts w:hint="eastAsia" w:ascii="仿宋_GB2312" w:hAnsi="仿宋_GB2312" w:eastAsia="仿宋_GB2312" w:cs="仿宋_GB2312"/>
          <w:color w:val="000000"/>
          <w:sz w:val="24"/>
        </w:rPr>
        <w:t>，违约金累计以本阶段服务费的 10% 为上限</w:t>
      </w:r>
      <w:r>
        <w:rPr>
          <w:rFonts w:hint="eastAsia" w:ascii="仿宋_GB2312" w:hAnsi="仿宋_GB2312" w:eastAsia="仿宋_GB2312" w:cs="仿宋_GB2312"/>
          <w:color w:val="000000"/>
          <w:sz w:val="24"/>
          <w:szCs w:val="24"/>
        </w:rPr>
        <w:t>。</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2.合同项下的工作内容不可分割，任一文件的迟延交付均视为整个项目的迟延交付。</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3.合同履行期间，发生下述情形时，</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有权解除合同，</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除应退还</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已支付的全部款项外, 还应在合同解除通知发出之日起 10 日内向</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支付合同总价款</w:t>
      </w: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rPr>
        <w:t>0%的违约金。</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应同时将已完成的项目成果移交给</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，并将全部有关资料退还</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未能按合同约定的日期(含协商延缓的日期)提交成果，</w:t>
      </w:r>
      <w:r>
        <w:rPr>
          <w:rFonts w:hint="eastAsia" w:ascii="华文仿宋" w:hAnsi="华文仿宋" w:eastAsia="华文仿宋" w:cs="华文仿宋"/>
          <w:color w:val="000000"/>
          <w:sz w:val="24"/>
        </w:rPr>
        <w:t>经催告后仍</w:t>
      </w:r>
      <w:r>
        <w:rPr>
          <w:rFonts w:hint="eastAsia" w:ascii="仿宋_GB2312" w:hAnsi="仿宋_GB2312" w:eastAsia="仿宋_GB2312" w:cs="仿宋_GB2312"/>
          <w:color w:val="000000"/>
          <w:sz w:val="24"/>
          <w:szCs w:val="24"/>
        </w:rPr>
        <w:t>延误时间超过 15 个工作日；</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2）因</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工作的错误或遗漏造成成果质量不符合合同要求，且</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未按</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要求采取及时有效的补救措施的；</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）未经</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书面在先同意，</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擅自将合同项目与任何第三方合作，或将合同标的全部或部分擅自转包或分包给任何第三方，且未按</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的要求终止与第三方的协议的；</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）项目负责人未承担合同项目实质性工作，或未经</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书面在先同意，</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擅自更换项目负责人的</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乙方</w:t>
      </w:r>
      <w:r>
        <w:rPr>
          <w:rFonts w:hint="eastAsia" w:ascii="仿宋_GB2312" w:hAnsi="仿宋_GB2312" w:eastAsia="仿宋_GB2312" w:cs="仿宋_GB2312"/>
          <w:color w:val="000000"/>
          <w:sz w:val="24"/>
        </w:rPr>
        <w:t>人员因离职、重病、伤残、死亡或不可抗力等原因外需要更换团队成员的除外）</w:t>
      </w:r>
      <w:r>
        <w:rPr>
          <w:rFonts w:hint="eastAsia" w:ascii="仿宋_GB2312" w:hAnsi="仿宋_GB2312" w:eastAsia="仿宋_GB2312" w:cs="仿宋_GB2312"/>
          <w:color w:val="000000"/>
          <w:sz w:val="24"/>
          <w:szCs w:val="24"/>
        </w:rPr>
        <w:t>；</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5</w:t>
      </w:r>
      <w:r>
        <w:rPr>
          <w:rFonts w:hint="eastAsia" w:ascii="仿宋_GB2312" w:hAnsi="仿宋_GB2312" w:eastAsia="仿宋_GB2312" w:cs="仿宋_GB2312"/>
          <w:color w:val="000000"/>
          <w:sz w:val="24"/>
          <w:szCs w:val="24"/>
        </w:rPr>
        <w:t>）发现</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或</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工作人员出现全部或部分丧失履行委托服务能力的情况，</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有权通知</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限期整改或更换工作人员，期限届满</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并未进行改善的；</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6</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明确表示或者以自己的行为表明不履行合同的。</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4.如</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未按照合同约定的时间支付服务费，</w:t>
      </w:r>
      <w:r>
        <w:rPr>
          <w:rFonts w:hint="eastAsia" w:ascii="仿宋_GB2312" w:hAnsi="仿宋_GB2312" w:eastAsia="仿宋_GB2312" w:cs="仿宋_GB2312"/>
          <w:color w:val="000000"/>
          <w:sz w:val="24"/>
          <w:lang w:eastAsia="zh-CN"/>
        </w:rPr>
        <w:t>乙方</w:t>
      </w:r>
      <w:r>
        <w:rPr>
          <w:rFonts w:hint="eastAsia" w:ascii="仿宋_GB2312" w:hAnsi="仿宋_GB2312" w:eastAsia="仿宋_GB2312" w:cs="仿宋_GB2312"/>
          <w:color w:val="000000"/>
          <w:sz w:val="24"/>
        </w:rPr>
        <w:t>交付工作成果的时间应予顺延，</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书面催告</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并给予不少于30 个工作日的履行期限后</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仍未支付的，</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有权自该期限届满之日起要求</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支付该阶段应付而未付合同价款每日 1‰的逾期违约金</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乙方</w:t>
      </w:r>
      <w:r>
        <w:rPr>
          <w:rFonts w:hint="eastAsia" w:ascii="仿宋_GB2312" w:hAnsi="仿宋_GB2312" w:eastAsia="仿宋_GB2312" w:cs="仿宋_GB2312"/>
          <w:color w:val="000000"/>
          <w:sz w:val="24"/>
        </w:rPr>
        <w:t>有权暂停履行下阶段工作，并书面通知</w:t>
      </w:r>
      <w:r>
        <w:rPr>
          <w:rFonts w:hint="eastAsia" w:ascii="仿宋_GB2312" w:hAnsi="仿宋_GB2312" w:eastAsia="仿宋_GB2312" w:cs="仿宋_GB2312"/>
          <w:color w:val="000000"/>
          <w:sz w:val="24"/>
          <w:lang w:eastAsia="zh-CN"/>
        </w:rPr>
        <w:t>甲方</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甲方</w:t>
      </w:r>
      <w:r>
        <w:rPr>
          <w:rFonts w:hint="eastAsia" w:ascii="仿宋_GB2312" w:hAnsi="仿宋_GB2312" w:eastAsia="仿宋_GB2312" w:cs="仿宋_GB2312"/>
          <w:color w:val="000000"/>
          <w:sz w:val="24"/>
        </w:rPr>
        <w:t>不得要求保留原设计</w:t>
      </w:r>
      <w:r>
        <w:rPr>
          <w:rFonts w:hint="eastAsia" w:ascii="仿宋_GB2312" w:hAnsi="仿宋_GB2312" w:eastAsia="仿宋_GB2312" w:cs="仿宋_GB2312"/>
          <w:color w:val="000000"/>
          <w:sz w:val="24"/>
          <w:lang w:val="en-US" w:eastAsia="zh-CN"/>
        </w:rPr>
        <w:t>团队</w:t>
      </w:r>
      <w:r>
        <w:rPr>
          <w:rFonts w:hint="eastAsia" w:ascii="仿宋_GB2312" w:hAnsi="仿宋_GB2312" w:eastAsia="仿宋_GB2312" w:cs="仿宋_GB2312"/>
          <w:color w:val="000000"/>
          <w:sz w:val="24"/>
          <w:szCs w:val="24"/>
        </w:rPr>
        <w:t>。如</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无正当理由拒绝接受服务，到期明确表示拒付服务款项，</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有权要求</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支付合同项下服务费总金额 5%的违约金</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lang w:eastAsia="zh-CN"/>
        </w:rPr>
        <w:t>乙方</w:t>
      </w:r>
      <w:r>
        <w:rPr>
          <w:rFonts w:hint="eastAsia" w:ascii="仿宋_GB2312" w:hAnsi="仿宋_GB2312" w:eastAsia="仿宋_GB2312" w:cs="仿宋_GB2312"/>
          <w:color w:val="000000"/>
          <w:sz w:val="24"/>
        </w:rPr>
        <w:t>提交各阶段成果2个月内，非</w:t>
      </w:r>
      <w:r>
        <w:rPr>
          <w:rFonts w:hint="eastAsia" w:ascii="仿宋_GB2312" w:hAnsi="仿宋_GB2312" w:eastAsia="仿宋_GB2312" w:cs="仿宋_GB2312"/>
          <w:color w:val="000000"/>
          <w:sz w:val="24"/>
          <w:lang w:eastAsia="zh-CN"/>
        </w:rPr>
        <w:t>乙方</w:t>
      </w:r>
      <w:r>
        <w:rPr>
          <w:rFonts w:hint="eastAsia" w:ascii="仿宋_GB2312" w:hAnsi="仿宋_GB2312" w:eastAsia="仿宋_GB2312" w:cs="仿宋_GB2312"/>
          <w:color w:val="000000"/>
          <w:sz w:val="24"/>
        </w:rPr>
        <w:t>原因的情况下</w:t>
      </w:r>
      <w:r>
        <w:rPr>
          <w:rFonts w:hint="eastAsia" w:ascii="仿宋_GB2312" w:hAnsi="仿宋_GB2312" w:eastAsia="仿宋_GB2312" w:cs="仿宋_GB2312"/>
          <w:color w:val="000000"/>
          <w:sz w:val="24"/>
          <w:lang w:eastAsia="zh-CN"/>
        </w:rPr>
        <w:t>甲方</w:t>
      </w:r>
      <w:r>
        <w:rPr>
          <w:rFonts w:hint="eastAsia" w:ascii="仿宋_GB2312" w:hAnsi="仿宋_GB2312" w:eastAsia="仿宋_GB2312" w:cs="仿宋_GB2312"/>
          <w:color w:val="000000"/>
          <w:sz w:val="24"/>
        </w:rPr>
        <w:t>未提交</w:t>
      </w:r>
      <w:r>
        <w:rPr>
          <w:rFonts w:hint="eastAsia" w:ascii="仿宋_GB2312" w:hAnsi="仿宋_GB2312" w:eastAsia="仿宋_GB2312" w:cs="仿宋_GB2312"/>
          <w:color w:val="000000"/>
          <w:sz w:val="24"/>
          <w:lang w:eastAsia="zh-CN"/>
        </w:rPr>
        <w:t>甲方</w:t>
      </w:r>
      <w:r>
        <w:rPr>
          <w:rFonts w:hint="eastAsia" w:ascii="仿宋_GB2312" w:hAnsi="仿宋_GB2312" w:eastAsia="仿宋_GB2312" w:cs="仿宋_GB2312"/>
          <w:color w:val="000000"/>
          <w:sz w:val="24"/>
        </w:rPr>
        <w:t>上级或相关部门审批、相关部门不审批或未报批通过，或本合同项目停缓建的，均不应构成</w:t>
      </w:r>
      <w:r>
        <w:rPr>
          <w:rFonts w:hint="eastAsia" w:ascii="仿宋_GB2312" w:hAnsi="仿宋_GB2312" w:eastAsia="仿宋_GB2312" w:cs="仿宋_GB2312"/>
          <w:color w:val="000000"/>
          <w:sz w:val="24"/>
          <w:lang w:eastAsia="zh-CN"/>
        </w:rPr>
        <w:t>甲方</w:t>
      </w:r>
      <w:r>
        <w:rPr>
          <w:rFonts w:hint="eastAsia" w:ascii="仿宋_GB2312" w:hAnsi="仿宋_GB2312" w:eastAsia="仿宋_GB2312" w:cs="仿宋_GB2312"/>
          <w:color w:val="000000"/>
          <w:sz w:val="24"/>
        </w:rPr>
        <w:t>延迟支付该阶段费用的理由，上述期限届满后</w:t>
      </w:r>
      <w:r>
        <w:rPr>
          <w:rFonts w:hint="eastAsia" w:ascii="仿宋_GB2312" w:hAnsi="仿宋_GB2312" w:eastAsia="仿宋_GB2312" w:cs="仿宋_GB2312"/>
          <w:color w:val="000000"/>
          <w:sz w:val="24"/>
          <w:lang w:eastAsia="zh-CN"/>
        </w:rPr>
        <w:t>甲方</w:t>
      </w:r>
      <w:r>
        <w:rPr>
          <w:rFonts w:hint="eastAsia" w:ascii="仿宋_GB2312" w:hAnsi="仿宋_GB2312" w:eastAsia="仿宋_GB2312" w:cs="仿宋_GB2312"/>
          <w:color w:val="000000"/>
          <w:sz w:val="24"/>
        </w:rPr>
        <w:t>仍应按约定支付服务费。</w:t>
      </w:r>
      <w:r>
        <w:rPr>
          <w:rFonts w:hint="eastAsia" w:ascii="仿宋_GB2312" w:hAnsi="仿宋_GB2312" w:eastAsia="仿宋_GB2312" w:cs="仿宋_GB2312"/>
          <w:color w:val="000000"/>
          <w:sz w:val="24"/>
          <w:lang w:eastAsia="zh-CN"/>
        </w:rPr>
        <w:t>甲方</w:t>
      </w:r>
      <w:r>
        <w:rPr>
          <w:rFonts w:hint="eastAsia" w:ascii="仿宋_GB2312" w:hAnsi="仿宋_GB2312" w:eastAsia="仿宋_GB2312" w:cs="仿宋_GB2312"/>
          <w:color w:val="000000"/>
          <w:sz w:val="24"/>
        </w:rPr>
        <w:t>逾期付款超过六十（60）日时，</w:t>
      </w:r>
      <w:r>
        <w:rPr>
          <w:rFonts w:hint="eastAsia" w:ascii="仿宋_GB2312" w:hAnsi="仿宋_GB2312" w:eastAsia="仿宋_GB2312" w:cs="仿宋_GB2312"/>
          <w:color w:val="000000"/>
          <w:sz w:val="24"/>
          <w:lang w:eastAsia="zh-CN"/>
        </w:rPr>
        <w:t>乙方</w:t>
      </w:r>
      <w:r>
        <w:rPr>
          <w:rFonts w:hint="eastAsia" w:ascii="仿宋_GB2312" w:hAnsi="仿宋_GB2312" w:eastAsia="仿宋_GB2312" w:cs="仿宋_GB2312"/>
          <w:color w:val="000000"/>
          <w:sz w:val="24"/>
        </w:rPr>
        <w:t>有权解除合同且不承担解除合同的违约责任。</w:t>
      </w:r>
      <w:r>
        <w:rPr>
          <w:rFonts w:hint="eastAsia" w:ascii="仿宋_GB2312" w:hAnsi="仿宋_GB2312" w:eastAsia="仿宋_GB2312" w:cs="仿宋_GB2312"/>
          <w:color w:val="000000"/>
          <w:sz w:val="24"/>
          <w:szCs w:val="24"/>
        </w:rPr>
        <w:t>。</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r>
        <w:rPr>
          <w:rFonts w:hint="eastAsia" w:ascii="仿宋_GB2312" w:hAnsi="仿宋_GB2312" w:eastAsia="仿宋_GB2312" w:cs="仿宋_GB2312"/>
          <w:color w:val="000000"/>
          <w:sz w:val="24"/>
        </w:rPr>
        <w:t>合同一方不履行合同义务或者履行合同义务不符合约定，给其他方造成损失的，损失赔偿额应当相当于因违约所造成的损失</w:t>
      </w:r>
      <w:r>
        <w:rPr>
          <w:rFonts w:hint="eastAsia" w:ascii="仿宋_GB2312" w:hAnsi="仿宋_GB2312" w:eastAsia="仿宋_GB2312" w:cs="仿宋_GB2312"/>
          <w:color w:val="000000"/>
          <w:sz w:val="24"/>
          <w:szCs w:val="24"/>
        </w:rPr>
        <w:t>。如合同所约定的违约金无法弥补因违约行为所造成的损失，违约方应补偿上述不足部分的损失，包括但不限于上述索赔或责任所产生的诉讼费用、合理的律师费用、鉴定评估费用、 调查费用、和解金额或生效法律文书中规定的赔偿金额。</w:t>
      </w:r>
      <w:r>
        <w:rPr>
          <w:rFonts w:hint="eastAsia" w:ascii="仿宋_GB2312" w:hAnsi="仿宋_GB2312" w:eastAsia="仿宋_GB2312" w:cs="仿宋_GB2312"/>
          <w:color w:val="000000"/>
          <w:sz w:val="24"/>
        </w:rPr>
        <w:t>但是违约金及损失赔偿金额总额以</w:t>
      </w:r>
      <w:r>
        <w:rPr>
          <w:rFonts w:hint="eastAsia" w:ascii="仿宋_GB2312" w:hAnsi="仿宋_GB2312" w:eastAsia="仿宋_GB2312" w:cs="仿宋_GB2312"/>
          <w:color w:val="000000"/>
          <w:sz w:val="24"/>
          <w:lang w:eastAsia="zh-CN"/>
        </w:rPr>
        <w:t>甲方</w:t>
      </w:r>
      <w:r>
        <w:rPr>
          <w:rFonts w:hint="eastAsia" w:ascii="仿宋_GB2312" w:hAnsi="仿宋_GB2312" w:eastAsia="仿宋_GB2312" w:cs="仿宋_GB2312"/>
          <w:color w:val="000000"/>
          <w:sz w:val="24"/>
        </w:rPr>
        <w:t>已向</w:t>
      </w:r>
      <w:r>
        <w:rPr>
          <w:rFonts w:hint="eastAsia" w:ascii="仿宋_GB2312" w:hAnsi="仿宋_GB2312" w:eastAsia="仿宋_GB2312" w:cs="仿宋_GB2312"/>
          <w:color w:val="000000"/>
          <w:sz w:val="24"/>
          <w:lang w:eastAsia="zh-CN"/>
        </w:rPr>
        <w:t>乙方</w:t>
      </w:r>
      <w:r>
        <w:rPr>
          <w:rFonts w:hint="eastAsia" w:ascii="仿宋_GB2312" w:hAnsi="仿宋_GB2312" w:eastAsia="仿宋_GB2312" w:cs="仿宋_GB2312"/>
          <w:color w:val="000000"/>
          <w:sz w:val="24"/>
        </w:rPr>
        <w:t>支付的服务费为限，在任何情况下累计赔偿金额不超过本合同约定的服务费总额。且双方互不承担间接损失赔偿责任。</w:t>
      </w:r>
    </w:p>
    <w:p>
      <w:pPr>
        <w:keepNext w:val="0"/>
        <w:keepLines w:val="0"/>
        <w:pageBreakBefore w:val="0"/>
        <w:kinsoku/>
        <w:wordWrap/>
        <w:overflowPunct/>
        <w:topLinePunct w:val="0"/>
        <w:autoSpaceDE/>
        <w:autoSpaceDN/>
        <w:bidi w:val="0"/>
        <w:spacing w:line="400" w:lineRule="exact"/>
        <w:ind w:firstLine="482" w:firstLineChars="200"/>
        <w:outlineLvl w:val="1"/>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第十</w:t>
      </w:r>
      <w:r>
        <w:rPr>
          <w:rFonts w:hint="eastAsia" w:ascii="仿宋_GB2312" w:hAnsi="仿宋_GB2312" w:eastAsia="仿宋_GB2312" w:cs="仿宋_GB2312"/>
          <w:b/>
          <w:bCs/>
          <w:color w:val="000000"/>
          <w:sz w:val="24"/>
          <w:szCs w:val="24"/>
          <w:lang w:val="en-US" w:eastAsia="zh-CN"/>
        </w:rPr>
        <w:t>五</w:t>
      </w:r>
      <w:r>
        <w:rPr>
          <w:rFonts w:hint="eastAsia" w:ascii="仿宋_GB2312" w:hAnsi="仿宋_GB2312" w:eastAsia="仿宋_GB2312" w:cs="仿宋_GB2312"/>
          <w:b/>
          <w:bCs/>
          <w:color w:val="000000"/>
          <w:sz w:val="24"/>
          <w:szCs w:val="24"/>
        </w:rPr>
        <w:t>条  其他</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（1）合同书及补充协议；</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（2）中标通知书；</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（3）招标文件（编号：</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rPr>
        <w:t>）及其澄清、补正公告；</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（4）投标书。</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本合同附件（如有）为合同不可分割的组成部分，与本合同一并加盖骑缝章后具有同等法律效力。若附件与合同正文有任何冲突，以合同正文为准。</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本合同各条标题仅为提示之用，应以条文内容确定各方的权利义务。</w:t>
      </w:r>
    </w:p>
    <w:p>
      <w:pPr>
        <w:keepNext w:val="0"/>
        <w:keepLines w:val="0"/>
        <w:pageBreakBefore w:val="0"/>
        <w:kinsoku/>
        <w:wordWrap/>
        <w:overflowPunct/>
        <w:topLinePunct w:val="0"/>
        <w:autoSpaceDE/>
        <w:autoSpaceDN/>
        <w:bidi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本合同未尽事宜，由双方协商签订补充协议进行约定。补充协议应以书面形式作成，经双方盖章后与本合同具有同等法律效力。</w:t>
      </w:r>
    </w:p>
    <w:p>
      <w:pPr>
        <w:pStyle w:val="24"/>
        <w:keepNext w:val="0"/>
        <w:keepLines w:val="0"/>
        <w:pageBreakBefore w:val="0"/>
        <w:kinsoku/>
        <w:wordWrap/>
        <w:overflowPunct/>
        <w:topLinePunct w:val="0"/>
        <w:autoSpaceDE/>
        <w:autoSpaceDN/>
        <w:bidi w:val="0"/>
        <w:spacing w:line="400" w:lineRule="exact"/>
        <w:ind w:firstLine="48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本合同约定的权利和义务不因合同双方发生收购、兼并、重组、分立而发生变化。如果发生上述情形，则本合同约定的权利和义务随之转移至收购、兼并、重组或分立后成立的单位。</w:t>
      </w:r>
    </w:p>
    <w:p>
      <w:pPr>
        <w:pStyle w:val="24"/>
        <w:keepNext w:val="0"/>
        <w:keepLines w:val="0"/>
        <w:pageBreakBefore w:val="0"/>
        <w:kinsoku/>
        <w:wordWrap/>
        <w:overflowPunct/>
        <w:topLinePunct w:val="0"/>
        <w:autoSpaceDE/>
        <w:autoSpaceDN/>
        <w:bidi w:val="0"/>
        <w:spacing w:line="400" w:lineRule="exact"/>
        <w:ind w:firstLine="48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本合同在国家法律、法规和规章规定的范围内执行。当国家法律、法规和规章发生变化导致本合同有关条款与之抵触时，双方协商变更或废止该条款，在此情况下，双方互不承担责任。</w:t>
      </w:r>
    </w:p>
    <w:p>
      <w:pPr>
        <w:pStyle w:val="24"/>
        <w:keepNext w:val="0"/>
        <w:keepLines w:val="0"/>
        <w:pageBreakBefore w:val="0"/>
        <w:kinsoku/>
        <w:wordWrap/>
        <w:overflowPunct/>
        <w:topLinePunct w:val="0"/>
        <w:autoSpaceDE/>
        <w:autoSpaceDN/>
        <w:bidi w:val="0"/>
        <w:spacing w:line="400" w:lineRule="exact"/>
        <w:ind w:firstLine="48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如果本合同的任何条款在任何时候变成不合法、无效或不可强制执行而不从根本上影响本合同的效力时，本合同的其他条款不受影响。</w:t>
      </w:r>
    </w:p>
    <w:p>
      <w:pPr>
        <w:pStyle w:val="24"/>
        <w:keepNext w:val="0"/>
        <w:keepLines w:val="0"/>
        <w:pageBreakBefore w:val="0"/>
        <w:kinsoku/>
        <w:wordWrap/>
        <w:overflowPunct/>
        <w:topLinePunct w:val="0"/>
        <w:autoSpaceDE/>
        <w:autoSpaceDN/>
        <w:bidi w:val="0"/>
        <w:spacing w:line="400" w:lineRule="exact"/>
        <w:ind w:firstLine="48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24"/>
        <w:keepNext w:val="0"/>
        <w:keepLines w:val="0"/>
        <w:pageBreakBefore w:val="0"/>
        <w:kinsoku/>
        <w:wordWrap/>
        <w:overflowPunct/>
        <w:topLinePunct w:val="0"/>
        <w:autoSpaceDE/>
        <w:autoSpaceDN/>
        <w:bidi w:val="0"/>
        <w:spacing w:line="400" w:lineRule="exact"/>
        <w:ind w:firstLine="48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任何一方未经另一方同意不得向任何第三方透露本合同的签订及其内容。</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向其关联公司透露前述内容的，不受此限。</w:t>
      </w:r>
    </w:p>
    <w:p>
      <w:pPr>
        <w:pStyle w:val="24"/>
        <w:keepNext w:val="0"/>
        <w:keepLines w:val="0"/>
        <w:pageBreakBefore w:val="0"/>
        <w:kinsoku/>
        <w:wordWrap/>
        <w:overflowPunct/>
        <w:topLinePunct w:val="0"/>
        <w:autoSpaceDE/>
        <w:autoSpaceDN/>
        <w:bidi w:val="0"/>
        <w:spacing w:line="400" w:lineRule="exact"/>
        <w:ind w:firstLine="48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pStyle w:val="24"/>
        <w:keepNext w:val="0"/>
        <w:keepLines w:val="0"/>
        <w:pageBreakBefore w:val="0"/>
        <w:kinsoku/>
        <w:wordWrap/>
        <w:overflowPunct/>
        <w:topLinePunct w:val="0"/>
        <w:autoSpaceDE/>
        <w:autoSpaceDN/>
        <w:bidi w:val="0"/>
        <w:spacing w:line="400" w:lineRule="exact"/>
        <w:ind w:firstLine="48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w:t>
      </w:r>
      <w:r>
        <w:rPr>
          <w:rFonts w:hint="eastAsia" w:ascii="仿宋_GB2312" w:hAnsi="仿宋_GB2312" w:eastAsia="仿宋_GB2312" w:cs="仿宋_GB2312"/>
          <w:color w:val="000000"/>
          <w:sz w:val="24"/>
          <w:szCs w:val="24"/>
          <w:lang w:val="en-US" w:eastAsia="zh-CN"/>
        </w:rPr>
        <w:t>.本合同自双方签字盖章之日起生效，有效期至后续服务期满之日止</w:t>
      </w:r>
      <w:r>
        <w:rPr>
          <w:rFonts w:hint="eastAsia" w:ascii="仿宋_GB2312" w:hAnsi="仿宋_GB2312" w:eastAsia="仿宋_GB2312" w:cs="仿宋_GB2312"/>
          <w:color w:val="000000"/>
          <w:sz w:val="24"/>
          <w:szCs w:val="24"/>
        </w:rPr>
        <w:t>或</w:t>
      </w:r>
      <w:r>
        <w:rPr>
          <w:rFonts w:hint="eastAsia" w:ascii="仿宋_GB2312" w:hAnsi="仿宋_GB2312" w:eastAsia="仿宋_GB2312" w:cs="仿宋_GB2312"/>
          <w:color w:val="000000"/>
          <w:sz w:val="24"/>
          <w:szCs w:val="24"/>
          <w:lang w:val="en-US" w:eastAsia="zh-CN"/>
        </w:rPr>
        <w:t>双</w:t>
      </w:r>
      <w:r>
        <w:rPr>
          <w:rFonts w:hint="eastAsia" w:ascii="仿宋_GB2312" w:hAnsi="仿宋_GB2312" w:eastAsia="仿宋_GB2312" w:cs="仿宋_GB2312"/>
          <w:color w:val="000000"/>
          <w:sz w:val="24"/>
          <w:szCs w:val="24"/>
        </w:rPr>
        <w:t>方履行完合同规定的义务后或本合同解除/终止（以时间较早者为准），本合同终止。</w:t>
      </w:r>
    </w:p>
    <w:p>
      <w:pPr>
        <w:pStyle w:val="24"/>
        <w:keepNext w:val="0"/>
        <w:keepLines w:val="0"/>
        <w:pageBreakBefore w:val="0"/>
        <w:kinsoku/>
        <w:wordWrap/>
        <w:overflowPunct/>
        <w:topLinePunct w:val="0"/>
        <w:autoSpaceDE/>
        <w:autoSpaceDN/>
        <w:bidi w:val="0"/>
        <w:spacing w:line="400" w:lineRule="exact"/>
        <w:ind w:firstLine="48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本合同一式</w:t>
      </w:r>
      <w:r>
        <w:rPr>
          <w:rFonts w:hint="eastAsia" w:ascii="仿宋_GB2312" w:hAnsi="仿宋_GB2312" w:eastAsia="仿宋_GB2312" w:cs="仿宋_GB2312"/>
          <w:color w:val="000000"/>
          <w:sz w:val="24"/>
          <w:szCs w:val="24"/>
          <w:lang w:val="en-US" w:eastAsia="zh-CN"/>
        </w:rPr>
        <w:t>四</w:t>
      </w:r>
      <w:r>
        <w:rPr>
          <w:rFonts w:hint="eastAsia" w:ascii="仿宋_GB2312" w:hAnsi="仿宋_GB2312" w:eastAsia="仿宋_GB2312" w:cs="仿宋_GB2312"/>
          <w:color w:val="000000"/>
          <w:sz w:val="24"/>
          <w:szCs w:val="24"/>
        </w:rPr>
        <w:t>份，甲、</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各执</w:t>
      </w:r>
      <w:r>
        <w:rPr>
          <w:rFonts w:hint="eastAsia" w:ascii="仿宋_GB2312" w:hAnsi="仿宋_GB2312" w:eastAsia="仿宋_GB2312" w:cs="仿宋_GB2312"/>
          <w:color w:val="000000"/>
          <w:sz w:val="24"/>
          <w:szCs w:val="24"/>
          <w:lang w:val="en-US" w:eastAsia="zh-CN"/>
        </w:rPr>
        <w:t>两</w:t>
      </w:r>
      <w:r>
        <w:rPr>
          <w:rFonts w:hint="eastAsia" w:ascii="仿宋_GB2312" w:hAnsi="仿宋_GB2312" w:eastAsia="仿宋_GB2312" w:cs="仿宋_GB2312"/>
          <w:color w:val="000000"/>
          <w:sz w:val="24"/>
          <w:szCs w:val="24"/>
        </w:rPr>
        <w:t>份，均具有同等法律效力。</w:t>
      </w:r>
    </w:p>
    <w:p>
      <w:pPr>
        <w:pStyle w:val="24"/>
        <w:keepNext w:val="0"/>
        <w:keepLines w:val="0"/>
        <w:pageBreakBefore w:val="0"/>
        <w:kinsoku/>
        <w:wordWrap/>
        <w:overflowPunct/>
        <w:topLinePunct w:val="0"/>
        <w:autoSpaceDE/>
        <w:autoSpaceDN/>
        <w:bidi w:val="0"/>
        <w:spacing w:line="400" w:lineRule="exact"/>
        <w:ind w:firstLine="48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（以下无正文，为签章</w:t>
      </w:r>
      <w:r>
        <w:rPr>
          <w:rFonts w:hint="eastAsia" w:ascii="仿宋_GB2312" w:hAnsi="仿宋_GB2312" w:eastAsia="仿宋_GB2312" w:cs="仿宋_GB2312"/>
          <w:color w:val="000000"/>
          <w:sz w:val="24"/>
          <w:szCs w:val="24"/>
          <w:lang w:val="en-US" w:eastAsia="zh-CN"/>
        </w:rPr>
        <w:t>页</w:t>
      </w:r>
      <w:r>
        <w:rPr>
          <w:rFonts w:hint="eastAsia" w:ascii="仿宋_GB2312" w:hAnsi="仿宋_GB2312" w:eastAsia="仿宋_GB2312" w:cs="仿宋_GB2312"/>
          <w:color w:val="000000"/>
          <w:sz w:val="24"/>
          <w:szCs w:val="24"/>
        </w:rPr>
        <w:t>）</w:t>
      </w:r>
    </w:p>
    <w:p>
      <w:pPr>
        <w:pStyle w:val="24"/>
        <w:keepNext w:val="0"/>
        <w:keepLines w:val="0"/>
        <w:pageBreakBefore w:val="0"/>
        <w:kinsoku/>
        <w:wordWrap/>
        <w:overflowPunct/>
        <w:topLinePunct w:val="0"/>
        <w:autoSpaceDE/>
        <w:autoSpaceDN/>
        <w:bidi w:val="0"/>
        <w:spacing w:line="400" w:lineRule="exact"/>
        <w:ind w:firstLine="480"/>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adjustRightInd w:val="0"/>
        <w:snapToGrid w:val="0"/>
        <w:spacing w:line="400" w:lineRule="exact"/>
        <w:ind w:firstLine="0"/>
        <w:rPr>
          <w:rFonts w:hint="eastAsia"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lang w:eastAsia="zh-CN"/>
        </w:rPr>
        <w:t>甲方</w:t>
      </w:r>
      <w:r>
        <w:rPr>
          <w:rFonts w:hint="eastAsia" w:ascii="仿宋_GB2312" w:hAnsi="仿宋_GB2312" w:eastAsia="仿宋_GB2312" w:cs="仿宋_GB2312"/>
          <w:b/>
          <w:color w:val="000000"/>
          <w:sz w:val="24"/>
          <w:szCs w:val="24"/>
        </w:rPr>
        <w:t>名称</w:t>
      </w:r>
      <w:r>
        <w:rPr>
          <w:rFonts w:hint="eastAsia" w:ascii="仿宋_GB2312" w:hAnsi="仿宋_GB2312" w:eastAsia="仿宋_GB2312" w:cs="仿宋_GB2312"/>
          <w:color w:val="000000"/>
          <w:sz w:val="24"/>
          <w:szCs w:val="24"/>
        </w:rPr>
        <w:t>（盖章）</w:t>
      </w:r>
      <w:r>
        <w:rPr>
          <w:rFonts w:hint="eastAsia" w:ascii="仿宋_GB2312" w:hAnsi="仿宋_GB2312" w:eastAsia="仿宋_GB2312" w:cs="仿宋_GB2312"/>
          <w:b/>
          <w:color w:val="000000"/>
          <w:sz w:val="24"/>
          <w:szCs w:val="24"/>
        </w:rPr>
        <w:t xml:space="preserve">： </w:t>
      </w:r>
      <w:r>
        <w:rPr>
          <w:rFonts w:hint="eastAsia" w:ascii="仿宋_GB2312" w:hAnsi="仿宋_GB2312" w:eastAsia="仿宋_GB2312" w:cs="仿宋_GB2312"/>
          <w:color w:val="000000"/>
          <w:sz w:val="24"/>
          <w:szCs w:val="24"/>
        </w:rPr>
        <w:t>深圳市前海深港现代服务业合作区管理局</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t xml:space="preserve">     </w:t>
      </w:r>
    </w:p>
    <w:p>
      <w:pPr>
        <w:keepNext w:val="0"/>
        <w:keepLines w:val="0"/>
        <w:pageBreakBefore w:val="0"/>
        <w:kinsoku/>
        <w:wordWrap/>
        <w:overflowPunct/>
        <w:topLinePunct w:val="0"/>
        <w:autoSpaceDE/>
        <w:autoSpaceDN/>
        <w:bidi w:val="0"/>
        <w:adjustRightInd w:val="0"/>
        <w:snapToGrid w:val="0"/>
        <w:spacing w:line="400" w:lineRule="exact"/>
        <w:ind w:firstLine="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日期：</w:t>
      </w:r>
    </w:p>
    <w:p>
      <w:pPr>
        <w:pStyle w:val="2"/>
        <w:keepNext w:val="0"/>
        <w:keepLines w:val="0"/>
        <w:pageBreakBefore w:val="0"/>
        <w:kinsoku/>
        <w:wordWrap/>
        <w:overflowPunct/>
        <w:topLinePunct w:val="0"/>
        <w:autoSpaceDE/>
        <w:autoSpaceDN/>
        <w:bidi w:val="0"/>
        <w:spacing w:after="0" w:line="400" w:lineRule="exact"/>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adjustRightInd w:val="0"/>
        <w:snapToGrid w:val="0"/>
        <w:spacing w:line="400" w:lineRule="exact"/>
        <w:ind w:left="0" w:firstLine="0" w:firstLineChars="0"/>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lang w:eastAsia="zh-CN"/>
        </w:rPr>
        <w:t>乙方</w:t>
      </w:r>
      <w:r>
        <w:rPr>
          <w:rFonts w:hint="eastAsia" w:ascii="仿宋_GB2312" w:hAnsi="仿宋_GB2312" w:eastAsia="仿宋_GB2312" w:cs="仿宋_GB2312"/>
          <w:b/>
          <w:color w:val="000000"/>
          <w:sz w:val="24"/>
          <w:szCs w:val="24"/>
        </w:rPr>
        <w:t>名称</w:t>
      </w:r>
      <w:r>
        <w:rPr>
          <w:rFonts w:hint="eastAsia" w:ascii="仿宋_GB2312" w:hAnsi="仿宋_GB2312" w:eastAsia="仿宋_GB2312" w:cs="仿宋_GB2312"/>
          <w:color w:val="000000"/>
          <w:sz w:val="24"/>
          <w:szCs w:val="24"/>
        </w:rPr>
        <w:t>（盖章）</w:t>
      </w:r>
      <w:r>
        <w:rPr>
          <w:rFonts w:hint="eastAsia" w:ascii="仿宋_GB2312" w:hAnsi="仿宋_GB2312" w:eastAsia="仿宋_GB2312" w:cs="仿宋_GB2312"/>
          <w:b/>
          <w:color w:val="000000"/>
          <w:sz w:val="24"/>
          <w:szCs w:val="24"/>
        </w:rPr>
        <w:t>：</w:t>
      </w:r>
    </w:p>
    <w:p>
      <w:pPr>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日期：    </w:t>
      </w:r>
    </w:p>
    <w:p>
      <w:pPr>
        <w:adjustRightInd w:val="0"/>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adjustRightInd w:val="0"/>
        <w:snapToGrid w:val="0"/>
        <w:spacing w:line="360" w:lineRule="auto"/>
        <w:ind w:firstLine="720" w:firstLineChars="300"/>
        <w:rPr>
          <w:rFonts w:hint="eastAsia" w:ascii="宋体" w:hAnsi="宋体" w:cs="宋体"/>
          <w:color w:val="000000" w:themeColor="text1"/>
          <w:sz w:val="24"/>
          <w14:textFill>
            <w14:solidFill>
              <w14:schemeClr w14:val="tx1"/>
            </w14:solidFill>
          </w14:textFill>
        </w:rPr>
      </w:pPr>
    </w:p>
    <w:p>
      <w:r>
        <w:rPr>
          <w:rFonts w:hint="eastAsia" w:ascii="宋体" w:hAnsi="宋体" w:cs="宋体"/>
          <w:color w:val="000000" w:themeColor="text1"/>
          <w:sz w:val="24"/>
          <w14:textFill>
            <w14:solidFill>
              <w14:schemeClr w14:val="tx1"/>
            </w14:solidFill>
          </w14:textFill>
        </w:rPr>
        <w:t>注：本合同样本仅供参考，非实质性条款内容可由</w:t>
      </w:r>
      <w:r>
        <w:rPr>
          <w:rFonts w:hint="eastAsia" w:ascii="宋体" w:hAnsi="宋体" w:cs="宋体"/>
          <w:color w:val="000000" w:themeColor="text1"/>
          <w:sz w:val="24"/>
          <w:lang w:eastAsia="zh-CN"/>
          <w14:textFill>
            <w14:solidFill>
              <w14:schemeClr w14:val="tx1"/>
            </w14:solidFill>
          </w14:textFill>
        </w:rPr>
        <w:t>甲方</w:t>
      </w:r>
      <w:r>
        <w:rPr>
          <w:rFonts w:hint="eastAsia" w:ascii="宋体" w:hAnsi="宋体" w:cs="宋体"/>
          <w:color w:val="000000" w:themeColor="text1"/>
          <w:sz w:val="24"/>
          <w14:textFill>
            <w14:solidFill>
              <w14:schemeClr w14:val="tx1"/>
            </w14:solidFill>
          </w14:textFill>
        </w:rPr>
        <w:t>和</w:t>
      </w:r>
      <w:r>
        <w:rPr>
          <w:rFonts w:hint="eastAsia" w:ascii="宋体" w:hAnsi="宋体" w:cs="宋体"/>
          <w:color w:val="000000" w:themeColor="text1"/>
          <w:sz w:val="24"/>
          <w:lang w:eastAsia="zh-CN"/>
          <w14:textFill>
            <w14:solidFill>
              <w14:schemeClr w14:val="tx1"/>
            </w14:solidFill>
          </w14:textFill>
        </w:rPr>
        <w:t>乙方</w:t>
      </w:r>
      <w:r>
        <w:rPr>
          <w:rFonts w:hint="eastAsia" w:ascii="宋体" w:hAnsi="宋体" w:cs="宋体"/>
          <w:color w:val="000000" w:themeColor="text1"/>
          <w:sz w:val="24"/>
          <w14:textFill>
            <w14:solidFill>
              <w14:schemeClr w14:val="tx1"/>
            </w14:solidFill>
          </w14:textFill>
        </w:rPr>
        <w:t>协商确定。</w:t>
      </w:r>
    </w:p>
    <w:p>
      <w:pPr>
        <w:adjustRightInd w:val="0"/>
        <w:snapToGrid w:val="0"/>
        <w:spacing w:line="360" w:lineRule="auto"/>
        <w:rPr>
          <w:rFonts w:hint="eastAsia" w:ascii="宋体" w:hAnsi="宋体" w:cs="宋体"/>
          <w:color w:val="000000" w:themeColor="text1"/>
          <w:sz w:val="24"/>
          <w14:textFill>
            <w14:solidFill>
              <w14:schemeClr w14:val="tx1"/>
            </w14:solidFill>
          </w14:textFill>
        </w:rPr>
      </w:pPr>
    </w:p>
    <w:p>
      <w:pPr>
        <w:snapToGrid w:val="0"/>
        <w:spacing w:line="360" w:lineRule="auto"/>
        <w:rPr>
          <w:rFonts w:hint="eastAsia" w:ascii="宋体" w:hAnsi="宋体" w:cs="宋体"/>
          <w:color w:val="000000" w:themeColor="text1"/>
          <w:sz w:val="24"/>
          <w14:textFill>
            <w14:solidFill>
              <w14:schemeClr w14:val="tx1"/>
            </w14:solidFill>
          </w14:textFill>
        </w:rPr>
      </w:pPr>
    </w:p>
    <w:p>
      <w:pPr>
        <w:numPr>
          <w:ilvl w:val="0"/>
          <w:numId w:val="1"/>
        </w:numPr>
        <w:spacing w:line="360" w:lineRule="auto"/>
        <w:jc w:val="center"/>
        <w:outlineLvl w:val="0"/>
        <w:rPr>
          <w:rFonts w:hint="eastAsia" w:ascii="宋体" w:hAnsi="宋体" w:cs="宋体"/>
          <w:b/>
          <w:bCs/>
          <w:color w:val="auto"/>
          <w:sz w:val="24"/>
        </w:rPr>
      </w:pPr>
      <w:r>
        <w:rPr>
          <w:rFonts w:hint="eastAsia" w:ascii="宋体" w:hAnsi="宋体" w:cs="宋体"/>
          <w:b/>
          <w:bCs/>
          <w:color w:val="FF0000"/>
          <w:sz w:val="24"/>
        </w:rPr>
        <w:br w:type="page"/>
      </w:r>
      <w:r>
        <w:rPr>
          <w:rFonts w:hint="eastAsia" w:ascii="宋体" w:hAnsi="宋体" w:cs="宋体"/>
          <w:b/>
          <w:bCs/>
          <w:color w:val="FF0000"/>
          <w:sz w:val="24"/>
        </w:rPr>
        <w:t xml:space="preserve"> </w:t>
      </w:r>
      <w:bookmarkStart w:id="7" w:name="_Toc9484"/>
      <w:r>
        <w:rPr>
          <w:rFonts w:hint="eastAsia" w:ascii="宋体" w:hAnsi="宋体" w:cs="宋体"/>
          <w:b/>
          <w:bCs/>
          <w:color w:val="auto"/>
          <w:sz w:val="24"/>
        </w:rPr>
        <w:t>用户需求书</w:t>
      </w:r>
      <w:bookmarkEnd w:id="7"/>
    </w:p>
    <w:p>
      <w:pPr>
        <w:pStyle w:val="25"/>
        <w:tabs>
          <w:tab w:val="left" w:pos="720"/>
        </w:tabs>
        <w:autoSpaceDE w:val="0"/>
        <w:autoSpaceDN w:val="0"/>
        <w:adjustRightInd w:val="0"/>
        <w:spacing w:line="360" w:lineRule="auto"/>
        <w:ind w:right="17" w:firstLine="482"/>
        <w:jc w:val="left"/>
        <w:outlineLvl w:val="1"/>
        <w:rPr>
          <w:rFonts w:hint="eastAsia" w:ascii="宋体" w:hAnsi="宋体" w:cs="宋体"/>
          <w:b/>
          <w:color w:val="auto"/>
          <w:sz w:val="24"/>
        </w:rPr>
      </w:pPr>
      <w:bookmarkStart w:id="8" w:name="_Toc11045"/>
      <w:bookmarkStart w:id="9" w:name="_Toc23726"/>
      <w:r>
        <w:rPr>
          <w:rFonts w:hint="eastAsia" w:ascii="宋体" w:hAnsi="宋体" w:cs="宋体"/>
          <w:b/>
          <w:color w:val="auto"/>
          <w:sz w:val="24"/>
        </w:rPr>
        <w:t>一、</w:t>
      </w:r>
      <w:bookmarkEnd w:id="8"/>
      <w:bookmarkEnd w:id="9"/>
      <w:bookmarkStart w:id="10" w:name="_Toc51746099"/>
      <w:r>
        <w:rPr>
          <w:rFonts w:hint="eastAsia" w:ascii="宋体" w:hAnsi="宋体" w:cs="宋体"/>
          <w:b/>
          <w:color w:val="auto"/>
          <w:sz w:val="24"/>
          <w:lang w:val="zh-CN"/>
        </w:rPr>
        <w:t>项目概况</w:t>
      </w:r>
    </w:p>
    <w:bookmarkEnd w:id="10"/>
    <w:p>
      <w:pPr>
        <w:pStyle w:val="2"/>
        <w:keepNext w:val="0"/>
        <w:keepLines w:val="0"/>
        <w:pageBreakBefore w:val="0"/>
        <w:widowControl w:val="0"/>
        <w:numPr>
          <w:ilvl w:val="255"/>
          <w:numId w:val="0"/>
        </w:numPr>
        <w:kinsoku/>
        <w:wordWrap/>
        <w:overflowPunct/>
        <w:topLinePunct w:val="0"/>
        <w:autoSpaceDE/>
        <w:autoSpaceDN/>
        <w:bidi w:val="0"/>
        <w:adjustRightInd/>
        <w:snapToGrid/>
        <w:spacing w:beforeLines="0" w:after="0" w:line="360" w:lineRule="auto"/>
        <w:ind w:firstLine="480" w:firstLineChars="200"/>
        <w:textAlignment w:val="auto"/>
        <w:rPr>
          <w:rFonts w:hint="eastAsia" w:ascii="宋体" w:hAnsi="宋体" w:eastAsia="宋体" w:cs="宋体"/>
          <w:bCs w:val="0"/>
          <w:color w:val="auto"/>
          <w:sz w:val="24"/>
          <w:szCs w:val="24"/>
          <w:lang w:eastAsia="zh-CN"/>
        </w:rPr>
      </w:pPr>
      <w:r>
        <w:rPr>
          <w:rFonts w:hint="eastAsia" w:ascii="宋体" w:hAnsi="宋体" w:eastAsia="宋体" w:cs="宋体"/>
          <w:bCs w:val="0"/>
          <w:color w:val="auto"/>
          <w:sz w:val="24"/>
          <w:szCs w:val="24"/>
          <w:lang w:eastAsia="zh-CN"/>
        </w:rPr>
        <w:t>（一）项目背景：为深入贯彻落实党的二十届三中全会精神，落实《全面深化前海深港现代服务业合作区改革开放方案》《前海深港现代服务业合作区总体发展规划》有关任务要求，我局印发实施《桂湾片区规划建设运营国际化提升专项工作方案》（以下简称《工作方案》），聚焦港人港企所需，将桂湾片区打造成为全国独一无二的港人港企集聚区，呈现出港风港味浓郁、未来感十足的国际化新形象。《工作方案》明确要“全方位提升规划建设运营理念，多渠道开展国际化咨询”。前海深港广场位于桂湾片区中轴线，东端衔接梦工场北区，西衔接前海石公园（桂湾段）标志性建筑前海激浪，东西长约1.2公里，定位为融汇深港创意、产业、人文、休闲等功能，汇集深港文化元素，打造城市秀场、链接空间的滨海文化公共空间，形成最活力、最前沿、最人文、最融合独具特色的前海水平地标。梦工场北区5号楼及广场是前海桂湾片区城市中轴线东起点，是前海深港广场的重要组成部分。根据局工作部署，计划利用梦工场北区5号楼2~7层建筑空间引入学术交流、专业服务、创业路演、投资赋能、社群融入、文化交流、成果展示、城市名片、科技展示等功能, 将5号楼打造成为面向国际人才的地标性创新交流中心。</w:t>
      </w:r>
    </w:p>
    <w:p>
      <w:pPr>
        <w:pStyle w:val="2"/>
        <w:keepNext w:val="0"/>
        <w:keepLines w:val="0"/>
        <w:pageBreakBefore w:val="0"/>
        <w:widowControl w:val="0"/>
        <w:numPr>
          <w:ilvl w:val="255"/>
          <w:numId w:val="0"/>
        </w:numPr>
        <w:kinsoku/>
        <w:wordWrap/>
        <w:overflowPunct/>
        <w:topLinePunct w:val="0"/>
        <w:autoSpaceDE/>
        <w:autoSpaceDN/>
        <w:bidi w:val="0"/>
        <w:adjustRightInd/>
        <w:snapToGrid/>
        <w:spacing w:beforeLines="0" w:after="0" w:line="360" w:lineRule="auto"/>
        <w:ind w:firstLine="480" w:firstLineChars="200"/>
        <w:textAlignment w:val="auto"/>
        <w:rPr>
          <w:rFonts w:hint="eastAsia" w:ascii="宋体" w:hAnsi="宋体" w:eastAsia="宋体" w:cs="宋体"/>
          <w:bCs w:val="0"/>
          <w:color w:val="auto"/>
          <w:sz w:val="24"/>
          <w:szCs w:val="24"/>
          <w:lang w:eastAsia="zh-CN"/>
        </w:rPr>
      </w:pPr>
      <w:r>
        <w:rPr>
          <w:rFonts w:hint="eastAsia" w:ascii="宋体" w:hAnsi="宋体" w:eastAsia="宋体" w:cs="宋体"/>
          <w:bCs w:val="0"/>
          <w:color w:val="auto"/>
          <w:sz w:val="24"/>
          <w:szCs w:val="24"/>
          <w:lang w:eastAsia="zh-CN"/>
        </w:rPr>
        <w:t>（二）开展依据：根据7月8日国际人才创新交流中心专题会精神，国际人才交流中心要与国际化街区统筹考虑，一体化打造具有功能性、景观性的地标建筑。为全面做好桂湾片区国际化街区提升工作，拟开展前海梦工场北区5号楼建筑及公共空间提升研究采购相关工作。</w:t>
      </w:r>
    </w:p>
    <w:p>
      <w:pPr>
        <w:pStyle w:val="25"/>
        <w:tabs>
          <w:tab w:val="left" w:pos="720"/>
        </w:tabs>
        <w:autoSpaceDE w:val="0"/>
        <w:autoSpaceDN w:val="0"/>
        <w:adjustRightInd w:val="0"/>
        <w:spacing w:line="360" w:lineRule="auto"/>
        <w:ind w:right="17" w:firstLine="482"/>
        <w:jc w:val="left"/>
        <w:outlineLvl w:val="1"/>
        <w:rPr>
          <w:rFonts w:hint="eastAsia" w:ascii="宋体" w:hAnsi="宋体" w:cs="宋体"/>
          <w:b/>
          <w:color w:val="auto"/>
          <w:sz w:val="24"/>
          <w:highlight w:val="none"/>
        </w:rPr>
      </w:pPr>
      <w:r>
        <w:rPr>
          <w:rFonts w:hint="eastAsia" w:ascii="宋体" w:hAnsi="宋体" w:cs="宋体"/>
          <w:b/>
          <w:color w:val="auto"/>
          <w:sz w:val="24"/>
          <w:highlight w:val="none"/>
          <w:lang w:val="en-US" w:eastAsia="zh-CN"/>
        </w:rPr>
        <w:t>三</w:t>
      </w:r>
      <w:r>
        <w:rPr>
          <w:rFonts w:hint="eastAsia" w:ascii="宋体" w:hAnsi="宋体" w:cs="宋体"/>
          <w:b/>
          <w:color w:val="auto"/>
          <w:sz w:val="24"/>
          <w:highlight w:val="none"/>
        </w:rPr>
        <w:t>、工作范围</w:t>
      </w:r>
    </w:p>
    <w:p>
      <w:pPr>
        <w:pStyle w:val="2"/>
        <w:numPr>
          <w:ilvl w:val="255"/>
          <w:numId w:val="0"/>
        </w:numPr>
        <w:spacing w:beforeLines="0" w:line="360" w:lineRule="auto"/>
        <w:ind w:firstLine="480" w:firstLineChars="200"/>
        <w:rPr>
          <w:rFonts w:hint="eastAsia" w:ascii="宋体" w:hAnsi="宋体" w:eastAsia="宋体" w:cs="宋体"/>
          <w:bCs w:val="0"/>
          <w:color w:val="auto"/>
          <w:sz w:val="24"/>
          <w:szCs w:val="24"/>
          <w:lang w:eastAsia="zh-CN"/>
        </w:rPr>
      </w:pPr>
      <w:r>
        <w:rPr>
          <w:rFonts w:hint="eastAsia" w:ascii="宋体" w:hAnsi="宋体" w:cs="宋体"/>
          <w:bCs w:val="0"/>
          <w:color w:val="auto"/>
          <w:sz w:val="24"/>
          <w:szCs w:val="24"/>
          <w:lang w:eastAsia="zh-CN"/>
        </w:rPr>
        <w:t>根据7月8日国际人才创新交流中心专题会精神，国际人才交流中心要与国际化街区统筹考虑，一体化打造具有功能性、景观性的地标建筑。为全面做好桂湾片区国际化街区提升工作，拟开展前海梦工场北区5号楼建筑及公共空间提升研究采购相关工作。</w:t>
      </w:r>
    </w:p>
    <w:p>
      <w:pPr>
        <w:pStyle w:val="25"/>
        <w:tabs>
          <w:tab w:val="left" w:pos="720"/>
        </w:tabs>
        <w:autoSpaceDE w:val="0"/>
        <w:autoSpaceDN w:val="0"/>
        <w:adjustRightInd w:val="0"/>
        <w:spacing w:line="360" w:lineRule="auto"/>
        <w:ind w:right="17" w:firstLine="482"/>
        <w:jc w:val="left"/>
        <w:outlineLvl w:val="1"/>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四、工作内容</w:t>
      </w:r>
    </w:p>
    <w:p>
      <w:pPr>
        <w:pStyle w:val="25"/>
        <w:tabs>
          <w:tab w:val="left" w:pos="720"/>
          <w:tab w:val="left" w:pos="3265"/>
        </w:tabs>
        <w:autoSpaceDE w:val="0"/>
        <w:autoSpaceDN w:val="0"/>
        <w:adjustRightInd w:val="0"/>
        <w:spacing w:line="360" w:lineRule="auto"/>
        <w:ind w:right="17" w:firstLine="482"/>
        <w:jc w:val="left"/>
        <w:outlineLvl w:val="1"/>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1.项目调研及对标案例研究。系统分析城市及片区整体风貌并开展实地调研，梳理国内外相关优秀对标案例，形成针对性调研结论；</w:t>
      </w:r>
    </w:p>
    <w:p>
      <w:pPr>
        <w:pStyle w:val="25"/>
        <w:tabs>
          <w:tab w:val="left" w:pos="720"/>
          <w:tab w:val="left" w:pos="3265"/>
        </w:tabs>
        <w:autoSpaceDE w:val="0"/>
        <w:autoSpaceDN w:val="0"/>
        <w:adjustRightInd w:val="0"/>
        <w:spacing w:line="360" w:lineRule="auto"/>
        <w:ind w:right="17" w:firstLine="482"/>
        <w:jc w:val="left"/>
        <w:outlineLvl w:val="1"/>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2.理念及愿景。根据调研分析，提出国际化提升的理念、愿景、工作思路及核心策略等；</w:t>
      </w:r>
    </w:p>
    <w:p>
      <w:pPr>
        <w:pStyle w:val="25"/>
        <w:tabs>
          <w:tab w:val="left" w:pos="720"/>
          <w:tab w:val="left" w:pos="3265"/>
        </w:tabs>
        <w:autoSpaceDE w:val="0"/>
        <w:autoSpaceDN w:val="0"/>
        <w:adjustRightInd w:val="0"/>
        <w:spacing w:line="360" w:lineRule="auto"/>
        <w:ind w:right="17" w:firstLine="482"/>
        <w:jc w:val="left"/>
        <w:outlineLvl w:val="1"/>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3.建筑功能国际化提升研究。桂湾片区规划城市功能及现状研究、5号楼与深港广场、梦工场北区的功能衔接、5号楼建筑功能、第六立面、建筑风貌、标志性、流线组织等研究。</w:t>
      </w:r>
    </w:p>
    <w:p>
      <w:pPr>
        <w:pStyle w:val="25"/>
        <w:tabs>
          <w:tab w:val="left" w:pos="720"/>
          <w:tab w:val="left" w:pos="3265"/>
        </w:tabs>
        <w:autoSpaceDE w:val="0"/>
        <w:autoSpaceDN w:val="0"/>
        <w:adjustRightInd w:val="0"/>
        <w:spacing w:line="360" w:lineRule="auto"/>
        <w:ind w:right="17" w:firstLine="482"/>
        <w:jc w:val="left"/>
        <w:outlineLvl w:val="1"/>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4.公共空间国际化提升研究。桂湾片区景观规划及现状研究、梦工场北区第六立面景观分析、5号楼与深港广场、梦工场北区及梦海大道的景观协调、5号楼室内外景观协调、5号楼公共空间（功能、城市形象、城市中轴线、景观园林、艺术装置、声光电、园区整体场景营造策略建议、园区广场与消防车道一体化设计）等研究。</w:t>
      </w:r>
    </w:p>
    <w:p>
      <w:pPr>
        <w:pStyle w:val="25"/>
        <w:tabs>
          <w:tab w:val="left" w:pos="720"/>
          <w:tab w:val="left" w:pos="3265"/>
        </w:tabs>
        <w:autoSpaceDE w:val="0"/>
        <w:autoSpaceDN w:val="0"/>
        <w:adjustRightInd w:val="0"/>
        <w:spacing w:line="360" w:lineRule="auto"/>
        <w:ind w:right="17" w:firstLine="482"/>
        <w:jc w:val="left"/>
        <w:outlineLvl w:val="1"/>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5.专项研究。结构、材料、LED展示等相关专项研究。</w:t>
      </w:r>
    </w:p>
    <w:p>
      <w:pPr>
        <w:pStyle w:val="25"/>
        <w:tabs>
          <w:tab w:val="left" w:pos="720"/>
          <w:tab w:val="left" w:pos="3265"/>
        </w:tabs>
        <w:autoSpaceDE w:val="0"/>
        <w:autoSpaceDN w:val="0"/>
        <w:adjustRightInd w:val="0"/>
        <w:spacing w:line="360" w:lineRule="auto"/>
        <w:ind w:right="17" w:firstLine="482"/>
        <w:jc w:val="left"/>
        <w:outlineLvl w:val="1"/>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6.造价估算。造价分析、提升组合建议、建筑及景观目标造价成本。</w:t>
      </w:r>
    </w:p>
    <w:p>
      <w:pPr>
        <w:pStyle w:val="25"/>
        <w:tabs>
          <w:tab w:val="left" w:pos="720"/>
          <w:tab w:val="left" w:pos="3265"/>
        </w:tabs>
        <w:autoSpaceDE w:val="0"/>
        <w:autoSpaceDN w:val="0"/>
        <w:adjustRightInd w:val="0"/>
        <w:spacing w:line="360" w:lineRule="auto"/>
        <w:ind w:right="17" w:firstLine="482"/>
        <w:jc w:val="left"/>
        <w:outlineLvl w:val="1"/>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7.运营策划建议。提出项目公共空间的运营建议，如艺术展陈、活动策划等。</w:t>
      </w:r>
    </w:p>
    <w:p>
      <w:pPr>
        <w:pStyle w:val="25"/>
        <w:tabs>
          <w:tab w:val="left" w:pos="720"/>
        </w:tabs>
        <w:autoSpaceDE w:val="0"/>
        <w:autoSpaceDN w:val="0"/>
        <w:adjustRightInd w:val="0"/>
        <w:spacing w:line="360" w:lineRule="auto"/>
        <w:ind w:right="17" w:firstLine="482"/>
        <w:jc w:val="left"/>
        <w:outlineLvl w:val="1"/>
        <w:rPr>
          <w:rFonts w:hint="eastAsia" w:ascii="宋体" w:hAnsi="宋体" w:cs="宋体"/>
          <w:b/>
          <w:color w:val="auto"/>
          <w:sz w:val="24"/>
          <w:highlight w:val="none"/>
        </w:rPr>
      </w:pPr>
      <w:r>
        <w:rPr>
          <w:rFonts w:hint="eastAsia" w:ascii="宋体" w:hAnsi="宋体" w:cs="宋体"/>
          <w:b/>
          <w:color w:val="auto"/>
          <w:sz w:val="24"/>
          <w:highlight w:val="none"/>
          <w:lang w:val="en-US" w:eastAsia="zh-CN"/>
        </w:rPr>
        <w:t>五、工作进度及成果要求</w:t>
      </w:r>
    </w:p>
    <w:p>
      <w:pPr>
        <w:pStyle w:val="25"/>
        <w:tabs>
          <w:tab w:val="left" w:pos="720"/>
        </w:tabs>
        <w:autoSpaceDE w:val="0"/>
        <w:autoSpaceDN w:val="0"/>
        <w:adjustRightInd w:val="0"/>
        <w:spacing w:line="360" w:lineRule="auto"/>
        <w:ind w:right="17" w:firstLine="482"/>
        <w:jc w:val="left"/>
        <w:outlineLvl w:val="1"/>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（一）工作进度计划</w:t>
      </w:r>
    </w:p>
    <w:p>
      <w:pPr>
        <w:pStyle w:val="25"/>
        <w:tabs>
          <w:tab w:val="left" w:pos="720"/>
        </w:tabs>
        <w:autoSpaceDE w:val="0"/>
        <w:autoSpaceDN w:val="0"/>
        <w:adjustRightInd w:val="0"/>
        <w:spacing w:line="360" w:lineRule="auto"/>
        <w:ind w:right="17" w:firstLine="482"/>
        <w:jc w:val="left"/>
        <w:outlineLvl w:val="1"/>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本项目计划工作时间为自合同签订之日起4个月内完成该项目相关成果的编制、汇报等工作，并经采购人审议通过。具体工作划分为3个阶段：</w:t>
      </w:r>
    </w:p>
    <w:p>
      <w:pPr>
        <w:pStyle w:val="25"/>
        <w:tabs>
          <w:tab w:val="left" w:pos="720"/>
        </w:tabs>
        <w:autoSpaceDE w:val="0"/>
        <w:autoSpaceDN w:val="0"/>
        <w:adjustRightInd w:val="0"/>
        <w:spacing w:line="360" w:lineRule="auto"/>
        <w:ind w:right="17" w:firstLine="482"/>
        <w:jc w:val="left"/>
        <w:outlineLvl w:val="1"/>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第一阶段：完成现状调研及前期资料收集，梳理项目及周边情况。完成第一次概念设计文件编制及汇报；（1个月）</w:t>
      </w:r>
    </w:p>
    <w:p>
      <w:pPr>
        <w:pStyle w:val="25"/>
        <w:tabs>
          <w:tab w:val="left" w:pos="720"/>
        </w:tabs>
        <w:autoSpaceDE w:val="0"/>
        <w:autoSpaceDN w:val="0"/>
        <w:adjustRightInd w:val="0"/>
        <w:spacing w:line="360" w:lineRule="auto"/>
        <w:ind w:right="17" w:firstLine="482"/>
        <w:jc w:val="left"/>
        <w:outlineLvl w:val="1"/>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第二阶段：完成中期概念设计文件编制及汇报等，并提交成果文件；（2个月）</w:t>
      </w:r>
    </w:p>
    <w:p>
      <w:pPr>
        <w:pStyle w:val="25"/>
        <w:tabs>
          <w:tab w:val="left" w:pos="720"/>
        </w:tabs>
        <w:autoSpaceDE w:val="0"/>
        <w:autoSpaceDN w:val="0"/>
        <w:adjustRightInd w:val="0"/>
        <w:spacing w:line="360" w:lineRule="auto"/>
        <w:ind w:right="17" w:firstLine="482"/>
        <w:jc w:val="left"/>
        <w:outlineLvl w:val="1"/>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第三阶段：完成最终概念设计文件编制及汇报等及全部工作内容成果。（1个月）</w:t>
      </w:r>
    </w:p>
    <w:p>
      <w:pPr>
        <w:pStyle w:val="25"/>
        <w:tabs>
          <w:tab w:val="left" w:pos="720"/>
        </w:tabs>
        <w:autoSpaceDE w:val="0"/>
        <w:autoSpaceDN w:val="0"/>
        <w:adjustRightInd w:val="0"/>
        <w:spacing w:line="360" w:lineRule="auto"/>
        <w:ind w:right="17" w:firstLine="482"/>
        <w:jc w:val="left"/>
        <w:outlineLvl w:val="1"/>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（二）成果要求</w:t>
      </w:r>
    </w:p>
    <w:p>
      <w:pPr>
        <w:pStyle w:val="25"/>
        <w:tabs>
          <w:tab w:val="left" w:pos="720"/>
        </w:tabs>
        <w:autoSpaceDE w:val="0"/>
        <w:autoSpaceDN w:val="0"/>
        <w:adjustRightInd w:val="0"/>
        <w:spacing w:line="360" w:lineRule="auto"/>
        <w:ind w:right="17" w:firstLine="482"/>
        <w:jc w:val="left"/>
        <w:outlineLvl w:val="1"/>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第一阶段：提交第一版概念设计文件，包括PDF文件，纸质版文件4份；</w:t>
      </w:r>
    </w:p>
    <w:p>
      <w:pPr>
        <w:pStyle w:val="25"/>
        <w:tabs>
          <w:tab w:val="left" w:pos="720"/>
        </w:tabs>
        <w:autoSpaceDE w:val="0"/>
        <w:autoSpaceDN w:val="0"/>
        <w:adjustRightInd w:val="0"/>
        <w:spacing w:line="360" w:lineRule="auto"/>
        <w:ind w:right="17" w:firstLine="482"/>
        <w:jc w:val="left"/>
        <w:outlineLvl w:val="1"/>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第二阶段：提交中期概念设计文件，包括PDF文件，纸质版文件4份；</w:t>
      </w:r>
    </w:p>
    <w:p>
      <w:pPr>
        <w:pStyle w:val="25"/>
        <w:tabs>
          <w:tab w:val="left" w:pos="720"/>
        </w:tabs>
        <w:autoSpaceDE w:val="0"/>
        <w:autoSpaceDN w:val="0"/>
        <w:adjustRightInd w:val="0"/>
        <w:spacing w:line="360" w:lineRule="auto"/>
        <w:ind w:right="17" w:firstLine="482"/>
        <w:jc w:val="left"/>
        <w:outlineLvl w:val="1"/>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第三阶段：提交最终概念设计文件及全部成果电子文件，包括电子光盘2份，纸质文件4份。</w:t>
      </w:r>
    </w:p>
    <w:p>
      <w:pPr>
        <w:pStyle w:val="25"/>
        <w:tabs>
          <w:tab w:val="left" w:pos="720"/>
        </w:tabs>
        <w:autoSpaceDE w:val="0"/>
        <w:autoSpaceDN w:val="0"/>
        <w:adjustRightInd w:val="0"/>
        <w:spacing w:line="360" w:lineRule="auto"/>
        <w:ind w:right="17" w:firstLine="482"/>
        <w:jc w:val="left"/>
        <w:outlineLvl w:val="1"/>
        <w:rPr>
          <w:rFonts w:hint="eastAsia" w:ascii="宋体" w:hAnsi="宋体" w:cs="宋体"/>
          <w:b/>
          <w:color w:val="auto"/>
          <w:sz w:val="24"/>
          <w:highlight w:val="none"/>
        </w:rPr>
      </w:pP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验收标准</w:t>
      </w:r>
    </w:p>
    <w:p>
      <w:pPr>
        <w:pStyle w:val="25"/>
        <w:tabs>
          <w:tab w:val="left" w:pos="720"/>
        </w:tabs>
        <w:autoSpaceDE w:val="0"/>
        <w:autoSpaceDN w:val="0"/>
        <w:adjustRightInd w:val="0"/>
        <w:spacing w:line="360" w:lineRule="auto"/>
        <w:ind w:right="17" w:firstLine="480"/>
        <w:jc w:val="left"/>
        <w:rPr>
          <w:rFonts w:hint="eastAsia" w:ascii="宋体" w:hAnsi="宋体" w:cs="宋体"/>
          <w:bCs/>
          <w:color w:val="auto"/>
          <w:sz w:val="24"/>
          <w:highlight w:val="none"/>
        </w:rPr>
      </w:pPr>
      <w:r>
        <w:rPr>
          <w:rFonts w:hint="eastAsia" w:ascii="宋体" w:hAnsi="宋体" w:cs="宋体"/>
          <w:bCs/>
          <w:color w:val="auto"/>
          <w:sz w:val="24"/>
          <w:highlight w:val="none"/>
        </w:rPr>
        <w:t>中标人编制的本项目全部成果通过采购人验收合格。</w:t>
      </w:r>
    </w:p>
    <w:p>
      <w:pPr>
        <w:pStyle w:val="25"/>
        <w:tabs>
          <w:tab w:val="left" w:pos="720"/>
        </w:tabs>
        <w:autoSpaceDE w:val="0"/>
        <w:autoSpaceDN w:val="0"/>
        <w:adjustRightInd w:val="0"/>
        <w:spacing w:line="360" w:lineRule="auto"/>
        <w:ind w:right="17" w:firstLine="482"/>
        <w:jc w:val="left"/>
        <w:outlineLvl w:val="1"/>
        <w:rPr>
          <w:rFonts w:hint="eastAsia" w:ascii="宋体" w:hAnsi="宋体" w:cs="宋体"/>
          <w:b/>
          <w:color w:val="auto"/>
          <w:sz w:val="24"/>
        </w:rPr>
      </w:pPr>
      <w:r>
        <w:rPr>
          <w:rFonts w:hint="eastAsia" w:ascii="宋体" w:hAnsi="宋体" w:cs="宋体"/>
          <w:b/>
          <w:color w:val="auto"/>
          <w:sz w:val="24"/>
          <w:lang w:val="en-US" w:eastAsia="zh-CN"/>
        </w:rPr>
        <w:t>七、</w:t>
      </w:r>
      <w:r>
        <w:rPr>
          <w:rFonts w:hint="eastAsia" w:ascii="宋体" w:hAnsi="宋体" w:cs="宋体"/>
          <w:b/>
          <w:color w:val="auto"/>
          <w:sz w:val="24"/>
        </w:rPr>
        <w:t>商务要求</w:t>
      </w:r>
    </w:p>
    <w:p>
      <w:pPr>
        <w:tabs>
          <w:tab w:val="left" w:pos="720"/>
        </w:tabs>
        <w:autoSpaceDE w:val="0"/>
        <w:autoSpaceDN w:val="0"/>
        <w:adjustRightInd w:val="0"/>
        <w:spacing w:line="360" w:lineRule="auto"/>
        <w:ind w:right="17" w:firstLine="482" w:firstLineChars="200"/>
        <w:outlineLvl w:val="2"/>
        <w:rPr>
          <w:rFonts w:hint="eastAsia" w:ascii="宋体" w:hAnsi="宋体" w:cs="宋体"/>
          <w:color w:val="auto"/>
          <w:sz w:val="24"/>
        </w:rPr>
      </w:pPr>
      <w:r>
        <w:rPr>
          <w:rFonts w:hint="eastAsia" w:ascii="宋体" w:hAnsi="宋体" w:cs="宋体"/>
          <w:b/>
          <w:bCs/>
          <w:color w:val="auto"/>
          <w:kern w:val="0"/>
          <w:sz w:val="24"/>
        </w:rPr>
        <w:t>（一）服务期限</w:t>
      </w:r>
    </w:p>
    <w:p>
      <w:pPr>
        <w:spacing w:after="156" w:afterLines="50" w:line="360" w:lineRule="auto"/>
        <w:ind w:firstLine="480" w:firstLineChars="200"/>
        <w:rPr>
          <w:rFonts w:hint="eastAsia"/>
          <w:color w:val="auto"/>
        </w:rPr>
      </w:pPr>
      <w:r>
        <w:rPr>
          <w:rFonts w:hint="eastAsia" w:ascii="宋体" w:hAnsi="宋体" w:cs="宋体"/>
          <w:color w:val="auto"/>
          <w:sz w:val="24"/>
          <w:lang w:eastAsia="zh-CN"/>
        </w:rPr>
        <w:t>自合同签订日期起</w:t>
      </w:r>
      <w:r>
        <w:rPr>
          <w:rFonts w:hint="eastAsia" w:ascii="宋体" w:hAnsi="宋体" w:cs="宋体"/>
          <w:color w:val="auto"/>
          <w:sz w:val="24"/>
          <w:lang w:val="en-US" w:eastAsia="zh-CN"/>
        </w:rPr>
        <w:t>4个月内</w:t>
      </w:r>
      <w:r>
        <w:rPr>
          <w:rFonts w:hint="eastAsia" w:ascii="宋体" w:hAnsi="宋体" w:cs="宋体"/>
          <w:color w:val="auto"/>
          <w:sz w:val="24"/>
        </w:rPr>
        <w:t>。</w:t>
      </w:r>
    </w:p>
    <w:p>
      <w:pPr>
        <w:tabs>
          <w:tab w:val="left" w:pos="720"/>
        </w:tabs>
        <w:autoSpaceDE w:val="0"/>
        <w:autoSpaceDN w:val="0"/>
        <w:adjustRightInd w:val="0"/>
        <w:spacing w:line="360" w:lineRule="auto"/>
        <w:ind w:right="17" w:firstLine="482" w:firstLineChars="200"/>
        <w:outlineLvl w:val="2"/>
        <w:rPr>
          <w:rFonts w:hint="default" w:ascii="宋体" w:hAnsi="宋体" w:eastAsia="宋体" w:cs="宋体"/>
          <w:b/>
          <w:bCs/>
          <w:color w:val="auto"/>
          <w:kern w:val="0"/>
          <w:sz w:val="24"/>
          <w:lang w:val="en-US" w:eastAsia="zh-CN"/>
        </w:rPr>
      </w:pPr>
      <w:r>
        <w:rPr>
          <w:rFonts w:hint="eastAsia" w:ascii="宋体" w:hAnsi="宋体" w:eastAsia="宋体" w:cs="宋体"/>
          <w:b/>
          <w:bCs/>
          <w:color w:val="auto"/>
          <w:kern w:val="0"/>
          <w:sz w:val="24"/>
          <w:lang w:eastAsia="zh-CN"/>
        </w:rPr>
        <w:t>（</w:t>
      </w:r>
      <w:r>
        <w:rPr>
          <w:rFonts w:hint="eastAsia" w:ascii="宋体" w:hAnsi="宋体" w:eastAsia="宋体" w:cs="宋体"/>
          <w:b/>
          <w:bCs/>
          <w:color w:val="auto"/>
          <w:kern w:val="0"/>
          <w:sz w:val="24"/>
          <w:lang w:val="en-US" w:eastAsia="zh-CN"/>
        </w:rPr>
        <w:t>二</w:t>
      </w:r>
      <w:r>
        <w:rPr>
          <w:rFonts w:hint="eastAsia" w:ascii="宋体" w:hAnsi="宋体" w:eastAsia="宋体" w:cs="宋体"/>
          <w:b/>
          <w:bCs/>
          <w:color w:val="auto"/>
          <w:kern w:val="0"/>
          <w:sz w:val="24"/>
          <w:lang w:eastAsia="zh-CN"/>
        </w:rPr>
        <w:t>）</w:t>
      </w:r>
      <w:r>
        <w:rPr>
          <w:rFonts w:hint="eastAsia" w:ascii="宋体" w:hAnsi="宋体" w:eastAsia="宋体" w:cs="宋体"/>
          <w:b/>
          <w:bCs/>
          <w:color w:val="auto"/>
          <w:kern w:val="0"/>
          <w:sz w:val="24"/>
          <w:lang w:val="en-US" w:eastAsia="zh-CN"/>
        </w:rPr>
        <w:t>后续服务要求</w:t>
      </w:r>
    </w:p>
    <w:p>
      <w:pPr>
        <w:spacing w:after="156" w:afterLines="50"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项目后续服务期限为最终成果通过采购人审查之日起的1年内，中标人须与采购人保持全面沟通，提供技术服务支持。</w:t>
      </w:r>
    </w:p>
    <w:p>
      <w:pPr>
        <w:tabs>
          <w:tab w:val="left" w:pos="720"/>
        </w:tabs>
        <w:autoSpaceDE w:val="0"/>
        <w:autoSpaceDN w:val="0"/>
        <w:adjustRightInd w:val="0"/>
        <w:spacing w:line="360" w:lineRule="auto"/>
        <w:ind w:right="17" w:firstLine="482" w:firstLineChars="200"/>
        <w:outlineLvl w:val="2"/>
        <w:rPr>
          <w:rFonts w:hint="default" w:ascii="宋体" w:hAnsi="宋体" w:eastAsia="宋体" w:cs="宋体"/>
          <w:b/>
          <w:bCs/>
          <w:color w:val="auto"/>
          <w:kern w:val="0"/>
          <w:sz w:val="24"/>
          <w:lang w:val="en-US" w:eastAsia="zh-CN"/>
        </w:rPr>
      </w:pPr>
      <w:r>
        <w:rPr>
          <w:rFonts w:hint="eastAsia" w:ascii="宋体" w:hAnsi="宋体" w:cs="宋体"/>
          <w:b/>
          <w:bCs/>
          <w:color w:val="auto"/>
          <w:kern w:val="0"/>
          <w:sz w:val="24"/>
        </w:rPr>
        <w:t>（</w:t>
      </w:r>
      <w:r>
        <w:rPr>
          <w:rFonts w:hint="eastAsia" w:ascii="宋体" w:hAnsi="宋体" w:cs="宋体"/>
          <w:b/>
          <w:bCs/>
          <w:color w:val="auto"/>
          <w:kern w:val="0"/>
          <w:sz w:val="24"/>
          <w:lang w:val="en-US" w:eastAsia="zh-CN"/>
        </w:rPr>
        <w:t>三</w:t>
      </w:r>
      <w:r>
        <w:rPr>
          <w:rFonts w:hint="eastAsia" w:ascii="宋体" w:hAnsi="宋体" w:cs="宋体"/>
          <w:b/>
          <w:bCs/>
          <w:color w:val="auto"/>
          <w:kern w:val="0"/>
          <w:sz w:val="24"/>
        </w:rPr>
        <w:t>）</w:t>
      </w:r>
      <w:r>
        <w:rPr>
          <w:rFonts w:hint="eastAsia" w:ascii="宋体" w:hAnsi="宋体" w:cs="宋体"/>
          <w:b/>
          <w:bCs/>
          <w:color w:val="auto"/>
          <w:kern w:val="0"/>
          <w:sz w:val="24"/>
          <w:lang w:val="en-US" w:eastAsia="zh-CN"/>
        </w:rPr>
        <w:t>服务地点</w:t>
      </w:r>
    </w:p>
    <w:p>
      <w:pPr>
        <w:spacing w:after="156" w:afterLines="50"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前海深港现代服务业合作区。</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rPr>
      </w:pPr>
      <w:r>
        <w:rPr>
          <w:rFonts w:hint="eastAsia" w:ascii="宋体" w:hAnsi="宋体" w:cs="宋体"/>
          <w:b/>
          <w:bCs/>
          <w:color w:val="auto"/>
          <w:kern w:val="0"/>
          <w:sz w:val="24"/>
        </w:rPr>
        <w:t>（</w:t>
      </w:r>
      <w:r>
        <w:rPr>
          <w:rFonts w:hint="eastAsia" w:ascii="宋体" w:hAnsi="宋体" w:cs="宋体"/>
          <w:b/>
          <w:bCs/>
          <w:color w:val="auto"/>
          <w:kern w:val="0"/>
          <w:sz w:val="24"/>
          <w:lang w:val="en-US" w:eastAsia="zh-CN"/>
        </w:rPr>
        <w:t>四</w:t>
      </w:r>
      <w:r>
        <w:rPr>
          <w:rFonts w:hint="eastAsia" w:ascii="宋体" w:hAnsi="宋体" w:cs="宋体"/>
          <w:b/>
          <w:bCs/>
          <w:color w:val="auto"/>
          <w:kern w:val="0"/>
          <w:sz w:val="24"/>
        </w:rPr>
        <w:t>）报价要求</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1.本次投标为总价包干，投标报价总价作为中标人与采购人签定的合同金额。投标人的报价不可高于预算（限价），否则投标人的投标文件视同无效。</w:t>
      </w:r>
      <w:r>
        <w:rPr>
          <w:rFonts w:hint="eastAsia" w:ascii="宋体" w:hAnsi="宋体" w:cs="宋体"/>
          <w:color w:val="auto"/>
          <w:sz w:val="24"/>
          <w:lang w:eastAsia="zh-CN"/>
        </w:rPr>
        <w:t>投标人的投标总价为完成项目及招标文件或合同条款所规定的工作内容的各项费用，项目服务费包括</w:t>
      </w:r>
      <w:r>
        <w:rPr>
          <w:rFonts w:hint="eastAsia" w:ascii="宋体" w:hAnsi="宋体" w:cs="宋体"/>
          <w:color w:val="auto"/>
          <w:sz w:val="24"/>
          <w:lang w:val="en-US" w:eastAsia="zh-CN"/>
        </w:rPr>
        <w:t>但不限于：</w:t>
      </w:r>
      <w:r>
        <w:rPr>
          <w:rFonts w:hint="eastAsia" w:ascii="宋体" w:hAnsi="宋体" w:cs="宋体"/>
          <w:color w:val="auto"/>
          <w:kern w:val="0"/>
          <w:sz w:val="24"/>
          <w:lang w:val="en-US" w:eastAsia="zh-CN"/>
        </w:rPr>
        <w:t>调查调研、差旅费、项目成果报告编制、印刷费、专家咨询费以及会议费等所有费用，并提供合同要求的报告、全部规划研究成果文件和全部资料，以及其它相关服务的全部费用；由企业根据招标文件所提供的资料自行测算投标报价；一经中标，投标报价总价作为中标单位与采购人签定的合同金额，合同期限内不做调整</w:t>
      </w:r>
      <w:r>
        <w:rPr>
          <w:rFonts w:hint="eastAsia" w:ascii="宋体" w:hAnsi="宋体" w:cs="宋体"/>
          <w:color w:val="auto"/>
          <w:sz w:val="24"/>
        </w:rPr>
        <w:t>。</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hint="eastAsia" w:ascii="宋体" w:hAnsi="宋体" w:cs="宋体"/>
          <w:b/>
          <w:bCs/>
          <w:color w:val="auto"/>
          <w:kern w:val="0"/>
          <w:sz w:val="24"/>
        </w:rPr>
      </w:pPr>
      <w:r>
        <w:rPr>
          <w:rFonts w:hint="eastAsia" w:ascii="宋体" w:hAnsi="宋体" w:cs="宋体"/>
          <w:color w:val="auto"/>
          <w:sz w:val="24"/>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五</w:t>
      </w:r>
      <w:r>
        <w:rPr>
          <w:rFonts w:hint="eastAsia" w:ascii="宋体" w:hAnsi="宋体" w:cs="宋体"/>
          <w:b/>
          <w:bCs/>
          <w:color w:val="auto"/>
          <w:kern w:val="0"/>
          <w:sz w:val="24"/>
          <w:highlight w:val="none"/>
        </w:rPr>
        <w:t>）付款方式</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本合同共分四期进行付款：首期款30%，第二期款30%，第三期款30%，第四期10%；</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1.1.第一期：签订合同15个工作日内，支付合同总价款的30%；</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1.2.第二期：完成《中期概念设计文件编制及汇报》并通过</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验收合格后，支付合同总价款的30%；</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1.3.第三期：完成《最终概念设计文件编制及汇报》，经采购人局领导专题会审议通过后，支付合同总价款的30%；</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1.4.第四期：</w:t>
      </w:r>
      <w:r>
        <w:rPr>
          <w:rFonts w:hint="eastAsia" w:ascii="宋体" w:hAnsi="宋体" w:eastAsia="宋体" w:cs="宋体"/>
          <w:color w:val="000000"/>
          <w:sz w:val="24"/>
          <w:szCs w:val="24"/>
        </w:rPr>
        <w:t>完成全部</w:t>
      </w:r>
      <w:r>
        <w:rPr>
          <w:rFonts w:hint="eastAsia" w:ascii="宋体" w:hAnsi="宋体" w:eastAsia="宋体" w:cs="宋体"/>
          <w:color w:val="000000"/>
          <w:sz w:val="24"/>
          <w:szCs w:val="24"/>
          <w:lang w:val="en-US" w:eastAsia="zh-CN"/>
        </w:rPr>
        <w:t>最终成果</w:t>
      </w:r>
      <w:r>
        <w:rPr>
          <w:rFonts w:hint="eastAsia" w:ascii="宋体" w:hAnsi="宋体" w:eastAsia="宋体" w:cs="宋体"/>
          <w:color w:val="000000"/>
          <w:sz w:val="24"/>
          <w:szCs w:val="24"/>
        </w:rPr>
        <w:t>内容</w:t>
      </w:r>
      <w:r>
        <w:rPr>
          <w:rFonts w:hint="eastAsia" w:ascii="宋体" w:hAnsi="宋体" w:eastAsia="宋体" w:cs="宋体"/>
          <w:color w:val="000000"/>
          <w:sz w:val="24"/>
          <w:szCs w:val="24"/>
          <w:lang w:val="en-US" w:eastAsia="zh-CN"/>
        </w:rPr>
        <w:t>和</w:t>
      </w:r>
      <w:r>
        <w:rPr>
          <w:rFonts w:hint="eastAsia" w:ascii="宋体" w:hAnsi="宋体" w:eastAsia="宋体" w:cs="宋体"/>
          <w:color w:val="000000"/>
          <w:sz w:val="24"/>
          <w:szCs w:val="24"/>
        </w:rPr>
        <w:t>提交全部成果文件</w:t>
      </w:r>
      <w:r>
        <w:rPr>
          <w:rFonts w:hint="eastAsia" w:ascii="仿宋_GB2312" w:hAnsi="仿宋_GB2312" w:eastAsia="仿宋_GB2312" w:cs="仿宋_GB2312"/>
          <w:color w:val="000000"/>
          <w:sz w:val="24"/>
          <w:szCs w:val="24"/>
        </w:rPr>
        <w:t>，</w:t>
      </w:r>
      <w:r>
        <w:rPr>
          <w:rFonts w:hint="eastAsia" w:ascii="宋体" w:hAnsi="宋体" w:cs="宋体"/>
          <w:color w:val="auto"/>
          <w:sz w:val="24"/>
          <w:highlight w:val="none"/>
        </w:rPr>
        <w:t>并通过采购人验收合格后，支付合同总价款的10%。</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上述每期款项均在满足付款条件，且采购人收到中标人开具的载明相应金额的合格发票后15个工作日内付至中标人指定银行账户。如未及时收到发票，则采购人相应付款时间顺延。若因</w:t>
      </w:r>
      <w:r>
        <w:rPr>
          <w:rFonts w:ascii="宋体" w:hAnsi="宋体" w:cs="宋体"/>
          <w:color w:val="auto"/>
          <w:sz w:val="24"/>
        </w:rPr>
        <w:t>采购人</w:t>
      </w:r>
      <w:r>
        <w:rPr>
          <w:rFonts w:hint="eastAsia" w:ascii="宋体" w:hAnsi="宋体" w:cs="宋体"/>
          <w:color w:val="auto"/>
          <w:sz w:val="24"/>
        </w:rPr>
        <w:t>付款审批影响支付进度，请</w:t>
      </w:r>
      <w:r>
        <w:rPr>
          <w:rFonts w:ascii="宋体" w:hAnsi="宋体" w:cs="宋体"/>
          <w:color w:val="auto"/>
          <w:sz w:val="24"/>
        </w:rPr>
        <w:t>中标人</w:t>
      </w:r>
      <w:r>
        <w:rPr>
          <w:rFonts w:hint="eastAsia" w:ascii="宋体" w:hAnsi="宋体" w:cs="宋体"/>
          <w:color w:val="auto"/>
          <w:sz w:val="24"/>
        </w:rPr>
        <w:t>予以谅解，并不得就此向</w:t>
      </w:r>
      <w:r>
        <w:rPr>
          <w:rFonts w:ascii="宋体" w:hAnsi="宋体" w:cs="宋体"/>
          <w:color w:val="auto"/>
          <w:sz w:val="24"/>
        </w:rPr>
        <w:t>采购人</w:t>
      </w:r>
      <w:r>
        <w:rPr>
          <w:rFonts w:hint="eastAsia" w:ascii="宋体" w:hAnsi="宋体" w:cs="宋体"/>
          <w:color w:val="auto"/>
          <w:sz w:val="24"/>
        </w:rPr>
        <w:t>索赔</w:t>
      </w:r>
      <w:r>
        <w:rPr>
          <w:rFonts w:hint="eastAsia" w:ascii="宋体" w:hAnsi="宋体" w:cs="宋体"/>
          <w:color w:val="auto"/>
          <w:sz w:val="24"/>
          <w:highlight w:val="none"/>
        </w:rPr>
        <w:t>。</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rPr>
      </w:pPr>
      <w:r>
        <w:rPr>
          <w:rFonts w:hint="eastAsia" w:ascii="宋体" w:hAnsi="宋体" w:cs="宋体"/>
          <w:b/>
          <w:bCs/>
          <w:color w:val="auto"/>
          <w:kern w:val="0"/>
          <w:sz w:val="24"/>
        </w:rPr>
        <w:t>（</w:t>
      </w:r>
      <w:r>
        <w:rPr>
          <w:rFonts w:hint="eastAsia" w:ascii="宋体" w:hAnsi="宋体" w:cs="宋体"/>
          <w:b/>
          <w:bCs/>
          <w:color w:val="auto"/>
          <w:kern w:val="0"/>
          <w:sz w:val="24"/>
          <w:lang w:val="en-US" w:eastAsia="zh-CN"/>
        </w:rPr>
        <w:t>六</w:t>
      </w:r>
      <w:r>
        <w:rPr>
          <w:rFonts w:hint="eastAsia" w:ascii="宋体" w:hAnsi="宋体" w:cs="宋体"/>
          <w:b/>
          <w:bCs/>
          <w:color w:val="auto"/>
          <w:kern w:val="0"/>
          <w:sz w:val="24"/>
        </w:rPr>
        <w:t>）成果权属与知识产权</w:t>
      </w:r>
    </w:p>
    <w:p>
      <w:pPr>
        <w:widowControl/>
        <w:spacing w:line="360" w:lineRule="auto"/>
        <w:ind w:firstLine="480" w:firstLineChars="200"/>
        <w:outlineLvl w:val="2"/>
        <w:rPr>
          <w:rFonts w:hint="eastAsia" w:ascii="宋体" w:hAnsi="宋体" w:cs="宋体"/>
          <w:b w:val="0"/>
          <w:bCs w:val="0"/>
          <w:color w:val="000000" w:themeColor="text1"/>
          <w:kern w:val="0"/>
          <w:sz w:val="24"/>
          <w14:textFill>
            <w14:solidFill>
              <w14:schemeClr w14:val="tx1"/>
            </w14:solidFill>
          </w14:textFill>
        </w:rPr>
      </w:pPr>
      <w:r>
        <w:rPr>
          <w:rFonts w:hint="eastAsia" w:ascii="宋体" w:hAnsi="宋体" w:cs="宋体"/>
          <w:b w:val="0"/>
          <w:bCs w:val="0"/>
          <w:color w:val="000000" w:themeColor="text1"/>
          <w:kern w:val="0"/>
          <w:sz w:val="24"/>
          <w14:textFill>
            <w14:solidFill>
              <w14:schemeClr w14:val="tx1"/>
            </w14:solidFill>
          </w14:textFill>
        </w:rPr>
        <w:t>1.本项目最终成果（包括为后续服务范围所编制的文件）的所有权、知识产权以及与之相关的所有权利，在</w:t>
      </w:r>
      <w:r>
        <w:rPr>
          <w:rFonts w:hint="eastAsia" w:ascii="宋体" w:hAnsi="宋体" w:cs="宋体"/>
          <w:b w:val="0"/>
          <w:bCs w:val="0"/>
          <w:color w:val="000000" w:themeColor="text1"/>
          <w:kern w:val="0"/>
          <w:sz w:val="24"/>
          <w:lang w:val="en-US" w:eastAsia="zh-CN"/>
          <w14:textFill>
            <w14:solidFill>
              <w14:schemeClr w14:val="tx1"/>
            </w14:solidFill>
          </w14:textFill>
        </w:rPr>
        <w:t>采购人</w:t>
      </w:r>
      <w:r>
        <w:rPr>
          <w:rFonts w:hint="eastAsia" w:ascii="宋体" w:hAnsi="宋体" w:cs="宋体"/>
          <w:b w:val="0"/>
          <w:bCs w:val="0"/>
          <w:color w:val="000000" w:themeColor="text1"/>
          <w:kern w:val="0"/>
          <w:sz w:val="24"/>
          <w14:textFill>
            <w14:solidFill>
              <w14:schemeClr w14:val="tx1"/>
            </w14:solidFill>
          </w14:textFill>
        </w:rPr>
        <w:t>向</w:t>
      </w:r>
      <w:r>
        <w:rPr>
          <w:rFonts w:hint="eastAsia" w:ascii="宋体" w:hAnsi="宋体" w:cs="宋体"/>
          <w:b w:val="0"/>
          <w:bCs w:val="0"/>
          <w:color w:val="000000" w:themeColor="text1"/>
          <w:kern w:val="0"/>
          <w:sz w:val="24"/>
          <w:lang w:val="en-US" w:eastAsia="zh-CN"/>
          <w14:textFill>
            <w14:solidFill>
              <w14:schemeClr w14:val="tx1"/>
            </w14:solidFill>
          </w14:textFill>
        </w:rPr>
        <w:t>中标人</w:t>
      </w:r>
      <w:r>
        <w:rPr>
          <w:rFonts w:hint="eastAsia" w:ascii="宋体" w:hAnsi="宋体" w:cs="宋体"/>
          <w:b w:val="0"/>
          <w:bCs w:val="0"/>
          <w:color w:val="000000" w:themeColor="text1"/>
          <w:kern w:val="0"/>
          <w:sz w:val="24"/>
          <w14:textFill>
            <w14:solidFill>
              <w14:schemeClr w14:val="tx1"/>
            </w14:solidFill>
          </w14:textFill>
        </w:rPr>
        <w:t>付清全部服务费后归</w:t>
      </w:r>
      <w:r>
        <w:rPr>
          <w:rFonts w:hint="eastAsia" w:ascii="宋体" w:hAnsi="宋体" w:cs="宋体"/>
          <w:b w:val="0"/>
          <w:bCs w:val="0"/>
          <w:color w:val="000000" w:themeColor="text1"/>
          <w:kern w:val="0"/>
          <w:sz w:val="24"/>
          <w:lang w:val="en-US" w:eastAsia="zh-CN"/>
          <w14:textFill>
            <w14:solidFill>
              <w14:schemeClr w14:val="tx1"/>
            </w14:solidFill>
          </w14:textFill>
        </w:rPr>
        <w:t>采购人</w:t>
      </w:r>
      <w:r>
        <w:rPr>
          <w:rFonts w:hint="eastAsia" w:ascii="宋体" w:hAnsi="宋体" w:cs="宋体"/>
          <w:b w:val="0"/>
          <w:bCs w:val="0"/>
          <w:color w:val="000000" w:themeColor="text1"/>
          <w:kern w:val="0"/>
          <w:sz w:val="24"/>
          <w14:textFill>
            <w14:solidFill>
              <w14:schemeClr w14:val="tx1"/>
            </w14:solidFill>
          </w14:textFill>
        </w:rPr>
        <w:t>所有，</w:t>
      </w:r>
      <w:r>
        <w:rPr>
          <w:rFonts w:hint="eastAsia" w:ascii="宋体" w:hAnsi="宋体" w:cs="宋体"/>
          <w:b w:val="0"/>
          <w:bCs w:val="0"/>
          <w:color w:val="000000" w:themeColor="text1"/>
          <w:kern w:val="0"/>
          <w:sz w:val="24"/>
          <w:lang w:val="en-US" w:eastAsia="zh-CN"/>
          <w14:textFill>
            <w14:solidFill>
              <w14:schemeClr w14:val="tx1"/>
            </w14:solidFill>
          </w14:textFill>
        </w:rPr>
        <w:t>中标人</w:t>
      </w:r>
      <w:r>
        <w:rPr>
          <w:rFonts w:hint="eastAsia" w:ascii="宋体" w:hAnsi="宋体" w:cs="宋体"/>
          <w:b w:val="0"/>
          <w:bCs w:val="0"/>
          <w:color w:val="000000" w:themeColor="text1"/>
          <w:kern w:val="0"/>
          <w:sz w:val="24"/>
          <w14:textFill>
            <w14:solidFill>
              <w14:schemeClr w14:val="tx1"/>
            </w14:solidFill>
          </w14:textFill>
        </w:rPr>
        <w:t>保留该成果的署名权以及使用项目形象和资料进行专业推广和出版的权利，本合同签署前</w:t>
      </w:r>
      <w:r>
        <w:rPr>
          <w:rFonts w:hint="eastAsia" w:ascii="宋体" w:hAnsi="宋体" w:cs="宋体"/>
          <w:b w:val="0"/>
          <w:bCs w:val="0"/>
          <w:color w:val="000000" w:themeColor="text1"/>
          <w:kern w:val="0"/>
          <w:sz w:val="24"/>
          <w:lang w:val="en-US" w:eastAsia="zh-CN"/>
          <w14:textFill>
            <w14:solidFill>
              <w14:schemeClr w14:val="tx1"/>
            </w14:solidFill>
          </w14:textFill>
        </w:rPr>
        <w:t>采购人和中标人</w:t>
      </w:r>
      <w:r>
        <w:rPr>
          <w:rFonts w:hint="eastAsia" w:ascii="宋体" w:hAnsi="宋体" w:cs="宋体"/>
          <w:b w:val="0"/>
          <w:bCs w:val="0"/>
          <w:color w:val="000000" w:themeColor="text1"/>
          <w:kern w:val="0"/>
          <w:sz w:val="24"/>
          <w14:textFill>
            <w14:solidFill>
              <w14:schemeClr w14:val="tx1"/>
            </w14:solidFill>
          </w14:textFill>
        </w:rPr>
        <w:t>双方已经拥有的知识产权权利，仍归各自所有。</w:t>
      </w:r>
    </w:p>
    <w:p>
      <w:pPr>
        <w:widowControl/>
        <w:spacing w:line="360" w:lineRule="auto"/>
        <w:ind w:firstLine="480" w:firstLineChars="200"/>
        <w:outlineLvl w:val="2"/>
        <w:rPr>
          <w:rFonts w:hint="eastAsia" w:ascii="宋体" w:hAnsi="宋体" w:cs="宋体"/>
          <w:b w:val="0"/>
          <w:bCs w:val="0"/>
          <w:color w:val="000000" w:themeColor="text1"/>
          <w:kern w:val="0"/>
          <w:sz w:val="24"/>
          <w14:textFill>
            <w14:solidFill>
              <w14:schemeClr w14:val="tx1"/>
            </w14:solidFill>
          </w14:textFill>
        </w:rPr>
      </w:pPr>
      <w:r>
        <w:rPr>
          <w:rFonts w:hint="eastAsia" w:ascii="宋体" w:hAnsi="宋体" w:cs="宋体"/>
          <w:b w:val="0"/>
          <w:bCs w:val="0"/>
          <w:color w:val="000000" w:themeColor="text1"/>
          <w:kern w:val="0"/>
          <w:sz w:val="24"/>
          <w14:textFill>
            <w14:solidFill>
              <w14:schemeClr w14:val="tx1"/>
            </w14:solidFill>
          </w14:textFill>
        </w:rPr>
        <w:t>2.双方确定，</w:t>
      </w:r>
      <w:r>
        <w:rPr>
          <w:rFonts w:hint="eastAsia" w:ascii="宋体" w:hAnsi="宋体" w:cs="宋体"/>
          <w:b w:val="0"/>
          <w:bCs w:val="0"/>
          <w:color w:val="000000" w:themeColor="text1"/>
          <w:kern w:val="0"/>
          <w:sz w:val="24"/>
          <w:lang w:val="en-US" w:eastAsia="zh-CN"/>
          <w14:textFill>
            <w14:solidFill>
              <w14:schemeClr w14:val="tx1"/>
            </w14:solidFill>
          </w14:textFill>
        </w:rPr>
        <w:t>采购人</w:t>
      </w:r>
      <w:r>
        <w:rPr>
          <w:rFonts w:hint="eastAsia" w:ascii="宋体" w:hAnsi="宋体" w:cs="宋体"/>
          <w:b w:val="0"/>
          <w:bCs w:val="0"/>
          <w:color w:val="000000" w:themeColor="text1"/>
          <w:kern w:val="0"/>
          <w:sz w:val="24"/>
          <w14:textFill>
            <w14:solidFill>
              <w14:schemeClr w14:val="tx1"/>
            </w14:solidFill>
          </w14:textFill>
        </w:rPr>
        <w:t>有权对</w:t>
      </w:r>
      <w:r>
        <w:rPr>
          <w:rFonts w:hint="eastAsia" w:ascii="宋体" w:hAnsi="宋体" w:cs="宋体"/>
          <w:b w:val="0"/>
          <w:bCs w:val="0"/>
          <w:color w:val="000000" w:themeColor="text1"/>
          <w:kern w:val="0"/>
          <w:sz w:val="24"/>
          <w:lang w:val="en-US" w:eastAsia="zh-CN"/>
          <w14:textFill>
            <w14:solidFill>
              <w14:schemeClr w14:val="tx1"/>
            </w14:solidFill>
          </w14:textFill>
        </w:rPr>
        <w:t>中标人</w:t>
      </w:r>
      <w:r>
        <w:rPr>
          <w:rFonts w:hint="eastAsia" w:ascii="宋体" w:hAnsi="宋体" w:cs="宋体"/>
          <w:b w:val="0"/>
          <w:bCs w:val="0"/>
          <w:color w:val="000000" w:themeColor="text1"/>
          <w:kern w:val="0"/>
          <w:sz w:val="24"/>
          <w14:textFill>
            <w14:solidFill>
              <w14:schemeClr w14:val="tx1"/>
            </w14:solidFill>
          </w14:textFill>
        </w:rPr>
        <w:t>按照本合同约定提供的成果进行后续改进。由此产生的具有实质性或创造性特征的新的技术成果及其权利全部由</w:t>
      </w:r>
      <w:r>
        <w:rPr>
          <w:rFonts w:hint="eastAsia" w:ascii="宋体" w:hAnsi="宋体" w:cs="宋体"/>
          <w:b w:val="0"/>
          <w:bCs w:val="0"/>
          <w:color w:val="000000" w:themeColor="text1"/>
          <w:kern w:val="0"/>
          <w:sz w:val="24"/>
          <w:lang w:val="en-US" w:eastAsia="zh-CN"/>
          <w14:textFill>
            <w14:solidFill>
              <w14:schemeClr w14:val="tx1"/>
            </w14:solidFill>
          </w14:textFill>
        </w:rPr>
        <w:t>采购人</w:t>
      </w:r>
      <w:r>
        <w:rPr>
          <w:rFonts w:hint="eastAsia" w:ascii="宋体" w:hAnsi="宋体" w:cs="宋体"/>
          <w:b w:val="0"/>
          <w:bCs w:val="0"/>
          <w:color w:val="000000" w:themeColor="text1"/>
          <w:kern w:val="0"/>
          <w:sz w:val="24"/>
          <w14:textFill>
            <w14:solidFill>
              <w14:schemeClr w14:val="tx1"/>
            </w14:solidFill>
          </w14:textFill>
        </w:rPr>
        <w:t>享有。</w:t>
      </w:r>
    </w:p>
    <w:p>
      <w:pPr>
        <w:widowControl/>
        <w:spacing w:line="360" w:lineRule="auto"/>
        <w:ind w:firstLine="480" w:firstLineChars="200"/>
        <w:outlineLvl w:val="2"/>
        <w:rPr>
          <w:rFonts w:hint="eastAsia" w:ascii="宋体" w:hAnsi="宋体" w:cs="宋体"/>
          <w:b w:val="0"/>
          <w:bCs w:val="0"/>
          <w:color w:val="000000" w:themeColor="text1"/>
          <w:kern w:val="0"/>
          <w:sz w:val="24"/>
          <w14:textFill>
            <w14:solidFill>
              <w14:schemeClr w14:val="tx1"/>
            </w14:solidFill>
          </w14:textFill>
        </w:rPr>
      </w:pPr>
      <w:r>
        <w:rPr>
          <w:rFonts w:hint="eastAsia" w:ascii="宋体" w:hAnsi="宋体" w:cs="宋体"/>
          <w:b w:val="0"/>
          <w:bCs w:val="0"/>
          <w:color w:val="000000" w:themeColor="text1"/>
          <w:kern w:val="0"/>
          <w:sz w:val="24"/>
          <w14:textFill>
            <w14:solidFill>
              <w14:schemeClr w14:val="tx1"/>
            </w14:solidFill>
          </w14:textFill>
        </w:rPr>
        <w:t>3.</w:t>
      </w:r>
      <w:r>
        <w:rPr>
          <w:rFonts w:hint="eastAsia" w:ascii="宋体" w:hAnsi="宋体" w:cs="宋体"/>
          <w:b w:val="0"/>
          <w:bCs w:val="0"/>
          <w:color w:val="000000" w:themeColor="text1"/>
          <w:kern w:val="0"/>
          <w:sz w:val="24"/>
          <w:lang w:val="en-US" w:eastAsia="zh-CN"/>
          <w14:textFill>
            <w14:solidFill>
              <w14:schemeClr w14:val="tx1"/>
            </w14:solidFill>
          </w14:textFill>
        </w:rPr>
        <w:t>中标人</w:t>
      </w:r>
      <w:r>
        <w:rPr>
          <w:rFonts w:hint="eastAsia" w:ascii="宋体" w:hAnsi="宋体" w:cs="宋体"/>
          <w:b w:val="0"/>
          <w:bCs w:val="0"/>
          <w:color w:val="000000" w:themeColor="text1"/>
          <w:kern w:val="0"/>
          <w:sz w:val="24"/>
          <w14:textFill>
            <w14:solidFill>
              <w14:schemeClr w14:val="tx1"/>
            </w14:solidFill>
          </w14:textFill>
        </w:rPr>
        <w:t>所提交的最终成果文件及任何数据、资料、软件等不得侵犯任何第三方的知识产权或其他权利，由于该等文件、数据、资料、软件侵权所导致的任何索赔或责任均由</w:t>
      </w:r>
      <w:r>
        <w:rPr>
          <w:rFonts w:hint="eastAsia" w:ascii="宋体" w:hAnsi="宋体" w:cs="宋体"/>
          <w:b w:val="0"/>
          <w:bCs w:val="0"/>
          <w:color w:val="000000" w:themeColor="text1"/>
          <w:kern w:val="0"/>
          <w:sz w:val="24"/>
          <w:lang w:val="en-US" w:eastAsia="zh-CN"/>
          <w14:textFill>
            <w14:solidFill>
              <w14:schemeClr w14:val="tx1"/>
            </w14:solidFill>
          </w14:textFill>
        </w:rPr>
        <w:t>中标人</w:t>
      </w:r>
      <w:r>
        <w:rPr>
          <w:rFonts w:hint="eastAsia" w:ascii="宋体" w:hAnsi="宋体" w:cs="宋体"/>
          <w:b w:val="0"/>
          <w:bCs w:val="0"/>
          <w:color w:val="000000" w:themeColor="text1"/>
          <w:kern w:val="0"/>
          <w:sz w:val="24"/>
          <w14:textFill>
            <w14:solidFill>
              <w14:schemeClr w14:val="tx1"/>
            </w14:solidFill>
          </w14:textFill>
        </w:rPr>
        <w:t>承担。同时，</w:t>
      </w:r>
      <w:r>
        <w:rPr>
          <w:rFonts w:hint="eastAsia" w:ascii="宋体" w:hAnsi="宋体" w:cs="宋体"/>
          <w:b w:val="0"/>
          <w:bCs w:val="0"/>
          <w:color w:val="000000" w:themeColor="text1"/>
          <w:kern w:val="0"/>
          <w:sz w:val="24"/>
          <w:lang w:eastAsia="zh-CN"/>
          <w14:textFill>
            <w14:solidFill>
              <w14:schemeClr w14:val="tx1"/>
            </w14:solidFill>
          </w14:textFill>
        </w:rPr>
        <w:t>采购人</w:t>
      </w:r>
      <w:r>
        <w:rPr>
          <w:rFonts w:hint="eastAsia" w:ascii="宋体" w:hAnsi="宋体" w:cs="宋体"/>
          <w:b w:val="0"/>
          <w:bCs w:val="0"/>
          <w:color w:val="000000" w:themeColor="text1"/>
          <w:kern w:val="0"/>
          <w:sz w:val="24"/>
          <w14:textFill>
            <w14:solidFill>
              <w14:schemeClr w14:val="tx1"/>
            </w14:solidFill>
          </w14:textFill>
        </w:rPr>
        <w:t>有权要求</w:t>
      </w:r>
      <w:r>
        <w:rPr>
          <w:rFonts w:hint="eastAsia" w:ascii="宋体" w:hAnsi="宋体" w:cs="宋体"/>
          <w:b w:val="0"/>
          <w:bCs w:val="0"/>
          <w:color w:val="000000" w:themeColor="text1"/>
          <w:kern w:val="0"/>
          <w:sz w:val="24"/>
          <w:lang w:val="en-US" w:eastAsia="zh-CN"/>
          <w14:textFill>
            <w14:solidFill>
              <w14:schemeClr w14:val="tx1"/>
            </w14:solidFill>
          </w14:textFill>
        </w:rPr>
        <w:t>中标人</w:t>
      </w:r>
      <w:r>
        <w:rPr>
          <w:rFonts w:hint="eastAsia" w:ascii="宋体" w:hAnsi="宋体" w:cs="宋体"/>
          <w:b w:val="0"/>
          <w:bCs w:val="0"/>
          <w:color w:val="000000" w:themeColor="text1"/>
          <w:kern w:val="0"/>
          <w:sz w:val="24"/>
          <w14:textFill>
            <w14:solidFill>
              <w14:schemeClr w14:val="tx1"/>
            </w14:solidFill>
          </w14:textFill>
        </w:rPr>
        <w:t>修改成果至不侵权或解除合同，并保留要求</w:t>
      </w:r>
      <w:r>
        <w:rPr>
          <w:rFonts w:hint="eastAsia" w:ascii="宋体" w:hAnsi="宋体" w:cs="宋体"/>
          <w:b w:val="0"/>
          <w:bCs w:val="0"/>
          <w:color w:val="000000" w:themeColor="text1"/>
          <w:kern w:val="0"/>
          <w:sz w:val="24"/>
          <w:lang w:val="en-US" w:eastAsia="zh-CN"/>
          <w14:textFill>
            <w14:solidFill>
              <w14:schemeClr w14:val="tx1"/>
            </w14:solidFill>
          </w14:textFill>
        </w:rPr>
        <w:t>中标人</w:t>
      </w:r>
      <w:r>
        <w:rPr>
          <w:rFonts w:hint="eastAsia" w:ascii="宋体" w:hAnsi="宋体" w:cs="宋体"/>
          <w:b w:val="0"/>
          <w:bCs w:val="0"/>
          <w:color w:val="000000" w:themeColor="text1"/>
          <w:kern w:val="0"/>
          <w:sz w:val="24"/>
          <w14:textFill>
            <w14:solidFill>
              <w14:schemeClr w14:val="tx1"/>
            </w14:solidFill>
          </w14:textFill>
        </w:rPr>
        <w:t>赔偿全部损失的权利，包括但不限于上述索赔或责任所产生的诉讼费用、合理的律师费用、鉴定评估费用、 调查费用、和解金额或生效法律文书中规定的赔偿金额。</w:t>
      </w:r>
    </w:p>
    <w:p>
      <w:pPr>
        <w:widowControl/>
        <w:spacing w:line="360" w:lineRule="auto"/>
        <w:ind w:firstLine="480" w:firstLineChars="200"/>
        <w:outlineLvl w:val="2"/>
        <w:rPr>
          <w:rFonts w:hint="eastAsia" w:ascii="宋体" w:hAnsi="宋体" w:cs="宋体"/>
          <w:b w:val="0"/>
          <w:bCs w:val="0"/>
          <w:color w:val="000000" w:themeColor="text1"/>
          <w:kern w:val="0"/>
          <w:sz w:val="24"/>
          <w14:textFill>
            <w14:solidFill>
              <w14:schemeClr w14:val="tx1"/>
            </w14:solidFill>
          </w14:textFill>
        </w:rPr>
      </w:pPr>
      <w:r>
        <w:rPr>
          <w:rFonts w:hint="eastAsia" w:ascii="宋体" w:hAnsi="宋体" w:cs="宋体"/>
          <w:b w:val="0"/>
          <w:bCs w:val="0"/>
          <w:color w:val="000000" w:themeColor="text1"/>
          <w:kern w:val="0"/>
          <w:sz w:val="24"/>
          <w14:textFill>
            <w14:solidFill>
              <w14:schemeClr w14:val="tx1"/>
            </w14:solidFill>
          </w14:textFill>
        </w:rPr>
        <w:t>4.未经</w:t>
      </w:r>
      <w:r>
        <w:rPr>
          <w:rFonts w:hint="eastAsia" w:ascii="宋体" w:hAnsi="宋体" w:cs="宋体"/>
          <w:b w:val="0"/>
          <w:bCs w:val="0"/>
          <w:color w:val="000000" w:themeColor="text1"/>
          <w:kern w:val="0"/>
          <w:sz w:val="24"/>
          <w:lang w:eastAsia="zh-CN"/>
          <w14:textFill>
            <w14:solidFill>
              <w14:schemeClr w14:val="tx1"/>
            </w14:solidFill>
          </w14:textFill>
        </w:rPr>
        <w:t>采购人</w:t>
      </w:r>
      <w:r>
        <w:rPr>
          <w:rFonts w:hint="eastAsia" w:ascii="宋体" w:hAnsi="宋体" w:cs="宋体"/>
          <w:b w:val="0"/>
          <w:bCs w:val="0"/>
          <w:color w:val="000000" w:themeColor="text1"/>
          <w:kern w:val="0"/>
          <w:sz w:val="24"/>
          <w14:textFill>
            <w14:solidFill>
              <w14:schemeClr w14:val="tx1"/>
            </w14:solidFill>
          </w14:textFill>
        </w:rPr>
        <w:t>书面在先同意，</w:t>
      </w:r>
      <w:r>
        <w:rPr>
          <w:rFonts w:hint="eastAsia" w:ascii="宋体" w:hAnsi="宋体" w:cs="宋体"/>
          <w:b w:val="0"/>
          <w:bCs w:val="0"/>
          <w:color w:val="000000" w:themeColor="text1"/>
          <w:kern w:val="0"/>
          <w:sz w:val="24"/>
          <w:lang w:val="en-US" w:eastAsia="zh-CN"/>
          <w14:textFill>
            <w14:solidFill>
              <w14:schemeClr w14:val="tx1"/>
            </w14:solidFill>
          </w14:textFill>
        </w:rPr>
        <w:t>中标人</w:t>
      </w:r>
      <w:r>
        <w:rPr>
          <w:rFonts w:hint="eastAsia" w:ascii="宋体" w:hAnsi="宋体" w:cs="宋体"/>
          <w:b w:val="0"/>
          <w:bCs w:val="0"/>
          <w:color w:val="000000" w:themeColor="text1"/>
          <w:kern w:val="0"/>
          <w:sz w:val="24"/>
          <w14:textFill>
            <w14:solidFill>
              <w14:schemeClr w14:val="tx1"/>
            </w14:solidFill>
          </w14:textFill>
        </w:rPr>
        <w:t>不得将本项目的最终成果文件及任何数据、资料、软件向任何第三方转让、授权任何第三方使用或用于本合同项目外的其他项目。如发生以上情况，</w:t>
      </w:r>
      <w:r>
        <w:rPr>
          <w:rFonts w:hint="eastAsia" w:ascii="宋体" w:hAnsi="宋体" w:cs="宋体"/>
          <w:b w:val="0"/>
          <w:bCs w:val="0"/>
          <w:color w:val="000000" w:themeColor="text1"/>
          <w:kern w:val="0"/>
          <w:sz w:val="24"/>
          <w:lang w:val="en-US" w:eastAsia="zh-CN"/>
          <w14:textFill>
            <w14:solidFill>
              <w14:schemeClr w14:val="tx1"/>
            </w14:solidFill>
          </w14:textFill>
        </w:rPr>
        <w:t>中标人</w:t>
      </w:r>
      <w:r>
        <w:rPr>
          <w:rFonts w:hint="eastAsia" w:ascii="宋体" w:hAnsi="宋体" w:cs="宋体"/>
          <w:b w:val="0"/>
          <w:bCs w:val="0"/>
          <w:color w:val="000000" w:themeColor="text1"/>
          <w:kern w:val="0"/>
          <w:sz w:val="24"/>
          <w14:textFill>
            <w14:solidFill>
              <w14:schemeClr w14:val="tx1"/>
            </w14:solidFill>
          </w14:textFill>
        </w:rPr>
        <w:t>应向</w:t>
      </w:r>
      <w:r>
        <w:rPr>
          <w:rFonts w:hint="eastAsia" w:ascii="宋体" w:hAnsi="宋体" w:cs="宋体"/>
          <w:b w:val="0"/>
          <w:bCs w:val="0"/>
          <w:color w:val="000000" w:themeColor="text1"/>
          <w:kern w:val="0"/>
          <w:sz w:val="24"/>
          <w:lang w:eastAsia="zh-CN"/>
          <w14:textFill>
            <w14:solidFill>
              <w14:schemeClr w14:val="tx1"/>
            </w14:solidFill>
          </w14:textFill>
        </w:rPr>
        <w:t>采购人</w:t>
      </w:r>
      <w:r>
        <w:rPr>
          <w:rFonts w:hint="eastAsia" w:ascii="宋体" w:hAnsi="宋体" w:cs="宋体"/>
          <w:b w:val="0"/>
          <w:bCs w:val="0"/>
          <w:color w:val="000000" w:themeColor="text1"/>
          <w:kern w:val="0"/>
          <w:sz w:val="24"/>
          <w14:textFill>
            <w14:solidFill>
              <w14:schemeClr w14:val="tx1"/>
            </w14:solidFill>
          </w14:textFill>
        </w:rPr>
        <w:t>支付本合同总价款 20%的违约金，同时，</w:t>
      </w:r>
      <w:r>
        <w:rPr>
          <w:rFonts w:hint="eastAsia" w:ascii="宋体" w:hAnsi="宋体" w:cs="宋体"/>
          <w:b w:val="0"/>
          <w:bCs w:val="0"/>
          <w:color w:val="000000" w:themeColor="text1"/>
          <w:kern w:val="0"/>
          <w:sz w:val="24"/>
          <w:lang w:eastAsia="zh-CN"/>
          <w14:textFill>
            <w14:solidFill>
              <w14:schemeClr w14:val="tx1"/>
            </w14:solidFill>
          </w14:textFill>
        </w:rPr>
        <w:t>采购人</w:t>
      </w:r>
      <w:r>
        <w:rPr>
          <w:rFonts w:hint="eastAsia" w:ascii="宋体" w:hAnsi="宋体" w:cs="宋体"/>
          <w:b w:val="0"/>
          <w:bCs w:val="0"/>
          <w:color w:val="000000" w:themeColor="text1"/>
          <w:kern w:val="0"/>
          <w:sz w:val="24"/>
          <w14:textFill>
            <w14:solidFill>
              <w14:schemeClr w14:val="tx1"/>
            </w14:solidFill>
          </w14:textFill>
        </w:rPr>
        <w:t>保留要求</w:t>
      </w:r>
      <w:r>
        <w:rPr>
          <w:rFonts w:hint="eastAsia" w:ascii="宋体" w:hAnsi="宋体" w:cs="宋体"/>
          <w:b w:val="0"/>
          <w:bCs w:val="0"/>
          <w:color w:val="000000" w:themeColor="text1"/>
          <w:kern w:val="0"/>
          <w:sz w:val="24"/>
          <w:lang w:val="en-US" w:eastAsia="zh-CN"/>
          <w14:textFill>
            <w14:solidFill>
              <w14:schemeClr w14:val="tx1"/>
            </w14:solidFill>
          </w14:textFill>
        </w:rPr>
        <w:t>中标人</w:t>
      </w:r>
      <w:r>
        <w:rPr>
          <w:rFonts w:hint="eastAsia" w:ascii="宋体" w:hAnsi="宋体" w:cs="宋体"/>
          <w:b w:val="0"/>
          <w:bCs w:val="0"/>
          <w:color w:val="000000" w:themeColor="text1"/>
          <w:kern w:val="0"/>
          <w:sz w:val="24"/>
          <w14:textFill>
            <w14:solidFill>
              <w14:schemeClr w14:val="tx1"/>
            </w14:solidFill>
          </w14:textFill>
        </w:rPr>
        <w:t>赔偿全部损失的权利，包括但不限于上述索赔或责任所产生的诉讼费用、合理的律师费用、鉴定评估费用、调查费用、和解金额或生效法律文书中规定的赔偿金额。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outlineLvl w:val="2"/>
        <w:rPr>
          <w:rFonts w:hint="eastAsia" w:ascii="宋体" w:hAnsi="宋体" w:cs="宋体"/>
          <w:b w:val="0"/>
          <w:bCs w:val="0"/>
          <w:color w:val="000000" w:themeColor="text1"/>
          <w:kern w:val="0"/>
          <w:sz w:val="24"/>
          <w14:textFill>
            <w14:solidFill>
              <w14:schemeClr w14:val="tx1"/>
            </w14:solidFill>
          </w14:textFill>
        </w:rPr>
      </w:pPr>
      <w:r>
        <w:rPr>
          <w:rFonts w:hint="eastAsia" w:ascii="宋体" w:hAnsi="宋体" w:cs="宋体"/>
          <w:b w:val="0"/>
          <w:bCs w:val="0"/>
          <w:color w:val="000000" w:themeColor="text1"/>
          <w:kern w:val="0"/>
          <w:sz w:val="24"/>
          <w14:textFill>
            <w14:solidFill>
              <w14:schemeClr w14:val="tx1"/>
            </w14:solidFill>
          </w14:textFill>
        </w:rPr>
        <w:t>5.</w:t>
      </w:r>
      <w:r>
        <w:rPr>
          <w:rFonts w:hint="eastAsia" w:ascii="宋体" w:hAnsi="宋体" w:cs="宋体"/>
          <w:b w:val="0"/>
          <w:bCs w:val="0"/>
          <w:color w:val="000000" w:themeColor="text1"/>
          <w:kern w:val="0"/>
          <w:sz w:val="24"/>
          <w:lang w:val="en-US" w:eastAsia="zh-CN"/>
          <w14:textFill>
            <w14:solidFill>
              <w14:schemeClr w14:val="tx1"/>
            </w14:solidFill>
          </w14:textFill>
        </w:rPr>
        <w:t>中标人</w:t>
      </w:r>
      <w:r>
        <w:rPr>
          <w:rFonts w:hint="eastAsia" w:ascii="宋体" w:hAnsi="宋体" w:cs="宋体"/>
          <w:b w:val="0"/>
          <w:bCs w:val="0"/>
          <w:color w:val="000000" w:themeColor="text1"/>
          <w:kern w:val="0"/>
          <w:sz w:val="24"/>
          <w14:textFill>
            <w14:solidFill>
              <w14:schemeClr w14:val="tx1"/>
            </w14:solidFill>
          </w14:textFill>
        </w:rPr>
        <w:t>完成本项目的研究人员享有在有关技术成果文件上署名的权利和与</w:t>
      </w:r>
      <w:r>
        <w:rPr>
          <w:rFonts w:hint="eastAsia" w:ascii="宋体" w:hAnsi="宋体" w:cs="宋体"/>
          <w:b w:val="0"/>
          <w:bCs w:val="0"/>
          <w:color w:val="000000" w:themeColor="text1"/>
          <w:kern w:val="0"/>
          <w:sz w:val="24"/>
          <w:lang w:eastAsia="zh-CN"/>
          <w14:textFill>
            <w14:solidFill>
              <w14:schemeClr w14:val="tx1"/>
            </w14:solidFill>
          </w14:textFill>
        </w:rPr>
        <w:t>采购人</w:t>
      </w:r>
      <w:r>
        <w:rPr>
          <w:rFonts w:hint="eastAsia" w:ascii="宋体" w:hAnsi="宋体" w:cs="宋体"/>
          <w:b w:val="0"/>
          <w:bCs w:val="0"/>
          <w:color w:val="000000" w:themeColor="text1"/>
          <w:kern w:val="0"/>
          <w:sz w:val="24"/>
          <w14:textFill>
            <w14:solidFill>
              <w14:schemeClr w14:val="tx1"/>
            </w14:solidFill>
          </w14:textFill>
        </w:rPr>
        <w:t>共同获得有关荣誉证书、奖励的权利。</w:t>
      </w:r>
    </w:p>
    <w:p>
      <w:pPr>
        <w:widowControl/>
        <w:spacing w:line="360" w:lineRule="auto"/>
        <w:ind w:firstLine="482" w:firstLineChars="200"/>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b/>
          <w:bCs/>
          <w:color w:val="000000" w:themeColor="text1"/>
          <w:kern w:val="0"/>
          <w:sz w:val="24"/>
          <w:lang w:val="en-US" w:eastAsia="zh-CN"/>
          <w14:textFill>
            <w14:solidFill>
              <w14:schemeClr w14:val="tx1"/>
            </w14:solidFill>
          </w14:textFill>
        </w:rPr>
        <w:t>七</w:t>
      </w: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保密条款</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合同项下的义务，且只能由相关的技术人员使用。</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b w:val="0"/>
          <w:bCs w:val="0"/>
          <w:color w:val="000000" w:themeColor="text1"/>
          <w:kern w:val="0"/>
          <w:sz w:val="24"/>
          <w:lang w:val="en-US"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应以保密方式处理在编制本项目成果文件过程中自</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工作人员或</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关联机 构获得的相关信息、资料、图纸、数据等，或由</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在履行合同过程中明确指明为秘密的任何信 息，以及</w:t>
      </w:r>
      <w:r>
        <w:rPr>
          <w:rFonts w:hint="eastAsia" w:ascii="宋体" w:hAnsi="宋体" w:cs="宋体"/>
          <w:b w:val="0"/>
          <w:bCs w:val="0"/>
          <w:color w:val="000000" w:themeColor="text1"/>
          <w:kern w:val="0"/>
          <w:sz w:val="24"/>
          <w:lang w:val="en-US"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因本项目工作内容所直接或间接取得、处理或接触的任何其他资料。未经</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书面 在先同意，</w:t>
      </w:r>
      <w:r>
        <w:rPr>
          <w:rFonts w:hint="eastAsia" w:ascii="宋体" w:hAnsi="宋体" w:cs="宋体"/>
          <w:b w:val="0"/>
          <w:bCs w:val="0"/>
          <w:color w:val="000000" w:themeColor="text1"/>
          <w:kern w:val="0"/>
          <w:sz w:val="24"/>
          <w:lang w:val="en-US"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不得向任何第三方透露与本项目有关的内容，或公开本项目的阶段性成果或最终 成果内容。即使向与履行合同有关的人员提供前述保密信息，也应限于履行合同的必需范围，且 这些人员应接受至少与本条款同等严格的保密条款的约束。</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b w:val="0"/>
          <w:bCs w:val="0"/>
          <w:color w:val="000000" w:themeColor="text1"/>
          <w:kern w:val="0"/>
          <w:sz w:val="24"/>
          <w:lang w:val="en-US"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实施项目的程序应符合国家安全、保密的有关规定和标准。</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4.上述保密义务不适用以下情况：</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1）获取的信息已被合法公开；</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2）获得信息拥有方书面许可并在该许可范围内披露；</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3）国家法律、法规规定的情形。</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5.如</w:t>
      </w:r>
      <w:r>
        <w:rPr>
          <w:rFonts w:hint="eastAsia" w:ascii="宋体" w:hAnsi="宋体" w:cs="宋体"/>
          <w:b w:val="0"/>
          <w:bCs w:val="0"/>
          <w:color w:val="000000" w:themeColor="text1"/>
          <w:kern w:val="0"/>
          <w:sz w:val="24"/>
          <w:lang w:val="en-US"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违反上述保密条款，</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有权解除合同，</w:t>
      </w:r>
      <w:r>
        <w:rPr>
          <w:rFonts w:hint="eastAsia" w:ascii="宋体" w:hAnsi="宋体" w:cs="宋体"/>
          <w:b w:val="0"/>
          <w:bCs w:val="0"/>
          <w:color w:val="000000" w:themeColor="text1"/>
          <w:kern w:val="0"/>
          <w:sz w:val="24"/>
          <w:lang w:val="en-US"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应在合同解除通知发出之日起 10 日内向</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支付合同服务费总金额 20%的违约金，如果违约金无法弥补</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损失，</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保留要求</w:t>
      </w:r>
      <w:r>
        <w:rPr>
          <w:rFonts w:hint="eastAsia" w:ascii="宋体" w:hAnsi="宋体" w:cs="宋体"/>
          <w:b w:val="0"/>
          <w:bCs w:val="0"/>
          <w:color w:val="000000" w:themeColor="text1"/>
          <w:kern w:val="0"/>
          <w:sz w:val="24"/>
          <w:lang w:val="en-US"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赔偿全部直接损失的权利，包括但不限于上述索赔或责任所产生的诉讼费用、合理的律师费用、鉴定评估费用、 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6.无论合同或合同其他条款是否有效，本保密条款始终约束双方。国家秘密的保密期限由国 家有关部门确定，工作秘密的保密期限为合同各方在履行本合同过程中及本合同终止后两年。</w:t>
      </w:r>
    </w:p>
    <w:p>
      <w:pPr>
        <w:widowControl/>
        <w:spacing w:line="360" w:lineRule="auto"/>
        <w:ind w:firstLine="482" w:firstLineChars="200"/>
        <w:outlineLvl w:val="2"/>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w:t>
      </w:r>
      <w:r>
        <w:rPr>
          <w:rFonts w:hint="eastAsia" w:ascii="宋体" w:hAnsi="宋体" w:cs="宋体"/>
          <w:b/>
          <w:bCs/>
          <w:color w:val="000000" w:themeColor="text1"/>
          <w:kern w:val="0"/>
          <w:sz w:val="24"/>
          <w:highlight w:val="none"/>
          <w:lang w:val="en-US" w:eastAsia="zh-CN"/>
          <w14:textFill>
            <w14:solidFill>
              <w14:schemeClr w14:val="tx1"/>
            </w14:solidFill>
          </w14:textFill>
        </w:rPr>
        <w:t>八</w:t>
      </w:r>
      <w:r>
        <w:rPr>
          <w:rFonts w:hint="eastAsia" w:ascii="宋体" w:hAnsi="宋体" w:cs="宋体"/>
          <w:b/>
          <w:bCs/>
          <w:color w:val="000000" w:themeColor="text1"/>
          <w:kern w:val="0"/>
          <w:sz w:val="24"/>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违约责任</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1.如</w:t>
      </w:r>
      <w:r>
        <w:rPr>
          <w:rFonts w:hint="eastAsia" w:ascii="宋体" w:hAnsi="宋体" w:cs="宋体"/>
          <w:b w:val="0"/>
          <w:bCs w:val="0"/>
          <w:color w:val="000000" w:themeColor="text1"/>
          <w:kern w:val="0"/>
          <w:sz w:val="24"/>
          <w:lang w:val="en-US"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未按照合同约定的时间完成本项目各阶段工作，且未经</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书面同意延长服务成果完成期限的，每迟延一日，</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有权自尚未支付的合同款项中扣除本阶段合同服务费总金额的1‰的逾期违约金，违约金累计以本阶段服务费的 10% 为上限。</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2.合同项下的工作内容不可分割，任一文件的迟延交付均视为整个项目的迟延交付。</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3.合同履行期间，发生下述情形时，</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有权解除合同，</w:t>
      </w:r>
      <w:r>
        <w:rPr>
          <w:rFonts w:hint="eastAsia" w:ascii="宋体" w:hAnsi="宋体" w:cs="宋体"/>
          <w:b w:val="0"/>
          <w:bCs w:val="0"/>
          <w:color w:val="000000" w:themeColor="text1"/>
          <w:kern w:val="0"/>
          <w:sz w:val="24"/>
          <w:lang w:val="en-US"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除应退还</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已支付的全部款项外, 还应在合同解除通知发出之日起 10 日内向</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支付合同总价款10%的违约金。</w:t>
      </w:r>
      <w:r>
        <w:rPr>
          <w:rFonts w:hint="eastAsia" w:ascii="宋体" w:hAnsi="宋体" w:cs="宋体"/>
          <w:b w:val="0"/>
          <w:bCs w:val="0"/>
          <w:color w:val="000000" w:themeColor="text1"/>
          <w:kern w:val="0"/>
          <w:sz w:val="24"/>
          <w:lang w:val="en-US"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应同时将已完成的项目成果移交给</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，并将全部有关资料退还</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b w:val="0"/>
          <w:bCs w:val="0"/>
          <w:color w:val="000000" w:themeColor="text1"/>
          <w:kern w:val="0"/>
          <w:sz w:val="24"/>
          <w:lang w:val="en-US"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未能按合同约定的日期(含协商延缓的日期)提交成果，经催告后仍延误时间超过 15 个工作日；</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2）因</w:t>
      </w:r>
      <w:r>
        <w:rPr>
          <w:rFonts w:hint="eastAsia" w:ascii="宋体" w:hAnsi="宋体" w:cs="宋体"/>
          <w:b w:val="0"/>
          <w:bCs w:val="0"/>
          <w:color w:val="000000" w:themeColor="text1"/>
          <w:kern w:val="0"/>
          <w:sz w:val="24"/>
          <w:lang w:val="en-US"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工作的错误或遗漏造成成果质量不符合合同要求，且</w:t>
      </w:r>
      <w:r>
        <w:rPr>
          <w:rFonts w:hint="eastAsia" w:ascii="宋体" w:hAnsi="宋体" w:cs="宋体"/>
          <w:b w:val="0"/>
          <w:bCs w:val="0"/>
          <w:color w:val="000000" w:themeColor="text1"/>
          <w:kern w:val="0"/>
          <w:sz w:val="24"/>
          <w:lang w:val="en-US"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未按</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要求采取及时有效的补救措施的；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3）未经</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书面在先同意，</w:t>
      </w:r>
      <w:r>
        <w:rPr>
          <w:rFonts w:hint="eastAsia" w:ascii="宋体" w:hAnsi="宋体" w:cs="宋体"/>
          <w:b w:val="0"/>
          <w:bCs w:val="0"/>
          <w:color w:val="000000" w:themeColor="text1"/>
          <w:kern w:val="0"/>
          <w:sz w:val="24"/>
          <w:lang w:val="en-US"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擅自将合同项目与任何第三方合作，或将合同标的全部或部分擅自转包或分包给任何第三方，且未按</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的要求终止与第三方的协议的；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4）项目负责人未承担合同项目实质性工作，或未经</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书面在先同意，</w:t>
      </w:r>
      <w:r>
        <w:rPr>
          <w:rFonts w:hint="eastAsia" w:ascii="宋体" w:hAnsi="宋体" w:cs="宋体"/>
          <w:b w:val="0"/>
          <w:bCs w:val="0"/>
          <w:color w:val="000000" w:themeColor="text1"/>
          <w:kern w:val="0"/>
          <w:sz w:val="24"/>
          <w:lang w:val="en-US"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擅自更换项目负责人的（</w:t>
      </w:r>
      <w:r>
        <w:rPr>
          <w:rFonts w:hint="eastAsia" w:ascii="宋体" w:hAnsi="宋体" w:cs="宋体"/>
          <w:b w:val="0"/>
          <w:bCs w:val="0"/>
          <w:color w:val="000000" w:themeColor="text1"/>
          <w:kern w:val="0"/>
          <w:sz w:val="24"/>
          <w:lang w:val="en-US"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人员因离职、重病、伤残、死亡或不可抗力等原因外需要更换团队成员的除外）；</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5）发现</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或</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工作人员出现全部或部分丧失履行委托服务能力的情况，</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有权通知</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限期整改或更换工作人员，期限届满</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并未进行改善的；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明确表示或者以自己的行为表明不履行合同的。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4.如</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未按照合同约定的时间支付服务费，</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交付工作成果的时间应予顺延，</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书面催告</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并给予不少于30 个工作日的履行期限后</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仍未支付的，</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有权自该期限届满之日起要求</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支付该阶段应付而未付合同价款每日 1‰的逾期违约金，</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有权暂停履行下阶段工作，并书面通知</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不得要求保留原设计团队。如</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无正当理由拒绝接受服务，到期明确表示拒付服务款项，</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有权要求</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支付合同项下服务费总金额 5%的违约金。</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提交各阶段成果2个月内，非</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原因的情况下</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未提交</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上级或相关部门审批、相关部门不审批或未报批通过，或本合同项目停缓建的，均不应构成</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延迟支付该阶段费用的理由，上述期限届满后</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仍应按约定支付服务费。</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逾期付款超过六十（60）日时，</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有权解除合同且不承担解除合同的违约责任。</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合同一方不履行合同义务或者履行合同义务不符合约定，给其他方造成损失的，损失赔偿额应当相当于因违约所造成的损失。如合同所约定的违约金无法弥补因违约行为所造成的损失，违约方应补偿上述不足部分的损失，包括但不限于上述索赔或责任所产生的诉讼费用、合理的律师费用、鉴定评估费用、 调查费用、和解金额或生效法律文书中规定的赔偿金额。但是违约金及损失赔偿金额总额以</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已向</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支付的服务费为限，在任何情况下累计赔偿金额不超过本合同约定的服务费总额。且双方互不承担间接损失赔偿责任。</w:t>
      </w:r>
    </w:p>
    <w:p>
      <w:pPr>
        <w:widowControl/>
        <w:spacing w:line="360" w:lineRule="auto"/>
        <w:ind w:firstLine="480" w:firstLineChars="200"/>
        <w:jc w:val="center"/>
        <w:outlineLvl w:val="0"/>
        <w:rPr>
          <w:rFonts w:hint="eastAsia" w:asci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bookmarkStart w:id="11" w:name="_Toc8103"/>
      <w:r>
        <w:rPr>
          <w:rFonts w:hint="eastAsia" w:ascii="宋体" w:cs="宋体"/>
          <w:b/>
          <w:bCs/>
          <w:color w:val="000000" w:themeColor="text1"/>
          <w:sz w:val="24"/>
          <w14:textFill>
            <w14:solidFill>
              <w14:schemeClr w14:val="tx1"/>
            </w14:solidFill>
          </w14:textFill>
        </w:rPr>
        <w:t>第六章 投标文件初审及招标项目评分表</w:t>
      </w:r>
      <w:bookmarkEnd w:id="11"/>
    </w:p>
    <w:p>
      <w:pPr>
        <w:spacing w:line="360" w:lineRule="auto"/>
        <w:jc w:val="center"/>
        <w:rPr>
          <w:rFonts w:hint="eastAsia" w:ascii="宋体" w:hAnsi="宋体" w:cs="宋体"/>
          <w:b/>
          <w:color w:val="000000" w:themeColor="text1"/>
          <w:sz w:val="24"/>
          <w14:textFill>
            <w14:solidFill>
              <w14:schemeClr w14:val="tx1"/>
            </w14:solidFill>
          </w14:textFill>
        </w:rPr>
      </w:pP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投标文件初审表（不可偏离条款）</w:t>
      </w: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（凡有下列情形之一的，投标文件无效，投标作废标处理）</w:t>
      </w:r>
    </w:p>
    <w:tbl>
      <w:tblPr>
        <w:tblStyle w:val="16"/>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108"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分项报价或投标总价高于预算金额（最高投标限价）或投标报价有严重缺漏项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法律、法规规定的其他情形</w:t>
            </w:r>
          </w:p>
        </w:tc>
      </w:tr>
    </w:tbl>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招标项目评分表</w:t>
      </w:r>
    </w:p>
    <w:tbl>
      <w:tblPr>
        <w:tblStyle w:val="16"/>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68"/>
        <w:gridCol w:w="5907"/>
        <w:gridCol w:w="901"/>
        <w:gridCol w:w="10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hint="eastAsia"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一、价格部分（</w:t>
            </w:r>
            <w:r>
              <w:rPr>
                <w:rFonts w:hint="eastAsia" w:ascii="宋体" w:hAnsi="宋体" w:cs="宋体"/>
                <w:b/>
                <w:color w:val="000000" w:themeColor="text1"/>
                <w:sz w:val="24"/>
                <w14:textFill>
                  <w14:solidFill>
                    <w14:schemeClr w14:val="tx1"/>
                  </w14:solidFill>
                </w14:textFill>
              </w:rPr>
              <w:t>1</w:t>
            </w:r>
            <w:r>
              <w:rPr>
                <w:rFonts w:hint="eastAsia" w:ascii="宋体" w:hAnsi="宋体" w:cs="宋体"/>
                <w:b/>
                <w:color w:val="000000" w:themeColor="text1"/>
                <w:sz w:val="24"/>
                <w:lang w:val="en-US" w:eastAsia="zh-CN"/>
                <w14:textFill>
                  <w14:solidFill>
                    <w14:schemeClr w14:val="tx1"/>
                  </w14:solidFill>
                </w14:textFill>
              </w:rPr>
              <w:t>0</w:t>
            </w:r>
            <w:r>
              <w:rPr>
                <w:rFonts w:hint="eastAsia" w:ascii="宋体" w:hAnsi="宋体" w:cs="宋体"/>
                <w:b/>
                <w:color w:val="000000" w:themeColor="text1"/>
                <w:sz w:val="24"/>
                <w:lang w:val="zh-CN"/>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序号</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内容</w:t>
            </w:r>
          </w:p>
        </w:tc>
        <w:tc>
          <w:tcPr>
            <w:tcW w:w="5907"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评分规则</w:t>
            </w:r>
          </w:p>
        </w:tc>
        <w:tc>
          <w:tcPr>
            <w:tcW w:w="901"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权重</w:t>
            </w:r>
          </w:p>
        </w:tc>
        <w:tc>
          <w:tcPr>
            <w:tcW w:w="1079"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w:t>
            </w:r>
          </w:p>
        </w:tc>
        <w:tc>
          <w:tcPr>
            <w:tcW w:w="5907" w:type="dxa"/>
            <w:noWrap w:val="0"/>
            <w:vAlign w:val="center"/>
          </w:tcPr>
          <w:p>
            <w:pPr>
              <w:pStyle w:val="6"/>
              <w:spacing w:line="360" w:lineRule="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采用低价优先法计算，即满足招标文件要求且投标价格最低的投标报价为评标基准价，其价格分为满分。其他投标人的价格分统一按照下列公式计算：</w:t>
            </w:r>
          </w:p>
          <w:p>
            <w:pPr>
              <w:pStyle w:val="6"/>
              <w:spacing w:line="360" w:lineRule="auto"/>
              <w:rPr>
                <w:rFonts w:ascii="宋体" w:hAnsi="宋体" w:cs="宋体"/>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投标报价得分=(评标基准价／投标报价)×10</w:t>
            </w:r>
          </w:p>
          <w:p>
            <w:pPr>
              <w:numPr>
                <w:ilvl w:val="0"/>
                <w:numId w:val="7"/>
              </w:numPr>
              <w:spacing w:line="360" w:lineRule="auto"/>
              <w:ind w:left="250" w:hanging="249" w:hangingChars="104"/>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价格评分仅限于有效投标人，</w:t>
            </w:r>
            <w:r>
              <w:rPr>
                <w:rFonts w:hint="eastAsia" w:ascii="宋体" w:hAnsi="宋体" w:cs="宋体"/>
                <w:color w:val="000000" w:themeColor="text1"/>
                <w:sz w:val="24"/>
                <w14:textFill>
                  <w14:solidFill>
                    <w14:schemeClr w14:val="tx1"/>
                  </w14:solidFill>
                </w14:textFill>
              </w:rPr>
              <w:t>当价格分&lt;0时，取0。</w:t>
            </w:r>
          </w:p>
          <w:p>
            <w:pPr>
              <w:numPr>
                <w:ilvl w:val="0"/>
                <w:numId w:val="7"/>
              </w:numPr>
              <w:spacing w:line="360" w:lineRule="auto"/>
              <w:ind w:left="250" w:hanging="249" w:hangingChars="104"/>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根据财库〔2020〕46号、财库〔2014〕68号及财库〔2017〕141号及（深财购〔2022〕31号）文件规定：本项目非专门面向中小企业的项目，对小型和微型企业、监狱企业或残疾人福利性企业产品的价格给予10%的扣除，用扣除后的价格即为“经评审合格的投标报价”参与价格评审。</w:t>
            </w:r>
          </w:p>
          <w:p>
            <w:pPr>
              <w:pStyle w:val="6"/>
              <w:spacing w:line="360" w:lineRule="auto"/>
              <w:ind w:left="216" w:leftChars="103"/>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bCs/>
                <w:color w:val="000000" w:themeColor="text1"/>
                <w:kern w:val="2"/>
                <w:sz w:val="24"/>
                <w:lang w:val="en-US" w:eastAsia="zh-CN"/>
                <w14:textFill>
                  <w14:solidFill>
                    <w14:schemeClr w14:val="tx1"/>
                  </w14:solidFill>
                </w14:textFill>
              </w:rPr>
              <w:t>监狱企业应当提供由省级以上监狱管理局、戒毒管理局（含新疆生产建设兵团）出具的属于监狱企业的证明文件，中小企业提供中小企业声明函，残疾人福利性企业提供残疾人福利性企业声明函。</w:t>
            </w:r>
          </w:p>
        </w:tc>
        <w:tc>
          <w:tcPr>
            <w:tcW w:w="901" w:type="dxa"/>
            <w:noWrap w:val="0"/>
            <w:vAlign w:val="center"/>
          </w:tcPr>
          <w:p>
            <w:pPr>
              <w:autoSpaceDE w:val="0"/>
              <w:autoSpaceDN w:val="0"/>
              <w:adjustRightInd w:val="0"/>
              <w:spacing w:line="36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0</w:t>
            </w:r>
          </w:p>
        </w:tc>
        <w:tc>
          <w:tcPr>
            <w:tcW w:w="1079"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hint="eastAsia"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二、商务部分（</w:t>
            </w:r>
            <w:r>
              <w:rPr>
                <w:rFonts w:hint="eastAsia" w:ascii="宋体" w:hAnsi="宋体" w:cs="宋体"/>
                <w:b/>
                <w:color w:val="000000" w:themeColor="text1"/>
                <w:sz w:val="24"/>
                <w:lang w:val="en-US" w:eastAsia="zh-CN"/>
                <w14:textFill>
                  <w14:solidFill>
                    <w14:schemeClr w14:val="tx1"/>
                  </w14:solidFill>
                </w14:textFill>
              </w:rPr>
              <w:t>40</w:t>
            </w:r>
            <w:r>
              <w:rPr>
                <w:rFonts w:hint="eastAsia" w:ascii="宋体" w:hAnsi="宋体" w:cs="宋体"/>
                <w:b/>
                <w:color w:val="000000" w:themeColor="text1"/>
                <w:sz w:val="24"/>
                <w:lang w:val="zh-CN"/>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序号</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内容</w:t>
            </w:r>
          </w:p>
        </w:tc>
        <w:tc>
          <w:tcPr>
            <w:tcW w:w="5907"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评分规则</w:t>
            </w:r>
          </w:p>
        </w:tc>
        <w:tc>
          <w:tcPr>
            <w:tcW w:w="901"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权重</w:t>
            </w:r>
          </w:p>
        </w:tc>
        <w:tc>
          <w:tcPr>
            <w:tcW w:w="1079"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投标人编制经验</w:t>
            </w:r>
          </w:p>
        </w:tc>
        <w:tc>
          <w:tcPr>
            <w:tcW w:w="5907" w:type="dxa"/>
            <w:shd w:val="clear" w:color="auto" w:fill="auto"/>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（一）评审标准：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根据投标供应商的相关经验进行打分：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从2021年1月至投标截止日止（以合同签订日期为准，若合同签订日期无法体现，则以服务期限的起始日期为准），投标人具有</w:t>
            </w:r>
            <w:r>
              <w:rPr>
                <w:rFonts w:hint="eastAsia" w:ascii="宋体" w:hAnsi="宋体" w:cs="宋体"/>
                <w:color w:val="000000" w:themeColor="text1"/>
                <w:sz w:val="24"/>
                <w:lang w:val="en-US" w:eastAsia="zh-CN"/>
                <w14:textFill>
                  <w14:solidFill>
                    <w14:schemeClr w14:val="tx1"/>
                  </w14:solidFill>
                </w14:textFill>
              </w:rPr>
              <w:t>建筑或</w:t>
            </w:r>
            <w:r>
              <w:rPr>
                <w:rFonts w:hint="eastAsia" w:ascii="宋体" w:hAnsi="宋体" w:cs="宋体"/>
                <w:color w:val="000000" w:themeColor="text1"/>
                <w:sz w:val="24"/>
                <w14:textFill>
                  <w14:solidFill>
                    <w14:schemeClr w14:val="tx1"/>
                  </w14:solidFill>
                </w14:textFill>
              </w:rPr>
              <w:t>公共空间</w:t>
            </w:r>
            <w:r>
              <w:rPr>
                <w:rFonts w:hint="eastAsia" w:ascii="宋体" w:hAnsi="宋体" w:cs="宋体"/>
                <w:color w:val="000000" w:themeColor="text1"/>
                <w:sz w:val="24"/>
                <w:lang w:val="en-US" w:eastAsia="zh-CN"/>
                <w14:textFill>
                  <w14:solidFill>
                    <w14:schemeClr w14:val="tx1"/>
                  </w14:solidFill>
                </w14:textFill>
              </w:rPr>
              <w:t>优化提升</w:t>
            </w:r>
            <w:r>
              <w:rPr>
                <w:rFonts w:hint="eastAsia" w:ascii="宋体" w:hAnsi="宋体" w:cs="宋体"/>
                <w:color w:val="000000" w:themeColor="text1"/>
                <w:sz w:val="24"/>
                <w14:textFill>
                  <w14:solidFill>
                    <w14:schemeClr w14:val="tx1"/>
                  </w14:solidFill>
                </w14:textFill>
              </w:rPr>
              <w:t>项目经验的，每项</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分，</w:t>
            </w:r>
            <w:r>
              <w:rPr>
                <w:rFonts w:hint="eastAsia" w:ascii="宋体" w:hAnsi="宋体" w:cs="宋体"/>
                <w:color w:val="000000" w:themeColor="text1"/>
                <w:sz w:val="24"/>
                <w:lang w:val="en-US" w:eastAsia="zh-CN"/>
                <w14:textFill>
                  <w14:solidFill>
                    <w14:schemeClr w14:val="tx1"/>
                  </w14:solidFill>
                </w14:textFill>
              </w:rPr>
              <w:t>满分14</w:t>
            </w:r>
            <w:r>
              <w:rPr>
                <w:rFonts w:hint="eastAsia" w:ascii="宋体" w:hAnsi="宋体" w:cs="宋体"/>
                <w:color w:val="000000" w:themeColor="text1"/>
                <w:sz w:val="24"/>
                <w14:textFill>
                  <w14:solidFill>
                    <w14:schemeClr w14:val="tx1"/>
                  </w14:solidFill>
                </w14:textFill>
              </w:rPr>
              <w:t>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（二）证明文件：</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1.须提供业绩合同(或委托合同)关键页扫描件（关键信息包含不限于合同合作双方盖章页、合作时间页、合作内容页等）作为得分依据。</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2.通过合同关键页相关证明材料无法判断是否得分的，还须同时提供能证明得分的其它证明资料。</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3.以上资料均要求提供扫描件</w:t>
            </w:r>
            <w:r>
              <w:rPr>
                <w:rFonts w:hint="eastAsia" w:ascii="宋体" w:hAnsi="宋体" w:cs="宋体"/>
                <w:color w:val="000000" w:themeColor="text1"/>
                <w:sz w:val="24"/>
                <w:lang w:val="en-US" w:eastAsia="zh-CN"/>
                <w14:textFill>
                  <w14:solidFill>
                    <w14:schemeClr w14:val="tx1"/>
                  </w14:solidFill>
                </w14:textFill>
              </w:rPr>
              <w:t>加盖公章</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原件备查，</w:t>
            </w:r>
            <w:r>
              <w:rPr>
                <w:rFonts w:hint="eastAsia" w:ascii="宋体" w:hAnsi="宋体" w:cs="宋体"/>
                <w:color w:val="000000" w:themeColor="text1"/>
                <w:sz w:val="24"/>
                <w14:textFill>
                  <w14:solidFill>
                    <w14:schemeClr w14:val="tx1"/>
                  </w14:solidFill>
                </w14:textFill>
              </w:rPr>
              <w:t>评分中出现无证明资料或专家无法凭所提供资料判断是否得分的情况，一律作不得分处理。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4.投标人提供虚假材料的，将做无效投标处理，涉嫌存在违法违规行为的，依法报主管部门处理处罚；</w:t>
            </w:r>
          </w:p>
        </w:tc>
        <w:tc>
          <w:tcPr>
            <w:tcW w:w="901" w:type="dxa"/>
            <w:noWrap w:val="0"/>
            <w:vAlign w:val="center"/>
          </w:tcPr>
          <w:p>
            <w:pPr>
              <w:autoSpaceDE w:val="0"/>
              <w:autoSpaceDN w:val="0"/>
              <w:adjustRightInd w:val="0"/>
              <w:spacing w:line="360" w:lineRule="auto"/>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14</w:t>
            </w:r>
          </w:p>
        </w:tc>
        <w:tc>
          <w:tcPr>
            <w:tcW w:w="1079"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项目负责人要求（1人）</w:t>
            </w:r>
          </w:p>
        </w:tc>
        <w:tc>
          <w:tcPr>
            <w:tcW w:w="5907" w:type="dxa"/>
            <w:shd w:val="clear" w:color="auto" w:fill="auto"/>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（一）评审标准：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根据拟投入的项目负责人情况进行打分：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zh-CN"/>
                <w14:textFill>
                  <w14:solidFill>
                    <w14:schemeClr w14:val="tx1"/>
                  </w14:solidFill>
                </w14:textFill>
              </w:rPr>
              <w:t>项目负责人具有正高级工程师职称（</w:t>
            </w:r>
            <w:r>
              <w:rPr>
                <w:rFonts w:hint="eastAsia" w:ascii="宋体" w:hAnsi="宋体" w:cs="宋体"/>
                <w:color w:val="000000" w:themeColor="text1"/>
                <w:sz w:val="24"/>
                <w:lang w:val="en-US" w:eastAsia="zh-CN"/>
                <w14:textFill>
                  <w14:solidFill>
                    <w14:schemeClr w14:val="tx1"/>
                  </w14:solidFill>
                </w14:textFill>
              </w:rPr>
              <w:t>建筑类）</w:t>
            </w:r>
            <w:r>
              <w:rPr>
                <w:rFonts w:hint="eastAsia" w:ascii="宋体" w:hAnsi="宋体" w:cs="宋体"/>
                <w:color w:val="000000" w:themeColor="text1"/>
                <w:sz w:val="24"/>
                <w14:textFill>
                  <w14:solidFill>
                    <w14:schemeClr w14:val="tx1"/>
                  </w14:solidFill>
                </w14:textFill>
              </w:rPr>
              <w:t>的得</w:t>
            </w:r>
            <w:r>
              <w:rPr>
                <w:rFonts w:hint="eastAsia" w:ascii="宋体" w:hAnsi="宋体" w:cs="宋体"/>
                <w:color w:val="000000" w:themeColor="text1"/>
                <w:sz w:val="24"/>
                <w:lang w:val="en-US" w:eastAsia="zh-CN"/>
                <w14:textFill>
                  <w14:solidFill>
                    <w14:schemeClr w14:val="tx1"/>
                  </w14:solidFill>
                </w14:textFill>
              </w:rPr>
              <w:t>2.5</w:t>
            </w:r>
            <w:r>
              <w:rPr>
                <w:rFonts w:hint="eastAsia" w:ascii="宋体" w:hAnsi="宋体" w:cs="宋体"/>
                <w:color w:val="000000" w:themeColor="text1"/>
                <w:sz w:val="24"/>
                <w14:textFill>
                  <w14:solidFill>
                    <w14:schemeClr w14:val="tx1"/>
                  </w14:solidFill>
                </w14:textFill>
              </w:rPr>
              <w:t>分；本小项</w:t>
            </w:r>
            <w:r>
              <w:rPr>
                <w:rFonts w:hint="eastAsia" w:ascii="宋体" w:hAnsi="宋体" w:cs="宋体"/>
                <w:color w:val="000000" w:themeColor="text1"/>
                <w:sz w:val="24"/>
                <w:lang w:val="en-US" w:eastAsia="zh-CN"/>
                <w14:textFill>
                  <w14:solidFill>
                    <w14:schemeClr w14:val="tx1"/>
                  </w14:solidFill>
                </w14:textFill>
              </w:rPr>
              <w:t>满分2.5</w:t>
            </w:r>
            <w:r>
              <w:rPr>
                <w:rFonts w:hint="eastAsia" w:ascii="宋体" w:hAnsi="宋体" w:cs="宋体"/>
                <w:color w:val="000000" w:themeColor="text1"/>
                <w:sz w:val="24"/>
                <w14:textFill>
                  <w14:solidFill>
                    <w14:schemeClr w14:val="tx1"/>
                  </w14:solidFill>
                </w14:textFill>
              </w:rPr>
              <w:t>分</w:t>
            </w:r>
            <w:r>
              <w:rPr>
                <w:rFonts w:hint="eastAsia" w:ascii="宋体" w:hAnsi="宋体" w:cs="宋体"/>
                <w:color w:val="000000" w:themeColor="text1"/>
                <w:sz w:val="24"/>
                <w:lang w:val="zh-CN"/>
                <w14:textFill>
                  <w14:solidFill>
                    <w14:schemeClr w14:val="tx1"/>
                  </w14:solidFill>
                </w14:textFill>
              </w:rPr>
              <w:t>。</w:t>
            </w:r>
          </w:p>
          <w:p>
            <w:pPr>
              <w:spacing w:line="360" w:lineRule="auto"/>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2.从2021年1月至投标截止日止（以合同签订日期为准）担任过</w:t>
            </w:r>
            <w:r>
              <w:rPr>
                <w:rFonts w:hint="eastAsia" w:ascii="宋体" w:hAnsi="宋体" w:cs="宋体"/>
                <w:color w:val="000000" w:themeColor="text1"/>
                <w:sz w:val="24"/>
                <w:lang w:val="en-US" w:eastAsia="zh-CN"/>
                <w14:textFill>
                  <w14:solidFill>
                    <w14:schemeClr w14:val="tx1"/>
                  </w14:solidFill>
                </w14:textFill>
              </w:rPr>
              <w:t>建筑或</w:t>
            </w:r>
            <w:r>
              <w:rPr>
                <w:rFonts w:hint="eastAsia" w:ascii="宋体" w:hAnsi="宋体" w:cs="宋体"/>
                <w:color w:val="000000" w:themeColor="text1"/>
                <w:sz w:val="24"/>
                <w14:textFill>
                  <w14:solidFill>
                    <w14:schemeClr w14:val="tx1"/>
                  </w14:solidFill>
                </w14:textFill>
              </w:rPr>
              <w:t>公共空间</w:t>
            </w:r>
            <w:r>
              <w:rPr>
                <w:rFonts w:hint="eastAsia" w:ascii="宋体" w:hAnsi="宋体" w:cs="宋体"/>
                <w:color w:val="000000" w:themeColor="text1"/>
                <w:sz w:val="24"/>
                <w:lang w:val="en-US" w:eastAsia="zh-CN"/>
                <w14:textFill>
                  <w14:solidFill>
                    <w14:schemeClr w14:val="tx1"/>
                  </w14:solidFill>
                </w14:textFill>
              </w:rPr>
              <w:t>优化提升</w:t>
            </w:r>
            <w:r>
              <w:rPr>
                <w:rFonts w:hint="eastAsia" w:ascii="宋体" w:hAnsi="宋体" w:cs="宋体"/>
                <w:color w:val="000000" w:themeColor="text1"/>
                <w:sz w:val="24"/>
                <w14:textFill>
                  <w14:solidFill>
                    <w14:schemeClr w14:val="tx1"/>
                  </w14:solidFill>
                </w14:textFill>
              </w:rPr>
              <w:t>项目经验的项目负责人的，</w:t>
            </w:r>
            <w:r>
              <w:rPr>
                <w:rFonts w:hint="eastAsia" w:ascii="宋体" w:hAnsi="宋体" w:cs="宋体"/>
                <w:color w:val="000000" w:themeColor="text1"/>
                <w:sz w:val="24"/>
                <w:lang w:val="en-US" w:eastAsia="zh-CN"/>
                <w14:textFill>
                  <w14:solidFill>
                    <w14:schemeClr w14:val="tx1"/>
                  </w14:solidFill>
                </w14:textFill>
              </w:rPr>
              <w:t>每项2.5分，本小项满分7.5分</w:t>
            </w:r>
            <w:r>
              <w:rPr>
                <w:rFonts w:hint="eastAsia" w:ascii="宋体" w:hAnsi="宋体" w:cs="宋体"/>
                <w:color w:val="000000" w:themeColor="text1"/>
                <w:sz w:val="24"/>
                <w:lang w:eastAsia="zh-CN"/>
                <w14:textFill>
                  <w14:solidFill>
                    <w14:schemeClr w14:val="tx1"/>
                  </w14:solidFill>
                </w14:textFill>
              </w:rPr>
              <w:t>。</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（二）证明文件：</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1.提供拟派项目负责人身份证、职称证书（如有）等。</w:t>
            </w:r>
          </w:p>
          <w:p>
            <w:pPr>
              <w:spacing w:line="360" w:lineRule="auto"/>
              <w:rPr>
                <w:rFonts w:hint="default" w:ascii="宋体" w:hAnsi="宋体" w:cs="宋体"/>
                <w:color w:val="000000" w:themeColor="text1"/>
                <w:sz w:val="24"/>
                <w:lang w:val="en-US"/>
                <w14:textFill>
                  <w14:solidFill>
                    <w14:schemeClr w14:val="tx1"/>
                  </w14:solidFill>
                </w14:textFill>
              </w:rPr>
            </w:pPr>
            <w:r>
              <w:rPr>
                <w:rFonts w:hint="eastAsia" w:ascii="宋体" w:hAnsi="宋体" w:cs="宋体"/>
                <w:color w:val="000000" w:themeColor="text1"/>
                <w:sz w:val="24"/>
                <w14:textFill>
                  <w14:solidFill>
                    <w14:schemeClr w14:val="tx1"/>
                  </w14:solidFill>
                </w14:textFill>
              </w:rPr>
              <w:t>2.要求提供通过投标人购买的项目负责人截标前近</w:t>
            </w:r>
            <w:r>
              <w:rPr>
                <w:rFonts w:hint="eastAsia" w:ascii="宋体" w:hAnsi="宋体" w:cs="宋体"/>
                <w:color w:val="000000" w:themeColor="text1"/>
                <w:sz w:val="24"/>
                <w:lang w:val="en-US" w:eastAsia="zh-CN"/>
                <w14:textFill>
                  <w14:solidFill>
                    <w14:schemeClr w14:val="tx1"/>
                  </w14:solidFill>
                </w14:textFill>
              </w:rPr>
              <w:t>三个月</w:t>
            </w:r>
            <w:r>
              <w:rPr>
                <w:rFonts w:hint="eastAsia" w:ascii="宋体" w:hAnsi="宋体" w:cs="宋体"/>
                <w:color w:val="000000" w:themeColor="text1"/>
                <w:sz w:val="24"/>
                <w14:textFill>
                  <w14:solidFill>
                    <w14:schemeClr w14:val="tx1"/>
                  </w14:solidFill>
                </w14:textFill>
              </w:rPr>
              <w:t>任意一个月的社保证明及相关证明资料作为得分依据。社保证明资料可为社保收缴部门盖章证明资料、社保窗口打印资料或社保官网截图。如供应商为新成立企业且成立时间不足一个月可提供加盖公章的情况说明或者证明材料亦视为符合。如项目负责人为港澳台籍等非大陆籍区域无社保资料，可提供提供有效劳动合同页面页等证明材料亦视为符合</w:t>
            </w:r>
            <w:r>
              <w:rPr>
                <w:rFonts w:hint="eastAsia" w:ascii="宋体" w:hAnsi="宋体" w:cs="宋体"/>
                <w:color w:val="000000" w:themeColor="text1"/>
                <w:sz w:val="24"/>
                <w:lang w:eastAsia="zh-CN"/>
                <w14:textFill>
                  <w14:solidFill>
                    <w14:schemeClr w14:val="tx1"/>
                  </w14:solidFill>
                </w14:textFill>
              </w:rPr>
              <w:t>，</w:t>
            </w:r>
            <w:r>
              <w:rPr>
                <w:rFonts w:hint="default" w:ascii="宋体" w:hAnsi="宋体" w:eastAsia="宋体" w:cs="宋体"/>
                <w:color w:val="auto"/>
                <w:sz w:val="24"/>
                <w:szCs w:val="24"/>
                <w:lang w:val="en-US" w:eastAsia="zh-CN"/>
              </w:rPr>
              <w:t>如为退休返聘人员提供退休证明和聘用合同</w:t>
            </w:r>
            <w:r>
              <w:rPr>
                <w:rFonts w:hint="eastAsia" w:ascii="宋体" w:hAnsi="宋体" w:cs="宋体"/>
                <w:color w:val="000000" w:themeColor="text1"/>
                <w:sz w:val="24"/>
                <w14:textFill>
                  <w14:solidFill>
                    <w14:schemeClr w14:val="tx1"/>
                  </w14:solidFill>
                </w14:textFill>
              </w:rPr>
              <w:t>亦视为符合</w:t>
            </w:r>
            <w:r>
              <w:rPr>
                <w:rFonts w:hint="eastAsia" w:ascii="宋体" w:hAnsi="宋体" w:cs="宋体"/>
                <w:color w:val="00B050"/>
                <w:sz w:val="24"/>
                <w:szCs w:val="24"/>
                <w:lang w:val="en-US" w:eastAsia="zh-CN"/>
              </w:rPr>
              <w:t>。</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3.须提供业绩合同(或委托合同)关键页复印件（关键信息包含不限于合同合作双方盖章页、合作时间页、合作内容页、项目负责人</w:t>
            </w:r>
            <w:r>
              <w:rPr>
                <w:rFonts w:hint="eastAsia" w:ascii="宋体" w:hAnsi="宋体" w:cs="宋体"/>
                <w:color w:val="000000" w:themeColor="text1"/>
                <w:sz w:val="24"/>
                <w:lang w:eastAsia="zh-CN"/>
                <w14:textFill>
                  <w14:solidFill>
                    <w14:schemeClr w14:val="tx1"/>
                  </w14:solidFill>
                </w14:textFill>
              </w:rPr>
              <w:t>信息页</w:t>
            </w:r>
            <w:r>
              <w:rPr>
                <w:rFonts w:hint="eastAsia" w:ascii="宋体" w:hAnsi="宋体" w:cs="宋体"/>
                <w:color w:val="000000" w:themeColor="text1"/>
                <w:sz w:val="24"/>
                <w14:textFill>
                  <w14:solidFill>
                    <w14:schemeClr w14:val="tx1"/>
                  </w14:solidFill>
                </w14:textFill>
              </w:rPr>
              <w:t>等）作为得分依据。通过合同关键页相关证明材料无法判断是否得分的，还须同时提供能证明得分的其它证明资料。</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4.以上资料均要求提供扫描件</w:t>
            </w:r>
            <w:r>
              <w:rPr>
                <w:rFonts w:hint="eastAsia" w:ascii="宋体" w:hAnsi="宋体" w:cs="宋体"/>
                <w:color w:val="000000" w:themeColor="text1"/>
                <w:sz w:val="24"/>
                <w:lang w:val="en-US" w:eastAsia="zh-CN"/>
                <w14:textFill>
                  <w14:solidFill>
                    <w14:schemeClr w14:val="tx1"/>
                  </w14:solidFill>
                </w14:textFill>
              </w:rPr>
              <w:t>加盖公章</w:t>
            </w:r>
            <w:r>
              <w:rPr>
                <w:rFonts w:hint="eastAsia" w:ascii="宋体" w:hAnsi="宋体" w:cs="宋体"/>
                <w:color w:val="000000" w:themeColor="text1"/>
                <w:sz w:val="24"/>
                <w14:textFill>
                  <w14:solidFill>
                    <w14:schemeClr w14:val="tx1"/>
                  </w14:solidFill>
                </w14:textFill>
              </w:rPr>
              <w:t>，原件备查。评分中出现无证明资料或专家无法凭所提供资料判断是否得分的情况，一律作不得分处理。</w:t>
            </w:r>
          </w:p>
        </w:tc>
        <w:tc>
          <w:tcPr>
            <w:tcW w:w="901"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1079"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项目团队成员（项目负责人除外）</w:t>
            </w:r>
          </w:p>
        </w:tc>
        <w:tc>
          <w:tcPr>
            <w:tcW w:w="5907" w:type="dxa"/>
            <w:shd w:val="clear" w:color="auto" w:fill="auto"/>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（一）评审标准：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根据投标人拟投入的项目团队成员情况进行打分：项目团队成员（不含项目总负责人）不少于</w:t>
            </w:r>
            <w:r>
              <w:rPr>
                <w:rFonts w:hint="eastAsia" w:ascii="宋体" w:hAnsi="宋体" w:cs="宋体"/>
                <w:color w:val="000000" w:themeColor="text1"/>
                <w:sz w:val="24"/>
                <w:lang w:val="en-US" w:eastAsia="zh-CN"/>
                <w14:textFill>
                  <w14:solidFill>
                    <w14:schemeClr w14:val="tx1"/>
                  </w14:solidFill>
                </w14:textFill>
              </w:rPr>
              <w:t>14</w:t>
            </w:r>
            <w:r>
              <w:rPr>
                <w:rFonts w:hint="eastAsia" w:ascii="宋体" w:hAnsi="宋体" w:cs="宋体"/>
                <w:color w:val="000000" w:themeColor="text1"/>
                <w:sz w:val="24"/>
                <w14:textFill>
                  <w14:solidFill>
                    <w14:schemeClr w14:val="tx1"/>
                  </w14:solidFill>
                </w14:textFill>
              </w:rPr>
              <w:t>人，否则本项不得分。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技术团队均为本科及以上学历，学历或职称专业需为以下类别：建筑</w:t>
            </w:r>
            <w:r>
              <w:rPr>
                <w:rFonts w:hint="eastAsia" w:ascii="宋体" w:hAnsi="宋体" w:cs="宋体"/>
                <w:color w:val="000000" w:themeColor="text1"/>
                <w:sz w:val="24"/>
                <w:lang w:val="en-US" w:eastAsia="zh-CN"/>
                <w14:textFill>
                  <w14:solidFill>
                    <w14:schemeClr w14:val="tx1"/>
                  </w14:solidFill>
                </w14:textFill>
              </w:rPr>
              <w:t>学</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建筑</w:t>
            </w:r>
            <w:r>
              <w:rPr>
                <w:rFonts w:hint="eastAsia" w:ascii="宋体" w:hAnsi="宋体" w:cs="宋体"/>
                <w:color w:val="000000" w:themeColor="text1"/>
                <w:sz w:val="24"/>
                <w14:textFill>
                  <w14:solidFill>
                    <w14:schemeClr w14:val="tx1"/>
                  </w14:solidFill>
                </w14:textFill>
              </w:rPr>
              <w:t>结构、</w:t>
            </w:r>
            <w:r>
              <w:rPr>
                <w:rFonts w:hint="eastAsia" w:ascii="宋体" w:hAnsi="宋体" w:cs="宋体"/>
                <w:color w:val="000000" w:themeColor="text1"/>
                <w:sz w:val="24"/>
                <w:lang w:val="en-US" w:eastAsia="zh-CN"/>
                <w14:textFill>
                  <w14:solidFill>
                    <w14:schemeClr w14:val="tx1"/>
                  </w14:solidFill>
                </w14:textFill>
              </w:rPr>
              <w:t>建筑</w:t>
            </w:r>
            <w:r>
              <w:rPr>
                <w:rFonts w:hint="eastAsia" w:ascii="宋体" w:hAnsi="宋体" w:cs="宋体"/>
                <w:color w:val="000000" w:themeColor="text1"/>
                <w:sz w:val="24"/>
                <w14:textFill>
                  <w14:solidFill>
                    <w14:schemeClr w14:val="tx1"/>
                  </w14:solidFill>
                </w14:textFill>
              </w:rPr>
              <w:t>电</w:t>
            </w:r>
            <w:r>
              <w:rPr>
                <w:rFonts w:hint="eastAsia" w:ascii="宋体" w:hAnsi="宋体" w:cs="宋体"/>
                <w:color w:val="000000" w:themeColor="text1"/>
                <w:sz w:val="24"/>
                <w:lang w:val="en-US" w:eastAsia="zh-CN"/>
                <w14:textFill>
                  <w14:solidFill>
                    <w14:schemeClr w14:val="tx1"/>
                  </w14:solidFill>
                </w14:textFill>
              </w:rPr>
              <w:t>气</w:t>
            </w:r>
            <w:r>
              <w:rPr>
                <w:rFonts w:hint="eastAsia" w:ascii="宋体" w:hAnsi="宋体" w:cs="宋体"/>
                <w:color w:val="000000" w:themeColor="text1"/>
                <w:sz w:val="24"/>
                <w14:textFill>
                  <w14:solidFill>
                    <w14:schemeClr w14:val="tx1"/>
                  </w14:solidFill>
                </w14:textFill>
              </w:rPr>
              <w:t>、景观、</w:t>
            </w:r>
            <w:r>
              <w:rPr>
                <w:rFonts w:hint="eastAsia" w:ascii="宋体" w:hAnsi="宋体" w:cs="宋体"/>
                <w:color w:val="000000" w:themeColor="text1"/>
                <w:sz w:val="24"/>
                <w:lang w:val="en-US" w:eastAsia="zh-CN"/>
                <w14:textFill>
                  <w14:solidFill>
                    <w14:schemeClr w14:val="tx1"/>
                  </w14:solidFill>
                </w14:textFill>
              </w:rPr>
              <w:t>城市</w:t>
            </w:r>
            <w:r>
              <w:rPr>
                <w:rFonts w:hint="eastAsia" w:ascii="宋体" w:hAnsi="宋体" w:cs="宋体"/>
                <w:color w:val="000000" w:themeColor="text1"/>
                <w:sz w:val="24"/>
                <w14:textFill>
                  <w14:solidFill>
                    <w14:schemeClr w14:val="tx1"/>
                  </w14:solidFill>
                </w14:textFill>
              </w:rPr>
              <w:t>规划、经济策划等关专业的人员，</w:t>
            </w:r>
            <w:r>
              <w:rPr>
                <w:rFonts w:hint="eastAsia" w:ascii="宋体" w:hAnsi="宋体" w:cs="宋体"/>
                <w:color w:val="000000" w:themeColor="text1"/>
                <w:sz w:val="24"/>
                <w:lang w:val="en-US" w:eastAsia="zh-CN"/>
                <w14:textFill>
                  <w14:solidFill>
                    <w14:schemeClr w14:val="tx1"/>
                  </w14:solidFill>
                </w14:textFill>
              </w:rPr>
              <w:t>其中建筑学、景观各专业不少于5人，</w:t>
            </w:r>
            <w:r>
              <w:rPr>
                <w:rFonts w:hint="eastAsia" w:ascii="宋体" w:hAnsi="宋体" w:cs="宋体"/>
                <w:color w:val="000000" w:themeColor="text1"/>
                <w:sz w:val="24"/>
                <w14:textFill>
                  <w14:solidFill>
                    <w14:schemeClr w14:val="tx1"/>
                  </w14:solidFill>
                </w14:textFill>
              </w:rPr>
              <w:t>满足以上要求得</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分</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否则0分</w:t>
            </w:r>
            <w:r>
              <w:rPr>
                <w:rFonts w:hint="eastAsia" w:ascii="宋体" w:hAnsi="宋体" w:cs="宋体"/>
                <w:color w:val="000000" w:themeColor="text1"/>
                <w:sz w:val="24"/>
                <w:lang w:val="en-US" w:eastAsia="zh-CN"/>
                <w14:textFill>
                  <w14:solidFill>
                    <w14:schemeClr w14:val="tx1"/>
                  </w14:solidFill>
                </w14:textFill>
              </w:rPr>
              <w:t>；</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团队成员</w:t>
            </w:r>
            <w:r>
              <w:rPr>
                <w:rFonts w:hint="eastAsia" w:ascii="宋体" w:hAnsi="宋体" w:cs="宋体"/>
                <w:color w:val="000000" w:themeColor="text1"/>
                <w:sz w:val="24"/>
                <w:lang w:val="en-US" w:eastAsia="zh-CN"/>
                <w14:textFill>
                  <w14:solidFill>
                    <w14:schemeClr w14:val="tx1"/>
                  </w14:solidFill>
                </w14:textFill>
              </w:rPr>
              <w:t>中具</w:t>
            </w:r>
            <w:r>
              <w:rPr>
                <w:rFonts w:hint="eastAsia" w:ascii="宋体" w:hAnsi="宋体" w:cs="宋体"/>
                <w:color w:val="000000" w:themeColor="text1"/>
                <w:sz w:val="24"/>
                <w14:textFill>
                  <w14:solidFill>
                    <w14:schemeClr w14:val="tx1"/>
                  </w14:solidFill>
                </w14:textFill>
              </w:rPr>
              <w:t>有</w:t>
            </w:r>
            <w:r>
              <w:rPr>
                <w:rFonts w:hint="eastAsia" w:ascii="宋体" w:hAnsi="宋体" w:cs="宋体"/>
                <w:color w:val="000000" w:themeColor="text1"/>
                <w:sz w:val="24"/>
                <w:lang w:val="en-US" w:eastAsia="zh-CN"/>
                <w14:textFill>
                  <w14:solidFill>
                    <w14:schemeClr w14:val="tx1"/>
                  </w14:solidFill>
                </w14:textFill>
              </w:rPr>
              <w:t>建筑或</w:t>
            </w:r>
            <w:r>
              <w:rPr>
                <w:rFonts w:hint="eastAsia" w:ascii="宋体" w:hAnsi="宋体" w:cs="宋体"/>
                <w:color w:val="000000" w:themeColor="text1"/>
                <w:sz w:val="24"/>
                <w14:textFill>
                  <w14:solidFill>
                    <w14:schemeClr w14:val="tx1"/>
                  </w14:solidFill>
                </w14:textFill>
              </w:rPr>
              <w:t>公共空间</w:t>
            </w:r>
            <w:r>
              <w:rPr>
                <w:rFonts w:hint="eastAsia" w:ascii="宋体" w:hAnsi="宋体" w:cs="宋体"/>
                <w:color w:val="000000" w:themeColor="text1"/>
                <w:sz w:val="24"/>
                <w:lang w:val="en-US" w:eastAsia="zh-CN"/>
                <w14:textFill>
                  <w14:solidFill>
                    <w14:schemeClr w14:val="tx1"/>
                  </w14:solidFill>
                </w14:textFill>
              </w:rPr>
              <w:t>优化提升</w:t>
            </w:r>
            <w:r>
              <w:rPr>
                <w:rFonts w:hint="eastAsia" w:ascii="宋体" w:hAnsi="宋体" w:cs="宋体"/>
                <w:color w:val="000000" w:themeColor="text1"/>
                <w:sz w:val="24"/>
                <w14:textFill>
                  <w14:solidFill>
                    <w14:schemeClr w14:val="tx1"/>
                  </w14:solidFill>
                </w14:textFill>
              </w:rPr>
              <w:t>项目经验的（每人加1分</w:t>
            </w:r>
            <w:r>
              <w:rPr>
                <w:rFonts w:hint="eastAsia" w:ascii="宋体" w:hAnsi="宋体" w:cs="宋体"/>
                <w:color w:val="000000" w:themeColor="text1"/>
                <w:sz w:val="24"/>
                <w:lang w:val="en-US" w:eastAsia="zh-CN"/>
                <w14:textFill>
                  <w14:solidFill>
                    <w14:schemeClr w14:val="tx1"/>
                  </w14:solidFill>
                </w14:textFill>
              </w:rPr>
              <w:t>,每人最高得1分</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满</w:t>
            </w:r>
            <w:r>
              <w:rPr>
                <w:rFonts w:hint="eastAsia" w:ascii="宋体" w:hAnsi="宋体" w:cs="宋体"/>
                <w:color w:val="000000" w:themeColor="text1"/>
                <w:sz w:val="24"/>
                <w14:textFill>
                  <w14:solidFill>
                    <w14:schemeClr w14:val="tx1"/>
                  </w14:solidFill>
                </w14:textFill>
              </w:rPr>
              <w:t>分6分。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（二）证明文件：</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提供拟派项目团队成员清单、职称证书（如有）、学历证明材料等。（学历证明材料须提供毕业证书复印件以及学信网查询截图，原件备查。如学历证明颁发较早，学信网无法查询，可提供毕业院校、人社部门等颁发机构或监管机构等单位出具的证明，若为境外留学学历，无需提供学信网查询记录，需提供教育部留学服务中心出具的学历学位认证书。）</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2.要求提供通过投标人或其同一法人的分公司购买的项目团队成员截标前近</w:t>
            </w:r>
            <w:r>
              <w:rPr>
                <w:rFonts w:hint="eastAsia" w:ascii="宋体" w:hAnsi="宋体" w:cs="宋体"/>
                <w:color w:val="000000" w:themeColor="text1"/>
                <w:sz w:val="24"/>
                <w:lang w:val="en-US" w:eastAsia="zh-CN"/>
                <w14:textFill>
                  <w14:solidFill>
                    <w14:schemeClr w14:val="tx1"/>
                  </w14:solidFill>
                </w14:textFill>
              </w:rPr>
              <w:t>三个月</w:t>
            </w:r>
            <w:r>
              <w:rPr>
                <w:rFonts w:hint="eastAsia" w:ascii="宋体" w:hAnsi="宋体" w:cs="宋体"/>
                <w:color w:val="000000" w:themeColor="text1"/>
                <w:sz w:val="24"/>
                <w14:textFill>
                  <w14:solidFill>
                    <w14:schemeClr w14:val="tx1"/>
                  </w14:solidFill>
                </w14:textFill>
              </w:rPr>
              <w:t>任意一个月的社保证明及相关证明资料作为得分依据。社保证明资料可为社保收缴部门盖章证明资料、社保窗口打印资料或社保官网截图。如供应商为新成立企业且成立时间不足一个月可提供加盖公章的情况说明或者证明材料亦视为符合。如团队成员为港澳台籍等非大陆籍区域无社保资料，可提供提供有效劳动合同页面页等证明材料亦视为符合。</w:t>
            </w:r>
            <w:r>
              <w:rPr>
                <w:rFonts w:hint="default" w:ascii="宋体" w:hAnsi="宋体" w:eastAsia="宋体" w:cs="宋体"/>
                <w:color w:val="auto"/>
                <w:sz w:val="24"/>
                <w:szCs w:val="24"/>
                <w:lang w:val="en-US" w:eastAsia="zh-CN"/>
              </w:rPr>
              <w:t>如为退休返聘人员提供退休证明和聘用合同</w:t>
            </w:r>
            <w:r>
              <w:rPr>
                <w:rFonts w:hint="eastAsia" w:ascii="宋体" w:hAnsi="宋体" w:cs="宋体"/>
                <w:color w:val="000000" w:themeColor="text1"/>
                <w:sz w:val="24"/>
                <w14:textFill>
                  <w14:solidFill>
                    <w14:schemeClr w14:val="tx1"/>
                  </w14:solidFill>
                </w14:textFill>
              </w:rPr>
              <w:t>亦视为符合</w:t>
            </w:r>
            <w:r>
              <w:rPr>
                <w:rFonts w:hint="eastAsia" w:ascii="宋体" w:hAnsi="宋体" w:cs="宋体"/>
                <w:color w:val="000000" w:themeColor="text1"/>
                <w:sz w:val="24"/>
                <w:lang w:eastAsia="zh-CN"/>
                <w14:textFill>
                  <w14:solidFill>
                    <w14:schemeClr w14:val="tx1"/>
                  </w14:solidFill>
                </w14:textFill>
              </w:rPr>
              <w:t>。</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须提供业绩合同(或委托合同)关键页复印件（关键信息包含不限于合同合作双方盖章页、合作时间页、合作内容页、项目团队名单等）作为得分依据。通过合同关键页相关证明材料无法判断是否得分的，还须同时提供能证明得分的其它证明资料。</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4.以上资料均要求提供扫描件</w:t>
            </w:r>
            <w:r>
              <w:rPr>
                <w:rFonts w:hint="eastAsia" w:ascii="宋体" w:hAnsi="宋体" w:cs="宋体"/>
                <w:color w:val="000000" w:themeColor="text1"/>
                <w:sz w:val="24"/>
                <w:lang w:val="en-US" w:eastAsia="zh-CN"/>
                <w14:textFill>
                  <w14:solidFill>
                    <w14:schemeClr w14:val="tx1"/>
                  </w14:solidFill>
                </w14:textFill>
              </w:rPr>
              <w:t>加盖公章</w:t>
            </w:r>
            <w:r>
              <w:rPr>
                <w:rFonts w:hint="eastAsia" w:ascii="宋体" w:hAnsi="宋体" w:cs="宋体"/>
                <w:color w:val="000000" w:themeColor="text1"/>
                <w:sz w:val="24"/>
                <w14:textFill>
                  <w14:solidFill>
                    <w14:schemeClr w14:val="tx1"/>
                  </w14:solidFill>
                </w14:textFill>
              </w:rPr>
              <w:t>，原件备查。评分中出现无证明资料或专家无法凭所提供资料判断是否得分的情况，一律作不得分处理。</w:t>
            </w:r>
          </w:p>
        </w:tc>
        <w:tc>
          <w:tcPr>
            <w:tcW w:w="901" w:type="dxa"/>
            <w:noWrap w:val="0"/>
            <w:vAlign w:val="center"/>
          </w:tcPr>
          <w:p>
            <w:pPr>
              <w:autoSpaceDE w:val="0"/>
              <w:autoSpaceDN w:val="0"/>
              <w:adjustRightInd w:val="0"/>
              <w:spacing w:line="360" w:lineRule="auto"/>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11</w:t>
            </w:r>
          </w:p>
        </w:tc>
        <w:tc>
          <w:tcPr>
            <w:tcW w:w="1079"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诚信声明与承诺</w:t>
            </w:r>
          </w:p>
        </w:tc>
        <w:tc>
          <w:tcPr>
            <w:tcW w:w="5907" w:type="dxa"/>
            <w:noWrap w:val="0"/>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（一）评分内容：</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（二）评分依据:</w:t>
            </w:r>
          </w:p>
          <w:p>
            <w:pPr>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1、投标人提供诚信声明与承诺加盖公章；</w:t>
            </w:r>
          </w:p>
          <w:p>
            <w:pPr>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采购代理机构通过信用信息查询渠道，包括“信用中国”（www.creditchina.gov.cn）、“中国政府采购网”（www.ccgp.gov.cn）、“深圳市政府采购监管网”（http://zfcg.sz.gov.cn）以及市、区财政部门认定的其他渠道查询供应商信用信息</w:t>
            </w:r>
            <w:r>
              <w:rPr>
                <w:rFonts w:hint="eastAsia" w:ascii="宋体" w:hAnsi="宋体" w:cs="宋体"/>
                <w:color w:val="000000" w:themeColor="text1"/>
                <w:sz w:val="24"/>
                <w14:textFill>
                  <w14:solidFill>
                    <w14:schemeClr w14:val="tx1"/>
                  </w14:solidFill>
                </w14:textFill>
              </w:rPr>
              <w:t>。</w:t>
            </w:r>
          </w:p>
        </w:tc>
        <w:tc>
          <w:tcPr>
            <w:tcW w:w="901" w:type="dxa"/>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079" w:type="dxa"/>
            <w:noWrap w:val="0"/>
            <w:vAlign w:val="center"/>
          </w:tcPr>
          <w:p>
            <w:pPr>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hint="eastAsia"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三、技术部分（</w:t>
            </w:r>
            <w:r>
              <w:rPr>
                <w:rFonts w:hint="eastAsia" w:ascii="宋体" w:hAnsi="宋体" w:cs="宋体"/>
                <w:b/>
                <w:color w:val="000000" w:themeColor="text1"/>
                <w:sz w:val="24"/>
                <w:lang w:val="en-US" w:eastAsia="zh-CN"/>
                <w14:textFill>
                  <w14:solidFill>
                    <w14:schemeClr w14:val="tx1"/>
                  </w14:solidFill>
                </w14:textFill>
              </w:rPr>
              <w:t>50</w:t>
            </w:r>
            <w:r>
              <w:rPr>
                <w:rFonts w:hint="eastAsia" w:ascii="宋体" w:hAnsi="宋体" w:cs="宋体"/>
                <w:b/>
                <w:color w:val="000000" w:themeColor="text1"/>
                <w:sz w:val="24"/>
                <w:lang w:val="zh-CN"/>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序号</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内容</w:t>
            </w:r>
          </w:p>
        </w:tc>
        <w:tc>
          <w:tcPr>
            <w:tcW w:w="5907"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评分规则</w:t>
            </w:r>
          </w:p>
        </w:tc>
        <w:tc>
          <w:tcPr>
            <w:tcW w:w="901"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权重</w:t>
            </w:r>
          </w:p>
        </w:tc>
        <w:tc>
          <w:tcPr>
            <w:tcW w:w="1079"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项目背景理解分析</w:t>
            </w:r>
          </w:p>
        </w:tc>
        <w:tc>
          <w:tcPr>
            <w:tcW w:w="5907" w:type="dxa"/>
            <w:noWrap w:val="0"/>
            <w:vAlign w:val="center"/>
          </w:tcPr>
          <w:p>
            <w:pPr>
              <w:autoSpaceDE w:val="0"/>
              <w:autoSpaceDN w:val="0"/>
              <w:adjustRightInd w:val="0"/>
              <w:spacing w:line="360" w:lineRule="auto"/>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（一）评审内容：</w:t>
            </w:r>
          </w:p>
          <w:p>
            <w:pPr>
              <w:autoSpaceDE w:val="0"/>
              <w:autoSpaceDN w:val="0"/>
              <w:adjustRightInd w:val="0"/>
              <w:spacing w:line="360" w:lineRule="auto"/>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1.对项目总体的理解认识；</w:t>
            </w:r>
          </w:p>
          <w:p>
            <w:pPr>
              <w:autoSpaceDE w:val="0"/>
              <w:autoSpaceDN w:val="0"/>
              <w:adjustRightInd w:val="0"/>
              <w:spacing w:line="360" w:lineRule="auto"/>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工作目标</w:t>
            </w:r>
            <w:r>
              <w:rPr>
                <w:rFonts w:hint="eastAsia" w:ascii="宋体" w:hAnsi="宋体" w:cs="宋体"/>
                <w:color w:val="000000" w:themeColor="text1"/>
                <w:sz w:val="24"/>
                <w:lang w:val="en-US" w:eastAsia="zh-CN"/>
                <w14:textFill>
                  <w14:solidFill>
                    <w14:schemeClr w14:val="tx1"/>
                  </w14:solidFill>
                </w14:textFill>
              </w:rPr>
              <w:t>；</w:t>
            </w:r>
          </w:p>
          <w:p>
            <w:pPr>
              <w:autoSpaceDE w:val="0"/>
              <w:autoSpaceDN w:val="0"/>
              <w:adjustRightInd w:val="0"/>
              <w:spacing w:line="360" w:lineRule="auto"/>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lang w:val="zh-CN"/>
                <w14:textFill>
                  <w14:solidFill>
                    <w14:schemeClr w14:val="tx1"/>
                  </w14:solidFill>
                </w14:textFill>
              </w:rPr>
              <w:t>工作内容；</w:t>
            </w:r>
          </w:p>
          <w:p>
            <w:pPr>
              <w:autoSpaceDE w:val="0"/>
              <w:autoSpaceDN w:val="0"/>
              <w:adjustRightInd w:val="0"/>
              <w:spacing w:line="360" w:lineRule="auto"/>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lang w:val="zh-CN"/>
                <w14:textFill>
                  <w14:solidFill>
                    <w14:schemeClr w14:val="tx1"/>
                  </w14:solidFill>
                </w14:textFill>
              </w:rPr>
              <w:t>场地条件的梳理、理解；</w:t>
            </w:r>
          </w:p>
          <w:p>
            <w:pPr>
              <w:autoSpaceDE w:val="0"/>
              <w:autoSpaceDN w:val="0"/>
              <w:adjustRightInd w:val="0"/>
              <w:spacing w:line="360" w:lineRule="auto"/>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（二）评审标准：</w:t>
            </w:r>
          </w:p>
          <w:p>
            <w:pPr>
              <w:autoSpaceDE w:val="0"/>
              <w:autoSpaceDN w:val="0"/>
              <w:adjustRightInd w:val="0"/>
              <w:spacing w:line="360" w:lineRule="auto"/>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满足以上</w:t>
            </w:r>
            <w:r>
              <w:rPr>
                <w:rFonts w:hint="eastAsia" w:ascii="宋体" w:hAnsi="宋体" w:cs="宋体"/>
                <w:color w:val="000000" w:themeColor="text1"/>
                <w:sz w:val="24"/>
                <w:lang w:val="en-US" w:eastAsia="zh-CN"/>
                <w14:textFill>
                  <w14:solidFill>
                    <w14:schemeClr w14:val="tx1"/>
                  </w14:solidFill>
                </w14:textFill>
              </w:rPr>
              <w:t>任意1</w:t>
            </w:r>
            <w:r>
              <w:rPr>
                <w:rFonts w:hint="eastAsia" w:ascii="宋体" w:hAnsi="宋体" w:cs="宋体"/>
                <w:color w:val="000000" w:themeColor="text1"/>
                <w:sz w:val="24"/>
                <w:lang w:val="zh-CN"/>
                <w14:textFill>
                  <w14:solidFill>
                    <w14:schemeClr w14:val="tx1"/>
                  </w14:solidFill>
                </w14:textFill>
              </w:rPr>
              <w:t>点得</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分，</w:t>
            </w:r>
            <w:r>
              <w:rPr>
                <w:rFonts w:hint="eastAsia" w:ascii="宋体" w:hAnsi="宋体" w:cs="宋体"/>
                <w:color w:val="000000" w:themeColor="text1"/>
                <w:sz w:val="24"/>
                <w:lang w:val="en-US" w:eastAsia="zh-CN"/>
                <w14:textFill>
                  <w14:solidFill>
                    <w14:schemeClr w14:val="tx1"/>
                  </w14:solidFill>
                </w14:textFill>
              </w:rPr>
              <w:t>最高得8分，</w:t>
            </w:r>
            <w:r>
              <w:rPr>
                <w:rFonts w:hint="eastAsia" w:ascii="宋体" w:hAnsi="宋体" w:cs="宋体"/>
                <w:color w:val="000000" w:themeColor="text1"/>
                <w:sz w:val="24"/>
                <w:lang w:val="zh-CN"/>
                <w14:textFill>
                  <w14:solidFill>
                    <w14:schemeClr w14:val="tx1"/>
                  </w14:solidFill>
                </w14:textFill>
              </w:rPr>
              <w:t>未满足不得分。</w:t>
            </w:r>
          </w:p>
          <w:p>
            <w:pPr>
              <w:autoSpaceDE w:val="0"/>
              <w:autoSpaceDN w:val="0"/>
              <w:adjustRightInd w:val="0"/>
              <w:spacing w:line="360" w:lineRule="auto"/>
              <w:jc w:val="left"/>
              <w:rPr>
                <w:rFonts w:hint="eastAsia" w:ascii="宋体" w:hAnsi="宋体" w:cs="宋体"/>
                <w:color w:val="000000" w:themeColor="text1"/>
                <w:sz w:val="24"/>
                <w:lang w:val="zh-CN" w:eastAsia="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优：工作背景理解深入、现状情况掌握全面，得</w:t>
            </w:r>
            <w:r>
              <w:rPr>
                <w:rFonts w:hint="eastAsia" w:ascii="宋体" w:hAnsi="宋体" w:cs="宋体"/>
                <w:color w:val="000000" w:themeColor="text1"/>
                <w:sz w:val="24"/>
                <w:lang w:val="en-US" w:eastAsia="zh-CN"/>
                <w14:textFill>
                  <w14:solidFill>
                    <w14:schemeClr w14:val="tx1"/>
                  </w14:solidFill>
                </w14:textFill>
              </w:rPr>
              <w:t>12</w:t>
            </w:r>
            <w:r>
              <w:rPr>
                <w:rFonts w:hint="eastAsia" w:ascii="宋体" w:hAnsi="宋体" w:cs="宋体"/>
                <w:color w:val="000000" w:themeColor="text1"/>
                <w:sz w:val="24"/>
                <w:lang w:val="zh-CN"/>
                <w14:textFill>
                  <w14:solidFill>
                    <w14:schemeClr w14:val="tx1"/>
                  </w14:solidFill>
                </w14:textFill>
              </w:rPr>
              <w:t>分</w:t>
            </w:r>
            <w:r>
              <w:rPr>
                <w:rFonts w:hint="eastAsia" w:ascii="宋体" w:hAnsi="宋体" w:cs="宋体"/>
                <w:color w:val="000000" w:themeColor="text1"/>
                <w:sz w:val="24"/>
                <w:lang w:val="en-US" w:eastAsia="zh-CN"/>
                <w14:textFill>
                  <w14:solidFill>
                    <w14:schemeClr w14:val="tx1"/>
                  </w14:solidFill>
                </w14:textFill>
              </w:rPr>
              <w:t>；</w:t>
            </w:r>
          </w:p>
          <w:p>
            <w:pPr>
              <w:autoSpaceDE w:val="0"/>
              <w:autoSpaceDN w:val="0"/>
              <w:adjustRightInd w:val="0"/>
              <w:spacing w:line="360" w:lineRule="auto"/>
              <w:jc w:val="left"/>
              <w:rPr>
                <w:rFonts w:hint="eastAsia" w:ascii="宋体" w:hAnsi="宋体" w:cs="宋体"/>
                <w:color w:val="000000" w:themeColor="text1"/>
                <w:sz w:val="24"/>
                <w:lang w:val="zh-CN" w:eastAsia="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良：工作背景理解较为深入、现状情况掌握较为全面，得</w:t>
            </w: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分</w:t>
            </w:r>
            <w:r>
              <w:rPr>
                <w:rFonts w:hint="eastAsia" w:ascii="宋体" w:hAnsi="宋体" w:cs="宋体"/>
                <w:color w:val="000000" w:themeColor="text1"/>
                <w:sz w:val="24"/>
                <w:lang w:val="en-US" w:eastAsia="zh-CN"/>
                <w14:textFill>
                  <w14:solidFill>
                    <w14:schemeClr w14:val="tx1"/>
                  </w14:solidFill>
                </w14:textFill>
              </w:rPr>
              <w:t>；</w:t>
            </w:r>
          </w:p>
          <w:p>
            <w:pPr>
              <w:autoSpaceDE w:val="0"/>
              <w:autoSpaceDN w:val="0"/>
              <w:adjustRightInd w:val="0"/>
              <w:spacing w:line="360" w:lineRule="auto"/>
              <w:jc w:val="left"/>
              <w:rPr>
                <w:rFonts w:hint="eastAsia" w:ascii="宋体" w:hAnsi="宋体" w:cs="宋体"/>
                <w:color w:val="000000" w:themeColor="text1"/>
                <w:sz w:val="24"/>
                <w:lang w:val="zh-CN" w:eastAsia="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中：工作背景理解一般、现状情况掌握一般，得</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lang w:val="zh-CN"/>
                <w14:textFill>
                  <w14:solidFill>
                    <w14:schemeClr w14:val="tx1"/>
                  </w14:solidFill>
                </w14:textFill>
              </w:rPr>
              <w:t>分</w:t>
            </w:r>
            <w:r>
              <w:rPr>
                <w:rFonts w:hint="eastAsia" w:ascii="宋体" w:hAnsi="宋体" w:cs="宋体"/>
                <w:color w:val="000000" w:themeColor="text1"/>
                <w:sz w:val="24"/>
                <w:lang w:val="en-US" w:eastAsia="zh-CN"/>
                <w14:textFill>
                  <w14:solidFill>
                    <w14:schemeClr w14:val="tx1"/>
                  </w14:solidFill>
                </w14:textFill>
              </w:rPr>
              <w:t>；</w:t>
            </w:r>
          </w:p>
          <w:p>
            <w:pPr>
              <w:autoSpaceDE w:val="0"/>
              <w:autoSpaceDN w:val="0"/>
              <w:adjustRightInd w:val="0"/>
              <w:spacing w:line="360" w:lineRule="auto"/>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差：工作背景理解较差、现状情况掌握较差，不得分。</w:t>
            </w:r>
          </w:p>
        </w:tc>
        <w:tc>
          <w:tcPr>
            <w:tcW w:w="901" w:type="dxa"/>
            <w:noWrap w:val="0"/>
            <w:vAlign w:val="center"/>
          </w:tcPr>
          <w:p>
            <w:pPr>
              <w:autoSpaceDE w:val="0"/>
              <w:autoSpaceDN w:val="0"/>
              <w:adjustRightInd w:val="0"/>
              <w:spacing w:line="360" w:lineRule="auto"/>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20</w:t>
            </w:r>
          </w:p>
        </w:tc>
        <w:tc>
          <w:tcPr>
            <w:tcW w:w="1079"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2</w:t>
            </w:r>
          </w:p>
        </w:tc>
        <w:tc>
          <w:tcPr>
            <w:tcW w:w="1168" w:type="dxa"/>
            <w:noWrap w:val="0"/>
            <w:vAlign w:val="center"/>
          </w:tcPr>
          <w:p>
            <w:pPr>
              <w:autoSpaceDE w:val="0"/>
              <w:autoSpaceDN w:val="0"/>
              <w:adjustRightInd w:val="0"/>
              <w:spacing w:line="360" w:lineRule="auto"/>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设计</w:t>
            </w:r>
            <w:r>
              <w:rPr>
                <w:rFonts w:hint="eastAsia" w:ascii="宋体" w:hAnsi="宋体" w:cs="宋体"/>
                <w:color w:val="000000" w:themeColor="text1"/>
                <w:sz w:val="24"/>
                <w:lang w:val="en-US" w:eastAsia="zh-CN"/>
                <w14:textFill>
                  <w14:solidFill>
                    <w14:schemeClr w14:val="tx1"/>
                  </w14:solidFill>
                </w14:textFill>
              </w:rPr>
              <w:t>思路及理念</w:t>
            </w:r>
          </w:p>
        </w:tc>
        <w:tc>
          <w:tcPr>
            <w:tcW w:w="5907" w:type="dxa"/>
            <w:noWrap w:val="0"/>
            <w:vAlign w:val="center"/>
          </w:tcPr>
          <w:p>
            <w:pPr>
              <w:autoSpaceDE w:val="0"/>
              <w:autoSpaceDN w:val="0"/>
              <w:adjustRightInd w:val="0"/>
              <w:spacing w:line="360" w:lineRule="auto"/>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（一）评审内容：</w:t>
            </w:r>
          </w:p>
          <w:p>
            <w:pPr>
              <w:autoSpaceDE w:val="0"/>
              <w:autoSpaceDN w:val="0"/>
              <w:adjustRightInd w:val="0"/>
              <w:spacing w:line="360" w:lineRule="auto"/>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 针对项目的理解与认识，设计工作有针对性技术；</w:t>
            </w:r>
          </w:p>
          <w:p>
            <w:pPr>
              <w:autoSpaceDE w:val="0"/>
              <w:autoSpaceDN w:val="0"/>
              <w:adjustRightInd w:val="0"/>
              <w:spacing w:line="360" w:lineRule="auto"/>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2. 合理化建议及策略。</w:t>
            </w:r>
          </w:p>
          <w:p>
            <w:pPr>
              <w:autoSpaceDE w:val="0"/>
              <w:autoSpaceDN w:val="0"/>
              <w:adjustRightInd w:val="0"/>
              <w:spacing w:line="360" w:lineRule="auto"/>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 xml:space="preserve">（二）评审标准： </w:t>
            </w:r>
          </w:p>
          <w:p>
            <w:pPr>
              <w:autoSpaceDE w:val="0"/>
              <w:autoSpaceDN w:val="0"/>
              <w:adjustRightInd w:val="0"/>
              <w:spacing w:line="360" w:lineRule="auto"/>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满足以上2点得</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lang w:val="zh-CN"/>
                <w14:textFill>
                  <w14:solidFill>
                    <w14:schemeClr w14:val="tx1"/>
                  </w14:solidFill>
                </w14:textFill>
              </w:rPr>
              <w:t>分，满足1点得</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分，未满足不得分。</w:t>
            </w:r>
          </w:p>
          <w:p>
            <w:pPr>
              <w:autoSpaceDE w:val="0"/>
              <w:autoSpaceDN w:val="0"/>
              <w:adjustRightInd w:val="0"/>
              <w:spacing w:line="360" w:lineRule="auto"/>
              <w:jc w:val="left"/>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优：对于项目的提升思路、策略与合理性把握准确，设计亮点突出，得</w:t>
            </w:r>
            <w:r>
              <w:rPr>
                <w:rFonts w:hint="eastAsia" w:ascii="宋体" w:hAnsi="宋体" w:cs="宋体"/>
                <w:color w:val="000000" w:themeColor="text1"/>
                <w:sz w:val="24"/>
                <w:lang w:val="en-US" w:eastAsia="zh-CN"/>
                <w14:textFill>
                  <w14:solidFill>
                    <w14:schemeClr w14:val="tx1"/>
                  </w14:solidFill>
                </w14:textFill>
              </w:rPr>
              <w:t>16</w:t>
            </w:r>
            <w:r>
              <w:rPr>
                <w:rFonts w:hint="eastAsia" w:ascii="宋体" w:hAnsi="宋体" w:cs="宋体"/>
                <w:color w:val="000000" w:themeColor="text1"/>
                <w:sz w:val="24"/>
                <w:lang w:val="zh-CN"/>
                <w14:textFill>
                  <w14:solidFill>
                    <w14:schemeClr w14:val="tx1"/>
                  </w14:solidFill>
                </w14:textFill>
              </w:rPr>
              <w:t>分</w:t>
            </w:r>
            <w:r>
              <w:rPr>
                <w:rFonts w:hint="eastAsia" w:ascii="宋体" w:hAnsi="宋体" w:cs="宋体"/>
                <w:color w:val="000000" w:themeColor="text1"/>
                <w:sz w:val="24"/>
                <w:lang w:val="en-US" w:eastAsia="zh-CN"/>
                <w14:textFill>
                  <w14:solidFill>
                    <w14:schemeClr w14:val="tx1"/>
                  </w14:solidFill>
                </w14:textFill>
              </w:rPr>
              <w:t>；</w:t>
            </w:r>
          </w:p>
          <w:p>
            <w:pPr>
              <w:autoSpaceDE w:val="0"/>
              <w:autoSpaceDN w:val="0"/>
              <w:adjustRightInd w:val="0"/>
              <w:spacing w:line="360" w:lineRule="auto"/>
              <w:jc w:val="left"/>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良：对于项目的提升思路、策略与合理性把握较为准确，设计亮点较为突出，得</w:t>
            </w:r>
            <w:r>
              <w:rPr>
                <w:rFonts w:hint="eastAsia" w:ascii="宋体" w:hAnsi="宋体" w:cs="宋体"/>
                <w:color w:val="000000" w:themeColor="text1"/>
                <w:sz w:val="24"/>
                <w:lang w:val="en-US" w:eastAsia="zh-CN"/>
                <w14:textFill>
                  <w14:solidFill>
                    <w14:schemeClr w14:val="tx1"/>
                  </w14:solidFill>
                </w14:textFill>
              </w:rPr>
              <w:t>12</w:t>
            </w:r>
            <w:r>
              <w:rPr>
                <w:rFonts w:hint="eastAsia" w:ascii="宋体" w:hAnsi="宋体" w:cs="宋体"/>
                <w:color w:val="000000" w:themeColor="text1"/>
                <w:sz w:val="24"/>
                <w:lang w:val="zh-CN"/>
                <w14:textFill>
                  <w14:solidFill>
                    <w14:schemeClr w14:val="tx1"/>
                  </w14:solidFill>
                </w14:textFill>
              </w:rPr>
              <w:t>分</w:t>
            </w:r>
            <w:r>
              <w:rPr>
                <w:rFonts w:hint="eastAsia" w:ascii="宋体" w:hAnsi="宋体" w:cs="宋体"/>
                <w:color w:val="000000" w:themeColor="text1"/>
                <w:sz w:val="24"/>
                <w:lang w:val="en-US" w:eastAsia="zh-CN"/>
                <w14:textFill>
                  <w14:solidFill>
                    <w14:schemeClr w14:val="tx1"/>
                  </w14:solidFill>
                </w14:textFill>
              </w:rPr>
              <w:t>；</w:t>
            </w:r>
          </w:p>
          <w:p>
            <w:pPr>
              <w:autoSpaceDE w:val="0"/>
              <w:autoSpaceDN w:val="0"/>
              <w:adjustRightInd w:val="0"/>
              <w:spacing w:line="360" w:lineRule="auto"/>
              <w:jc w:val="left"/>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中：对于项目的提升思路、策略与合理性把握一般，设计亮点一般，得</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lang w:val="zh-CN"/>
                <w14:textFill>
                  <w14:solidFill>
                    <w14:schemeClr w14:val="tx1"/>
                  </w14:solidFill>
                </w14:textFill>
              </w:rPr>
              <w:t>分</w:t>
            </w:r>
            <w:r>
              <w:rPr>
                <w:rFonts w:hint="eastAsia" w:ascii="宋体" w:hAnsi="宋体" w:cs="宋体"/>
                <w:color w:val="000000" w:themeColor="text1"/>
                <w:sz w:val="24"/>
                <w:lang w:val="en-US" w:eastAsia="zh-CN"/>
                <w14:textFill>
                  <w14:solidFill>
                    <w14:schemeClr w14:val="tx1"/>
                  </w14:solidFill>
                </w14:textFill>
              </w:rPr>
              <w:t>；</w:t>
            </w:r>
          </w:p>
          <w:p>
            <w:pPr>
              <w:autoSpaceDE w:val="0"/>
              <w:autoSpaceDN w:val="0"/>
              <w:adjustRightInd w:val="0"/>
              <w:spacing w:line="360" w:lineRule="auto"/>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差：对于项目的提升思路、策略与合理性把握较差，设计亮点较差，不得分。</w:t>
            </w:r>
          </w:p>
        </w:tc>
        <w:tc>
          <w:tcPr>
            <w:tcW w:w="901" w:type="dxa"/>
            <w:noWrap w:val="0"/>
            <w:vAlign w:val="center"/>
          </w:tcPr>
          <w:p>
            <w:pPr>
              <w:autoSpaceDE w:val="0"/>
              <w:autoSpaceDN w:val="0"/>
              <w:adjustRightInd w:val="0"/>
              <w:spacing w:line="360" w:lineRule="auto"/>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20</w:t>
            </w:r>
          </w:p>
        </w:tc>
        <w:tc>
          <w:tcPr>
            <w:tcW w:w="1079"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3</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工作进度及质量保障措施</w:t>
            </w:r>
          </w:p>
        </w:tc>
        <w:tc>
          <w:tcPr>
            <w:tcW w:w="5907" w:type="dxa"/>
            <w:noWrap w:val="0"/>
            <w:vAlign w:val="center"/>
          </w:tcPr>
          <w:p>
            <w:pPr>
              <w:autoSpaceDE w:val="0"/>
              <w:autoSpaceDN w:val="0"/>
              <w:adjustRightInd w:val="0"/>
              <w:spacing w:line="360" w:lineRule="auto"/>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（一）评审内容：</w:t>
            </w:r>
          </w:p>
          <w:p>
            <w:pPr>
              <w:autoSpaceDE w:val="0"/>
              <w:autoSpaceDN w:val="0"/>
              <w:adjustRightInd w:val="0"/>
              <w:spacing w:line="360" w:lineRule="auto"/>
              <w:jc w:val="left"/>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1.工作组织与进度安排情况</w:t>
            </w:r>
            <w:r>
              <w:rPr>
                <w:rFonts w:hint="eastAsia" w:ascii="宋体" w:hAnsi="宋体" w:cs="宋体"/>
                <w:color w:val="000000" w:themeColor="text1"/>
                <w:sz w:val="24"/>
                <w:lang w:val="en-US" w:eastAsia="zh-CN"/>
                <w14:textFill>
                  <w14:solidFill>
                    <w14:schemeClr w14:val="tx1"/>
                  </w14:solidFill>
                </w14:textFill>
              </w:rPr>
              <w:t>；</w:t>
            </w:r>
          </w:p>
          <w:p>
            <w:pPr>
              <w:autoSpaceDE w:val="0"/>
              <w:autoSpaceDN w:val="0"/>
              <w:adjustRightInd w:val="0"/>
              <w:spacing w:line="360" w:lineRule="auto"/>
              <w:jc w:val="left"/>
              <w:rPr>
                <w:rFonts w:hint="eastAsia" w:ascii="宋体" w:hAnsi="宋体" w:cs="宋体"/>
                <w:color w:val="000000" w:themeColor="text1"/>
                <w:sz w:val="24"/>
                <w:lang w:val="zh-CN" w:eastAsia="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2.质量保障措施</w:t>
            </w:r>
            <w:r>
              <w:rPr>
                <w:rFonts w:hint="eastAsia" w:ascii="宋体" w:hAnsi="宋体" w:cs="宋体"/>
                <w:color w:val="000000" w:themeColor="text1"/>
                <w:sz w:val="24"/>
                <w:lang w:val="zh-CN" w:eastAsia="zh-CN"/>
                <w14:textFill>
                  <w14:solidFill>
                    <w14:schemeClr w14:val="tx1"/>
                  </w14:solidFill>
                </w14:textFill>
              </w:rPr>
              <w:t>。</w:t>
            </w:r>
          </w:p>
          <w:p>
            <w:pPr>
              <w:autoSpaceDE w:val="0"/>
              <w:autoSpaceDN w:val="0"/>
              <w:adjustRightInd w:val="0"/>
              <w:spacing w:line="360" w:lineRule="auto"/>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（二）评审标准：</w:t>
            </w:r>
          </w:p>
          <w:p>
            <w:pPr>
              <w:autoSpaceDE w:val="0"/>
              <w:autoSpaceDN w:val="0"/>
              <w:adjustRightInd w:val="0"/>
              <w:spacing w:line="360" w:lineRule="auto"/>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满足以上2点得</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lang w:val="zh-CN"/>
                <w14:textFill>
                  <w14:solidFill>
                    <w14:schemeClr w14:val="tx1"/>
                  </w14:solidFill>
                </w14:textFill>
              </w:rPr>
              <w:t>分，满足1点得</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分，未满足不得分。</w:t>
            </w:r>
          </w:p>
          <w:p>
            <w:pPr>
              <w:autoSpaceDE w:val="0"/>
              <w:autoSpaceDN w:val="0"/>
              <w:adjustRightInd w:val="0"/>
              <w:spacing w:line="360" w:lineRule="auto"/>
              <w:jc w:val="left"/>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优：对于项目工作组织与进度安排情况</w:t>
            </w:r>
            <w:r>
              <w:rPr>
                <w:rFonts w:hint="eastAsia" w:ascii="宋体" w:hAnsi="宋体" w:cs="宋体"/>
                <w:color w:val="000000" w:themeColor="text1"/>
                <w:sz w:val="24"/>
                <w:lang w:val="en-US" w:eastAsia="zh-CN"/>
                <w14:textFill>
                  <w14:solidFill>
                    <w14:schemeClr w14:val="tx1"/>
                  </w14:solidFill>
                </w14:textFill>
              </w:rPr>
              <w:t>及保障措施合理可行的</w:t>
            </w:r>
            <w:r>
              <w:rPr>
                <w:rFonts w:hint="eastAsia" w:ascii="宋体" w:hAnsi="宋体" w:cs="宋体"/>
                <w:color w:val="000000" w:themeColor="text1"/>
                <w:sz w:val="24"/>
                <w:lang w:val="zh-CN"/>
                <w14:textFill>
                  <w14:solidFill>
                    <w14:schemeClr w14:val="tx1"/>
                  </w14:solidFill>
                </w14:textFill>
              </w:rPr>
              <w:t>，得</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lang w:val="zh-CN"/>
                <w14:textFill>
                  <w14:solidFill>
                    <w14:schemeClr w14:val="tx1"/>
                  </w14:solidFill>
                </w14:textFill>
              </w:rPr>
              <w:t>分</w:t>
            </w:r>
            <w:r>
              <w:rPr>
                <w:rFonts w:hint="eastAsia" w:ascii="宋体" w:hAnsi="宋体" w:cs="宋体"/>
                <w:color w:val="000000" w:themeColor="text1"/>
                <w:sz w:val="24"/>
                <w:lang w:val="en-US" w:eastAsia="zh-CN"/>
                <w14:textFill>
                  <w14:solidFill>
                    <w14:schemeClr w14:val="tx1"/>
                  </w14:solidFill>
                </w14:textFill>
              </w:rPr>
              <w:t>；</w:t>
            </w:r>
          </w:p>
          <w:p>
            <w:pPr>
              <w:autoSpaceDE w:val="0"/>
              <w:autoSpaceDN w:val="0"/>
              <w:adjustRightInd w:val="0"/>
              <w:spacing w:line="360" w:lineRule="auto"/>
              <w:jc w:val="left"/>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良：对于项目工作组织与进度安排情况</w:t>
            </w:r>
            <w:r>
              <w:rPr>
                <w:rFonts w:hint="eastAsia" w:ascii="宋体" w:hAnsi="宋体" w:cs="宋体"/>
                <w:color w:val="000000" w:themeColor="text1"/>
                <w:sz w:val="24"/>
                <w:lang w:val="en-US" w:eastAsia="zh-CN"/>
                <w14:textFill>
                  <w14:solidFill>
                    <w14:schemeClr w14:val="tx1"/>
                  </w14:solidFill>
                </w14:textFill>
              </w:rPr>
              <w:t>及保障措施较为合理可行的</w:t>
            </w:r>
            <w:r>
              <w:rPr>
                <w:rFonts w:hint="eastAsia" w:ascii="宋体" w:hAnsi="宋体" w:cs="宋体"/>
                <w:color w:val="000000" w:themeColor="text1"/>
                <w:sz w:val="24"/>
                <w:lang w:val="zh-CN"/>
                <w14:textFill>
                  <w14:solidFill>
                    <w14:schemeClr w14:val="tx1"/>
                  </w14:solidFill>
                </w14:textFill>
              </w:rPr>
              <w:t>，得</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lang w:val="zh-CN"/>
                <w14:textFill>
                  <w14:solidFill>
                    <w14:schemeClr w14:val="tx1"/>
                  </w14:solidFill>
                </w14:textFill>
              </w:rPr>
              <w:t>分</w:t>
            </w:r>
            <w:r>
              <w:rPr>
                <w:rFonts w:hint="eastAsia" w:ascii="宋体" w:hAnsi="宋体" w:cs="宋体"/>
                <w:color w:val="000000" w:themeColor="text1"/>
                <w:sz w:val="24"/>
                <w:lang w:val="en-US" w:eastAsia="zh-CN"/>
                <w14:textFill>
                  <w14:solidFill>
                    <w14:schemeClr w14:val="tx1"/>
                  </w14:solidFill>
                </w14:textFill>
              </w:rPr>
              <w:t>；</w:t>
            </w:r>
          </w:p>
          <w:p>
            <w:pPr>
              <w:autoSpaceDE w:val="0"/>
              <w:autoSpaceDN w:val="0"/>
              <w:adjustRightInd w:val="0"/>
              <w:spacing w:line="360" w:lineRule="auto"/>
              <w:jc w:val="left"/>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中：对于项目工作组织与进度安排情况</w:t>
            </w:r>
            <w:r>
              <w:rPr>
                <w:rFonts w:hint="eastAsia" w:ascii="宋体" w:hAnsi="宋体" w:cs="宋体"/>
                <w:color w:val="000000" w:themeColor="text1"/>
                <w:sz w:val="24"/>
                <w:lang w:val="en-US" w:eastAsia="zh-CN"/>
                <w14:textFill>
                  <w14:solidFill>
                    <w14:schemeClr w14:val="tx1"/>
                  </w14:solidFill>
                </w14:textFill>
              </w:rPr>
              <w:t>及保障措施基本合理可行的</w:t>
            </w:r>
            <w:r>
              <w:rPr>
                <w:rFonts w:hint="eastAsia" w:ascii="宋体" w:hAnsi="宋体" w:cs="宋体"/>
                <w:color w:val="000000" w:themeColor="text1"/>
                <w:sz w:val="24"/>
                <w:lang w:val="zh-CN"/>
                <w14:textFill>
                  <w14:solidFill>
                    <w14:schemeClr w14:val="tx1"/>
                  </w14:solidFill>
                </w14:textFill>
              </w:rPr>
              <w:t>，得</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lang w:val="zh-CN"/>
                <w14:textFill>
                  <w14:solidFill>
                    <w14:schemeClr w14:val="tx1"/>
                  </w14:solidFill>
                </w14:textFill>
              </w:rPr>
              <w:t>分</w:t>
            </w:r>
            <w:r>
              <w:rPr>
                <w:rFonts w:hint="eastAsia" w:ascii="宋体" w:hAnsi="宋体" w:cs="宋体"/>
                <w:color w:val="000000" w:themeColor="text1"/>
                <w:sz w:val="24"/>
                <w:lang w:val="en-US" w:eastAsia="zh-CN"/>
                <w14:textFill>
                  <w14:solidFill>
                    <w14:schemeClr w14:val="tx1"/>
                  </w14:solidFill>
                </w14:textFill>
              </w:rPr>
              <w:t>；</w:t>
            </w:r>
          </w:p>
          <w:p>
            <w:pPr>
              <w:autoSpaceDE w:val="0"/>
              <w:autoSpaceDN w:val="0"/>
              <w:adjustRightInd w:val="0"/>
              <w:spacing w:line="360" w:lineRule="auto"/>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差：对于项目工作组织与进度安排情况</w:t>
            </w:r>
            <w:r>
              <w:rPr>
                <w:rFonts w:hint="eastAsia" w:ascii="宋体" w:hAnsi="宋体" w:cs="宋体"/>
                <w:color w:val="000000" w:themeColor="text1"/>
                <w:sz w:val="24"/>
                <w:lang w:val="en-US" w:eastAsia="zh-CN"/>
                <w14:textFill>
                  <w14:solidFill>
                    <w14:schemeClr w14:val="tx1"/>
                  </w14:solidFill>
                </w14:textFill>
              </w:rPr>
              <w:t>及保障措施基本不合理的</w:t>
            </w:r>
            <w:r>
              <w:rPr>
                <w:rFonts w:hint="eastAsia" w:ascii="宋体" w:hAnsi="宋体" w:cs="宋体"/>
                <w:color w:val="000000" w:themeColor="text1"/>
                <w:sz w:val="24"/>
                <w:lang w:val="zh-CN"/>
                <w14:textFill>
                  <w14:solidFill>
                    <w14:schemeClr w14:val="tx1"/>
                  </w14:solidFill>
                </w14:textFill>
              </w:rPr>
              <w:t>，不得分。</w:t>
            </w:r>
          </w:p>
        </w:tc>
        <w:tc>
          <w:tcPr>
            <w:tcW w:w="901"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8</w:t>
            </w:r>
          </w:p>
        </w:tc>
        <w:tc>
          <w:tcPr>
            <w:tcW w:w="1079"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后续服务</w:t>
            </w:r>
          </w:p>
        </w:tc>
        <w:tc>
          <w:tcPr>
            <w:tcW w:w="5907" w:type="dxa"/>
            <w:noWrap w:val="0"/>
            <w:vAlign w:val="center"/>
          </w:tcPr>
          <w:p>
            <w:pPr>
              <w:autoSpaceDE w:val="0"/>
              <w:autoSpaceDN w:val="0"/>
              <w:adjustRightInd w:val="0"/>
              <w:spacing w:line="360" w:lineRule="auto"/>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（一）评审标准</w:t>
            </w:r>
          </w:p>
          <w:p>
            <w:pPr>
              <w:autoSpaceDE w:val="0"/>
              <w:autoSpaceDN w:val="0"/>
              <w:adjustRightInd w:val="0"/>
              <w:spacing w:line="360" w:lineRule="auto"/>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投标人承诺最终成果通过采购人审查之日起的1年内，与采购人保持全面沟通，提供技术服务支持，否则本项不得分；在此基础上：</w:t>
            </w:r>
          </w:p>
          <w:p>
            <w:pPr>
              <w:autoSpaceDE w:val="0"/>
              <w:autoSpaceDN w:val="0"/>
              <w:adjustRightInd w:val="0"/>
              <w:spacing w:line="360" w:lineRule="auto"/>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投标人承诺对业主服务的响应时间为48小时（含）内，得</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分，对业主服务的响应时间为</w:t>
            </w:r>
            <w:r>
              <w:rPr>
                <w:rFonts w:hint="eastAsia" w:ascii="宋体" w:hAnsi="宋体" w:cs="宋体"/>
                <w:color w:val="000000" w:themeColor="text1"/>
                <w:sz w:val="24"/>
                <w:lang w:val="en-US" w:eastAsia="zh-CN"/>
                <w14:textFill>
                  <w14:solidFill>
                    <w14:schemeClr w14:val="tx1"/>
                  </w14:solidFill>
                </w14:textFill>
              </w:rPr>
              <w:t>48小时（不含）以上</w:t>
            </w:r>
            <w:r>
              <w:rPr>
                <w:rFonts w:hint="eastAsia" w:ascii="宋体" w:hAnsi="宋体" w:cs="宋体"/>
                <w:color w:val="000000" w:themeColor="text1"/>
                <w:sz w:val="24"/>
                <w:lang w:val="zh-CN"/>
                <w14:textFill>
                  <w14:solidFill>
                    <w14:schemeClr w14:val="tx1"/>
                  </w14:solidFill>
                </w14:textFill>
              </w:rPr>
              <w:t>72小时（含）内，得</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lang w:val="zh-CN"/>
                <w14:textFill>
                  <w14:solidFill>
                    <w14:schemeClr w14:val="tx1"/>
                  </w14:solidFill>
                </w14:textFill>
              </w:rPr>
              <w:t>分，对业主服务的响应时间为72小时以上，不得分。</w:t>
            </w:r>
          </w:p>
          <w:p>
            <w:pPr>
              <w:autoSpaceDE w:val="0"/>
              <w:autoSpaceDN w:val="0"/>
              <w:adjustRightInd w:val="0"/>
              <w:spacing w:line="360" w:lineRule="auto"/>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（二）证明文件</w:t>
            </w:r>
          </w:p>
          <w:p>
            <w:pPr>
              <w:autoSpaceDE w:val="0"/>
              <w:autoSpaceDN w:val="0"/>
              <w:adjustRightInd w:val="0"/>
              <w:spacing w:line="360" w:lineRule="auto"/>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提供后续服务承诺函（格式自拟）。投标人提供虚假材料的，将做无效投标处理，涉嫌存在违法违规行为的，依法报主管部门处理处罚。</w:t>
            </w:r>
          </w:p>
          <w:p>
            <w:pPr>
              <w:autoSpaceDE w:val="0"/>
              <w:autoSpaceDN w:val="0"/>
              <w:adjustRightInd w:val="0"/>
              <w:spacing w:line="360" w:lineRule="auto"/>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（根据投标人提供的后续服务承诺函进行评审。）</w:t>
            </w:r>
          </w:p>
        </w:tc>
        <w:tc>
          <w:tcPr>
            <w:tcW w:w="901"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2</w:t>
            </w:r>
          </w:p>
        </w:tc>
        <w:tc>
          <w:tcPr>
            <w:tcW w:w="1079"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bl>
    <w:p>
      <w:pPr>
        <w:tabs>
          <w:tab w:val="left" w:pos="640"/>
          <w:tab w:val="left" w:pos="1260"/>
          <w:tab w:val="left" w:pos="1418"/>
        </w:tabs>
        <w:spacing w:line="360" w:lineRule="auto"/>
        <w:ind w:right="-420" w:rightChars="-200"/>
        <w:rPr>
          <w:rFonts w:hint="eastAsia" w:ascii="宋体" w:hAnsi="宋体" w:cs="宋体"/>
          <w:color w:val="000000" w:themeColor="text1"/>
          <w:sz w:val="24"/>
          <w:lang w:val="fr-CH"/>
          <w14:textFill>
            <w14:solidFill>
              <w14:schemeClr w14:val="tx1"/>
            </w14:solidFill>
          </w14:textFill>
        </w:rPr>
        <w:sectPr>
          <w:pgSz w:w="11906" w:h="16838"/>
          <w:pgMar w:top="850" w:right="1803" w:bottom="709" w:left="1803" w:header="851" w:footer="992" w:gutter="0"/>
          <w:cols w:space="720" w:num="1"/>
          <w:docGrid w:type="lines" w:linePitch="319" w:charSpace="0"/>
        </w:sectPr>
      </w:pPr>
    </w:p>
    <w:p>
      <w:pPr>
        <w:spacing w:line="360" w:lineRule="auto"/>
        <w:jc w:val="center"/>
        <w:outlineLvl w:val="0"/>
        <w:rPr>
          <w:rFonts w:hint="eastAsia" w:ascii="宋体" w:hAnsi="宋体" w:cs="宋体"/>
          <w:b/>
          <w:bCs/>
          <w:color w:val="000000" w:themeColor="text1"/>
          <w:sz w:val="24"/>
          <w14:textFill>
            <w14:solidFill>
              <w14:schemeClr w14:val="tx1"/>
            </w14:solidFill>
          </w14:textFill>
        </w:rPr>
      </w:pPr>
      <w:bookmarkStart w:id="12" w:name="_Toc510"/>
      <w:bookmarkStart w:id="13" w:name="_Hlk28269117"/>
      <w:r>
        <w:rPr>
          <w:rFonts w:hint="eastAsia" w:ascii="宋体" w:hAnsi="宋体" w:cs="宋体"/>
          <w:b/>
          <w:bCs/>
          <w:color w:val="000000" w:themeColor="text1"/>
          <w:sz w:val="24"/>
          <w14:textFill>
            <w14:solidFill>
              <w14:schemeClr w14:val="tx1"/>
            </w14:solidFill>
          </w14:textFill>
        </w:rPr>
        <w:t>第七章 附件（投标文件格式）</w:t>
      </w:r>
      <w:bookmarkEnd w:id="12"/>
    </w:p>
    <w:p>
      <w:pPr>
        <w:keepNext/>
        <w:keepLines/>
        <w:spacing w:before="260" w:after="260" w:line="440" w:lineRule="exact"/>
        <w:jc w:val="center"/>
        <w:outlineLvl w:val="1"/>
        <w:rPr>
          <w:rFonts w:hint="eastAsia" w:ascii="宋体" w:hAnsi="宋体" w:cs="宋体"/>
          <w:b/>
          <w:bCs/>
          <w:color w:val="000000" w:themeColor="text1"/>
          <w:sz w:val="24"/>
          <w14:textFill>
            <w14:solidFill>
              <w14:schemeClr w14:val="tx1"/>
            </w14:solidFill>
          </w14:textFill>
        </w:rPr>
      </w:pPr>
      <w:bookmarkStart w:id="14" w:name="_Toc6548"/>
      <w:bookmarkStart w:id="15" w:name="_Toc19494"/>
      <w:bookmarkStart w:id="16" w:name="_Toc31827"/>
      <w:bookmarkStart w:id="17" w:name="_Toc5116"/>
      <w:r>
        <w:rPr>
          <w:rFonts w:hint="eastAsia" w:ascii="宋体" w:hAnsi="宋体" w:cs="宋体"/>
          <w:b/>
          <w:bCs/>
          <w:color w:val="000000" w:themeColor="text1"/>
          <w:sz w:val="24"/>
          <w14:textFill>
            <w14:solidFill>
              <w14:schemeClr w14:val="tx1"/>
            </w14:solidFill>
          </w14:textFill>
        </w:rPr>
        <w:t>1、投标文件密封袋/封面参考</w:t>
      </w:r>
      <w:bookmarkEnd w:id="14"/>
      <w:bookmarkEnd w:id="15"/>
      <w:bookmarkEnd w:id="16"/>
      <w:bookmarkEnd w:id="17"/>
    </w:p>
    <w:tbl>
      <w:tblPr>
        <w:tblStyle w:val="16"/>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noWrap w:val="0"/>
            <w:vAlign w:val="top"/>
          </w:tcPr>
          <w:p>
            <w:pPr>
              <w:pStyle w:val="2"/>
              <w:tabs>
                <w:tab w:val="left" w:pos="562"/>
                <w:tab w:val="left" w:pos="3372"/>
                <w:tab w:val="left" w:pos="3653"/>
              </w:tabs>
              <w:spacing w:line="360" w:lineRule="auto"/>
              <w:rPr>
                <w:rFonts w:hint="eastAsia" w:ascii="仿宋_GB2312" w:eastAsia="仿宋_GB2312"/>
                <w:b/>
                <w:color w:val="000000" w:themeColor="text1"/>
                <w:sz w:val="32"/>
                <w:lang w:val="en-US" w:eastAsia="zh-CN"/>
                <w14:textFill>
                  <w14:solidFill>
                    <w14:schemeClr w14:val="tx1"/>
                  </w14:solidFill>
                </w14:textFill>
              </w:rPr>
            </w:pPr>
          </w:p>
          <w:p>
            <w:pPr>
              <w:pStyle w:val="2"/>
              <w:tabs>
                <w:tab w:val="left" w:pos="562"/>
                <w:tab w:val="left" w:pos="3372"/>
                <w:tab w:val="left" w:pos="3653"/>
              </w:tabs>
              <w:spacing w:line="360" w:lineRule="auto"/>
              <w:jc w:val="center"/>
              <w:rPr>
                <w:rFonts w:hint="eastAsia" w:ascii="黑体" w:eastAsia="黑体"/>
                <w:b/>
                <w:color w:val="000000" w:themeColor="text1"/>
                <w:sz w:val="72"/>
                <w:szCs w:val="72"/>
                <w:lang w:val="en-US" w:eastAsia="zh-CN"/>
                <w14:textFill>
                  <w14:solidFill>
                    <w14:schemeClr w14:val="tx1"/>
                  </w14:solidFill>
                </w14:textFill>
              </w:rPr>
            </w:pPr>
          </w:p>
          <w:p>
            <w:pPr>
              <w:pStyle w:val="2"/>
              <w:tabs>
                <w:tab w:val="left" w:pos="562"/>
                <w:tab w:val="left" w:pos="3372"/>
                <w:tab w:val="left" w:pos="3653"/>
              </w:tabs>
              <w:spacing w:line="360" w:lineRule="auto"/>
              <w:jc w:val="center"/>
              <w:rPr>
                <w:rFonts w:hint="eastAsia" w:ascii="黑体" w:eastAsia="黑体"/>
                <w:b/>
                <w:color w:val="000000" w:themeColor="text1"/>
                <w:sz w:val="72"/>
                <w:szCs w:val="72"/>
                <w:lang w:val="en-US" w:eastAsia="zh-CN"/>
                <w14:textFill>
                  <w14:solidFill>
                    <w14:schemeClr w14:val="tx1"/>
                  </w14:solidFill>
                </w14:textFill>
              </w:rPr>
            </w:pPr>
            <w:r>
              <w:rPr>
                <w:rFonts w:hint="eastAsia" w:ascii="黑体" w:eastAsia="黑体"/>
                <w:b/>
                <w:color w:val="000000" w:themeColor="text1"/>
                <w:sz w:val="72"/>
                <w:szCs w:val="72"/>
                <w:lang w:val="en-US" w:eastAsia="zh-CN"/>
                <w14:textFill>
                  <w14:solidFill>
                    <w14:schemeClr w14:val="tx1"/>
                  </w14:solidFill>
                </w14:textFill>
              </w:rPr>
              <w:t>投 标 文 件</w:t>
            </w:r>
          </w:p>
          <w:p>
            <w:pPr>
              <w:pStyle w:val="2"/>
              <w:tabs>
                <w:tab w:val="left" w:pos="562"/>
                <w:tab w:val="left" w:pos="3372"/>
                <w:tab w:val="left" w:pos="3653"/>
              </w:tabs>
              <w:spacing w:line="360" w:lineRule="auto"/>
              <w:jc w:val="center"/>
              <w:rPr>
                <w:rFonts w:hint="eastAsia" w:ascii="黑体" w:eastAsia="黑体"/>
                <w:b/>
                <w:strike/>
                <w:color w:val="000000" w:themeColor="text1"/>
                <w:sz w:val="32"/>
                <w:lang w:val="en-US" w:eastAsia="zh-CN"/>
                <w14:textFill>
                  <w14:solidFill>
                    <w14:schemeClr w14:val="tx1"/>
                  </w14:solidFill>
                </w14:textFill>
              </w:rPr>
            </w:pPr>
          </w:p>
          <w:p>
            <w:pPr>
              <w:spacing w:after="120" w:line="360" w:lineRule="auto"/>
              <w:ind w:firstLine="3385" w:firstLineChars="651"/>
              <w:textAlignment w:val="baseline"/>
              <w:rPr>
                <w:rFonts w:ascii="黑体" w:eastAsia="黑体"/>
                <w:color w:val="000000" w:themeColor="text1"/>
                <w:sz w:val="32"/>
                <w14:textFill>
                  <w14:solidFill>
                    <w14:schemeClr w14:val="tx1"/>
                  </w14:solidFill>
                </w14:textFill>
              </w:rPr>
            </w:pPr>
            <w:r>
              <w:rPr>
                <w:rFonts w:hint="eastAsia" w:ascii="黑体" w:eastAsia="黑体"/>
                <w:color w:val="000000" w:themeColor="text1"/>
                <w:sz w:val="52"/>
                <w:szCs w:val="52"/>
                <w14:textFill>
                  <w14:solidFill>
                    <w14:schemeClr w14:val="tx1"/>
                  </w14:solidFill>
                </w14:textFill>
              </w:rPr>
              <w:t xml:space="preserve">口 </w:t>
            </w:r>
            <w:r>
              <w:rPr>
                <w:rFonts w:hint="eastAsia" w:ascii="黑体" w:eastAsia="黑体"/>
                <w:color w:val="000000" w:themeColor="text1"/>
                <w:sz w:val="32"/>
                <w14:textFill>
                  <w14:solidFill>
                    <w14:schemeClr w14:val="tx1"/>
                  </w14:solidFill>
                </w14:textFill>
              </w:rPr>
              <w:t>正本</w:t>
            </w:r>
          </w:p>
          <w:p>
            <w:pPr>
              <w:spacing w:after="120" w:line="360" w:lineRule="auto"/>
              <w:ind w:firstLine="3385" w:firstLineChars="651"/>
              <w:textAlignment w:val="baseline"/>
              <w:rPr>
                <w:rFonts w:ascii="黑体" w:eastAsia="黑体"/>
                <w:color w:val="000000" w:themeColor="text1"/>
                <w:sz w:val="32"/>
                <w14:textFill>
                  <w14:solidFill>
                    <w14:schemeClr w14:val="tx1"/>
                  </w14:solidFill>
                </w14:textFill>
              </w:rPr>
            </w:pPr>
            <w:r>
              <w:rPr>
                <w:rFonts w:hint="eastAsia" w:ascii="黑体" w:eastAsia="黑体"/>
                <w:color w:val="000000" w:themeColor="text1"/>
                <w:sz w:val="52"/>
                <w:szCs w:val="52"/>
                <w14:textFill>
                  <w14:solidFill>
                    <w14:schemeClr w14:val="tx1"/>
                  </w14:solidFill>
                </w14:textFill>
              </w:rPr>
              <w:t xml:space="preserve">口 </w:t>
            </w:r>
            <w:r>
              <w:rPr>
                <w:rFonts w:hint="eastAsia" w:ascii="黑体" w:eastAsia="黑体"/>
                <w:color w:val="000000" w:themeColor="text1"/>
                <w:sz w:val="32"/>
                <w14:textFill>
                  <w14:solidFill>
                    <w14:schemeClr w14:val="tx1"/>
                  </w14:solidFill>
                </w14:textFill>
              </w:rPr>
              <w:t>副本</w:t>
            </w:r>
          </w:p>
          <w:p>
            <w:pPr>
              <w:pStyle w:val="2"/>
              <w:tabs>
                <w:tab w:val="left" w:pos="562"/>
                <w:tab w:val="left" w:pos="3372"/>
                <w:tab w:val="left" w:pos="3653"/>
              </w:tabs>
              <w:spacing w:line="360" w:lineRule="auto"/>
              <w:rPr>
                <w:rFonts w:hint="eastAsia" w:ascii="仿宋_GB2312" w:eastAsia="仿宋_GB2312"/>
                <w:b/>
                <w:color w:val="000000" w:themeColor="text1"/>
                <w:sz w:val="32"/>
                <w:lang w:val="en-US" w:eastAsia="zh-CN"/>
                <w14:textFill>
                  <w14:solidFill>
                    <w14:schemeClr w14:val="tx1"/>
                  </w14:solidFill>
                </w14:textFill>
              </w:rPr>
            </w:pPr>
          </w:p>
          <w:p>
            <w:pPr>
              <w:rPr>
                <w:rFonts w:hint="eastAsia"/>
                <w:color w:val="000000" w:themeColor="text1"/>
                <w14:textFill>
                  <w14:solidFill>
                    <w14:schemeClr w14:val="tx1"/>
                  </w14:solidFill>
                </w14:textFill>
              </w:rPr>
            </w:pPr>
          </w:p>
          <w:p>
            <w:pPr>
              <w:pStyle w:val="2"/>
              <w:tabs>
                <w:tab w:val="left" w:pos="562"/>
                <w:tab w:val="left" w:pos="3372"/>
                <w:tab w:val="left" w:pos="3653"/>
              </w:tabs>
              <w:spacing w:line="400" w:lineRule="exact"/>
              <w:ind w:firstLine="900" w:firstLineChars="320"/>
              <w:rPr>
                <w:rFonts w:hint="eastAsia" w:ascii="仿宋_GB2312" w:eastAsia="仿宋_GB2312"/>
                <w:b/>
                <w:color w:val="000000" w:themeColor="text1"/>
                <w:sz w:val="28"/>
                <w:szCs w:val="28"/>
                <w:lang w:val="en-US" w:eastAsia="zh-CN"/>
                <w14:textFill>
                  <w14:solidFill>
                    <w14:schemeClr w14:val="tx1"/>
                  </w14:solidFill>
                </w14:textFill>
              </w:rPr>
            </w:pPr>
          </w:p>
          <w:p>
            <w:pPr>
              <w:pStyle w:val="2"/>
              <w:tabs>
                <w:tab w:val="left" w:pos="562"/>
                <w:tab w:val="left" w:pos="3372"/>
                <w:tab w:val="left" w:pos="3653"/>
              </w:tabs>
              <w:spacing w:line="400" w:lineRule="exact"/>
              <w:ind w:firstLine="900" w:firstLineChars="320"/>
              <w:rPr>
                <w:rFonts w:ascii="宋体" w:hAnsi="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项目编号：</w:t>
            </w:r>
            <w:r>
              <w:rPr>
                <w:rFonts w:hint="eastAsia" w:ascii="宋体" w:hAnsi="宋体" w:cs="Arial"/>
                <w:b/>
                <w:bCs/>
                <w:color w:val="000000" w:themeColor="text1"/>
                <w:sz w:val="28"/>
                <w:szCs w:val="28"/>
                <w:u w:val="single"/>
                <w:lang w:val="en-US" w:eastAsia="zh-CN"/>
                <w14:textFill>
                  <w14:solidFill>
                    <w14:schemeClr w14:val="tx1"/>
                  </w14:solidFill>
                </w14:textFill>
              </w:rPr>
              <w:t xml:space="preserve">                                   </w:t>
            </w:r>
          </w:p>
          <w:p>
            <w:pPr>
              <w:pStyle w:val="2"/>
              <w:tabs>
                <w:tab w:val="left" w:pos="562"/>
                <w:tab w:val="left" w:pos="3372"/>
                <w:tab w:val="left" w:pos="3653"/>
              </w:tabs>
              <w:spacing w:line="400" w:lineRule="exact"/>
              <w:ind w:firstLine="900" w:firstLineChars="320"/>
              <w:rPr>
                <w:rFonts w:ascii="宋体" w:hAnsi="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项目名称：</w:t>
            </w:r>
            <w:r>
              <w:rPr>
                <w:rFonts w:hint="eastAsia" w:ascii="宋体" w:hAnsi="宋体" w:cs="Arial"/>
                <w:b/>
                <w:bCs/>
                <w:color w:val="000000" w:themeColor="text1"/>
                <w:sz w:val="28"/>
                <w:szCs w:val="28"/>
                <w:u w:val="single"/>
                <w:lang w:val="en-US" w:eastAsia="zh-CN"/>
                <w14:textFill>
                  <w14:solidFill>
                    <w14:schemeClr w14:val="tx1"/>
                  </w14:solidFill>
                </w14:textFill>
              </w:rPr>
              <w:t xml:space="preserve">                                   </w:t>
            </w:r>
          </w:p>
          <w:p>
            <w:pPr>
              <w:pStyle w:val="2"/>
              <w:tabs>
                <w:tab w:val="left" w:pos="562"/>
                <w:tab w:val="left" w:pos="3372"/>
                <w:tab w:val="left" w:pos="3653"/>
              </w:tabs>
              <w:spacing w:line="400" w:lineRule="exact"/>
              <w:ind w:firstLine="900" w:firstLineChars="320"/>
              <w:rPr>
                <w:rFonts w:hint="eastAsia" w:ascii="宋体" w:hAnsi="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投标人名称：</w:t>
            </w:r>
            <w:r>
              <w:rPr>
                <w:rFonts w:hint="eastAsia" w:ascii="宋体" w:hAnsi="宋体" w:cs="Arial"/>
                <w:b/>
                <w:bCs/>
                <w:color w:val="000000" w:themeColor="text1"/>
                <w:sz w:val="28"/>
                <w:szCs w:val="28"/>
                <w:u w:val="single"/>
                <w:lang w:val="en-US" w:eastAsia="zh-CN"/>
                <w14:textFill>
                  <w14:solidFill>
                    <w14:schemeClr w14:val="tx1"/>
                  </w14:solidFill>
                </w14:textFill>
              </w:rPr>
              <w:t xml:space="preserve">                     （加盖公章）</w:t>
            </w:r>
          </w:p>
          <w:p>
            <w:pPr>
              <w:pStyle w:val="2"/>
              <w:tabs>
                <w:tab w:val="left" w:pos="562"/>
                <w:tab w:val="left" w:pos="3372"/>
                <w:tab w:val="left" w:pos="3653"/>
              </w:tabs>
              <w:spacing w:line="400" w:lineRule="exact"/>
              <w:ind w:firstLine="900" w:firstLineChars="320"/>
              <w:rPr>
                <w:rFonts w:hint="eastAsia" w:ascii="宋体" w:hAnsi="宋体" w:cs="Arial"/>
                <w:b/>
                <w:bCs/>
                <w:color w:val="000000" w:themeColor="text1"/>
                <w:sz w:val="28"/>
                <w:szCs w:val="28"/>
                <w:u w:val="single"/>
                <w:lang w:val="en-US"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投标人地址：</w:t>
            </w:r>
            <w:r>
              <w:rPr>
                <w:rFonts w:hint="eastAsia" w:ascii="宋体" w:hAnsi="宋体" w:cs="Arial"/>
                <w:b/>
                <w:bCs/>
                <w:color w:val="000000" w:themeColor="text1"/>
                <w:sz w:val="28"/>
                <w:szCs w:val="28"/>
                <w:u w:val="single"/>
                <w:lang w:val="en-US" w:eastAsia="zh-CN"/>
                <w14:textFill>
                  <w14:solidFill>
                    <w14:schemeClr w14:val="tx1"/>
                  </w14:solidFill>
                </w14:textFill>
              </w:rPr>
              <w:t xml:space="preserve">                                 </w:t>
            </w:r>
          </w:p>
          <w:p>
            <w:pPr>
              <w:pStyle w:val="2"/>
              <w:tabs>
                <w:tab w:val="left" w:pos="562"/>
                <w:tab w:val="left" w:pos="3372"/>
                <w:tab w:val="left" w:pos="3653"/>
              </w:tabs>
              <w:spacing w:line="400" w:lineRule="exact"/>
              <w:ind w:firstLine="900" w:firstLineChars="320"/>
              <w:rPr>
                <w:rFonts w:ascii="宋体" w:hAnsi="宋体" w:cs="Arial"/>
                <w:b/>
                <w:bCs/>
                <w:color w:val="000000" w:themeColor="text1"/>
                <w:sz w:val="28"/>
                <w:szCs w:val="28"/>
                <w:u w:val="single"/>
                <w:lang w:val="en-US" w:eastAsia="zh-CN"/>
                <w14:textFill>
                  <w14:solidFill>
                    <w14:schemeClr w14:val="tx1"/>
                  </w14:solidFill>
                </w14:textFill>
              </w:rPr>
            </w:pPr>
            <w:r>
              <w:rPr>
                <w:rFonts w:hint="eastAsia" w:ascii="宋体" w:hAnsi="宋体" w:cs="Arial"/>
                <w:b/>
                <w:bCs/>
                <w:color w:val="000000" w:themeColor="text1"/>
                <w:sz w:val="28"/>
                <w:szCs w:val="28"/>
                <w:lang w:val="en-US" w:eastAsia="zh-CN"/>
                <w14:textFill>
                  <w14:solidFill>
                    <w14:schemeClr w14:val="tx1"/>
                  </w14:solidFill>
                </w14:textFill>
              </w:rPr>
              <w:t>法定代表人/被授权人：</w:t>
            </w:r>
            <w:r>
              <w:rPr>
                <w:rFonts w:hint="eastAsia" w:ascii="宋体" w:hAnsi="宋体" w:cs="Arial"/>
                <w:b/>
                <w:bCs/>
                <w:color w:val="000000" w:themeColor="text1"/>
                <w:sz w:val="28"/>
                <w:szCs w:val="28"/>
                <w:u w:val="single"/>
                <w:lang w:val="en-US" w:eastAsia="zh-CN"/>
                <w14:textFill>
                  <w14:solidFill>
                    <w14:schemeClr w14:val="tx1"/>
                  </w14:solidFill>
                </w14:textFill>
              </w:rPr>
              <w:t xml:space="preserve">                        </w:t>
            </w:r>
          </w:p>
          <w:p>
            <w:pPr>
              <w:pStyle w:val="2"/>
              <w:tabs>
                <w:tab w:val="left" w:pos="562"/>
                <w:tab w:val="left" w:pos="3372"/>
                <w:tab w:val="left" w:pos="3653"/>
              </w:tabs>
              <w:spacing w:line="400" w:lineRule="exact"/>
              <w:ind w:firstLine="900" w:firstLineChars="320"/>
              <w:rPr>
                <w:rFonts w:hint="eastAsia" w:ascii="宋体" w:hAnsi="宋体" w:cs="宋体"/>
                <w:b/>
                <w:color w:val="000000" w:themeColor="text1"/>
                <w:sz w:val="28"/>
                <w:szCs w:val="28"/>
                <w:lang w:val="en-US" w:eastAsia="zh-CN"/>
                <w14:textFill>
                  <w14:solidFill>
                    <w14:schemeClr w14:val="tx1"/>
                  </w14:solidFill>
                </w14:textFill>
              </w:rPr>
            </w:pPr>
            <w:r>
              <w:rPr>
                <w:rFonts w:hint="eastAsia" w:ascii="宋体" w:hAnsi="宋体" w:cs="Arial"/>
                <w:b/>
                <w:bCs/>
                <w:color w:val="000000" w:themeColor="text1"/>
                <w:sz w:val="28"/>
                <w:szCs w:val="28"/>
                <w:lang w:val="en-US" w:eastAsia="zh-CN"/>
                <w14:textFill>
                  <w14:solidFill>
                    <w14:schemeClr w14:val="tx1"/>
                  </w14:solidFill>
                </w14:textFill>
              </w:rPr>
              <w:t>联系电话：</w:t>
            </w:r>
            <w:r>
              <w:rPr>
                <w:rFonts w:hint="eastAsia" w:ascii="宋体" w:hAnsi="宋体" w:cs="Arial"/>
                <w:b/>
                <w:bCs/>
                <w:color w:val="000000" w:themeColor="text1"/>
                <w:sz w:val="28"/>
                <w:szCs w:val="28"/>
                <w:u w:val="single"/>
                <w:lang w:val="en-US" w:eastAsia="zh-CN"/>
                <w14:textFill>
                  <w14:solidFill>
                    <w14:schemeClr w14:val="tx1"/>
                  </w14:solidFill>
                </w14:textFill>
              </w:rPr>
              <w:t xml:space="preserve">                                   </w:t>
            </w:r>
          </w:p>
          <w:p>
            <w:pPr>
              <w:spacing w:line="360" w:lineRule="auto"/>
              <w:jc w:val="center"/>
              <w:rPr>
                <w:rFonts w:hint="eastAsia" w:ascii="宋体" w:hAnsi="宋体" w:cs="Arial"/>
                <w:b/>
                <w:bCs/>
                <w:color w:val="000000" w:themeColor="text1"/>
                <w:sz w:val="28"/>
                <w:szCs w:val="28"/>
                <w14:textFill>
                  <w14:solidFill>
                    <w14:schemeClr w14:val="tx1"/>
                  </w14:solidFill>
                </w14:textFill>
              </w:rPr>
            </w:pPr>
          </w:p>
          <w:p>
            <w:pPr>
              <w:spacing w:line="360" w:lineRule="auto"/>
              <w:jc w:val="center"/>
              <w:rPr>
                <w:rFonts w:hint="eastAsia" w:ascii="宋体" w:hAnsi="宋体" w:cs="Arial"/>
                <w:b/>
                <w:bCs/>
                <w:color w:val="000000" w:themeColor="text1"/>
                <w:sz w:val="28"/>
                <w:szCs w:val="28"/>
                <w14:textFill>
                  <w14:solidFill>
                    <w14:schemeClr w14:val="tx1"/>
                  </w14:solidFill>
                </w14:textFill>
              </w:rPr>
            </w:pPr>
          </w:p>
          <w:p>
            <w:pPr>
              <w:spacing w:line="360" w:lineRule="auto"/>
              <w:jc w:val="center"/>
              <w:rPr>
                <w:rFonts w:hint="eastAsia" w:ascii="仿宋_GB2312" w:eastAsia="仿宋_GB2312"/>
                <w:b/>
                <w:color w:val="000000" w:themeColor="text1"/>
                <w:sz w:val="32"/>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【年月日时分之前不得启封。】</w:t>
            </w:r>
          </w:p>
        </w:tc>
      </w:tr>
    </w:tbl>
    <w:p>
      <w:pPr>
        <w:spacing w:line="360" w:lineRule="auto"/>
        <w:jc w:val="center"/>
        <w:rPr>
          <w:rFonts w:hint="eastAsia" w:ascii="宋体" w:hAnsi="宋体" w:cs="宋体"/>
          <w:b/>
          <w:bCs/>
          <w:color w:val="000000" w:themeColor="text1"/>
          <w:sz w:val="24"/>
          <w14:textFill>
            <w14:solidFill>
              <w14:schemeClr w14:val="tx1"/>
            </w14:solidFill>
          </w14:textFill>
        </w:rPr>
      </w:pPr>
    </w:p>
    <w:p>
      <w:pPr>
        <w:spacing w:before="100" w:beforeAutospacing="1" w:after="100" w:afterAutospacing="1"/>
        <w:jc w:val="center"/>
        <w:outlineLvl w:val="1"/>
        <w:rPr>
          <w:rFonts w:hint="eastAsia" w:ascii="宋体" w:hAnsi="宋体" w:cs="宋体"/>
          <w:b/>
          <w:color w:val="000000" w:themeColor="text1"/>
          <w:sz w:val="24"/>
          <w14:textFill>
            <w14:solidFill>
              <w14:schemeClr w14:val="tx1"/>
            </w14:solidFill>
          </w14:textFill>
        </w:rPr>
      </w:pPr>
      <w:bookmarkStart w:id="18" w:name="_Toc16724"/>
      <w:r>
        <w:rPr>
          <w:rFonts w:hint="eastAsia" w:ascii="宋体" w:hAnsi="宋体" w:cs="宋体"/>
          <w:b/>
          <w:color w:val="000000" w:themeColor="text1"/>
          <w:sz w:val="24"/>
          <w14:textFill>
            <w14:solidFill>
              <w14:schemeClr w14:val="tx1"/>
            </w14:solidFill>
          </w14:textFill>
        </w:rPr>
        <w:t>2、投标文件—目录</w:t>
      </w:r>
      <w:bookmarkEnd w:id="18"/>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w:t>
      </w:r>
      <w:r>
        <w:rPr>
          <w:rFonts w:hint="eastAsia" w:ascii="宋体" w:hAnsi="宋体" w:cs="宋体"/>
          <w:b/>
          <w:bCs/>
          <w:color w:val="000000" w:themeColor="text1"/>
          <w:sz w:val="24"/>
          <w:lang w:val="zh-CN"/>
          <w14:textFill>
            <w14:solidFill>
              <w14:schemeClr w14:val="tx1"/>
            </w14:solidFill>
          </w14:textFill>
        </w:rPr>
        <w:t>价格部分</w:t>
      </w:r>
    </w:p>
    <w:p>
      <w:pPr>
        <w:numPr>
          <w:ilvl w:val="0"/>
          <w:numId w:val="8"/>
        </w:numPr>
        <w:tabs>
          <w:tab w:val="left" w:pos="640"/>
          <w:tab w:val="clear" w:pos="425"/>
        </w:tabs>
        <w:spacing w:line="360" w:lineRule="auto"/>
        <w:ind w:left="625" w:hanging="6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投标一览表；</w:t>
      </w:r>
    </w:p>
    <w:p>
      <w:pPr>
        <w:numPr>
          <w:ilvl w:val="0"/>
          <w:numId w:val="8"/>
        </w:numPr>
        <w:tabs>
          <w:tab w:val="left" w:pos="640"/>
          <w:tab w:val="clear" w:pos="425"/>
        </w:tabs>
        <w:spacing w:line="360" w:lineRule="auto"/>
        <w:ind w:left="625" w:hanging="62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分类报价明细表；</w:t>
      </w:r>
    </w:p>
    <w:p>
      <w:pPr>
        <w:spacing w:line="360" w:lineRule="auto"/>
        <w:rPr>
          <w:rFonts w:hint="eastAsia" w:ascii="宋体" w:hAnsi="宋体" w:cs="宋体"/>
          <w:b/>
          <w:bCs/>
          <w:color w:val="000000" w:themeColor="text1"/>
          <w:sz w:val="24"/>
          <w:u w:val="wav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（二）商务部分</w:t>
      </w:r>
    </w:p>
    <w:p>
      <w:pPr>
        <w:numPr>
          <w:ilvl w:val="0"/>
          <w:numId w:val="9"/>
        </w:numPr>
        <w:tabs>
          <w:tab w:val="left" w:pos="6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投标函；</w:t>
      </w:r>
    </w:p>
    <w:p>
      <w:pPr>
        <w:numPr>
          <w:ilvl w:val="0"/>
          <w:numId w:val="9"/>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营业执照【其他组织提供《事业单位法人证书》或《民办非企业单位登记证书》】及税务登记册证副本复印件(加盖投标人公章，若提供的营业执照为三证合一，则税务登记证可不单独提供)；</w:t>
      </w:r>
    </w:p>
    <w:p>
      <w:pPr>
        <w:numPr>
          <w:ilvl w:val="0"/>
          <w:numId w:val="9"/>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政府采购投标及履约承诺函；</w:t>
      </w:r>
    </w:p>
    <w:p>
      <w:pPr>
        <w:numPr>
          <w:ilvl w:val="0"/>
          <w:numId w:val="9"/>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关于资格的声明函；</w:t>
      </w:r>
    </w:p>
    <w:p>
      <w:pPr>
        <w:numPr>
          <w:ilvl w:val="0"/>
          <w:numId w:val="9"/>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法人代表证明书及身份证明；</w:t>
      </w:r>
    </w:p>
    <w:p>
      <w:pPr>
        <w:numPr>
          <w:ilvl w:val="0"/>
          <w:numId w:val="9"/>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法定代表人授权书及身份证明；</w:t>
      </w:r>
    </w:p>
    <w:p>
      <w:pPr>
        <w:numPr>
          <w:ilvl w:val="0"/>
          <w:numId w:val="9"/>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招标代理服务费承诺书；</w:t>
      </w:r>
    </w:p>
    <w:p>
      <w:pPr>
        <w:numPr>
          <w:ilvl w:val="0"/>
          <w:numId w:val="9"/>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投标人简介；</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投标人编制经验；</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项目负责人要求（1人）；</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项目团队成员（项目负责人除外）；</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诚信声明与承诺；</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auto"/>
          <w:sz w:val="24"/>
        </w:rPr>
      </w:pPr>
      <w:r>
        <w:rPr>
          <w:rFonts w:hint="eastAsia" w:ascii="宋体" w:hAnsi="宋体" w:cs="宋体"/>
          <w:color w:val="auto"/>
          <w:sz w:val="24"/>
        </w:rPr>
        <w:t>投标人认为有必要提供的其他材料。</w:t>
      </w:r>
    </w:p>
    <w:p>
      <w:pPr>
        <w:spacing w:line="360" w:lineRule="auto"/>
        <w:rPr>
          <w:rFonts w:hint="eastAsia" w:ascii="宋体" w:hAnsi="宋体" w:cs="宋体"/>
          <w:b/>
          <w:bCs/>
          <w:color w:val="auto"/>
          <w:sz w:val="24"/>
        </w:rPr>
      </w:pPr>
      <w:r>
        <w:rPr>
          <w:rFonts w:hint="eastAsia" w:ascii="宋体" w:hAnsi="宋体" w:cs="宋体"/>
          <w:b/>
          <w:bCs/>
          <w:color w:val="auto"/>
          <w:sz w:val="24"/>
        </w:rPr>
        <w:t>（三）技术部分</w:t>
      </w:r>
    </w:p>
    <w:p>
      <w:pPr>
        <w:numPr>
          <w:ilvl w:val="0"/>
          <w:numId w:val="10"/>
        </w:numPr>
        <w:tabs>
          <w:tab w:val="left" w:pos="640"/>
          <w:tab w:val="left" w:pos="1260"/>
          <w:tab w:val="left" w:pos="1418"/>
        </w:tabs>
        <w:spacing w:line="360" w:lineRule="auto"/>
        <w:ind w:left="640" w:right="-420" w:rightChars="-200" w:hanging="640"/>
        <w:rPr>
          <w:rFonts w:hint="eastAsia" w:ascii="宋体" w:hAnsi="宋体" w:cs="宋体"/>
          <w:color w:val="auto"/>
          <w:sz w:val="24"/>
          <w:lang w:val="fr-CH"/>
        </w:rPr>
      </w:pPr>
      <w:r>
        <w:rPr>
          <w:rFonts w:hint="eastAsia" w:ascii="宋体" w:hAnsi="宋体" w:cs="宋体"/>
          <w:color w:val="auto"/>
          <w:sz w:val="24"/>
          <w:lang w:val="fr-CH"/>
        </w:rPr>
        <w:t>用户需求响应表；</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项目背景理解分析；</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000000" w:themeColor="text1"/>
          <w:sz w:val="24"/>
          <w:lang w:val="zh-CN"/>
          <w14:textFill>
            <w14:solidFill>
              <w14:schemeClr w14:val="tx1"/>
            </w14:solidFill>
          </w14:textFill>
        </w:rPr>
        <w:t>设计</w:t>
      </w:r>
      <w:r>
        <w:rPr>
          <w:rFonts w:hint="eastAsia" w:ascii="宋体" w:hAnsi="宋体" w:cs="宋体"/>
          <w:color w:val="000000" w:themeColor="text1"/>
          <w:sz w:val="24"/>
          <w:lang w:val="en-US" w:eastAsia="zh-CN"/>
          <w14:textFill>
            <w14:solidFill>
              <w14:schemeClr w14:val="tx1"/>
            </w14:solidFill>
          </w14:textFill>
        </w:rPr>
        <w:t>思路及理念</w:t>
      </w:r>
      <w:r>
        <w:rPr>
          <w:rFonts w:hint="eastAsia" w:ascii="宋体" w:hAnsi="宋体" w:cs="宋体"/>
          <w:color w:val="auto"/>
          <w:sz w:val="24"/>
          <w:lang w:val="fr-CH"/>
        </w:rPr>
        <w:t>；</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工作进度及质量保障措施；</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后续服务；</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投标人认为有必要提供的其他材料。</w:t>
      </w:r>
    </w:p>
    <w:p>
      <w:pPr>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（一）</w:t>
      </w:r>
      <w:r>
        <w:rPr>
          <w:rFonts w:hint="eastAsia" w:ascii="宋体" w:hAnsi="宋体" w:cs="宋体"/>
          <w:b/>
          <w:bCs/>
          <w:color w:val="000000" w:themeColor="text1"/>
          <w:sz w:val="24"/>
          <w:lang w:val="zh-CN"/>
          <w14:textFill>
            <w14:solidFill>
              <w14:schemeClr w14:val="tx1"/>
            </w14:solidFill>
          </w14:textFill>
        </w:rPr>
        <w:t>价格部分</w:t>
      </w:r>
    </w:p>
    <w:p>
      <w:pPr>
        <w:numPr>
          <w:ilvl w:val="0"/>
          <w:numId w:val="11"/>
        </w:numPr>
        <w:tabs>
          <w:tab w:val="left" w:pos="640"/>
          <w:tab w:val="clear" w:pos="425"/>
        </w:tabs>
        <w:ind w:left="625" w:hanging="6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投标一览表；</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投标一览表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 xml:space="preserve">                                      </w:t>
      </w:r>
    </w:p>
    <w:tbl>
      <w:tblPr>
        <w:tblStyle w:val="16"/>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noWrap w:val="0"/>
            <w:vAlign w:val="center"/>
          </w:tcPr>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2896" w:type="dxa"/>
            <w:noWrap w:val="0"/>
            <w:vAlign w:val="center"/>
          </w:tcPr>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投标价</w:t>
            </w:r>
          </w:p>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（人民币）</w:t>
            </w:r>
          </w:p>
        </w:tc>
        <w:tc>
          <w:tcPr>
            <w:tcW w:w="1318" w:type="dxa"/>
            <w:noWrap w:val="0"/>
            <w:vAlign w:val="center"/>
          </w:tcPr>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853" w:hRule="atLeast"/>
        </w:trPr>
        <w:tc>
          <w:tcPr>
            <w:tcW w:w="3484" w:type="dxa"/>
            <w:noWrap w:val="0"/>
            <w:vAlign w:val="center"/>
          </w:tcPr>
          <w:p>
            <w:pPr>
              <w:spacing w:line="360" w:lineRule="auto"/>
              <w:jc w:val="center"/>
              <w:rPr>
                <w:rFonts w:hint="eastAsia" w:ascii="宋体" w:hAnsi="宋体" w:cs="宋体"/>
                <w:color w:val="000000" w:themeColor="text1"/>
                <w:sz w:val="24"/>
                <w:u w:val="single"/>
                <w14:textFill>
                  <w14:solidFill>
                    <w14:schemeClr w14:val="tx1"/>
                  </w14:solidFill>
                </w14:textFill>
              </w:rPr>
            </w:pPr>
          </w:p>
        </w:tc>
        <w:tc>
          <w:tcPr>
            <w:tcW w:w="2896" w:type="dxa"/>
            <w:noWrap w:val="0"/>
            <w:vAlign w:val="center"/>
          </w:tcPr>
          <w:p>
            <w:pPr>
              <w:spacing w:line="360" w:lineRule="auto"/>
              <w:jc w:val="center"/>
              <w:rPr>
                <w:rFonts w:hint="eastAsia" w:ascii="宋体" w:hAnsi="宋体" w:cs="宋体"/>
                <w:color w:val="000000" w:themeColor="text1"/>
                <w:sz w:val="24"/>
                <w:u w:val="single"/>
                <w14:textFill>
                  <w14:solidFill>
                    <w14:schemeClr w14:val="tx1"/>
                  </w14:solidFill>
                </w14:textFill>
              </w:rPr>
            </w:pPr>
          </w:p>
        </w:tc>
        <w:tc>
          <w:tcPr>
            <w:tcW w:w="1318" w:type="dxa"/>
            <w:noWrap w:val="0"/>
            <w:vAlign w:val="center"/>
          </w:tcPr>
          <w:p>
            <w:pPr>
              <w:spacing w:line="360" w:lineRule="auto"/>
              <w:jc w:val="center"/>
              <w:rPr>
                <w:rFonts w:hint="eastAsia" w:ascii="宋体" w:hAnsi="宋体" w:cs="宋体"/>
                <w:color w:val="000000" w:themeColor="text1"/>
                <w:sz w:val="24"/>
                <w:u w:val="single"/>
                <w14:textFill>
                  <w14:solidFill>
                    <w14:schemeClr w14:val="tx1"/>
                  </w14:solidFill>
                </w14:textFill>
              </w:rPr>
            </w:pPr>
          </w:p>
        </w:tc>
      </w:tr>
    </w:tbl>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p>
    <w:p>
      <w:pPr>
        <w:pStyle w:val="2"/>
        <w:rPr>
          <w:rFonts w:hint="eastAsia"/>
          <w:color w:val="000000" w:themeColor="text1"/>
          <w14:textFill>
            <w14:solidFill>
              <w14:schemeClr w14:val="tx1"/>
            </w14:solidFill>
          </w14:textFill>
        </w:rPr>
      </w:pPr>
    </w:p>
    <w:p>
      <w:pPr>
        <w:numPr>
          <w:ilvl w:val="0"/>
          <w:numId w:val="11"/>
        </w:numPr>
        <w:tabs>
          <w:tab w:val="left" w:pos="640"/>
          <w:tab w:val="clear" w:pos="425"/>
        </w:tabs>
        <w:ind w:left="625" w:hanging="6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分项报价清单；</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分项报价清单</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p>
    <w:tbl>
      <w:tblPr>
        <w:tblStyle w:val="16"/>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noWrap w:val="0"/>
            <w:vAlign w:val="bottom"/>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序号</w:t>
            </w:r>
          </w:p>
        </w:tc>
        <w:tc>
          <w:tcPr>
            <w:tcW w:w="2212"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项目名称、内容</w:t>
            </w:r>
          </w:p>
        </w:tc>
        <w:tc>
          <w:tcPr>
            <w:tcW w:w="7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单位</w:t>
            </w:r>
          </w:p>
        </w:tc>
        <w:tc>
          <w:tcPr>
            <w:tcW w:w="180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数量（工作量）</w:t>
            </w:r>
          </w:p>
        </w:tc>
        <w:tc>
          <w:tcPr>
            <w:tcW w:w="16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单价</w:t>
            </w:r>
          </w:p>
        </w:tc>
        <w:tc>
          <w:tcPr>
            <w:tcW w:w="16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noWrap w:val="0"/>
            <w:vAlign w:val="bottom"/>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1</w:t>
            </w:r>
          </w:p>
        </w:tc>
        <w:tc>
          <w:tcPr>
            <w:tcW w:w="2212"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7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noWrap w:val="0"/>
            <w:vAlign w:val="bottom"/>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2</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noWrap w:val="0"/>
            <w:vAlign w:val="bottom"/>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3</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noWrap w:val="0"/>
            <w:vAlign w:val="bottom"/>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4</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5</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6</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7</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8</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9</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w:t>
            </w:r>
          </w:p>
        </w:tc>
        <w:tc>
          <w:tcPr>
            <w:tcW w:w="2212"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w:t>
            </w:r>
          </w:p>
        </w:tc>
        <w:tc>
          <w:tcPr>
            <w:tcW w:w="7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noWrap w:val="0"/>
            <w:vAlign w:val="top"/>
          </w:tcPr>
          <w:p>
            <w:pPr>
              <w:pStyle w:val="8"/>
              <w:spacing w:line="360" w:lineRule="auto"/>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报价合计</w:t>
            </w:r>
          </w:p>
        </w:tc>
      </w:tr>
    </w:tbl>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 ________________________</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outlineLvl w:val="2"/>
        <w:rPr>
          <w:rFonts w:hint="eastAsia" w:ascii="宋体" w:hAnsi="宋体" w:cs="宋体"/>
          <w:b/>
          <w:bCs/>
          <w:color w:val="000000" w:themeColor="text1"/>
          <w:sz w:val="24"/>
          <w:u w:val="wav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（二）商务部分</w:t>
      </w:r>
    </w:p>
    <w:p>
      <w:pPr>
        <w:numPr>
          <w:ilvl w:val="0"/>
          <w:numId w:val="12"/>
        </w:numPr>
        <w:tabs>
          <w:tab w:val="left" w:pos="6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投标响应书；</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投标响应书</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494" w:firstLineChars="20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根据贵方为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项目采购的邀请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（招标文件编号         ），签字代表</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（全名、职务）经正式授权并代表供应商</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（供应商方名称、地址）提交</w:t>
      </w:r>
      <w:r>
        <w:rPr>
          <w:rFonts w:hint="eastAsia" w:ascii="宋体" w:hAnsi="宋体" w:cs="宋体"/>
          <w:b/>
          <w:color w:val="000000" w:themeColor="text1"/>
          <w:sz w:val="24"/>
          <w14:textFill>
            <w14:solidFill>
              <w14:schemeClr w14:val="tx1"/>
            </w14:solidFill>
          </w14:textFill>
        </w:rPr>
        <w:t>一份正本四份副本以及1份电子文档的</w:t>
      </w:r>
      <w:r>
        <w:rPr>
          <w:rFonts w:hint="eastAsia" w:ascii="宋体" w:hAnsi="宋体" w:cs="宋体"/>
          <w:color w:val="000000" w:themeColor="text1"/>
          <w:sz w:val="24"/>
          <w14:textFill>
            <w14:solidFill>
              <w14:schemeClr w14:val="tx1"/>
            </w14:solidFill>
          </w14:textFill>
        </w:rPr>
        <w:t>投标文件。</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据此函，签字代表宣布同意如下：</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1、供应商方将按招标文件的规定履行合同责任和义务。</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2、供应商方已详细审查全部投标文件，包括修改文件（如有的话）以及全部参考资料和有关附件。我们完全理解并同意放弃对这方面有不明及误解的权利。</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3、与本投标项目有关的一切正式往来通讯请寄：</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邮编：</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传真：</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邮箱：</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投标供应商授权代表、职务（印刷体）：</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（公  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w:t>
      </w:r>
      <w:r>
        <w:rPr>
          <w:rFonts w:hint="eastAsia" w:ascii="宋体" w:hAnsi="宋体" w:cs="宋体"/>
          <w:color w:val="000000" w:themeColor="text1"/>
          <w:sz w:val="24"/>
          <w:u w:val="single"/>
          <w14:textFill>
            <w14:solidFill>
              <w14:schemeClr w14:val="tx1"/>
            </w14:solidFill>
          </w14:textFill>
        </w:rPr>
        <w:t xml:space="preserve">                           </w:t>
      </w:r>
    </w:p>
    <w:p>
      <w:pPr>
        <w:pStyle w:val="2"/>
        <w:rPr>
          <w:rFonts w:hint="eastAsia"/>
          <w:color w:val="000000" w:themeColor="text1"/>
          <w14:textFill>
            <w14:solidFill>
              <w14:schemeClr w14:val="tx1"/>
            </w14:solidFill>
          </w14:textFill>
        </w:rPr>
      </w:pPr>
    </w:p>
    <w:p>
      <w:pPr>
        <w:numPr>
          <w:ilvl w:val="0"/>
          <w:numId w:val="12"/>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营业执照【其他组织提供《事业单位法人证书》或《民办非企业单位登记证书》】及税务登记册证副本复印件(加盖投标人公章，若提供的营业执照为三证合一，则税务登记证可不单独提供)；投标人必须具有建筑行业建筑工程乙级或以上资质（投标人提供资质证书复印件加盖公章</w:t>
      </w:r>
      <w:r>
        <w:rPr>
          <w:rFonts w:hint="eastAsia" w:ascii="宋体" w:hAnsi="宋体" w:cs="宋体"/>
          <w:color w:val="000000" w:themeColor="text1"/>
          <w:sz w:val="24"/>
          <w:lang w:val="fr-CH"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原件备查</w:t>
      </w:r>
      <w:r>
        <w:rPr>
          <w:rFonts w:hint="eastAsia" w:ascii="宋体" w:hAnsi="宋体" w:cs="宋体"/>
          <w:color w:val="000000" w:themeColor="text1"/>
          <w:sz w:val="24"/>
          <w:lang w:val="fr-CH"/>
          <w14:textFill>
            <w14:solidFill>
              <w14:schemeClr w14:val="tx1"/>
            </w14:solidFill>
          </w14:textFill>
        </w:rPr>
        <w:t>）</w:t>
      </w:r>
    </w:p>
    <w:p>
      <w:pPr>
        <w:numPr>
          <w:ilvl w:val="0"/>
          <w:numId w:val="12"/>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政府采购投标及履约承诺函；</w:t>
      </w:r>
    </w:p>
    <w:p>
      <w:pPr>
        <w:spacing w:line="360" w:lineRule="auto"/>
        <w:jc w:val="center"/>
        <w:rPr>
          <w:rFonts w:hint="eastAsia" w:ascii="宋体" w:hAnsi="宋体" w:cs="宋体"/>
          <w:b/>
          <w:bCs/>
          <w:color w:val="000000" w:themeColor="text1"/>
          <w:sz w:val="24"/>
          <w:lang w:val="fr-CH"/>
          <w14:textFill>
            <w14:solidFill>
              <w14:schemeClr w14:val="tx1"/>
            </w14:solidFill>
          </w14:textFill>
        </w:rPr>
      </w:pPr>
      <w:r>
        <w:rPr>
          <w:rFonts w:hint="eastAsia" w:ascii="宋体" w:hAnsi="宋体" w:cs="宋体"/>
          <w:b/>
          <w:bCs/>
          <w:color w:val="000000" w:themeColor="text1"/>
          <w:sz w:val="24"/>
          <w:lang w:val="fr-CH"/>
          <w14:textFill>
            <w14:solidFill>
              <w14:schemeClr w14:val="tx1"/>
            </w14:solidFill>
          </w14:textFill>
        </w:rPr>
        <w:t>政府采购投标及履约承诺函</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（采购单位名称/代理机构名称）：</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我单位深知本项目对贵局的重要性和紧迫性，亦了解贵局对廉政建设的相关要求，因此我单位承诺如下：</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我单位本招标项目所提供的货物或服务未侵犯知识产权。</w:t>
      </w:r>
    </w:p>
    <w:p>
      <w:pPr>
        <w:widowControl/>
        <w:numPr>
          <w:ilvl w:val="0"/>
          <w:numId w:val="13"/>
        </w:numPr>
        <w:shd w:val="clear" w:color="auto" w:fill="FFFFFF"/>
        <w:spacing w:line="360" w:lineRule="auto"/>
        <w:ind w:right="-4"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w:t>
      </w:r>
      <w:r>
        <w:rPr>
          <w:rFonts w:hint="eastAsia" w:ascii="宋体" w:hAnsi="宋体" w:cs="宋体"/>
          <w:color w:val="000000" w:themeColor="text1"/>
          <w:kern w:val="0"/>
          <w:sz w:val="24"/>
          <w14:textFill>
            <w14:solidFill>
              <w14:schemeClr w14:val="tx1"/>
            </w14:solidFill>
          </w14:textFill>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3"/>
        </w:numPr>
        <w:shd w:val="clear" w:color="auto" w:fill="FFFFFF"/>
        <w:spacing w:line="360" w:lineRule="auto"/>
        <w:ind w:right="-4"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w:t>
      </w:r>
      <w:r>
        <w:rPr>
          <w:rFonts w:hint="eastAsia" w:ascii="宋体" w:hAnsi="宋体" w:cs="宋体"/>
          <w:color w:val="000000" w:themeColor="text1"/>
          <w:kern w:val="0"/>
          <w:sz w:val="24"/>
          <w14:textFill>
            <w14:solidFill>
              <w14:schemeClr w14:val="tx1"/>
            </w14:solidFill>
          </w14:textFill>
        </w:rPr>
        <w:t>及其法定代表人近三年内（投标人成立不足三年的可从成立之日起算）无行贿犯罪记录；</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我单位具备《中华人民共和国政府采购法》第二十二条第一款的条件。</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符合财政部和深圳市财政局关于诚信管理的要求，</w:t>
      </w:r>
      <w:r>
        <w:rPr>
          <w:rFonts w:hint="eastAsia" w:ascii="宋体" w:hAnsi="宋体" w:cs="宋体"/>
          <w:color w:val="000000" w:themeColor="text1"/>
          <w:kern w:val="0"/>
          <w:sz w:val="24"/>
          <w14:textFill>
            <w14:solidFill>
              <w14:schemeClr w14:val="tx1"/>
            </w14:solidFill>
          </w14:textFill>
        </w:rPr>
        <w:t>至投标截止时间，我单位未有在“信用中国”网（www.creditchina.gov.cn）、中国政府采购网（www.ccgp.gov.cn）、深圳市政府采购监督管理网（zfcg.sz.gov.cn）和“国家企业信用信息公示系统（www.gsxt.gov.cn）等</w:t>
      </w: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个官网中列入“失信被执行人、重大税收违法失信主体、政府采购严重违法失信行为记录名单”</w:t>
      </w:r>
      <w:r>
        <w:rPr>
          <w:rFonts w:hint="eastAsia" w:ascii="宋体" w:hAnsi="宋体" w:cs="宋体"/>
          <w:color w:val="000000" w:themeColor="text1"/>
          <w:sz w:val="24"/>
          <w14:textFill>
            <w14:solidFill>
              <w14:schemeClr w14:val="tx1"/>
            </w14:solidFill>
          </w14:textFill>
        </w:rPr>
        <w:t>。</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我单位不存在单位法定代表人（负责人）为同一人或者存在直接控股、管理关系的不同供应商，同时参加本项目投标之情形；我公司未为本项目提供过整体设计、规范编制或者项目管理、监理、检测等服务。</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我单位如果中标，做到诚实守信，依照本项目招标文件需求内容、签署的采购合同及本单位在投标中所作的一切承诺履约；不非法转包、分包。</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我单位承诺未参与本项目的采购需求、技术指标、商务指标等内容的设定，不存在对其他投标单位不公平的行为。</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w:t>
      </w:r>
      <w:r>
        <w:rPr>
          <w:rFonts w:hint="eastAsia" w:ascii="宋体" w:hAnsi="宋体" w:eastAsia="宋体" w:cs="宋体"/>
          <w:color w:val="000000" w:themeColor="text1"/>
          <w:sz w:val="24"/>
          <w14:textFill>
            <w14:solidFill>
              <w14:schemeClr w14:val="tx1"/>
            </w14:solidFill>
          </w14:textFill>
        </w:rPr>
        <w:t>承诺</w:t>
      </w:r>
      <w:r>
        <w:rPr>
          <w:rFonts w:hint="eastAsia" w:ascii="宋体" w:hAnsi="宋体" w:cs="宋体"/>
          <w:color w:val="000000" w:themeColor="text1"/>
          <w:sz w:val="24"/>
          <w14:textFill>
            <w14:solidFill>
              <w14:schemeClr w14:val="tx1"/>
            </w14:solidFill>
          </w14:textFill>
        </w:rPr>
        <w:t>“本单位（公司）不存在《深圳市财政局政府采购供应商信用信息管理办法》（深财规〔2023〕3号）列明的严重违法失信行为。</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以上承诺，如有违反，愿依照国家相关法律处理，并承担由此给采购人带来的损失。</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p>
    <w:p>
      <w:pPr>
        <w:tabs>
          <w:tab w:val="left" w:pos="4860"/>
        </w:tabs>
        <w:adjustRightInd w:val="0"/>
        <w:snapToGrid w:val="0"/>
        <w:spacing w:line="360" w:lineRule="auto"/>
        <w:ind w:right="105" w:rightChars="50"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投标供应商法定代表人或授权代表（签字或签章）：                  </w:t>
      </w:r>
    </w:p>
    <w:p>
      <w:pPr>
        <w:tabs>
          <w:tab w:val="left" w:pos="4860"/>
        </w:tabs>
        <w:adjustRightInd w:val="0"/>
        <w:snapToGrid w:val="0"/>
        <w:spacing w:line="360" w:lineRule="auto"/>
        <w:ind w:right="105" w:rightChars="50"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4860"/>
        </w:tabs>
        <w:adjustRightInd w:val="0"/>
        <w:snapToGrid w:val="0"/>
        <w:spacing w:line="360" w:lineRule="auto"/>
        <w:ind w:right="105" w:rightChars="50"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numPr>
          <w:ilvl w:val="0"/>
          <w:numId w:val="12"/>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hAnsi="宋体" w:cs="宋体"/>
          <w:color w:val="000000" w:themeColor="text1"/>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关于资格的声明函；</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关于资格的声明函</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（采购单位名称/代理机构名称）：</w:t>
      </w:r>
    </w:p>
    <w:p>
      <w:pPr>
        <w:spacing w:line="360" w:lineRule="auto"/>
        <w:ind w:firstLine="566" w:firstLineChars="23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 投标人名称）    </w:t>
      </w:r>
      <w:r>
        <w:rPr>
          <w:rFonts w:hint="eastAsia" w:ascii="宋体" w:hAnsi="宋体" w:cs="宋体"/>
          <w:color w:val="000000" w:themeColor="text1"/>
          <w:sz w:val="24"/>
          <w14:textFill>
            <w14:solidFill>
              <w14:schemeClr w14:val="tx1"/>
            </w14:solidFill>
          </w14:textFill>
        </w:rPr>
        <w:t xml:space="preserve"> 参与了</w:t>
      </w:r>
      <w:r>
        <w:rPr>
          <w:rFonts w:hint="eastAsia" w:ascii="宋体" w:hAnsi="宋体" w:cs="宋体"/>
          <w:color w:val="000000" w:themeColor="text1"/>
          <w:sz w:val="24"/>
          <w:u w:val="single"/>
          <w14:textFill>
            <w14:solidFill>
              <w14:schemeClr w14:val="tx1"/>
            </w14:solidFill>
          </w14:textFill>
        </w:rPr>
        <w:t xml:space="preserve"> （项目名称 、招标编号） </w:t>
      </w:r>
      <w:r>
        <w:rPr>
          <w:rFonts w:hint="eastAsia" w:ascii="宋体" w:hAnsi="宋体" w:cs="宋体"/>
          <w:color w:val="000000" w:themeColor="text1"/>
          <w:sz w:val="24"/>
          <w14:textFill>
            <w14:solidFill>
              <w14:schemeClr w14:val="tx1"/>
            </w14:solidFill>
          </w14:textFill>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特此承诺！</w:t>
      </w:r>
    </w:p>
    <w:p>
      <w:pPr>
        <w:spacing w:line="360" w:lineRule="auto"/>
        <w:ind w:left="420"/>
        <w:rPr>
          <w:rFonts w:hint="eastAsia" w:ascii="宋体" w:hAnsi="宋体" w:cs="宋体"/>
          <w:color w:val="000000" w:themeColor="text1"/>
          <w:sz w:val="24"/>
          <w14:textFill>
            <w14:solidFill>
              <w14:schemeClr w14:val="tx1"/>
            </w14:solidFill>
          </w14:textFill>
        </w:rPr>
      </w:pPr>
    </w:p>
    <w:p>
      <w:pPr>
        <w:tabs>
          <w:tab w:val="left" w:pos="4860"/>
        </w:tabs>
        <w:adjustRightInd w:val="0"/>
        <w:snapToGrid w:val="0"/>
        <w:spacing w:line="360" w:lineRule="auto"/>
        <w:ind w:right="105" w:rightChars="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numPr>
          <w:ilvl w:val="0"/>
          <w:numId w:val="12"/>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法</w:t>
      </w:r>
      <w:r>
        <w:rPr>
          <w:rFonts w:ascii="宋体" w:hAnsi="宋体" w:cs="宋体"/>
          <w:color w:val="000000" w:themeColor="text1"/>
          <w:sz w:val="24"/>
          <w14:textFill>
            <w14:solidFill>
              <w14:schemeClr w14:val="tx1"/>
            </w14:solidFill>
          </w14:textFill>
        </w:rPr>
        <w:t>定代表</w:t>
      </w:r>
      <w:r>
        <w:rPr>
          <w:rFonts w:hint="eastAsia" w:ascii="宋体" w:hAnsi="宋体" w:cs="宋体"/>
          <w:color w:val="000000" w:themeColor="text1"/>
          <w:sz w:val="24"/>
          <w:lang w:val="fr-CH"/>
          <w14:textFill>
            <w14:solidFill>
              <w14:schemeClr w14:val="tx1"/>
            </w14:solidFill>
          </w14:textFill>
        </w:rPr>
        <w:t>人证明书及身份证明；</w:t>
      </w:r>
    </w:p>
    <w:p>
      <w:pPr>
        <w:spacing w:before="120" w:after="120" w:line="360" w:lineRule="auto"/>
        <w:jc w:val="center"/>
        <w:rPr>
          <w:rFonts w:hint="eastAsia" w:ascii="宋体" w:hAnsi="宋体" w:cs="宋体"/>
          <w:b/>
          <w:color w:val="000000" w:themeColor="text1"/>
          <w:sz w:val="24"/>
          <w14:textFill>
            <w14:solidFill>
              <w14:schemeClr w14:val="tx1"/>
            </w14:solidFill>
          </w14:textFill>
        </w:rPr>
      </w:pPr>
    </w:p>
    <w:p>
      <w:pPr>
        <w:spacing w:before="120" w:after="120" w:line="360" w:lineRule="auto"/>
        <w:jc w:val="center"/>
        <w:rPr>
          <w:rFonts w:hint="eastAsia" w:ascii="宋体" w:hAnsi="宋体" w:cs="宋体"/>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法定代表人证明书</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同志，现任我单位职务，为法定代表人，特此证明。</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签发日期：             有效日期：         单位：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附：代表人性别：   年龄：      身份证号码：</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营业执照号码：                 经济性质：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主营（产）：</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兼营（产）：</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进口物品经营许可证号码：</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主营：</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兼营：</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说明：1、法定代表人为企业事业单位、国家机关、社会团体的主要行政负责人。</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2、内容必须填写真实、清楚，涂改无效，不得转让、买卖.</w:t>
      </w:r>
    </w:p>
    <w:p>
      <w:pPr>
        <w:tabs>
          <w:tab w:val="left" w:pos="3780"/>
        </w:tabs>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法定代表人（签字或签章）：</w:t>
      </w:r>
    </w:p>
    <w:p>
      <w:pPr>
        <w:spacing w:before="120" w:after="120"/>
        <w:jc w:val="left"/>
        <w:rPr>
          <w:rFonts w:hint="eastAsia" w:ascii="宋体" w:hAnsi="宋体" w:cs="宋体"/>
          <w:color w:val="000000" w:themeColor="text1"/>
          <w:szCs w:val="21"/>
          <w14:textFill>
            <w14:solidFill>
              <w14:schemeClr w14:val="tx1"/>
            </w14:solidFill>
          </w14:textFill>
        </w:rPr>
      </w:pPr>
    </w:p>
    <w:p>
      <w:pPr>
        <w:spacing w:before="120" w:after="120" w:line="360" w:lineRule="auto"/>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附身份证正反面</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noWrap w:val="0"/>
            <w:vAlign w:val="top"/>
          </w:tcPr>
          <w:p>
            <w:pPr>
              <w:pStyle w:val="8"/>
              <w:spacing w:line="360" w:lineRule="auto"/>
              <w:rPr>
                <w:rFonts w:ascii="Arial Narrow" w:hAnsi="Arial Narrow"/>
                <w:b/>
                <w:bCs/>
                <w:color w:val="000000" w:themeColor="text1"/>
                <w:szCs w:val="21"/>
                <w:lang w:val="en-US" w:eastAsia="zh-CN"/>
                <w14:textFill>
                  <w14:solidFill>
                    <w14:schemeClr w14:val="tx1"/>
                  </w14:solidFill>
                </w14:textFill>
              </w:rPr>
            </w:pPr>
          </w:p>
        </w:tc>
        <w:tc>
          <w:tcPr>
            <w:tcW w:w="4240" w:type="dxa"/>
            <w:noWrap w:val="0"/>
            <w:vAlign w:val="top"/>
          </w:tcPr>
          <w:p>
            <w:pPr>
              <w:pStyle w:val="8"/>
              <w:spacing w:line="360" w:lineRule="auto"/>
              <w:rPr>
                <w:rFonts w:ascii="Arial Narrow" w:hAnsi="Arial Narrow"/>
                <w:b/>
                <w:bCs/>
                <w:color w:val="000000" w:themeColor="text1"/>
                <w:szCs w:val="21"/>
                <w:lang w:val="en-US" w:eastAsia="zh-CN"/>
                <w14:textFill>
                  <w14:solidFill>
                    <w14:schemeClr w14:val="tx1"/>
                  </w14:solidFill>
                </w14:textFill>
              </w:rPr>
            </w:pPr>
          </w:p>
        </w:tc>
      </w:tr>
    </w:tbl>
    <w:p>
      <w:pPr>
        <w:pStyle w:val="2"/>
        <w:rPr>
          <w:rFonts w:hint="eastAsia"/>
          <w:color w:val="000000" w:themeColor="text1"/>
          <w:lang w:val="fr-CH"/>
          <w14:textFill>
            <w14:solidFill>
              <w14:schemeClr w14:val="tx1"/>
            </w14:solidFill>
          </w14:textFill>
        </w:rPr>
      </w:pPr>
    </w:p>
    <w:p>
      <w:pPr>
        <w:numPr>
          <w:ilvl w:val="0"/>
          <w:numId w:val="12"/>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法定代表人授权书及身份证明；</w:t>
      </w:r>
    </w:p>
    <w:p>
      <w:pPr>
        <w:pStyle w:val="8"/>
        <w:spacing w:line="360" w:lineRule="auto"/>
        <w:jc w:val="center"/>
        <w:rPr>
          <w:rFonts w:hint="eastAsia" w:hAnsi="宋体" w:cs="宋体"/>
          <w:b/>
          <w:color w:val="000000" w:themeColor="text1"/>
          <w:sz w:val="24"/>
          <w14:textFill>
            <w14:solidFill>
              <w14:schemeClr w14:val="tx1"/>
            </w14:solidFill>
          </w14:textFill>
        </w:rPr>
      </w:pPr>
    </w:p>
    <w:p>
      <w:pPr>
        <w:pStyle w:val="8"/>
        <w:spacing w:line="360" w:lineRule="auto"/>
        <w:jc w:val="center"/>
        <w:rPr>
          <w:rFonts w:hint="eastAsia"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法定代表人授权书</w:t>
      </w:r>
    </w:p>
    <w:p>
      <w:pPr>
        <w:pStyle w:val="8"/>
        <w:spacing w:line="360" w:lineRule="auto"/>
        <w:rPr>
          <w:rFonts w:hint="eastAsia" w:hAnsi="宋体" w:cs="宋体"/>
          <w:color w:val="000000" w:themeColor="text1"/>
          <w:sz w:val="24"/>
          <w14:textFill>
            <w14:solidFill>
              <w14:schemeClr w14:val="tx1"/>
            </w14:solidFill>
          </w14:textFill>
        </w:rPr>
      </w:pPr>
    </w:p>
    <w:p>
      <w:pPr>
        <w:pStyle w:val="8"/>
        <w:spacing w:line="360" w:lineRule="auto"/>
        <w:rPr>
          <w:rFonts w:hAnsi="宋体" w:cs="宋体"/>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深圳市前海深港现代服务业合作区管理局：</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本授权书声明：注册于</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（国家或地区）的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（投标人名称）的在下面签字的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（法定代表人姓名、职务）代表本公司授权在下面签字的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（被授权人的姓名、职务）为本公司的合法代表人，就</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[招标编号为：</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]的投标和合同执行，以我方的名义处理一切与之有关的事宜。</w:t>
      </w:r>
    </w:p>
    <w:p>
      <w:pPr>
        <w:pStyle w:val="8"/>
        <w:spacing w:line="360" w:lineRule="auto"/>
        <w:rPr>
          <w:rFonts w:hint="eastAsia" w:hAnsi="宋体" w:cs="宋体"/>
          <w:color w:val="000000" w:themeColor="text1"/>
          <w:sz w:val="24"/>
          <w14:textFill>
            <w14:solidFill>
              <w14:schemeClr w14:val="tx1"/>
            </w14:solidFill>
          </w14:textFill>
        </w:rPr>
      </w:pPr>
    </w:p>
    <w:p>
      <w:pPr>
        <w:spacing w:line="360" w:lineRule="auto"/>
        <w:ind w:firstLine="57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本授权书于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日签字生效，特此声明。</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法定代表人（签字或签章）：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被授权人代表（签字或签章）：</w:t>
      </w:r>
    </w:p>
    <w:p>
      <w:pPr>
        <w:tabs>
          <w:tab w:val="left" w:pos="640"/>
          <w:tab w:val="left" w:pos="1260"/>
          <w:tab w:val="left" w:pos="1418"/>
        </w:tabs>
        <w:spacing w:line="360" w:lineRule="auto"/>
        <w:rPr>
          <w:rFonts w:hint="eastAsia" w:ascii="宋体" w:hAnsi="宋体" w:cs="宋体"/>
          <w:b/>
          <w:color w:val="000000" w:themeColor="text1"/>
          <w:sz w:val="24"/>
          <w14:textFill>
            <w14:solidFill>
              <w14:schemeClr w14:val="tx1"/>
            </w14:solidFill>
          </w14:textFill>
        </w:rPr>
      </w:pPr>
    </w:p>
    <w:p>
      <w:pPr>
        <w:tabs>
          <w:tab w:val="left" w:pos="640"/>
          <w:tab w:val="left" w:pos="1260"/>
          <w:tab w:val="left" w:pos="1418"/>
        </w:tabs>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附身份证正反面</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noWrap w:val="0"/>
            <w:vAlign w:val="top"/>
          </w:tcPr>
          <w:p>
            <w:pPr>
              <w:pStyle w:val="8"/>
              <w:spacing w:line="360" w:lineRule="auto"/>
              <w:rPr>
                <w:rFonts w:ascii="Arial Narrow" w:hAnsi="Arial Narrow"/>
                <w:b/>
                <w:bCs/>
                <w:color w:val="000000" w:themeColor="text1"/>
                <w:szCs w:val="21"/>
                <w:lang w:val="en-US" w:eastAsia="zh-CN"/>
                <w14:textFill>
                  <w14:solidFill>
                    <w14:schemeClr w14:val="tx1"/>
                  </w14:solidFill>
                </w14:textFill>
              </w:rPr>
            </w:pPr>
          </w:p>
        </w:tc>
        <w:tc>
          <w:tcPr>
            <w:tcW w:w="4677" w:type="dxa"/>
            <w:noWrap w:val="0"/>
            <w:vAlign w:val="top"/>
          </w:tcPr>
          <w:p>
            <w:pPr>
              <w:pStyle w:val="8"/>
              <w:spacing w:line="360" w:lineRule="auto"/>
              <w:rPr>
                <w:rFonts w:ascii="Arial Narrow" w:hAnsi="Arial Narrow"/>
                <w:b/>
                <w:bCs/>
                <w:color w:val="000000" w:themeColor="text1"/>
                <w:szCs w:val="21"/>
                <w:lang w:val="en-US" w:eastAsia="zh-CN"/>
                <w14:textFill>
                  <w14:solidFill>
                    <w14:schemeClr w14:val="tx1"/>
                  </w14:solidFill>
                </w14:textFill>
              </w:rPr>
            </w:pPr>
          </w:p>
        </w:tc>
      </w:tr>
    </w:tbl>
    <w:p>
      <w:pPr>
        <w:tabs>
          <w:tab w:val="left" w:pos="640"/>
          <w:tab w:val="left" w:pos="1260"/>
          <w:tab w:val="left" w:pos="1418"/>
        </w:tabs>
        <w:spacing w:line="360" w:lineRule="auto"/>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p>
    <w:p>
      <w:pPr>
        <w:numPr>
          <w:ilvl w:val="0"/>
          <w:numId w:val="12"/>
        </w:numPr>
        <w:tabs>
          <w:tab w:val="left" w:pos="640"/>
          <w:tab w:val="left" w:pos="1260"/>
          <w:tab w:val="left" w:pos="1418"/>
        </w:tabs>
        <w:spacing w:line="360" w:lineRule="auto"/>
        <w:ind w:left="640" w:hanging="640"/>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招标代理服务费承诺书；</w:t>
      </w:r>
    </w:p>
    <w:p>
      <w:pPr>
        <w:widowControl/>
        <w:autoSpaceDE w:val="0"/>
        <w:autoSpaceDN w:val="0"/>
        <w:spacing w:line="360" w:lineRule="auto"/>
        <w:ind w:left="359" w:right="26" w:hanging="357"/>
        <w:jc w:val="center"/>
        <w:textAlignment w:val="bottom"/>
        <w:rPr>
          <w:rFonts w:hint="eastAsia" w:ascii="宋体" w:hAnsi="宋体" w:cs="宋体"/>
          <w:b/>
          <w:bCs/>
          <w:color w:val="000000" w:themeColor="text1"/>
          <w:sz w:val="24"/>
          <w:lang w:val="fr-CH"/>
          <w14:textFill>
            <w14:solidFill>
              <w14:schemeClr w14:val="tx1"/>
            </w14:solidFill>
          </w14:textFill>
        </w:rPr>
      </w:pPr>
    </w:p>
    <w:p>
      <w:pPr>
        <w:widowControl/>
        <w:autoSpaceDE w:val="0"/>
        <w:autoSpaceDN w:val="0"/>
        <w:spacing w:line="360" w:lineRule="auto"/>
        <w:ind w:left="359" w:right="26" w:hanging="357"/>
        <w:jc w:val="center"/>
        <w:textAlignment w:val="bottom"/>
        <w:rPr>
          <w:rFonts w:hint="eastAsia" w:ascii="宋体" w:hAnsi="宋体" w:cs="宋体"/>
          <w:b/>
          <w:bCs/>
          <w:color w:val="000000" w:themeColor="text1"/>
          <w:sz w:val="24"/>
          <w:lang w:val="fr-CH"/>
          <w14:textFill>
            <w14:solidFill>
              <w14:schemeClr w14:val="tx1"/>
            </w14:solidFill>
          </w14:textFill>
        </w:rPr>
      </w:pPr>
      <w:r>
        <w:rPr>
          <w:rFonts w:hint="eastAsia" w:ascii="宋体" w:hAnsi="宋体" w:cs="宋体"/>
          <w:b/>
          <w:bCs/>
          <w:color w:val="000000" w:themeColor="text1"/>
          <w:sz w:val="24"/>
          <w:lang w:val="fr-CH"/>
          <w14:textFill>
            <w14:solidFill>
              <w14:schemeClr w14:val="tx1"/>
            </w14:solidFill>
          </w14:textFill>
        </w:rPr>
        <w:t>招标代理服务费承诺书</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致：中国远东国际招标有限公司</w:t>
      </w:r>
    </w:p>
    <w:p>
      <w:pPr>
        <w:widowControl/>
        <w:autoSpaceDE w:val="0"/>
        <w:autoSpaceDN w:val="0"/>
        <w:spacing w:line="360" w:lineRule="auto"/>
        <w:ind w:right="26" w:firstLine="540"/>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我们在贵司代理的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项目（招标编号：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）（货物/服务/工程）招标中若获中标，我们保证在收到中标通知书后5日内按招标文件的规定，以现金或电汇向贵公司指定的银行帐号支付全额招标代理服务费。招标代理服务费按照</w:t>
      </w:r>
      <w:r>
        <w:rPr>
          <w:rFonts w:hint="eastAsia" w:ascii="宋体" w:hAnsi="宋体" w:cs="宋体"/>
          <w:color w:val="000000" w:themeColor="text1"/>
          <w:sz w:val="24"/>
          <w:u w:val="single"/>
          <w14:textFill>
            <w14:solidFill>
              <w14:schemeClr w14:val="tx1"/>
            </w14:solidFill>
          </w14:textFill>
        </w:rPr>
        <w:t>招标文件中的规定</w:t>
      </w:r>
      <w:r>
        <w:rPr>
          <w:rFonts w:hint="eastAsia" w:ascii="宋体" w:hAnsi="宋体" w:cs="宋体"/>
          <w:color w:val="000000" w:themeColor="text1"/>
          <w:sz w:val="24"/>
          <w14:textFill>
            <w14:solidFill>
              <w14:schemeClr w14:val="tx1"/>
            </w14:solidFill>
          </w14:textFill>
        </w:rPr>
        <w:t>计算。</w:t>
      </w:r>
    </w:p>
    <w:p>
      <w:pPr>
        <w:widowControl/>
        <w:autoSpaceDE w:val="0"/>
        <w:autoSpaceDN w:val="0"/>
        <w:spacing w:line="360" w:lineRule="auto"/>
        <w:ind w:right="26" w:firstLine="540"/>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特此承诺。</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投标供应商地址：</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电话：         </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w:t>
      </w:r>
    </w:p>
    <w:p>
      <w:pPr>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2"/>
        <w:rPr>
          <w:rFonts w:hint="eastAsia"/>
          <w:color w:val="000000" w:themeColor="text1"/>
          <w:lang w:val="fr-CH"/>
          <w14:textFill>
            <w14:solidFill>
              <w14:schemeClr w14:val="tx1"/>
            </w14:solidFill>
          </w14:textFill>
        </w:rPr>
      </w:pPr>
    </w:p>
    <w:p>
      <w:pPr>
        <w:tabs>
          <w:tab w:val="left" w:pos="640"/>
          <w:tab w:val="left" w:pos="1260"/>
          <w:tab w:val="left" w:pos="1418"/>
        </w:tabs>
        <w:spacing w:line="360" w:lineRule="auto"/>
        <w:rPr>
          <w:rFonts w:hint="eastAsia" w:ascii="宋体" w:hAnsi="宋体" w:cs="宋体"/>
          <w:color w:val="000000" w:themeColor="text1"/>
          <w:sz w:val="24"/>
          <w:lang w:val="fr-CH"/>
          <w14:textFill>
            <w14:solidFill>
              <w14:schemeClr w14:val="tx1"/>
            </w14:solidFill>
          </w14:textFill>
        </w:rPr>
      </w:pPr>
    </w:p>
    <w:p>
      <w:pPr>
        <w:numPr>
          <w:ilvl w:val="0"/>
          <w:numId w:val="12"/>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供应商</w:t>
      </w:r>
      <w:r>
        <w:rPr>
          <w:rFonts w:hint="eastAsia" w:ascii="宋体" w:hAnsi="宋体" w:cs="宋体"/>
          <w:color w:val="000000" w:themeColor="text1"/>
          <w:sz w:val="24"/>
          <w:lang w:val="fr-CH"/>
          <w14:textFill>
            <w14:solidFill>
              <w14:schemeClr w14:val="tx1"/>
            </w14:solidFill>
          </w14:textFill>
        </w:rPr>
        <w:t>简介；</w:t>
      </w:r>
    </w:p>
    <w:p>
      <w:pPr>
        <w:pStyle w:val="8"/>
        <w:spacing w:line="360" w:lineRule="auto"/>
        <w:jc w:val="center"/>
        <w:rPr>
          <w:rFonts w:hint="eastAsia"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供应商基本情况一览表</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1．名称及概况：</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（1）供应商名称：_______________________________________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（2）地址：______________________________________________</w:t>
      </w:r>
    </w:p>
    <w:p>
      <w:pPr>
        <w:pStyle w:val="8"/>
        <w:spacing w:line="360" w:lineRule="auto"/>
        <w:ind w:firstLine="660" w:firstLineChars="275"/>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邮政编码：___________________________________________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电话号码：___________________________________________ </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传真号码：___________________________________________ </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（3）成立和／或注册日期：_________________________________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（4）法人代表：___________________________________________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（5）开户银行：___________________________________________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（6）开户帐号：___________________________________________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（7）注册资金：___________________________________________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（8）近两年财务基本情况</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①货币资金期末数：_____________________________________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③年营业总额（值）：___________________________________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③资产负债率：_________________________________________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④销售利润率：_________________________________________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⑤资本收益率：_________________________________________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（9）项目主要联系人（姓名、职务、通讯）：</w:t>
      </w:r>
    </w:p>
    <w:p>
      <w:pPr>
        <w:pStyle w:val="8"/>
        <w:spacing w:line="360" w:lineRule="auto"/>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_____________________________________________________________________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（10）公司概况；</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（11）公司组织机构；</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兹证明上述说明是真实、正确的，并提供了全部能提供的资料和数据，我们同意遵照贵方要求出示有关证明文件。</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2"/>
        <w:rPr>
          <w:rFonts w:hint="eastAsia"/>
          <w:color w:val="000000" w:themeColor="text1"/>
          <w:lang w:val="fr-CH"/>
          <w14:textFill>
            <w14:solidFill>
              <w14:schemeClr w14:val="tx1"/>
            </w14:solidFill>
          </w14:textFill>
        </w:rPr>
      </w:pPr>
    </w:p>
    <w:p>
      <w:pPr>
        <w:numPr>
          <w:ilvl w:val="0"/>
          <w:numId w:val="12"/>
        </w:numPr>
        <w:tabs>
          <w:tab w:val="left" w:pos="640"/>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投标人编制经验</w:t>
      </w:r>
      <w:r>
        <w:rPr>
          <w:rFonts w:hint="eastAsia" w:ascii="宋体" w:hAnsi="宋体" w:cs="宋体"/>
          <w:color w:val="000000" w:themeColor="text1"/>
          <w:sz w:val="24"/>
          <w14:textFill>
            <w14:solidFill>
              <w14:schemeClr w14:val="tx1"/>
            </w14:solidFill>
          </w14:textFill>
        </w:rPr>
        <w:t>；</w:t>
      </w:r>
    </w:p>
    <w:p>
      <w:pPr>
        <w:numPr>
          <w:ilvl w:val="0"/>
          <w:numId w:val="12"/>
        </w:numPr>
        <w:tabs>
          <w:tab w:val="left" w:pos="640"/>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项目负责人要求（1人）</w:t>
      </w:r>
      <w:r>
        <w:rPr>
          <w:rFonts w:hint="eastAsia" w:ascii="宋体" w:hAnsi="宋体" w:cs="宋体"/>
          <w:color w:val="000000" w:themeColor="text1"/>
          <w:sz w:val="24"/>
          <w14:textFill>
            <w14:solidFill>
              <w14:schemeClr w14:val="tx1"/>
            </w14:solidFill>
          </w14:textFill>
        </w:rPr>
        <w:t>；</w:t>
      </w:r>
    </w:p>
    <w:p>
      <w:pPr>
        <w:numPr>
          <w:ilvl w:val="0"/>
          <w:numId w:val="12"/>
        </w:numPr>
        <w:tabs>
          <w:tab w:val="left" w:pos="640"/>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项目团队成员（项目负责人除外）</w:t>
      </w:r>
      <w:r>
        <w:rPr>
          <w:rFonts w:hint="eastAsia" w:ascii="宋体" w:hAnsi="宋体" w:cs="宋体"/>
          <w:color w:val="000000" w:themeColor="text1"/>
          <w:sz w:val="24"/>
          <w14:textFill>
            <w14:solidFill>
              <w14:schemeClr w14:val="tx1"/>
            </w14:solidFill>
          </w14:textFill>
        </w:rPr>
        <w:t>；</w:t>
      </w:r>
    </w:p>
    <w:p>
      <w:pPr>
        <w:tabs>
          <w:tab w:val="left" w:pos="640"/>
          <w:tab w:val="left" w:pos="1260"/>
          <w:tab w:val="left" w:pos="1418"/>
        </w:tabs>
        <w:jc w:val="center"/>
        <w:rPr>
          <w:rFonts w:hint="eastAsia" w:ascii="宋体" w:hAnsi="宋体" w:cs="宋体"/>
          <w:b/>
          <w:bCs/>
          <w:color w:val="000000" w:themeColor="text1"/>
          <w:szCs w:val="21"/>
          <w14:textFill>
            <w14:solidFill>
              <w14:schemeClr w14:val="tx1"/>
            </w14:solidFill>
          </w14:textFill>
        </w:rPr>
      </w:pP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注：以上各项请根据“招标项目评分表”中的要求自行填写并提供相应的证明材料。</w:t>
      </w:r>
    </w:p>
    <w:p>
      <w:pPr>
        <w:numPr>
          <w:ilvl w:val="0"/>
          <w:numId w:val="12"/>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b/>
          <w:bCs/>
          <w:color w:val="000000" w:themeColor="text1"/>
          <w:sz w:val="24"/>
          <w:lang w:val="fr-CH"/>
          <w14:textFill>
            <w14:solidFill>
              <w14:schemeClr w14:val="tx1"/>
            </w14:solidFill>
          </w14:textFill>
        </w:rPr>
        <w:t>诚信</w:t>
      </w:r>
      <w:r>
        <w:rPr>
          <w:rFonts w:hint="eastAsia" w:ascii="宋体" w:hAnsi="宋体" w:cs="宋体"/>
          <w:b/>
          <w:bCs/>
          <w:color w:val="000000" w:themeColor="text1"/>
          <w:sz w:val="24"/>
          <w14:textFill>
            <w14:solidFill>
              <w14:schemeClr w14:val="tx1"/>
            </w14:solidFill>
          </w14:textFill>
        </w:rPr>
        <w:t>声明与承诺</w:t>
      </w:r>
      <w:r>
        <w:rPr>
          <w:rFonts w:hint="eastAsia" w:ascii="宋体" w:hAnsi="宋体" w:cs="宋体"/>
          <w:b/>
          <w:bCs/>
          <w:color w:val="000000" w:themeColor="text1"/>
          <w:sz w:val="24"/>
          <w:lang w:val="fr-CH"/>
          <w14:textFill>
            <w14:solidFill>
              <w14:schemeClr w14:val="tx1"/>
            </w14:solidFill>
          </w14:textFill>
        </w:rPr>
        <w:t>；</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诚信声明与承诺</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中国远东国际招标有限公司：</w:t>
      </w:r>
    </w:p>
    <w:p>
      <w:pPr>
        <w:spacing w:line="360" w:lineRule="auto"/>
        <w:ind w:firstLine="360" w:firstLineChars="1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我公司（单位）参与贵代理机构组织的项目（项目编号：）投标，现就诚信作如下声明与承诺：</w:t>
      </w:r>
    </w:p>
    <w:p>
      <w:pPr>
        <w:spacing w:line="360" w:lineRule="auto"/>
        <w:ind w:firstLine="360" w:firstLineChars="1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司（单位）承诺根据《深圳市财政局关于印发&lt;深圳市财政局政府采购供应商信用信息管理办法&gt;的通知》（深财规〔2023〕3号）相关规定，我司在全国范围内不存在因政府采购违法、违规行为受到财政部门罚款等一般行政处罚信息，不存在该办法第十一条所称在本市集中采购活动中的一般违法失信行为记录信息。</w:t>
      </w:r>
    </w:p>
    <w:p>
      <w:pPr>
        <w:spacing w:line="360" w:lineRule="auto"/>
        <w:ind w:firstLine="360" w:firstLineChars="1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我司对上述内容的真实性负责。如有虚假，将依法承担相应责任。</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特此声明与承诺！</w:t>
      </w:r>
    </w:p>
    <w:p>
      <w:pPr>
        <w:spacing w:line="360" w:lineRule="auto"/>
        <w:jc w:val="left"/>
        <w:rPr>
          <w:rFonts w:hint="eastAsia" w:ascii="宋体" w:hAnsi="宋体" w:cs="宋体"/>
          <w:color w:val="000000" w:themeColor="text1"/>
          <w:sz w:val="24"/>
          <w14:textFill>
            <w14:solidFill>
              <w14:schemeClr w14:val="tx1"/>
            </w14:solidFill>
          </w14:textFill>
        </w:rPr>
      </w:pPr>
    </w:p>
    <w:p>
      <w:pPr>
        <w:spacing w:line="360" w:lineRule="auto"/>
        <w:jc w:val="left"/>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8"/>
        <w:spacing w:line="360" w:lineRule="auto"/>
        <w:jc w:val="left"/>
        <w:rPr>
          <w:rFonts w:hint="eastAsia" w:hAnsi="宋体" w:cs="宋体"/>
          <w:color w:val="000000" w:themeColor="text1"/>
          <w:sz w:val="24"/>
          <w14:textFill>
            <w14:solidFill>
              <w14:schemeClr w14:val="tx1"/>
            </w14:solidFill>
          </w14:textFill>
        </w:rPr>
      </w:pPr>
    </w:p>
    <w:p>
      <w:pPr>
        <w:pStyle w:val="8"/>
        <w:spacing w:line="360" w:lineRule="auto"/>
        <w:jc w:val="left"/>
        <w:rPr>
          <w:rFonts w:hint="eastAsia" w:hAnsi="宋体" w:cs="宋体"/>
          <w:color w:val="000000" w:themeColor="text1"/>
          <w:sz w:val="24"/>
          <w14:textFill>
            <w14:solidFill>
              <w14:schemeClr w14:val="tx1"/>
            </w14:solidFill>
          </w14:textFill>
        </w:rPr>
      </w:pPr>
    </w:p>
    <w:p>
      <w:pPr>
        <w:spacing w:before="100" w:beforeAutospacing="1" w:after="100" w:afterAutospacing="1"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注：近三年内，如投标人有任何违法违规、受惩罚和禁止、不良信用等记录，必须列明记载，并附网络截图（加盖公章）。</w:t>
      </w:r>
    </w:p>
    <w:p>
      <w:pPr>
        <w:pStyle w:val="2"/>
        <w:rPr>
          <w:rFonts w:hint="eastAsia"/>
          <w:color w:val="000000" w:themeColor="text1"/>
          <w:lang w:val="fr-CH"/>
          <w14:textFill>
            <w14:solidFill>
              <w14:schemeClr w14:val="tx1"/>
            </w14:solidFill>
          </w14:textFill>
        </w:rPr>
      </w:pPr>
    </w:p>
    <w:p>
      <w:pPr>
        <w:numPr>
          <w:ilvl w:val="0"/>
          <w:numId w:val="12"/>
        </w:numPr>
        <w:tabs>
          <w:tab w:val="left" w:pos="640"/>
          <w:tab w:val="left" w:pos="8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投标人认为有必要提供的其他材料。</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（三）技术部分</w:t>
      </w:r>
    </w:p>
    <w:p>
      <w:pPr>
        <w:numPr>
          <w:ilvl w:val="0"/>
          <w:numId w:val="14"/>
        </w:numPr>
        <w:tabs>
          <w:tab w:val="left" w:pos="640"/>
          <w:tab w:val="left" w:pos="1260"/>
          <w:tab w:val="left" w:pos="1418"/>
        </w:tabs>
        <w:spacing w:line="360" w:lineRule="auto"/>
        <w:ind w:left="640" w:right="-420" w:rightChars="-200" w:hanging="640"/>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用户需求响应表；</w:t>
      </w:r>
    </w:p>
    <w:p>
      <w:pPr>
        <w:spacing w:after="78" w:line="360" w:lineRule="auto"/>
        <w:jc w:val="center"/>
        <w:rPr>
          <w:rFonts w:hint="eastAsia" w:ascii="宋体" w:hAnsi="宋体" w:cs="宋体"/>
          <w:b/>
          <w:bCs/>
          <w:color w:val="000000" w:themeColor="text1"/>
          <w:sz w:val="24"/>
          <w:lang w:val="fr-CH"/>
          <w14:textFill>
            <w14:solidFill>
              <w14:schemeClr w14:val="tx1"/>
            </w14:solidFill>
          </w14:textFill>
        </w:rPr>
      </w:pPr>
      <w:r>
        <w:rPr>
          <w:rFonts w:hint="eastAsia" w:ascii="宋体" w:hAnsi="宋体" w:cs="宋体"/>
          <w:b/>
          <w:bCs/>
          <w:color w:val="000000" w:themeColor="text1"/>
          <w:sz w:val="24"/>
          <w:lang w:val="fr-CH"/>
          <w14:textFill>
            <w14:solidFill>
              <w14:schemeClr w14:val="tx1"/>
            </w14:solidFill>
          </w14:textFill>
        </w:rPr>
        <w:t>用户需求响应表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 xml:space="preserve">                                      </w:t>
      </w:r>
    </w:p>
    <w:p>
      <w:pPr>
        <w:spacing w:after="78"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据招标文件要求，我公司承诺响应如下：</w:t>
      </w:r>
    </w:p>
    <w:tbl>
      <w:tblPr>
        <w:tblStyle w:val="16"/>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序号</w:t>
            </w:r>
          </w:p>
        </w:tc>
        <w:tc>
          <w:tcPr>
            <w:tcW w:w="3507" w:type="dxa"/>
            <w:noWrap w:val="0"/>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招标文件要求</w:t>
            </w:r>
          </w:p>
        </w:tc>
        <w:tc>
          <w:tcPr>
            <w:tcW w:w="3241" w:type="dxa"/>
            <w:noWrap w:val="0"/>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投标文件响应</w:t>
            </w:r>
          </w:p>
        </w:tc>
        <w:tc>
          <w:tcPr>
            <w:tcW w:w="1917" w:type="dxa"/>
            <w:noWrap w:val="0"/>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p>
        </w:tc>
        <w:tc>
          <w:tcPr>
            <w:tcW w:w="3507" w:type="dxa"/>
            <w:noWrap w:val="0"/>
            <w:vAlign w:val="center"/>
          </w:tcPr>
          <w:p>
            <w:pPr>
              <w:spacing w:after="78"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noWrap w:val="0"/>
            <w:vAlign w:val="center"/>
          </w:tcPr>
          <w:p>
            <w:pPr>
              <w:spacing w:line="360" w:lineRule="auto"/>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填写说明：此项投标人必须完全响应满足，请投标人于“投标文件响应”栏中填写“投标人完全响应满足招标文件“第五章 用户需求书”的全部内容”即可；</w:t>
            </w:r>
          </w:p>
          <w:p>
            <w:pPr>
              <w:spacing w:line="360" w:lineRule="auto"/>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无需另行编制填写内容。</w:t>
            </w:r>
          </w:p>
        </w:tc>
        <w:tc>
          <w:tcPr>
            <w:tcW w:w="1917" w:type="dxa"/>
            <w:noWrap w:val="0"/>
            <w:vAlign w:val="center"/>
          </w:tcPr>
          <w:p>
            <w:pPr>
              <w:spacing w:line="360" w:lineRule="auto"/>
              <w:jc w:val="center"/>
              <w:rPr>
                <w:rFonts w:hint="eastAsia" w:ascii="宋体" w:hAnsi="宋体" w:cs="宋体"/>
                <w:bCs/>
                <w:color w:val="000000" w:themeColor="text1"/>
                <w:sz w:val="24"/>
                <w14:textFill>
                  <w14:solidFill>
                    <w14:schemeClr w14:val="tx1"/>
                  </w14:solidFill>
                </w14:textFill>
              </w:rPr>
            </w:pPr>
          </w:p>
        </w:tc>
      </w:tr>
    </w:tbl>
    <w:p>
      <w:pPr>
        <w:spacing w:after="78" w:line="360" w:lineRule="auto"/>
        <w:rPr>
          <w:rFonts w:hint="eastAsia" w:ascii="宋体" w:hAnsi="宋体" w:cs="宋体"/>
          <w:bCs/>
          <w:color w:val="000000" w:themeColor="text1"/>
          <w:sz w:val="24"/>
          <w14:textFill>
            <w14:solidFill>
              <w14:schemeClr w14:val="tx1"/>
            </w14:solidFill>
          </w14:textFill>
        </w:rPr>
      </w:pPr>
    </w:p>
    <w:p>
      <w:pPr>
        <w:spacing w:after="78"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若响应情况优于招标要求，应作详细说明；“偏离情况”栏中根据响应情况填写，没有达到要求的填“负偏离”，达到要求的填“符合”，优于要求的填“正偏离”。</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p>
    <w:p>
      <w:pPr>
        <w:pStyle w:val="2"/>
        <w:spacing w:line="360" w:lineRule="auto"/>
        <w:rPr>
          <w:rFonts w:hint="eastAsia"/>
          <w:color w:val="000000" w:themeColor="text1"/>
          <w:lang w:val="fr-CH"/>
          <w14:textFill>
            <w14:solidFill>
              <w14:schemeClr w14:val="tx1"/>
            </w14:solidFill>
          </w14:textFill>
        </w:rPr>
      </w:pP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auto"/>
          <w:sz w:val="24"/>
          <w:lang w:val="sq-AL"/>
        </w:rPr>
      </w:pPr>
      <w:r>
        <w:rPr>
          <w:rFonts w:hint="eastAsia" w:ascii="宋体" w:hAnsi="宋体" w:cs="宋体"/>
          <w:color w:val="000000" w:themeColor="text1"/>
          <w:sz w:val="24"/>
          <w:lang w:val="sq-AL"/>
          <w14:textFill>
            <w14:solidFill>
              <w14:schemeClr w14:val="tx1"/>
            </w14:solidFill>
          </w14:textFill>
        </w:rPr>
        <w:br w:type="page"/>
      </w:r>
      <w:r>
        <w:rPr>
          <w:rFonts w:hint="eastAsia" w:ascii="宋体" w:hAnsi="宋体" w:cs="宋体"/>
          <w:color w:val="auto"/>
          <w:sz w:val="24"/>
          <w:lang w:val="sq-AL"/>
        </w:rPr>
        <w:t>项目背景理解分析；</w:t>
      </w: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auto"/>
          <w:sz w:val="24"/>
          <w:lang w:val="sq-AL"/>
        </w:rPr>
      </w:pPr>
      <w:r>
        <w:rPr>
          <w:rFonts w:hint="eastAsia" w:ascii="宋体" w:hAnsi="宋体" w:cs="宋体"/>
          <w:color w:val="000000" w:themeColor="text1"/>
          <w:sz w:val="24"/>
          <w:lang w:val="zh-CN"/>
          <w14:textFill>
            <w14:solidFill>
              <w14:schemeClr w14:val="tx1"/>
            </w14:solidFill>
          </w14:textFill>
        </w:rPr>
        <w:t>设计</w:t>
      </w:r>
      <w:r>
        <w:rPr>
          <w:rFonts w:hint="eastAsia" w:ascii="宋体" w:hAnsi="宋体" w:cs="宋体"/>
          <w:color w:val="000000" w:themeColor="text1"/>
          <w:sz w:val="24"/>
          <w:lang w:val="en-US" w:eastAsia="zh-CN"/>
          <w14:textFill>
            <w14:solidFill>
              <w14:schemeClr w14:val="tx1"/>
            </w14:solidFill>
          </w14:textFill>
        </w:rPr>
        <w:t>思路及理念</w:t>
      </w:r>
      <w:r>
        <w:rPr>
          <w:rFonts w:hint="eastAsia" w:ascii="宋体" w:hAnsi="宋体" w:cs="宋体"/>
          <w:color w:val="auto"/>
          <w:sz w:val="24"/>
          <w:lang w:val="sq-AL"/>
        </w:rPr>
        <w:t>；</w:t>
      </w: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auto"/>
          <w:sz w:val="24"/>
          <w:lang w:val="sq-AL"/>
        </w:rPr>
      </w:pPr>
      <w:r>
        <w:rPr>
          <w:rFonts w:hint="eastAsia" w:ascii="宋体" w:hAnsi="宋体" w:cs="宋体"/>
          <w:color w:val="auto"/>
          <w:sz w:val="24"/>
          <w:lang w:val="sq-AL"/>
        </w:rPr>
        <w:t>工作进度及质量保障措施；</w:t>
      </w: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auto"/>
          <w:sz w:val="24"/>
          <w:lang w:val="sq-AL"/>
        </w:rPr>
      </w:pPr>
      <w:r>
        <w:rPr>
          <w:rFonts w:hint="eastAsia" w:ascii="宋体" w:hAnsi="宋体" w:cs="宋体"/>
          <w:color w:val="auto"/>
          <w:sz w:val="24"/>
          <w:lang w:val="sq-AL"/>
        </w:rPr>
        <w:t>后续服务；</w:t>
      </w: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注：以上各项请根据“招标项目评分表”中的要求自行填写并提供相应的证明材料。</w:t>
      </w: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投标人认为有必要提供的其他材料。</w:t>
      </w:r>
      <w:bookmarkEnd w:id="13"/>
      <w:r>
        <w:rPr>
          <w:rFonts w:hint="eastAsia" w:ascii="宋体" w:hAnsi="宋体" w:cs="宋体"/>
          <w:color w:val="000000" w:themeColor="text1"/>
          <w:sz w:val="24"/>
          <w:lang w:val="fr-CH"/>
          <w14:textFill>
            <w14:solidFill>
              <w14:schemeClr w14:val="tx1"/>
            </w14:solidFill>
          </w14:textFill>
        </w:rPr>
        <w:t>（投标人可根据实际情况按照附件的格式提供中小微企业声明函）</w:t>
      </w:r>
    </w:p>
    <w:p>
      <w:pPr>
        <w:tabs>
          <w:tab w:val="left" w:pos="360"/>
        </w:tabs>
        <w:spacing w:line="300" w:lineRule="auto"/>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bookmarkStart w:id="19" w:name="_Toc21876"/>
      <w:bookmarkStart w:id="20" w:name="_Toc6251"/>
      <w:r>
        <w:rPr>
          <w:rFonts w:hint="eastAsia" w:ascii="宋体" w:hAnsi="宋体" w:cs="宋体"/>
          <w:b/>
          <w:bCs/>
          <w:color w:val="000000" w:themeColor="text1"/>
          <w:sz w:val="24"/>
          <w14:textFill>
            <w14:solidFill>
              <w14:schemeClr w14:val="tx1"/>
            </w14:solidFill>
          </w14:textFill>
        </w:rPr>
        <w:t>附件：相关政策</w:t>
      </w:r>
      <w:bookmarkEnd w:id="19"/>
      <w:bookmarkEnd w:id="20"/>
    </w:p>
    <w:p>
      <w:pPr>
        <w:tabs>
          <w:tab w:val="left" w:pos="360"/>
        </w:tabs>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1、财政部、工业和信息化部《关于印发〈政府采购促进中小企业发展管理办法〉的通知》（财库〔2020〕46 号）</w:t>
      </w:r>
    </w:p>
    <w:p>
      <w:pPr>
        <w:pStyle w:val="2"/>
        <w:tabs>
          <w:tab w:val="left" w:pos="562"/>
          <w:tab w:val="left" w:pos="3372"/>
          <w:tab w:val="left" w:pos="3653"/>
        </w:tabs>
        <w:rPr>
          <w:rFonts w:hint="eastAsia" w:ascii="宋体" w:hAnsi="宋体" w:cs="宋体"/>
          <w:color w:val="000000" w:themeColor="text1"/>
          <w14:textFill>
            <w14:solidFill>
              <w14:schemeClr w14:val="tx1"/>
            </w14:solidFill>
          </w14:textFill>
        </w:rPr>
      </w:pPr>
    </w:p>
    <w:p>
      <w:pPr>
        <w:widowControl/>
        <w:shd w:val="clear" w:color="auto" w:fill="FFFFFF"/>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关于印发《政府采购促进中小企业发展管理办法》的通知</w:t>
      </w:r>
    </w:p>
    <w:p>
      <w:pPr>
        <w:widowControl/>
        <w:shd w:val="clear" w:color="auto" w:fill="FFFFFF"/>
        <w:spacing w:after="240"/>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财库〔2020〕46号</w:t>
      </w:r>
    </w:p>
    <w:p>
      <w:pPr>
        <w:widowControl/>
        <w:shd w:val="clear" w:color="auto" w:fill="FFFFFF"/>
        <w:spacing w:after="24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各中央预算单位办公厅（室），各省、自治区、直辖市、计划单列市财政厅（局）、工业和信息化主管部门，新疆生产建设兵团财政局、工业和信息化主管部门：</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附件：政府采购促进中小企业发展管理办法</w:t>
      </w:r>
    </w:p>
    <w:p>
      <w:pPr>
        <w:widowControl/>
        <w:shd w:val="clear" w:color="auto" w:fill="FFFFFF"/>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财  政  部</w:t>
      </w:r>
    </w:p>
    <w:p>
      <w:pPr>
        <w:widowControl/>
        <w:shd w:val="clear" w:color="auto" w:fill="FFFFFF"/>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工业和信息化部</w:t>
      </w:r>
    </w:p>
    <w:p>
      <w:pPr>
        <w:widowControl/>
        <w:shd w:val="clear" w:color="auto" w:fill="FFFFFF"/>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2020年12月18日</w:t>
      </w:r>
    </w:p>
    <w:p>
      <w:pPr>
        <w:autoSpaceDE w:val="0"/>
        <w:autoSpaceDN w:val="0"/>
        <w:adjustRightInd w:val="0"/>
        <w:jc w:val="left"/>
        <w:rPr>
          <w:rFonts w:hint="eastAsia" w:ascii="宋体" w:hAnsi="宋体" w:cs="宋体"/>
          <w:color w:val="000000" w:themeColor="text1"/>
          <w:kern w:val="0"/>
          <w:sz w:val="24"/>
          <w14:textFill>
            <w14:solidFill>
              <w14:schemeClr w14:val="tx1"/>
            </w14:solidFill>
          </w14:textFill>
        </w:rPr>
      </w:pPr>
    </w:p>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政府采购促进中小企业发展管理办法</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第一条 为了发挥政府采购的政策功能，促进中小企业健康发展，根据《中华人民共和国政府采购法》、《中华人民共和国中小企业促进法》等有关法律法规，制定本办法。</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第三条 采购人在政府采购活动中应当通过加强采购需求管理，落实预留采购份额、价格评审优惠、优先采购等 措施，提高中小企业在政府采购中的份额，支持中小企业发展。</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第四条 在政府采购活动中，供应商提供的货物、工程或者服务符合下列情形的，享受本办法规定的中小企业扶持政策：</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（一）在货物采购项目中，货物由中小企业制造，即货 物由中小企业生产且使用该中小企业商号或者注册商标；</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（二）在工程采购项目中，工程由中小企业承建，即工 程施工单位为中小企业；</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（三）在服务采购项目中，服务由中小企业承接，即提供服务的人员为中小企业依照《中华人民共和国劳动合同法》订立劳动合同的从业人员。</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在货物采购项目中，供应商提供的货物既有中小企业制造货物，也有大型企业制造货物的，不享受本办法规定的中小企业扶持政策。</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以联合体形式参加政府采购活动，联合体各方均为中小企业的，联合体视同中小企业。其中，联合体各方均为小微企业的，联合体视同小微企业。</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2"/>
        <w:tabs>
          <w:tab w:val="left" w:pos="562"/>
          <w:tab w:val="left" w:pos="3372"/>
          <w:tab w:val="left" w:pos="3653"/>
        </w:tabs>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符合下列情形之一的，可不专门面向中小企业预留采购</w:t>
      </w:r>
      <w:r>
        <w:rPr>
          <w:rFonts w:hint="eastAsia" w:ascii="宋体" w:hAnsi="宋体" w:cs="宋体"/>
          <w:color w:val="000000" w:themeColor="text1"/>
          <w14:textFill>
            <w14:solidFill>
              <w14:schemeClr w14:val="tx1"/>
            </w14:solidFill>
          </w14:textFill>
        </w:rPr>
        <w:t>份额：</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（一）法律法规和国家有关政策明确规定优先或者应当面向事业单位、社会组织等非企业主体采购的；</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（二）因确需使用不可替代的专利、专有技术，基础设施限制，或者提供特定公共服务等原因，只能从中小企业之外的供应商处采购的；</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（三）按照本办法规定预留采购份额无法确保充分供应、充分竞争，或者存在可能影响政府采购目标实现的情形；</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（四）框架协议采购项目；</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（五）省级以上人民政府财政部门规定的其他情形。 除上述情形外，其他均为适宜由中小企业提供的情形。</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第七条采购限额标准以上，200万元以下的货物和服务采购项目、400 万元以下的工程采购项目，适宜由中小企业提供的，采购人应当专门面向中小企业采购。</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（一）将采购项目整体或者设置采购包专门面向中小企业采购；</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（二）要求供应商以联合体形式参加采购活动，且联合体中中小企业承担的部分达到一定比例；</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（三）要求获得采购合同的供应商将采购项目中的一定比例分包给一家或者多家中小企业。</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组成联合体或者接受分包合同的中小企业与联合体内 其他企业、分包企业之间不得存在直接控股、管理关系。</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第十二条 采购项目涉及中小企业采购的，采购文件应当明确以下内容：</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（一）预留份额的采购项目或者采购包，明确该项目或相关采购包专门面向中小企业采购，以及相关标的及预算金额；</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（二）要求以联合体形式参加或者合同分包的，明确联合协议或者分包意向协议中中小企业合同金额应当达到的 比例，并作为供应商资格条件；</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（三）非预留份额的采购项目或者采购包，明确有关价格扣除比例或者价格分加分比例；</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（四）规定依据本办法规定享受扶持政策获得政府采购合同的，小微企业不得将合同分包给大中型企业，中型企业不得将合同分包给大型企业；</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（五）采购人认为具备相关条件的，明确对中小企业在资金支付期限、预付款比例等方面的优惠措施；</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（六）明确采购标的对应的中小企业划分标准所属行业；</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（七）法律法规和省级以上人民政府财政部门规定的其他事项。</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第十三条 中标、成交供应商享受本办法规定的中小企业扶持政策的，采购人、采购代理机构应当随中标、成交结果公开中标、成交供应商的《中小企业声明函》。</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适用招标投标法的政府采购工程建设项目，应当在公示中标候选人时公开中标候选人的《中小企业声明函》。</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第十五条 鼓励各地区、各部门在采购活动中允许中小企业引入信用担保手段，为中小企业在投标（响应）保证、履约保证等方面提供专业化服务。鼓励中小企业依法合规通过政府采购合同融资。</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第十六条 政府采购监督检查、投诉处理及政府采购行政处罚中对中小企业的认定，由货物制造商或者工程、服务供应商注册登记所在地的县级以上人民政府中小企业主管部门负责。</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中小企业主管部门应当在收到财政部门或者有关招标 投标行政监督部门关于协助开展中小企业认定函后 10 个工作日内做出书面答复。</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第二十条 供应商按照本办法规定提供声明函内容不实的，属于提供虚假材料谋取中标、成交，依照《中华人民共和国政府采购法》等国家有关规定追究相应责任。</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适用招标投标法的政府采购工程建设项目，投标人按照 本办法规定提供声明函内容不实的，属于弄虚作假骗取中标，依照《中华人民共和国招标投标法》等国家有关规定追究相应责任。</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第二十二条 对外援助项目、国家相关资格或者资质管理制度另有规定的项目，不适用本办法。</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第二十三条 关于视同中小企业的其他主体的政府采购扶持政策，由财政部会同有关部门另行规定。</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第二十四条 省级财政部门可以会同中小企业主管部门根据本办法的规定制定具体实施办法。</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第二十五条 本办法自 2021 年 1 月 1 日起施行。《财政部 工业和信息化部关于印发〈政府采购促进中小企业发展暂行办法〉的通知》（财库﹝2011﹞181 号）同时废止。</w:t>
      </w:r>
    </w:p>
    <w:p>
      <w:pPr>
        <w:pStyle w:val="2"/>
        <w:tabs>
          <w:tab w:val="left" w:pos="562"/>
          <w:tab w:val="left" w:pos="3372"/>
          <w:tab w:val="left" w:pos="3653"/>
        </w:tabs>
        <w:spacing w:before="5"/>
        <w:rPr>
          <w:rFonts w:hint="eastAsia" w:ascii="宋体" w:hAnsi="宋体" w:cs="宋体"/>
          <w:color w:val="000000" w:themeColor="text1"/>
          <w14:textFill>
            <w14:solidFill>
              <w14:schemeClr w14:val="tx1"/>
            </w14:solidFill>
          </w14:textFill>
        </w:rPr>
      </w:pPr>
    </w:p>
    <w:p>
      <w:pPr>
        <w:pStyle w:val="2"/>
        <w:tabs>
          <w:tab w:val="left" w:pos="562"/>
          <w:tab w:val="left" w:pos="3372"/>
          <w:tab w:val="left" w:pos="3653"/>
        </w:tabs>
        <w:ind w:firstLine="480" w:firstLineChars="200"/>
        <w:outlineLvl w:val="0"/>
        <w:rPr>
          <w:rFonts w:hint="eastAsia" w:ascii="宋体" w:hAnsi="宋体" w:cs="宋体"/>
          <w:color w:val="000000" w:themeColor="text1"/>
          <w:kern w:val="0"/>
          <w14:textFill>
            <w14:solidFill>
              <w14:schemeClr w14:val="tx1"/>
            </w14:solidFill>
          </w14:textFill>
        </w:rPr>
      </w:pPr>
      <w:bookmarkStart w:id="21" w:name="_Toc22740"/>
      <w:r>
        <w:rPr>
          <w:rFonts w:hint="eastAsia" w:ascii="宋体" w:hAnsi="宋体" w:cs="宋体"/>
          <w:color w:val="000000" w:themeColor="text1"/>
          <w:kern w:val="0"/>
          <w14:textFill>
            <w14:solidFill>
              <w14:schemeClr w14:val="tx1"/>
            </w14:solidFill>
          </w14:textFill>
        </w:rPr>
        <w:t>附：1.中小企业声明函</w:t>
      </w:r>
      <w:bookmarkEnd w:id="21"/>
    </w:p>
    <w:p>
      <w:pPr>
        <w:pStyle w:val="2"/>
        <w:tabs>
          <w:tab w:val="left" w:pos="562"/>
          <w:tab w:val="left" w:pos="3372"/>
          <w:tab w:val="left" w:pos="3653"/>
        </w:tabs>
        <w:ind w:firstLine="960" w:firstLineChars="4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2.面向中小企业预留项目执行情况公告</w:t>
      </w:r>
    </w:p>
    <w:p>
      <w:pPr>
        <w:pStyle w:val="2"/>
        <w:tabs>
          <w:tab w:val="left" w:pos="562"/>
          <w:tab w:val="left" w:pos="3372"/>
          <w:tab w:val="left" w:pos="3653"/>
        </w:tabs>
        <w:spacing w:before="30"/>
        <w:outlineLvl w:val="0"/>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br w:type="page"/>
      </w:r>
      <w:bookmarkStart w:id="22" w:name="_Toc19930"/>
      <w:r>
        <w:rPr>
          <w:rFonts w:hint="eastAsia" w:ascii="宋体" w:hAnsi="宋体" w:cs="宋体"/>
          <w:b/>
          <w:bCs/>
          <w:color w:val="000000" w:themeColor="text1"/>
          <w14:textFill>
            <w14:solidFill>
              <w14:schemeClr w14:val="tx1"/>
            </w14:solidFill>
          </w14:textFill>
        </w:rPr>
        <w:t>附 1</w:t>
      </w:r>
      <w:bookmarkEnd w:id="22"/>
    </w:p>
    <w:p>
      <w:pPr>
        <w:spacing w:after="319" w:afterLines="10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中小企业声明函（货物）</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pacing w:val="-2"/>
          <w:u w:val="single"/>
          <w14:textFill>
            <w14:solidFill>
              <w14:schemeClr w14:val="tx1"/>
            </w14:solidFill>
          </w14:textFill>
        </w:rPr>
        <w:t>单位名称</w:t>
      </w:r>
      <w:r>
        <w:rPr>
          <w:rFonts w:hint="eastAsia" w:ascii="宋体" w:hAnsi="宋体" w:cs="宋体"/>
          <w:color w:val="000000" w:themeColor="text1"/>
          <w:spacing w:val="-2"/>
          <w14:textFill>
            <w14:solidFill>
              <w14:schemeClr w14:val="tx1"/>
            </w14:solidFill>
          </w14:textFill>
        </w:rPr>
        <w:t>）的（</w:t>
      </w:r>
      <w:r>
        <w:rPr>
          <w:rFonts w:hint="eastAsia" w:ascii="宋体" w:hAnsi="宋体" w:cs="宋体"/>
          <w:color w:val="000000" w:themeColor="text1"/>
          <w:spacing w:val="-2"/>
          <w:u w:val="single"/>
          <w14:textFill>
            <w14:solidFill>
              <w14:schemeClr w14:val="tx1"/>
            </w14:solidFill>
          </w14:textFill>
        </w:rPr>
        <w:t>项目名称</w:t>
      </w:r>
      <w:r>
        <w:rPr>
          <w:rFonts w:hint="eastAsia" w:ascii="宋体" w:hAnsi="宋体" w:cs="宋体"/>
          <w:color w:val="000000" w:themeColor="text1"/>
          <w:spacing w:val="-2"/>
          <w14:textFill>
            <w14:solidFill>
              <w14:schemeClr w14:val="tx1"/>
            </w14:solidFill>
          </w14:textFill>
        </w:rPr>
        <w:t>）采购活动，提供的货物全部由符合政策要求的中小企业制造。相关企业（含联合体中的中小企业、签订分包意向协议的中小企业） 的具体情况如下：</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u w:val="single"/>
          <w14:textFill>
            <w14:solidFill>
              <w14:schemeClr w14:val="tx1"/>
            </w14:solidFill>
          </w14:textFill>
        </w:rPr>
        <w:t>标的名称</w:t>
      </w:r>
      <w:r>
        <w:rPr>
          <w:rFonts w:hint="eastAsia" w:ascii="宋体" w:hAnsi="宋体" w:cs="宋体"/>
          <w:color w:val="000000" w:themeColor="text1"/>
          <w:kern w:val="0"/>
          <w14:textFill>
            <w14:solidFill>
              <w14:schemeClr w14:val="tx1"/>
            </w14:solidFill>
          </w14:textFill>
        </w:rPr>
        <w:t>），属于（</w:t>
      </w:r>
      <w:r>
        <w:rPr>
          <w:rFonts w:hint="eastAsia" w:ascii="宋体" w:hAnsi="宋体" w:cs="宋体"/>
          <w:color w:val="000000" w:themeColor="text1"/>
          <w:kern w:val="0"/>
          <w:u w:val="single"/>
          <w14:textFill>
            <w14:solidFill>
              <w14:schemeClr w14:val="tx1"/>
            </w14:solidFill>
          </w14:textFill>
        </w:rPr>
        <w:t>采购文件中明确的所属行业</w:t>
      </w:r>
      <w:r>
        <w:rPr>
          <w:rFonts w:hint="eastAsia" w:ascii="宋体" w:hAnsi="宋体" w:cs="宋体"/>
          <w:color w:val="000000" w:themeColor="text1"/>
          <w:kern w:val="0"/>
          <w14:textFill>
            <w14:solidFill>
              <w14:schemeClr w14:val="tx1"/>
            </w14:solidFill>
          </w14:textFill>
        </w:rPr>
        <w:t>）；制造商为（</w:t>
      </w:r>
      <w:r>
        <w:rPr>
          <w:rFonts w:hint="eastAsia" w:ascii="宋体" w:hAnsi="宋体" w:cs="宋体"/>
          <w:color w:val="000000" w:themeColor="text1"/>
          <w:kern w:val="0"/>
          <w:u w:val="single"/>
          <w14:textFill>
            <w14:solidFill>
              <w14:schemeClr w14:val="tx1"/>
            </w14:solidFill>
          </w14:textFill>
        </w:rPr>
        <w:t>企业名称</w:t>
      </w:r>
      <w:r>
        <w:rPr>
          <w:rFonts w:hint="eastAsia" w:ascii="宋体" w:hAnsi="宋体" w:cs="宋体"/>
          <w:color w:val="000000" w:themeColor="text1"/>
          <w:kern w:val="0"/>
          <w14:textFill>
            <w14:solidFill>
              <w14:schemeClr w14:val="tx1"/>
            </w14:solidFill>
          </w14:textFill>
        </w:rPr>
        <w:t>），从业人员</w:t>
      </w:r>
      <w:r>
        <w:rPr>
          <w:rFonts w:hint="eastAsia" w:ascii="宋体" w:hAnsi="宋体" w:cs="宋体"/>
          <w:color w:val="000000" w:themeColor="text1"/>
          <w:kern w:val="0"/>
          <w:u w:val="single"/>
          <w14:textFill>
            <w14:solidFill>
              <w14:schemeClr w14:val="tx1"/>
            </w14:solidFill>
          </w14:textFill>
        </w:rPr>
        <w:tab/>
      </w:r>
      <w:r>
        <w:rPr>
          <w:rFonts w:hint="eastAsia" w:ascii="宋体" w:hAnsi="宋体" w:cs="宋体"/>
          <w:color w:val="000000" w:themeColor="text1"/>
          <w:kern w:val="0"/>
          <w14:textFill>
            <w14:solidFill>
              <w14:schemeClr w14:val="tx1"/>
            </w14:solidFill>
          </w14:textFill>
        </w:rPr>
        <w:t xml:space="preserve">人，营业收入为 </w:t>
      </w:r>
      <w:r>
        <w:rPr>
          <w:rFonts w:hint="eastAsia" w:ascii="宋体" w:hAnsi="宋体" w:cs="宋体"/>
          <w:color w:val="000000" w:themeColor="text1"/>
          <w:kern w:val="0"/>
          <w:u w:val="single"/>
          <w14:textFill>
            <w14:solidFill>
              <w14:schemeClr w14:val="tx1"/>
            </w14:solidFill>
          </w14:textFill>
        </w:rPr>
        <w:tab/>
      </w:r>
      <w:r>
        <w:rPr>
          <w:rFonts w:hint="eastAsia" w:ascii="宋体" w:hAnsi="宋体" w:cs="宋体"/>
          <w:color w:val="000000" w:themeColor="text1"/>
          <w:kern w:val="0"/>
          <w14:textFill>
            <w14:solidFill>
              <w14:schemeClr w14:val="tx1"/>
            </w14:solidFill>
          </w14:textFill>
        </w:rPr>
        <w:t>万元，资产总额为</w:t>
      </w:r>
      <w:r>
        <w:rPr>
          <w:rFonts w:hint="eastAsia" w:ascii="宋体" w:hAnsi="宋体" w:cs="宋体"/>
          <w:color w:val="000000" w:themeColor="text1"/>
          <w:kern w:val="0"/>
          <w:u w:val="single"/>
          <w14:textFill>
            <w14:solidFill>
              <w14:schemeClr w14:val="tx1"/>
            </w14:solidFill>
          </w14:textFill>
        </w:rPr>
        <w:tab/>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万元，属于（</w:t>
      </w:r>
      <w:r>
        <w:rPr>
          <w:rFonts w:hint="eastAsia" w:ascii="宋体" w:hAnsi="宋体" w:cs="宋体"/>
          <w:color w:val="000000" w:themeColor="text1"/>
          <w:kern w:val="0"/>
          <w:u w:val="single"/>
          <w14:textFill>
            <w14:solidFill>
              <w14:schemeClr w14:val="tx1"/>
            </w14:solidFill>
          </w14:textFill>
        </w:rPr>
        <w:t>中型企业、小型企业、微型企业</w:t>
      </w:r>
      <w:r>
        <w:rPr>
          <w:rFonts w:hint="eastAsia" w:ascii="宋体" w:hAnsi="宋体" w:cs="宋体"/>
          <w:color w:val="000000" w:themeColor="text1"/>
          <w:kern w:val="0"/>
          <w14:textFill>
            <w14:solidFill>
              <w14:schemeClr w14:val="tx1"/>
            </w14:solidFill>
          </w14:textFill>
        </w:rPr>
        <w:t>）；</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2、（</w:t>
      </w:r>
      <w:r>
        <w:rPr>
          <w:rFonts w:hint="eastAsia" w:ascii="宋体" w:hAnsi="宋体" w:cs="宋体"/>
          <w:color w:val="000000" w:themeColor="text1"/>
          <w:spacing w:val="-2"/>
          <w:u w:val="single"/>
          <w14:textFill>
            <w14:solidFill>
              <w14:schemeClr w14:val="tx1"/>
            </w14:solidFill>
          </w14:textFill>
        </w:rPr>
        <w:t>标的名称</w:t>
      </w:r>
      <w:r>
        <w:rPr>
          <w:rFonts w:hint="eastAsia" w:ascii="宋体" w:hAnsi="宋体" w:cs="宋体"/>
          <w:color w:val="000000" w:themeColor="text1"/>
          <w:spacing w:val="-2"/>
          <w14:textFill>
            <w14:solidFill>
              <w14:schemeClr w14:val="tx1"/>
            </w14:solidFill>
          </w14:textFill>
        </w:rPr>
        <w:t>），属于（</w:t>
      </w:r>
      <w:r>
        <w:rPr>
          <w:rFonts w:hint="eastAsia" w:ascii="宋体" w:hAnsi="宋体" w:cs="宋体"/>
          <w:color w:val="000000" w:themeColor="text1"/>
          <w:spacing w:val="-2"/>
          <w:u w:val="single"/>
          <w14:textFill>
            <w14:solidFill>
              <w14:schemeClr w14:val="tx1"/>
            </w14:solidFill>
          </w14:textFill>
        </w:rPr>
        <w:t>采购文件中明确的所属行业</w:t>
      </w:r>
      <w:r>
        <w:rPr>
          <w:rFonts w:hint="eastAsia" w:ascii="宋体" w:hAnsi="宋体" w:cs="宋体"/>
          <w:color w:val="000000" w:themeColor="text1"/>
          <w:spacing w:val="-2"/>
          <w14:textFill>
            <w14:solidFill>
              <w14:schemeClr w14:val="tx1"/>
            </w14:solidFill>
          </w14:textFill>
        </w:rPr>
        <w:t>）；制造商为（</w:t>
      </w:r>
      <w:r>
        <w:rPr>
          <w:rFonts w:hint="eastAsia" w:ascii="宋体" w:hAnsi="宋体" w:cs="宋体"/>
          <w:color w:val="000000" w:themeColor="text1"/>
          <w:spacing w:val="-2"/>
          <w:u w:val="single"/>
          <w14:textFill>
            <w14:solidFill>
              <w14:schemeClr w14:val="tx1"/>
            </w14:solidFill>
          </w14:textFill>
        </w:rPr>
        <w:t>企业名称</w:t>
      </w:r>
      <w:r>
        <w:rPr>
          <w:rFonts w:hint="eastAsia" w:ascii="宋体" w:hAnsi="宋体" w:cs="宋体"/>
          <w:color w:val="000000" w:themeColor="text1"/>
          <w:spacing w:val="-2"/>
          <w14:textFill>
            <w14:solidFill>
              <w14:schemeClr w14:val="tx1"/>
            </w14:solidFill>
          </w14:textFill>
        </w:rPr>
        <w:t>），从业人员</w:t>
      </w:r>
      <w:r>
        <w:rPr>
          <w:rFonts w:hint="eastAsia" w:ascii="宋体" w:hAnsi="宋体" w:cs="宋体"/>
          <w:color w:val="000000" w:themeColor="text1"/>
          <w:spacing w:val="-2"/>
          <w:u w:val="single"/>
          <w14:textFill>
            <w14:solidFill>
              <w14:schemeClr w14:val="tx1"/>
            </w14:solidFill>
          </w14:textFill>
        </w:rPr>
        <w:t xml:space="preserve">    </w:t>
      </w:r>
      <w:r>
        <w:rPr>
          <w:rFonts w:hint="eastAsia" w:ascii="宋体" w:hAnsi="宋体" w:cs="宋体"/>
          <w:color w:val="000000" w:themeColor="text1"/>
          <w:spacing w:val="-2"/>
          <w14:textFill>
            <w14:solidFill>
              <w14:schemeClr w14:val="tx1"/>
            </w14:solidFill>
          </w14:textFill>
        </w:rPr>
        <w:t>人，营业收入为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万元，资产总额为</w:t>
      </w:r>
      <w:r>
        <w:rPr>
          <w:rFonts w:hint="eastAsia" w:ascii="宋体" w:hAnsi="宋体" w:cs="宋体"/>
          <w:color w:val="000000" w:themeColor="text1"/>
          <w:spacing w:val="-2"/>
          <w:u w:val="single"/>
          <w14:textFill>
            <w14:solidFill>
              <w14:schemeClr w14:val="tx1"/>
            </w14:solidFill>
          </w14:textFill>
        </w:rPr>
        <w:t xml:space="preserve">   </w:t>
      </w:r>
      <w:r>
        <w:rPr>
          <w:rFonts w:hint="eastAsia" w:ascii="宋体" w:hAnsi="宋体" w:cs="宋体"/>
          <w:color w:val="000000" w:themeColor="text1"/>
          <w:spacing w:val="-2"/>
          <w14:textFill>
            <w14:solidFill>
              <w14:schemeClr w14:val="tx1"/>
            </w14:solidFill>
          </w14:textFill>
        </w:rPr>
        <w:t>万元，属于（</w:t>
      </w:r>
      <w:r>
        <w:rPr>
          <w:rFonts w:hint="eastAsia" w:ascii="宋体" w:hAnsi="宋体" w:cs="宋体"/>
          <w:color w:val="000000" w:themeColor="text1"/>
          <w:spacing w:val="-2"/>
          <w:u w:val="single"/>
          <w14:textFill>
            <w14:solidFill>
              <w14:schemeClr w14:val="tx1"/>
            </w14:solidFill>
          </w14:textFill>
        </w:rPr>
        <w:t>中型企业、小型企业、微型企业</w:t>
      </w:r>
      <w:r>
        <w:rPr>
          <w:rFonts w:hint="eastAsia" w:ascii="宋体" w:hAnsi="宋体" w:cs="宋体"/>
          <w:color w:val="000000" w:themeColor="text1"/>
          <w:spacing w:val="-2"/>
          <w14:textFill>
            <w14:solidFill>
              <w14:schemeClr w14:val="tx1"/>
            </w14:solidFill>
          </w14:textFill>
        </w:rPr>
        <w:t>）；</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以上企业，不属于大企业的分支机构，不存在控股股东为大企业的情形，也不存在与大企业的负责人为同一人的情形。</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本企业对上述声明内容的真实性负责。如有虚假，将依法承担相应责任。</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ind w:left="4200" w:leftChars="20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企业名称（盖章）日期：</w:t>
      </w:r>
    </w:p>
    <w:p>
      <w:pPr>
        <w:pStyle w:val="2"/>
        <w:tabs>
          <w:tab w:val="left" w:pos="562"/>
          <w:tab w:val="left" w:pos="3372"/>
          <w:tab w:val="left" w:pos="3653"/>
        </w:tabs>
        <w:jc w:val="center"/>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从业人员、营业收入、资产总额填报上一年度数据，无上一年度数据的新成立企业可不填报。</w:t>
      </w:r>
    </w:p>
    <w:p>
      <w:pPr>
        <w:spacing w:after="319" w:afterLines="10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中小企业声明函（工程、服务）</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pacing w:val="-2"/>
          <w:u w:val="single"/>
          <w14:textFill>
            <w14:solidFill>
              <w14:schemeClr w14:val="tx1"/>
            </w14:solidFill>
          </w14:textFill>
        </w:rPr>
        <w:t>单位名称</w:t>
      </w:r>
      <w:r>
        <w:rPr>
          <w:rFonts w:hint="eastAsia" w:ascii="宋体" w:hAnsi="宋体" w:cs="宋体"/>
          <w:color w:val="000000" w:themeColor="text1"/>
          <w:spacing w:val="-2"/>
          <w14:textFill>
            <w14:solidFill>
              <w14:schemeClr w14:val="tx1"/>
            </w14:solidFill>
          </w14:textFill>
        </w:rPr>
        <w:t>）的（</w:t>
      </w:r>
      <w:r>
        <w:rPr>
          <w:rFonts w:hint="eastAsia" w:ascii="宋体" w:hAnsi="宋体" w:cs="宋体"/>
          <w:color w:val="000000" w:themeColor="text1"/>
          <w:spacing w:val="-2"/>
          <w:u w:val="single"/>
          <w14:textFill>
            <w14:solidFill>
              <w14:schemeClr w14:val="tx1"/>
            </w14:solidFill>
          </w14:textFill>
        </w:rPr>
        <w:t>项目名称</w:t>
      </w:r>
      <w:r>
        <w:rPr>
          <w:rFonts w:hint="eastAsia" w:ascii="宋体" w:hAnsi="宋体" w:cs="宋体"/>
          <w:color w:val="000000" w:themeColor="text1"/>
          <w:spacing w:val="-2"/>
          <w14:textFill>
            <w14:solidFill>
              <w14:schemeClr w14:val="tx1"/>
            </w14:solidFill>
          </w14:textFill>
        </w:rPr>
        <w:t>）采购活动，工程的施工单位全部为符合政策要求的中小企业（或者：服务全部由符合政策要求的中小企业承接）。相关企业（含联合 体中的中小企业、签订分包意向协议的中小企业）的具体情况如下：</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1、（</w:t>
      </w:r>
      <w:r>
        <w:rPr>
          <w:rFonts w:hint="eastAsia" w:ascii="宋体" w:hAnsi="宋体" w:cs="宋体"/>
          <w:color w:val="000000" w:themeColor="text1"/>
          <w:spacing w:val="-2"/>
          <w:u w:val="single"/>
          <w14:textFill>
            <w14:solidFill>
              <w14:schemeClr w14:val="tx1"/>
            </w14:solidFill>
          </w14:textFill>
        </w:rPr>
        <w:t>标的名称</w:t>
      </w:r>
      <w:r>
        <w:rPr>
          <w:rFonts w:hint="eastAsia" w:ascii="宋体" w:hAnsi="宋体" w:cs="宋体"/>
          <w:color w:val="000000" w:themeColor="text1"/>
          <w:spacing w:val="-2"/>
          <w14:textFill>
            <w14:solidFill>
              <w14:schemeClr w14:val="tx1"/>
            </w14:solidFill>
          </w14:textFill>
        </w:rPr>
        <w:t>），属于（</w:t>
      </w:r>
      <w:r>
        <w:rPr>
          <w:rFonts w:hint="eastAsia" w:ascii="宋体" w:hAnsi="宋体" w:cs="宋体"/>
          <w:color w:val="000000" w:themeColor="text1"/>
          <w:spacing w:val="-2"/>
          <w:u w:val="single"/>
          <w14:textFill>
            <w14:solidFill>
              <w14:schemeClr w14:val="tx1"/>
            </w14:solidFill>
          </w14:textFill>
        </w:rPr>
        <w:t>采购文件中明确的所属行业</w:t>
      </w:r>
      <w:r>
        <w:rPr>
          <w:rFonts w:hint="eastAsia" w:ascii="宋体" w:hAnsi="宋体" w:cs="宋体"/>
          <w:color w:val="000000" w:themeColor="text1"/>
          <w:spacing w:val="-2"/>
          <w14:textFill>
            <w14:solidFill>
              <w14:schemeClr w14:val="tx1"/>
            </w14:solidFill>
          </w14:textFill>
        </w:rPr>
        <w:t>）；承建（承接）企业为（</w:t>
      </w:r>
      <w:r>
        <w:rPr>
          <w:rFonts w:hint="eastAsia" w:ascii="宋体" w:hAnsi="宋体" w:cs="宋体"/>
          <w:color w:val="000000" w:themeColor="text1"/>
          <w:spacing w:val="-2"/>
          <w:u w:val="single"/>
          <w14:textFill>
            <w14:solidFill>
              <w14:schemeClr w14:val="tx1"/>
            </w14:solidFill>
          </w14:textFill>
        </w:rPr>
        <w:t>企业名称</w:t>
      </w:r>
      <w:r>
        <w:rPr>
          <w:rFonts w:hint="eastAsia" w:ascii="宋体" w:hAnsi="宋体" w:cs="宋体"/>
          <w:color w:val="000000" w:themeColor="text1"/>
          <w:spacing w:val="-2"/>
          <w14:textFill>
            <w14:solidFill>
              <w14:schemeClr w14:val="tx1"/>
            </w14:solidFill>
          </w14:textFill>
        </w:rPr>
        <w:t>），从业人员</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人，营业收入为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万元，资产总额为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万元，属于（</w:t>
      </w:r>
      <w:r>
        <w:rPr>
          <w:rFonts w:hint="eastAsia" w:ascii="宋体" w:hAnsi="宋体" w:cs="宋体"/>
          <w:color w:val="000000" w:themeColor="text1"/>
          <w:spacing w:val="-2"/>
          <w:u w:val="single"/>
          <w14:textFill>
            <w14:solidFill>
              <w14:schemeClr w14:val="tx1"/>
            </w14:solidFill>
          </w14:textFill>
        </w:rPr>
        <w:t>中型企业、小型企业、微型企业</w:t>
      </w:r>
      <w:r>
        <w:rPr>
          <w:rFonts w:hint="eastAsia" w:ascii="宋体" w:hAnsi="宋体" w:cs="宋体"/>
          <w:color w:val="000000" w:themeColor="text1"/>
          <w:spacing w:val="-2"/>
          <w14:textFill>
            <w14:solidFill>
              <w14:schemeClr w14:val="tx1"/>
            </w14:solidFill>
          </w14:textFill>
        </w:rPr>
        <w:t>）。</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2、（</w:t>
      </w:r>
      <w:r>
        <w:rPr>
          <w:rFonts w:hint="eastAsia" w:ascii="宋体" w:hAnsi="宋体" w:cs="宋体"/>
          <w:color w:val="000000" w:themeColor="text1"/>
          <w:spacing w:val="-2"/>
          <w:u w:val="single"/>
          <w14:textFill>
            <w14:solidFill>
              <w14:schemeClr w14:val="tx1"/>
            </w14:solidFill>
          </w14:textFill>
        </w:rPr>
        <w:t>标的名称</w:t>
      </w:r>
      <w:r>
        <w:rPr>
          <w:rFonts w:hint="eastAsia" w:ascii="宋体" w:hAnsi="宋体" w:cs="宋体"/>
          <w:color w:val="000000" w:themeColor="text1"/>
          <w:spacing w:val="-2"/>
          <w14:textFill>
            <w14:solidFill>
              <w14:schemeClr w14:val="tx1"/>
            </w14:solidFill>
          </w14:textFill>
        </w:rPr>
        <w:t>），属于（</w:t>
      </w:r>
      <w:r>
        <w:rPr>
          <w:rFonts w:hint="eastAsia" w:ascii="宋体" w:hAnsi="宋体" w:cs="宋体"/>
          <w:color w:val="000000" w:themeColor="text1"/>
          <w:spacing w:val="-2"/>
          <w:u w:val="single"/>
          <w14:textFill>
            <w14:solidFill>
              <w14:schemeClr w14:val="tx1"/>
            </w14:solidFill>
          </w14:textFill>
        </w:rPr>
        <w:t>采购文件中明确的所属行业</w:t>
      </w:r>
      <w:r>
        <w:rPr>
          <w:rFonts w:hint="eastAsia" w:ascii="宋体" w:hAnsi="宋体" w:cs="宋体"/>
          <w:color w:val="000000" w:themeColor="text1"/>
          <w:spacing w:val="-2"/>
          <w14:textFill>
            <w14:solidFill>
              <w14:schemeClr w14:val="tx1"/>
            </w14:solidFill>
          </w14:textFill>
        </w:rPr>
        <w:t>） ；承建（承接）企业为（</w:t>
      </w:r>
      <w:r>
        <w:rPr>
          <w:rFonts w:hint="eastAsia" w:ascii="宋体" w:hAnsi="宋体" w:cs="宋体"/>
          <w:color w:val="000000" w:themeColor="text1"/>
          <w:spacing w:val="-2"/>
          <w:u w:val="single"/>
          <w14:textFill>
            <w14:solidFill>
              <w14:schemeClr w14:val="tx1"/>
            </w14:solidFill>
          </w14:textFill>
        </w:rPr>
        <w:t>企业名称</w:t>
      </w:r>
      <w:r>
        <w:rPr>
          <w:rFonts w:hint="eastAsia" w:ascii="宋体" w:hAnsi="宋体" w:cs="宋体"/>
          <w:color w:val="000000" w:themeColor="text1"/>
          <w:spacing w:val="-2"/>
          <w14:textFill>
            <w14:solidFill>
              <w14:schemeClr w14:val="tx1"/>
            </w14:solidFill>
          </w14:textFill>
        </w:rPr>
        <w:t>），从业人员</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人，营业收入为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万元，资产总额为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万元，属于（</w:t>
      </w:r>
      <w:r>
        <w:rPr>
          <w:rFonts w:hint="eastAsia" w:ascii="宋体" w:hAnsi="宋体" w:cs="宋体"/>
          <w:color w:val="000000" w:themeColor="text1"/>
          <w:spacing w:val="-2"/>
          <w:u w:val="single"/>
          <w14:textFill>
            <w14:solidFill>
              <w14:schemeClr w14:val="tx1"/>
            </w14:solidFill>
          </w14:textFill>
        </w:rPr>
        <w:t>中型企业、小型企业、微型企业</w:t>
      </w:r>
      <w:r>
        <w:rPr>
          <w:rFonts w:hint="eastAsia" w:ascii="宋体" w:hAnsi="宋体" w:cs="宋体"/>
          <w:color w:val="000000" w:themeColor="text1"/>
          <w:spacing w:val="-2"/>
          <w14:textFill>
            <w14:solidFill>
              <w14:schemeClr w14:val="tx1"/>
            </w14:solidFill>
          </w14:textFill>
        </w:rPr>
        <w:t>）；</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以上企业，不属于大企业的分支机构，不存在控股股东为大企业的情形，也不存在与大企业的负责人为同一人的情形。</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本企业对上述声明内容的真实性负责。如有虚假，将依法承担相应责任。</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ind w:left="4200" w:leftChars="2000"/>
        <w:rPr>
          <w:rFonts w:hint="eastAsia" w:ascii="宋体" w:hAnsi="宋体" w:cs="宋体"/>
          <w:color w:val="000000" w:themeColor="text1"/>
          <w:spacing w:val="-2"/>
          <w14:textFill>
            <w14:solidFill>
              <w14:schemeClr w14:val="tx1"/>
            </w14:solidFill>
          </w14:textFill>
        </w:rPr>
      </w:pPr>
    </w:p>
    <w:p>
      <w:pPr>
        <w:pStyle w:val="2"/>
        <w:tabs>
          <w:tab w:val="left" w:pos="562"/>
          <w:tab w:val="left" w:pos="3372"/>
          <w:tab w:val="left" w:pos="3653"/>
        </w:tabs>
        <w:ind w:left="4200" w:leftChars="20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企业名称（盖章）日期：</w:t>
      </w:r>
    </w:p>
    <w:p>
      <w:pPr>
        <w:pStyle w:val="2"/>
        <w:tabs>
          <w:tab w:val="left" w:pos="562"/>
          <w:tab w:val="left" w:pos="3372"/>
          <w:tab w:val="left" w:pos="3653"/>
        </w:tabs>
        <w:rPr>
          <w:rFonts w:hint="eastAsia" w:ascii="宋体" w:hAnsi="宋体" w:cs="宋体"/>
          <w:color w:val="000000" w:themeColor="text1"/>
          <w:spacing w:val="-2"/>
          <w14:textFill>
            <w14:solidFill>
              <w14:schemeClr w14:val="tx1"/>
            </w14:solidFill>
          </w14:textFill>
        </w:rPr>
      </w:pPr>
    </w:p>
    <w:p>
      <w:pPr>
        <w:pStyle w:val="2"/>
        <w:tabs>
          <w:tab w:val="left" w:pos="562"/>
          <w:tab w:val="left" w:pos="3372"/>
          <w:tab w:val="left" w:pos="3653"/>
        </w:tabs>
        <w:spacing w:before="3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从业人员、营业收入、资产总额填报上一年度数据，无上一年度数据的新成立企业可不填报。</w:t>
      </w:r>
      <w:r>
        <w:rPr>
          <w:rFonts w:hint="eastAsia" w:ascii="宋体" w:hAnsi="宋体" w:cs="宋体"/>
          <w:color w:val="000000" w:themeColor="text1"/>
          <w14:textFill>
            <w14:solidFill>
              <w14:schemeClr w14:val="tx1"/>
            </w14:solidFill>
          </w14:textFill>
        </w:rPr>
        <w:br w:type="page"/>
      </w:r>
      <w:r>
        <w:rPr>
          <w:rFonts w:hint="eastAsia" w:ascii="宋体" w:hAnsi="宋体" w:cs="宋体"/>
          <w:b/>
          <w:bCs/>
          <w:color w:val="000000" w:themeColor="text1"/>
          <w14:textFill>
            <w14:solidFill>
              <w14:schemeClr w14:val="tx1"/>
            </w14:solidFill>
          </w14:textFill>
        </w:rPr>
        <w:t>附 2</w:t>
      </w:r>
    </w:p>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pacing w:val="-3"/>
          <w:sz w:val="24"/>
          <w:u w:val="single" w:color="000000"/>
          <w14:textFill>
            <w14:solidFill>
              <w14:schemeClr w14:val="tx1"/>
            </w14:solidFill>
          </w14:textFill>
        </w:rPr>
        <w:t>（单位名称）</w:t>
      </w:r>
      <w:r>
        <w:rPr>
          <w:rFonts w:hint="eastAsia" w:ascii="宋体" w:hAnsi="宋体" w:cs="宋体"/>
          <w:color w:val="000000" w:themeColor="text1"/>
          <w:spacing w:val="-29"/>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年面向中小企业预留项目执行情况公告</w:t>
      </w:r>
    </w:p>
    <w:p>
      <w:pPr>
        <w:pStyle w:val="2"/>
        <w:tabs>
          <w:tab w:val="left" w:pos="562"/>
          <w:tab w:val="left" w:pos="3372"/>
          <w:tab w:val="left" w:pos="3653"/>
        </w:tabs>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根据《政府采购促进中小企业发展管理办法》（财库﹝2020﹞46</w:t>
      </w:r>
      <w:r>
        <w:rPr>
          <w:rFonts w:hint="eastAsia" w:ascii="宋体" w:hAnsi="宋体" w:cs="宋体"/>
          <w:color w:val="000000" w:themeColor="text1"/>
          <w:spacing w:val="-47"/>
          <w14:textFill>
            <w14:solidFill>
              <w14:schemeClr w14:val="tx1"/>
            </w14:solidFill>
          </w14:textFill>
        </w:rPr>
        <w:t xml:space="preserve"> 号</w:t>
      </w:r>
      <w:r>
        <w:rPr>
          <w:rFonts w:hint="eastAsia" w:ascii="宋体" w:hAnsi="宋体" w:cs="宋体"/>
          <w:color w:val="000000" w:themeColor="text1"/>
          <w:spacing w:val="-22"/>
          <w14:textFill>
            <w14:solidFill>
              <w14:schemeClr w14:val="tx1"/>
            </w14:solidFill>
          </w14:textFill>
        </w:rPr>
        <w:t>）</w:t>
      </w:r>
      <w:r>
        <w:rPr>
          <w:rFonts w:hint="eastAsia" w:ascii="宋体" w:hAnsi="宋体" w:cs="宋体"/>
          <w:color w:val="000000" w:themeColor="text1"/>
          <w:spacing w:val="-7"/>
          <w14:textFill>
            <w14:solidFill>
              <w14:schemeClr w14:val="tx1"/>
            </w14:solidFill>
          </w14:textFill>
        </w:rPr>
        <w:t>要求，现对本部门</w:t>
      </w:r>
      <w:r>
        <w:rPr>
          <w:rFonts w:hint="eastAsia" w:ascii="宋体" w:hAnsi="宋体" w:cs="宋体"/>
          <w:color w:val="000000" w:themeColor="text1"/>
          <w:spacing w:val="-3"/>
          <w14:textFill>
            <w14:solidFill>
              <w14:schemeClr w14:val="tx1"/>
            </w14:solidFill>
          </w14:textFill>
        </w:rPr>
        <w:t>（</w:t>
      </w:r>
      <w:r>
        <w:rPr>
          <w:rFonts w:hint="eastAsia" w:ascii="宋体" w:hAnsi="宋体" w:cs="宋体"/>
          <w:color w:val="000000" w:themeColor="text1"/>
          <w14:textFill>
            <w14:solidFill>
              <w14:schemeClr w14:val="tx1"/>
            </w14:solidFill>
          </w14:textFill>
        </w:rPr>
        <w:t>单位</w:t>
      </w:r>
      <w:r>
        <w:rPr>
          <w:rFonts w:hint="eastAsia" w:ascii="宋体" w:hAnsi="宋体" w:cs="宋体"/>
          <w:color w:val="000000" w:themeColor="text1"/>
          <w:spacing w:val="-7"/>
          <w14:textFill>
            <w14:solidFill>
              <w14:schemeClr w14:val="tx1"/>
            </w14:solidFill>
          </w14:textFill>
        </w:rPr>
        <w:t>）</w:t>
      </w:r>
      <w:r>
        <w:rPr>
          <w:rFonts w:hint="eastAsia" w:ascii="宋体" w:hAnsi="宋体" w:cs="宋体"/>
          <w:color w:val="000000" w:themeColor="text1"/>
          <w:spacing w:val="-4"/>
          <w14:textFill>
            <w14:solidFill>
              <w14:schemeClr w14:val="tx1"/>
            </w14:solidFill>
          </w14:textFill>
        </w:rPr>
        <w:t>××年面向中小企业预留项目执行情况公告如下：</w:t>
      </w:r>
    </w:p>
    <w:p>
      <w:pPr>
        <w:pStyle w:val="2"/>
        <w:tabs>
          <w:tab w:val="left" w:pos="562"/>
          <w:tab w:val="left" w:pos="3372"/>
          <w:tab w:val="left" w:pos="3653"/>
        </w:tabs>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本部门（单位）××年预留项目面向中小企业采购共计××万元，其中，面向小微企业采购××万元，占××%。</w:t>
      </w:r>
    </w:p>
    <w:p>
      <w:pPr>
        <w:pStyle w:val="2"/>
        <w:tabs>
          <w:tab w:val="left" w:pos="562"/>
          <w:tab w:val="left" w:pos="3372"/>
          <w:tab w:val="left" w:pos="3653"/>
        </w:tabs>
        <w:jc w:val="center"/>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面向中小企业预留项目明细</w:t>
      </w:r>
    </w:p>
    <w:tbl>
      <w:tblPr>
        <w:tblStyle w:val="16"/>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27"/>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序号</w:t>
            </w:r>
          </w:p>
        </w:tc>
        <w:tc>
          <w:tcPr>
            <w:tcW w:w="1866" w:type="dxa"/>
            <w:noWrap w:val="0"/>
            <w:vAlign w:val="center"/>
          </w:tcPr>
          <w:p>
            <w:pPr>
              <w:pStyle w:val="27"/>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项目名称</w:t>
            </w:r>
          </w:p>
        </w:tc>
        <w:tc>
          <w:tcPr>
            <w:tcW w:w="2010" w:type="dxa"/>
            <w:noWrap w:val="0"/>
            <w:vAlign w:val="center"/>
          </w:tcPr>
          <w:p>
            <w:pPr>
              <w:pStyle w:val="27"/>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预留选项</w:t>
            </w:r>
          </w:p>
        </w:tc>
        <w:tc>
          <w:tcPr>
            <w:tcW w:w="2296" w:type="dxa"/>
            <w:noWrap w:val="0"/>
            <w:vAlign w:val="center"/>
          </w:tcPr>
          <w:p>
            <w:pPr>
              <w:pStyle w:val="27"/>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面向中小企业采购金额</w:t>
            </w:r>
          </w:p>
        </w:tc>
        <w:tc>
          <w:tcPr>
            <w:tcW w:w="1784" w:type="dxa"/>
            <w:noWrap w:val="0"/>
            <w:vAlign w:val="center"/>
          </w:tcPr>
          <w:p>
            <w:pPr>
              <w:pStyle w:val="27"/>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noWrap w:val="0"/>
            <w:vAlign w:val="center"/>
          </w:tcPr>
          <w:p>
            <w:pPr>
              <w:pStyle w:val="27"/>
              <w:jc w:val="center"/>
              <w:rPr>
                <w:rFonts w:hint="eastAsia"/>
                <w:color w:val="000000" w:themeColor="text1"/>
                <w:sz w:val="24"/>
                <w:szCs w:val="24"/>
                <w14:textFill>
                  <w14:solidFill>
                    <w14:schemeClr w14:val="tx1"/>
                  </w14:solidFill>
                </w14:textFill>
              </w:rPr>
            </w:pPr>
          </w:p>
        </w:tc>
        <w:tc>
          <w:tcPr>
            <w:tcW w:w="1866" w:type="dxa"/>
            <w:tcBorders>
              <w:bottom w:val="nil"/>
            </w:tcBorders>
            <w:noWrap w:val="0"/>
            <w:vAlign w:val="center"/>
          </w:tcPr>
          <w:p>
            <w:pPr>
              <w:pStyle w:val="27"/>
              <w:jc w:val="center"/>
              <w:rPr>
                <w:rFonts w:hint="eastAsia"/>
                <w:color w:val="000000" w:themeColor="text1"/>
                <w:sz w:val="24"/>
                <w:szCs w:val="24"/>
                <w14:textFill>
                  <w14:solidFill>
                    <w14:schemeClr w14:val="tx1"/>
                  </w14:solidFill>
                </w14:textFill>
              </w:rPr>
            </w:pPr>
          </w:p>
        </w:tc>
        <w:tc>
          <w:tcPr>
            <w:tcW w:w="2010" w:type="dxa"/>
            <w:tcBorders>
              <w:bottom w:val="nil"/>
            </w:tcBorders>
            <w:noWrap w:val="0"/>
            <w:vAlign w:val="center"/>
          </w:tcPr>
          <w:p>
            <w:pPr>
              <w:pStyle w:val="2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（填写“采购项</w:t>
            </w:r>
          </w:p>
        </w:tc>
        <w:tc>
          <w:tcPr>
            <w:tcW w:w="2296" w:type="dxa"/>
            <w:tcBorders>
              <w:bottom w:val="nil"/>
            </w:tcBorders>
            <w:noWrap w:val="0"/>
            <w:vAlign w:val="center"/>
          </w:tcPr>
          <w:p>
            <w:pPr>
              <w:pStyle w:val="27"/>
              <w:jc w:val="center"/>
              <w:rPr>
                <w:rFonts w:hint="eastAsia"/>
                <w:color w:val="000000" w:themeColor="text1"/>
                <w:sz w:val="24"/>
                <w:szCs w:val="24"/>
                <w14:textFill>
                  <w14:solidFill>
                    <w14:schemeClr w14:val="tx1"/>
                  </w14:solidFill>
                </w14:textFill>
              </w:rPr>
            </w:pPr>
          </w:p>
        </w:tc>
        <w:tc>
          <w:tcPr>
            <w:tcW w:w="1784" w:type="dxa"/>
            <w:vMerge w:val="restart"/>
            <w:noWrap w:val="0"/>
            <w:vAlign w:val="center"/>
          </w:tcPr>
          <w:p>
            <w:pPr>
              <w:pStyle w:val="27"/>
              <w:jc w:val="center"/>
              <w:rPr>
                <w:rFonts w:hint="eastAsia"/>
                <w:color w:val="000000" w:themeColor="text1"/>
                <w:sz w:val="24"/>
                <w:szCs w:val="24"/>
                <w14:textFill>
                  <w14:solidFill>
                    <w14:schemeClr w14:val="tx1"/>
                  </w14:solidFill>
                </w14:textFill>
              </w:rPr>
            </w:pPr>
          </w:p>
          <w:p>
            <w:pPr>
              <w:pStyle w:val="27"/>
              <w:jc w:val="center"/>
              <w:rPr>
                <w:rFonts w:hint="eastAsia"/>
                <w:color w:val="000000" w:themeColor="text1"/>
                <w:sz w:val="24"/>
                <w:szCs w:val="24"/>
                <w14:textFill>
                  <w14:solidFill>
                    <w14:schemeClr w14:val="tx1"/>
                  </w14:solidFill>
                </w14:textFill>
              </w:rPr>
            </w:pPr>
          </w:p>
          <w:p>
            <w:pPr>
              <w:pStyle w:val="2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27"/>
              <w:jc w:val="center"/>
              <w:rPr>
                <w:rFonts w:hint="eastAsia"/>
                <w:color w:val="000000" w:themeColor="text1"/>
                <w:sz w:val="24"/>
                <w:szCs w:val="24"/>
                <w14:textFill>
                  <w14:solidFill>
                    <w14:schemeClr w14:val="tx1"/>
                  </w14:solidFill>
                </w14:textFill>
              </w:rPr>
            </w:pPr>
          </w:p>
        </w:tc>
        <w:tc>
          <w:tcPr>
            <w:tcW w:w="2010" w:type="dxa"/>
            <w:tcBorders>
              <w:top w:val="nil"/>
              <w:bottom w:val="nil"/>
            </w:tcBorders>
            <w:noWrap w:val="0"/>
            <w:vAlign w:val="center"/>
          </w:tcPr>
          <w:p>
            <w:pPr>
              <w:pStyle w:val="2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目整体预留”、</w:t>
            </w:r>
          </w:p>
        </w:tc>
        <w:tc>
          <w:tcPr>
            <w:tcW w:w="2296" w:type="dxa"/>
            <w:tcBorders>
              <w:top w:val="nil"/>
              <w:bottom w:val="nil"/>
            </w:tcBorders>
            <w:noWrap w:val="0"/>
            <w:vAlign w:val="center"/>
          </w:tcPr>
          <w:p>
            <w:pPr>
              <w:pStyle w:val="27"/>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27"/>
              <w:jc w:val="center"/>
              <w:rPr>
                <w:rFonts w:hint="eastAsia"/>
                <w:color w:val="000000" w:themeColor="text1"/>
                <w:sz w:val="24"/>
                <w:szCs w:val="24"/>
                <w14:textFill>
                  <w14:solidFill>
                    <w14:schemeClr w14:val="tx1"/>
                  </w14:solidFill>
                </w14:textFill>
              </w:rPr>
            </w:pPr>
          </w:p>
        </w:tc>
        <w:tc>
          <w:tcPr>
            <w:tcW w:w="2010" w:type="dxa"/>
            <w:tcBorders>
              <w:top w:val="nil"/>
              <w:bottom w:val="nil"/>
            </w:tcBorders>
            <w:noWrap w:val="0"/>
            <w:vAlign w:val="center"/>
          </w:tcPr>
          <w:p>
            <w:pPr>
              <w:pStyle w:val="2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“设置专门采购</w:t>
            </w:r>
          </w:p>
        </w:tc>
        <w:tc>
          <w:tcPr>
            <w:tcW w:w="2296" w:type="dxa"/>
            <w:tcBorders>
              <w:top w:val="nil"/>
              <w:bottom w:val="nil"/>
            </w:tcBorders>
            <w:noWrap w:val="0"/>
            <w:vAlign w:val="center"/>
          </w:tcPr>
          <w:p>
            <w:pPr>
              <w:pStyle w:val="27"/>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2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（填写集中采</w:t>
            </w:r>
          </w:p>
        </w:tc>
        <w:tc>
          <w:tcPr>
            <w:tcW w:w="2010" w:type="dxa"/>
            <w:tcBorders>
              <w:top w:val="nil"/>
              <w:bottom w:val="nil"/>
            </w:tcBorders>
            <w:noWrap w:val="0"/>
            <w:vAlign w:val="center"/>
          </w:tcPr>
          <w:p>
            <w:pPr>
              <w:pStyle w:val="2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包”、“要求以</w:t>
            </w:r>
          </w:p>
        </w:tc>
        <w:tc>
          <w:tcPr>
            <w:tcW w:w="2296" w:type="dxa"/>
            <w:tcBorders>
              <w:top w:val="nil"/>
              <w:bottom w:val="nil"/>
            </w:tcBorders>
            <w:noWrap w:val="0"/>
            <w:vAlign w:val="center"/>
          </w:tcPr>
          <w:p>
            <w:pPr>
              <w:pStyle w:val="27"/>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2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购目录以内或</w:t>
            </w:r>
          </w:p>
        </w:tc>
        <w:tc>
          <w:tcPr>
            <w:tcW w:w="2010" w:type="dxa"/>
            <w:tcBorders>
              <w:top w:val="nil"/>
              <w:bottom w:val="nil"/>
            </w:tcBorders>
            <w:noWrap w:val="0"/>
            <w:vAlign w:val="center"/>
          </w:tcPr>
          <w:p>
            <w:pPr>
              <w:pStyle w:val="2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联合体形式参</w:t>
            </w:r>
          </w:p>
        </w:tc>
        <w:tc>
          <w:tcPr>
            <w:tcW w:w="2296" w:type="dxa"/>
            <w:tcBorders>
              <w:top w:val="nil"/>
              <w:bottom w:val="nil"/>
            </w:tcBorders>
            <w:noWrap w:val="0"/>
            <w:vAlign w:val="center"/>
          </w:tcPr>
          <w:p>
            <w:pPr>
              <w:pStyle w:val="2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（精确到万元）</w:t>
            </w: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2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者采购限额标</w:t>
            </w:r>
          </w:p>
        </w:tc>
        <w:tc>
          <w:tcPr>
            <w:tcW w:w="2010" w:type="dxa"/>
            <w:tcBorders>
              <w:top w:val="nil"/>
              <w:bottom w:val="nil"/>
            </w:tcBorders>
            <w:noWrap w:val="0"/>
            <w:vAlign w:val="center"/>
          </w:tcPr>
          <w:p>
            <w:pPr>
              <w:pStyle w:val="2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加”或者“要求</w:t>
            </w:r>
          </w:p>
        </w:tc>
        <w:tc>
          <w:tcPr>
            <w:tcW w:w="2296" w:type="dxa"/>
            <w:tcBorders>
              <w:top w:val="nil"/>
              <w:bottom w:val="nil"/>
            </w:tcBorders>
            <w:noWrap w:val="0"/>
            <w:vAlign w:val="center"/>
          </w:tcPr>
          <w:p>
            <w:pPr>
              <w:pStyle w:val="27"/>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2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准以上的采购项目</w:t>
            </w:r>
          </w:p>
        </w:tc>
        <w:tc>
          <w:tcPr>
            <w:tcW w:w="2010" w:type="dxa"/>
            <w:tcBorders>
              <w:top w:val="nil"/>
              <w:bottom w:val="nil"/>
            </w:tcBorders>
            <w:noWrap w:val="0"/>
            <w:vAlign w:val="center"/>
          </w:tcPr>
          <w:p>
            <w:pPr>
              <w:pStyle w:val="2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合同分包”，除</w:t>
            </w:r>
          </w:p>
        </w:tc>
        <w:tc>
          <w:tcPr>
            <w:tcW w:w="2296" w:type="dxa"/>
            <w:tcBorders>
              <w:top w:val="nil"/>
              <w:bottom w:val="nil"/>
            </w:tcBorders>
            <w:noWrap w:val="0"/>
            <w:vAlign w:val="center"/>
          </w:tcPr>
          <w:p>
            <w:pPr>
              <w:pStyle w:val="27"/>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27"/>
              <w:jc w:val="center"/>
              <w:rPr>
                <w:rFonts w:hint="eastAsia"/>
                <w:color w:val="000000" w:themeColor="text1"/>
                <w:sz w:val="24"/>
                <w:szCs w:val="24"/>
                <w14:textFill>
                  <w14:solidFill>
                    <w14:schemeClr w14:val="tx1"/>
                  </w14:solidFill>
                </w14:textFill>
              </w:rPr>
            </w:pPr>
          </w:p>
        </w:tc>
        <w:tc>
          <w:tcPr>
            <w:tcW w:w="2010" w:type="dxa"/>
            <w:tcBorders>
              <w:top w:val="nil"/>
              <w:bottom w:val="nil"/>
            </w:tcBorders>
            <w:noWrap w:val="0"/>
            <w:vAlign w:val="center"/>
          </w:tcPr>
          <w:p>
            <w:pPr>
              <w:pStyle w:val="2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“采购项目全部</w:t>
            </w:r>
          </w:p>
        </w:tc>
        <w:tc>
          <w:tcPr>
            <w:tcW w:w="2296" w:type="dxa"/>
            <w:tcBorders>
              <w:top w:val="nil"/>
              <w:bottom w:val="nil"/>
            </w:tcBorders>
            <w:noWrap w:val="0"/>
            <w:vAlign w:val="center"/>
          </w:tcPr>
          <w:p>
            <w:pPr>
              <w:pStyle w:val="27"/>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27"/>
              <w:jc w:val="center"/>
              <w:rPr>
                <w:rFonts w:hint="eastAsia"/>
                <w:color w:val="000000" w:themeColor="text1"/>
                <w:sz w:val="24"/>
                <w:szCs w:val="24"/>
                <w14:textFill>
                  <w14:solidFill>
                    <w14:schemeClr w14:val="tx1"/>
                  </w14:solidFill>
                </w14:textFill>
              </w:rPr>
            </w:pPr>
          </w:p>
        </w:tc>
        <w:tc>
          <w:tcPr>
            <w:tcW w:w="2010" w:type="dxa"/>
            <w:tcBorders>
              <w:top w:val="nil"/>
              <w:bottom w:val="nil"/>
            </w:tcBorders>
            <w:noWrap w:val="0"/>
            <w:vAlign w:val="center"/>
          </w:tcPr>
          <w:p>
            <w:pPr>
              <w:pStyle w:val="2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预留”外，还应</w:t>
            </w:r>
          </w:p>
        </w:tc>
        <w:tc>
          <w:tcPr>
            <w:tcW w:w="2296" w:type="dxa"/>
            <w:tcBorders>
              <w:top w:val="nil"/>
              <w:bottom w:val="nil"/>
            </w:tcBorders>
            <w:noWrap w:val="0"/>
            <w:vAlign w:val="center"/>
          </w:tcPr>
          <w:p>
            <w:pPr>
              <w:pStyle w:val="27"/>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27"/>
              <w:jc w:val="center"/>
              <w:rPr>
                <w:rFonts w:hint="eastAsia"/>
                <w:color w:val="000000" w:themeColor="text1"/>
                <w:sz w:val="24"/>
                <w:szCs w:val="24"/>
                <w14:textFill>
                  <w14:solidFill>
                    <w14:schemeClr w14:val="tx1"/>
                  </w14:solidFill>
                </w14:textFill>
              </w:rPr>
            </w:pPr>
          </w:p>
        </w:tc>
        <w:tc>
          <w:tcPr>
            <w:tcW w:w="2010" w:type="dxa"/>
            <w:tcBorders>
              <w:top w:val="nil"/>
              <w:bottom w:val="nil"/>
            </w:tcBorders>
            <w:noWrap w:val="0"/>
            <w:vAlign w:val="center"/>
          </w:tcPr>
          <w:p>
            <w:pPr>
              <w:pStyle w:val="2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当填写预留给中</w:t>
            </w:r>
          </w:p>
        </w:tc>
        <w:tc>
          <w:tcPr>
            <w:tcW w:w="2296" w:type="dxa"/>
            <w:tcBorders>
              <w:top w:val="nil"/>
              <w:bottom w:val="nil"/>
            </w:tcBorders>
            <w:noWrap w:val="0"/>
            <w:vAlign w:val="center"/>
          </w:tcPr>
          <w:p>
            <w:pPr>
              <w:pStyle w:val="27"/>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tcBorders>
            <w:noWrap w:val="0"/>
            <w:vAlign w:val="center"/>
          </w:tcPr>
          <w:p>
            <w:pPr>
              <w:pStyle w:val="27"/>
              <w:jc w:val="center"/>
              <w:rPr>
                <w:rFonts w:hint="eastAsia"/>
                <w:color w:val="000000" w:themeColor="text1"/>
                <w:sz w:val="24"/>
                <w:szCs w:val="24"/>
                <w14:textFill>
                  <w14:solidFill>
                    <w14:schemeClr w14:val="tx1"/>
                  </w14:solidFill>
                </w14:textFill>
              </w:rPr>
            </w:pPr>
          </w:p>
        </w:tc>
        <w:tc>
          <w:tcPr>
            <w:tcW w:w="2010" w:type="dxa"/>
            <w:tcBorders>
              <w:top w:val="nil"/>
            </w:tcBorders>
            <w:noWrap w:val="0"/>
            <w:vAlign w:val="center"/>
          </w:tcPr>
          <w:p>
            <w:pPr>
              <w:pStyle w:val="2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小企业的比例）</w:t>
            </w:r>
          </w:p>
        </w:tc>
        <w:tc>
          <w:tcPr>
            <w:tcW w:w="2296" w:type="dxa"/>
            <w:tcBorders>
              <w:top w:val="nil"/>
            </w:tcBorders>
            <w:noWrap w:val="0"/>
            <w:vAlign w:val="center"/>
          </w:tcPr>
          <w:p>
            <w:pPr>
              <w:pStyle w:val="27"/>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2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866" w:type="dxa"/>
            <w:noWrap w:val="0"/>
            <w:vAlign w:val="center"/>
          </w:tcPr>
          <w:p>
            <w:pPr>
              <w:pStyle w:val="2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2010" w:type="dxa"/>
            <w:noWrap w:val="0"/>
            <w:vAlign w:val="center"/>
          </w:tcPr>
          <w:p>
            <w:pPr>
              <w:pStyle w:val="2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2296" w:type="dxa"/>
            <w:noWrap w:val="0"/>
            <w:vAlign w:val="center"/>
          </w:tcPr>
          <w:p>
            <w:pPr>
              <w:pStyle w:val="2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784" w:type="dxa"/>
            <w:noWrap w:val="0"/>
            <w:vAlign w:val="center"/>
          </w:tcPr>
          <w:p>
            <w:pPr>
              <w:pStyle w:val="2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r>
    </w:tbl>
    <w:p>
      <w:pPr>
        <w:pStyle w:val="2"/>
        <w:tabs>
          <w:tab w:val="left" w:pos="562"/>
          <w:tab w:val="left" w:pos="3372"/>
          <w:tab w:val="left" w:pos="3653"/>
        </w:tabs>
        <w:spacing w:before="128"/>
        <w:ind w:left="4220" w:right="1843"/>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部门（单位）名称： 日期：</w:t>
      </w:r>
    </w:p>
    <w:p>
      <w:pPr>
        <w:pStyle w:val="2"/>
        <w:tabs>
          <w:tab w:val="left" w:pos="562"/>
          <w:tab w:val="left" w:pos="3372"/>
          <w:tab w:val="left" w:pos="3653"/>
        </w:tabs>
        <w:rPr>
          <w:rFonts w:hint="eastAsia" w:ascii="宋体" w:hAnsi="宋体" w:cs="宋体"/>
          <w:color w:val="000000" w:themeColor="text1"/>
          <w14:textFill>
            <w14:solidFill>
              <w14:schemeClr w14:val="tx1"/>
            </w14:solidFill>
          </w14:textFill>
        </w:rPr>
      </w:pPr>
    </w:p>
    <w:p>
      <w:pPr>
        <w:pStyle w:val="15"/>
        <w:jc w:val="both"/>
        <w:outlineLvl w:val="9"/>
        <w:rPr>
          <w:rFonts w:hint="eastAsia" w:ascii="宋体" w:hAnsi="宋体" w:eastAsia="宋体" w:cs="宋体"/>
          <w:color w:val="000000" w:themeColor="text1"/>
          <w:sz w:val="24"/>
          <w:szCs w:val="24"/>
          <w14:textFill>
            <w14:solidFill>
              <w14:schemeClr w14:val="tx1"/>
            </w14:solidFill>
          </w14:textFill>
        </w:rPr>
      </w:pPr>
    </w:p>
    <w:p>
      <w:pPr>
        <w:tabs>
          <w:tab w:val="left" w:pos="360"/>
        </w:tabs>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2、工业和信息化部、国家统计局、国家发展和改革委员会、财政部《关于印发〈中小企业划型标准规定〉的通知》（工信部联企〔2011〕300 号）</w:t>
      </w:r>
    </w:p>
    <w:p>
      <w:pPr>
        <w:pStyle w:val="2"/>
        <w:tabs>
          <w:tab w:val="left" w:pos="562"/>
          <w:tab w:val="left" w:pos="3372"/>
          <w:tab w:val="left" w:pos="3653"/>
        </w:tabs>
        <w:rPr>
          <w:rFonts w:hint="eastAsia" w:ascii="宋体" w:hAnsi="宋体" w:cs="宋体"/>
          <w:color w:val="000000" w:themeColor="text1"/>
          <w14:textFill>
            <w14:solidFill>
              <w14:schemeClr w14:val="tx1"/>
            </w14:solidFill>
          </w14:textFill>
        </w:rPr>
      </w:pPr>
    </w:p>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关于印发中小企业划型标准规定的通知</w:t>
      </w:r>
    </w:p>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工信部联企业〔2011〕300号</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各省、自治区、直辖市人民政府，国务院各部委、各直属机构及有关单位：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工业和信息化部 国家统计局</w:t>
      </w:r>
    </w:p>
    <w:p>
      <w:pPr>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国家发展和改革委员会 财政部</w:t>
      </w:r>
    </w:p>
    <w:p>
      <w:pPr>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二○一一年六月十八日</w:t>
      </w:r>
    </w:p>
    <w:p>
      <w:pPr>
        <w:ind w:firstLine="480" w:firstLineChars="200"/>
        <w:rPr>
          <w:rFonts w:hint="eastAsia" w:ascii="宋体" w:hAnsi="宋体" w:cs="宋体"/>
          <w:color w:val="000000" w:themeColor="text1"/>
          <w:sz w:val="24"/>
          <w14:textFill>
            <w14:solidFill>
              <w14:schemeClr w14:val="tx1"/>
            </w14:solidFill>
          </w14:textFill>
        </w:rPr>
      </w:pPr>
    </w:p>
    <w:p>
      <w:pPr>
        <w:ind w:firstLine="480" w:firstLineChars="200"/>
        <w:rPr>
          <w:rFonts w:hint="eastAsia" w:ascii="宋体" w:hAnsi="宋体" w:cs="宋体"/>
          <w:color w:val="000000" w:themeColor="text1"/>
          <w:sz w:val="24"/>
          <w14:textFill>
            <w14:solidFill>
              <w14:schemeClr w14:val="tx1"/>
            </w14:solidFill>
          </w14:textFill>
        </w:rPr>
      </w:pPr>
    </w:p>
    <w:p>
      <w:pPr>
        <w:ind w:firstLine="480" w:firstLineChars="200"/>
        <w:rPr>
          <w:rFonts w:hint="eastAsia" w:ascii="宋体" w:hAnsi="宋体" w:cs="宋体"/>
          <w:color w:val="000000" w:themeColor="text1"/>
          <w:sz w:val="24"/>
          <w14:textFill>
            <w14:solidFill>
              <w14:schemeClr w14:val="tx1"/>
            </w14:solidFill>
          </w14:textFill>
        </w:rPr>
      </w:pPr>
    </w:p>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中小企业划型标准规定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一、根据《中华人民共和国中小企业促进法》和《国务院关于进一步促进中小企业发展的若干意见》(国发〔2009〕36号)，制定本规定。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二、中小企业划分为中型、小型、微型三种类型，具体标准根据企业从业人员、营业收入、资产总额等指标，结合行业特点制定。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四、各行业划型标准为：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五、企业类型的划分以统计部门的统计数据为依据。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六、本规定适用于在中华人民共和国境内依法设立的各类所有制和各种组织形式的企业。个体工商户和本规定以外的行业，参照本规定进行划型。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八、本规定由工业和信息化部、国家统计局会同有关部门根据《国民经济行业分类》修订情况和企业发展变化情况适时修订。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九、本规定由工业和信息化部、国家统计局会同有关部门负责解释。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十、本规定自发布之日起执行，原国家经贸委、原国家计委、财政部和国家统计局2003年颁布的《中小企业标准暂行规定》同时废止。</w:t>
      </w:r>
    </w:p>
    <w:p>
      <w:pPr>
        <w:ind w:firstLine="480" w:firstLineChars="200"/>
        <w:rPr>
          <w:rFonts w:hint="eastAsia" w:ascii="宋体" w:hAnsi="宋体" w:cs="宋体"/>
          <w:color w:val="000000" w:themeColor="text1"/>
          <w:sz w:val="24"/>
          <w14:textFill>
            <w14:solidFill>
              <w14:schemeClr w14:val="tx1"/>
            </w14:solidFill>
          </w14:textFill>
        </w:rPr>
      </w:pPr>
    </w:p>
    <w:p>
      <w:pPr>
        <w:pStyle w:val="15"/>
        <w:jc w:val="both"/>
        <w:outlineLvl w:val="9"/>
        <w:rPr>
          <w:rFonts w:hint="eastAsia" w:ascii="宋体" w:hAnsi="宋体" w:eastAsia="宋体" w:cs="宋体"/>
          <w:color w:val="000000" w:themeColor="text1"/>
          <w:sz w:val="24"/>
          <w:szCs w:val="24"/>
          <w14:textFill>
            <w14:solidFill>
              <w14:schemeClr w14:val="tx1"/>
            </w14:solidFill>
          </w14:textFill>
        </w:rPr>
      </w:pPr>
    </w:p>
    <w:p>
      <w:pPr>
        <w:pStyle w:val="15"/>
        <w:jc w:val="both"/>
        <w:outlineLvl w:val="9"/>
        <w:rPr>
          <w:rFonts w:hint="eastAsia" w:ascii="宋体" w:hAnsi="宋体" w:eastAsia="宋体" w:cs="宋体"/>
          <w:color w:val="000000" w:themeColor="text1"/>
          <w:sz w:val="24"/>
          <w:szCs w:val="24"/>
          <w14:textFill>
            <w14:solidFill>
              <w14:schemeClr w14:val="tx1"/>
            </w14:solidFill>
          </w14:textFill>
        </w:rPr>
      </w:pPr>
    </w:p>
    <w:p>
      <w:pPr>
        <w:tabs>
          <w:tab w:val="left" w:pos="360"/>
        </w:tabs>
        <w:outlineLvl w:val="1"/>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3、国家统计局《关于印发〈统计上大中小微型企业划分办法（2017）〉的通知》</w:t>
      </w:r>
    </w:p>
    <w:p>
      <w:pPr>
        <w:widowControl/>
        <w:shd w:val="clear" w:color="auto" w:fill="FFFFFF"/>
        <w:jc w:val="center"/>
        <w:rPr>
          <w:rFonts w:hint="eastAsia" w:ascii="宋体" w:hAnsi="宋体" w:cs="宋体"/>
          <w:b/>
          <w:bCs/>
          <w:color w:val="000000" w:themeColor="text1"/>
          <w:kern w:val="0"/>
          <w:sz w:val="24"/>
          <w14:textFill>
            <w14:solidFill>
              <w14:schemeClr w14:val="tx1"/>
            </w14:solidFill>
          </w14:textFill>
        </w:rPr>
      </w:pPr>
    </w:p>
    <w:p>
      <w:pPr>
        <w:widowControl/>
        <w:shd w:val="clear" w:color="auto" w:fill="FFFFFF"/>
        <w:jc w:val="center"/>
        <w:rPr>
          <w:rFonts w:hint="eastAsia" w:ascii="宋体" w:hAnsi="宋体" w:cs="宋体"/>
          <w:b/>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国家统计局关于印发《统计上大中小微型企业划分办法（2017）》的通知</w:t>
      </w:r>
    </w:p>
    <w:p>
      <w:pPr>
        <w:widowControl/>
        <w:shd w:val="clear" w:color="auto" w:fill="FFFFFF"/>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各省、自治区、直辖市统计局，新疆生产建设兵团统计局，国务院各有关部门，国家统计局各调查总队：</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附件：《统计上大中小微型企业划分办法（2017）》修订说明</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国家统计局</w:t>
      </w:r>
    </w:p>
    <w:p>
      <w:pPr>
        <w:widowControl/>
        <w:shd w:val="clear" w:color="auto" w:fill="FFFFFF"/>
        <w:ind w:firstLine="480" w:firstLineChars="200"/>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2017年12月28日</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统计上大中小微型企业划分办法（2017）</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二、本办法适用对象为在中华人民共和国境内依法设立的各种组织形式的法人企业或单位。个体工商户参照本办法进行划分。</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五、企业划分由政府综合统计部门根据统计年报每年确定一次，定报统计原则上不进行调整。</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六、本办法自印发之日起执行，国家统计局2011年印发的《统计上大中小微型企业划分办法》（国统字〔2011〕75号）同时废止。</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附表：统计上大中小微型企业划分标准</w:t>
      </w:r>
    </w:p>
    <w:p>
      <w:pPr>
        <w:widowControl/>
        <w:jc w:val="left"/>
        <w:rPr>
          <w:rFonts w:hint="eastAsia" w:ascii="宋体" w:hAnsi="宋体" w:cs="宋体"/>
          <w:color w:val="000000" w:themeColor="text1"/>
          <w:kern w:val="0"/>
          <w:sz w:val="24"/>
          <w14:textFill>
            <w14:solidFill>
              <w14:schemeClr w14:val="tx1"/>
            </w14:solidFill>
          </w14:textFill>
        </w:rPr>
      </w:pPr>
    </w:p>
    <w:p>
      <w:pPr>
        <w:widowControl/>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附表：</w:t>
      </w:r>
    </w:p>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统计上大中小微型企业划分标准</w:t>
      </w:r>
    </w:p>
    <w:tbl>
      <w:tblPr>
        <w:tblStyle w:val="1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行业名称</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指标名称</w:t>
            </w:r>
          </w:p>
        </w:tc>
        <w:tc>
          <w:tcPr>
            <w:tcW w:w="727" w:type="dxa"/>
            <w:noWrap w:val="0"/>
            <w:vAlign w:val="center"/>
          </w:tcPr>
          <w:p>
            <w:pPr>
              <w:widowControl/>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计量</w:t>
            </w:r>
          </w:p>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单位</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大型</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中型</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小型</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农、林、牧、渔业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500≤Y＜20000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50≤Y＜500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工业 *</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20≤X＜300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Y≥40000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2000≤Y＜40000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300≤Y＜2000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建筑业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Y≥80000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6000≤Y＜80000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300≤Y＜6000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资产总额(Z)</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Z≥80000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5000≤Z＜80000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300≤Z＜5000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批发业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20≤X＜200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5≤X＜20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Y≥40000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5000≤Y＜40000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1000≤Y＜5000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零售业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10≤X＜50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500≤Y＜20000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100≤Y＜500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交通运输业 *</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20≤X＜300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3000≤Y＜30000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200≤Y＜3000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仓储业*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100≤X＜200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1000≤Y＜30000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100≤Y＜1000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邮政业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20≤X＜300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2000≤Y＜30000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100≤Y＜2000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住宿业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2000≤Y＜10000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100≤Y＜2000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餐饮业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2000≤Y＜10000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100≤Y＜2000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信息传输业 *</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100≤X＜2000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1000≤Y＜100000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100≤Y＜1000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软件和信息技术服务业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1000≤Y＜10000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50≤Y＜1000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房地产开发经营</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1000≤Y＜200000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100≤Y＜1000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资产总额(Z)</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Z≥10000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5000≤Z＜10000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2000≤Z＜5000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物业管理</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1000≤Y＜5000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500≤Y＜1000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租赁和商务服务业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资产总额(Z)</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Z≥120000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8000≤Z＜120000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100≤Z＜8000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其他未列明行业 *</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bl>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说明：</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1.大型、中型和小型企业须同时满足所列指标的下限，否则下划一档；微型企业只须满足所列指标中的一项即可。</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tabs>
          <w:tab w:val="left" w:pos="562"/>
          <w:tab w:val="left" w:pos="3372"/>
          <w:tab w:val="left" w:pos="3653"/>
        </w:tabs>
        <w:rPr>
          <w:rFonts w:hint="eastAsia" w:ascii="宋体" w:hAnsi="宋体" w:cs="宋体"/>
          <w:color w:val="000000" w:themeColor="text1"/>
          <w14:textFill>
            <w14:solidFill>
              <w14:schemeClr w14:val="tx1"/>
            </w14:solidFill>
          </w14:textFill>
        </w:rPr>
      </w:pPr>
    </w:p>
    <w:p>
      <w:pPr>
        <w:pStyle w:val="15"/>
        <w:outlineLvl w:val="9"/>
        <w:rPr>
          <w:rFonts w:hint="eastAsia" w:ascii="宋体" w:hAnsi="宋体" w:eastAsia="宋体" w:cs="宋体"/>
          <w:color w:val="000000" w:themeColor="text1"/>
          <w:sz w:val="24"/>
          <w:szCs w:val="24"/>
          <w14:textFill>
            <w14:solidFill>
              <w14:schemeClr w14:val="tx1"/>
            </w14:solidFill>
          </w14:textFill>
        </w:rPr>
      </w:pPr>
    </w:p>
    <w:p>
      <w:pPr>
        <w:tabs>
          <w:tab w:val="left" w:pos="360"/>
        </w:tabs>
        <w:outlineLvl w:val="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4、财政部、民政部、中国残联《关于促进残疾人就业政府采购政策的通知》（财库〔2017〕141 号）</w:t>
      </w:r>
    </w:p>
    <w:p>
      <w:pPr>
        <w:shd w:val="clear" w:color="auto" w:fill="FFFFFF"/>
        <w:rPr>
          <w:rFonts w:hint="eastAsia" w:ascii="宋体" w:hAnsi="宋体" w:cs="宋体"/>
          <w:bCs/>
          <w:color w:val="000000" w:themeColor="text1"/>
          <w:sz w:val="24"/>
          <w14:textFill>
            <w14:solidFill>
              <w14:schemeClr w14:val="tx1"/>
            </w14:solidFill>
          </w14:textFill>
        </w:rPr>
      </w:pPr>
    </w:p>
    <w:p>
      <w:pPr>
        <w:shd w:val="clear" w:color="auto" w:fill="FFFFFF"/>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关于促进残疾人就业政府采购政策的通知</w:t>
      </w:r>
    </w:p>
    <w:p>
      <w:pPr>
        <w:pStyle w:val="14"/>
        <w:shd w:val="clear" w:color="auto" w:fill="FFFFFF"/>
        <w:spacing w:before="0" w:beforeAutospacing="0" w:after="0" w:afterAutospacing="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w:t>
      </w:r>
      <w:bookmarkStart w:id="23" w:name="sendNo"/>
      <w:r>
        <w:rPr>
          <w:rFonts w:hint="eastAsia"/>
          <w:color w:val="000000" w:themeColor="text1"/>
          <w14:textFill>
            <w14:solidFill>
              <w14:schemeClr w14:val="tx1"/>
            </w14:solidFill>
          </w14:textFill>
        </w:rPr>
        <w:t>财库〔</w:t>
      </w:r>
      <w:bookmarkEnd w:id="23"/>
      <w:r>
        <w:rPr>
          <w:rFonts w:hint="eastAsia"/>
          <w:color w:val="000000" w:themeColor="text1"/>
          <w14:textFill>
            <w14:solidFill>
              <w14:schemeClr w14:val="tx1"/>
            </w14:solidFill>
          </w14:textFill>
        </w:rPr>
        <w:t>2017〕141号</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bookmarkStart w:id="24" w:name="toDeptId"/>
      <w:r>
        <w:rPr>
          <w:rFonts w:hint="eastAsia"/>
          <w:color w:val="000000" w:themeColor="text1"/>
          <w14:textFill>
            <w14:solidFill>
              <w14:schemeClr w14:val="tx1"/>
            </w14:solidFill>
          </w14:textFill>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24"/>
      <w:r>
        <w:rPr>
          <w:rFonts w:hint="eastAsia"/>
          <w:color w:val="000000" w:themeColor="text1"/>
          <w14:textFill>
            <w14:solidFill>
              <w14:schemeClr w14:val="tx1"/>
            </w14:solidFill>
          </w14:textFill>
        </w:rPr>
        <w:t>：</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为了发挥政府采购促进残疾人就业的作用，进一步保障残疾人权益，依照《政府采购法》、《残疾人保障法》等法律法规及相关规定，现就促进残疾人就业政府采购政策通知如下：</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一、享受政府采购支持政策的残疾人福利性单位应当同时满足以下条件：</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（一）安置的残疾人占本单位在职职工人数的比例不低于25%（含25%），并且安置的残疾人人数不少于10人（含10人）；</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（二）依法与安置的每位残疾人签订了一年以上（含一年）的劳动合同或服务协议；</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（三）为安置的每位残疾人按月足额缴纳了基本养老保险、基本医疗保险、失业保险、工伤保险和生育保险等社会保险费；</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（四）通过银行等金融机构向安置的每位残疾人，按月支付了不低于单位所在区县适用的经省级人民政府批准的月最低工资标准的工资；</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中标、成交供应商为残疾人福利性单位的，采购人或者其委托的采购代理机构应当随中标、成交结果同时公告其《残疾人福利性单位声明函》，接受社会监督。</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供应商提供的《残疾人福利性单位声明函》与事实不符的，依照《政府采购法》第七十七条第一款的规定追究法律责任。</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四、采购人采购公开招标数额标准以上的货物或者服务，因落实促进残疾人就业政策的需要，依法履行有关报批程序后，可采用公开招标以外的采购方式。</w:t>
      </w:r>
    </w:p>
    <w:p>
      <w:pPr>
        <w:pStyle w:val="14"/>
        <w:shd w:val="clear" w:color="auto" w:fill="FFFFFF"/>
        <w:spacing w:before="0" w:beforeAutospacing="0" w:after="0" w:afterAutospacing="0" w:line="56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4"/>
        <w:shd w:val="clear" w:color="auto" w:fill="FFFFFF"/>
        <w:spacing w:before="0" w:beforeAutospacing="0" w:after="0" w:afterAutospacing="0" w:line="56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4"/>
        <w:shd w:val="clear" w:color="auto" w:fill="FFFFFF"/>
        <w:spacing w:before="0" w:beforeAutospacing="0" w:after="0" w:afterAutospacing="0" w:line="56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七、本通知自2017年10月1日起执行。</w:t>
      </w:r>
    </w:p>
    <w:p>
      <w:pPr>
        <w:pStyle w:val="14"/>
        <w:shd w:val="clear" w:color="auto" w:fill="FFFFFF"/>
        <w:spacing w:before="0" w:beforeAutospacing="0" w:after="0" w:afterAutospacing="0" w:line="560" w:lineRule="exact"/>
        <w:ind w:firstLine="480" w:firstLineChars="200"/>
        <w:jc w:val="righ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财政部 民政部 中国残疾人联合会</w:t>
      </w:r>
    </w:p>
    <w:p>
      <w:pPr>
        <w:pStyle w:val="14"/>
        <w:shd w:val="clear" w:color="auto" w:fill="FFFFFF"/>
        <w:spacing w:before="0" w:beforeAutospacing="0" w:after="0" w:afterAutospacing="0" w:line="560" w:lineRule="exact"/>
        <w:ind w:firstLine="480" w:firstLineChars="200"/>
        <w:jc w:val="righ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2017年8月22日</w:t>
      </w:r>
    </w:p>
    <w:p>
      <w:pPr>
        <w:pStyle w:val="28"/>
        <w:shd w:val="clear" w:color="auto" w:fill="FFFFFF"/>
        <w:spacing w:before="0" w:beforeAutospacing="0" w:after="0" w:afterAutospacing="0" w:line="560" w:lineRule="exact"/>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附件：</w:t>
      </w:r>
    </w:p>
    <w:p>
      <w:pPr>
        <w:pStyle w:val="28"/>
        <w:shd w:val="clear" w:color="auto" w:fill="FFFFFF"/>
        <w:spacing w:before="0" w:beforeAutospacing="0" w:after="0" w:afterAutospacing="0" w:line="560" w:lineRule="exact"/>
        <w:ind w:firstLine="482" w:firstLineChars="200"/>
        <w:jc w:val="center"/>
        <w:rPr>
          <w:rFonts w:hint="eastAsia"/>
          <w:color w:val="000000" w:themeColor="text1"/>
          <w14:textFill>
            <w14:solidFill>
              <w14:schemeClr w14:val="tx1"/>
            </w14:solidFill>
          </w14:textFill>
        </w:rPr>
      </w:pPr>
      <w:r>
        <w:rPr>
          <w:rStyle w:val="29"/>
          <w:rFonts w:hint="eastAsia"/>
          <w:b/>
          <w:bCs/>
          <w:color w:val="000000" w:themeColor="text1"/>
          <w14:textFill>
            <w14:solidFill>
              <w14:schemeClr w14:val="tx1"/>
            </w14:solidFill>
          </w14:textFill>
        </w:rPr>
        <w:t>残疾人福利性单位声明函</w:t>
      </w:r>
    </w:p>
    <w:p>
      <w:pPr>
        <w:pStyle w:val="28"/>
        <w:shd w:val="clear" w:color="auto" w:fill="FFFFFF"/>
        <w:spacing w:before="0" w:beforeAutospacing="0" w:after="0" w:afterAutospacing="0" w:line="560" w:lineRule="exact"/>
        <w:ind w:firstLine="480" w:firstLineChars="200"/>
        <w:jc w:val="both"/>
        <w:rPr>
          <w:rFonts w:hint="eastAsia"/>
          <w:color w:val="000000" w:themeColor="text1"/>
          <w14:textFill>
            <w14:solidFill>
              <w14:schemeClr w14:val="tx1"/>
            </w14:solidFill>
          </w14:textFill>
        </w:rPr>
      </w:pPr>
      <w:r>
        <w:rPr>
          <w:rStyle w:val="29"/>
          <w:rFonts w:hint="eastAsia"/>
          <w:color w:val="000000" w:themeColor="text1"/>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8"/>
        <w:shd w:val="clear" w:color="auto" w:fill="FFFFFF"/>
        <w:spacing w:before="0" w:beforeAutospacing="0" w:after="0" w:afterAutospacing="0" w:line="560" w:lineRule="exact"/>
        <w:ind w:firstLine="480" w:firstLineChars="200"/>
        <w:jc w:val="both"/>
        <w:rPr>
          <w:rFonts w:hint="eastAsia"/>
          <w:color w:val="000000" w:themeColor="text1"/>
          <w14:textFill>
            <w14:solidFill>
              <w14:schemeClr w14:val="tx1"/>
            </w14:solidFill>
          </w14:textFill>
        </w:rPr>
      </w:pPr>
      <w:r>
        <w:rPr>
          <w:rStyle w:val="29"/>
          <w:rFonts w:hint="eastAsia"/>
          <w:color w:val="000000" w:themeColor="text1"/>
          <w14:textFill>
            <w14:solidFill>
              <w14:schemeClr w14:val="tx1"/>
            </w14:solidFill>
          </w14:textFill>
        </w:rPr>
        <w:t>本单位对上述声明的真实性负责。如有虚假，将依法承担相应责任。</w:t>
      </w:r>
    </w:p>
    <w:p>
      <w:pPr>
        <w:pStyle w:val="28"/>
        <w:shd w:val="clear" w:color="auto" w:fill="FFFFFF"/>
        <w:spacing w:before="0" w:beforeAutospacing="0" w:after="0" w:afterAutospacing="0" w:line="560" w:lineRule="exact"/>
        <w:ind w:firstLine="480" w:firstLineChars="20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投标人已知悉《关于促进残疾人就业政府采购政策的通知》（财库〔2017〕141 号）的规定，承诺提供的声明函内容是真实的，如提供声明函内容不实，则依法追究相关法律责任。</w:t>
      </w:r>
    </w:p>
    <w:p>
      <w:pPr>
        <w:pStyle w:val="28"/>
        <w:shd w:val="clear" w:color="auto" w:fill="FFFFFF"/>
        <w:spacing w:before="0" w:beforeAutospacing="0" w:after="0" w:afterAutospacing="0" w:line="560" w:lineRule="exact"/>
        <w:ind w:right="2100" w:rightChars="1000"/>
        <w:jc w:val="right"/>
        <w:rPr>
          <w:rFonts w:hint="eastAsia"/>
          <w:color w:val="000000" w:themeColor="text1"/>
          <w14:textFill>
            <w14:solidFill>
              <w14:schemeClr w14:val="tx1"/>
            </w14:solidFill>
          </w14:textFill>
        </w:rPr>
      </w:pPr>
      <w:r>
        <w:rPr>
          <w:rStyle w:val="29"/>
          <w:rFonts w:hint="eastAsia"/>
          <w:color w:val="000000" w:themeColor="text1"/>
          <w14:textFill>
            <w14:solidFill>
              <w14:schemeClr w14:val="tx1"/>
            </w14:solidFill>
          </w14:textFill>
        </w:rPr>
        <w:t>单位名称（盖章）：</w:t>
      </w:r>
    </w:p>
    <w:p>
      <w:pPr>
        <w:pStyle w:val="28"/>
        <w:shd w:val="clear" w:color="auto" w:fill="FFFFFF"/>
        <w:spacing w:before="0" w:beforeAutospacing="0" w:after="0" w:afterAutospacing="0" w:line="560" w:lineRule="exact"/>
        <w:ind w:right="2100" w:rightChars="1000"/>
        <w:jc w:val="right"/>
        <w:rPr>
          <w:rFonts w:hint="eastAsia"/>
          <w:color w:val="000000" w:themeColor="text1"/>
          <w:lang w:val="fr-CH"/>
          <w14:textFill>
            <w14:solidFill>
              <w14:schemeClr w14:val="tx1"/>
            </w14:solidFill>
          </w14:textFill>
        </w:rPr>
      </w:pPr>
      <w:r>
        <w:rPr>
          <w:rStyle w:val="29"/>
          <w:rFonts w:hint="eastAsia"/>
          <w:color w:val="000000" w:themeColor="text1"/>
          <w14:textFill>
            <w14:solidFill>
              <w14:schemeClr w14:val="tx1"/>
            </w14:solidFill>
          </w14:textFill>
        </w:rPr>
        <w:t>日 期：</w:t>
      </w:r>
    </w:p>
    <w:p>
      <w:pPr>
        <w:tabs>
          <w:tab w:val="left" w:pos="640"/>
          <w:tab w:val="left" w:pos="1260"/>
          <w:tab w:val="left" w:pos="1418"/>
        </w:tabs>
        <w:spacing w:line="360" w:lineRule="auto"/>
        <w:ind w:right="-420" w:rightChars="-200"/>
        <w:rPr>
          <w:rFonts w:hint="eastAsia" w:ascii="宋体" w:hAnsi="宋体" w:cs="宋体"/>
          <w:color w:val="000000" w:themeColor="text1"/>
          <w:sz w:val="24"/>
          <w:lang w:val="fr-CH"/>
          <w14:textFill>
            <w14:solidFill>
              <w14:schemeClr w14:val="tx1"/>
            </w14:solidFill>
          </w14:textFill>
        </w:rPr>
      </w:pPr>
    </w:p>
    <w:p>
      <w:pPr>
        <w:pStyle w:val="23"/>
        <w:rPr>
          <w:rFonts w:hint="eastAsia"/>
          <w:color w:val="000000" w:themeColor="text1"/>
          <w:lang w:val="fr-CH"/>
          <w14:textFill>
            <w14:solidFill>
              <w14:schemeClr w14:val="tx1"/>
            </w14:solidFill>
          </w14:textFill>
        </w:rPr>
      </w:pPr>
    </w:p>
    <w:p>
      <w:pPr>
        <w:rPr>
          <w:color w:val="000000" w:themeColor="text1"/>
          <w14:textFill>
            <w14:solidFill>
              <w14:schemeClr w14:val="tx1"/>
            </w14:solidFill>
          </w14:textFill>
        </w:rPr>
      </w:pPr>
    </w:p>
    <w:sectPr>
      <w:headerReference r:id="rId8" w:type="first"/>
      <w:headerReference r:id="rId6" w:type="default"/>
      <w:headerReference r:id="rId7" w:type="even"/>
      <w:pgSz w:w="11906" w:h="16838"/>
      <w:pgMar w:top="850" w:right="1803" w:bottom="709"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11</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12</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4099"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胡锦鑫20240304" style="font-family:&amp;quot;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4097"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胡锦鑫20240304"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4">
    <w:nsid w:val="B60EDFBE"/>
    <w:multiLevelType w:val="singleLevel"/>
    <w:tmpl w:val="B60EDFBE"/>
    <w:lvl w:ilvl="0" w:tentative="0">
      <w:start w:val="1"/>
      <w:numFmt w:val="decimal"/>
      <w:suff w:val="nothing"/>
      <w:lvlText w:val="（%1）"/>
      <w:lvlJc w:val="left"/>
    </w:lvl>
  </w:abstractNum>
  <w:abstractNum w:abstractNumId="5">
    <w:nsid w:val="BFFEB4E7"/>
    <w:multiLevelType w:val="singleLevel"/>
    <w:tmpl w:val="BFFEB4E7"/>
    <w:lvl w:ilvl="0" w:tentative="0">
      <w:start w:val="1"/>
      <w:numFmt w:val="decimal"/>
      <w:suff w:val="nothing"/>
      <w:lvlText w:val="（%1）"/>
      <w:lvlJc w:val="left"/>
      <w:pPr>
        <w:ind w:left="480" w:firstLine="0"/>
      </w:pPr>
    </w:lvl>
  </w:abstractNum>
  <w:abstractNum w:abstractNumId="6">
    <w:nsid w:val="CBCC1AFC"/>
    <w:multiLevelType w:val="singleLevel"/>
    <w:tmpl w:val="CBCC1AFC"/>
    <w:lvl w:ilvl="0" w:tentative="0">
      <w:start w:val="5"/>
      <w:numFmt w:val="decimal"/>
      <w:suff w:val="nothing"/>
      <w:lvlText w:val="%1、"/>
      <w:lvlJc w:val="left"/>
    </w:lvl>
  </w:abstractNum>
  <w:abstractNum w:abstractNumId="7">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8">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9">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10">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11">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2">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3">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3"/>
  </w:num>
  <w:num w:numId="2">
    <w:abstractNumId w:val="4"/>
  </w:num>
  <w:num w:numId="3">
    <w:abstractNumId w:val="2"/>
  </w:num>
  <w:num w:numId="4">
    <w:abstractNumId w:val="9"/>
  </w:num>
  <w:num w:numId="5">
    <w:abstractNumId w:val="5"/>
  </w:num>
  <w:num w:numId="6">
    <w:abstractNumId w:val="6"/>
  </w:num>
  <w:num w:numId="7">
    <w:abstractNumId w:val="10"/>
  </w:num>
  <w:num w:numId="8">
    <w:abstractNumId w:val="3"/>
  </w:num>
  <w:num w:numId="9">
    <w:abstractNumId w:val="7"/>
  </w:num>
  <w:num w:numId="10">
    <w:abstractNumId w:val="1"/>
  </w:num>
  <w:num w:numId="11">
    <w:abstractNumId w:val="0"/>
  </w:num>
  <w:num w:numId="12">
    <w:abstractNumId w:val="8"/>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5ODg1MzhlNzBjNjZlOTRmNDM3N2Q5YjFjYTUzMjQifQ=="/>
    <w:docVar w:name="KSO_WPS_MARK_KEY" w:val="6c52a594-fa24-4eda-8bdf-1df5baad3362"/>
  </w:docVars>
  <w:rsids>
    <w:rsidRoot w:val="6F152D9A"/>
    <w:rsid w:val="00160C9E"/>
    <w:rsid w:val="00225B4F"/>
    <w:rsid w:val="0043659A"/>
    <w:rsid w:val="009E70F5"/>
    <w:rsid w:val="00A641FB"/>
    <w:rsid w:val="00D977C1"/>
    <w:rsid w:val="00DE5743"/>
    <w:rsid w:val="01115867"/>
    <w:rsid w:val="01211AD4"/>
    <w:rsid w:val="0159301C"/>
    <w:rsid w:val="016F283F"/>
    <w:rsid w:val="01AA3877"/>
    <w:rsid w:val="01BF5575"/>
    <w:rsid w:val="01E44FDB"/>
    <w:rsid w:val="02025461"/>
    <w:rsid w:val="022618D2"/>
    <w:rsid w:val="02274EC8"/>
    <w:rsid w:val="023B0973"/>
    <w:rsid w:val="028777DE"/>
    <w:rsid w:val="02881E0B"/>
    <w:rsid w:val="02B823D3"/>
    <w:rsid w:val="031134B4"/>
    <w:rsid w:val="0341645D"/>
    <w:rsid w:val="03990047"/>
    <w:rsid w:val="03E219EE"/>
    <w:rsid w:val="04180E5A"/>
    <w:rsid w:val="042277B0"/>
    <w:rsid w:val="044602CC"/>
    <w:rsid w:val="04A005CC"/>
    <w:rsid w:val="04AE0329"/>
    <w:rsid w:val="04B50EB1"/>
    <w:rsid w:val="04C63705"/>
    <w:rsid w:val="04CD61FB"/>
    <w:rsid w:val="04EB73BD"/>
    <w:rsid w:val="04F419D9"/>
    <w:rsid w:val="04FF037E"/>
    <w:rsid w:val="05094D59"/>
    <w:rsid w:val="05B67B5F"/>
    <w:rsid w:val="05C27B11"/>
    <w:rsid w:val="05F6352F"/>
    <w:rsid w:val="06336033"/>
    <w:rsid w:val="06625E2E"/>
    <w:rsid w:val="069E458D"/>
    <w:rsid w:val="06BE2A9A"/>
    <w:rsid w:val="06C44D16"/>
    <w:rsid w:val="06ED5932"/>
    <w:rsid w:val="070D6D82"/>
    <w:rsid w:val="07234BC7"/>
    <w:rsid w:val="072F63A4"/>
    <w:rsid w:val="0744651C"/>
    <w:rsid w:val="07787DB5"/>
    <w:rsid w:val="077961C6"/>
    <w:rsid w:val="07AC659B"/>
    <w:rsid w:val="07FD54F6"/>
    <w:rsid w:val="081447CD"/>
    <w:rsid w:val="087C541A"/>
    <w:rsid w:val="08876895"/>
    <w:rsid w:val="088C3CD7"/>
    <w:rsid w:val="08950582"/>
    <w:rsid w:val="08B60D54"/>
    <w:rsid w:val="08E57A87"/>
    <w:rsid w:val="08F43C68"/>
    <w:rsid w:val="08F70DBA"/>
    <w:rsid w:val="09300B06"/>
    <w:rsid w:val="09491BC8"/>
    <w:rsid w:val="09644C54"/>
    <w:rsid w:val="09823515"/>
    <w:rsid w:val="09F77876"/>
    <w:rsid w:val="0A0032E9"/>
    <w:rsid w:val="0A5E16A3"/>
    <w:rsid w:val="0A602146"/>
    <w:rsid w:val="0A825391"/>
    <w:rsid w:val="0A8351D4"/>
    <w:rsid w:val="0A8A693C"/>
    <w:rsid w:val="0AA72E75"/>
    <w:rsid w:val="0AB56E5C"/>
    <w:rsid w:val="0AB85257"/>
    <w:rsid w:val="0B4A1826"/>
    <w:rsid w:val="0B7B37EB"/>
    <w:rsid w:val="0B9510F4"/>
    <w:rsid w:val="0BB91DF1"/>
    <w:rsid w:val="0BC81E68"/>
    <w:rsid w:val="0BCB4B16"/>
    <w:rsid w:val="0BE62205"/>
    <w:rsid w:val="0C2B0B3A"/>
    <w:rsid w:val="0C2D1E06"/>
    <w:rsid w:val="0C39309A"/>
    <w:rsid w:val="0C396D85"/>
    <w:rsid w:val="0C45359F"/>
    <w:rsid w:val="0C4E4424"/>
    <w:rsid w:val="0C6706F1"/>
    <w:rsid w:val="0C822ACA"/>
    <w:rsid w:val="0C877654"/>
    <w:rsid w:val="0CB70393"/>
    <w:rsid w:val="0CBB2DDD"/>
    <w:rsid w:val="0CE560AB"/>
    <w:rsid w:val="0D046532"/>
    <w:rsid w:val="0D3F1CF7"/>
    <w:rsid w:val="0D5C54A5"/>
    <w:rsid w:val="0D883A97"/>
    <w:rsid w:val="0D9F3011"/>
    <w:rsid w:val="0DC34AA9"/>
    <w:rsid w:val="0DFD3BE1"/>
    <w:rsid w:val="0E303356"/>
    <w:rsid w:val="0E430BBB"/>
    <w:rsid w:val="0E4B0853"/>
    <w:rsid w:val="0E4D63ED"/>
    <w:rsid w:val="0E59465B"/>
    <w:rsid w:val="0EA904C1"/>
    <w:rsid w:val="0EAD11D9"/>
    <w:rsid w:val="0EB977F0"/>
    <w:rsid w:val="0EBF36D0"/>
    <w:rsid w:val="0EC73CBB"/>
    <w:rsid w:val="0EDC703A"/>
    <w:rsid w:val="0F136F00"/>
    <w:rsid w:val="0F2A5DFB"/>
    <w:rsid w:val="0F58030C"/>
    <w:rsid w:val="0F670FFA"/>
    <w:rsid w:val="0F6B3571"/>
    <w:rsid w:val="0F73793D"/>
    <w:rsid w:val="0F8D684D"/>
    <w:rsid w:val="0F8D6C9D"/>
    <w:rsid w:val="0FA67D74"/>
    <w:rsid w:val="0FAC4C5F"/>
    <w:rsid w:val="0FB9666D"/>
    <w:rsid w:val="0FC81379"/>
    <w:rsid w:val="0FE96BFE"/>
    <w:rsid w:val="104906FF"/>
    <w:rsid w:val="10634BF3"/>
    <w:rsid w:val="10815354"/>
    <w:rsid w:val="109776BD"/>
    <w:rsid w:val="10B40C48"/>
    <w:rsid w:val="10BA0E9A"/>
    <w:rsid w:val="10F55830"/>
    <w:rsid w:val="11474F4C"/>
    <w:rsid w:val="115979CD"/>
    <w:rsid w:val="11800151"/>
    <w:rsid w:val="11BD32AB"/>
    <w:rsid w:val="123631FC"/>
    <w:rsid w:val="12431D83"/>
    <w:rsid w:val="124949E7"/>
    <w:rsid w:val="12D149BF"/>
    <w:rsid w:val="12E5255D"/>
    <w:rsid w:val="12F85352"/>
    <w:rsid w:val="13160D6D"/>
    <w:rsid w:val="13242E4C"/>
    <w:rsid w:val="13372307"/>
    <w:rsid w:val="134578A4"/>
    <w:rsid w:val="1373154F"/>
    <w:rsid w:val="137F7A39"/>
    <w:rsid w:val="138A5087"/>
    <w:rsid w:val="139B74C4"/>
    <w:rsid w:val="13A1291C"/>
    <w:rsid w:val="13B00583"/>
    <w:rsid w:val="13BB36C2"/>
    <w:rsid w:val="13F57F6C"/>
    <w:rsid w:val="13FB6C2B"/>
    <w:rsid w:val="140E7C96"/>
    <w:rsid w:val="141554C8"/>
    <w:rsid w:val="144E5BAF"/>
    <w:rsid w:val="145B077C"/>
    <w:rsid w:val="146E27F8"/>
    <w:rsid w:val="148F7029"/>
    <w:rsid w:val="14C64A14"/>
    <w:rsid w:val="14F1250B"/>
    <w:rsid w:val="14FE7D0A"/>
    <w:rsid w:val="152C0D1B"/>
    <w:rsid w:val="15347304"/>
    <w:rsid w:val="15397746"/>
    <w:rsid w:val="153B4ABB"/>
    <w:rsid w:val="15567B46"/>
    <w:rsid w:val="15FC2B6A"/>
    <w:rsid w:val="16027A14"/>
    <w:rsid w:val="16322361"/>
    <w:rsid w:val="163C4267"/>
    <w:rsid w:val="164B3423"/>
    <w:rsid w:val="165B2F3A"/>
    <w:rsid w:val="16A768E1"/>
    <w:rsid w:val="16CF7BB0"/>
    <w:rsid w:val="17033CFE"/>
    <w:rsid w:val="178006A3"/>
    <w:rsid w:val="1791130A"/>
    <w:rsid w:val="181F6915"/>
    <w:rsid w:val="1823030D"/>
    <w:rsid w:val="18267CA4"/>
    <w:rsid w:val="18C538AA"/>
    <w:rsid w:val="18E667DE"/>
    <w:rsid w:val="190B1AB7"/>
    <w:rsid w:val="190E1E92"/>
    <w:rsid w:val="19305011"/>
    <w:rsid w:val="193E2DCB"/>
    <w:rsid w:val="194B4539"/>
    <w:rsid w:val="19677F5C"/>
    <w:rsid w:val="19AA0461"/>
    <w:rsid w:val="19EF3664"/>
    <w:rsid w:val="1A43546A"/>
    <w:rsid w:val="1A446E0F"/>
    <w:rsid w:val="1A7F2B74"/>
    <w:rsid w:val="1A8E78C8"/>
    <w:rsid w:val="1A914D5C"/>
    <w:rsid w:val="1A9B5FFB"/>
    <w:rsid w:val="1AED6666"/>
    <w:rsid w:val="1BB9498B"/>
    <w:rsid w:val="1BD96DDB"/>
    <w:rsid w:val="1BDC68CC"/>
    <w:rsid w:val="1C2529FF"/>
    <w:rsid w:val="1C3A70A2"/>
    <w:rsid w:val="1C427076"/>
    <w:rsid w:val="1C522596"/>
    <w:rsid w:val="1C6963B1"/>
    <w:rsid w:val="1C6F14EE"/>
    <w:rsid w:val="1CE47D23"/>
    <w:rsid w:val="1CFB1A9D"/>
    <w:rsid w:val="1D2B18B9"/>
    <w:rsid w:val="1D7414B2"/>
    <w:rsid w:val="1D815FCC"/>
    <w:rsid w:val="1D927B8A"/>
    <w:rsid w:val="1D9A07EC"/>
    <w:rsid w:val="1DCA2E80"/>
    <w:rsid w:val="1DDA3C59"/>
    <w:rsid w:val="1DF857DA"/>
    <w:rsid w:val="1E206F43"/>
    <w:rsid w:val="1E340C41"/>
    <w:rsid w:val="1E366767"/>
    <w:rsid w:val="1E37428D"/>
    <w:rsid w:val="1E403142"/>
    <w:rsid w:val="1E4C5FEA"/>
    <w:rsid w:val="1E570090"/>
    <w:rsid w:val="1E781388"/>
    <w:rsid w:val="1EA47B74"/>
    <w:rsid w:val="1EAE454F"/>
    <w:rsid w:val="1EB678A8"/>
    <w:rsid w:val="1EC51899"/>
    <w:rsid w:val="1EEF7754"/>
    <w:rsid w:val="1EF2003F"/>
    <w:rsid w:val="1F207216"/>
    <w:rsid w:val="1F27593E"/>
    <w:rsid w:val="1F394761"/>
    <w:rsid w:val="1F3DD75D"/>
    <w:rsid w:val="1F516240"/>
    <w:rsid w:val="1F9BB067"/>
    <w:rsid w:val="1FF67AA1"/>
    <w:rsid w:val="1FFE32B4"/>
    <w:rsid w:val="200655C0"/>
    <w:rsid w:val="207417C9"/>
    <w:rsid w:val="20AA3CDC"/>
    <w:rsid w:val="20B23D8A"/>
    <w:rsid w:val="20FD531A"/>
    <w:rsid w:val="21244F9D"/>
    <w:rsid w:val="218B0B78"/>
    <w:rsid w:val="21A734D8"/>
    <w:rsid w:val="21F030D1"/>
    <w:rsid w:val="2210107D"/>
    <w:rsid w:val="2221328A"/>
    <w:rsid w:val="22462A8A"/>
    <w:rsid w:val="224E2C18"/>
    <w:rsid w:val="22574EFE"/>
    <w:rsid w:val="22696FF6"/>
    <w:rsid w:val="227855A0"/>
    <w:rsid w:val="229F2035"/>
    <w:rsid w:val="22E021B4"/>
    <w:rsid w:val="22E83DA8"/>
    <w:rsid w:val="23006025"/>
    <w:rsid w:val="230C1C0F"/>
    <w:rsid w:val="23531B69"/>
    <w:rsid w:val="23664217"/>
    <w:rsid w:val="23A5639B"/>
    <w:rsid w:val="23A67435"/>
    <w:rsid w:val="23CE0A96"/>
    <w:rsid w:val="240F5A90"/>
    <w:rsid w:val="241308D1"/>
    <w:rsid w:val="243A63CC"/>
    <w:rsid w:val="245E2574"/>
    <w:rsid w:val="246C10ED"/>
    <w:rsid w:val="246E0F7F"/>
    <w:rsid w:val="24825F40"/>
    <w:rsid w:val="249F3FA9"/>
    <w:rsid w:val="24C745BD"/>
    <w:rsid w:val="25B82157"/>
    <w:rsid w:val="25FC2044"/>
    <w:rsid w:val="260F2A28"/>
    <w:rsid w:val="26176E7E"/>
    <w:rsid w:val="269626A1"/>
    <w:rsid w:val="26976211"/>
    <w:rsid w:val="26BE19EF"/>
    <w:rsid w:val="26D22DA5"/>
    <w:rsid w:val="26E24FAE"/>
    <w:rsid w:val="27096777"/>
    <w:rsid w:val="27734588"/>
    <w:rsid w:val="27A128DB"/>
    <w:rsid w:val="27DA0163"/>
    <w:rsid w:val="28150C75"/>
    <w:rsid w:val="28322D6E"/>
    <w:rsid w:val="286F3F95"/>
    <w:rsid w:val="28741B8A"/>
    <w:rsid w:val="287B7F79"/>
    <w:rsid w:val="288B3B53"/>
    <w:rsid w:val="28BE5CD7"/>
    <w:rsid w:val="28D40A96"/>
    <w:rsid w:val="28D92B11"/>
    <w:rsid w:val="28F90ABD"/>
    <w:rsid w:val="290A2CCA"/>
    <w:rsid w:val="29383812"/>
    <w:rsid w:val="29387837"/>
    <w:rsid w:val="294F6300"/>
    <w:rsid w:val="296F0D7F"/>
    <w:rsid w:val="2983492F"/>
    <w:rsid w:val="29CD4DD1"/>
    <w:rsid w:val="29E901A5"/>
    <w:rsid w:val="2A0119E5"/>
    <w:rsid w:val="2A213AD3"/>
    <w:rsid w:val="2A445BEE"/>
    <w:rsid w:val="2A5A1A2F"/>
    <w:rsid w:val="2A9C2048"/>
    <w:rsid w:val="2AEE10A0"/>
    <w:rsid w:val="2B0674C1"/>
    <w:rsid w:val="2B1B3AE9"/>
    <w:rsid w:val="2B353322"/>
    <w:rsid w:val="2B3774CB"/>
    <w:rsid w:val="2B3D7387"/>
    <w:rsid w:val="2B9D7E25"/>
    <w:rsid w:val="2BB9468C"/>
    <w:rsid w:val="2BC2163A"/>
    <w:rsid w:val="2BD73CFD"/>
    <w:rsid w:val="2C003075"/>
    <w:rsid w:val="2C2422F5"/>
    <w:rsid w:val="2C29790B"/>
    <w:rsid w:val="2C41042A"/>
    <w:rsid w:val="2C790882"/>
    <w:rsid w:val="2CB45702"/>
    <w:rsid w:val="2D2158C8"/>
    <w:rsid w:val="2D546C0A"/>
    <w:rsid w:val="2D5B7F98"/>
    <w:rsid w:val="2D614E83"/>
    <w:rsid w:val="2DD077B2"/>
    <w:rsid w:val="2DF301D1"/>
    <w:rsid w:val="2E3836D4"/>
    <w:rsid w:val="2E615CCD"/>
    <w:rsid w:val="2EAB4607"/>
    <w:rsid w:val="2ECD53B0"/>
    <w:rsid w:val="2ED675F2"/>
    <w:rsid w:val="2F0D44F3"/>
    <w:rsid w:val="2F3445FD"/>
    <w:rsid w:val="2F37730B"/>
    <w:rsid w:val="2F4623AD"/>
    <w:rsid w:val="2FA6164C"/>
    <w:rsid w:val="2FBB2449"/>
    <w:rsid w:val="2FF11F73"/>
    <w:rsid w:val="302610FC"/>
    <w:rsid w:val="302D08F0"/>
    <w:rsid w:val="3043586B"/>
    <w:rsid w:val="3058256D"/>
    <w:rsid w:val="30766E97"/>
    <w:rsid w:val="30B71989"/>
    <w:rsid w:val="30BA6D84"/>
    <w:rsid w:val="30CF7407"/>
    <w:rsid w:val="30E33504"/>
    <w:rsid w:val="310B6BF3"/>
    <w:rsid w:val="315F016B"/>
    <w:rsid w:val="316F63A7"/>
    <w:rsid w:val="31A627B9"/>
    <w:rsid w:val="31F60A7B"/>
    <w:rsid w:val="32236C2E"/>
    <w:rsid w:val="323D4C19"/>
    <w:rsid w:val="32714935"/>
    <w:rsid w:val="32751DD2"/>
    <w:rsid w:val="32931105"/>
    <w:rsid w:val="33154745"/>
    <w:rsid w:val="335D7410"/>
    <w:rsid w:val="336D3EA4"/>
    <w:rsid w:val="33C64EB5"/>
    <w:rsid w:val="343E641F"/>
    <w:rsid w:val="344A041F"/>
    <w:rsid w:val="344A55B1"/>
    <w:rsid w:val="34A61710"/>
    <w:rsid w:val="34C74165"/>
    <w:rsid w:val="34C940D3"/>
    <w:rsid w:val="34E751DD"/>
    <w:rsid w:val="35260FC4"/>
    <w:rsid w:val="352F64C7"/>
    <w:rsid w:val="35924EBB"/>
    <w:rsid w:val="35B73FB6"/>
    <w:rsid w:val="35C012AA"/>
    <w:rsid w:val="35C249F4"/>
    <w:rsid w:val="3619454C"/>
    <w:rsid w:val="363D6170"/>
    <w:rsid w:val="36525CB0"/>
    <w:rsid w:val="36BE21E4"/>
    <w:rsid w:val="36C546D4"/>
    <w:rsid w:val="36F31241"/>
    <w:rsid w:val="37205FF6"/>
    <w:rsid w:val="37865C12"/>
    <w:rsid w:val="37C60704"/>
    <w:rsid w:val="37D67851"/>
    <w:rsid w:val="37EE448F"/>
    <w:rsid w:val="3810372D"/>
    <w:rsid w:val="38514471"/>
    <w:rsid w:val="38624A88"/>
    <w:rsid w:val="388F4F9A"/>
    <w:rsid w:val="389E6F8B"/>
    <w:rsid w:val="38A56B9D"/>
    <w:rsid w:val="38AB2342"/>
    <w:rsid w:val="38DC3EDC"/>
    <w:rsid w:val="38FA68B7"/>
    <w:rsid w:val="391B4A7F"/>
    <w:rsid w:val="39202096"/>
    <w:rsid w:val="39394B01"/>
    <w:rsid w:val="39693A3D"/>
    <w:rsid w:val="396E2E01"/>
    <w:rsid w:val="39F50E2C"/>
    <w:rsid w:val="3A33061D"/>
    <w:rsid w:val="3A3B7187"/>
    <w:rsid w:val="3A400E50"/>
    <w:rsid w:val="3A79181B"/>
    <w:rsid w:val="3A950543"/>
    <w:rsid w:val="3A9E7716"/>
    <w:rsid w:val="3AB14702"/>
    <w:rsid w:val="3ADA56C8"/>
    <w:rsid w:val="3B00217F"/>
    <w:rsid w:val="3B787F67"/>
    <w:rsid w:val="3B855DC3"/>
    <w:rsid w:val="3B974891"/>
    <w:rsid w:val="3BD17677"/>
    <w:rsid w:val="3BD21711"/>
    <w:rsid w:val="3BD80F0D"/>
    <w:rsid w:val="3BDB6D1E"/>
    <w:rsid w:val="3C1C4D96"/>
    <w:rsid w:val="3C1E2D40"/>
    <w:rsid w:val="3C215F09"/>
    <w:rsid w:val="3C31001D"/>
    <w:rsid w:val="3C4B11D8"/>
    <w:rsid w:val="3CDD2778"/>
    <w:rsid w:val="3D5F13DF"/>
    <w:rsid w:val="3D7F382F"/>
    <w:rsid w:val="3D9B4E64"/>
    <w:rsid w:val="3DC54FBA"/>
    <w:rsid w:val="3E6B3DB3"/>
    <w:rsid w:val="3E90273A"/>
    <w:rsid w:val="3EA352FB"/>
    <w:rsid w:val="3EBE3EE3"/>
    <w:rsid w:val="3EE33949"/>
    <w:rsid w:val="3EF97772"/>
    <w:rsid w:val="3F2859A4"/>
    <w:rsid w:val="3F3C7CCF"/>
    <w:rsid w:val="3F4468FD"/>
    <w:rsid w:val="3F52646C"/>
    <w:rsid w:val="3F8C5D8F"/>
    <w:rsid w:val="3FD00372"/>
    <w:rsid w:val="3FDD483D"/>
    <w:rsid w:val="3FE07E89"/>
    <w:rsid w:val="402204A1"/>
    <w:rsid w:val="40564282"/>
    <w:rsid w:val="407D110C"/>
    <w:rsid w:val="40B437EF"/>
    <w:rsid w:val="40E1210B"/>
    <w:rsid w:val="40E12670"/>
    <w:rsid w:val="41061B71"/>
    <w:rsid w:val="411B561D"/>
    <w:rsid w:val="41326E0A"/>
    <w:rsid w:val="41361B95"/>
    <w:rsid w:val="41744D2D"/>
    <w:rsid w:val="41A35612"/>
    <w:rsid w:val="41DF672F"/>
    <w:rsid w:val="421C7965"/>
    <w:rsid w:val="424566C9"/>
    <w:rsid w:val="4249466E"/>
    <w:rsid w:val="426F78F9"/>
    <w:rsid w:val="427F1BDB"/>
    <w:rsid w:val="428B67D2"/>
    <w:rsid w:val="428F6994"/>
    <w:rsid w:val="42A15FF5"/>
    <w:rsid w:val="42A258CA"/>
    <w:rsid w:val="42D55690"/>
    <w:rsid w:val="42DE3E28"/>
    <w:rsid w:val="431C567C"/>
    <w:rsid w:val="432D6A17"/>
    <w:rsid w:val="4335673E"/>
    <w:rsid w:val="433B2D6F"/>
    <w:rsid w:val="434C7124"/>
    <w:rsid w:val="435B378F"/>
    <w:rsid w:val="43741014"/>
    <w:rsid w:val="439971FA"/>
    <w:rsid w:val="43A833B4"/>
    <w:rsid w:val="43BD6E5F"/>
    <w:rsid w:val="43F41FD8"/>
    <w:rsid w:val="440209A9"/>
    <w:rsid w:val="44421112"/>
    <w:rsid w:val="4455528C"/>
    <w:rsid w:val="44B57B36"/>
    <w:rsid w:val="44D65FFB"/>
    <w:rsid w:val="45237196"/>
    <w:rsid w:val="45554E75"/>
    <w:rsid w:val="457271D8"/>
    <w:rsid w:val="45786F67"/>
    <w:rsid w:val="457E36C4"/>
    <w:rsid w:val="45A73923"/>
    <w:rsid w:val="45CC032A"/>
    <w:rsid w:val="461A0599"/>
    <w:rsid w:val="461B60BF"/>
    <w:rsid w:val="46353199"/>
    <w:rsid w:val="4649255C"/>
    <w:rsid w:val="464C6278"/>
    <w:rsid w:val="467F151A"/>
    <w:rsid w:val="4690433A"/>
    <w:rsid w:val="469C746C"/>
    <w:rsid w:val="46BB51AC"/>
    <w:rsid w:val="472015A9"/>
    <w:rsid w:val="4747148A"/>
    <w:rsid w:val="47867568"/>
    <w:rsid w:val="479B008D"/>
    <w:rsid w:val="47A36F53"/>
    <w:rsid w:val="47A9196E"/>
    <w:rsid w:val="48180B08"/>
    <w:rsid w:val="48B545A9"/>
    <w:rsid w:val="48E770D8"/>
    <w:rsid w:val="490168B9"/>
    <w:rsid w:val="49997A26"/>
    <w:rsid w:val="499D5A48"/>
    <w:rsid w:val="49C44670"/>
    <w:rsid w:val="4A12532C"/>
    <w:rsid w:val="4A7364C9"/>
    <w:rsid w:val="4A9106FD"/>
    <w:rsid w:val="4AA04DE4"/>
    <w:rsid w:val="4ABD14F2"/>
    <w:rsid w:val="4ACC3E2B"/>
    <w:rsid w:val="4AF313B8"/>
    <w:rsid w:val="4B0B51BA"/>
    <w:rsid w:val="4B0B6A0B"/>
    <w:rsid w:val="4B223A4B"/>
    <w:rsid w:val="4B4A7644"/>
    <w:rsid w:val="4BA021F2"/>
    <w:rsid w:val="4BA60AB1"/>
    <w:rsid w:val="4BAF1783"/>
    <w:rsid w:val="4BC114B6"/>
    <w:rsid w:val="4BC81CB6"/>
    <w:rsid w:val="4BE34546"/>
    <w:rsid w:val="4BF94C2F"/>
    <w:rsid w:val="4C067384"/>
    <w:rsid w:val="4C1E6321"/>
    <w:rsid w:val="4C906769"/>
    <w:rsid w:val="4CCE3E8B"/>
    <w:rsid w:val="4CE74F4D"/>
    <w:rsid w:val="4D1473C4"/>
    <w:rsid w:val="4D1A2C2C"/>
    <w:rsid w:val="4D9D385D"/>
    <w:rsid w:val="4DBC600B"/>
    <w:rsid w:val="4DBF3EEB"/>
    <w:rsid w:val="4DDF102B"/>
    <w:rsid w:val="4DE33966"/>
    <w:rsid w:val="4DFA0CB0"/>
    <w:rsid w:val="4DFF0074"/>
    <w:rsid w:val="4E1844A1"/>
    <w:rsid w:val="4E3B5B69"/>
    <w:rsid w:val="4E5E1120"/>
    <w:rsid w:val="4E6A31EF"/>
    <w:rsid w:val="4E6D7DFB"/>
    <w:rsid w:val="4E8B6814"/>
    <w:rsid w:val="4E9208C3"/>
    <w:rsid w:val="4EDE6657"/>
    <w:rsid w:val="4F226DC8"/>
    <w:rsid w:val="4F234ACC"/>
    <w:rsid w:val="4F2A7373"/>
    <w:rsid w:val="4F3E697A"/>
    <w:rsid w:val="4F6351A5"/>
    <w:rsid w:val="4F7F44DF"/>
    <w:rsid w:val="4FA71C3F"/>
    <w:rsid w:val="4FBA3692"/>
    <w:rsid w:val="4FDA66A3"/>
    <w:rsid w:val="501C6CBB"/>
    <w:rsid w:val="50366741"/>
    <w:rsid w:val="50484EDB"/>
    <w:rsid w:val="505C668F"/>
    <w:rsid w:val="50601F36"/>
    <w:rsid w:val="50964CC0"/>
    <w:rsid w:val="50972D85"/>
    <w:rsid w:val="509C5006"/>
    <w:rsid w:val="50C62063"/>
    <w:rsid w:val="50C744A8"/>
    <w:rsid w:val="50FE0AB7"/>
    <w:rsid w:val="51025EB1"/>
    <w:rsid w:val="511E5422"/>
    <w:rsid w:val="512978E2"/>
    <w:rsid w:val="51346847"/>
    <w:rsid w:val="515D758B"/>
    <w:rsid w:val="51675946"/>
    <w:rsid w:val="516C5CF7"/>
    <w:rsid w:val="51867B3E"/>
    <w:rsid w:val="519D3E2C"/>
    <w:rsid w:val="51A575B0"/>
    <w:rsid w:val="51C54808"/>
    <w:rsid w:val="51CB59A5"/>
    <w:rsid w:val="51FF4AE6"/>
    <w:rsid w:val="52075749"/>
    <w:rsid w:val="520774F7"/>
    <w:rsid w:val="52171E30"/>
    <w:rsid w:val="522409B0"/>
    <w:rsid w:val="52490058"/>
    <w:rsid w:val="5255106F"/>
    <w:rsid w:val="525B75EF"/>
    <w:rsid w:val="52666914"/>
    <w:rsid w:val="5267529D"/>
    <w:rsid w:val="52DB2E5E"/>
    <w:rsid w:val="53135B7C"/>
    <w:rsid w:val="53206AC2"/>
    <w:rsid w:val="533F4FD2"/>
    <w:rsid w:val="53A6051D"/>
    <w:rsid w:val="53AF2171"/>
    <w:rsid w:val="53B60FA0"/>
    <w:rsid w:val="53B92BD0"/>
    <w:rsid w:val="53BF6B9A"/>
    <w:rsid w:val="53C27B7A"/>
    <w:rsid w:val="53DD49B3"/>
    <w:rsid w:val="53E61F03"/>
    <w:rsid w:val="54136D7C"/>
    <w:rsid w:val="543F741C"/>
    <w:rsid w:val="548C2EFE"/>
    <w:rsid w:val="548F6278"/>
    <w:rsid w:val="54A069DD"/>
    <w:rsid w:val="54BE5581"/>
    <w:rsid w:val="54C343AC"/>
    <w:rsid w:val="54E00BD1"/>
    <w:rsid w:val="54E67898"/>
    <w:rsid w:val="550C37A2"/>
    <w:rsid w:val="551219C0"/>
    <w:rsid w:val="55124B31"/>
    <w:rsid w:val="552D54C7"/>
    <w:rsid w:val="553757FC"/>
    <w:rsid w:val="554D7917"/>
    <w:rsid w:val="557841D3"/>
    <w:rsid w:val="558404F4"/>
    <w:rsid w:val="561D001E"/>
    <w:rsid w:val="56397104"/>
    <w:rsid w:val="566D64C3"/>
    <w:rsid w:val="56BF65F2"/>
    <w:rsid w:val="571006E4"/>
    <w:rsid w:val="5712706A"/>
    <w:rsid w:val="574C6A81"/>
    <w:rsid w:val="576A0FE7"/>
    <w:rsid w:val="576E1B52"/>
    <w:rsid w:val="579969A2"/>
    <w:rsid w:val="57A23F4A"/>
    <w:rsid w:val="57DB48EC"/>
    <w:rsid w:val="58003366"/>
    <w:rsid w:val="583D01CF"/>
    <w:rsid w:val="586C6306"/>
    <w:rsid w:val="589418E4"/>
    <w:rsid w:val="58C63C68"/>
    <w:rsid w:val="58D50A2B"/>
    <w:rsid w:val="598C6DF6"/>
    <w:rsid w:val="59C44D07"/>
    <w:rsid w:val="59C94A5C"/>
    <w:rsid w:val="59F111B9"/>
    <w:rsid w:val="5A0013FC"/>
    <w:rsid w:val="5A2E0476"/>
    <w:rsid w:val="5A407A4A"/>
    <w:rsid w:val="5A4E09B0"/>
    <w:rsid w:val="5A7B0A82"/>
    <w:rsid w:val="5AA44386"/>
    <w:rsid w:val="5ABA15AB"/>
    <w:rsid w:val="5AE26D53"/>
    <w:rsid w:val="5B1834F7"/>
    <w:rsid w:val="5B4018B2"/>
    <w:rsid w:val="5B624280"/>
    <w:rsid w:val="5BD743DE"/>
    <w:rsid w:val="5BF11C55"/>
    <w:rsid w:val="5BF60D08"/>
    <w:rsid w:val="5BF73950"/>
    <w:rsid w:val="5C0C052C"/>
    <w:rsid w:val="5C4D4754"/>
    <w:rsid w:val="5C6F429B"/>
    <w:rsid w:val="5C700ABB"/>
    <w:rsid w:val="5C9C6B0B"/>
    <w:rsid w:val="5CC650C2"/>
    <w:rsid w:val="5CCE6402"/>
    <w:rsid w:val="5D1578AA"/>
    <w:rsid w:val="5D1A517B"/>
    <w:rsid w:val="5D287095"/>
    <w:rsid w:val="5D8D3DD4"/>
    <w:rsid w:val="5E343D6A"/>
    <w:rsid w:val="5E370EEC"/>
    <w:rsid w:val="5E436EA1"/>
    <w:rsid w:val="5E6737F7"/>
    <w:rsid w:val="5EB729BA"/>
    <w:rsid w:val="5EC93D19"/>
    <w:rsid w:val="5EF07C91"/>
    <w:rsid w:val="5F132FF0"/>
    <w:rsid w:val="5F1E0A25"/>
    <w:rsid w:val="5F950CC7"/>
    <w:rsid w:val="5FD01870"/>
    <w:rsid w:val="5FE77D07"/>
    <w:rsid w:val="60211516"/>
    <w:rsid w:val="602F2A3B"/>
    <w:rsid w:val="60382473"/>
    <w:rsid w:val="603B26DF"/>
    <w:rsid w:val="605E3790"/>
    <w:rsid w:val="607E751E"/>
    <w:rsid w:val="609B1E7E"/>
    <w:rsid w:val="60E212E0"/>
    <w:rsid w:val="60E45417"/>
    <w:rsid w:val="60E77880"/>
    <w:rsid w:val="61050FC1"/>
    <w:rsid w:val="61161505"/>
    <w:rsid w:val="613876CD"/>
    <w:rsid w:val="6151078F"/>
    <w:rsid w:val="616A6E87"/>
    <w:rsid w:val="618F2C11"/>
    <w:rsid w:val="61B956A8"/>
    <w:rsid w:val="61D357CA"/>
    <w:rsid w:val="61E45BE1"/>
    <w:rsid w:val="61F25ACE"/>
    <w:rsid w:val="61FA38FE"/>
    <w:rsid w:val="61FC06FB"/>
    <w:rsid w:val="62375BD7"/>
    <w:rsid w:val="623B56C7"/>
    <w:rsid w:val="62606EDB"/>
    <w:rsid w:val="62E9395E"/>
    <w:rsid w:val="62F44BFF"/>
    <w:rsid w:val="630B32EB"/>
    <w:rsid w:val="6341070D"/>
    <w:rsid w:val="634C00E2"/>
    <w:rsid w:val="634C56B2"/>
    <w:rsid w:val="637901FC"/>
    <w:rsid w:val="638C3E3F"/>
    <w:rsid w:val="63A075C4"/>
    <w:rsid w:val="63C048AE"/>
    <w:rsid w:val="63E94CAF"/>
    <w:rsid w:val="64245EF5"/>
    <w:rsid w:val="64283A29"/>
    <w:rsid w:val="64391F0D"/>
    <w:rsid w:val="64427DEE"/>
    <w:rsid w:val="6443035D"/>
    <w:rsid w:val="64C64FF0"/>
    <w:rsid w:val="64E421D7"/>
    <w:rsid w:val="64EF4F26"/>
    <w:rsid w:val="65000502"/>
    <w:rsid w:val="652C12F7"/>
    <w:rsid w:val="657F58CB"/>
    <w:rsid w:val="658E3D60"/>
    <w:rsid w:val="65975ABE"/>
    <w:rsid w:val="65E358B9"/>
    <w:rsid w:val="65FC3B45"/>
    <w:rsid w:val="660553DE"/>
    <w:rsid w:val="665363CB"/>
    <w:rsid w:val="66903B07"/>
    <w:rsid w:val="66CA53B2"/>
    <w:rsid w:val="670267B3"/>
    <w:rsid w:val="6721001D"/>
    <w:rsid w:val="67334BBF"/>
    <w:rsid w:val="6739419F"/>
    <w:rsid w:val="674768BC"/>
    <w:rsid w:val="676B52E3"/>
    <w:rsid w:val="678629DB"/>
    <w:rsid w:val="679F2254"/>
    <w:rsid w:val="67C47140"/>
    <w:rsid w:val="67E57E6B"/>
    <w:rsid w:val="682E5386"/>
    <w:rsid w:val="68616011"/>
    <w:rsid w:val="686F41A0"/>
    <w:rsid w:val="687E455F"/>
    <w:rsid w:val="68BA4E6C"/>
    <w:rsid w:val="68CA77A4"/>
    <w:rsid w:val="68D12617"/>
    <w:rsid w:val="68D4417F"/>
    <w:rsid w:val="69117181"/>
    <w:rsid w:val="691B590A"/>
    <w:rsid w:val="69252C2D"/>
    <w:rsid w:val="69345A96"/>
    <w:rsid w:val="69401815"/>
    <w:rsid w:val="6944742F"/>
    <w:rsid w:val="699527B5"/>
    <w:rsid w:val="69D00DEB"/>
    <w:rsid w:val="69E00902"/>
    <w:rsid w:val="69F85C4B"/>
    <w:rsid w:val="6A010FA4"/>
    <w:rsid w:val="6A20747A"/>
    <w:rsid w:val="6A7C062B"/>
    <w:rsid w:val="6AE20185"/>
    <w:rsid w:val="6AE85CC0"/>
    <w:rsid w:val="6B0A3E88"/>
    <w:rsid w:val="6B0B007F"/>
    <w:rsid w:val="6B480F2F"/>
    <w:rsid w:val="6B737C7F"/>
    <w:rsid w:val="6B90122B"/>
    <w:rsid w:val="6B975E2B"/>
    <w:rsid w:val="6BB6110A"/>
    <w:rsid w:val="6C134FBF"/>
    <w:rsid w:val="6C136D6D"/>
    <w:rsid w:val="6C147FA4"/>
    <w:rsid w:val="6C643B3D"/>
    <w:rsid w:val="6C7218C1"/>
    <w:rsid w:val="6C7C7008"/>
    <w:rsid w:val="6C831C60"/>
    <w:rsid w:val="6CC369E5"/>
    <w:rsid w:val="6CE4124B"/>
    <w:rsid w:val="6D152C7A"/>
    <w:rsid w:val="6D401DE3"/>
    <w:rsid w:val="6D463AF2"/>
    <w:rsid w:val="6D5835D1"/>
    <w:rsid w:val="6D632B13"/>
    <w:rsid w:val="6D6D6950"/>
    <w:rsid w:val="6D8A305E"/>
    <w:rsid w:val="6D8C6AB1"/>
    <w:rsid w:val="6D8D7575"/>
    <w:rsid w:val="6D9B170F"/>
    <w:rsid w:val="6E330AE6"/>
    <w:rsid w:val="6E3A5918"/>
    <w:rsid w:val="6E5278B1"/>
    <w:rsid w:val="6E5518BE"/>
    <w:rsid w:val="6E9835C9"/>
    <w:rsid w:val="6E9D0F19"/>
    <w:rsid w:val="6EA463A2"/>
    <w:rsid w:val="6EEA46FD"/>
    <w:rsid w:val="6F0D7498"/>
    <w:rsid w:val="6F101C89"/>
    <w:rsid w:val="6F152D9A"/>
    <w:rsid w:val="6F23376B"/>
    <w:rsid w:val="6F5B1156"/>
    <w:rsid w:val="6F600666"/>
    <w:rsid w:val="6FA64098"/>
    <w:rsid w:val="6FB865A9"/>
    <w:rsid w:val="6FC97E4C"/>
    <w:rsid w:val="6FF70194"/>
    <w:rsid w:val="6FFF7C0E"/>
    <w:rsid w:val="7073599E"/>
    <w:rsid w:val="70736AC3"/>
    <w:rsid w:val="70A42689"/>
    <w:rsid w:val="714F6A99"/>
    <w:rsid w:val="71685DAD"/>
    <w:rsid w:val="71A566B9"/>
    <w:rsid w:val="71DB20DB"/>
    <w:rsid w:val="71F061CA"/>
    <w:rsid w:val="7224387D"/>
    <w:rsid w:val="72273572"/>
    <w:rsid w:val="722C6DDA"/>
    <w:rsid w:val="72583E79"/>
    <w:rsid w:val="725A654C"/>
    <w:rsid w:val="7296062D"/>
    <w:rsid w:val="72E46850"/>
    <w:rsid w:val="72FA2DC3"/>
    <w:rsid w:val="731C29AB"/>
    <w:rsid w:val="73400AE2"/>
    <w:rsid w:val="735E0EFB"/>
    <w:rsid w:val="73941CCC"/>
    <w:rsid w:val="73993FFB"/>
    <w:rsid w:val="73D019E7"/>
    <w:rsid w:val="7400051E"/>
    <w:rsid w:val="741E09A4"/>
    <w:rsid w:val="744A1799"/>
    <w:rsid w:val="748A0EC8"/>
    <w:rsid w:val="748A7DE8"/>
    <w:rsid w:val="74BB4445"/>
    <w:rsid w:val="74D86DA5"/>
    <w:rsid w:val="74DB6895"/>
    <w:rsid w:val="75680129"/>
    <w:rsid w:val="756E3323"/>
    <w:rsid w:val="757F36C5"/>
    <w:rsid w:val="75D27C98"/>
    <w:rsid w:val="75E35E0E"/>
    <w:rsid w:val="75E850A3"/>
    <w:rsid w:val="75F47C0F"/>
    <w:rsid w:val="76051E1C"/>
    <w:rsid w:val="760925E8"/>
    <w:rsid w:val="76487F5B"/>
    <w:rsid w:val="76537D16"/>
    <w:rsid w:val="767A7B3A"/>
    <w:rsid w:val="76934ECB"/>
    <w:rsid w:val="7696746C"/>
    <w:rsid w:val="76A1622D"/>
    <w:rsid w:val="76EF4B9C"/>
    <w:rsid w:val="76F157CC"/>
    <w:rsid w:val="77107490"/>
    <w:rsid w:val="771A0441"/>
    <w:rsid w:val="77566CEB"/>
    <w:rsid w:val="776F07C8"/>
    <w:rsid w:val="77B227F5"/>
    <w:rsid w:val="77C56C4E"/>
    <w:rsid w:val="77C61FA0"/>
    <w:rsid w:val="77D17A45"/>
    <w:rsid w:val="77FC0D3A"/>
    <w:rsid w:val="77FE2FC7"/>
    <w:rsid w:val="78055809"/>
    <w:rsid w:val="78125870"/>
    <w:rsid w:val="78623556"/>
    <w:rsid w:val="78A0407E"/>
    <w:rsid w:val="78BA71D9"/>
    <w:rsid w:val="78C95383"/>
    <w:rsid w:val="79061938"/>
    <w:rsid w:val="790D117C"/>
    <w:rsid w:val="791B1604"/>
    <w:rsid w:val="79294073"/>
    <w:rsid w:val="792B7DEB"/>
    <w:rsid w:val="793364C5"/>
    <w:rsid w:val="797572B9"/>
    <w:rsid w:val="79A90D10"/>
    <w:rsid w:val="79B0209F"/>
    <w:rsid w:val="79BB48AD"/>
    <w:rsid w:val="79BF480D"/>
    <w:rsid w:val="79CE4C1B"/>
    <w:rsid w:val="7A2C3BC4"/>
    <w:rsid w:val="7A344A7E"/>
    <w:rsid w:val="7A5F5873"/>
    <w:rsid w:val="7A886B78"/>
    <w:rsid w:val="7ACA3F5F"/>
    <w:rsid w:val="7AE53941"/>
    <w:rsid w:val="7B42766E"/>
    <w:rsid w:val="7B8437E3"/>
    <w:rsid w:val="7BA615A2"/>
    <w:rsid w:val="7BB8348D"/>
    <w:rsid w:val="7BBA5457"/>
    <w:rsid w:val="7BF546E1"/>
    <w:rsid w:val="7BFF585B"/>
    <w:rsid w:val="7C300245"/>
    <w:rsid w:val="7C32185B"/>
    <w:rsid w:val="7C4A39BD"/>
    <w:rsid w:val="7C8921A8"/>
    <w:rsid w:val="7CB83C1B"/>
    <w:rsid w:val="7D337C34"/>
    <w:rsid w:val="7D40373A"/>
    <w:rsid w:val="7D4A0A5C"/>
    <w:rsid w:val="7D4C20DE"/>
    <w:rsid w:val="7D511680"/>
    <w:rsid w:val="7D580E3B"/>
    <w:rsid w:val="7D733B0F"/>
    <w:rsid w:val="7D7E6B8B"/>
    <w:rsid w:val="7DEB3451"/>
    <w:rsid w:val="7DF859FB"/>
    <w:rsid w:val="7E2D352C"/>
    <w:rsid w:val="7E43252C"/>
    <w:rsid w:val="7E4E1E86"/>
    <w:rsid w:val="7E5971A9"/>
    <w:rsid w:val="7EA277A1"/>
    <w:rsid w:val="7EC91358"/>
    <w:rsid w:val="7F141322"/>
    <w:rsid w:val="7F341DFF"/>
    <w:rsid w:val="7F581C77"/>
    <w:rsid w:val="7FA77AA0"/>
    <w:rsid w:val="7FDC3989"/>
    <w:rsid w:val="7FEA09E2"/>
    <w:rsid w:val="7FEC1957"/>
    <w:rsid w:val="7FF37189"/>
    <w:rsid w:val="AE5AD153"/>
    <w:rsid w:val="B5FF2DC1"/>
    <w:rsid w:val="B9BB88A8"/>
    <w:rsid w:val="BC936312"/>
    <w:rsid w:val="CDEEC8AF"/>
    <w:rsid w:val="E75F9682"/>
    <w:rsid w:val="EA0B12A9"/>
    <w:rsid w:val="ECFB3E9C"/>
    <w:rsid w:val="EEFF5F8E"/>
    <w:rsid w:val="F7DB2196"/>
    <w:rsid w:val="FADDB4F8"/>
    <w:rsid w:val="FAE9CD5D"/>
    <w:rsid w:val="FB692196"/>
    <w:rsid w:val="FBFE42C8"/>
    <w:rsid w:val="FFDF6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kern w:val="0"/>
      <w:sz w:val="32"/>
      <w:szCs w:val="32"/>
    </w:rPr>
  </w:style>
  <w:style w:type="paragraph" w:styleId="4">
    <w:name w:val="heading 4"/>
    <w:basedOn w:val="1"/>
    <w:next w:val="1"/>
    <w:unhideWhenUsed/>
    <w:qFormat/>
    <w:uiPriority w:val="9"/>
    <w:pPr>
      <w:keepNext/>
      <w:keepLines/>
      <w:ind w:firstLine="643"/>
      <w:outlineLvl w:val="3"/>
    </w:pPr>
    <w:rPr>
      <w:rFonts w:ascii="仿宋" w:eastAsia="仿宋" w:cstheme="majorBidi"/>
      <w:b/>
      <w:bCs/>
      <w:sz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rPr>
      <w:sz w:val="24"/>
    </w:rPr>
  </w:style>
  <w:style w:type="paragraph" w:styleId="5">
    <w:name w:val="Normal Indent"/>
    <w:basedOn w:val="1"/>
    <w:qFormat/>
    <w:uiPriority w:val="0"/>
    <w:pPr>
      <w:ind w:firstLine="420" w:firstLineChars="200"/>
    </w:pPr>
    <w:rPr>
      <w:szCs w:val="20"/>
    </w:rPr>
  </w:style>
  <w:style w:type="paragraph" w:styleId="6">
    <w:name w:val="annotation text"/>
    <w:basedOn w:val="1"/>
    <w:unhideWhenUsed/>
    <w:qFormat/>
    <w:uiPriority w:val="0"/>
    <w:pPr>
      <w:jc w:val="left"/>
    </w:pPr>
    <w:rPr>
      <w:kern w:val="0"/>
      <w:sz w:val="20"/>
    </w:rPr>
  </w:style>
  <w:style w:type="paragraph" w:styleId="7">
    <w:name w:val="Body Text Indent"/>
    <w:basedOn w:val="1"/>
    <w:unhideWhenUsed/>
    <w:qFormat/>
    <w:uiPriority w:val="99"/>
    <w:pPr>
      <w:spacing w:after="120"/>
      <w:ind w:left="420" w:leftChars="200"/>
    </w:pPr>
    <w:rPr>
      <w:kern w:val="0"/>
      <w:sz w:val="20"/>
      <w:szCs w:val="20"/>
    </w:rPr>
  </w:style>
  <w:style w:type="paragraph" w:styleId="8">
    <w:name w:val="Plain Text"/>
    <w:basedOn w:val="1"/>
    <w:next w:val="9"/>
    <w:qFormat/>
    <w:uiPriority w:val="0"/>
    <w:rPr>
      <w:rFonts w:ascii="宋体" w:hAnsi="Courier New"/>
    </w:rPr>
  </w:style>
  <w:style w:type="paragraph" w:customStyle="1" w:styleId="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0">
    <w:name w:val="footer"/>
    <w:basedOn w:val="1"/>
    <w:unhideWhenUsed/>
    <w:qFormat/>
    <w:uiPriority w:val="99"/>
    <w:pPr>
      <w:tabs>
        <w:tab w:val="center" w:pos="4153"/>
        <w:tab w:val="right" w:pos="8306"/>
      </w:tabs>
      <w:snapToGrid w:val="0"/>
      <w:jc w:val="left"/>
    </w:pPr>
    <w:rPr>
      <w:kern w:val="0"/>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unhideWhenUsed/>
    <w:qFormat/>
    <w:uiPriority w:val="39"/>
  </w:style>
  <w:style w:type="paragraph" w:styleId="13">
    <w:name w:val="toc 2"/>
    <w:basedOn w:val="1"/>
    <w:next w:val="1"/>
    <w:qFormat/>
    <w:uiPriority w:val="0"/>
    <w:pPr>
      <w:spacing w:line="600" w:lineRule="exact"/>
      <w:ind w:firstLine="880" w:firstLineChars="200"/>
    </w:pPr>
    <w:rPr>
      <w:rFonts w:eastAsia="仿宋_GB2312"/>
      <w:sz w:val="32"/>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qFormat/>
    <w:uiPriority w:val="0"/>
    <w:pPr>
      <w:spacing w:before="240" w:after="60"/>
      <w:jc w:val="center"/>
      <w:outlineLvl w:val="0"/>
    </w:pPr>
    <w:rPr>
      <w:rFonts w:ascii="Arial" w:hAnsi="Arial" w:eastAsia="隶书"/>
      <w:b/>
      <w:bCs/>
      <w:sz w:val="32"/>
      <w:szCs w:val="32"/>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page number"/>
    <w:qFormat/>
    <w:uiPriority w:val="0"/>
  </w:style>
  <w:style w:type="character" w:styleId="21">
    <w:name w:val="annotation reference"/>
    <w:qFormat/>
    <w:uiPriority w:val="0"/>
    <w:rPr>
      <w:sz w:val="21"/>
      <w:szCs w:val="21"/>
    </w:rPr>
  </w:style>
  <w:style w:type="paragraph" w:styleId="22">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23">
    <w:name w:val="正文格式"/>
    <w:basedOn w:val="7"/>
    <w:qFormat/>
    <w:uiPriority w:val="99"/>
    <w:pPr>
      <w:spacing w:after="0" w:line="360" w:lineRule="auto"/>
      <w:ind w:left="0" w:leftChars="0" w:firstLine="600"/>
    </w:pPr>
    <w:rPr>
      <w:rFonts w:eastAsia="仿宋_GB2312"/>
      <w:sz w:val="30"/>
      <w:szCs w:val="30"/>
    </w:rPr>
  </w:style>
  <w:style w:type="paragraph" w:customStyle="1" w:styleId="24">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styleId="25">
    <w:name w:val="List Paragraph"/>
    <w:basedOn w:val="1"/>
    <w:qFormat/>
    <w:uiPriority w:val="34"/>
    <w:pPr>
      <w:ind w:firstLine="420" w:firstLineChars="200"/>
    </w:pPr>
  </w:style>
  <w:style w:type="paragraph" w:customStyle="1" w:styleId="26">
    <w:name w:val="（）列表模式"/>
    <w:basedOn w:val="1"/>
    <w:qFormat/>
    <w:uiPriority w:val="0"/>
    <w:pPr>
      <w:tabs>
        <w:tab w:val="left" w:pos="960"/>
        <w:tab w:val="left" w:pos="1470"/>
      </w:tabs>
      <w:spacing w:line="360" w:lineRule="auto"/>
      <w:ind w:left="1470" w:hanging="420"/>
    </w:pPr>
    <w:rPr>
      <w:sz w:val="24"/>
      <w:szCs w:val="20"/>
    </w:rPr>
  </w:style>
  <w:style w:type="paragraph" w:customStyle="1" w:styleId="27">
    <w:name w:val="Table Paragraph"/>
    <w:basedOn w:val="1"/>
    <w:qFormat/>
    <w:uiPriority w:val="0"/>
    <w:pPr>
      <w:autoSpaceDE w:val="0"/>
      <w:autoSpaceDN w:val="0"/>
      <w:jc w:val="left"/>
    </w:pPr>
    <w:rPr>
      <w:rFonts w:ascii="宋体" w:hAnsi="宋体" w:cs="宋体"/>
      <w:kern w:val="0"/>
      <w:sz w:val="22"/>
      <w:szCs w:val="22"/>
    </w:rPr>
  </w:style>
  <w:style w:type="paragraph" w:customStyle="1" w:styleId="28">
    <w:name w:val="x-scope"/>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9">
    <w:name w:val="qowt-font5-gb2312"/>
    <w:qFormat/>
    <w:uiPriority w:val="0"/>
  </w:style>
  <w:style w:type="paragraph" w:customStyle="1" w:styleId="30">
    <w:name w:val="正文 New New New New New"/>
    <w:qFormat/>
    <w:uiPriority w:val="0"/>
    <w:pPr>
      <w:widowControl w:val="0"/>
      <w:jc w:val="both"/>
    </w:pPr>
    <w:rPr>
      <w:rFonts w:ascii="等线" w:hAnsi="等线" w:eastAsia="等线" w:cs="等线"/>
      <w:kern w:val="2"/>
      <w:sz w:val="21"/>
      <w:szCs w:val="24"/>
      <w:lang w:val="en-US" w:eastAsia="zh-CN" w:bidi="ar-SA"/>
    </w:rPr>
  </w:style>
  <w:style w:type="paragraph" w:customStyle="1" w:styleId="31">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40521</Words>
  <Characters>43093</Characters>
  <Lines>0</Lines>
  <Paragraphs>0</Paragraphs>
  <TotalTime>62</TotalTime>
  <ScaleCrop>false</ScaleCrop>
  <LinksUpToDate>false</LinksUpToDate>
  <CharactersWithSpaces>44967</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2023-11-11T20:59:00Z</dcterms:created>
  <dc:creator>姬崽</dc:creator>
  <cp:lastModifiedBy>陈可欣</cp:lastModifiedBy>
  <dcterms:modified xsi:type="dcterms:W3CDTF">2024-09-14T04:44:23Z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8224269737DF4D17B0D6DFE97BC9763F</vt:lpwstr>
  </property>
</Properties>
</file>