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72"/>
          <w:szCs w:val="72"/>
          <w:highlight w:val="none"/>
        </w:rPr>
      </w:pPr>
    </w:p>
    <w:p>
      <w:pPr>
        <w:pStyle w:val="3"/>
        <w:rPr>
          <w:rFonts w:hint="eastAsia"/>
          <w:color w:val="auto"/>
          <w:highlight w:val="none"/>
        </w:rPr>
      </w:pPr>
    </w:p>
    <w:p>
      <w:pPr>
        <w:rPr>
          <w:rFonts w:hint="eastAsia"/>
          <w:color w:val="auto"/>
          <w:highlight w:val="none"/>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hint="eastAsia" w:ascii="宋体" w:hAnsi="宋体" w:cs="宋体"/>
          <w:color w:val="auto"/>
          <w:highlight w:val="none"/>
        </w:rPr>
      </w:pPr>
    </w:p>
    <w:p>
      <w:pPr>
        <w:rPr>
          <w:rFonts w:hint="eastAsia" w:ascii="宋体" w:hAnsi="宋体" w:cs="宋体"/>
          <w:color w:val="auto"/>
          <w:highlight w:val="none"/>
        </w:rPr>
      </w:pPr>
    </w:p>
    <w:p>
      <w:pPr>
        <w:pStyle w:val="24"/>
        <w:ind w:firstLine="420"/>
        <w:rPr>
          <w:rFonts w:hint="eastAsia" w:ascii="宋体" w:hAnsi="宋体" w:cs="宋体"/>
          <w:color w:val="auto"/>
          <w:highlight w:val="none"/>
        </w:rPr>
      </w:pPr>
    </w:p>
    <w:p>
      <w:pPr>
        <w:pStyle w:val="24"/>
        <w:ind w:firstLine="420"/>
        <w:rPr>
          <w:rFonts w:hint="eastAsia" w:ascii="宋体" w:hAnsi="宋体" w:cs="宋体"/>
          <w:color w:val="auto"/>
          <w:highlight w:val="none"/>
        </w:rPr>
      </w:pPr>
    </w:p>
    <w:p>
      <w:pPr>
        <w:rPr>
          <w:rFonts w:hint="eastAsia" w:ascii="宋体" w:hAnsi="宋体" w:cs="宋体"/>
          <w:b/>
          <w:color w:val="auto"/>
          <w:sz w:val="44"/>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QH2024069</w:t>
      </w:r>
    </w:p>
    <w:p>
      <w:pPr>
        <w:pStyle w:val="24"/>
        <w:ind w:firstLine="420"/>
        <w:rPr>
          <w:rFonts w:hint="eastAsia" w:ascii="宋体" w:hAnsi="宋体" w:cs="宋体"/>
          <w:color w:val="auto"/>
          <w:highlight w:val="none"/>
        </w:rPr>
      </w:pPr>
    </w:p>
    <w:p>
      <w:pPr>
        <w:pStyle w:val="24"/>
        <w:ind w:firstLine="420"/>
        <w:rPr>
          <w:rFonts w:hint="eastAsia" w:ascii="宋体" w:hAnsi="宋体" w:cs="宋体"/>
          <w:color w:val="auto"/>
          <w:highlight w:val="none"/>
        </w:rPr>
      </w:pPr>
    </w:p>
    <w:p>
      <w:pPr>
        <w:pStyle w:val="24"/>
        <w:ind w:firstLine="420"/>
        <w:rPr>
          <w:rFonts w:hint="eastAsia" w:ascii="宋体" w:hAnsi="宋体" w:cs="宋体"/>
          <w:color w:val="auto"/>
          <w:highlight w:val="none"/>
        </w:rPr>
      </w:pPr>
    </w:p>
    <w:p>
      <w:pPr>
        <w:ind w:left="2326" w:leftChars="247" w:right="-319" w:rightChars="-152" w:hanging="1807" w:hangingChars="50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招标项目：</w:t>
      </w:r>
      <w:r>
        <w:rPr>
          <w:rFonts w:hint="default" w:ascii="宋体" w:hAnsi="宋体" w:cs="宋体"/>
          <w:b/>
          <w:color w:val="auto"/>
          <w:sz w:val="36"/>
          <w:szCs w:val="36"/>
          <w:highlight w:val="none"/>
          <w:lang w:val="en-US" w:eastAsia="zh-CN"/>
        </w:rPr>
        <w:t>前海跨境电商集聚区综合服务</w:t>
      </w:r>
      <w:r>
        <w:rPr>
          <w:rFonts w:hint="eastAsia" w:ascii="宋体" w:hAnsi="宋体" w:cs="宋体"/>
          <w:b/>
          <w:color w:val="auto"/>
          <w:sz w:val="36"/>
          <w:szCs w:val="36"/>
          <w:highlight w:val="none"/>
          <w:lang w:val="en-US" w:eastAsia="zh-CN"/>
        </w:rPr>
        <w:t>项目</w:t>
      </w:r>
    </w:p>
    <w:p>
      <w:pPr>
        <w:ind w:firstLine="3264" w:firstLineChars="739"/>
        <w:rPr>
          <w:rFonts w:hint="eastAsia" w:ascii="宋体" w:hAnsi="宋体" w:cs="宋体"/>
          <w:b/>
          <w:color w:val="auto"/>
          <w:sz w:val="44"/>
          <w:highlight w:val="none"/>
        </w:rPr>
      </w:pPr>
    </w:p>
    <w:p>
      <w:pPr>
        <w:ind w:left="1260" w:leftChars="600" w:firstLine="1855" w:firstLineChars="420"/>
        <w:rPr>
          <w:rFonts w:hint="eastAsia" w:ascii="宋体" w:hAnsi="宋体" w:cs="宋体"/>
          <w:b/>
          <w:color w:val="auto"/>
          <w:sz w:val="44"/>
          <w:highlight w:val="none"/>
        </w:rPr>
      </w:pPr>
    </w:p>
    <w:p>
      <w:pPr>
        <w:rPr>
          <w:rFonts w:hint="eastAsia" w:ascii="宋体" w:hAnsi="宋体" w:cs="宋体"/>
          <w:b/>
          <w:color w:val="auto"/>
          <w:sz w:val="44"/>
          <w:highlight w:val="none"/>
        </w:rPr>
      </w:pPr>
    </w:p>
    <w:p>
      <w:pPr>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4</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9</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hint="eastAsia"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pStyle w:val="3"/>
        <w:rPr>
          <w:rFonts w:hint="eastAsia"/>
          <w:color w:val="auto"/>
          <w:highlight w:val="none"/>
        </w:rPr>
      </w:pP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（一）在采购活动中应当回避而未回避的；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（二）未按本条例规定签订、履行采购合同，造成严重后果的；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（三）隐瞒真实情况，提供虚假资料的；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（四）以非法手段排斥其他供应商参与竞</w:t>
      </w:r>
      <w:bookmarkStart w:id="29" w:name="_GoBack"/>
      <w:bookmarkEnd w:id="29"/>
      <w:r>
        <w:rPr>
          <w:rFonts w:hint="eastAsia" w:ascii="宋体" w:hAnsi="宋体" w:cs="宋体"/>
          <w:color w:val="auto"/>
          <w:sz w:val="24"/>
          <w:highlight w:val="none"/>
        </w:rPr>
        <w:t>争的；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（五）与其他采购参加人串通投标的；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（六）恶意投诉的；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（七）向采购项目相关人行贿或者提供其他不当利益的；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（八）阻碍、抗拒主管部门监督检查的；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（九）其他违反本条例规定的行为。</w:t>
      </w:r>
    </w:p>
    <w:p>
      <w:pPr>
        <w:snapToGrid w:val="0"/>
        <w:spacing w:line="360" w:lineRule="auto"/>
        <w:ind w:firstLine="470" w:firstLineChars="196"/>
        <w:rPr>
          <w:rFonts w:hint="eastAsia" w:ascii="宋体" w:hAnsi="宋体" w:cs="宋体"/>
          <w:color w:val="auto"/>
          <w:sz w:val="24"/>
          <w:highlight w:val="none"/>
        </w:rPr>
      </w:pP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二、《深圳经济特区政府采购条例实施细则》</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1" w:name="_Toc20808"/>
      <w:r>
        <w:rPr>
          <w:rFonts w:hint="eastAsia" w:ascii="宋体" w:hAnsi="宋体" w:cs="宋体"/>
          <w:b/>
          <w:bCs/>
          <w:color w:val="auto"/>
          <w:sz w:val="36"/>
          <w:szCs w:val="36"/>
          <w:highlight w:val="none"/>
          <w:lang w:val="zh-CN"/>
        </w:rPr>
        <w:t>目录</w:t>
      </w:r>
      <w:bookmarkEnd w:id="0"/>
      <w:bookmarkEnd w:id="1"/>
    </w:p>
    <w:p>
      <w:pPr>
        <w:pStyle w:val="14"/>
        <w:tabs>
          <w:tab w:val="right" w:leader="dot" w:pos="8306"/>
        </w:tabs>
        <w:spacing w:line="480" w:lineRule="auto"/>
        <w:rPr>
          <w:b/>
          <w:bCs/>
          <w:color w:val="auto"/>
          <w:sz w:val="24"/>
          <w:szCs w:val="32"/>
          <w:highlight w:val="none"/>
        </w:rPr>
      </w:pPr>
    </w:p>
    <w:p>
      <w:pPr>
        <w:pStyle w:val="14"/>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_Toc17273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第一章 招标邀请书（招标公告）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_Toc17273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_Toc10214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第二章 投标须知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_Toc10214 \h </w:instrText>
      </w:r>
      <w:r>
        <w:rPr>
          <w:b/>
          <w:bCs/>
          <w:color w:val="auto"/>
          <w:sz w:val="24"/>
          <w:highlight w:val="none"/>
        </w:rPr>
        <w:fldChar w:fldCharType="separate"/>
      </w:r>
      <w:r>
        <w:rPr>
          <w:b/>
          <w:bCs/>
          <w:color w:val="auto"/>
          <w:sz w:val="24"/>
          <w:highlight w:val="none"/>
        </w:rPr>
        <w:t>8</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_Toc20176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第三章 评标程序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_Toc20176 \h </w:instrText>
      </w:r>
      <w:r>
        <w:rPr>
          <w:b/>
          <w:bCs/>
          <w:color w:val="auto"/>
          <w:sz w:val="24"/>
          <w:highlight w:val="none"/>
        </w:rPr>
        <w:fldChar w:fldCharType="separate"/>
      </w:r>
      <w:r>
        <w:rPr>
          <w:b/>
          <w:bCs/>
          <w:color w:val="auto"/>
          <w:sz w:val="24"/>
          <w:highlight w:val="none"/>
        </w:rPr>
        <w:t>11</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_Toc3567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第四章 合同格式及合同条款</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_Toc3567 \h </w:instrText>
      </w:r>
      <w:r>
        <w:rPr>
          <w:b/>
          <w:bCs/>
          <w:color w:val="auto"/>
          <w:sz w:val="24"/>
          <w:highlight w:val="none"/>
        </w:rPr>
        <w:fldChar w:fldCharType="separate"/>
      </w:r>
      <w:r>
        <w:rPr>
          <w:b/>
          <w:bCs/>
          <w:color w:val="auto"/>
          <w:sz w:val="24"/>
          <w:highlight w:val="none"/>
        </w:rPr>
        <w:t>13</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4"/>
        <w:tabs>
          <w:tab w:val="right" w:leader="dot" w:pos="8306"/>
        </w:tabs>
        <w:spacing w:line="360" w:lineRule="auto"/>
        <w:rPr>
          <w:rFonts w:hint="default" w:eastAsia="宋体"/>
          <w:b/>
          <w:bCs/>
          <w:color w:val="auto"/>
          <w:sz w:val="24"/>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_Toc25518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第五章 用户需求书</w:t>
      </w:r>
      <w:r>
        <w:rPr>
          <w:b/>
          <w:bCs/>
          <w:color w:val="auto"/>
          <w:sz w:val="24"/>
          <w:highlight w:val="none"/>
        </w:rPr>
        <w:tab/>
      </w:r>
      <w:r>
        <w:rPr>
          <w:rFonts w:hint="eastAsia" w:ascii="宋体" w:hAnsi="宋体" w:cs="宋体"/>
          <w:b/>
          <w:bCs/>
          <w:color w:val="auto"/>
          <w:sz w:val="24"/>
          <w:highlight w:val="none"/>
        </w:rPr>
        <w:fldChar w:fldCharType="end"/>
      </w:r>
      <w:r>
        <w:rPr>
          <w:rFonts w:hint="eastAsia"/>
          <w:b/>
          <w:bCs/>
          <w:color w:val="auto"/>
          <w:sz w:val="24"/>
          <w:highlight w:val="none"/>
          <w:lang w:val="en-US" w:eastAsia="zh-CN"/>
        </w:rPr>
        <w:t>26</w:t>
      </w:r>
    </w:p>
    <w:p>
      <w:pPr>
        <w:pStyle w:val="14"/>
        <w:tabs>
          <w:tab w:val="right" w:leader="dot" w:pos="8306"/>
        </w:tabs>
        <w:spacing w:line="360" w:lineRule="auto"/>
        <w:rPr>
          <w:rFonts w:hint="default" w:eastAsia="宋体"/>
          <w:b/>
          <w:bCs/>
          <w:color w:val="auto"/>
          <w:sz w:val="24"/>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_Toc23822 </w:instrText>
      </w:r>
      <w:r>
        <w:rPr>
          <w:rFonts w:hint="eastAsia" w:ascii="宋体" w:hAnsi="宋体" w:cs="宋体"/>
          <w:b/>
          <w:bCs/>
          <w:color w:val="auto"/>
          <w:sz w:val="24"/>
          <w:highlight w:val="none"/>
        </w:rPr>
        <w:fldChar w:fldCharType="separate"/>
      </w:r>
      <w:r>
        <w:rPr>
          <w:rFonts w:hint="eastAsia" w:ascii="宋体" w:cs="宋体"/>
          <w:b/>
          <w:bCs/>
          <w:color w:val="auto"/>
          <w:sz w:val="24"/>
          <w:highlight w:val="none"/>
        </w:rPr>
        <w:t>第六章 投标文件初审及招标项目评分表</w:t>
      </w:r>
      <w:r>
        <w:rPr>
          <w:b/>
          <w:bCs/>
          <w:color w:val="auto"/>
          <w:sz w:val="24"/>
          <w:highlight w:val="none"/>
        </w:rPr>
        <w:tab/>
      </w:r>
      <w:r>
        <w:rPr>
          <w:rFonts w:hint="eastAsia" w:ascii="宋体" w:hAnsi="宋体" w:cs="宋体"/>
          <w:b/>
          <w:bCs/>
          <w:color w:val="auto"/>
          <w:sz w:val="24"/>
          <w:highlight w:val="none"/>
        </w:rPr>
        <w:fldChar w:fldCharType="end"/>
      </w:r>
      <w:r>
        <w:rPr>
          <w:rFonts w:hint="eastAsia"/>
          <w:b/>
          <w:bCs/>
          <w:color w:val="auto"/>
          <w:sz w:val="24"/>
          <w:highlight w:val="none"/>
          <w:lang w:val="en-US" w:eastAsia="zh-CN"/>
        </w:rPr>
        <w:t>32</w:t>
      </w:r>
    </w:p>
    <w:p>
      <w:pPr>
        <w:pStyle w:val="14"/>
        <w:tabs>
          <w:tab w:val="right" w:leader="dot" w:pos="8306"/>
        </w:tabs>
        <w:spacing w:line="360" w:lineRule="auto"/>
        <w:rPr>
          <w:rFonts w:hint="default" w:eastAsia="宋体"/>
          <w:b/>
          <w:bCs/>
          <w:color w:val="auto"/>
          <w:sz w:val="24"/>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_Toc9548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第七章 附件（投标文件格式）</w:t>
      </w:r>
      <w:r>
        <w:rPr>
          <w:b/>
          <w:bCs/>
          <w:color w:val="auto"/>
          <w:sz w:val="24"/>
          <w:highlight w:val="none"/>
        </w:rPr>
        <w:tab/>
      </w:r>
      <w:r>
        <w:rPr>
          <w:rFonts w:hint="eastAsia" w:ascii="宋体" w:hAnsi="宋体" w:cs="宋体"/>
          <w:b/>
          <w:bCs/>
          <w:color w:val="auto"/>
          <w:sz w:val="24"/>
          <w:highlight w:val="none"/>
        </w:rPr>
        <w:fldChar w:fldCharType="end"/>
      </w:r>
      <w:r>
        <w:rPr>
          <w:rFonts w:hint="eastAsia"/>
          <w:b/>
          <w:bCs/>
          <w:color w:val="auto"/>
          <w:sz w:val="24"/>
          <w:highlight w:val="none"/>
          <w:lang w:val="en-US" w:eastAsia="zh-CN"/>
        </w:rPr>
        <w:t>38</w:t>
      </w:r>
    </w:p>
    <w:p>
      <w:pPr>
        <w:pStyle w:val="14"/>
        <w:tabs>
          <w:tab w:val="right" w:leader="dot" w:pos="8306"/>
        </w:tabs>
        <w:spacing w:line="360" w:lineRule="auto"/>
        <w:rPr>
          <w:rFonts w:hint="default" w:eastAsia="宋体"/>
          <w:b/>
          <w:bCs/>
          <w:color w:val="auto"/>
          <w:sz w:val="24"/>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_Toc742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附件：相关政策</w:t>
      </w:r>
      <w:r>
        <w:rPr>
          <w:b/>
          <w:bCs/>
          <w:color w:val="auto"/>
          <w:sz w:val="24"/>
          <w:highlight w:val="none"/>
        </w:rPr>
        <w:tab/>
      </w:r>
      <w:r>
        <w:rPr>
          <w:rFonts w:hint="eastAsia" w:ascii="宋体" w:hAnsi="宋体" w:cs="宋体"/>
          <w:b/>
          <w:bCs/>
          <w:color w:val="auto"/>
          <w:sz w:val="24"/>
          <w:highlight w:val="none"/>
        </w:rPr>
        <w:fldChar w:fldCharType="end"/>
      </w:r>
      <w:r>
        <w:rPr>
          <w:rFonts w:hint="eastAsia"/>
          <w:b/>
          <w:bCs/>
          <w:color w:val="auto"/>
          <w:sz w:val="24"/>
          <w:highlight w:val="none"/>
          <w:lang w:val="en-US" w:eastAsia="zh-CN"/>
        </w:rPr>
        <w:t>57</w:t>
      </w:r>
    </w:p>
    <w:p>
      <w:pPr>
        <w:pStyle w:val="14"/>
        <w:tabs>
          <w:tab w:val="right" w:leader="dot" w:pos="8306"/>
        </w:tabs>
        <w:spacing w:line="360" w:lineRule="auto"/>
        <w:rPr>
          <w:rFonts w:hint="eastAsia" w:ascii="宋体" w:hAnsi="宋体" w:cs="宋体"/>
          <w:b/>
          <w:color w:val="auto"/>
          <w:sz w:val="24"/>
          <w:highlight w:val="none"/>
        </w:rPr>
      </w:pPr>
      <w:r>
        <w:rPr>
          <w:rFonts w:hint="eastAsia" w:ascii="宋体" w:hAnsi="宋体" w:cs="宋体"/>
          <w:b/>
          <w:bCs/>
          <w:color w:val="auto"/>
          <w:sz w:val="24"/>
          <w:highlight w:val="none"/>
        </w:rPr>
        <w:fldChar w:fldCharType="end"/>
      </w:r>
    </w:p>
    <w:p>
      <w:pPr>
        <w:spacing w:line="360" w:lineRule="auto"/>
        <w:rPr>
          <w:color w:val="auto"/>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2" w:name="_Toc17273"/>
      <w:r>
        <w:rPr>
          <w:rFonts w:hint="eastAsia" w:ascii="宋体" w:hAnsi="宋体" w:cs="宋体"/>
          <w:b/>
          <w:bCs/>
          <w:color w:val="auto"/>
          <w:sz w:val="24"/>
          <w:highlight w:val="none"/>
        </w:rPr>
        <w:t>招标邀请书（招标公告）</w:t>
      </w:r>
      <w:bookmarkEnd w:id="2"/>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文件编码:0722-2024FE2156SZF-1</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中国远东国际招标有限公司（以下简称采购代理机构）受深圳市前海深港现代服务业合作区管理局委托就“</w:t>
      </w:r>
      <w:r>
        <w:rPr>
          <w:rFonts w:hint="eastAsia" w:ascii="宋体" w:hAnsi="宋体" w:cs="宋体"/>
          <w:color w:val="auto"/>
          <w:sz w:val="24"/>
          <w:highlight w:val="none"/>
          <w:u w:val="single"/>
          <w:lang w:eastAsia="zh-CN"/>
        </w:rPr>
        <w:t>前海跨境电商集聚区综合服务项目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QH2024069</w:t>
      </w:r>
      <w:r>
        <w:rPr>
          <w:rFonts w:hint="eastAsia" w:ascii="宋体" w:hAnsi="宋体" w:cs="宋体"/>
          <w:color w:val="auto"/>
          <w:sz w:val="24"/>
          <w:highlight w:val="none"/>
        </w:rPr>
        <w:t>）”采用简易招标方式采购，欢迎符合投标人资格要求的专业供应商积极参加投标。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QH2024069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招标项目名称</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none"/>
                <w:lang w:eastAsia="zh-CN"/>
              </w:rPr>
              <w:t>前海跨境电商集聚区综合服务项目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标的内容</w:t>
            </w:r>
          </w:p>
        </w:tc>
        <w:tc>
          <w:tcPr>
            <w:tcW w:w="7015" w:type="dxa"/>
            <w:noWrap w:val="0"/>
            <w:vAlign w:val="center"/>
          </w:tcPr>
          <w:p>
            <w:pPr>
              <w:spacing w:line="360" w:lineRule="auto"/>
              <w:rPr>
                <w:color w:val="auto"/>
                <w:highlight w:val="none"/>
              </w:rPr>
            </w:pPr>
            <w:r>
              <w:rPr>
                <w:rFonts w:hint="eastAsia" w:ascii="宋体" w:hAnsi="宋体" w:cs="宋体"/>
                <w:color w:val="auto"/>
                <w:sz w:val="24"/>
                <w:highlight w:val="none"/>
              </w:rPr>
              <w:t xml:space="preserve">   为深入贯彻落实党的二十届三中全会精神和《前海深港现代服务业合作区总体发展规划》的有关要求，加快发展外贸新业态新模式，提升跨境电商产业数据支撑前海经济运行调度、招商引资、企业服务的能级，充分发挥跨境电商服务中国制造业品牌出海的重要作用，助力高水平打造前海跨境电商集聚区，拟开展</w:t>
            </w:r>
            <w:r>
              <w:rPr>
                <w:rFonts w:hint="eastAsia" w:ascii="宋体" w:hAnsi="宋体" w:cs="宋体"/>
                <w:color w:val="auto"/>
                <w:sz w:val="24"/>
                <w:highlight w:val="none"/>
                <w:lang w:eastAsia="zh-CN"/>
              </w:rPr>
              <w:t>前海跨境电商集聚区综合服务项目</w:t>
            </w:r>
            <w:r>
              <w:rPr>
                <w:rFonts w:hint="eastAsia" w:ascii="宋体" w:hAnsi="宋体" w:cs="宋体"/>
                <w:color w:val="auto"/>
                <w:sz w:val="24"/>
                <w:highlight w:val="none"/>
              </w:rPr>
              <w:t>采购。具体详见用户需求书。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（最高限价）</w:t>
            </w:r>
          </w:p>
        </w:tc>
        <w:tc>
          <w:tcPr>
            <w:tcW w:w="701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50,000.00（人民币</w:t>
            </w:r>
            <w:r>
              <w:rPr>
                <w:rFonts w:hint="eastAsia" w:ascii="宋体" w:hAnsi="宋体" w:cs="宋体"/>
                <w:color w:val="auto"/>
                <w:sz w:val="24"/>
                <w:highlight w:val="none"/>
                <w:lang w:val="en-US" w:eastAsia="zh-CN"/>
              </w:rPr>
              <w:t>伍</w:t>
            </w:r>
            <w:r>
              <w:rPr>
                <w:rFonts w:hint="eastAsia" w:ascii="宋体" w:hAnsi="宋体" w:cs="宋体"/>
                <w:color w:val="auto"/>
                <w:sz w:val="24"/>
                <w:highlight w:val="none"/>
                <w:lang w:eastAsia="zh-CN"/>
              </w:rPr>
              <w:t>拾伍万元整）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9</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上</w:t>
            </w:r>
            <w:r>
              <w:rPr>
                <w:rFonts w:hint="eastAsia" w:ascii="宋体" w:hAnsi="宋体" w:cs="宋体"/>
                <w:b/>
                <w:bCs/>
                <w:color w:val="auto"/>
                <w:kern w:val="0"/>
                <w:sz w:val="24"/>
                <w:highlight w:val="none"/>
              </w:rPr>
              <w:t>午</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00时</w:t>
            </w:r>
            <w:r>
              <w:rPr>
                <w:rFonts w:hint="eastAsia" w:ascii="宋体" w:hAnsi="宋体" w:cs="宋体"/>
                <w:b/>
                <w:bCs/>
                <w:color w:val="auto"/>
                <w:kern w:val="0"/>
                <w:sz w:val="24"/>
                <w:highlight w:val="none"/>
              </w:rPr>
              <w:t>（北京时间）</w:t>
            </w:r>
            <w:r>
              <w:rPr>
                <w:rFonts w:hint="eastAsia" w:ascii="宋体" w:hAnsi="宋体" w:cs="宋体"/>
                <w:color w:val="auto"/>
                <w:kern w:val="0"/>
                <w:sz w:val="24"/>
                <w:highlight w:val="none"/>
              </w:rPr>
              <w:t>前送达（现场递交或邮寄）</w:t>
            </w:r>
            <w:r>
              <w:rPr>
                <w:rFonts w:hint="eastAsia" w:ascii="宋体" w:hAnsi="宋体" w:cs="宋体"/>
                <w:color w:val="auto"/>
                <w:kern w:val="0"/>
                <w:sz w:val="24"/>
                <w:highlight w:val="none"/>
                <w:u w:val="none"/>
              </w:rPr>
              <w:t>至深圳市南</w:t>
            </w:r>
            <w:r>
              <w:rPr>
                <w:rFonts w:hint="eastAsia" w:ascii="宋体" w:hAnsi="宋体" w:cs="宋体"/>
                <w:color w:val="auto"/>
                <w:kern w:val="0"/>
                <w:sz w:val="24"/>
                <w:highlight w:val="none"/>
              </w:rPr>
              <w:t>山区前海深港合作区桂湾五路123号前海管理局前海大</w:t>
            </w:r>
            <w:r>
              <w:rPr>
                <w:rFonts w:hint="eastAsia" w:ascii="宋体" w:hAnsi="宋体" w:eastAsia="宋体" w:cs="宋体"/>
                <w:color w:val="auto"/>
                <w:kern w:val="0"/>
                <w:sz w:val="24"/>
                <w:highlight w:val="none"/>
              </w:rPr>
              <w:t>厦T1栋</w:t>
            </w:r>
            <w:r>
              <w:rPr>
                <w:rFonts w:hint="eastAsia" w:ascii="宋体" w:hAnsi="宋体" w:eastAsia="宋体" w:cs="宋体"/>
                <w:color w:val="auto"/>
                <w:kern w:val="0"/>
                <w:sz w:val="24"/>
                <w:highlight w:val="none"/>
                <w:lang w:val="en-US" w:eastAsia="zh-CN"/>
              </w:rPr>
              <w:t>2302室</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  系  人：王振豪</w:t>
            </w:r>
          </w:p>
          <w:p>
            <w:pPr>
              <w:adjustRightInd w:val="0"/>
              <w:snapToGrid w:val="0"/>
              <w:spacing w:line="360" w:lineRule="auto"/>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电      话：</w:t>
            </w:r>
            <w:r>
              <w:rPr>
                <w:rFonts w:hint="eastAsia" w:ascii="宋体" w:hAnsi="宋体" w:cs="宋体"/>
                <w:color w:val="auto"/>
                <w:kern w:val="0"/>
                <w:sz w:val="24"/>
              </w:rPr>
              <w:t>13798275513</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w:t>
            </w:r>
            <w:r>
              <w:rPr>
                <w:rFonts w:hint="eastAsia" w:ascii="宋体" w:hAnsi="宋体" w:cs="宋体"/>
                <w:color w:val="auto"/>
                <w:kern w:val="0"/>
                <w:sz w:val="24"/>
                <w:highlight w:val="none"/>
                <w:lang w:val="en-US" w:eastAsia="zh-CN"/>
              </w:rPr>
              <w:t>他</w:t>
            </w:r>
            <w:r>
              <w:rPr>
                <w:rFonts w:hint="eastAsia" w:ascii="宋体" w:hAnsi="宋体" w:cs="宋体"/>
                <w:color w:val="auto"/>
                <w:kern w:val="0"/>
                <w:sz w:val="24"/>
                <w:highlight w:val="none"/>
              </w:rPr>
              <w:t>组织</w:t>
            </w:r>
            <w:r>
              <w:rPr>
                <w:rFonts w:hint="eastAsia" w:ascii="宋体" w:hAnsi="宋体" w:cs="宋体"/>
                <w:b/>
                <w:bCs/>
                <w:color w:val="auto"/>
                <w:kern w:val="0"/>
                <w:sz w:val="24"/>
                <w:highlight w:val="none"/>
              </w:rPr>
              <w:t>（提供营业执照或事业单位法人证等法人证明复印件加盖投标人公章）</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ascii="宋体" w:hAnsi="宋体" w:cs="宋体"/>
                <w:color w:val="auto"/>
                <w:kern w:val="0"/>
                <w:sz w:val="24"/>
                <w:highlight w:val="none"/>
              </w:rPr>
              <w:t>不</w:t>
            </w:r>
            <w:r>
              <w:rPr>
                <w:rFonts w:hint="eastAsia" w:ascii="宋体" w:hAnsi="宋体" w:cs="宋体"/>
                <w:color w:val="auto"/>
                <w:kern w:val="0"/>
                <w:sz w:val="24"/>
                <w:highlight w:val="none"/>
              </w:rPr>
              <w:t>接受联合体投标，不允许转包。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noWrap w:val="0"/>
            <w:vAlign w:val="center"/>
          </w:tcPr>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服务费采用包干制，应包括所有服务费用、项目调研费用、工作人员工资、差旅费、通讯、交通费用、分析费用、项目成果文本印刷费用、文件资料发送至采购人的费用、税费等。由报价人根据招标文件所提供的资料自行测算报价；一经中标，正式报价总价作为中标人与采购人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的合同金额，合同期限内不做调整。</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采购人信息：</w:t>
            </w:r>
          </w:p>
          <w:p>
            <w:pPr>
              <w:spacing w:line="360" w:lineRule="auto"/>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名      称：深圳市前海深港现代服务业合作区管理局</w:t>
            </w:r>
          </w:p>
          <w:p>
            <w:pPr>
              <w:spacing w:line="360" w:lineRule="auto"/>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联  系  人：王振豪</w:t>
            </w:r>
          </w:p>
          <w:p>
            <w:pPr>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rPr>
              <w:t>电      话：13798275513</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名      称： 中国远东国际招标有限公司</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地      址： 深圳市福田区上步南路1001号锦峰大厦22楼</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  系  人： 凌女士、伍先生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 0755-82078919、82077364转</w:t>
            </w:r>
            <w:r>
              <w:rPr>
                <w:rFonts w:hint="eastAsia" w:ascii="宋体" w:hAnsi="宋体" w:cs="宋体"/>
                <w:color w:val="auto"/>
                <w:kern w:val="0"/>
                <w:sz w:val="24"/>
                <w:highlight w:val="none"/>
                <w:lang w:val="en-US" w:eastAsia="zh-CN"/>
              </w:rPr>
              <w:t>110</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中国远东国际招标有限公司</w:t>
      </w:r>
    </w:p>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3" w:name="_Toc10214"/>
      <w:r>
        <w:rPr>
          <w:rFonts w:hint="eastAsia" w:ascii="宋体" w:hAnsi="宋体" w:cs="宋体"/>
          <w:b/>
          <w:bCs/>
          <w:color w:val="auto"/>
          <w:sz w:val="24"/>
          <w:highlight w:val="none"/>
        </w:rPr>
        <w:t>投标须知</w:t>
      </w:r>
      <w:bookmarkEnd w:id="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none"/>
          <w:lang w:eastAsia="zh-CN"/>
        </w:rPr>
        <w:t>前海跨境电商集聚区综合服务项目</w:t>
      </w:r>
      <w:r>
        <w:rPr>
          <w:rFonts w:hint="eastAsia" w:ascii="宋体" w:hAnsi="宋体" w:cs="宋体"/>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2、本项目不属于《深圳市2023—2024年政府集中采购目录及限额标准》规定应集中采购项目，根据《中华人民共和国政府采购法》、《深圳经济特区</w:t>
      </w:r>
      <w:r>
        <w:rPr>
          <w:rFonts w:hint="eastAsia" w:ascii="宋体" w:hAnsi="宋体" w:cs="宋体"/>
          <w:color w:val="auto"/>
          <w:sz w:val="24"/>
          <w:highlight w:val="none"/>
          <w:lang w:val="en-US" w:eastAsia="zh-CN"/>
        </w:rPr>
        <w:t>政府</w:t>
      </w:r>
      <w:r>
        <w:rPr>
          <w:rFonts w:hint="eastAsia" w:ascii="宋体" w:hAnsi="宋体" w:cs="宋体"/>
          <w:color w:val="auto"/>
          <w:sz w:val="24"/>
          <w:highlight w:val="none"/>
        </w:rPr>
        <w:t>采购条例》的有关规定，中国远东国际招标有限公司受深圳市前海深港现代服务业合作区管理局委托组织采购</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a.有效投标人为2家的，可在2家有效投标人中取得分最高者为中标供应商；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5套（1套正本，4套副本，1份电子文档）</w:t>
      </w:r>
      <w:r>
        <w:rPr>
          <w:rFonts w:hint="eastAsia" w:ascii="宋体" w:hAnsi="宋体" w:cs="宋体"/>
          <w:color w:val="auto"/>
          <w:sz w:val="24"/>
          <w:highlight w:val="none"/>
        </w:rPr>
        <w:t>完备的资料进行投标。</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pStyle w:val="24"/>
        <w:snapToGrid w:val="0"/>
        <w:spacing w:line="360" w:lineRule="auto"/>
        <w:ind w:firstLine="48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（2）原则上成交价应为最初报价的95%。</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highlight w:val="none"/>
        </w:rPr>
      </w:pPr>
      <w:r>
        <w:rPr>
          <w:rFonts w:hint="eastAsia" w:ascii="宋体" w:hAnsi="宋体" w:cs="宋体"/>
          <w:color w:val="auto"/>
          <w:sz w:val="24"/>
          <w:highlight w:val="none"/>
        </w:rPr>
        <w:t>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开户名称：中国远东国际招标有限公司深圳分公司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账号</w:t>
      </w:r>
      <w:r>
        <w:rPr>
          <w:rFonts w:hint="eastAsia" w:ascii="宋体" w:hAnsi="宋体" w:cs="宋体"/>
          <w:color w:val="auto"/>
          <w:sz w:val="24"/>
          <w:highlight w:val="none"/>
        </w:rPr>
        <w:t>：11013651025501</w:t>
      </w:r>
    </w:p>
    <w:p>
      <w:pPr>
        <w:spacing w:line="360" w:lineRule="auto"/>
        <w:rPr>
          <w:rFonts w:hint="eastAsia"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开户银行：平安银行深圳中电支行</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bookmarkStart w:id="4" w:name="_Toc20176"/>
      <w:r>
        <w:rPr>
          <w:rFonts w:hint="eastAsia" w:ascii="宋体" w:hAnsi="宋体" w:cs="宋体"/>
          <w:b/>
          <w:bCs/>
          <w:color w:val="auto"/>
          <w:sz w:val="24"/>
          <w:highlight w:val="none"/>
        </w:rPr>
        <w:t>评标程序</w:t>
      </w:r>
      <w:bookmarkEnd w:id="4"/>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二、参加会议人员：投标人代表（如需）、项目负责代表、评审委员会成员、监督部门代表（如需）、采购代理机构代表。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三、会议主持人：中国远东国际招标有限公司工作人员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四、开标时间：202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rPr>
        <w:t>午1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时（北京时间）。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五、会议开始：202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0时（北京时间）由会议主持人宣布定标会议开始。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六、项目负责代表向采购代理机构代表送交投标文件，监督部门代表（如</w:t>
      </w:r>
      <w:r>
        <w:rPr>
          <w:rFonts w:hint="eastAsia" w:ascii="宋体" w:hAnsi="宋体" w:cs="宋体"/>
          <w:color w:val="auto"/>
          <w:sz w:val="24"/>
          <w:highlight w:val="none"/>
          <w:lang w:val="en-US" w:eastAsia="zh-CN"/>
        </w:rPr>
        <w:t>有</w:t>
      </w:r>
      <w:r>
        <w:rPr>
          <w:rFonts w:hint="eastAsia" w:ascii="宋体" w:hAnsi="宋体" w:cs="宋体"/>
          <w:color w:val="auto"/>
          <w:sz w:val="24"/>
          <w:highlight w:val="none"/>
        </w:rPr>
        <w:t>）确认投标文件密封完整，未密封投标文件将作为投标无效处理。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采用谈判的情况：参与投标且符合招标文件要求的供应商仅有一家，评审委员会将与投标供应商进行谈判。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 原则上成交价应为最初报价的95%。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3"/>
        <w:rPr>
          <w:rFonts w:hint="eastAsia" w:ascii="宋体" w:hAnsi="宋体" w:cs="宋体"/>
          <w:color w:val="auto"/>
          <w:highlight w:val="none"/>
        </w:rPr>
      </w:pPr>
      <w:r>
        <w:rPr>
          <w:rFonts w:hint="eastAsia"/>
          <w:color w:val="auto"/>
          <w:highlight w:val="none"/>
        </w:rPr>
        <w:br w:type="page"/>
      </w:r>
    </w:p>
    <w:p>
      <w:pPr>
        <w:numPr>
          <w:ilvl w:val="0"/>
          <w:numId w:val="1"/>
        </w:numPr>
        <w:spacing w:line="360" w:lineRule="auto"/>
        <w:jc w:val="center"/>
        <w:outlineLvl w:val="0"/>
        <w:rPr>
          <w:rFonts w:hint="eastAsia" w:ascii="宋体" w:hAnsi="宋体" w:cs="宋体"/>
          <w:b/>
          <w:bCs/>
          <w:color w:val="auto"/>
          <w:sz w:val="24"/>
          <w:highlight w:val="none"/>
        </w:rPr>
      </w:pPr>
      <w:bookmarkStart w:id="5" w:name="_Toc3567"/>
      <w:r>
        <w:rPr>
          <w:rFonts w:hint="eastAsia" w:ascii="宋体" w:hAnsi="宋体" w:cs="宋体"/>
          <w:b/>
          <w:bCs/>
          <w:color w:val="auto"/>
          <w:sz w:val="24"/>
          <w:highlight w:val="none"/>
        </w:rPr>
        <w:t>合同格式及合同条款</w:t>
      </w:r>
      <w:bookmarkEnd w:id="5"/>
    </w:p>
    <w:p>
      <w:pPr>
        <w:spacing w:line="360" w:lineRule="auto"/>
        <w:ind w:firstLine="470" w:firstLineChars="196"/>
        <w:jc w:val="center"/>
        <w:rPr>
          <w:rFonts w:hint="eastAsia" w:ascii="宋体" w:hAnsi="宋体" w:cs="宋体"/>
          <w:color w:val="auto"/>
          <w:sz w:val="24"/>
          <w:highlight w:val="none"/>
        </w:rPr>
      </w:pPr>
      <w:bookmarkStart w:id="6" w:name="_Toc73521680"/>
      <w:bookmarkStart w:id="7" w:name="_Toc84303603"/>
      <w:bookmarkStart w:id="8" w:name="_Toc73518163"/>
      <w:bookmarkStart w:id="9" w:name="_Toc73521592"/>
      <w:bookmarkStart w:id="10" w:name="_Toc101074886"/>
      <w:bookmarkStart w:id="11" w:name="_Toc73517685"/>
      <w:bookmarkStart w:id="12" w:name="_Toc100052414"/>
    </w:p>
    <w:bookmarkEnd w:id="6"/>
    <w:bookmarkEnd w:id="7"/>
    <w:bookmarkEnd w:id="8"/>
    <w:bookmarkEnd w:id="9"/>
    <w:bookmarkEnd w:id="10"/>
    <w:bookmarkEnd w:id="11"/>
    <w:bookmarkEnd w:id="12"/>
    <w:p>
      <w:pPr>
        <w:pStyle w:val="24"/>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24"/>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24"/>
        <w:spacing w:line="360" w:lineRule="auto"/>
        <w:ind w:left="1470" w:right="1470" w:firstLine="482"/>
        <w:jc w:val="center"/>
        <w:rPr>
          <w:rFonts w:hint="eastAsia" w:ascii="宋体" w:hAnsi="宋体" w:cs="宋体"/>
          <w:b/>
          <w:color w:val="auto"/>
          <w:sz w:val="24"/>
          <w:szCs w:val="24"/>
          <w:highlight w:val="none"/>
        </w:rPr>
      </w:pPr>
    </w:p>
    <w:p>
      <w:pPr>
        <w:pStyle w:val="24"/>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4"/>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前海跨境电商集聚区综合服务项目</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委托合同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24"/>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24"/>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240" w:firstLineChars="100"/>
        <w:jc w:val="both"/>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前海跨境电商集聚区综合服务项目</w:t>
      </w:r>
    </w:p>
    <w:p>
      <w:pPr>
        <w:spacing w:line="360" w:lineRule="auto"/>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rPr>
        <w:t>项目类型：</w:t>
      </w:r>
      <w:r>
        <w:rPr>
          <w:rFonts w:hint="eastAsia" w:ascii="宋体" w:hAnsi="宋体" w:cs="宋体"/>
          <w:color w:val="auto"/>
          <w:sz w:val="24"/>
          <w:highlight w:val="none"/>
          <w:u w:val="single"/>
        </w:rPr>
        <w:t xml:space="preserve">                        </w:t>
      </w:r>
    </w:p>
    <w:p>
      <w:pPr>
        <w:spacing w:line="360" w:lineRule="auto"/>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二〇二</w:t>
      </w:r>
      <w:r>
        <w:rPr>
          <w:rFonts w:hint="eastAsia" w:ascii="宋体" w:hAnsi="宋体" w:cs="宋体"/>
          <w:color w:val="auto"/>
          <w:sz w:val="24"/>
          <w:highlight w:val="none"/>
          <w:lang w:eastAsia="zh-CN"/>
        </w:rPr>
        <w:t>四</w:t>
      </w:r>
      <w:r>
        <w:rPr>
          <w:rFonts w:hint="eastAsia" w:ascii="宋体" w:hAnsi="宋体" w:cs="宋体"/>
          <w:color w:val="auto"/>
          <w:sz w:val="24"/>
          <w:highlight w:val="none"/>
        </w:rPr>
        <w:t>年  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本合同共    页（不含封面）</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深圳市前海深港合作区</w:t>
      </w:r>
      <w:r>
        <w:rPr>
          <w:rFonts w:ascii="宋体" w:hAnsi="宋体" w:cs="宋体"/>
          <w:color w:val="auto"/>
          <w:sz w:val="24"/>
          <w:highlight w:val="none"/>
          <w:u w:val="single"/>
        </w:rPr>
        <w:t>桂湾五路123号前海大厦T1栋前海管理局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法定代表人</w:t>
      </w:r>
      <w:r>
        <w:rPr>
          <w:rFonts w:hint="eastAsia" w:ascii="宋体" w:hAnsi="宋体" w:cs="宋体"/>
          <w:b/>
          <w:bCs/>
          <w:color w:val="auto"/>
          <w:sz w:val="24"/>
          <w:highlight w:val="none"/>
        </w:rPr>
        <w:t xml:space="preserve">：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法定代表人</w:t>
      </w:r>
      <w:r>
        <w:rPr>
          <w:rFonts w:hint="eastAsia" w:ascii="宋体" w:hAnsi="宋体" w:cs="宋体"/>
          <w:b/>
          <w:bCs/>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lang w:val="en-US" w:eastAsia="zh-CN"/>
        </w:rPr>
        <w:t>QH2024069</w:t>
      </w:r>
      <w:r>
        <w:rPr>
          <w:rFonts w:hint="eastAsia" w:ascii="宋体" w:hAnsi="宋体" w:cs="宋体"/>
          <w:color w:val="auto"/>
          <w:sz w:val="24"/>
          <w:highlight w:val="none"/>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highlight w:val="none"/>
          <w:u w:val="single"/>
        </w:rPr>
        <w:t>乙方</w:t>
      </w:r>
      <w:r>
        <w:rPr>
          <w:rFonts w:hint="eastAsia" w:ascii="宋体" w:hAnsi="宋体" w:cs="宋体"/>
          <w:color w:val="auto"/>
          <w:sz w:val="24"/>
          <w:highlight w:val="none"/>
          <w:lang w:val="en-US" w:eastAsia="zh-CN"/>
        </w:rPr>
        <w:t>的</w:t>
      </w:r>
      <w:r>
        <w:rPr>
          <w:rFonts w:hint="eastAsia" w:ascii="宋体" w:hAnsi="宋体" w:cs="宋体"/>
          <w:b/>
          <w:bCs/>
          <w:color w:val="auto"/>
          <w:kern w:val="0"/>
          <w:sz w:val="24"/>
          <w:highlight w:val="none"/>
          <w:u w:val="single"/>
        </w:rPr>
        <w:t xml:space="preserve"> </w:t>
      </w:r>
      <w:r>
        <w:rPr>
          <w:rFonts w:hint="eastAsia" w:ascii="宋体" w:hAnsi="宋体" w:cs="宋体"/>
          <w:color w:val="auto"/>
          <w:sz w:val="24"/>
          <w:highlight w:val="none"/>
          <w:u w:val="single"/>
          <w:lang w:eastAsia="zh-CN"/>
        </w:rPr>
        <w:t>前海跨境电商集聚区综合服务项目</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shd w:val="clear" w:color="auto" w:fill="auto"/>
        </w:rPr>
        <w:t>第一条 项目内容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研究跨境电商产业发展情况。采集梳理全国、广东省和深圳市跨境电商产业数据、各大平台的真实交易数据。包括但不限于主流B2C平台店铺数、卖家数、销量、GMV及品类TOP10、TOP100企业等，研究产业发展情况并形成行业发展报告供经济调度和发展决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统计分析前海跨境电商外贸进出口数据。包括前海每月跨境电商进出口额情况，1210、9610、9710、9810不同贸易方式的业务数据，单个企业、重点商品、重点国家或地区、前海口岸进出口情况，片区内跨境电商监管场站通关情况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协助开展前海跨境电商重点企业服务。包括但不限于协助组织跨境电商重点企业调研、培训辅导、研讨交流等活动，协助解决企业实际经营中遇到的通关申报、收结汇、出口退税和阳光化试点等问题。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协助招引跨境电商重点企业。梳理跨境电商产业链上下游企业信息，发掘跨境电商优质企业招引线索，协助</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拜访跨境电商企业，开展招引商引资，配合拟落户企业联络产业空间，办理企业迁移或注册、办理税务登记等相关工作。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协助打造跨境电商集聚区。协助</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建设前海走出去平台跨境电商专区，支持开拓跨境电商线上综合服务一站式平台，为出海企业提供关、汇、税及商务咨询服务。</w:t>
      </w:r>
    </w:p>
    <w:p>
      <w:pPr>
        <w:pageBreakBefore w:val="0"/>
        <w:kinsoku/>
        <w:overflowPunct/>
        <w:topLinePunct w:val="0"/>
        <w:bidi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第二条  服务期限</w:t>
      </w:r>
      <w:r>
        <w:rPr>
          <w:rFonts w:hint="eastAsia" w:ascii="宋体" w:hAnsi="宋体" w:cs="宋体"/>
          <w:b/>
          <w:bCs/>
          <w:color w:val="auto"/>
          <w:sz w:val="24"/>
          <w:highlight w:val="none"/>
          <w:lang w:val="en-US" w:eastAsia="zh-CN"/>
        </w:rPr>
        <w:t>及后续服务要求</w:t>
      </w:r>
    </w:p>
    <w:p>
      <w:pPr>
        <w:pageBreakBefore w:val="0"/>
        <w:kinsoku/>
        <w:overflowPunct/>
        <w:topLinePunct w:val="0"/>
        <w:bidi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1.服务期限</w:t>
      </w:r>
    </w:p>
    <w:p>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自合同签订之日起12个月</w:t>
      </w:r>
      <w:r>
        <w:rPr>
          <w:rFonts w:hint="eastAsia" w:ascii="宋体" w:hAnsi="宋体" w:eastAsia="宋体" w:cs="宋体"/>
          <w:color w:val="auto"/>
          <w:sz w:val="24"/>
          <w:highlight w:val="none"/>
          <w:lang w:val="en-US" w:eastAsia="zh-CN"/>
        </w:rPr>
        <w:t>。</w:t>
      </w:r>
    </w:p>
    <w:p>
      <w:pPr>
        <w:pageBreakBefore w:val="0"/>
        <w:kinsoku/>
        <w:overflowPunct/>
        <w:topLinePunct w:val="0"/>
        <w:bidi w:val="0"/>
        <w:spacing w:line="360" w:lineRule="auto"/>
        <w:ind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2.项目服务期限要求</w:t>
      </w:r>
    </w:p>
    <w:p>
      <w:pPr>
        <w:pageBreakBefore w:val="0"/>
        <w:kinsoku/>
        <w:overflowPunct/>
        <w:topLinePunct w:val="0"/>
        <w:bidi w:val="0"/>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本项目合同服务期限为自合同签定之日12个月内完成。</w:t>
      </w:r>
    </w:p>
    <w:p>
      <w:pPr>
        <w:pageBreakBefore w:val="0"/>
        <w:kinsoku/>
        <w:overflowPunct/>
        <w:topLinePunct w:val="0"/>
        <w:bidi w:val="0"/>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（1）乙方应在签署合同后3个月内向甲方进行初步成果汇报，乙方须根据初步成果审查意见认真总结、修改、补充、完善初步成果。</w:t>
      </w:r>
    </w:p>
    <w:p>
      <w:pPr>
        <w:pageBreakBefore w:val="0"/>
        <w:kinsoku/>
        <w:overflowPunct/>
        <w:topLinePunct w:val="0"/>
        <w:bidi w:val="0"/>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（2）乙方应在签署合同后6个月内向甲方提交项目的中间成果，并依据相关意见对项目成果进行补充、修改和完善。</w:t>
      </w:r>
    </w:p>
    <w:p>
      <w:pPr>
        <w:pageBreakBefore w:val="0"/>
        <w:kinsoku/>
        <w:overflowPunct/>
        <w:topLinePunct w:val="0"/>
        <w:bidi w:val="0"/>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（3）乙方应在签署合同后的12个月内按合同要求提交最终成果并经由甲方验收通过。</w:t>
      </w:r>
    </w:p>
    <w:p>
      <w:pPr>
        <w:pageBreakBefore w:val="0"/>
        <w:kinsoku/>
        <w:overflowPunct/>
        <w:topLinePunct w:val="0"/>
        <w:bidi w:val="0"/>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3.后续服务要求</w:t>
      </w:r>
    </w:p>
    <w:p>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val="en-US" w:eastAsia="zh-CN"/>
        </w:rPr>
        <w:t>乙方提交的本项目最终成果通过甲方审查验收之日起1年为本合同后续服务期。服务期内乙方应向甲方提供后续的专业技术支持与咨询服务。乙方应配合甲方需要协助完成相关事项审计、事后评估等工作。</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第三条  项目资料归属</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所有提交给甲方的项目文件及相关资料的</w:t>
      </w:r>
      <w:r>
        <w:rPr>
          <w:rFonts w:ascii="宋体" w:hAnsi="宋体" w:cs="宋体"/>
          <w:color w:val="auto"/>
          <w:sz w:val="24"/>
          <w:highlight w:val="none"/>
        </w:rPr>
        <w:t>阶段性成果及</w:t>
      </w:r>
      <w:r>
        <w:rPr>
          <w:rFonts w:hint="eastAsia" w:ascii="宋体" w:hAnsi="宋体" w:cs="宋体"/>
          <w:color w:val="auto"/>
          <w:sz w:val="24"/>
          <w:highlight w:val="none"/>
        </w:rPr>
        <w:t>最后文本，包括为履行服务范围所编制的计划和证明资料等，都属于甲方</w:t>
      </w:r>
      <w:r>
        <w:rPr>
          <w:rFonts w:ascii="宋体" w:hAnsi="宋体" w:cs="宋体"/>
          <w:color w:val="auto"/>
          <w:sz w:val="24"/>
          <w:highlight w:val="none"/>
        </w:rPr>
        <w:t>所有</w:t>
      </w:r>
      <w:r>
        <w:rPr>
          <w:rFonts w:hint="eastAsia" w:ascii="宋体" w:hAnsi="宋体" w:cs="宋体"/>
          <w:color w:val="auto"/>
          <w:sz w:val="24"/>
          <w:highlight w:val="none"/>
        </w:rPr>
        <w:t>，乙方在提交给甲方之前应将上述资料进行整理归类和编制索引。</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甲方的义务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负责与本项目有关的第三方的协调，提供开展项目服务工作的外部条件。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向乙方提供与本项目服务工作有关的资料。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负责组织有关专家对项目成果的评审。</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根据合同的条款按时支付合同价款。</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 xml:space="preserve">甲方指定项目联系人：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乙方的义务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】号招标文件、乙方投标文件以及本合同的要求按期完成本项目服务工作。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在履行合同期间或合同规定期限内，不得泄露与本合同规定业务活动有关的保密资料。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对甲方提出的合理的额外服务，不应予以拒绝。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乙方应接受甲方对工作进展的询问、监督和指导，严格按本合同约定的内容、标准和期限完成项目研究工作，并向甲方提交项目研究成果。项目工作完成后，乙方应按照甲方要求将完成本项目的工作总结和相关</w:t>
      </w:r>
      <w:r>
        <w:rPr>
          <w:rFonts w:hint="eastAsia" w:ascii="宋体" w:hAnsi="宋体" w:cs="宋体"/>
          <w:color w:val="auto"/>
          <w:sz w:val="24"/>
          <w:szCs w:val="24"/>
          <w:highlight w:val="none"/>
          <w:lang w:eastAsia="zh-CN"/>
        </w:rPr>
        <w:t>台账</w:t>
      </w:r>
      <w:r>
        <w:rPr>
          <w:rFonts w:hint="eastAsia" w:ascii="宋体" w:hAnsi="宋体" w:eastAsia="宋体" w:cs="宋体"/>
          <w:color w:val="auto"/>
          <w:sz w:val="24"/>
          <w:szCs w:val="24"/>
          <w:highlight w:val="none"/>
        </w:rPr>
        <w:t>资料交给甲方。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乙方应独立完成本项目。未经甲方书面在先同意，乙方不得向任何第三方全部或部分转让本项目。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乙方指定项目联系人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甲方的权利</w:t>
      </w:r>
    </w:p>
    <w:p>
      <w:pPr>
        <w:pStyle w:val="1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甲方对研究过程的决策、控制、实施等环节实行全面管理，协调和监督研究工作开展，控制研究工作过程，进行研究成果验收。</w:t>
      </w:r>
    </w:p>
    <w:p>
      <w:pPr>
        <w:pStyle w:val="1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检查乙方研究人员到位情况，如因人力、能力不足致使研究工作不能按计划完成时，有权要求乙方增加或替换相应的技术人员，直至甲方认可，乙方不得拒绝。</w:t>
      </w:r>
    </w:p>
    <w:p>
      <w:pPr>
        <w:pStyle w:val="1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甲方有权向乙方询问项目工作进展及相关情况，并要求乙方在指定时间内做出答复。</w:t>
      </w:r>
    </w:p>
    <w:p>
      <w:pPr>
        <w:pStyle w:val="1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甲方有权对乙方提交的阶段性成果、最终成果送审稿等相关工作文件进行审核并提出修改意见</w:t>
      </w:r>
      <w:r>
        <w:rPr>
          <w:rFonts w:hint="eastAsia" w:hAnsi="宋体" w:cs="宋体"/>
          <w:color w:val="auto"/>
          <w:sz w:val="24"/>
          <w:szCs w:val="24"/>
          <w:highlight w:val="none"/>
          <w:lang w:eastAsia="zh-CN"/>
        </w:rPr>
        <w:t>，</w:t>
      </w:r>
      <w:r>
        <w:rPr>
          <w:rFonts w:hint="eastAsia" w:ascii="宋体" w:hAnsi="宋体" w:cs="宋体"/>
          <w:color w:val="auto"/>
          <w:kern w:val="2"/>
          <w:sz w:val="24"/>
          <w:szCs w:val="24"/>
          <w:highlight w:val="none"/>
          <w:lang w:val="en-US" w:eastAsia="zh-CN" w:bidi="ar-SA"/>
        </w:rPr>
        <w:t>对</w:t>
      </w:r>
      <w:r>
        <w:rPr>
          <w:rFonts w:hint="eastAsia" w:hAnsi="宋体" w:cs="宋体"/>
          <w:color w:val="auto"/>
          <w:kern w:val="2"/>
          <w:sz w:val="24"/>
          <w:szCs w:val="24"/>
          <w:highlight w:val="none"/>
          <w:lang w:val="en-US" w:eastAsia="zh-CN" w:bidi="ar-SA"/>
        </w:rPr>
        <w:t>研究</w:t>
      </w:r>
      <w:r>
        <w:rPr>
          <w:rFonts w:hint="eastAsia" w:ascii="宋体" w:hAnsi="宋体" w:cs="宋体"/>
          <w:color w:val="auto"/>
          <w:kern w:val="2"/>
          <w:sz w:val="24"/>
          <w:szCs w:val="24"/>
          <w:highlight w:val="none"/>
          <w:lang w:val="en-US" w:eastAsia="zh-CN" w:bidi="ar-SA"/>
        </w:rPr>
        <w:t>成果进行综合优化、调整和修改</w:t>
      </w:r>
      <w:r>
        <w:rPr>
          <w:rFonts w:hint="eastAsia" w:ascii="宋体" w:hAnsi="宋体" w:eastAsia="宋体" w:cs="宋体"/>
          <w:color w:val="auto"/>
          <w:sz w:val="24"/>
          <w:szCs w:val="24"/>
          <w:highlight w:val="none"/>
        </w:rPr>
        <w:t>。</w:t>
      </w:r>
    </w:p>
    <w:p>
      <w:pPr>
        <w:pStyle w:val="1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甲方对乙方在委托权限范围内完成委托事项有指导、监督权利。</w:t>
      </w:r>
    </w:p>
    <w:p>
      <w:pPr>
        <w:pStyle w:val="1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甲方有权要求乙方全面履行合同。甲方不接受部分履行，如本合同项下部分成果文件未能按时交付则视为整体延误。</w:t>
      </w:r>
    </w:p>
    <w:p>
      <w:pPr>
        <w:pStyle w:val="1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乙方的权利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乙方在本项目服务过程中，如甲方提供的资料不明确时可向甲方提出书面报告。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乙方在本项目服务过程中，有权对第三方提出与本咨询服务业务有关的问题进行核对或查问。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乙方在本项目服务过程中，有到现场勘察并要求甲方协调的权利。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根据合同约定收取相应的合同价款。</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乙方就本协议项下全部义务无条件对甲方承担责任。</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条  人员要求</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以下为本项目核心领导团队。</w:t>
      </w:r>
    </w:p>
    <w:tbl>
      <w:tblPr>
        <w:tblStyle w:val="18"/>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职称、职务</w:t>
            </w: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拟任</w:t>
            </w:r>
            <w:r>
              <w:rPr>
                <w:rFonts w:ascii="宋体" w:hAnsi="宋体" w:cs="宋体"/>
                <w:color w:val="auto"/>
                <w:sz w:val="24"/>
                <w:highlight w:val="none"/>
              </w:rPr>
              <w:t>团队</w:t>
            </w:r>
            <w:r>
              <w:rPr>
                <w:rFonts w:hint="eastAsia" w:ascii="宋体" w:hAnsi="宋体" w:cs="宋体"/>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r>
    </w:tbl>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参加本项目编制的人员必须具有国家和有关部门规定的相应资质。</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参加本项目编制的人员配置必须与合同中的项目成员组成一致，若需调整需经甲方</w:t>
      </w:r>
      <w:r>
        <w:rPr>
          <w:rFonts w:ascii="宋体" w:hAnsi="宋体" w:cs="宋体"/>
          <w:color w:val="auto"/>
          <w:sz w:val="24"/>
          <w:highlight w:val="none"/>
        </w:rPr>
        <w:t>书面</w:t>
      </w:r>
      <w:r>
        <w:rPr>
          <w:rFonts w:hint="eastAsia" w:ascii="宋体" w:hAnsi="宋体" w:cs="宋体"/>
          <w:color w:val="auto"/>
          <w:sz w:val="24"/>
          <w:highlight w:val="none"/>
        </w:rPr>
        <w:t>同意后，方可变更。</w:t>
      </w:r>
    </w:p>
    <w:p>
      <w:pPr>
        <w:pageBreakBefore w:val="0"/>
        <w:kinsoku/>
        <w:overflowPunct/>
        <w:topLinePunct w:val="0"/>
        <w:bidi w:val="0"/>
        <w:spacing w:line="360" w:lineRule="auto"/>
        <w:ind w:firstLine="480" w:firstLineChars="200"/>
        <w:rPr>
          <w:rFonts w:hint="default" w:ascii="宋体" w:hAnsi="宋体" w:eastAsia="宋体" w:cs="宋体"/>
          <w:b/>
          <w:bCs/>
          <w:color w:val="auto"/>
          <w:sz w:val="24"/>
          <w:highlight w:val="none"/>
          <w:lang w:val="en-US" w:eastAsia="zh-CN"/>
        </w:rPr>
      </w:pPr>
      <w:r>
        <w:rPr>
          <w:rFonts w:hint="eastAsia" w:ascii="宋体" w:hAnsi="宋体" w:cs="宋体"/>
          <w:color w:val="auto"/>
          <w:sz w:val="24"/>
          <w:lang w:val="en-US" w:eastAsia="zh-CN"/>
        </w:rPr>
        <w:t>3.</w:t>
      </w:r>
      <w:r>
        <w:rPr>
          <w:rFonts w:hint="eastAsia" w:ascii="宋体" w:hAnsi="宋体" w:cs="宋体"/>
          <w:color w:val="auto"/>
          <w:sz w:val="24"/>
        </w:rPr>
        <w:t>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r>
        <w:rPr>
          <w:rFonts w:hint="eastAsia" w:ascii="宋体" w:hAnsi="宋体" w:cs="宋体"/>
          <w:color w:val="auto"/>
          <w:sz w:val="24"/>
          <w:highlight w:val="none"/>
        </w:rPr>
        <w:t>。</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条 成果权属与知识产权</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5.乙方完成本合同项目的研究开发人员享有在有关技术成果文件上写明技术成果完成者的权利和与甲方共同获得有关荣誉证书、奖励的权利。</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条  保密条款</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4.乙方实施项目的程序应符合国家安全、保密的有关规定和标准。</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5.上述保密义务不适用以下情况：</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8.无论本合同或本合同其他条款是否有效，本保密条款始终约束双方。国家秘密的保密期限由国家有关部门确定，工作秘密的保密期限由甲方确定。</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十一</w:t>
      </w:r>
      <w:r>
        <w:rPr>
          <w:rFonts w:hint="eastAsia" w:ascii="宋体" w:hAnsi="宋体" w:cs="宋体"/>
          <w:b/>
          <w:bCs/>
          <w:color w:val="auto"/>
          <w:sz w:val="24"/>
          <w:highlight w:val="none"/>
        </w:rPr>
        <w:t xml:space="preserve">条  服务成果及验收     </w:t>
      </w:r>
    </w:p>
    <w:p>
      <w:pPr>
        <w:pageBreakBefore w:val="0"/>
        <w:kinsoku/>
        <w:overflowPunct/>
        <w:topLinePunct w:val="0"/>
        <w:bidi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1.成果要求</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一是按月输出12份月度跨境电商产业数据统计报表，形成2份跨境电商产业数据季度报告、1份半年度报告和1份年度报告。</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二是按月输出12份前海跨境电商进出口运行分析报告，含跨境电商1210、9610、9710、9810分项数据、单个企业、重点商品、重点国家或地区的进出口数据等，深入分析进出口情况、存在问题以及相关解决建议。</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三是形成服务跨境电商重点企业的记录材料，包括但不限于推动阳光化试点情况，解决企业出口退税、退货等方面诉求的记录材料。</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四是形成协助开展招商引资的记录材料。包括但不限于提供跨境电商重点企业招商线索，协助赴企业定向招商引资记录等。</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成果应用</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一是了解全国、全省、全市跨境电商企业在主流第三方跨境电商平台布局情况，掌握全国优质跨境电商卖家分布情况，</w:t>
      </w:r>
      <w:r>
        <w:rPr>
          <w:rFonts w:hint="eastAsia" w:ascii="宋体" w:hAnsi="宋体" w:cs="宋体"/>
          <w:color w:val="auto"/>
          <w:kern w:val="2"/>
          <w:sz w:val="24"/>
          <w:szCs w:val="24"/>
          <w:highlight w:val="none"/>
          <w:lang w:val="en-US" w:eastAsia="zh-CN" w:bidi="ar-SA"/>
        </w:rPr>
        <w:t>为前海</w:t>
      </w:r>
      <w:r>
        <w:rPr>
          <w:rFonts w:hint="eastAsia" w:ascii="宋体" w:hAnsi="宋体" w:eastAsia="宋体" w:cs="宋体"/>
          <w:color w:val="auto"/>
          <w:kern w:val="2"/>
          <w:sz w:val="24"/>
          <w:szCs w:val="24"/>
          <w:highlight w:val="none"/>
          <w:lang w:val="en-US" w:eastAsia="zh-CN" w:bidi="ar-SA"/>
        </w:rPr>
        <w:t>打造跨境电商集聚区，针对性促进产业发展提供决策参考。</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二是精准定位优质跨境电商卖家等主体，服务</w:t>
      </w:r>
      <w:r>
        <w:rPr>
          <w:rFonts w:hint="eastAsia" w:ascii="宋体" w:hAnsi="宋体" w:cs="宋体"/>
          <w:color w:val="auto"/>
          <w:kern w:val="2"/>
          <w:sz w:val="24"/>
          <w:szCs w:val="24"/>
          <w:highlight w:val="none"/>
          <w:lang w:val="en-US" w:eastAsia="zh-CN" w:bidi="ar-SA"/>
        </w:rPr>
        <w:t>前海</w:t>
      </w:r>
      <w:r>
        <w:rPr>
          <w:rFonts w:hint="eastAsia" w:ascii="宋体" w:hAnsi="宋体" w:eastAsia="宋体" w:cs="宋体"/>
          <w:color w:val="auto"/>
          <w:kern w:val="2"/>
          <w:sz w:val="24"/>
          <w:szCs w:val="24"/>
          <w:highlight w:val="none"/>
          <w:lang w:val="en-US" w:eastAsia="zh-CN" w:bidi="ar-SA"/>
        </w:rPr>
        <w:t>针对性开展跨境商企业招引和服务。</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三是详细分析前海跨境电商进出口国别、商品品类、监管场站、重点企业等情况，支撑</w:t>
      </w:r>
      <w:r>
        <w:rPr>
          <w:rFonts w:hint="eastAsia" w:ascii="宋体" w:hAnsi="宋体" w:cs="宋体"/>
          <w:color w:val="auto"/>
          <w:kern w:val="2"/>
          <w:sz w:val="24"/>
          <w:szCs w:val="24"/>
          <w:highlight w:val="none"/>
          <w:lang w:val="en-US" w:eastAsia="zh-CN" w:bidi="ar-SA"/>
        </w:rPr>
        <w:t>前海</w:t>
      </w:r>
      <w:r>
        <w:rPr>
          <w:rFonts w:hint="eastAsia" w:ascii="宋体" w:hAnsi="宋体" w:eastAsia="宋体" w:cs="宋体"/>
          <w:color w:val="auto"/>
          <w:kern w:val="2"/>
          <w:sz w:val="24"/>
          <w:szCs w:val="24"/>
          <w:highlight w:val="none"/>
          <w:lang w:val="en-US" w:eastAsia="zh-CN" w:bidi="ar-SA"/>
        </w:rPr>
        <w:t>开展经济运行调度，有效提高决策科学性与针对性。</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四是服务前海优质制造业企业走出去。本项目将在阳光化试点、跨境电商进出口货物申报、海外仓企业备案等方面，为前海打造跨境电商出海综合服务平台提供专业化支持。</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最终成果验收合格的标志为:</w:t>
      </w:r>
      <w:r>
        <w:rPr>
          <w:rFonts w:hint="eastAsia" w:ascii="宋体" w:hAnsi="宋体" w:cs="宋体"/>
          <w:color w:val="auto"/>
          <w:sz w:val="24"/>
          <w:highlight w:val="none"/>
          <w:lang w:eastAsia="zh-CN"/>
        </w:rPr>
        <w:t>甲方出具验收合格的验收证明</w:t>
      </w:r>
      <w:r>
        <w:rPr>
          <w:rFonts w:hint="eastAsia" w:ascii="宋体" w:hAnsi="宋体" w:cs="宋体"/>
          <w:color w:val="auto"/>
          <w:sz w:val="24"/>
          <w:highlight w:val="none"/>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十二</w:t>
      </w:r>
      <w:r>
        <w:rPr>
          <w:rFonts w:hint="eastAsia" w:ascii="宋体" w:hAnsi="宋体" w:cs="宋体"/>
          <w:b/>
          <w:bCs/>
          <w:color w:val="auto"/>
          <w:sz w:val="24"/>
          <w:highlight w:val="none"/>
        </w:rPr>
        <w:t>条  项目服务费用及付款方式</w:t>
      </w:r>
    </w:p>
    <w:p>
      <w:pPr>
        <w:pageBreakBefore w:val="0"/>
        <w:numPr>
          <w:ilvl w:val="0"/>
          <w:numId w:val="0"/>
        </w:numPr>
        <w:kinsoku/>
        <w:overflowPunct/>
        <w:topLinePunct w:val="0"/>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合同价款：合同总价为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（含税）。本项目服务费采用包干制，应包括所有服务费用、项目调研费用、工作人员工资、差旅费、通讯、交通费用、分析费用、项目成果文本印刷费用、文件资料发送至</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的费用、税费等</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合同价款由甲方分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期支付至乙方指定银行账户：</w:t>
      </w:r>
    </w:p>
    <w:p>
      <w:pPr>
        <w:pStyle w:val="3"/>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.1.第1期：自本合同签订之日起15个工作日内，根据</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提出的付款申请，</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支付合同总金额的50%；</w:t>
      </w:r>
      <w:r>
        <w:rPr>
          <w:rFonts w:ascii="宋体" w:hAnsi="宋体" w:cs="宋体"/>
          <w:color w:val="auto"/>
          <w:sz w:val="24"/>
          <w:highlight w:val="none"/>
        </w:rPr>
        <w:t>即人民币</w:t>
      </w:r>
      <w:r>
        <w:rPr>
          <w:rFonts w:ascii="宋体" w:hAnsi="宋体" w:cs="宋体"/>
          <w:color w:val="auto"/>
          <w:sz w:val="24"/>
          <w:highlight w:val="none"/>
          <w:u w:val="single"/>
        </w:rPr>
        <w:t xml:space="preserve">  </w:t>
      </w:r>
      <w:r>
        <w:rPr>
          <w:rFonts w:ascii="宋体" w:hAnsi="宋体" w:cs="宋体"/>
          <w:color w:val="auto"/>
          <w:sz w:val="24"/>
          <w:highlight w:val="none"/>
        </w:rPr>
        <w:t>整（</w:t>
      </w:r>
      <w:r>
        <w:rPr>
          <w:rFonts w:hint="eastAsia" w:ascii="宋体" w:hAnsi="宋体" w:cs="宋体"/>
          <w:color w:val="auto"/>
          <w:sz w:val="24"/>
          <w:highlight w:val="none"/>
        </w:rPr>
        <w:t>¥  元</w:t>
      </w:r>
      <w:r>
        <w:rPr>
          <w:rFonts w:ascii="宋体" w:hAnsi="宋体" w:cs="宋体"/>
          <w:color w:val="auto"/>
          <w:sz w:val="24"/>
          <w:highlight w:val="none"/>
        </w:rPr>
        <w:t>）</w:t>
      </w:r>
    </w:p>
    <w:p>
      <w:pPr>
        <w:pStyle w:val="3"/>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.2.第2期：</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提交最终成果，</w:t>
      </w:r>
      <w:r>
        <w:rPr>
          <w:rFonts w:hint="eastAsia" w:ascii="宋体" w:hAnsi="宋体" w:cs="宋体"/>
          <w:color w:val="auto"/>
          <w:sz w:val="24"/>
        </w:rPr>
        <w:t>并通过</w:t>
      </w:r>
      <w:r>
        <w:rPr>
          <w:rFonts w:hint="eastAsia" w:ascii="宋体" w:hAnsi="宋体" w:cs="宋体"/>
          <w:color w:val="auto"/>
          <w:sz w:val="24"/>
          <w:lang w:val="en-US" w:eastAsia="zh-CN"/>
        </w:rPr>
        <w:t>甲方</w:t>
      </w:r>
      <w:r>
        <w:rPr>
          <w:rFonts w:hint="eastAsia" w:ascii="宋体" w:hAnsi="宋体" w:cs="宋体"/>
          <w:color w:val="auto"/>
          <w:sz w:val="24"/>
        </w:rPr>
        <w:t>验收后</w:t>
      </w:r>
      <w:r>
        <w:rPr>
          <w:rFonts w:hint="eastAsia" w:ascii="宋体" w:hAnsi="宋体" w:cs="宋体"/>
          <w:color w:val="auto"/>
          <w:sz w:val="24"/>
          <w:lang w:eastAsia="zh-CN"/>
        </w:rPr>
        <w:t>，</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提出的付款申请，</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支付合同总金额的50%；</w:t>
      </w:r>
      <w:r>
        <w:rPr>
          <w:rFonts w:ascii="宋体" w:hAnsi="宋体" w:cs="宋体"/>
          <w:color w:val="auto"/>
          <w:sz w:val="24"/>
          <w:highlight w:val="none"/>
        </w:rPr>
        <w:t>即人民币</w:t>
      </w:r>
      <w:r>
        <w:rPr>
          <w:rFonts w:ascii="宋体" w:hAnsi="宋体" w:cs="宋体"/>
          <w:color w:val="auto"/>
          <w:sz w:val="24"/>
          <w:highlight w:val="none"/>
          <w:u w:val="single"/>
        </w:rPr>
        <w:t xml:space="preserve">  </w:t>
      </w:r>
      <w:r>
        <w:rPr>
          <w:rFonts w:ascii="宋体" w:hAnsi="宋体" w:cs="宋体"/>
          <w:color w:val="auto"/>
          <w:sz w:val="24"/>
          <w:highlight w:val="none"/>
        </w:rPr>
        <w:t>整（</w:t>
      </w:r>
      <w:r>
        <w:rPr>
          <w:rFonts w:hint="eastAsia" w:ascii="宋体" w:hAnsi="宋体" w:cs="宋体"/>
          <w:color w:val="auto"/>
          <w:sz w:val="24"/>
          <w:highlight w:val="none"/>
        </w:rPr>
        <w:t>¥  元</w:t>
      </w:r>
      <w:r>
        <w:rPr>
          <w:rFonts w:ascii="宋体" w:hAnsi="宋体" w:cs="宋体"/>
          <w:color w:val="auto"/>
          <w:sz w:val="24"/>
          <w:highlight w:val="none"/>
        </w:rPr>
        <w:t>）</w:t>
      </w:r>
    </w:p>
    <w:p>
      <w:pPr>
        <w:pStyle w:val="3"/>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3"/>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乙方银行账户信息：</w:t>
      </w:r>
    </w:p>
    <w:p>
      <w:pPr>
        <w:pStyle w:val="3"/>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pPr>
        <w:pStyle w:val="3"/>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户名：</w:t>
      </w:r>
    </w:p>
    <w:p>
      <w:pPr>
        <w:pStyle w:val="3"/>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账号：</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十三</w:t>
      </w:r>
      <w:r>
        <w:rPr>
          <w:rFonts w:hint="eastAsia" w:ascii="宋体" w:hAnsi="宋体" w:cs="宋体"/>
          <w:b/>
          <w:bCs/>
          <w:color w:val="auto"/>
          <w:sz w:val="24"/>
          <w:highlight w:val="none"/>
        </w:rPr>
        <w:t>条 合同提前终止</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双方协商同意提前终止本合同的，按双方协商约定的方式进行清算执行。</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有下列情形之一的，本合同自甲方向乙方发出书面通知之日起终止：</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甲方的职能发生转变，不再具有委托职能。</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本合同签订时适用的法律法规或政策发生变化，且对本合同的继续履行造成重大影响。</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发生以上情形，甲方已向乙方支付的款项不退还，尚未支付的款项不再支付，同时乙方应向甲方提交在合同终止日前完成的所有项目文件和相关资料。</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如发生不可抗力或其他超出合同双方控制的事件，致使一方无法履行合同，本合同解除。</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发生不可抗力，甲乙双方承担各自的损失。由于其中一方迟延履行合同义务后发生不可抗力的，其违约责任不能免除。</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条  争议解决办法</w:t>
      </w:r>
    </w:p>
    <w:p>
      <w:pPr>
        <w:pageBreakBefore w:val="0"/>
        <w:kinsoku/>
        <w:overflowPunct/>
        <w:topLinePunct w:val="0"/>
        <w:bidi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因本合同的履行发生的或与本合同有关的争议或纠纷，由甲乙双方协商解决。协商不成的，</w:t>
      </w:r>
      <w:r>
        <w:rPr>
          <w:rFonts w:hint="eastAsia" w:ascii="宋体" w:hAnsi="宋体" w:cs="宋体"/>
          <w:color w:val="auto"/>
          <w:sz w:val="24"/>
          <w:highlight w:val="none"/>
          <w:lang w:eastAsia="zh-CN"/>
        </w:rPr>
        <w:t>双方同意将争议提交</w:t>
      </w:r>
      <w:r>
        <w:rPr>
          <w:rFonts w:hint="eastAsia" w:ascii="宋体" w:hAnsi="宋体" w:cs="宋体"/>
          <w:color w:val="auto"/>
          <w:sz w:val="24"/>
          <w:highlight w:val="none"/>
        </w:rPr>
        <w:t>深圳前海合作区人民法院</w:t>
      </w:r>
      <w:r>
        <w:rPr>
          <w:rFonts w:hint="eastAsia" w:ascii="宋体" w:hAnsi="宋体" w:cs="宋体"/>
          <w:color w:val="auto"/>
          <w:sz w:val="24"/>
          <w:highlight w:val="none"/>
          <w:lang w:eastAsia="zh-CN"/>
        </w:rPr>
        <w:t>通过</w:t>
      </w:r>
      <w:r>
        <w:rPr>
          <w:rFonts w:hint="eastAsia" w:ascii="宋体" w:hAnsi="宋体" w:cs="宋体"/>
          <w:color w:val="auto"/>
          <w:sz w:val="24"/>
          <w:highlight w:val="none"/>
        </w:rPr>
        <w:t>诉讼</w:t>
      </w:r>
      <w:r>
        <w:rPr>
          <w:rFonts w:hint="eastAsia" w:ascii="宋体" w:hAnsi="宋体" w:cs="宋体"/>
          <w:color w:val="auto"/>
          <w:sz w:val="24"/>
          <w:highlight w:val="none"/>
          <w:lang w:eastAsia="zh-CN"/>
        </w:rPr>
        <w:t>解决</w:t>
      </w:r>
      <w:r>
        <w:rPr>
          <w:rFonts w:hint="eastAsia" w:ascii="宋体" w:hAnsi="宋体" w:cs="宋体"/>
          <w:color w:val="auto"/>
          <w:sz w:val="24"/>
          <w:highlight w:val="none"/>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条</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项目变更</w:t>
      </w:r>
    </w:p>
    <w:p>
      <w:pPr>
        <w:pageBreakBefore w:val="0"/>
        <w:kinsoku/>
        <w:overflowPunct/>
        <w:topLinePunct w:val="0"/>
        <w:bidi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本合同履行过程中的需求变更和进度调整，以甲乙双方达成一致的书面文件为准。</w:t>
      </w:r>
    </w:p>
    <w:p>
      <w:pPr>
        <w:pageBreakBefore w:val="0"/>
        <w:kinsoku/>
        <w:overflowPunct/>
        <w:topLinePunct w:val="0"/>
        <w:bidi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乙方遇到不能按时交货或按期完工的情况，应及时以书面形式将不能按时完工的理由、延误时间通知甲方。甲方在收到乙方通知后，根据情况决定是否延长完成时间。如同意延长，则乙方责任期也相应延长。</w:t>
      </w:r>
    </w:p>
    <w:p>
      <w:pPr>
        <w:pageBreakBefore w:val="0"/>
        <w:kinsoku/>
        <w:overflowPunct/>
        <w:topLinePunct w:val="0"/>
        <w:bidi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因非乙方责任造成项目进度推迟或延误，无法按照合同约定的日期完成相应的项目，双方经过协商可以进一步约定完成的日期，乙方的责任期也随之顺延。</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在合同所约定的工作范畴内的服务，本合同价格不予变更</w:t>
      </w:r>
      <w:r>
        <w:rPr>
          <w:rFonts w:hint="eastAsia" w:ascii="宋体" w:hAnsi="宋体" w:cs="宋体"/>
          <w:color w:val="auto"/>
          <w:sz w:val="24"/>
          <w:highlight w:val="none"/>
          <w:lang w:eastAsia="zh-CN"/>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条</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风险责任</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乙方应完全地按照【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】号招标文件的要求和乙方投标文件的承诺完成本项目，出于自身财务、技术、人力等原因导致项目失败的，应承担全部责任。</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条  违约责任</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乙方未按照本合同约定的时间完成本项目各阶段工作，每延迟一日，甲方有权自尚未支付的合同款项中扣除本合同服务费总金额的1‰的逾期违约金。</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本项目项下的工作内容不可分割，任一文件的迟延交付均视为整个项目的迟延交付。</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（1）乙方未能按合同约定的日期(含协商延缓的日期)提交各阶段成果或最终成果，延误时间超过15个工作日；</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（2）因乙方工作的错误或遗漏造成成果质量损失，工作成果质量低劣，不能满足甲方工作需要和要求；</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（3）乙方虽如期提交最终成果，但连续二次未能通过甲方验收的；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（4）未经甲方书面在先同意，乙方擅自将本合同项目与任何第三方合作，或将本合同标的全部或部分擅自转包或分包给任何第三方，且未按甲方的要求终止与第三方的合同的；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（5）项目负责人未承担本合同项目实质性工作，或未经甲方书面在先同意，乙方擅自更换项目负责人的；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（6）发现乙方或乙方工作人员出现全部或部分丧失履行委托服务能力的情况，甲方有权通知乙方限期整改或更换工作人员，期限届满乙方并未进行改善的；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（7）乙方明确表示或者以自己的行为表明不履行本合同的。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条  其他</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（1）合同书及补充协议；</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）及其澄清、补正公告；</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（4）投标书。</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本合同附件（如有）为合同不可分割的组成部分，与本合同一并加盖骑缝章后具有同等法律效力。若附件与合同正文有任何冲突，以合同正文为准。</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本合同各条标题仅为提示之用，应以条文内容确定各方的权利义务。</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本合同未尽事宜，由双方协商签订补充协议进行约定。补充协议应以书面形式作成，经双方法定代表人或其授权代表签字、盖章后与本合同具有同等法律效力。</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本合同约定的权利和义务不因合同双方发生收购、兼并、重组、分立而发生变化。如果发生上述情形，则本合同约定的权利和义务随之转移至收购、兼并、重组或分立后成立的单位。</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本合同在国家法律、法规和规章规定的范围内执行。当国家法律、法规和规章发生变化导致本合同有关条款与之抵触时，双方协商变更或废止该条款，在此情况下，双方互不承担责任。</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如果本合同的任何条款在任何时候变成不合法、无效或不可强制执行而不从根本上影响本合同的效力时，本合同的其他条款不受影响。</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任何一方未经另一方同意不得向任何第三方透露本合同的签订及其内容。甲方向其关联公司透露前述内容的，不受此限。</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24"/>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.本合同自双方盖章之日起生效，有效期至后续服务期满之日止</w:t>
      </w:r>
      <w:r>
        <w:rPr>
          <w:rFonts w:hint="eastAsia" w:ascii="宋体" w:hAnsi="宋体" w:cs="宋体"/>
          <w:color w:val="auto"/>
          <w:sz w:val="24"/>
          <w:szCs w:val="24"/>
          <w:highlight w:val="none"/>
        </w:rPr>
        <w:t>。</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本合同一式六份，甲、乙方各执三份，均具有同等法律效力。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（以下无正文，为签章栏）</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（本页为签章页）</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ind w:left="8312" w:hanging="8312" w:hangingChars="3450"/>
        <w:rPr>
          <w:rFonts w:hint="eastAsia" w:ascii="宋体" w:hAnsi="宋体" w:cs="宋体"/>
          <w:b/>
          <w:color w:val="auto"/>
          <w:sz w:val="24"/>
          <w:highlight w:val="none"/>
        </w:rPr>
      </w:pPr>
      <w:r>
        <w:rPr>
          <w:rFonts w:hint="eastAsia" w:ascii="宋体" w:hAnsi="宋体" w:cs="宋体"/>
          <w:b/>
          <w:color w:val="auto"/>
          <w:sz w:val="24"/>
          <w:highlight w:val="none"/>
        </w:rPr>
        <w:t>甲方名称：                                 乙方名称：</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深圳市前海深港现代服务业合作区管理局</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adjustRightInd w:val="0"/>
        <w:snapToGrid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法定代表人或授权代表：（签字）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或授权代表：（签字）</w:t>
      </w:r>
    </w:p>
    <w:p>
      <w:pPr>
        <w:widowControl/>
        <w:adjustRightInd w:val="0"/>
        <w:snapToGrid w:val="0"/>
        <w:spacing w:line="360" w:lineRule="auto"/>
        <w:ind w:firstLine="200"/>
        <w:jc w:val="left"/>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日期：</w:t>
      </w:r>
    </w:p>
    <w:p>
      <w:pPr>
        <w:adjustRightInd w:val="0"/>
        <w:snapToGrid w:val="0"/>
        <w:spacing w:line="360" w:lineRule="auto"/>
        <w:ind w:firstLine="720" w:firstLineChars="3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注：本合同样本仅供参考，非实质性条款内容可由采购人和中标人协商确定。</w:t>
      </w:r>
    </w:p>
    <w:p>
      <w:pPr>
        <w:snapToGrid w:val="0"/>
        <w:spacing w:line="360" w:lineRule="auto"/>
        <w:rPr>
          <w:rFonts w:hint="eastAsia" w:ascii="宋体" w:hAnsi="宋体" w:cs="宋体"/>
          <w:color w:val="auto"/>
          <w:sz w:val="24"/>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3" w:name="_Toc25518"/>
      <w:r>
        <w:rPr>
          <w:rFonts w:hint="eastAsia" w:ascii="宋体" w:hAnsi="宋体" w:cs="宋体"/>
          <w:b/>
          <w:bCs/>
          <w:color w:val="auto"/>
          <w:sz w:val="24"/>
          <w:highlight w:val="none"/>
        </w:rPr>
        <w:t>用户需求书</w:t>
      </w:r>
      <w:bookmarkEnd w:id="13"/>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auto"/>
          <w:kern w:val="2"/>
          <w:sz w:val="24"/>
          <w:szCs w:val="24"/>
          <w:highlight w:val="none"/>
          <w:lang w:val="en-US" w:eastAsia="zh-CN" w:bidi="ar-SA"/>
        </w:rPr>
      </w:pPr>
      <w:bookmarkStart w:id="14" w:name="_Toc11045"/>
      <w:bookmarkStart w:id="15" w:name="_Toc23726"/>
      <w:r>
        <w:rPr>
          <w:rFonts w:hint="eastAsia" w:ascii="宋体" w:hAnsi="宋体" w:eastAsia="宋体" w:cs="宋体"/>
          <w:b/>
          <w:bCs/>
          <w:color w:val="auto"/>
          <w:kern w:val="2"/>
          <w:sz w:val="24"/>
          <w:szCs w:val="24"/>
          <w:highlight w:val="none"/>
          <w:lang w:val="en-US" w:eastAsia="zh-CN" w:bidi="ar-SA"/>
        </w:rPr>
        <w:t>一、</w:t>
      </w:r>
      <w:bookmarkEnd w:id="14"/>
      <w:bookmarkEnd w:id="15"/>
      <w:bookmarkStart w:id="16" w:name="_Toc51746099"/>
      <w:r>
        <w:rPr>
          <w:rFonts w:hint="eastAsia" w:ascii="宋体" w:hAnsi="宋体" w:eastAsia="宋体" w:cs="宋体"/>
          <w:b/>
          <w:bCs/>
          <w:color w:val="auto"/>
          <w:kern w:val="2"/>
          <w:sz w:val="24"/>
          <w:szCs w:val="24"/>
          <w:highlight w:val="none"/>
          <w:lang w:val="zh-CN" w:eastAsia="zh-CN" w:bidi="ar-SA"/>
        </w:rPr>
        <w:t>项目概况</w:t>
      </w:r>
    </w:p>
    <w:bookmarkEnd w:id="16"/>
    <w:p>
      <w:pPr>
        <w:pStyle w:val="3"/>
        <w:spacing w:after="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深入贯彻落实党的二十届三中全会精神和《前海深港现代服务业合作区总体发展规划》的有关要求，加快发展外贸新业态新模式，提升跨境电商产业数据支撑前海经济运行调度、招商引资、企业服务的能级，充分发挥跨境电商服务中国制造业品牌出海的重要作用，助力高水平打造前海跨境电商集聚区，拟开展</w:t>
      </w:r>
      <w:r>
        <w:rPr>
          <w:rFonts w:hint="eastAsia" w:ascii="宋体" w:hAnsi="宋体" w:cs="宋体"/>
          <w:color w:val="auto"/>
          <w:kern w:val="2"/>
          <w:sz w:val="24"/>
          <w:szCs w:val="24"/>
          <w:highlight w:val="none"/>
          <w:lang w:val="en-US" w:eastAsia="zh-CN" w:bidi="ar-SA"/>
        </w:rPr>
        <w:t>前海跨境电商集聚区综合服务项目</w:t>
      </w:r>
      <w:r>
        <w:rPr>
          <w:rFonts w:hint="eastAsia" w:ascii="宋体" w:hAnsi="宋体" w:eastAsia="宋体" w:cs="宋体"/>
          <w:color w:val="auto"/>
          <w:kern w:val="2"/>
          <w:sz w:val="24"/>
          <w:szCs w:val="24"/>
          <w:highlight w:val="none"/>
          <w:lang w:val="en-US" w:eastAsia="zh-CN" w:bidi="ar-SA"/>
        </w:rPr>
        <w:t>采购。</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二、项目必要性</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贯彻落实国家战略部署的需要。2023年12月，国务院批复的《前海深港现代服务业合作区总体发展规划》提出“打造跨境电商集聚区，推进公共海外仓建设”。党的二十届三中全会审议通过的《中共中央关于进一步全面深化改革 推进中国式现代化的决定》提出“深化外贸体制改革”“创新发展数字贸易，推进跨境电商综合试验区建设”。开展跨境电商数据综合服务项目，针对性统计分析前海跨境电商进出口和全国、全省、全市跨境电商产业数据等情况，精准服务前海重点企业，充分发挥跨境电商在支持制造业品牌走出去的支撑作用。</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进一步推动前海跨境电商集聚区高质量发展的需要。前海于2022年12月启动跨境电商集聚区建设，通过构建跨境电商生态圈赋能制造业高质量发展。截至目前，前海已集聚拼多多TEMU、俄罗斯Ozon、京东国际、中国中免、安克创新、易达云、顺势电子（影石旗下电商业务主体）等145家各类优质跨境电商企业，其中，易达云已于2024年5月底在港交所上市，成为全国跨境电商海外仓“第一股”。DHL、UPS、菜鸟、顺丰已在前海设立区域转运中心，亚马逊落地了全球开店亚太创新中心，全市6个跨境电商监管场站有3个在前海，其中前海跨境电商监管中心处理的跨境电商货物包裹量、货值已连续 3 年均居全国第一。2023年前海跨境电商在地企业进出口额达593.7亿元，同比增长78.2%。2024年1-7月，前海跨境电商在地企业进出口额836.1亿元，同比增长247.4%，总量排名全市第一，占全市（2806.5亿元）29.8%，增速远高于全市的97.1%。集聚区建设取得积极成效的同时，但企业服务、政策创新、与产业带联动等方面存在不足，出海企业跨境电商进出口申报、阳光化试点、海外仓标准等缺少专业支持，亟需具有行业资源的第三方提供配套服务，以提升前海跨境电商集聚发展的综合服务水平。</w:t>
      </w:r>
    </w:p>
    <w:p>
      <w:pPr>
        <w:pStyle w:val="25"/>
        <w:tabs>
          <w:tab w:val="left" w:pos="720"/>
        </w:tabs>
        <w:autoSpaceDE w:val="0"/>
        <w:autoSpaceDN w:val="0"/>
        <w:adjustRightInd w:val="0"/>
        <w:spacing w:line="360" w:lineRule="auto"/>
        <w:ind w:right="17" w:firstLine="482"/>
        <w:jc w:val="left"/>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开展经济运行调度和招商引资的需要。一方面，目前全市跨境电商进出口数据主要来源于深圳国际贸易单一窗口和跨境电商线上综合服务平台，我局仅能获取前海跨境电商进出口总体数据，缺少跨境电商贸易方式项下的进出口国别、商品品类、单家企业、监管场站等详细进出口数据，难以系统、全面分析跨境电商进出口情况，不利于充分、有力开展经济运行调度。另一方面，由于跨境电商卖家普遍委托第三方物流服务商进行通关申报，因此，当前仅通过跨境电商进出口数据无法精准定位跨境电商卖家、体现卖家具体经营情况，难以为我局开展更具针对性的跨境电商企业招引和服务提供充足的真实数据支撑。</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三、工作内容</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研究跨境电商产业发展情况。采集梳理全国、广东省和深圳市跨境电商产业数据、各大平台的真实交易数据。包括但不限于主流B2C平台店铺数、卖家数、销量、GMV及品类TOP10、TOP100企业等，研究产业发展情况并形成行业发展报告供经济调度和发展决策。</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是统计分析前海跨境电商外贸进出口数据。包括前海每月跨境电商进出口额情况，1210、9610、9710、9810不同贸易方式的业务数据，单个企业、重点商品、重点国家或地区、前海口岸进出口情况，片区内跨境电商监管场站通关情况等。</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三是协助开展前海跨境电商重点企业服务。包括但不限于协助组织跨境电商重点企业调研、培训辅导、研讨交流等活动，协助解决企业实际经营中遇到的通关申报、收结汇、出口退税和阳光化试点等问题。</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是协助招引跨境电商重点企业。梳理跨境电商产业链上下游企业信息，发掘跨境电商优质企业招引线索，协助拜访跨境电商企业，开展招引商引资，配合拟落户企业联络产业空间，办理企业迁移或注册、办理税务登记等相关工作。</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五是协助打造跨境电商集聚区。协助建设前海走出去平台跨境电商专区，支持开拓跨境电商线上综合服务一站式平台，为出海企业提供关、汇、税及商务咨询服务。</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四、服务成果及验收</w:t>
      </w:r>
    </w:p>
    <w:p>
      <w:pPr>
        <w:pStyle w:val="25"/>
        <w:tabs>
          <w:tab w:val="left" w:pos="720"/>
        </w:tabs>
        <w:autoSpaceDE w:val="0"/>
        <w:autoSpaceDN w:val="0"/>
        <w:adjustRightInd w:val="0"/>
        <w:spacing w:line="360" w:lineRule="auto"/>
        <w:ind w:right="17" w:firstLine="482"/>
        <w:jc w:val="left"/>
        <w:outlineLvl w:val="1"/>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成果要求</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一是按月输出12份月度跨境电商产业数据统计报表，形成2份跨境电商产业数据季度报告、1份半年度报告和1份年度报告。</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二是按月输出12份前海跨境电商进出口运行分析报告，含跨境电商1210、9610、9710、9810分项数据、单个企业、重点商品、重点国家或地区的进出口数据等，深入分析进出口情况、存在问题以及相关解决建议。</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三是形成服务跨境电商重点企业的记录材料，包括但不限于推动阳光化试点情况，解决企业出口退税、退货等方面诉求的记录材料。</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四是形成协助开展招商引资的记录材料。包括但不限于提供跨境电商重点企业招商线索，协助赴企业定向招商引资记录等。</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成果应用</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一是了解全国、全省、全市跨境电商企业在主流第三方跨境电商平台布局情况，掌握全国优质跨境电商卖家分布情况，对</w:t>
      </w:r>
      <w:r>
        <w:rPr>
          <w:rFonts w:hint="eastAsia" w:ascii="宋体" w:hAnsi="宋体" w:cs="宋体"/>
          <w:color w:val="auto"/>
          <w:kern w:val="2"/>
          <w:sz w:val="24"/>
          <w:szCs w:val="24"/>
          <w:highlight w:val="none"/>
          <w:lang w:val="en-US" w:eastAsia="zh-CN" w:bidi="ar-SA"/>
        </w:rPr>
        <w:t>前海</w:t>
      </w:r>
      <w:r>
        <w:rPr>
          <w:rFonts w:hint="eastAsia" w:ascii="宋体" w:hAnsi="宋体" w:eastAsia="宋体" w:cs="宋体"/>
          <w:color w:val="auto"/>
          <w:kern w:val="2"/>
          <w:sz w:val="24"/>
          <w:szCs w:val="24"/>
          <w:highlight w:val="none"/>
          <w:lang w:val="en-US" w:eastAsia="zh-CN" w:bidi="ar-SA"/>
        </w:rPr>
        <w:t>打造跨境电商集聚区，针对性促进产业发展提供决策参考。</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二是精准定位优质跨境电商卖家等主体，服务</w:t>
      </w:r>
      <w:r>
        <w:rPr>
          <w:rFonts w:hint="eastAsia" w:ascii="宋体" w:hAnsi="宋体" w:cs="宋体"/>
          <w:color w:val="auto"/>
          <w:kern w:val="2"/>
          <w:sz w:val="24"/>
          <w:szCs w:val="24"/>
          <w:highlight w:val="none"/>
          <w:lang w:val="en-US" w:eastAsia="zh-CN" w:bidi="ar-SA"/>
        </w:rPr>
        <w:t>前海</w:t>
      </w:r>
      <w:r>
        <w:rPr>
          <w:rFonts w:hint="eastAsia" w:ascii="宋体" w:hAnsi="宋体" w:eastAsia="宋体" w:cs="宋体"/>
          <w:color w:val="auto"/>
          <w:kern w:val="2"/>
          <w:sz w:val="24"/>
          <w:szCs w:val="24"/>
          <w:highlight w:val="none"/>
          <w:lang w:val="en-US" w:eastAsia="zh-CN" w:bidi="ar-SA"/>
        </w:rPr>
        <w:t>针对性开展跨境商企业招引和服务。</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三是详细分析前海跨境电商进出口国别、商品品类、监管场站、重点企业等情况，支撑</w:t>
      </w:r>
      <w:r>
        <w:rPr>
          <w:rFonts w:hint="eastAsia" w:ascii="宋体" w:hAnsi="宋体" w:cs="宋体"/>
          <w:color w:val="auto"/>
          <w:kern w:val="2"/>
          <w:sz w:val="24"/>
          <w:szCs w:val="24"/>
          <w:highlight w:val="none"/>
          <w:lang w:val="en-US" w:eastAsia="zh-CN" w:bidi="ar-SA"/>
        </w:rPr>
        <w:t>前海</w:t>
      </w:r>
      <w:r>
        <w:rPr>
          <w:rFonts w:hint="eastAsia" w:ascii="宋体" w:hAnsi="宋体" w:eastAsia="宋体" w:cs="宋体"/>
          <w:color w:val="auto"/>
          <w:kern w:val="2"/>
          <w:sz w:val="24"/>
          <w:szCs w:val="24"/>
          <w:highlight w:val="none"/>
          <w:lang w:val="en-US" w:eastAsia="zh-CN" w:bidi="ar-SA"/>
        </w:rPr>
        <w:t>开展经济运行调度，有效提高决策科学性与针对性。四是服务前海优质制造业企业走出去。本项目将在阳光化试点、跨境电商进出口货物申报、海外仓企业备案等方面，为前海打造跨境电商出海综合服务平台提供专业化支持</w:t>
      </w:r>
      <w:r>
        <w:rPr>
          <w:rFonts w:hint="eastAsia" w:ascii="宋体" w:hAnsi="宋体" w:cs="宋体"/>
          <w:color w:val="auto"/>
          <w:kern w:val="2"/>
          <w:sz w:val="24"/>
          <w:szCs w:val="24"/>
          <w:highlight w:val="none"/>
          <w:lang w:val="en-US" w:eastAsia="zh-CN" w:bidi="ar-SA"/>
        </w:rPr>
        <w:t>。</w:t>
      </w:r>
    </w:p>
    <w:p>
      <w:pPr>
        <w:pStyle w:val="25"/>
        <w:keepNext w:val="0"/>
        <w:keepLines w:val="0"/>
        <w:pageBreakBefore w:val="0"/>
        <w:widowControl w:val="0"/>
        <w:tabs>
          <w:tab w:val="left" w:pos="720"/>
        </w:tabs>
        <w:kinsoku/>
        <w:wordWrap/>
        <w:overflowPunct/>
        <w:topLinePunct w:val="0"/>
        <w:autoSpaceDE w:val="0"/>
        <w:autoSpaceDN w:val="0"/>
        <w:bidi w:val="0"/>
        <w:adjustRightInd w:val="0"/>
        <w:snapToGrid w:val="0"/>
        <w:spacing w:line="560" w:lineRule="exact"/>
        <w:ind w:right="0" w:firstLine="482"/>
        <w:jc w:val="left"/>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最终成果验收合格的标志为:</w:t>
      </w:r>
      <w:r>
        <w:rPr>
          <w:rFonts w:hint="eastAsia" w:ascii="宋体" w:hAnsi="宋体" w:cs="宋体"/>
          <w:color w:val="auto"/>
          <w:kern w:val="2"/>
          <w:sz w:val="24"/>
          <w:szCs w:val="24"/>
          <w:highlight w:val="none"/>
          <w:lang w:val="en-US" w:eastAsia="zh-CN" w:bidi="ar-SA"/>
        </w:rPr>
        <w:t>采购人组织项目验收会议，</w:t>
      </w:r>
      <w:r>
        <w:rPr>
          <w:rFonts w:hint="eastAsia" w:ascii="宋体" w:hAnsi="宋体" w:eastAsia="宋体" w:cs="宋体"/>
          <w:color w:val="auto"/>
          <w:kern w:val="2"/>
          <w:sz w:val="24"/>
          <w:szCs w:val="24"/>
          <w:highlight w:val="none"/>
          <w:lang w:val="en-US" w:eastAsia="zh-CN" w:bidi="ar-SA"/>
        </w:rPr>
        <w:t>出具验收合格的验收证明。</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五、项目管理及进度要求</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1.组织实施要求</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为确保本次项目投标工作管理规范、实施有力，投标人应成立项目组，按采购人要求完成研究成果。</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2.项目服务期限要求</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本项目合同服务期限为自合同签定之日12个月内完成。</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（1）中标人应在签署合同后3个月内向采购人进行初步成果汇报，中标人须根据初步成果审查意见认真总结、修改、补充、完善初步成果。</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（2）中标人应在签署合同后6个月内向采购人提交项目的中间成果，并依据相关意见对项目成果进行补充、修改和完善。</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（3）中标人应在签署合同后的12个月内按合同要求提交最终成果并经由采购人</w:t>
      </w:r>
      <w:r>
        <w:rPr>
          <w:rFonts w:hint="eastAsia" w:ascii="宋体" w:hAnsi="宋体" w:cs="宋体"/>
          <w:color w:val="auto"/>
          <w:kern w:val="2"/>
          <w:sz w:val="24"/>
          <w:szCs w:val="24"/>
          <w:highlight w:val="none"/>
          <w:lang w:val="en-US" w:eastAsia="zh-CN" w:bidi="ar-SA"/>
        </w:rPr>
        <w:t>验收</w:t>
      </w:r>
      <w:r>
        <w:rPr>
          <w:rFonts w:hint="eastAsia" w:ascii="宋体" w:hAnsi="宋体" w:eastAsia="宋体" w:cs="宋体"/>
          <w:color w:val="auto"/>
          <w:kern w:val="2"/>
          <w:sz w:val="24"/>
          <w:szCs w:val="24"/>
          <w:highlight w:val="none"/>
          <w:lang w:val="en-US" w:eastAsia="zh-CN" w:bidi="ar-SA"/>
        </w:rPr>
        <w:t>通过</w:t>
      </w:r>
      <w:r>
        <w:rPr>
          <w:rFonts w:hint="eastAsia" w:ascii="宋体" w:hAnsi="宋体" w:cs="宋体"/>
          <w:color w:val="auto"/>
          <w:kern w:val="2"/>
          <w:sz w:val="24"/>
          <w:szCs w:val="24"/>
          <w:highlight w:val="none"/>
          <w:lang w:val="en-US" w:eastAsia="zh-CN" w:bidi="ar-SA"/>
        </w:rPr>
        <w:t>。</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六、项目其他要求</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w:t>
      </w:r>
      <w:r>
        <w:rPr>
          <w:rFonts w:hint="eastAsia" w:ascii="宋体" w:hAnsi="宋体" w:cs="宋体"/>
          <w:color w:val="auto"/>
          <w:kern w:val="2"/>
          <w:sz w:val="24"/>
          <w:szCs w:val="24"/>
          <w:highlight w:val="none"/>
          <w:lang w:val="en-US" w:eastAsia="zh-CN" w:bidi="ar-SA"/>
        </w:rPr>
        <w:t>投标人应确保投标文件中的人员信息真实、有效。</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采购人有权根据实际需要对研究成果进行综合优化、调整和修改。</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中标人不得以任何名义分包本项目工作中的主体工作内容。</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商务要求</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（一）服务期限</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自合同签订之日起12个月</w:t>
      </w:r>
      <w:r>
        <w:rPr>
          <w:rFonts w:hint="eastAsia" w:ascii="宋体" w:hAnsi="宋体" w:eastAsia="宋体" w:cs="宋体"/>
          <w:color w:val="auto"/>
          <w:kern w:val="2"/>
          <w:sz w:val="24"/>
          <w:szCs w:val="24"/>
          <w:highlight w:val="none"/>
          <w:lang w:val="en-US" w:eastAsia="zh-CN" w:bidi="ar-SA"/>
        </w:rPr>
        <w:t>。</w:t>
      </w:r>
    </w:p>
    <w:p>
      <w:pPr>
        <w:pStyle w:val="25"/>
        <w:tabs>
          <w:tab w:val="left" w:pos="720"/>
        </w:tabs>
        <w:autoSpaceDE w:val="0"/>
        <w:autoSpaceDN w:val="0"/>
        <w:adjustRightInd w:val="0"/>
        <w:spacing w:line="360" w:lineRule="auto"/>
        <w:ind w:right="17" w:firstLine="482"/>
        <w:jc w:val="left"/>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（二）后续服务要求</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提交的本项目最终成果通过采购人审查验收之日起1年为本合同后续服务期。服务期内中标人应向采购人提供后续的专业技术支持与咨询服务。中标人应配合采购人需要协助完成相关事项审计、事后评估等工作。</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（三）报价要求</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服务费采用包干制，应包括所有服务费用、项目调研费用、工作人员工资、差旅费、通讯、交通费用、分析费用、项目成果文本印刷费用、文件资料发送至采购人的费用、税费等。由报价人根据招标文件所提供的资料自行测算报价；一经中标，正式报价总价作为中标人与采购人签定的合同金额，合同期限内不做调整。</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3.投标人的投标报价，应是本项目招标范围和招标文件及合同条款上所列的各项内容中所述的全部，不得以任何理由予以重复，并以投标人在投标文件中提出的综合单价或总价为依据。</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4.投标人应充分了解项目的位置、情况、道路及任何其他足以影响投标报价的情况，任何因忽视或误解项目情况而导致的索赔或服务期限延长申请将不获批准。</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（四）付款方式</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1.项目资金分2期支付至中标人指定银行账户：</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1.1.第1期：自本合同签订之日起15个工作日内，根据中标人提出的付款申请，采购人向中标人支付合同总金额的50%；</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1.2.第2期：中标人提交最终成果，</w:t>
      </w:r>
      <w:r>
        <w:rPr>
          <w:rFonts w:hint="eastAsia" w:ascii="宋体" w:hAnsi="宋体" w:cs="宋体"/>
          <w:color w:val="auto"/>
          <w:sz w:val="24"/>
        </w:rPr>
        <w:t>并通过</w:t>
      </w:r>
      <w:r>
        <w:rPr>
          <w:rFonts w:hint="eastAsia" w:ascii="宋体" w:hAnsi="宋体" w:cs="宋体"/>
          <w:color w:val="auto"/>
          <w:sz w:val="24"/>
          <w:lang w:val="en-US" w:eastAsia="zh-CN"/>
        </w:rPr>
        <w:t>采购人</w:t>
      </w:r>
      <w:r>
        <w:rPr>
          <w:rFonts w:hint="eastAsia" w:ascii="宋体" w:hAnsi="宋体" w:cs="宋体"/>
          <w:color w:val="auto"/>
          <w:sz w:val="24"/>
        </w:rPr>
        <w:t>验收后</w:t>
      </w:r>
      <w:r>
        <w:rPr>
          <w:rFonts w:hint="eastAsia" w:ascii="宋体" w:hAnsi="宋体" w:cs="宋体"/>
          <w:color w:val="auto"/>
          <w:sz w:val="24"/>
          <w:lang w:eastAsia="zh-CN"/>
        </w:rPr>
        <w:t>，</w:t>
      </w:r>
      <w:r>
        <w:rPr>
          <w:rFonts w:hint="eastAsia" w:ascii="宋体" w:hAnsi="宋体" w:eastAsia="宋体" w:cs="宋体"/>
          <w:color w:val="auto"/>
          <w:kern w:val="2"/>
          <w:sz w:val="24"/>
          <w:szCs w:val="24"/>
          <w:highlight w:val="none"/>
          <w:lang w:val="en-US" w:eastAsia="zh-CN" w:bidi="ar-SA"/>
        </w:rPr>
        <w:t>根据中标人提出的付款申请，采购人向中标人支付合同总金额的50%。</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（五）成果权属与知识产权</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本项目全部阶段性成果和最终成果（包括为后续服务范围所编制的文件）的知识产权以及与之相关的所有权利归采购人所有；本合同签署前双方已经拥有的知识产权权利，仍归各自所有。</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5.中标人完成本合同项目的研究开发人员享有在有关技术成果文件上写明技术成果完成者的权利和与采购人共同获得有关荣誉证书、奖励的权利。</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（六）保密条款</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4.中标人实施项目的程序应符合国家安全、保密的有关规定和标准。</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5.上述保密义务不适用以下情况：</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（1）获取的信息已被合法公开；</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（2）获得信息拥有方书面许可并在该许可范围内披露；</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（3）国家法律、法规规定的情形。</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上述索赔或责任所产生的诉讼费用、合理的律师费用、鉴定评估费用、调查费用、和解金额或生效法律文书中规定的赔偿金额。</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8.无论本合同或本合同其他条款是否有效，本保密条款始终约束双方。国家秘密的保密期限由国家有关部门确定，工作秘密的保密期限由采购人确定。</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（七）违约责任</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1.中标人未按照本合同约定的时间完成本项目各阶段工作，每延迟一日，采购人有权自尚未支付的合同款项中扣除本合同服务费总金额的1‰的逾期违约金。</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2.本项目项下的工作内容不可分割，任一文件的迟延交付均视为整个项目的迟延交付。</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（1）中标人未能按合同约定的日期(含协商延缓的日期)提交各阶段成果或最终成果，延误时间超过15个工作日；</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（2）因中标人工作的错误或遗漏造成成果质量损失，工作成果质量低劣，不能满足采购人工作需要和要求；</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（3）中标人虽如期提交最终成果，但连续二次未能通过采购人验收的；</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（4）未经采购人书面在先同意，中标人擅自将本合同项目与任何第三方合作，或将本合同标的全部或部分擅自转包或分包给任何第三方，且未按采购人的要求终止与第三方的合同的；</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（5）项目负责人未承担本合同项目实质性工作，或未经采购人书面在先同意，中标人擅自更换项目负责人的；</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（6）发现中标人或中标人工作人员出现全部或部分丧失履行委托服务能力的情况，采购人有权通知中标人限期整改或更换工作人员，期限届满中标人并未进行改善的；</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（7）中标人明确表示或者以自己的行为表明不履行本合同的。</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（八）争议解决方式</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因合同的履行发生的或与合同有关的争议或纠纷，由双方协商解决，协商不成的，任意一方有权向深圳前海合作区人民法院提起诉讼。</w:t>
      </w:r>
    </w:p>
    <w:p>
      <w:pPr>
        <w:widowControl/>
        <w:spacing w:line="360" w:lineRule="auto"/>
        <w:ind w:firstLine="480" w:firstLineChars="200"/>
        <w:jc w:val="center"/>
        <w:outlineLvl w:val="0"/>
        <w:rPr>
          <w:rFonts w:hint="eastAsia" w:ascii="宋体" w:cs="宋体"/>
          <w:b/>
          <w:bCs/>
          <w:color w:val="auto"/>
          <w:sz w:val="24"/>
          <w:highlight w:val="none"/>
        </w:rPr>
      </w:pPr>
      <w:r>
        <w:rPr>
          <w:rFonts w:hint="eastAsia" w:ascii="宋体" w:hAnsi="宋体" w:cs="宋体"/>
          <w:color w:val="auto"/>
          <w:sz w:val="24"/>
          <w:highlight w:val="none"/>
        </w:rPr>
        <w:br w:type="page"/>
      </w:r>
      <w:bookmarkStart w:id="17" w:name="_Toc23822"/>
      <w:r>
        <w:rPr>
          <w:rFonts w:hint="eastAsia" w:ascii="宋体" w:cs="宋体"/>
          <w:b/>
          <w:bCs/>
          <w:color w:val="auto"/>
          <w:sz w:val="24"/>
          <w:highlight w:val="none"/>
        </w:rPr>
        <w:t>第六章 投标文件初审及招标项目评分表</w:t>
      </w:r>
      <w:bookmarkEnd w:id="17"/>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法律、法规规定的其他情形</w:t>
            </w:r>
          </w:p>
        </w:tc>
      </w:tr>
    </w:tbl>
    <w:p>
      <w:pPr>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18"/>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一、价格部分（</w:t>
            </w: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zh-CN" w:eastAsia="zh-CN" w:bidi="ar-SA"/>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内容</w:t>
            </w:r>
          </w:p>
        </w:tc>
        <w:tc>
          <w:tcPr>
            <w:tcW w:w="5907"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评分规则</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权重</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投标报价</w:t>
            </w:r>
          </w:p>
        </w:tc>
        <w:tc>
          <w:tcPr>
            <w:tcW w:w="5907" w:type="dxa"/>
            <w:noWrap w:val="0"/>
            <w:vAlign w:val="center"/>
          </w:tcPr>
          <w:p>
            <w:pPr>
              <w:autoSpaceDE w:val="0"/>
              <w:autoSpaceDN w:val="0"/>
              <w:adjustRightIn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采用低价优先法计算，即满足招标文件要求且投标价格最低的投标报价为评标基准价，其价格分为满分。其他投标人的价格分统一按照下列公式计算：</w:t>
            </w:r>
          </w:p>
          <w:p>
            <w:pPr>
              <w:autoSpaceDE w:val="0"/>
              <w:autoSpaceDN w:val="0"/>
              <w:adjustRightInd w:val="0"/>
              <w:spacing w:line="36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投标报价得分=(评标基准价／投标报价)×</w:t>
            </w:r>
            <w:r>
              <w:rPr>
                <w:rFonts w:hint="eastAsia" w:ascii="宋体" w:hAnsi="宋体" w:cs="宋体"/>
                <w:color w:val="auto"/>
                <w:kern w:val="2"/>
                <w:sz w:val="24"/>
                <w:szCs w:val="24"/>
                <w:highlight w:val="none"/>
                <w:lang w:val="en-US" w:eastAsia="zh-CN" w:bidi="ar-SA"/>
              </w:rPr>
              <w:t>15</w:t>
            </w:r>
          </w:p>
          <w:p>
            <w:pPr>
              <w:autoSpaceDE w:val="0"/>
              <w:autoSpaceDN w:val="0"/>
              <w:adjustRightIn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价格评分仅限于有效投标人，当价格分&lt;0时，取0。</w:t>
            </w:r>
          </w:p>
          <w:p>
            <w:pPr>
              <w:autoSpaceDE w:val="0"/>
              <w:autoSpaceDN w:val="0"/>
              <w:adjustRightIn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r>
              <w:rPr>
                <w:rFonts w:hint="eastAsia" w:ascii="宋体" w:hAnsi="宋体" w:cs="宋体"/>
                <w:color w:val="auto"/>
                <w:sz w:val="24"/>
                <w:highlight w:val="none"/>
              </w:rPr>
              <w:t>。</w:t>
            </w:r>
          </w:p>
          <w:p>
            <w:pPr>
              <w:autoSpaceDE w:val="0"/>
              <w:autoSpaceDN w:val="0"/>
              <w:adjustRightIn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监狱企业应当提供由省级以上监狱管理局、戒毒管理局（含新疆生产建设兵团）出具的属于监狱企业的证明文件，中小企业提供中小企业声明函，残疾人福利性企业提供残疾人福利性企业声明函。</w:t>
            </w:r>
          </w:p>
          <w:p>
            <w:pPr>
              <w:autoSpaceDE w:val="0"/>
              <w:autoSpaceDN w:val="0"/>
              <w:adjustRightInd w:val="0"/>
              <w:spacing w:line="360" w:lineRule="auto"/>
              <w:rPr>
                <w:rFonts w:hint="eastAsia" w:eastAsia="宋体"/>
                <w:color w:val="auto"/>
                <w:highlight w:val="none"/>
                <w:lang w:val="en-US" w:eastAsia="zh-CN"/>
              </w:rPr>
            </w:pPr>
            <w:r>
              <w:rPr>
                <w:rFonts w:hint="eastAsia" w:ascii="宋体" w:hAnsi="宋体" w:cs="宋体"/>
                <w:color w:val="auto"/>
                <w:kern w:val="2"/>
                <w:sz w:val="24"/>
                <w:szCs w:val="24"/>
                <w:highlight w:val="none"/>
                <w:lang w:val="en-US" w:eastAsia="zh-CN" w:bidi="ar-SA"/>
              </w:rPr>
              <w:t>3.本项目所属行业：</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lang w:eastAsia="zh-CN"/>
              </w:rPr>
              <w:t>。</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5</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二、商务部分（</w:t>
            </w:r>
            <w:r>
              <w:rPr>
                <w:rFonts w:hint="eastAsia" w:ascii="宋体" w:hAnsi="宋体" w:cs="宋体"/>
                <w:b/>
                <w:color w:val="auto"/>
                <w:sz w:val="24"/>
                <w:highlight w:val="none"/>
                <w:lang w:val="en-US" w:eastAsia="zh-CN"/>
              </w:rPr>
              <w:t>35</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autoSpaceDE w:val="0"/>
              <w:autoSpaceDN w:val="0"/>
              <w:adjustRightIn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22" w:type="dxa"/>
            <w:noWrap w:val="0"/>
            <w:vAlign w:val="center"/>
          </w:tcPr>
          <w:p>
            <w:pPr>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68" w:type="dxa"/>
            <w:noWrap w:val="0"/>
            <w:vAlign w:val="center"/>
          </w:tcPr>
          <w:p>
            <w:pPr>
              <w:autoSpaceDE w:val="0"/>
              <w:autoSpaceDN w:val="0"/>
              <w:adjustRightInd w:val="0"/>
              <w:spacing w:line="360" w:lineRule="auto"/>
              <w:jc w:val="center"/>
              <w:rPr>
                <w:rFonts w:hint="default" w:ascii="宋体" w:hAnsi="宋体" w:eastAsia="宋体" w:cs="宋体"/>
                <w:color w:val="auto"/>
                <w:sz w:val="24"/>
                <w:highlight w:val="none"/>
                <w:lang w:val="en-US"/>
              </w:rPr>
            </w:pPr>
            <w:r>
              <w:rPr>
                <w:rFonts w:hint="eastAsia" w:ascii="宋体" w:hAnsi="宋体" w:cs="宋体"/>
                <w:color w:val="auto"/>
                <w:sz w:val="24"/>
              </w:rPr>
              <w:t>项目负责人（仅限一人）</w:t>
            </w:r>
          </w:p>
        </w:tc>
        <w:tc>
          <w:tcPr>
            <w:tcW w:w="5907" w:type="dxa"/>
            <w:shd w:val="clear" w:color="auto" w:fill="auto"/>
            <w:noWrap w:val="0"/>
            <w:vAlign w:val="top"/>
          </w:tcPr>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（一）评审标准：</w:t>
            </w:r>
          </w:p>
          <w:p>
            <w:pPr>
              <w:pStyle w:val="8"/>
              <w:spacing w:line="360" w:lineRule="auto"/>
              <w:jc w:val="both"/>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具有本科（或以上）学历</w:t>
            </w:r>
            <w:r>
              <w:rPr>
                <w:rFonts w:hint="eastAsia" w:ascii="宋体" w:hAnsi="宋体" w:cs="宋体"/>
                <w:color w:val="auto"/>
                <w:kern w:val="0"/>
                <w:sz w:val="24"/>
                <w:lang w:val="en-US" w:eastAsia="zh-CN"/>
              </w:rPr>
              <w:t>以及学士（或以上）学位，且</w:t>
            </w:r>
            <w:r>
              <w:rPr>
                <w:rFonts w:hint="eastAsia" w:ascii="宋体" w:hAnsi="宋体" w:cs="宋体"/>
                <w:color w:val="auto"/>
                <w:sz w:val="24"/>
              </w:rPr>
              <w:t>工作经验不少于5年</w:t>
            </w:r>
            <w:r>
              <w:rPr>
                <w:rFonts w:hint="eastAsia" w:ascii="宋体" w:hAnsi="宋体" w:cs="宋体"/>
                <w:color w:val="auto"/>
                <w:kern w:val="0"/>
                <w:sz w:val="24"/>
              </w:rPr>
              <w:t>的</w:t>
            </w:r>
            <w:r>
              <w:rPr>
                <w:rFonts w:hint="eastAsia" w:ascii="宋体" w:hAnsi="宋体" w:cs="宋体"/>
                <w:color w:val="auto"/>
                <w:kern w:val="0"/>
                <w:sz w:val="24"/>
                <w:lang w:val="zh-CN"/>
              </w:rPr>
              <w:t>，得</w:t>
            </w:r>
            <w:r>
              <w:rPr>
                <w:rFonts w:hint="eastAsia" w:ascii="宋体" w:hAnsi="宋体" w:cs="宋体"/>
                <w:color w:val="auto"/>
                <w:kern w:val="0"/>
                <w:sz w:val="24"/>
                <w:lang w:val="en-US" w:eastAsia="zh-CN"/>
              </w:rPr>
              <w:t>2.5</w:t>
            </w:r>
            <w:r>
              <w:rPr>
                <w:rFonts w:hint="eastAsia" w:ascii="宋体" w:hAnsi="宋体" w:cs="宋体"/>
                <w:color w:val="auto"/>
                <w:kern w:val="0"/>
                <w:sz w:val="24"/>
                <w:lang w:val="zh-CN"/>
              </w:rPr>
              <w:t>分，</w:t>
            </w:r>
            <w:r>
              <w:rPr>
                <w:rFonts w:hint="eastAsia" w:ascii="宋体" w:hAnsi="宋体" w:cs="宋体"/>
                <w:color w:val="auto"/>
                <w:kern w:val="0"/>
                <w:sz w:val="24"/>
                <w:lang w:val="en-US" w:eastAsia="zh-CN"/>
              </w:rPr>
              <w:t>否则不得分</w:t>
            </w:r>
            <w:r>
              <w:rPr>
                <w:rFonts w:hint="eastAsia" w:ascii="宋体" w:hAnsi="宋体" w:cs="宋体"/>
                <w:color w:val="auto"/>
                <w:kern w:val="0"/>
                <w:sz w:val="24"/>
                <w:lang w:val="zh-CN"/>
              </w:rPr>
              <w:t>；</w:t>
            </w:r>
          </w:p>
          <w:p>
            <w:pPr>
              <w:pStyle w:val="8"/>
              <w:spacing w:line="360" w:lineRule="auto"/>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r>
              <w:rPr>
                <w:rFonts w:hint="default" w:ascii="宋体" w:hAnsi="宋体" w:cs="宋体"/>
                <w:color w:val="auto"/>
                <w:sz w:val="24"/>
              </w:rPr>
              <w:t>获得市级或以上级别的政府</w:t>
            </w:r>
            <w:r>
              <w:rPr>
                <w:rFonts w:hint="eastAsia" w:ascii="宋体" w:hAnsi="宋体" w:cs="宋体"/>
                <w:color w:val="auto"/>
                <w:sz w:val="24"/>
                <w:lang w:eastAsia="zh-CN"/>
              </w:rPr>
              <w:t>或行政或事业</w:t>
            </w:r>
            <w:r>
              <w:rPr>
                <w:rFonts w:hint="default" w:ascii="宋体" w:hAnsi="宋体" w:cs="宋体"/>
                <w:color w:val="auto"/>
                <w:sz w:val="24"/>
              </w:rPr>
              <w:t>单位颁发的国际贸易</w:t>
            </w:r>
            <w:r>
              <w:rPr>
                <w:rFonts w:hint="eastAsia" w:ascii="宋体" w:hAnsi="宋体" w:cs="宋体"/>
                <w:color w:val="auto"/>
                <w:sz w:val="24"/>
                <w:lang w:eastAsia="zh-CN"/>
              </w:rPr>
              <w:t>类</w:t>
            </w:r>
            <w:r>
              <w:rPr>
                <w:rFonts w:hint="eastAsia" w:ascii="宋体" w:hAnsi="宋体" w:cs="宋体"/>
                <w:color w:val="auto"/>
                <w:sz w:val="24"/>
                <w:lang w:val="en-US" w:eastAsia="zh-CN"/>
              </w:rPr>
              <w:t>或</w:t>
            </w:r>
            <w:r>
              <w:rPr>
                <w:rFonts w:hint="default" w:ascii="宋体" w:hAnsi="宋体" w:cs="宋体"/>
                <w:color w:val="auto"/>
                <w:sz w:val="24"/>
              </w:rPr>
              <w:t>跨境电商行业</w:t>
            </w:r>
            <w:r>
              <w:rPr>
                <w:rFonts w:hint="eastAsia" w:ascii="宋体" w:hAnsi="宋体" w:cs="宋体"/>
                <w:color w:val="auto"/>
                <w:sz w:val="24"/>
                <w:lang w:eastAsia="zh-CN"/>
              </w:rPr>
              <w:t>类</w:t>
            </w:r>
            <w:r>
              <w:rPr>
                <w:rFonts w:hint="default" w:ascii="宋体" w:hAnsi="宋体" w:cs="宋体"/>
                <w:color w:val="auto"/>
                <w:sz w:val="24"/>
              </w:rPr>
              <w:t>荣誉证书，</w:t>
            </w:r>
            <w:r>
              <w:rPr>
                <w:rFonts w:hint="eastAsia" w:ascii="宋体" w:hAnsi="宋体" w:cs="宋体"/>
                <w:color w:val="auto"/>
                <w:sz w:val="24"/>
                <w:lang w:val="en-US" w:eastAsia="zh-CN"/>
              </w:rPr>
              <w:t>每获得一项</w:t>
            </w:r>
            <w:r>
              <w:rPr>
                <w:rFonts w:hint="default" w:ascii="宋体" w:hAnsi="宋体" w:cs="宋体"/>
                <w:color w:val="auto"/>
                <w:sz w:val="24"/>
              </w:rPr>
              <w:t>得</w:t>
            </w:r>
            <w:r>
              <w:rPr>
                <w:rFonts w:hint="eastAsia" w:ascii="宋体" w:hAnsi="宋体" w:cs="宋体"/>
                <w:color w:val="auto"/>
                <w:sz w:val="24"/>
                <w:lang w:val="en-US" w:eastAsia="zh-CN"/>
              </w:rPr>
              <w:t>2.5</w:t>
            </w:r>
            <w:r>
              <w:rPr>
                <w:rFonts w:hint="default" w:ascii="宋体" w:hAnsi="宋体" w:cs="宋体"/>
                <w:color w:val="auto"/>
                <w:sz w:val="24"/>
              </w:rPr>
              <w:t>分，否则不得分</w:t>
            </w:r>
            <w:r>
              <w:rPr>
                <w:rFonts w:hint="eastAsia" w:ascii="宋体" w:hAnsi="宋体" w:cs="宋体"/>
                <w:color w:val="auto"/>
                <w:sz w:val="24"/>
                <w:lang w:eastAsia="zh-CN"/>
              </w:rPr>
              <w:t>，</w:t>
            </w:r>
            <w:r>
              <w:rPr>
                <w:rFonts w:hint="eastAsia" w:ascii="宋体" w:hAnsi="宋体" w:cs="宋体"/>
                <w:color w:val="auto"/>
                <w:sz w:val="24"/>
                <w:lang w:val="en-US" w:eastAsia="zh-CN"/>
              </w:rPr>
              <w:t>最高2.5分</w:t>
            </w:r>
            <w:r>
              <w:rPr>
                <w:rFonts w:hint="eastAsia" w:ascii="宋体" w:hAnsi="宋体" w:cs="宋体"/>
                <w:color w:val="auto"/>
                <w:sz w:val="24"/>
                <w:lang w:eastAsia="zh-CN"/>
              </w:rPr>
              <w:t>；</w:t>
            </w:r>
          </w:p>
          <w:p>
            <w:pPr>
              <w:pStyle w:val="8"/>
              <w:spacing w:line="360" w:lineRule="auto"/>
              <w:jc w:val="both"/>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以上两项累计满分为5分。</w:t>
            </w:r>
          </w:p>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（二）证明文件：</w:t>
            </w:r>
          </w:p>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1.要求提供项目负责人投标日期前三个月</w:t>
            </w:r>
            <w:r>
              <w:rPr>
                <w:rFonts w:hint="eastAsia" w:ascii="宋体" w:hAnsi="宋体" w:cs="宋体"/>
                <w:color w:val="auto"/>
                <w:kern w:val="0"/>
                <w:sz w:val="24"/>
              </w:rPr>
              <w:t>内</w:t>
            </w:r>
            <w:r>
              <w:rPr>
                <w:rFonts w:hint="eastAsia" w:ascii="宋体" w:hAnsi="宋体" w:cs="宋体"/>
                <w:color w:val="auto"/>
                <w:sz w:val="24"/>
              </w:rPr>
              <w:t>任1个月</w:t>
            </w:r>
            <w:r>
              <w:rPr>
                <w:rFonts w:hint="eastAsia" w:ascii="宋体" w:hAnsi="宋体" w:cs="宋体"/>
                <w:color w:val="auto"/>
                <w:kern w:val="0"/>
                <w:sz w:val="24"/>
                <w:lang w:val="zh-CN"/>
              </w:rPr>
              <w:t>在同一投标单位缴纳社保证明（网页或窗口打印资料均可，社保证明资料应当至少包含养老保险）。如供应商为新成立企业且成立时间不足</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个月可提供加盖公章的情况说明或者证明材料亦视为符合。拟派项目负责人为退休返聘人员,则须提供相关聘用合同和退休证明,无需再提供社保证明。</w:t>
            </w:r>
          </w:p>
          <w:p>
            <w:pPr>
              <w:pStyle w:val="8"/>
              <w:spacing w:line="360" w:lineRule="auto"/>
              <w:jc w:val="both"/>
              <w:rPr>
                <w:rFonts w:hint="eastAsia" w:ascii="宋体" w:hAnsi="宋体" w:cs="宋体"/>
                <w:color w:val="auto"/>
                <w:sz w:val="24"/>
                <w:lang w:val="zh-CN"/>
              </w:rPr>
            </w:pPr>
            <w:r>
              <w:rPr>
                <w:rFonts w:hint="eastAsia" w:ascii="宋体" w:hAnsi="宋体" w:cs="宋体"/>
                <w:color w:val="auto"/>
                <w:kern w:val="0"/>
                <w:sz w:val="24"/>
                <w:lang w:val="zh-CN"/>
              </w:rPr>
              <w:t>2.</w:t>
            </w:r>
            <w:r>
              <w:rPr>
                <w:rFonts w:hint="eastAsia" w:ascii="宋体" w:hAnsi="宋体" w:cs="宋体"/>
                <w:color w:val="auto"/>
                <w:sz w:val="24"/>
                <w:lang w:val="zh-CN"/>
              </w:rPr>
              <w:t>工作经验时长需提供项目负责人近5年（本项目开标之日前5年）的社保缴纳证明。</w:t>
            </w:r>
          </w:p>
          <w:p>
            <w:pPr>
              <w:pStyle w:val="8"/>
              <w:spacing w:line="360" w:lineRule="auto"/>
              <w:jc w:val="both"/>
              <w:rPr>
                <w:rFonts w:hint="eastAsia" w:ascii="宋体" w:hAnsi="宋体" w:cs="宋体"/>
                <w:color w:val="auto"/>
                <w:kern w:val="0"/>
                <w:sz w:val="24"/>
                <w:lang w:val="zh-CN"/>
              </w:rPr>
            </w:pPr>
            <w:r>
              <w:rPr>
                <w:rFonts w:hint="eastAsia" w:ascii="宋体" w:hAnsi="宋体" w:cs="宋体"/>
                <w:color w:val="auto"/>
                <w:sz w:val="24"/>
                <w:lang w:val="en-US" w:eastAsia="zh-CN"/>
              </w:rPr>
              <w:t>3.</w:t>
            </w:r>
            <w:r>
              <w:rPr>
                <w:rFonts w:hint="eastAsia" w:ascii="宋体" w:hAnsi="宋体" w:eastAsia="宋体" w:cs="宋体"/>
                <w:color w:val="auto"/>
                <w:sz w:val="24"/>
                <w:szCs w:val="24"/>
                <w:lang w:val="en-US" w:eastAsia="zh-CN"/>
              </w:rPr>
              <w:t>学历</w:t>
            </w:r>
            <w:r>
              <w:rPr>
                <w:rFonts w:hint="eastAsia" w:ascii="宋体" w:hAnsi="宋体" w:cs="宋体"/>
                <w:color w:val="auto"/>
                <w:sz w:val="24"/>
                <w:szCs w:val="24"/>
                <w:lang w:val="en-US" w:eastAsia="zh-CN"/>
              </w:rPr>
              <w:t>及学位</w:t>
            </w:r>
            <w:r>
              <w:rPr>
                <w:rFonts w:hint="eastAsia" w:ascii="宋体" w:hAnsi="宋体" w:eastAsia="宋体" w:cs="宋体"/>
                <w:color w:val="auto"/>
                <w:sz w:val="24"/>
                <w:szCs w:val="24"/>
                <w:lang w:val="en-US" w:eastAsia="zh-CN"/>
              </w:rPr>
              <w:t>证明：学</w:t>
            </w:r>
            <w:r>
              <w:rPr>
                <w:rFonts w:hint="eastAsia" w:ascii="宋体" w:hAnsi="宋体" w:cs="宋体"/>
                <w:color w:val="auto"/>
                <w:sz w:val="24"/>
                <w:szCs w:val="24"/>
                <w:lang w:val="en-US" w:eastAsia="zh-CN"/>
              </w:rPr>
              <w:t>历及学位</w:t>
            </w:r>
            <w:r>
              <w:rPr>
                <w:rFonts w:hint="eastAsia" w:ascii="宋体" w:hAnsi="宋体" w:eastAsia="宋体" w:cs="宋体"/>
                <w:color w:val="auto"/>
                <w:sz w:val="24"/>
                <w:szCs w:val="24"/>
                <w:lang w:val="en-US" w:eastAsia="zh-CN"/>
              </w:rPr>
              <w:t>证明需提供毕业证书</w:t>
            </w:r>
            <w:r>
              <w:rPr>
                <w:rFonts w:hint="eastAsia" w:ascii="宋体" w:hAnsi="宋体" w:cs="宋体"/>
                <w:color w:val="auto"/>
                <w:sz w:val="24"/>
                <w:szCs w:val="24"/>
                <w:lang w:val="en-US" w:eastAsia="zh-CN"/>
              </w:rPr>
              <w:t>及学位证书</w:t>
            </w:r>
            <w:r>
              <w:rPr>
                <w:rFonts w:hint="eastAsia" w:ascii="宋体" w:hAnsi="宋体" w:eastAsia="宋体" w:cs="宋体"/>
                <w:color w:val="auto"/>
                <w:sz w:val="24"/>
                <w:szCs w:val="24"/>
                <w:lang w:val="en-US" w:eastAsia="zh-CN"/>
              </w:rPr>
              <w:t>复印件及学信网查询截图，原件备查。对于较早颁发的学历</w:t>
            </w:r>
            <w:r>
              <w:rPr>
                <w:rFonts w:hint="eastAsia" w:ascii="宋体" w:hAnsi="宋体" w:cs="宋体"/>
                <w:color w:val="auto"/>
                <w:sz w:val="24"/>
                <w:szCs w:val="24"/>
                <w:lang w:val="en-US" w:eastAsia="zh-CN"/>
              </w:rPr>
              <w:t>及学位</w:t>
            </w:r>
            <w:r>
              <w:rPr>
                <w:rFonts w:hint="eastAsia" w:ascii="宋体" w:hAnsi="宋体" w:eastAsia="宋体" w:cs="宋体"/>
                <w:color w:val="auto"/>
                <w:sz w:val="24"/>
                <w:szCs w:val="24"/>
                <w:lang w:val="en-US" w:eastAsia="zh-CN"/>
              </w:rPr>
              <w:t>证书，学信网无法查询的，</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提供证书扫描件</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lang w:val="en-US" w:eastAsia="zh-CN"/>
              </w:rPr>
              <w:t>供其他佐证材料（如毕业院校、人社部门等颁发机构或监管机构等单位出具的证明）作为可以得分的依据。（若为境外留学学历，无需提供学信网查询记录，需提供教育部留学服务中心出具的</w:t>
            </w:r>
            <w:r>
              <w:rPr>
                <w:rFonts w:hint="eastAsia" w:ascii="宋体" w:hAnsi="宋体" w:cs="宋体"/>
                <w:color w:val="auto"/>
                <w:sz w:val="24"/>
                <w:szCs w:val="24"/>
                <w:lang w:val="en-US" w:eastAsia="zh-CN"/>
              </w:rPr>
              <w:t>境外</w:t>
            </w:r>
            <w:r>
              <w:rPr>
                <w:rFonts w:hint="eastAsia" w:ascii="宋体" w:hAnsi="宋体" w:eastAsia="宋体" w:cs="宋体"/>
                <w:color w:val="auto"/>
                <w:sz w:val="24"/>
                <w:szCs w:val="24"/>
                <w:lang w:val="en-US" w:eastAsia="zh-CN"/>
              </w:rPr>
              <w:t>学历学位认证书</w:t>
            </w:r>
            <w:r>
              <w:rPr>
                <w:rFonts w:hint="eastAsia" w:ascii="宋体" w:hAnsi="宋体" w:cs="宋体"/>
                <w:color w:val="auto"/>
                <w:sz w:val="24"/>
              </w:rPr>
              <w:t>以及教育部留学服务中心官网查询截图</w:t>
            </w:r>
            <w:r>
              <w:rPr>
                <w:rFonts w:hint="eastAsia" w:ascii="宋体" w:hAnsi="宋体" w:eastAsia="宋体" w:cs="宋体"/>
                <w:color w:val="auto"/>
                <w:sz w:val="24"/>
                <w:szCs w:val="24"/>
                <w:lang w:val="en-US" w:eastAsia="zh-CN"/>
              </w:rPr>
              <w:t>）</w:t>
            </w:r>
            <w:r>
              <w:rPr>
                <w:rFonts w:hint="eastAsia" w:ascii="宋体" w:hAnsi="宋体" w:cs="宋体"/>
                <w:color w:val="auto"/>
                <w:kern w:val="0"/>
                <w:sz w:val="24"/>
                <w:lang w:val="zh-CN"/>
              </w:rPr>
              <w:t>。</w:t>
            </w:r>
          </w:p>
          <w:p>
            <w:pPr>
              <w:pStyle w:val="8"/>
              <w:spacing w:line="360" w:lineRule="auto"/>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4.提供获得奖项的荣誉证书或奖杯、锦旗的证明材料。</w:t>
            </w:r>
          </w:p>
          <w:p>
            <w:pPr>
              <w:pStyle w:val="8"/>
              <w:spacing w:line="360" w:lineRule="auto"/>
              <w:jc w:val="both"/>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w:t>
            </w:r>
            <w:r>
              <w:rPr>
                <w:rFonts w:hint="eastAsia" w:ascii="宋体" w:hAnsi="宋体" w:cs="宋体"/>
                <w:color w:val="auto"/>
                <w:kern w:val="0"/>
                <w:sz w:val="24"/>
                <w:lang w:val="zh-CN"/>
              </w:rPr>
              <w:t>以上资料均要求提供扫描件（或官方网站截图），原件备查。评分中出现无证明资料或专家无法凭所提供资料判断是否得分的情况，一律作不得分处理</w:t>
            </w:r>
            <w:r>
              <w:rPr>
                <w:rFonts w:hint="eastAsia" w:ascii="宋体" w:hAnsi="宋体" w:cs="宋体"/>
                <w:color w:val="auto"/>
                <w:sz w:val="24"/>
                <w:szCs w:val="24"/>
                <w:lang w:val="en-US" w:eastAsia="zh-CN"/>
              </w:rPr>
              <w:t>。</w:t>
            </w:r>
          </w:p>
        </w:tc>
        <w:tc>
          <w:tcPr>
            <w:tcW w:w="901" w:type="dxa"/>
            <w:noWrap w:val="0"/>
            <w:vAlign w:val="center"/>
          </w:tcPr>
          <w:p>
            <w:pPr>
              <w:autoSpaceDE w:val="0"/>
              <w:autoSpaceDN w:val="0"/>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lang w:val="en-US" w:eastAsia="zh-CN"/>
              </w:rPr>
              <w:t>5</w:t>
            </w:r>
          </w:p>
        </w:tc>
        <w:tc>
          <w:tcPr>
            <w:tcW w:w="1079" w:type="dxa"/>
            <w:noWrap w:val="0"/>
            <w:vAlign w:val="center"/>
          </w:tcPr>
          <w:p>
            <w:pPr>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rPr>
              <w:t>服务团队成员（不含项目负责人）</w:t>
            </w:r>
          </w:p>
        </w:tc>
        <w:tc>
          <w:tcPr>
            <w:tcW w:w="5907" w:type="dxa"/>
            <w:shd w:val="clear" w:color="auto" w:fill="auto"/>
            <w:noWrap w:val="0"/>
            <w:vAlign w:val="top"/>
          </w:tcPr>
          <w:p>
            <w:pPr>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（一）评审标准：</w:t>
            </w:r>
          </w:p>
          <w:p>
            <w:pPr>
              <w:spacing w:line="360" w:lineRule="auto"/>
              <w:jc w:val="both"/>
              <w:rPr>
                <w:rFonts w:hint="eastAsia" w:ascii="宋体" w:hAnsi="宋体" w:cs="宋体"/>
                <w:color w:val="auto"/>
                <w:kern w:val="0"/>
                <w:sz w:val="24"/>
                <w:lang w:val="zh-CN"/>
              </w:rPr>
            </w:pPr>
            <w:r>
              <w:rPr>
                <w:rFonts w:hint="eastAsia" w:ascii="宋体" w:hAnsi="宋体" w:cs="宋体"/>
                <w:color w:val="auto"/>
                <w:kern w:val="0"/>
                <w:sz w:val="24"/>
                <w:lang w:val="zh-CN"/>
              </w:rPr>
              <w:t>拟安排的项目主要团队成员为投标人自有员工，提供人员清单（格式自拟），以社保为准，否则该人员情况不计分。在此基础上,根据项目主要团队成员以下情况进行评分。</w:t>
            </w:r>
          </w:p>
          <w:p>
            <w:pPr>
              <w:spacing w:line="360" w:lineRule="auto"/>
              <w:jc w:val="both"/>
              <w:rPr>
                <w:rFonts w:hint="default" w:ascii="宋体" w:hAnsi="宋体" w:eastAsia="宋体" w:cs="宋体"/>
                <w:color w:val="auto"/>
                <w:kern w:val="0"/>
                <w:sz w:val="24"/>
                <w:lang w:val="en-US" w:eastAsia="zh-CN"/>
              </w:rPr>
            </w:pPr>
            <w:r>
              <w:rPr>
                <w:rFonts w:hint="eastAsia" w:ascii="宋体" w:hAnsi="宋体" w:cs="宋体"/>
                <w:color w:val="auto"/>
                <w:kern w:val="0"/>
                <w:sz w:val="24"/>
                <w:lang w:val="zh-CN"/>
              </w:rPr>
              <w:t>项目团队成员5人以上（含5人）得</w:t>
            </w:r>
            <w:r>
              <w:rPr>
                <w:rFonts w:hint="eastAsia" w:ascii="宋体" w:hAnsi="宋体" w:cs="宋体"/>
                <w:color w:val="auto"/>
                <w:kern w:val="0"/>
                <w:sz w:val="24"/>
                <w:lang w:val="en-US" w:eastAsia="zh-CN"/>
              </w:rPr>
              <w:t>3</w:t>
            </w:r>
            <w:r>
              <w:rPr>
                <w:rFonts w:hint="eastAsia" w:ascii="宋体" w:hAnsi="宋体" w:cs="宋体"/>
                <w:color w:val="auto"/>
                <w:kern w:val="0"/>
                <w:sz w:val="24"/>
                <w:lang w:val="zh-CN"/>
              </w:rPr>
              <w:t>分，5人以下</w:t>
            </w:r>
            <w:r>
              <w:rPr>
                <w:rFonts w:hint="eastAsia" w:ascii="宋体" w:hAnsi="宋体" w:cs="宋体"/>
                <w:color w:val="auto"/>
                <w:kern w:val="0"/>
                <w:sz w:val="24"/>
                <w:lang w:val="en-US" w:eastAsia="zh-CN"/>
              </w:rPr>
              <w:t>本项</w:t>
            </w:r>
            <w:r>
              <w:rPr>
                <w:rFonts w:hint="eastAsia" w:ascii="宋体" w:hAnsi="宋体" w:cs="宋体"/>
                <w:color w:val="auto"/>
                <w:kern w:val="0"/>
                <w:sz w:val="24"/>
                <w:lang w:val="zh-CN"/>
              </w:rPr>
              <w:t>不得分。</w:t>
            </w:r>
            <w:r>
              <w:rPr>
                <w:rFonts w:hint="eastAsia" w:ascii="宋体" w:hAnsi="宋体" w:cs="宋体"/>
                <w:color w:val="auto"/>
                <w:kern w:val="0"/>
                <w:sz w:val="24"/>
                <w:lang w:val="en-US" w:eastAsia="zh-CN"/>
              </w:rPr>
              <w:t>在满足上述要求的基础上，如果</w:t>
            </w:r>
            <w:r>
              <w:rPr>
                <w:rFonts w:hint="eastAsia" w:ascii="宋体" w:hAnsi="宋体" w:cs="宋体"/>
                <w:color w:val="auto"/>
                <w:kern w:val="0"/>
                <w:sz w:val="24"/>
                <w:lang w:val="zh-CN"/>
              </w:rPr>
              <w:t>项目团队成员具有4人以上（含4人）为本科（或以上）学历以及学士（或以上）学位</w:t>
            </w:r>
            <w:r>
              <w:rPr>
                <w:rFonts w:hint="eastAsia" w:ascii="宋体" w:hAnsi="宋体" w:cs="宋体"/>
                <w:color w:val="auto"/>
                <w:kern w:val="0"/>
                <w:sz w:val="24"/>
                <w:lang w:val="en-US" w:eastAsia="zh-CN"/>
              </w:rPr>
              <w:t>加3</w:t>
            </w:r>
            <w:r>
              <w:rPr>
                <w:rFonts w:hint="eastAsia" w:ascii="宋体" w:hAnsi="宋体" w:cs="宋体"/>
                <w:color w:val="auto"/>
                <w:kern w:val="0"/>
                <w:sz w:val="24"/>
                <w:lang w:val="zh-CN"/>
              </w:rPr>
              <w:t>分，具有3人为本科（或以上）学历以及学士（或以上）学位</w:t>
            </w:r>
            <w:r>
              <w:rPr>
                <w:rFonts w:hint="eastAsia" w:ascii="宋体" w:hAnsi="宋体" w:cs="宋体"/>
                <w:color w:val="auto"/>
                <w:kern w:val="0"/>
                <w:sz w:val="24"/>
                <w:lang w:val="en-US" w:eastAsia="zh-CN"/>
              </w:rPr>
              <w:t>加1.5</w:t>
            </w:r>
            <w:r>
              <w:rPr>
                <w:rFonts w:hint="eastAsia" w:ascii="宋体" w:hAnsi="宋体" w:cs="宋体"/>
                <w:color w:val="auto"/>
                <w:kern w:val="0"/>
                <w:sz w:val="24"/>
                <w:lang w:val="zh-CN"/>
              </w:rPr>
              <w:t>分。</w:t>
            </w:r>
            <w:r>
              <w:rPr>
                <w:rFonts w:hint="eastAsia" w:ascii="宋体" w:hAnsi="宋体" w:cs="宋体"/>
                <w:color w:val="auto"/>
                <w:kern w:val="0"/>
                <w:sz w:val="24"/>
                <w:lang w:val="en-US" w:eastAsia="zh-CN"/>
              </w:rPr>
              <w:t>否则不加分。</w:t>
            </w:r>
          </w:p>
          <w:p>
            <w:pPr>
              <w:pStyle w:val="8"/>
              <w:spacing w:line="360" w:lineRule="auto"/>
              <w:jc w:val="both"/>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以上累计满分为6分。</w:t>
            </w:r>
          </w:p>
          <w:p>
            <w:pPr>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（二）证明材料：</w:t>
            </w:r>
          </w:p>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1.要求项目</w:t>
            </w:r>
            <w:r>
              <w:rPr>
                <w:rFonts w:hint="eastAsia" w:ascii="宋体" w:hAnsi="宋体" w:cs="宋体"/>
                <w:color w:val="auto"/>
                <w:kern w:val="0"/>
                <w:sz w:val="24"/>
                <w:lang w:val="en-US" w:eastAsia="zh-CN"/>
              </w:rPr>
              <w:t>团队成员</w:t>
            </w:r>
            <w:r>
              <w:rPr>
                <w:rFonts w:hint="eastAsia" w:ascii="宋体" w:hAnsi="宋体" w:cs="宋体"/>
                <w:color w:val="auto"/>
                <w:sz w:val="24"/>
                <w:lang w:val="zh-CN"/>
              </w:rPr>
              <w:t>清单（格式自拟）、</w:t>
            </w:r>
            <w:r>
              <w:rPr>
                <w:rFonts w:hint="eastAsia" w:ascii="宋体" w:hAnsi="宋体" w:cs="宋体"/>
                <w:color w:val="auto"/>
                <w:sz w:val="24"/>
                <w:lang w:val="en-US" w:eastAsia="zh-CN"/>
              </w:rPr>
              <w:t>通过投标人缴纳的</w:t>
            </w:r>
            <w:r>
              <w:rPr>
                <w:rFonts w:hint="eastAsia" w:ascii="宋体" w:hAnsi="宋体" w:cs="宋体"/>
                <w:color w:val="auto"/>
                <w:kern w:val="0"/>
                <w:sz w:val="24"/>
                <w:lang w:val="zh-CN"/>
              </w:rPr>
              <w:t>投标日期前三个月</w:t>
            </w:r>
            <w:r>
              <w:rPr>
                <w:rFonts w:hint="eastAsia" w:ascii="宋体" w:hAnsi="宋体" w:cs="宋体"/>
                <w:color w:val="auto"/>
                <w:kern w:val="0"/>
                <w:sz w:val="24"/>
              </w:rPr>
              <w:t>内</w:t>
            </w:r>
            <w:r>
              <w:rPr>
                <w:rFonts w:hint="eastAsia" w:ascii="宋体" w:hAnsi="宋体" w:cs="宋体"/>
                <w:color w:val="auto"/>
                <w:sz w:val="24"/>
              </w:rPr>
              <w:t>任1个月</w:t>
            </w:r>
            <w:r>
              <w:rPr>
                <w:rFonts w:hint="eastAsia" w:ascii="宋体" w:hAnsi="宋体" w:cs="宋体"/>
                <w:color w:val="auto"/>
                <w:kern w:val="0"/>
                <w:sz w:val="24"/>
                <w:lang w:val="en-US" w:eastAsia="zh-CN"/>
              </w:rPr>
              <w:t>的</w:t>
            </w:r>
            <w:r>
              <w:rPr>
                <w:rFonts w:hint="eastAsia" w:ascii="宋体" w:hAnsi="宋体" w:cs="宋体"/>
                <w:color w:val="auto"/>
                <w:kern w:val="0"/>
                <w:sz w:val="24"/>
                <w:lang w:val="zh-CN"/>
              </w:rPr>
              <w:t>社保证明（网页或窗口打印资料均可，社保证明资料应当至少包含养老保险），</w:t>
            </w:r>
            <w:r>
              <w:rPr>
                <w:rFonts w:hint="eastAsia" w:ascii="宋体" w:hAnsi="宋体" w:cs="宋体"/>
                <w:color w:val="auto"/>
                <w:kern w:val="0"/>
                <w:sz w:val="24"/>
                <w:lang w:val="en-US" w:eastAsia="zh-CN"/>
              </w:rPr>
              <w:t>作为其为投标人员工的证明依据</w:t>
            </w:r>
            <w:r>
              <w:rPr>
                <w:rFonts w:hint="eastAsia" w:ascii="宋体" w:hAnsi="宋体" w:cs="宋体"/>
                <w:color w:val="auto"/>
                <w:kern w:val="0"/>
                <w:sz w:val="24"/>
                <w:lang w:val="zh-CN"/>
              </w:rPr>
              <w:t>。如供应商为新成立企业且成立时间不足</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个月可提供加盖公章的情况说明或者证明材料亦视为符合。拟派项目</w:t>
            </w:r>
            <w:r>
              <w:rPr>
                <w:rFonts w:hint="eastAsia" w:ascii="宋体" w:hAnsi="宋体" w:cs="宋体"/>
                <w:color w:val="auto"/>
                <w:kern w:val="0"/>
                <w:sz w:val="24"/>
                <w:lang w:val="en-US" w:eastAsia="zh-CN"/>
              </w:rPr>
              <w:t>团队成员</w:t>
            </w:r>
            <w:r>
              <w:rPr>
                <w:rFonts w:hint="eastAsia" w:ascii="宋体" w:hAnsi="宋体" w:cs="宋体"/>
                <w:color w:val="auto"/>
                <w:kern w:val="0"/>
                <w:sz w:val="24"/>
                <w:lang w:val="zh-CN"/>
              </w:rPr>
              <w:t>为退休返聘人员,则须提供相关聘用合同和退休证明,无需再提供社保证明。</w:t>
            </w:r>
          </w:p>
          <w:p>
            <w:pPr>
              <w:spacing w:line="360" w:lineRule="auto"/>
              <w:jc w:val="both"/>
              <w:rPr>
                <w:rFonts w:hint="eastAsia" w:ascii="宋体" w:hAnsi="宋体" w:cs="宋体"/>
                <w:color w:val="auto"/>
                <w:kern w:val="0"/>
                <w:sz w:val="24"/>
                <w:lang w:val="zh-CN"/>
              </w:rPr>
            </w:pPr>
            <w:r>
              <w:rPr>
                <w:rFonts w:hint="eastAsia" w:ascii="宋体" w:hAnsi="宋体" w:cs="宋体"/>
                <w:color w:val="auto"/>
                <w:kern w:val="0"/>
                <w:sz w:val="24"/>
                <w:lang w:val="zh-CN"/>
              </w:rPr>
              <w:t>2.</w:t>
            </w:r>
            <w:r>
              <w:rPr>
                <w:rFonts w:hint="eastAsia" w:ascii="宋体" w:hAnsi="宋体" w:eastAsia="宋体" w:cs="宋体"/>
                <w:color w:val="auto"/>
                <w:sz w:val="24"/>
                <w:szCs w:val="24"/>
                <w:lang w:val="en-US" w:eastAsia="zh-CN"/>
              </w:rPr>
              <w:t>学历</w:t>
            </w:r>
            <w:r>
              <w:rPr>
                <w:rFonts w:hint="eastAsia" w:ascii="宋体" w:hAnsi="宋体" w:cs="宋体"/>
                <w:color w:val="auto"/>
                <w:sz w:val="24"/>
                <w:szCs w:val="24"/>
                <w:lang w:val="en-US" w:eastAsia="zh-CN"/>
              </w:rPr>
              <w:t>及学位</w:t>
            </w:r>
            <w:r>
              <w:rPr>
                <w:rFonts w:hint="eastAsia" w:ascii="宋体" w:hAnsi="宋体" w:eastAsia="宋体" w:cs="宋体"/>
                <w:color w:val="auto"/>
                <w:sz w:val="24"/>
                <w:szCs w:val="24"/>
                <w:lang w:val="en-US" w:eastAsia="zh-CN"/>
              </w:rPr>
              <w:t>证明：学历</w:t>
            </w:r>
            <w:r>
              <w:rPr>
                <w:rFonts w:hint="eastAsia" w:ascii="宋体" w:hAnsi="宋体" w:cs="宋体"/>
                <w:color w:val="auto"/>
                <w:sz w:val="24"/>
                <w:szCs w:val="24"/>
                <w:lang w:val="en-US" w:eastAsia="zh-CN"/>
              </w:rPr>
              <w:t>及学位</w:t>
            </w:r>
            <w:r>
              <w:rPr>
                <w:rFonts w:hint="eastAsia" w:ascii="宋体" w:hAnsi="宋体" w:eastAsia="宋体" w:cs="宋体"/>
                <w:color w:val="auto"/>
                <w:sz w:val="24"/>
                <w:szCs w:val="24"/>
                <w:lang w:val="en-US" w:eastAsia="zh-CN"/>
              </w:rPr>
              <w:t>证明需提供毕业证书</w:t>
            </w:r>
            <w:r>
              <w:rPr>
                <w:rFonts w:hint="eastAsia" w:ascii="宋体" w:hAnsi="宋体" w:cs="宋体"/>
                <w:color w:val="auto"/>
                <w:sz w:val="24"/>
                <w:szCs w:val="24"/>
                <w:lang w:val="en-US" w:eastAsia="zh-CN"/>
              </w:rPr>
              <w:t>及学位证书</w:t>
            </w:r>
            <w:r>
              <w:rPr>
                <w:rFonts w:hint="eastAsia" w:ascii="宋体" w:hAnsi="宋体" w:eastAsia="宋体" w:cs="宋体"/>
                <w:color w:val="auto"/>
                <w:sz w:val="24"/>
                <w:szCs w:val="24"/>
                <w:lang w:val="en-US" w:eastAsia="zh-CN"/>
              </w:rPr>
              <w:t>复印件及学信网查询截图，原件备查。对于较早颁发的学历</w:t>
            </w:r>
            <w:r>
              <w:rPr>
                <w:rFonts w:hint="eastAsia" w:ascii="宋体" w:hAnsi="宋体" w:cs="宋体"/>
                <w:color w:val="auto"/>
                <w:sz w:val="24"/>
                <w:szCs w:val="24"/>
                <w:lang w:val="en-US" w:eastAsia="zh-CN"/>
              </w:rPr>
              <w:t>学位</w:t>
            </w:r>
            <w:r>
              <w:rPr>
                <w:rFonts w:hint="eastAsia" w:ascii="宋体" w:hAnsi="宋体" w:eastAsia="宋体" w:cs="宋体"/>
                <w:color w:val="auto"/>
                <w:sz w:val="24"/>
                <w:szCs w:val="24"/>
                <w:lang w:val="en-US" w:eastAsia="zh-CN"/>
              </w:rPr>
              <w:t>证书，学信网无法查询的，</w:t>
            </w:r>
            <w:r>
              <w:rPr>
                <w:rFonts w:hint="eastAsia" w:ascii="宋体" w:hAnsi="宋体" w:cs="宋体"/>
                <w:color w:val="auto"/>
                <w:sz w:val="24"/>
                <w:szCs w:val="24"/>
                <w:lang w:val="en-US" w:eastAsia="zh-CN"/>
              </w:rPr>
              <w:t>应</w:t>
            </w:r>
            <w:r>
              <w:rPr>
                <w:rFonts w:hint="eastAsia" w:ascii="宋体" w:hAnsi="宋体" w:eastAsia="宋体" w:cs="宋体"/>
                <w:color w:val="auto"/>
                <w:sz w:val="24"/>
                <w:szCs w:val="24"/>
                <w:lang w:val="en-US" w:eastAsia="zh-CN"/>
              </w:rPr>
              <w:t>提供证书扫描件</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lang w:val="en-US" w:eastAsia="zh-CN"/>
              </w:rPr>
              <w:t>其他佐证材料（如毕业院校、人社部门等颁发机构或监管机构等单位出具的证明）作为可以得分的依据。（若为境外留学学历，无需提供学信网查询记录，需提供教育部留学服务中心出具的</w:t>
            </w:r>
            <w:r>
              <w:rPr>
                <w:rFonts w:hint="eastAsia" w:ascii="宋体" w:hAnsi="宋体" w:cs="宋体"/>
                <w:color w:val="auto"/>
                <w:sz w:val="24"/>
                <w:szCs w:val="24"/>
                <w:lang w:val="en-US" w:eastAsia="zh-CN"/>
              </w:rPr>
              <w:t>境外</w:t>
            </w:r>
            <w:r>
              <w:rPr>
                <w:rFonts w:hint="eastAsia" w:ascii="宋体" w:hAnsi="宋体" w:eastAsia="宋体" w:cs="宋体"/>
                <w:color w:val="auto"/>
                <w:sz w:val="24"/>
                <w:szCs w:val="24"/>
                <w:lang w:val="en-US" w:eastAsia="zh-CN"/>
              </w:rPr>
              <w:t>学历学位认证书</w:t>
            </w:r>
            <w:r>
              <w:rPr>
                <w:rFonts w:hint="eastAsia" w:ascii="宋体" w:hAnsi="宋体" w:cs="宋体"/>
                <w:color w:val="auto"/>
                <w:sz w:val="24"/>
              </w:rPr>
              <w:t>以及教育部留学服务中心官网查询截图</w:t>
            </w:r>
            <w:r>
              <w:rPr>
                <w:rFonts w:hint="eastAsia" w:ascii="宋体" w:hAnsi="宋体" w:eastAsia="宋体" w:cs="宋体"/>
                <w:color w:val="auto"/>
                <w:sz w:val="24"/>
                <w:szCs w:val="24"/>
                <w:lang w:val="en-US" w:eastAsia="zh-CN"/>
              </w:rPr>
              <w:t>）</w:t>
            </w:r>
            <w:r>
              <w:rPr>
                <w:rFonts w:hint="eastAsia" w:ascii="宋体" w:hAnsi="宋体" w:cs="宋体"/>
                <w:color w:val="auto"/>
                <w:kern w:val="0"/>
                <w:sz w:val="24"/>
                <w:lang w:val="zh-CN"/>
              </w:rPr>
              <w:t>。</w:t>
            </w:r>
          </w:p>
          <w:p>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lang w:val="zh-CN"/>
              </w:rPr>
              <w:t>3.以上资料均要求提供扫描件（或官方网站截图），原件备查。评分中出现无证明资料或专家无法凭所提供资料判断是否得分的情况，一律作不得分处理。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lang w:val="en-US" w:eastAsia="zh-CN"/>
              </w:rPr>
              <w:t>6</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rPr>
              <w:t>同类项目业绩</w:t>
            </w:r>
          </w:p>
        </w:tc>
        <w:tc>
          <w:tcPr>
            <w:tcW w:w="5907" w:type="dxa"/>
            <w:shd w:val="clear" w:color="auto" w:fill="auto"/>
            <w:noWrap w:val="0"/>
            <w:vAlign w:val="top"/>
          </w:tcPr>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（一）评审标准：</w:t>
            </w:r>
          </w:p>
          <w:p>
            <w:pPr>
              <w:pStyle w:val="8"/>
              <w:spacing w:line="360" w:lineRule="auto"/>
              <w:jc w:val="both"/>
              <w:rPr>
                <w:rFonts w:hint="eastAsia" w:ascii="宋体" w:hAnsi="宋体" w:cs="宋体"/>
                <w:color w:val="auto"/>
                <w:kern w:val="0"/>
                <w:sz w:val="24"/>
                <w:lang w:val="zh-CN"/>
              </w:rPr>
            </w:pPr>
            <w:r>
              <w:rPr>
                <w:rFonts w:hint="eastAsia" w:ascii="宋体" w:hAnsi="宋体" w:cs="宋体"/>
                <w:color w:val="auto"/>
                <w:kern w:val="0"/>
                <w:sz w:val="24"/>
                <w:lang w:val="zh-CN"/>
              </w:rPr>
              <w:t>投标</w:t>
            </w:r>
            <w:r>
              <w:rPr>
                <w:rFonts w:hint="eastAsia" w:ascii="宋体" w:hAnsi="宋体" w:cs="宋体"/>
                <w:color w:val="auto"/>
                <w:kern w:val="0"/>
                <w:sz w:val="24"/>
              </w:rPr>
              <w:t>人</w:t>
            </w:r>
            <w:r>
              <w:rPr>
                <w:rFonts w:hint="eastAsia" w:ascii="宋体" w:hAnsi="宋体" w:cs="宋体"/>
                <w:color w:val="auto"/>
                <w:kern w:val="0"/>
                <w:sz w:val="24"/>
                <w:lang w:val="zh-CN"/>
              </w:rPr>
              <w:t>具有从20</w:t>
            </w:r>
            <w:r>
              <w:rPr>
                <w:rFonts w:hint="eastAsia" w:ascii="宋体" w:hAnsi="宋体" w:cs="宋体"/>
                <w:color w:val="auto"/>
                <w:kern w:val="0"/>
                <w:sz w:val="24"/>
                <w:lang w:val="en-US" w:eastAsia="zh-CN"/>
              </w:rPr>
              <w:t>20</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1日</w:t>
            </w:r>
            <w:r>
              <w:rPr>
                <w:rFonts w:hint="eastAsia" w:ascii="宋体" w:hAnsi="宋体" w:cs="宋体"/>
                <w:color w:val="auto"/>
                <w:kern w:val="0"/>
                <w:sz w:val="24"/>
                <w:lang w:val="zh-CN"/>
              </w:rPr>
              <w:t>至</w:t>
            </w:r>
            <w:r>
              <w:rPr>
                <w:rFonts w:hint="eastAsia" w:ascii="宋体" w:hAnsi="宋体" w:cs="宋体"/>
                <w:color w:val="auto"/>
                <w:kern w:val="0"/>
                <w:sz w:val="24"/>
                <w:lang w:val="en-US" w:eastAsia="zh-CN"/>
              </w:rPr>
              <w:t>本项目</w:t>
            </w:r>
            <w:r>
              <w:rPr>
                <w:rFonts w:hint="eastAsia" w:ascii="宋体" w:hAnsi="宋体" w:cs="宋体"/>
                <w:color w:val="auto"/>
                <w:kern w:val="0"/>
                <w:sz w:val="24"/>
                <w:lang w:val="zh-CN"/>
              </w:rPr>
              <w:t>投标截止日</w:t>
            </w:r>
            <w:r>
              <w:rPr>
                <w:rFonts w:hint="eastAsia" w:ascii="宋体" w:hAnsi="宋体" w:cs="宋体"/>
                <w:color w:val="auto"/>
                <w:kern w:val="0"/>
                <w:sz w:val="24"/>
              </w:rPr>
              <w:t>(</w:t>
            </w:r>
            <w:r>
              <w:rPr>
                <w:rFonts w:hint="eastAsia" w:ascii="宋体" w:hAnsi="宋体" w:cs="宋体"/>
                <w:color w:val="auto"/>
                <w:kern w:val="0"/>
                <w:sz w:val="24"/>
                <w:lang w:val="en-US" w:eastAsia="zh-CN"/>
              </w:rPr>
              <w:t>以合同签订</w:t>
            </w:r>
            <w:r>
              <w:rPr>
                <w:rFonts w:hint="eastAsia" w:ascii="宋体" w:hAnsi="宋体" w:cs="宋体"/>
                <w:color w:val="auto"/>
                <w:kern w:val="0"/>
                <w:sz w:val="24"/>
              </w:rPr>
              <w:t>时间为准</w:t>
            </w:r>
            <w:r>
              <w:rPr>
                <w:rFonts w:hint="eastAsia" w:ascii="宋体" w:hAnsi="宋体" w:cs="宋体"/>
                <w:color w:val="auto"/>
                <w:kern w:val="0"/>
                <w:sz w:val="24"/>
                <w:lang w:eastAsia="zh-CN"/>
              </w:rPr>
              <w:t>，</w:t>
            </w:r>
            <w:r>
              <w:rPr>
                <w:rFonts w:hint="default" w:ascii="宋体" w:hAnsi="宋体" w:cs="宋体"/>
                <w:color w:val="auto"/>
                <w:sz w:val="24"/>
                <w:szCs w:val="24"/>
              </w:rPr>
              <w:t>若无合同签订时间，则以服务期限的起始时间为准</w:t>
            </w:r>
            <w:r>
              <w:rPr>
                <w:rFonts w:hint="eastAsia" w:ascii="宋体" w:hAnsi="宋体" w:cs="宋体"/>
                <w:color w:val="auto"/>
                <w:kern w:val="0"/>
                <w:sz w:val="24"/>
              </w:rPr>
              <w:t>)</w:t>
            </w:r>
            <w:r>
              <w:rPr>
                <w:rFonts w:hint="eastAsia" w:ascii="宋体" w:hAnsi="宋体" w:cs="宋体"/>
                <w:color w:val="auto"/>
                <w:kern w:val="0"/>
                <w:sz w:val="24"/>
                <w:lang w:val="en-US" w:eastAsia="zh-CN"/>
              </w:rPr>
              <w:t>完成过同类</w:t>
            </w:r>
            <w:r>
              <w:rPr>
                <w:rFonts w:hint="eastAsia" w:ascii="宋体" w:hAnsi="宋体" w:cs="宋体"/>
                <w:color w:val="auto"/>
                <w:kern w:val="0"/>
                <w:sz w:val="24"/>
                <w:lang w:val="zh-CN"/>
              </w:rPr>
              <w:t>项目</w:t>
            </w:r>
            <w:r>
              <w:rPr>
                <w:rFonts w:hint="eastAsia" w:ascii="宋体" w:hAnsi="宋体" w:cs="宋体"/>
                <w:color w:val="auto"/>
                <w:kern w:val="0"/>
                <w:sz w:val="24"/>
                <w:lang w:val="en-US" w:eastAsia="zh-CN"/>
              </w:rPr>
              <w:t>[同类项目专指政府部门委托的跨境电商线上综合服务平台类、跨境电商统计分析类、跨境电商阳光化试点和跨境电商公共服务项目类]</w:t>
            </w:r>
            <w:r>
              <w:rPr>
                <w:rFonts w:hint="eastAsia" w:ascii="宋体" w:hAnsi="宋体" w:cs="宋体"/>
                <w:color w:val="auto"/>
                <w:kern w:val="0"/>
                <w:sz w:val="24"/>
                <w:lang w:val="zh-CN"/>
              </w:rPr>
              <w:t>业绩，</w:t>
            </w:r>
            <w:r>
              <w:rPr>
                <w:rFonts w:hint="eastAsia" w:ascii="宋体" w:hAnsi="宋体" w:cs="宋体"/>
                <w:color w:val="auto"/>
                <w:kern w:val="0"/>
                <w:sz w:val="24"/>
                <w:lang w:val="en-US" w:eastAsia="zh-CN"/>
              </w:rPr>
              <w:t>按以下情况进行评分：</w:t>
            </w:r>
          </w:p>
          <w:p>
            <w:pPr>
              <w:pStyle w:val="8"/>
              <w:spacing w:line="360" w:lineRule="auto"/>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1.跨境电商线上综合服务平台建设或升级类项目，每提供一项得3分，有对应验收报告/履约评价加1</w:t>
            </w:r>
            <w:r>
              <w:rPr>
                <w:rFonts w:hint="eastAsia" w:ascii="宋体" w:hAnsi="宋体" w:cs="宋体"/>
                <w:color w:val="auto"/>
                <w:kern w:val="0"/>
                <w:sz w:val="24"/>
                <w:lang w:val="zh-CN"/>
              </w:rPr>
              <w:t>分，</w:t>
            </w:r>
            <w:r>
              <w:rPr>
                <w:rFonts w:hint="eastAsia" w:ascii="宋体" w:hAnsi="宋体" w:cs="宋体"/>
                <w:color w:val="auto"/>
                <w:kern w:val="0"/>
                <w:sz w:val="24"/>
                <w:lang w:val="en-US" w:eastAsia="zh-CN"/>
              </w:rPr>
              <w:t>最高得8分；</w:t>
            </w:r>
          </w:p>
          <w:p>
            <w:pPr>
              <w:pStyle w:val="8"/>
              <w:spacing w:line="360" w:lineRule="auto"/>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2.跨境电商统计分析类项目，每提供一项得2分，有对应验收报告/履约评价加1</w:t>
            </w:r>
            <w:r>
              <w:rPr>
                <w:rFonts w:hint="eastAsia" w:ascii="宋体" w:hAnsi="宋体" w:cs="宋体"/>
                <w:color w:val="auto"/>
                <w:kern w:val="0"/>
                <w:sz w:val="24"/>
                <w:lang w:val="zh-CN"/>
              </w:rPr>
              <w:t>分，</w:t>
            </w:r>
            <w:r>
              <w:rPr>
                <w:rFonts w:hint="eastAsia" w:ascii="宋体" w:hAnsi="宋体" w:cs="宋体"/>
                <w:color w:val="auto"/>
                <w:kern w:val="0"/>
                <w:sz w:val="24"/>
                <w:lang w:val="en-US" w:eastAsia="zh-CN"/>
              </w:rPr>
              <w:t>最高得3分；</w:t>
            </w:r>
          </w:p>
          <w:p>
            <w:pPr>
              <w:pStyle w:val="8"/>
              <w:spacing w:line="360" w:lineRule="auto"/>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3.跨境电商阳光化试点类项目，每提供一项得2分，</w:t>
            </w:r>
            <w:r>
              <w:rPr>
                <w:rFonts w:hint="eastAsia" w:ascii="宋体" w:hAnsi="宋体" w:cs="宋体"/>
                <w:color w:val="auto"/>
                <w:sz w:val="24"/>
              </w:rPr>
              <w:t>有对应验收报告/履约评价加1分，</w:t>
            </w:r>
            <w:r>
              <w:rPr>
                <w:rFonts w:hint="eastAsia" w:ascii="宋体" w:hAnsi="宋体" w:cs="宋体"/>
                <w:color w:val="auto"/>
                <w:kern w:val="0"/>
                <w:sz w:val="24"/>
                <w:lang w:val="en-US" w:eastAsia="zh-CN"/>
              </w:rPr>
              <w:t>最高得3分；</w:t>
            </w:r>
          </w:p>
          <w:p>
            <w:pPr>
              <w:pStyle w:val="8"/>
              <w:spacing w:line="360" w:lineRule="auto"/>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4.跨境电商公共服务类项目，每提供一项得2分，</w:t>
            </w:r>
            <w:r>
              <w:rPr>
                <w:rFonts w:hint="eastAsia" w:ascii="宋体" w:hAnsi="宋体" w:cs="宋体"/>
                <w:color w:val="auto"/>
                <w:sz w:val="24"/>
              </w:rPr>
              <w:t>有对应验收报告/履约评价加1分，</w:t>
            </w:r>
            <w:r>
              <w:rPr>
                <w:rFonts w:hint="eastAsia" w:ascii="宋体" w:hAnsi="宋体" w:cs="宋体"/>
                <w:color w:val="auto"/>
                <w:kern w:val="0"/>
                <w:sz w:val="24"/>
                <w:lang w:val="en-US" w:eastAsia="zh-CN"/>
              </w:rPr>
              <w:t>最高得3分。</w:t>
            </w:r>
          </w:p>
          <w:p>
            <w:pPr>
              <w:pStyle w:val="8"/>
              <w:spacing w:line="360" w:lineRule="auto"/>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同一项目续签或同一项目含上述多项内容的业绩仅得一次分数，按最优得分，不可重复得分。</w:t>
            </w:r>
          </w:p>
          <w:p>
            <w:pPr>
              <w:pStyle w:val="8"/>
              <w:spacing w:line="360" w:lineRule="auto"/>
              <w:jc w:val="both"/>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以上四项累计最高得17分。</w:t>
            </w:r>
          </w:p>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（二）证明文件：</w:t>
            </w:r>
          </w:p>
          <w:p>
            <w:pPr>
              <w:pStyle w:val="32"/>
              <w:widowControl/>
              <w:spacing w:line="360" w:lineRule="auto"/>
              <w:ind w:firstLine="0" w:firstLineChars="0"/>
              <w:rPr>
                <w:rFonts w:hint="eastAsia" w:ascii="宋体" w:hAnsi="宋体" w:cs="宋体"/>
                <w:color w:val="auto"/>
                <w:kern w:val="0"/>
                <w:sz w:val="24"/>
                <w:lang w:val="zh-CN"/>
              </w:rPr>
            </w:pPr>
            <w:r>
              <w:rPr>
                <w:rFonts w:hint="eastAsia" w:ascii="宋体" w:hAnsi="宋体" w:cs="宋体"/>
                <w:color w:val="auto"/>
                <w:kern w:val="0"/>
                <w:sz w:val="24"/>
                <w:lang w:val="zh-CN"/>
              </w:rPr>
              <w:t>1.要求提供合同关键信息（包括但不限于合同封面、签订时间页、合作内容、双方盖章页等），验收</w:t>
            </w:r>
            <w:r>
              <w:rPr>
                <w:rFonts w:hint="eastAsia" w:ascii="宋体" w:hAnsi="宋体" w:cs="宋体"/>
                <w:color w:val="auto"/>
                <w:kern w:val="0"/>
                <w:sz w:val="24"/>
                <w:lang w:val="en-US" w:eastAsia="zh-CN"/>
              </w:rPr>
              <w:t>/履约</w:t>
            </w:r>
            <w:r>
              <w:rPr>
                <w:rFonts w:hint="eastAsia" w:ascii="宋体" w:hAnsi="宋体" w:cs="宋体"/>
                <w:color w:val="auto"/>
                <w:kern w:val="0"/>
                <w:sz w:val="24"/>
                <w:lang w:val="zh-CN"/>
              </w:rPr>
              <w:t>合格</w:t>
            </w:r>
            <w:r>
              <w:rPr>
                <w:rFonts w:hint="eastAsia" w:ascii="宋体" w:hAnsi="宋体" w:cs="宋体"/>
                <w:color w:val="auto"/>
                <w:kern w:val="0"/>
                <w:sz w:val="24"/>
                <w:lang w:val="en-US" w:eastAsia="zh-CN"/>
              </w:rPr>
              <w:t>(通过)</w:t>
            </w:r>
            <w:r>
              <w:rPr>
                <w:rFonts w:hint="eastAsia" w:ascii="宋体" w:hAnsi="宋体" w:cs="宋体"/>
                <w:color w:val="auto"/>
                <w:kern w:val="0"/>
                <w:sz w:val="24"/>
                <w:lang w:val="zh-CN"/>
              </w:rPr>
              <w:t>及以上证明文件作为得分依据，验收</w:t>
            </w:r>
            <w:r>
              <w:rPr>
                <w:rFonts w:hint="eastAsia" w:ascii="宋体" w:hAnsi="宋体" w:cs="宋体"/>
                <w:color w:val="auto"/>
                <w:kern w:val="0"/>
                <w:sz w:val="24"/>
                <w:lang w:val="en-US" w:eastAsia="zh-CN"/>
              </w:rPr>
              <w:t>/履约</w:t>
            </w:r>
            <w:r>
              <w:rPr>
                <w:rFonts w:hint="eastAsia" w:ascii="宋体" w:hAnsi="宋体" w:cs="宋体"/>
                <w:color w:val="auto"/>
                <w:kern w:val="0"/>
                <w:sz w:val="24"/>
                <w:lang w:val="zh-CN"/>
              </w:rPr>
              <w:t>合格</w:t>
            </w:r>
            <w:r>
              <w:rPr>
                <w:rFonts w:hint="eastAsia" w:ascii="宋体" w:hAnsi="宋体" w:cs="宋体"/>
                <w:color w:val="auto"/>
                <w:kern w:val="0"/>
                <w:sz w:val="24"/>
                <w:lang w:val="en-US" w:eastAsia="zh-CN"/>
              </w:rPr>
              <w:t>(通过)</w:t>
            </w:r>
            <w:r>
              <w:rPr>
                <w:rFonts w:hint="eastAsia" w:ascii="宋体" w:hAnsi="宋体" w:cs="宋体"/>
                <w:color w:val="auto"/>
                <w:kern w:val="0"/>
                <w:sz w:val="24"/>
                <w:lang w:val="zh-CN"/>
              </w:rPr>
              <w:t>及以上证明文件需加盖合同甲方公章（或甲方业务章）。</w:t>
            </w:r>
          </w:p>
          <w:p>
            <w:pPr>
              <w:pStyle w:val="32"/>
              <w:widowControl/>
              <w:spacing w:line="360" w:lineRule="auto"/>
              <w:ind w:firstLine="0" w:firstLineChars="0"/>
              <w:rPr>
                <w:rFonts w:hint="eastAsia" w:ascii="宋体" w:hAnsi="宋体" w:cs="宋体"/>
                <w:color w:val="auto"/>
                <w:kern w:val="0"/>
                <w:sz w:val="24"/>
                <w:lang w:val="zh-CN"/>
              </w:rPr>
            </w:pPr>
            <w:r>
              <w:rPr>
                <w:rFonts w:hint="eastAsia" w:ascii="宋体" w:hAnsi="宋体" w:cs="宋体"/>
                <w:color w:val="auto"/>
                <w:kern w:val="0"/>
                <w:sz w:val="24"/>
                <w:lang w:val="zh-CN"/>
              </w:rPr>
              <w:t>2.通过合同关键信息无法判断是否得分的，还须同时提供能证明得分的其它证明资料，如项目报告或合同甲方出具的证明文件等。</w:t>
            </w:r>
          </w:p>
          <w:p>
            <w:pPr>
              <w:pStyle w:val="32"/>
              <w:widowControl/>
              <w:spacing w:line="360" w:lineRule="auto"/>
              <w:ind w:firstLine="0" w:firstLineChars="0"/>
              <w:rPr>
                <w:rFonts w:hint="eastAsia" w:ascii="宋体" w:hAnsi="宋体" w:cs="宋体"/>
                <w:color w:val="auto"/>
                <w:kern w:val="0"/>
                <w:sz w:val="24"/>
                <w:highlight w:val="none"/>
              </w:rPr>
            </w:pPr>
            <w:r>
              <w:rPr>
                <w:rFonts w:hint="eastAsia" w:ascii="宋体" w:hAnsi="宋体" w:cs="宋体"/>
                <w:color w:val="auto"/>
                <w:kern w:val="0"/>
                <w:sz w:val="24"/>
                <w:lang w:val="zh-CN"/>
              </w:rPr>
              <w:t>3.以上资料均要求提供扫描件</w:t>
            </w:r>
            <w:r>
              <w:rPr>
                <w:rFonts w:hint="eastAsia" w:ascii="宋体" w:hAnsi="宋体" w:cs="宋体"/>
                <w:color w:val="auto"/>
                <w:kern w:val="0"/>
                <w:sz w:val="24"/>
                <w:lang w:val="en-US" w:eastAsia="zh-CN"/>
              </w:rPr>
              <w:t>加盖公章</w:t>
            </w:r>
            <w:r>
              <w:rPr>
                <w:rFonts w:hint="eastAsia" w:ascii="宋体" w:hAnsi="宋体" w:cs="宋体"/>
                <w:color w:val="auto"/>
                <w:kern w:val="0"/>
                <w:sz w:val="24"/>
                <w:lang w:val="zh-CN"/>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400" w:lineRule="exact"/>
              <w:jc w:val="center"/>
              <w:rPr>
                <w:rFonts w:hint="eastAsia" w:ascii="宋体" w:hAnsi="宋体" w:cs="宋体"/>
                <w:color w:val="auto"/>
                <w:sz w:val="24"/>
                <w:szCs w:val="24"/>
                <w:highlight w:val="none"/>
                <w:lang w:val="en-US" w:eastAsia="zh-CN"/>
              </w:rPr>
            </w:pPr>
            <w:r>
              <w:rPr>
                <w:rFonts w:ascii="宋体" w:hAnsi="宋体" w:cs="宋体"/>
                <w:color w:val="auto"/>
                <w:sz w:val="24"/>
              </w:rPr>
              <w:t>1</w:t>
            </w:r>
            <w:r>
              <w:rPr>
                <w:rFonts w:hint="eastAsia" w:ascii="宋体" w:hAnsi="宋体" w:cs="宋体"/>
                <w:color w:val="auto"/>
                <w:sz w:val="24"/>
                <w:lang w:val="en-US" w:eastAsia="zh-CN"/>
              </w:rPr>
              <w:t>7</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lang w:val="zh-CN"/>
              </w:rPr>
              <w:t>投标人获奖情况</w:t>
            </w:r>
          </w:p>
        </w:tc>
        <w:tc>
          <w:tcPr>
            <w:tcW w:w="5907" w:type="dxa"/>
            <w:shd w:val="clear" w:color="auto" w:fill="auto"/>
            <w:noWrap w:val="0"/>
            <w:vAlign w:val="center"/>
          </w:tcPr>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（一）评审标准：</w:t>
            </w:r>
          </w:p>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投标</w:t>
            </w:r>
            <w:r>
              <w:rPr>
                <w:rFonts w:hint="eastAsia" w:ascii="宋体" w:hAnsi="宋体" w:cs="宋体"/>
                <w:color w:val="auto"/>
                <w:kern w:val="0"/>
                <w:sz w:val="24"/>
              </w:rPr>
              <w:t>人</w:t>
            </w:r>
            <w:r>
              <w:rPr>
                <w:rFonts w:hint="eastAsia" w:ascii="宋体" w:hAnsi="宋体" w:cs="宋体"/>
                <w:color w:val="auto"/>
                <w:kern w:val="0"/>
                <w:sz w:val="24"/>
                <w:lang w:val="zh-CN"/>
              </w:rPr>
              <w:t>从20</w:t>
            </w:r>
            <w:r>
              <w:rPr>
                <w:rFonts w:hint="eastAsia" w:ascii="宋体" w:hAnsi="宋体" w:cs="宋体"/>
                <w:color w:val="auto"/>
                <w:kern w:val="0"/>
                <w:sz w:val="24"/>
                <w:lang w:val="en-US" w:eastAsia="zh-CN"/>
              </w:rPr>
              <w:t>20</w:t>
            </w:r>
            <w:r>
              <w:rPr>
                <w:rFonts w:hint="eastAsia" w:ascii="宋体" w:hAnsi="宋体" w:cs="宋体"/>
                <w:color w:val="auto"/>
                <w:kern w:val="0"/>
                <w:sz w:val="24"/>
                <w:lang w:val="zh-CN"/>
              </w:rPr>
              <w:t>年</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月</w:t>
            </w:r>
            <w:r>
              <w:rPr>
                <w:rFonts w:hint="eastAsia" w:ascii="宋体" w:hAnsi="宋体" w:cs="宋体"/>
                <w:color w:val="auto"/>
                <w:kern w:val="0"/>
                <w:sz w:val="24"/>
                <w:lang w:val="en-US" w:eastAsia="zh-CN"/>
              </w:rPr>
              <w:t>1日</w:t>
            </w:r>
            <w:r>
              <w:rPr>
                <w:rFonts w:hint="eastAsia" w:ascii="宋体" w:hAnsi="宋体" w:cs="宋体"/>
                <w:color w:val="auto"/>
                <w:kern w:val="0"/>
                <w:sz w:val="24"/>
                <w:lang w:val="zh-CN"/>
              </w:rPr>
              <w:t>至</w:t>
            </w:r>
            <w:r>
              <w:rPr>
                <w:rFonts w:hint="eastAsia" w:ascii="宋体" w:hAnsi="宋体" w:cs="宋体"/>
                <w:color w:val="auto"/>
                <w:kern w:val="0"/>
                <w:sz w:val="24"/>
                <w:lang w:val="en-US" w:eastAsia="zh-CN"/>
              </w:rPr>
              <w:t>本项目</w:t>
            </w:r>
            <w:r>
              <w:rPr>
                <w:rFonts w:hint="eastAsia" w:ascii="宋体" w:hAnsi="宋体" w:cs="宋体"/>
                <w:color w:val="auto"/>
                <w:kern w:val="0"/>
                <w:sz w:val="24"/>
                <w:lang w:val="zh-CN"/>
              </w:rPr>
              <w:t>投标截止日（以荣誉证书或奖状等载明的落款时间为准）</w:t>
            </w:r>
            <w:r>
              <w:rPr>
                <w:rFonts w:hint="eastAsia" w:ascii="宋体" w:hAnsi="宋体" w:cs="宋体"/>
                <w:color w:val="auto"/>
                <w:kern w:val="0"/>
                <w:sz w:val="24"/>
              </w:rPr>
              <w:t>获得市级（人民政府或其直属行政机关单位）或以上级别的人民政府或其直属行政机关单位颁发的</w:t>
            </w:r>
            <w:r>
              <w:rPr>
                <w:rFonts w:hint="eastAsia" w:ascii="宋体" w:hAnsi="宋体" w:cs="宋体"/>
                <w:color w:val="auto"/>
                <w:kern w:val="0"/>
                <w:sz w:val="24"/>
                <w:lang w:val="en-US" w:eastAsia="zh-CN"/>
              </w:rPr>
              <w:t>国际贸易、跨境电商类</w:t>
            </w:r>
            <w:r>
              <w:rPr>
                <w:rFonts w:hint="eastAsia" w:ascii="宋体" w:hAnsi="宋体" w:cs="宋体"/>
                <w:color w:val="auto"/>
                <w:kern w:val="0"/>
                <w:sz w:val="24"/>
              </w:rPr>
              <w:t>荣誉</w:t>
            </w:r>
            <w:r>
              <w:rPr>
                <w:rFonts w:hint="eastAsia" w:ascii="宋体" w:hAnsi="宋体" w:cs="宋体"/>
                <w:color w:val="auto"/>
                <w:kern w:val="0"/>
                <w:sz w:val="24"/>
                <w:lang w:val="en-US" w:eastAsia="zh-CN"/>
              </w:rPr>
              <w:t>或</w:t>
            </w:r>
            <w:r>
              <w:rPr>
                <w:rFonts w:hint="eastAsia" w:ascii="宋体" w:hAnsi="宋体" w:cs="宋体"/>
                <w:color w:val="auto"/>
                <w:kern w:val="0"/>
                <w:sz w:val="24"/>
              </w:rPr>
              <w:t>奖励</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每获得一</w:t>
            </w:r>
            <w:r>
              <w:rPr>
                <w:rFonts w:hint="eastAsia" w:ascii="宋体" w:hAnsi="宋体" w:cs="宋体"/>
                <w:color w:val="auto"/>
                <w:kern w:val="0"/>
                <w:sz w:val="24"/>
              </w:rPr>
              <w:t>项得</w:t>
            </w:r>
            <w:r>
              <w:rPr>
                <w:rFonts w:hint="eastAsia" w:ascii="宋体" w:hAnsi="宋体" w:cs="宋体"/>
                <w:color w:val="auto"/>
                <w:kern w:val="0"/>
                <w:sz w:val="24"/>
                <w:lang w:val="en-US" w:eastAsia="zh-CN"/>
              </w:rPr>
              <w:t>2</w:t>
            </w:r>
            <w:r>
              <w:rPr>
                <w:rFonts w:hint="eastAsia" w:ascii="宋体" w:hAnsi="宋体" w:cs="宋体"/>
                <w:color w:val="auto"/>
                <w:kern w:val="0"/>
                <w:sz w:val="24"/>
              </w:rPr>
              <w:t>分，满分</w:t>
            </w:r>
            <w:r>
              <w:rPr>
                <w:rFonts w:hint="eastAsia" w:ascii="宋体" w:hAnsi="宋体" w:cs="宋体"/>
                <w:color w:val="auto"/>
                <w:kern w:val="0"/>
                <w:sz w:val="24"/>
                <w:lang w:val="en-US" w:eastAsia="zh-CN"/>
              </w:rPr>
              <w:t>2</w:t>
            </w:r>
            <w:r>
              <w:rPr>
                <w:rFonts w:hint="eastAsia" w:ascii="宋体" w:hAnsi="宋体" w:cs="宋体"/>
                <w:color w:val="auto"/>
                <w:kern w:val="0"/>
                <w:sz w:val="24"/>
              </w:rPr>
              <w:t>分</w:t>
            </w:r>
            <w:r>
              <w:rPr>
                <w:rFonts w:hint="eastAsia" w:ascii="宋体" w:hAnsi="宋体" w:cs="宋体"/>
                <w:color w:val="auto"/>
                <w:kern w:val="0"/>
                <w:sz w:val="24"/>
                <w:lang w:val="zh-CN"/>
              </w:rPr>
              <w:t>。</w:t>
            </w:r>
          </w:p>
          <w:p>
            <w:pPr>
              <w:pStyle w:val="8"/>
              <w:spacing w:line="360" w:lineRule="auto"/>
              <w:jc w:val="both"/>
              <w:rPr>
                <w:rFonts w:ascii="宋体" w:hAnsi="宋体" w:cs="宋体"/>
                <w:color w:val="auto"/>
                <w:kern w:val="0"/>
                <w:sz w:val="24"/>
                <w:lang w:val="zh-CN"/>
              </w:rPr>
            </w:pPr>
            <w:r>
              <w:rPr>
                <w:rFonts w:hint="eastAsia" w:ascii="宋体" w:hAnsi="宋体" w:cs="宋体"/>
                <w:color w:val="auto"/>
                <w:kern w:val="0"/>
                <w:sz w:val="24"/>
                <w:lang w:val="zh-CN"/>
              </w:rPr>
              <w:t>（二）证明文件：</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1.要求提供证书、奖状等证明材料作为得分依据。</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lang w:val="zh-CN"/>
              </w:rPr>
              <w:t>2.以上资料均要求提供扫描件（或官方网站截图）</w:t>
            </w:r>
            <w:r>
              <w:rPr>
                <w:rFonts w:hint="eastAsia" w:ascii="宋体" w:hAnsi="宋体" w:cs="宋体"/>
                <w:color w:val="auto"/>
                <w:kern w:val="0"/>
                <w:sz w:val="24"/>
                <w:lang w:val="en-US" w:eastAsia="zh-CN"/>
              </w:rPr>
              <w:t>加盖公章</w:t>
            </w:r>
            <w:r>
              <w:rPr>
                <w:rFonts w:hint="eastAsia" w:ascii="宋体" w:hAnsi="宋体" w:cs="宋体"/>
                <w:color w:val="auto"/>
                <w:kern w:val="0"/>
                <w:sz w:val="24"/>
                <w:lang w:val="zh-CN"/>
              </w:rPr>
              <w:t>，原件备查。评分中出现无证明资料或专家无法凭所提供资料判断是否得分的情况，一律作不得分处理。</w:t>
            </w:r>
          </w:p>
        </w:tc>
        <w:tc>
          <w:tcPr>
            <w:tcW w:w="901" w:type="dxa"/>
            <w:noWrap w:val="0"/>
            <w:vAlign w:val="center"/>
          </w:tcPr>
          <w:p>
            <w:pPr>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lang w:val="en-US" w:eastAsia="zh-CN"/>
              </w:rPr>
              <w:t>2</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5</w:t>
            </w:r>
          </w:p>
        </w:tc>
        <w:tc>
          <w:tcPr>
            <w:tcW w:w="1168" w:type="dxa"/>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诚信声明与承诺</w:t>
            </w:r>
          </w:p>
        </w:tc>
        <w:tc>
          <w:tcPr>
            <w:tcW w:w="5907" w:type="dxa"/>
            <w:noWrap w:val="0"/>
            <w:vAlign w:val="center"/>
          </w:tcPr>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（一）评分内容：</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（二）评分依据:</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1、投标人提供诚信声明与承诺加盖公章；</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采购代理机构通过信用信息查询渠道，包括“信用中国”（www.creditchina.gov.cn）、“中国政府采购网”（www.ccgp.gov.cn）、“深圳市政府采购监管网”（http://zfcg.sz.gov.cn）以及市、区财政部门认定的其他渠道查询供应商信用信息。</w:t>
            </w:r>
          </w:p>
        </w:tc>
        <w:tc>
          <w:tcPr>
            <w:tcW w:w="901" w:type="dxa"/>
            <w:noWrap w:val="0"/>
            <w:vAlign w:val="center"/>
          </w:tcPr>
          <w:p>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p>
        </w:tc>
        <w:tc>
          <w:tcPr>
            <w:tcW w:w="1079" w:type="dxa"/>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lang w:val="zh-CN"/>
              </w:rPr>
              <w:t>三、技术部分（</w:t>
            </w:r>
            <w:r>
              <w:rPr>
                <w:rFonts w:hint="eastAsia" w:ascii="宋体" w:hAnsi="宋体" w:cs="宋体"/>
                <w:b/>
                <w:color w:val="auto"/>
                <w:sz w:val="24"/>
                <w:highlight w:val="none"/>
                <w:lang w:val="en-US" w:eastAsia="zh-CN"/>
              </w:rPr>
              <w:t>50</w:t>
            </w:r>
            <w:r>
              <w:rPr>
                <w:rFonts w:hint="eastAsia" w:ascii="宋体" w:hAnsi="宋体" w:eastAsia="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spacing w:line="360" w:lineRule="auto"/>
              <w:jc w:val="both"/>
              <w:rPr>
                <w:rFonts w:hint="eastAsia"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901"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079"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pPr>
              <w:autoSpaceDE w:val="0"/>
              <w:autoSpaceDN w:val="0"/>
              <w:adjustRightIn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lang w:val="en-US" w:eastAsia="zh-CN"/>
              </w:rPr>
              <w:t>项目实施方案</w:t>
            </w:r>
          </w:p>
        </w:tc>
        <w:tc>
          <w:tcPr>
            <w:tcW w:w="5907" w:type="dxa"/>
            <w:noWrap w:val="0"/>
            <w:vAlign w:val="center"/>
          </w:tcPr>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（一）评审内容：</w:t>
            </w:r>
          </w:p>
          <w:p>
            <w:pPr>
              <w:pStyle w:val="32"/>
              <w:widowControl/>
              <w:spacing w:line="360" w:lineRule="auto"/>
              <w:ind w:firstLine="0" w:firstLineChars="0"/>
              <w:jc w:val="both"/>
              <w:rPr>
                <w:rFonts w:hint="eastAsia" w:ascii="宋体" w:hAnsi="宋体" w:cs="宋体"/>
                <w:color w:val="auto"/>
                <w:sz w:val="24"/>
              </w:rPr>
            </w:pPr>
            <w:r>
              <w:rPr>
                <w:rFonts w:hint="eastAsia" w:ascii="宋体" w:hAnsi="宋体" w:cs="宋体"/>
                <w:color w:val="auto"/>
                <w:sz w:val="24"/>
                <w:lang w:val="en-US" w:eastAsia="zh-CN"/>
              </w:rPr>
              <w:t>考察</w:t>
            </w:r>
            <w:r>
              <w:rPr>
                <w:rFonts w:hint="eastAsia" w:ascii="宋体" w:hAnsi="宋体" w:cs="宋体"/>
                <w:color w:val="auto"/>
                <w:sz w:val="24"/>
                <w:lang w:val="zh-CN"/>
              </w:rPr>
              <w:t>投标</w:t>
            </w:r>
            <w:r>
              <w:rPr>
                <w:rFonts w:hint="eastAsia" w:ascii="宋体" w:hAnsi="宋体" w:cs="宋体"/>
                <w:color w:val="auto"/>
                <w:sz w:val="24"/>
                <w:lang w:val="en-US" w:eastAsia="zh-CN"/>
              </w:rPr>
              <w:t>人拟采取的项目</w:t>
            </w:r>
            <w:r>
              <w:rPr>
                <w:rFonts w:hint="eastAsia" w:ascii="宋体" w:hAnsi="宋体" w:cs="宋体"/>
                <w:color w:val="auto"/>
                <w:sz w:val="24"/>
                <w:lang w:val="zh-CN"/>
              </w:rPr>
              <w:t>实施方案</w:t>
            </w:r>
            <w:r>
              <w:rPr>
                <w:rFonts w:hint="eastAsia" w:ascii="宋体" w:hAnsi="宋体" w:cs="宋体"/>
                <w:color w:val="auto"/>
                <w:sz w:val="24"/>
                <w:lang w:val="en-US" w:eastAsia="zh-CN"/>
              </w:rPr>
              <w:t>，</w:t>
            </w:r>
            <w:r>
              <w:rPr>
                <w:rFonts w:hint="eastAsia" w:ascii="宋体" w:hAnsi="宋体" w:cs="宋体"/>
                <w:color w:val="auto"/>
                <w:sz w:val="24"/>
              </w:rPr>
              <w:t>根据投标文件响应情况进行评分，具体内容包括但不限于：</w:t>
            </w:r>
          </w:p>
          <w:p>
            <w:pPr>
              <w:pStyle w:val="32"/>
              <w:widowControl/>
              <w:spacing w:line="360" w:lineRule="auto"/>
              <w:ind w:firstLine="0" w:firstLineChars="0"/>
              <w:jc w:val="both"/>
              <w:rPr>
                <w:rFonts w:hint="eastAsia" w:ascii="宋体" w:hAnsi="宋体" w:cs="宋体"/>
                <w:color w:val="auto"/>
                <w:sz w:val="24"/>
              </w:rPr>
            </w:pPr>
            <w:r>
              <w:rPr>
                <w:rFonts w:hint="eastAsia" w:ascii="宋体" w:hAnsi="宋体" w:cs="宋体"/>
                <w:color w:val="auto"/>
                <w:sz w:val="24"/>
              </w:rPr>
              <w:t>1.项目实施目标；</w:t>
            </w:r>
          </w:p>
          <w:p>
            <w:pPr>
              <w:pStyle w:val="32"/>
              <w:widowControl/>
              <w:spacing w:line="360" w:lineRule="auto"/>
              <w:ind w:firstLine="0" w:firstLineChars="0"/>
              <w:jc w:val="both"/>
              <w:rPr>
                <w:rFonts w:hint="eastAsia" w:ascii="宋体" w:hAnsi="宋体" w:cs="宋体"/>
                <w:color w:val="auto"/>
                <w:sz w:val="24"/>
              </w:rPr>
            </w:pPr>
            <w:r>
              <w:rPr>
                <w:rFonts w:hint="eastAsia" w:ascii="宋体" w:hAnsi="宋体" w:cs="宋体"/>
                <w:color w:val="auto"/>
                <w:sz w:val="24"/>
              </w:rPr>
              <w:t>2.项目实施计划；</w:t>
            </w:r>
          </w:p>
          <w:p>
            <w:pPr>
              <w:pStyle w:val="32"/>
              <w:widowControl/>
              <w:spacing w:line="360" w:lineRule="auto"/>
              <w:ind w:firstLine="0" w:firstLineChars="0"/>
              <w:jc w:val="both"/>
              <w:rPr>
                <w:rFonts w:hint="eastAsia" w:ascii="宋体" w:hAnsi="宋体" w:cs="宋体"/>
                <w:color w:val="auto"/>
                <w:sz w:val="24"/>
              </w:rPr>
            </w:pPr>
            <w:r>
              <w:rPr>
                <w:rFonts w:hint="eastAsia" w:ascii="宋体" w:hAnsi="宋体" w:cs="宋体"/>
                <w:color w:val="auto"/>
                <w:sz w:val="24"/>
              </w:rPr>
              <w:t>3.项目实施内容；</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rPr>
              <w:t>4.项目成果交付。</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（二）评审标准：</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lang w:val="en-US" w:eastAsia="zh-CN"/>
              </w:rPr>
              <w:t>以上</w:t>
            </w:r>
            <w:r>
              <w:rPr>
                <w:rFonts w:hint="eastAsia" w:ascii="宋体" w:hAnsi="宋体" w:cs="宋体"/>
                <w:color w:val="auto"/>
                <w:sz w:val="24"/>
              </w:rPr>
              <w:t>四</w:t>
            </w:r>
            <w:r>
              <w:rPr>
                <w:rFonts w:hint="eastAsia" w:ascii="宋体" w:hAnsi="宋体" w:cs="宋体"/>
                <w:color w:val="auto"/>
                <w:sz w:val="24"/>
                <w:lang w:val="zh-CN"/>
              </w:rPr>
              <w:t>点得</w:t>
            </w:r>
            <w:r>
              <w:rPr>
                <w:rFonts w:hint="eastAsia" w:ascii="宋体" w:hAnsi="宋体" w:cs="宋体"/>
                <w:color w:val="auto"/>
                <w:sz w:val="24"/>
                <w:lang w:val="en-US" w:eastAsia="zh-CN"/>
              </w:rPr>
              <w:t>8</w:t>
            </w:r>
            <w:r>
              <w:rPr>
                <w:rFonts w:hint="eastAsia" w:ascii="宋体" w:hAnsi="宋体" w:cs="宋体"/>
                <w:color w:val="auto"/>
                <w:sz w:val="24"/>
                <w:lang w:val="zh-CN"/>
              </w:rPr>
              <w:t>分，满足</w:t>
            </w:r>
            <w:r>
              <w:rPr>
                <w:rFonts w:hint="eastAsia" w:ascii="宋体" w:hAnsi="宋体" w:cs="宋体"/>
                <w:color w:val="auto"/>
                <w:sz w:val="24"/>
                <w:lang w:val="en-US" w:eastAsia="zh-CN"/>
              </w:rPr>
              <w:t>以上任意</w:t>
            </w:r>
            <w:r>
              <w:rPr>
                <w:rFonts w:hint="eastAsia" w:ascii="宋体" w:hAnsi="宋体" w:cs="宋体"/>
                <w:color w:val="auto"/>
                <w:sz w:val="24"/>
              </w:rPr>
              <w:t>三</w:t>
            </w:r>
            <w:r>
              <w:rPr>
                <w:rFonts w:hint="eastAsia" w:ascii="宋体" w:hAnsi="宋体" w:cs="宋体"/>
                <w:color w:val="auto"/>
                <w:sz w:val="24"/>
                <w:lang w:val="zh-CN"/>
              </w:rPr>
              <w:t>点得</w:t>
            </w:r>
            <w:r>
              <w:rPr>
                <w:rFonts w:hint="eastAsia" w:ascii="宋体" w:hAnsi="宋体" w:cs="宋体"/>
                <w:color w:val="auto"/>
                <w:sz w:val="24"/>
                <w:lang w:val="en-US" w:eastAsia="zh-CN"/>
              </w:rPr>
              <w:t>6</w:t>
            </w:r>
            <w:r>
              <w:rPr>
                <w:rFonts w:hint="eastAsia" w:ascii="宋体" w:hAnsi="宋体" w:cs="宋体"/>
                <w:color w:val="auto"/>
                <w:sz w:val="24"/>
                <w:lang w:val="zh-CN"/>
              </w:rPr>
              <w:t>分，满足</w:t>
            </w:r>
            <w:r>
              <w:rPr>
                <w:rFonts w:hint="eastAsia" w:ascii="宋体" w:hAnsi="宋体" w:cs="宋体"/>
                <w:color w:val="auto"/>
                <w:sz w:val="24"/>
                <w:lang w:val="en-US" w:eastAsia="zh-CN"/>
              </w:rPr>
              <w:t>以上</w:t>
            </w:r>
            <w:r>
              <w:rPr>
                <w:rFonts w:hint="eastAsia" w:ascii="宋体" w:hAnsi="宋体" w:cs="宋体"/>
                <w:color w:val="auto"/>
                <w:sz w:val="24"/>
                <w:lang w:val="zh-CN"/>
              </w:rPr>
              <w:t>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lang w:val="en-US" w:eastAsia="zh-CN"/>
              </w:rPr>
              <w:t>4</w:t>
            </w:r>
            <w:r>
              <w:rPr>
                <w:rFonts w:hint="eastAsia" w:ascii="宋体" w:hAnsi="宋体" w:cs="宋体"/>
                <w:color w:val="auto"/>
                <w:sz w:val="24"/>
                <w:lang w:val="zh-CN"/>
              </w:rPr>
              <w:t>分，满足</w:t>
            </w:r>
            <w:r>
              <w:rPr>
                <w:rFonts w:hint="eastAsia" w:ascii="宋体" w:hAnsi="宋体" w:cs="宋体"/>
                <w:color w:val="auto"/>
                <w:sz w:val="24"/>
                <w:lang w:val="en-US" w:eastAsia="zh-CN"/>
              </w:rPr>
              <w:t>以上</w:t>
            </w:r>
            <w:r>
              <w:rPr>
                <w:rFonts w:hint="eastAsia" w:ascii="宋体" w:hAnsi="宋体" w:cs="宋体"/>
                <w:color w:val="auto"/>
                <w:sz w:val="24"/>
                <w:lang w:val="zh-CN"/>
              </w:rPr>
              <w:t>任意一点得</w:t>
            </w:r>
            <w:r>
              <w:rPr>
                <w:rFonts w:hint="eastAsia" w:ascii="宋体" w:hAnsi="宋体" w:cs="宋体"/>
                <w:color w:val="auto"/>
                <w:sz w:val="24"/>
                <w:lang w:val="en-US" w:eastAsia="zh-CN"/>
              </w:rPr>
              <w:t>2</w:t>
            </w:r>
            <w:r>
              <w:rPr>
                <w:rFonts w:hint="eastAsia" w:ascii="宋体" w:hAnsi="宋体" w:cs="宋体"/>
                <w:color w:val="auto"/>
                <w:sz w:val="24"/>
                <w:lang w:val="zh-CN"/>
              </w:rPr>
              <w:t>分，</w:t>
            </w:r>
            <w:r>
              <w:rPr>
                <w:rFonts w:hint="eastAsia" w:ascii="宋体" w:hAnsi="宋体" w:cs="宋体"/>
                <w:color w:val="auto"/>
                <w:sz w:val="24"/>
                <w:lang w:val="en-US" w:eastAsia="zh-CN"/>
              </w:rPr>
              <w:t>其他情况</w:t>
            </w:r>
            <w:r>
              <w:rPr>
                <w:rFonts w:hint="eastAsia" w:ascii="宋体" w:hAnsi="宋体" w:cs="宋体"/>
                <w:color w:val="auto"/>
                <w:sz w:val="24"/>
                <w:lang w:val="zh-CN"/>
              </w:rPr>
              <w:t>不得分。在此基础上，专家根据各供应商的具体响应内容进一步评审：</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优：实施方案内容具体、内容针对性强、内容科学合理、内容可操作性强；</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良：实施方案内容较具体、内容针对性较强、内容较科学合理、内容可操作性较强；</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中：实施方案内容具体性一般、内容针对性一般、内容科学合理性一般、内容可操作性一般；</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差：实施方案内容具体性差、内容针对性差、内容科学合理性差、内容可操作性差。</w:t>
            </w:r>
          </w:p>
          <w:p>
            <w:pPr>
              <w:pStyle w:val="32"/>
              <w:widowControl/>
              <w:spacing w:line="360" w:lineRule="auto"/>
              <w:ind w:firstLine="0" w:firstLineChars="0"/>
              <w:jc w:val="both"/>
              <w:rPr>
                <w:rFonts w:hint="default" w:ascii="宋体" w:hAnsi="宋体" w:cs="宋体"/>
                <w:color w:val="auto"/>
                <w:sz w:val="24"/>
                <w:highlight w:val="none"/>
                <w:lang w:val="en-US"/>
              </w:rPr>
            </w:pPr>
            <w:r>
              <w:rPr>
                <w:rFonts w:hint="eastAsia" w:ascii="宋体" w:hAnsi="宋体" w:cs="宋体"/>
                <w:color w:val="auto"/>
                <w:sz w:val="24"/>
                <w:lang w:val="zh-CN"/>
              </w:rPr>
              <w:t>根据招标文件比较，评价为优得</w:t>
            </w:r>
            <w:r>
              <w:rPr>
                <w:rFonts w:hint="eastAsia" w:ascii="宋体" w:hAnsi="宋体" w:cs="宋体"/>
                <w:color w:val="auto"/>
                <w:sz w:val="24"/>
                <w:lang w:val="en-US" w:eastAsia="zh-CN"/>
              </w:rPr>
              <w:t>7</w:t>
            </w:r>
            <w:r>
              <w:rPr>
                <w:rFonts w:hint="eastAsia" w:ascii="宋体" w:hAnsi="宋体" w:cs="宋体"/>
                <w:color w:val="auto"/>
                <w:sz w:val="24"/>
                <w:lang w:val="zh-CN"/>
              </w:rPr>
              <w:t>分；评价为良得</w:t>
            </w:r>
            <w:r>
              <w:rPr>
                <w:rFonts w:hint="eastAsia" w:ascii="宋体" w:hAnsi="宋体" w:cs="宋体"/>
                <w:color w:val="auto"/>
                <w:sz w:val="24"/>
                <w:lang w:val="en-US" w:eastAsia="zh-CN"/>
              </w:rPr>
              <w:t>4</w:t>
            </w:r>
            <w:r>
              <w:rPr>
                <w:rFonts w:hint="eastAsia" w:ascii="宋体" w:hAnsi="宋体" w:cs="宋体"/>
                <w:color w:val="auto"/>
                <w:sz w:val="24"/>
                <w:lang w:val="zh-CN"/>
              </w:rPr>
              <w:t>分；评价为中得</w:t>
            </w:r>
            <w:r>
              <w:rPr>
                <w:rFonts w:hint="eastAsia" w:ascii="宋体" w:hAnsi="宋体" w:cs="宋体"/>
                <w:color w:val="auto"/>
                <w:sz w:val="24"/>
                <w:lang w:val="en-US" w:eastAsia="zh-CN"/>
              </w:rPr>
              <w:t>2</w:t>
            </w:r>
            <w:r>
              <w:rPr>
                <w:rFonts w:hint="eastAsia" w:ascii="宋体" w:hAnsi="宋体" w:cs="宋体"/>
                <w:color w:val="auto"/>
                <w:sz w:val="24"/>
                <w:lang w:val="zh-CN"/>
              </w:rPr>
              <w:t>分；评价为差</w:t>
            </w:r>
            <w:r>
              <w:rPr>
                <w:rFonts w:hint="eastAsia" w:ascii="宋体" w:hAnsi="宋体" w:cs="宋体"/>
                <w:color w:val="auto"/>
                <w:sz w:val="24"/>
                <w:lang w:val="en-US" w:eastAsia="zh-CN"/>
              </w:rPr>
              <w:t>或未提供实施方案不</w:t>
            </w:r>
            <w:r>
              <w:rPr>
                <w:rFonts w:hint="eastAsia" w:ascii="宋体" w:hAnsi="宋体" w:cs="宋体"/>
                <w:color w:val="auto"/>
                <w:sz w:val="24"/>
                <w:lang w:val="zh-CN"/>
              </w:rPr>
              <w:t>得分。</w:t>
            </w:r>
          </w:p>
        </w:tc>
        <w:tc>
          <w:tcPr>
            <w:tcW w:w="901" w:type="dxa"/>
            <w:noWrap w:val="0"/>
            <w:vAlign w:val="center"/>
          </w:tcPr>
          <w:p>
            <w:pPr>
              <w:autoSpaceDE w:val="0"/>
              <w:autoSpaceDN w:val="0"/>
              <w:adjustRightIn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lang w:val="en-US" w:eastAsia="zh-CN"/>
              </w:rPr>
              <w:t>15</w:t>
            </w:r>
          </w:p>
        </w:tc>
        <w:tc>
          <w:tcPr>
            <w:tcW w:w="1079"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2</w:t>
            </w:r>
          </w:p>
        </w:tc>
        <w:tc>
          <w:tcPr>
            <w:tcW w:w="1168" w:type="dxa"/>
            <w:noWrap w:val="0"/>
            <w:vAlign w:val="center"/>
          </w:tcPr>
          <w:p>
            <w:pPr>
              <w:autoSpaceDE w:val="0"/>
              <w:autoSpaceDN w:val="0"/>
              <w:adjustRightIn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lang w:val="zh-CN"/>
              </w:rPr>
              <w:t>质量保</w:t>
            </w:r>
            <w:r>
              <w:rPr>
                <w:rFonts w:hint="eastAsia" w:ascii="宋体" w:hAnsi="宋体" w:cs="宋体"/>
                <w:color w:val="auto"/>
                <w:sz w:val="24"/>
                <w:lang w:val="en-US" w:eastAsia="zh-CN"/>
              </w:rPr>
              <w:t>障</w:t>
            </w:r>
            <w:r>
              <w:rPr>
                <w:rFonts w:hint="eastAsia" w:ascii="宋体" w:hAnsi="宋体" w:cs="宋体"/>
                <w:color w:val="auto"/>
                <w:sz w:val="24"/>
                <w:lang w:val="zh-CN"/>
              </w:rPr>
              <w:t>措施</w:t>
            </w:r>
            <w:r>
              <w:rPr>
                <w:rFonts w:hint="eastAsia" w:ascii="宋体" w:hAnsi="宋体" w:cs="宋体"/>
                <w:color w:val="auto"/>
                <w:sz w:val="24"/>
                <w:lang w:val="en-US" w:eastAsia="zh-CN"/>
              </w:rPr>
              <w:t>及方案</w:t>
            </w:r>
          </w:p>
        </w:tc>
        <w:tc>
          <w:tcPr>
            <w:tcW w:w="5907" w:type="dxa"/>
            <w:noWrap w:val="0"/>
            <w:vAlign w:val="center"/>
          </w:tcPr>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（一）评审内容：</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考察投标人保证项目完成质量的保障措施及方案的合理性，是否满足投标要求，根据投标文件的响应情况进行评分，具体内容包括：</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lang w:val="en-US" w:eastAsia="zh-CN"/>
              </w:rPr>
              <w:t>阐述</w:t>
            </w:r>
            <w:r>
              <w:rPr>
                <w:rFonts w:hint="eastAsia" w:ascii="宋体" w:hAnsi="宋体" w:cs="宋体"/>
                <w:color w:val="auto"/>
                <w:sz w:val="24"/>
                <w:lang w:val="zh-CN"/>
              </w:rPr>
              <w:t>分阶段项目时间安排与阶段性</w:t>
            </w:r>
            <w:r>
              <w:rPr>
                <w:rFonts w:hint="eastAsia" w:ascii="宋体" w:hAnsi="宋体" w:cs="宋体"/>
                <w:color w:val="auto"/>
                <w:sz w:val="24"/>
                <w:lang w:val="en-US" w:eastAsia="zh-CN"/>
              </w:rPr>
              <w:t>项目</w:t>
            </w:r>
            <w:r>
              <w:rPr>
                <w:rFonts w:hint="eastAsia" w:ascii="宋体" w:hAnsi="宋体" w:cs="宋体"/>
                <w:color w:val="auto"/>
                <w:sz w:val="24"/>
                <w:lang w:val="zh-CN"/>
              </w:rPr>
              <w:t>成果；</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2.阐述项目时间管理制度与措施；</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3.阐述项目质量管理制度与措施；</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4.阐述项目资料、成果安全性保障制度与措施。</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二</w:t>
            </w:r>
            <w:r>
              <w:rPr>
                <w:rFonts w:hint="eastAsia" w:ascii="宋体" w:hAnsi="宋体" w:cs="宋体"/>
                <w:color w:val="auto"/>
                <w:sz w:val="24"/>
                <w:lang w:val="zh-CN"/>
              </w:rPr>
              <w:t>）评分标准：</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lang w:val="en-US" w:eastAsia="zh-CN"/>
              </w:rPr>
              <w:t>以上</w:t>
            </w:r>
            <w:r>
              <w:rPr>
                <w:rFonts w:hint="eastAsia" w:ascii="宋体" w:hAnsi="宋体" w:cs="宋体"/>
                <w:color w:val="auto"/>
                <w:sz w:val="24"/>
              </w:rPr>
              <w:t>四</w:t>
            </w:r>
            <w:r>
              <w:rPr>
                <w:rFonts w:hint="eastAsia" w:ascii="宋体" w:hAnsi="宋体" w:cs="宋体"/>
                <w:color w:val="auto"/>
                <w:sz w:val="24"/>
                <w:lang w:val="zh-CN"/>
              </w:rPr>
              <w:t>点得</w:t>
            </w:r>
            <w:r>
              <w:rPr>
                <w:rFonts w:hint="eastAsia" w:ascii="宋体" w:hAnsi="宋体" w:cs="宋体"/>
                <w:color w:val="auto"/>
                <w:sz w:val="24"/>
                <w:lang w:val="en-US" w:eastAsia="zh-CN"/>
              </w:rPr>
              <w:t>6</w:t>
            </w:r>
            <w:r>
              <w:rPr>
                <w:rFonts w:hint="eastAsia" w:ascii="宋体" w:hAnsi="宋体" w:cs="宋体"/>
                <w:color w:val="auto"/>
                <w:sz w:val="24"/>
                <w:lang w:val="zh-CN"/>
              </w:rPr>
              <w:t>分，满足</w:t>
            </w:r>
            <w:r>
              <w:rPr>
                <w:rFonts w:hint="eastAsia" w:ascii="宋体" w:hAnsi="宋体" w:cs="宋体"/>
                <w:color w:val="auto"/>
                <w:sz w:val="24"/>
                <w:lang w:val="en-US" w:eastAsia="zh-CN"/>
              </w:rPr>
              <w:t>以上任意</w:t>
            </w:r>
            <w:r>
              <w:rPr>
                <w:rFonts w:hint="eastAsia" w:ascii="宋体" w:hAnsi="宋体" w:cs="宋体"/>
                <w:color w:val="auto"/>
                <w:sz w:val="24"/>
              </w:rPr>
              <w:t>三</w:t>
            </w:r>
            <w:r>
              <w:rPr>
                <w:rFonts w:hint="eastAsia" w:ascii="宋体" w:hAnsi="宋体" w:cs="宋体"/>
                <w:color w:val="auto"/>
                <w:sz w:val="24"/>
                <w:lang w:val="zh-CN"/>
              </w:rPr>
              <w:t>点得</w:t>
            </w:r>
            <w:r>
              <w:rPr>
                <w:rFonts w:hint="eastAsia" w:ascii="宋体" w:hAnsi="宋体" w:cs="宋体"/>
                <w:color w:val="auto"/>
                <w:sz w:val="24"/>
                <w:lang w:val="en-US" w:eastAsia="zh-CN"/>
              </w:rPr>
              <w:t>4</w:t>
            </w:r>
            <w:r>
              <w:rPr>
                <w:rFonts w:hint="eastAsia" w:ascii="宋体" w:hAnsi="宋体" w:cs="宋体"/>
                <w:color w:val="auto"/>
                <w:sz w:val="24"/>
                <w:lang w:val="zh-CN"/>
              </w:rPr>
              <w:t>分，满足</w:t>
            </w:r>
            <w:r>
              <w:rPr>
                <w:rFonts w:hint="eastAsia" w:ascii="宋体" w:hAnsi="宋体" w:cs="宋体"/>
                <w:color w:val="auto"/>
                <w:sz w:val="24"/>
                <w:lang w:val="en-US" w:eastAsia="zh-CN"/>
              </w:rPr>
              <w:t>以上</w:t>
            </w:r>
            <w:r>
              <w:rPr>
                <w:rFonts w:hint="eastAsia" w:ascii="宋体" w:hAnsi="宋体" w:cs="宋体"/>
                <w:color w:val="auto"/>
                <w:sz w:val="24"/>
                <w:lang w:val="zh-CN"/>
              </w:rPr>
              <w:t>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rPr>
              <w:t>2</w:t>
            </w:r>
            <w:r>
              <w:rPr>
                <w:rFonts w:hint="eastAsia" w:ascii="宋体" w:hAnsi="宋体" w:cs="宋体"/>
                <w:color w:val="auto"/>
                <w:sz w:val="24"/>
                <w:lang w:val="zh-CN"/>
              </w:rPr>
              <w:t>分，满足</w:t>
            </w:r>
            <w:r>
              <w:rPr>
                <w:rFonts w:hint="eastAsia" w:ascii="宋体" w:hAnsi="宋体" w:cs="宋体"/>
                <w:color w:val="auto"/>
                <w:sz w:val="24"/>
                <w:lang w:val="en-US" w:eastAsia="zh-CN"/>
              </w:rPr>
              <w:t>以上</w:t>
            </w:r>
            <w:r>
              <w:rPr>
                <w:rFonts w:hint="eastAsia" w:ascii="宋体" w:hAnsi="宋体" w:cs="宋体"/>
                <w:color w:val="auto"/>
                <w:sz w:val="24"/>
                <w:lang w:val="zh-CN"/>
              </w:rPr>
              <w:t>任意一点得</w:t>
            </w:r>
            <w:r>
              <w:rPr>
                <w:rFonts w:hint="eastAsia" w:ascii="宋体" w:hAnsi="宋体" w:cs="宋体"/>
                <w:color w:val="auto"/>
                <w:sz w:val="24"/>
              </w:rPr>
              <w:t>1</w:t>
            </w:r>
            <w:r>
              <w:rPr>
                <w:rFonts w:hint="eastAsia" w:ascii="宋体" w:hAnsi="宋体" w:cs="宋体"/>
                <w:color w:val="auto"/>
                <w:sz w:val="24"/>
                <w:lang w:val="zh-CN"/>
              </w:rPr>
              <w:t>分，</w:t>
            </w:r>
            <w:r>
              <w:rPr>
                <w:rFonts w:hint="eastAsia" w:ascii="宋体" w:hAnsi="宋体" w:cs="宋体"/>
                <w:color w:val="auto"/>
                <w:sz w:val="24"/>
                <w:lang w:val="en-US" w:eastAsia="zh-CN"/>
              </w:rPr>
              <w:t>其他情况</w:t>
            </w:r>
            <w:r>
              <w:rPr>
                <w:rFonts w:hint="eastAsia" w:ascii="宋体" w:hAnsi="宋体" w:cs="宋体"/>
                <w:color w:val="auto"/>
                <w:sz w:val="24"/>
                <w:lang w:val="zh-CN"/>
              </w:rPr>
              <w:t xml:space="preserve">不得分。在此基础上，专家根据各供应商的具体响应内容进一步评审； </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优：保障措施及方案内容具体、内容针对性强、内容科学合理、内容可操作性强；</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良：保障措施及方案内容较具体、内容针对性较强、内容较科学合理、内容可操作性较强；</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中：保障措施及方案内容具体性一般、内容针对性一般、内容科学合理性一般、内容可操作性一般；</w:t>
            </w:r>
          </w:p>
          <w:p>
            <w:pPr>
              <w:spacing w:line="360" w:lineRule="auto"/>
              <w:rPr>
                <w:color w:val="auto"/>
              </w:rPr>
            </w:pPr>
            <w:r>
              <w:rPr>
                <w:rFonts w:hint="eastAsia" w:ascii="宋体" w:hAnsi="宋体" w:cs="宋体"/>
                <w:color w:val="auto"/>
                <w:sz w:val="24"/>
                <w:lang w:val="zh-CN"/>
              </w:rPr>
              <w:t>差：保障措施及方案内容具体性差、内容针对性差、内容科学合理性差、内容可操作性差。</w:t>
            </w:r>
          </w:p>
          <w:p>
            <w:pPr>
              <w:pStyle w:val="32"/>
              <w:widowControl/>
              <w:spacing w:line="360" w:lineRule="auto"/>
              <w:ind w:firstLine="0" w:firstLineChars="0"/>
              <w:jc w:val="both"/>
              <w:rPr>
                <w:rFonts w:hint="eastAsia" w:ascii="宋体" w:hAnsi="宋体" w:cs="宋体"/>
                <w:color w:val="auto"/>
                <w:sz w:val="24"/>
                <w:highlight w:val="none"/>
              </w:rPr>
            </w:pPr>
            <w:r>
              <w:rPr>
                <w:rFonts w:hint="eastAsia" w:ascii="宋体" w:hAnsi="宋体" w:cs="宋体"/>
                <w:color w:val="auto"/>
                <w:sz w:val="24"/>
                <w:lang w:val="zh-CN"/>
              </w:rPr>
              <w:t>根据招标文件比较，评价为优得</w:t>
            </w:r>
            <w:r>
              <w:rPr>
                <w:rFonts w:hint="eastAsia" w:ascii="宋体" w:hAnsi="宋体" w:cs="宋体"/>
                <w:color w:val="auto"/>
                <w:sz w:val="24"/>
                <w:lang w:val="en-US" w:eastAsia="zh-CN"/>
              </w:rPr>
              <w:t>4</w:t>
            </w:r>
            <w:r>
              <w:rPr>
                <w:rFonts w:hint="eastAsia" w:ascii="宋体" w:hAnsi="宋体" w:cs="宋体"/>
                <w:color w:val="auto"/>
                <w:sz w:val="24"/>
                <w:lang w:val="zh-CN"/>
              </w:rPr>
              <w:t>分；评价为良得</w:t>
            </w:r>
            <w:r>
              <w:rPr>
                <w:rFonts w:hint="eastAsia" w:ascii="宋体" w:hAnsi="宋体" w:cs="宋体"/>
                <w:color w:val="auto"/>
                <w:sz w:val="24"/>
                <w:lang w:val="en-US" w:eastAsia="zh-CN"/>
              </w:rPr>
              <w:t>2</w:t>
            </w:r>
            <w:r>
              <w:rPr>
                <w:rFonts w:hint="eastAsia" w:ascii="宋体" w:hAnsi="宋体" w:cs="宋体"/>
                <w:color w:val="auto"/>
                <w:sz w:val="24"/>
                <w:lang w:val="zh-CN"/>
              </w:rPr>
              <w:t>分；评价为中得</w:t>
            </w:r>
            <w:r>
              <w:rPr>
                <w:rFonts w:ascii="宋体" w:hAnsi="宋体" w:cs="宋体"/>
                <w:color w:val="auto"/>
                <w:sz w:val="24"/>
              </w:rPr>
              <w:t>1</w:t>
            </w:r>
            <w:r>
              <w:rPr>
                <w:rFonts w:hint="eastAsia" w:ascii="宋体" w:hAnsi="宋体" w:cs="宋体"/>
                <w:color w:val="auto"/>
                <w:sz w:val="24"/>
                <w:lang w:val="zh-CN"/>
              </w:rPr>
              <w:t>分；评价为差</w:t>
            </w:r>
            <w:r>
              <w:rPr>
                <w:rFonts w:hint="eastAsia" w:ascii="宋体" w:hAnsi="宋体" w:cs="宋体"/>
                <w:color w:val="auto"/>
                <w:sz w:val="24"/>
                <w:lang w:val="en-US" w:eastAsia="zh-CN"/>
              </w:rPr>
              <w:t>不</w:t>
            </w:r>
            <w:r>
              <w:rPr>
                <w:rFonts w:hint="eastAsia" w:ascii="宋体" w:hAnsi="宋体" w:cs="宋体"/>
                <w:color w:val="auto"/>
                <w:sz w:val="24"/>
                <w:lang w:val="zh-CN"/>
              </w:rPr>
              <w:t>得分。</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lang w:val="zh-CN"/>
              </w:rPr>
              <w:t>1</w:t>
            </w:r>
            <w:r>
              <w:rPr>
                <w:rFonts w:ascii="宋体" w:hAnsi="宋体" w:cs="宋体"/>
                <w:color w:val="auto"/>
                <w:sz w:val="24"/>
                <w:lang w:val="zh-CN"/>
              </w:rPr>
              <w:t>0</w:t>
            </w:r>
          </w:p>
        </w:tc>
        <w:tc>
          <w:tcPr>
            <w:tcW w:w="1079"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3</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lang w:val="zh-CN"/>
              </w:rPr>
              <w:t>项目重难点分析及相关的合理化建议</w:t>
            </w:r>
          </w:p>
        </w:tc>
        <w:tc>
          <w:tcPr>
            <w:tcW w:w="5907" w:type="dxa"/>
            <w:noWrap w:val="0"/>
            <w:vAlign w:val="center"/>
          </w:tcPr>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（一）评审内容：</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考察投标人对项目的重点、难点分析的准确性，应对的措施及建议是否具备科学合理性情况进行评分，具体内容包括：</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1.分析出项目重难点；</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2.给出应对处置项目重难点的工作措施；</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3.提出解决项目重难点问题的合理化建议。</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 xml:space="preserve">（二）评分标准： </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lang w:val="en-US" w:eastAsia="zh-CN"/>
              </w:rPr>
              <w:t>以上三</w:t>
            </w:r>
            <w:r>
              <w:rPr>
                <w:rFonts w:hint="eastAsia" w:ascii="宋体" w:hAnsi="宋体" w:cs="宋体"/>
                <w:color w:val="auto"/>
                <w:sz w:val="24"/>
                <w:lang w:val="zh-CN"/>
              </w:rPr>
              <w:t>点得</w:t>
            </w:r>
            <w:r>
              <w:rPr>
                <w:rFonts w:hint="eastAsia" w:ascii="宋体" w:hAnsi="宋体" w:cs="宋体"/>
                <w:color w:val="auto"/>
                <w:sz w:val="24"/>
                <w:lang w:val="en-US" w:eastAsia="zh-CN"/>
              </w:rPr>
              <w:t>8</w:t>
            </w:r>
            <w:r>
              <w:rPr>
                <w:rFonts w:hint="eastAsia" w:ascii="宋体" w:hAnsi="宋体" w:cs="宋体"/>
                <w:color w:val="auto"/>
                <w:sz w:val="24"/>
                <w:lang w:val="zh-CN"/>
              </w:rPr>
              <w:t>分，满足</w:t>
            </w:r>
            <w:r>
              <w:rPr>
                <w:rFonts w:hint="eastAsia" w:ascii="宋体" w:hAnsi="宋体" w:cs="宋体"/>
                <w:color w:val="auto"/>
                <w:sz w:val="24"/>
                <w:lang w:val="en-US" w:eastAsia="zh-CN"/>
              </w:rPr>
              <w:t>以上</w:t>
            </w:r>
            <w:r>
              <w:rPr>
                <w:rFonts w:hint="eastAsia" w:ascii="宋体" w:hAnsi="宋体" w:cs="宋体"/>
                <w:color w:val="auto"/>
                <w:sz w:val="24"/>
                <w:lang w:val="zh-CN"/>
              </w:rPr>
              <w:t>任意</w:t>
            </w:r>
            <w:r>
              <w:rPr>
                <w:rFonts w:hint="eastAsia" w:ascii="宋体" w:hAnsi="宋体" w:cs="宋体"/>
                <w:color w:val="auto"/>
                <w:sz w:val="24"/>
                <w:lang w:val="en-US" w:eastAsia="zh-CN"/>
              </w:rPr>
              <w:t>两点得5分，满足以上任意</w:t>
            </w:r>
            <w:r>
              <w:rPr>
                <w:rFonts w:hint="eastAsia" w:ascii="宋体" w:hAnsi="宋体" w:cs="宋体"/>
                <w:color w:val="auto"/>
                <w:sz w:val="24"/>
                <w:lang w:val="zh-CN"/>
              </w:rPr>
              <w:t>一点得</w:t>
            </w:r>
            <w:r>
              <w:rPr>
                <w:rFonts w:hint="eastAsia" w:ascii="宋体" w:hAnsi="宋体" w:cs="宋体"/>
                <w:color w:val="auto"/>
                <w:sz w:val="24"/>
                <w:lang w:val="en-US" w:eastAsia="zh-CN"/>
              </w:rPr>
              <w:t>2</w:t>
            </w:r>
            <w:r>
              <w:rPr>
                <w:rFonts w:hint="eastAsia" w:ascii="宋体" w:hAnsi="宋体" w:cs="宋体"/>
                <w:color w:val="auto"/>
                <w:sz w:val="24"/>
                <w:lang w:val="zh-CN"/>
              </w:rPr>
              <w:t>分，</w:t>
            </w:r>
            <w:r>
              <w:rPr>
                <w:rFonts w:hint="eastAsia" w:ascii="宋体" w:hAnsi="宋体" w:cs="宋体"/>
                <w:color w:val="auto"/>
                <w:sz w:val="24"/>
                <w:lang w:val="en-US" w:eastAsia="zh-CN"/>
              </w:rPr>
              <w:t>其他情况</w:t>
            </w:r>
            <w:r>
              <w:rPr>
                <w:rFonts w:hint="eastAsia" w:ascii="宋体" w:hAnsi="宋体" w:cs="宋体"/>
                <w:color w:val="auto"/>
                <w:sz w:val="24"/>
                <w:lang w:val="zh-CN"/>
              </w:rPr>
              <w:t xml:space="preserve">不得分。在此基础上，专家根据各供应商的具体响应内容进一步评审： </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优：项目重点难点分析、应对措施及相关的合理化建议具体、内容针对性强、内容科学合理、内容可操作性强；</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良：项目重点难点分析、应对措施及相关的合理化建议较具体、内容针对性较强、内容较科学合理、内容可操作性较强；</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中：项目重点难点分析、应对措施及相关的合理化建议具体性一般、内容针对性一般、内容科学合理性一般、内容可操作性一般；</w:t>
            </w:r>
          </w:p>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差：项目重点难点分析、应对措施及相关的合理化建议具体性差、内容针对性差、内容科学合理性差、内容可操作性差。</w:t>
            </w:r>
          </w:p>
          <w:p>
            <w:pPr>
              <w:pStyle w:val="32"/>
              <w:widowControl/>
              <w:spacing w:line="360" w:lineRule="auto"/>
              <w:ind w:firstLine="0" w:firstLineChars="0"/>
              <w:jc w:val="both"/>
              <w:rPr>
                <w:rFonts w:hint="eastAsia" w:ascii="宋体" w:hAnsi="宋体" w:cs="宋体"/>
                <w:color w:val="auto"/>
                <w:sz w:val="24"/>
                <w:highlight w:val="none"/>
              </w:rPr>
            </w:pPr>
            <w:r>
              <w:rPr>
                <w:rFonts w:hint="eastAsia" w:ascii="宋体" w:hAnsi="宋体" w:cs="宋体"/>
                <w:color w:val="auto"/>
                <w:sz w:val="24"/>
                <w:lang w:val="zh-CN"/>
              </w:rPr>
              <w:t>根据招标文件比较，评价为优得</w:t>
            </w:r>
            <w:r>
              <w:rPr>
                <w:rFonts w:hint="eastAsia" w:ascii="宋体" w:hAnsi="宋体" w:cs="宋体"/>
                <w:color w:val="auto"/>
                <w:sz w:val="24"/>
                <w:lang w:val="en-US" w:eastAsia="zh-CN"/>
              </w:rPr>
              <w:t>7</w:t>
            </w:r>
            <w:r>
              <w:rPr>
                <w:rFonts w:hint="eastAsia" w:ascii="宋体" w:hAnsi="宋体" w:cs="宋体"/>
                <w:color w:val="auto"/>
                <w:sz w:val="24"/>
                <w:lang w:val="zh-CN"/>
              </w:rPr>
              <w:t>分；评价为良得</w:t>
            </w:r>
            <w:r>
              <w:rPr>
                <w:rFonts w:hint="eastAsia" w:ascii="宋体" w:hAnsi="宋体" w:cs="宋体"/>
                <w:color w:val="auto"/>
                <w:sz w:val="24"/>
                <w:lang w:val="en-US" w:eastAsia="zh-CN"/>
              </w:rPr>
              <w:t>4</w:t>
            </w:r>
            <w:r>
              <w:rPr>
                <w:rFonts w:hint="eastAsia" w:ascii="宋体" w:hAnsi="宋体" w:cs="宋体"/>
                <w:color w:val="auto"/>
                <w:sz w:val="24"/>
                <w:lang w:val="zh-CN"/>
              </w:rPr>
              <w:t>分；评价为中得</w:t>
            </w:r>
            <w:r>
              <w:rPr>
                <w:rFonts w:hint="eastAsia" w:ascii="宋体" w:hAnsi="宋体" w:cs="宋体"/>
                <w:color w:val="auto"/>
                <w:sz w:val="24"/>
                <w:lang w:val="en-US" w:eastAsia="zh-CN"/>
              </w:rPr>
              <w:t>2</w:t>
            </w:r>
            <w:r>
              <w:rPr>
                <w:rFonts w:hint="eastAsia" w:ascii="宋体" w:hAnsi="宋体" w:cs="宋体"/>
                <w:color w:val="auto"/>
                <w:sz w:val="24"/>
                <w:lang w:val="zh-CN"/>
              </w:rPr>
              <w:t>分；评价为差</w:t>
            </w:r>
            <w:r>
              <w:rPr>
                <w:rFonts w:hint="eastAsia" w:ascii="宋体" w:hAnsi="宋体" w:cs="宋体"/>
                <w:color w:val="auto"/>
                <w:sz w:val="24"/>
                <w:lang w:val="en-US" w:eastAsia="zh-CN"/>
              </w:rPr>
              <w:t>不</w:t>
            </w:r>
            <w:r>
              <w:rPr>
                <w:rFonts w:hint="eastAsia" w:ascii="宋体" w:hAnsi="宋体" w:cs="宋体"/>
                <w:color w:val="auto"/>
                <w:sz w:val="24"/>
                <w:lang w:val="zh-CN"/>
              </w:rPr>
              <w:t>得分。</w:t>
            </w:r>
          </w:p>
        </w:tc>
        <w:tc>
          <w:tcPr>
            <w:tcW w:w="901" w:type="dxa"/>
            <w:noWrap w:val="0"/>
            <w:vAlign w:val="center"/>
          </w:tcPr>
          <w:p>
            <w:pPr>
              <w:autoSpaceDE w:val="0"/>
              <w:autoSpaceDN w:val="0"/>
              <w:adjustRightIn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lang w:val="zh-CN"/>
              </w:rPr>
              <w:t>1</w:t>
            </w:r>
            <w:r>
              <w:rPr>
                <w:rFonts w:hint="eastAsia" w:ascii="宋体" w:hAnsi="宋体" w:cs="宋体"/>
                <w:color w:val="auto"/>
                <w:sz w:val="24"/>
                <w:lang w:val="en-US" w:eastAsia="zh-CN"/>
              </w:rPr>
              <w:t>5</w:t>
            </w:r>
          </w:p>
        </w:tc>
        <w:tc>
          <w:tcPr>
            <w:tcW w:w="1079"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lang w:val="zh-CN"/>
              </w:rPr>
              <w:t>项目完成（服务期满）后的服务承诺</w:t>
            </w:r>
          </w:p>
        </w:tc>
        <w:tc>
          <w:tcPr>
            <w:tcW w:w="5907" w:type="dxa"/>
            <w:noWrap w:val="0"/>
            <w:vAlign w:val="center"/>
          </w:tcPr>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（一）评审内容：</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投标人提供以下承诺，承诺以下全部3项的得</w:t>
            </w:r>
            <w:r>
              <w:rPr>
                <w:rFonts w:hint="eastAsia" w:ascii="宋体" w:hAnsi="宋体" w:cs="宋体"/>
                <w:color w:val="auto"/>
                <w:sz w:val="24"/>
                <w:lang w:val="en-US" w:eastAsia="zh-CN"/>
              </w:rPr>
              <w:t>5</w:t>
            </w:r>
            <w:r>
              <w:rPr>
                <w:rFonts w:hint="eastAsia" w:ascii="宋体" w:hAnsi="宋体" w:cs="宋体"/>
                <w:color w:val="auto"/>
                <w:sz w:val="24"/>
                <w:lang w:val="zh-CN"/>
              </w:rPr>
              <w:t>分，否则不得分。</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en-US" w:eastAsia="zh-CN"/>
              </w:rPr>
              <w:t>1.</w:t>
            </w:r>
            <w:r>
              <w:rPr>
                <w:rFonts w:hint="eastAsia" w:ascii="宋体" w:hAnsi="宋体" w:cs="宋体"/>
                <w:color w:val="auto"/>
                <w:sz w:val="24"/>
                <w:lang w:val="zh-CN"/>
              </w:rPr>
              <w:t>服务期满后主动离岗；</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与后续服务公司进行交接；</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en-US" w:eastAsia="zh-CN"/>
              </w:rPr>
              <w:t>3.</w:t>
            </w:r>
            <w:r>
              <w:rPr>
                <w:rFonts w:hint="eastAsia" w:ascii="宋体" w:hAnsi="宋体" w:cs="宋体"/>
                <w:color w:val="auto"/>
                <w:sz w:val="24"/>
                <w:lang w:val="zh-CN"/>
              </w:rPr>
              <w:t>服务期满，后续服务公司未到位前仍按原合同服务承诺提供服务。</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二</w:t>
            </w:r>
            <w:r>
              <w:rPr>
                <w:rFonts w:hint="eastAsia" w:ascii="宋体" w:hAnsi="宋体" w:cs="宋体"/>
                <w:color w:val="auto"/>
                <w:sz w:val="24"/>
                <w:lang w:val="zh-CN"/>
              </w:rPr>
              <w:t>）评分依据：</w:t>
            </w:r>
          </w:p>
          <w:p>
            <w:pPr>
              <w:pStyle w:val="32"/>
              <w:widowControl/>
              <w:spacing w:line="360" w:lineRule="auto"/>
              <w:ind w:firstLine="0" w:firstLineChars="0"/>
              <w:jc w:val="both"/>
              <w:rPr>
                <w:rFonts w:hint="eastAsia" w:ascii="宋体" w:hAnsi="宋体" w:cs="宋体"/>
                <w:color w:val="auto"/>
                <w:sz w:val="24"/>
                <w:highlight w:val="none"/>
              </w:rPr>
            </w:pPr>
            <w:r>
              <w:rPr>
                <w:rFonts w:hint="eastAsia" w:ascii="宋体" w:hAnsi="宋体" w:cs="宋体"/>
                <w:color w:val="auto"/>
                <w:sz w:val="24"/>
                <w:lang w:val="zh-CN"/>
              </w:rPr>
              <w:t>要求提供承诺（格式自定）作为得分依据，未提供承诺或承诺内容不满足要求不得分。</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lang w:val="en-US" w:eastAsia="zh-CN"/>
              </w:rPr>
              <w:t>5</w:t>
            </w:r>
          </w:p>
        </w:tc>
        <w:tc>
          <w:tcPr>
            <w:tcW w:w="1079"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lang w:val="zh-CN"/>
              </w:rPr>
              <w:t>违约承诺</w:t>
            </w:r>
          </w:p>
        </w:tc>
        <w:tc>
          <w:tcPr>
            <w:tcW w:w="5907" w:type="dxa"/>
            <w:noWrap w:val="0"/>
            <w:vAlign w:val="center"/>
          </w:tcPr>
          <w:p>
            <w:pPr>
              <w:pStyle w:val="32"/>
              <w:widowControl/>
              <w:spacing w:line="360" w:lineRule="auto"/>
              <w:ind w:firstLine="0" w:firstLineChars="0"/>
              <w:jc w:val="both"/>
              <w:rPr>
                <w:rFonts w:ascii="宋体" w:hAnsi="宋体" w:cs="宋体"/>
                <w:color w:val="auto"/>
                <w:sz w:val="24"/>
                <w:lang w:val="zh-CN"/>
              </w:rPr>
            </w:pPr>
            <w:r>
              <w:rPr>
                <w:rFonts w:hint="eastAsia" w:ascii="宋体" w:hAnsi="宋体" w:cs="宋体"/>
                <w:color w:val="auto"/>
                <w:sz w:val="24"/>
                <w:lang w:val="zh-CN"/>
              </w:rPr>
              <w:t>（一）评审内容：</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考察投标人的投标文件中是否有关于违约的承诺，承诺以下全部3项得5分，否则不得分。</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1.人员严格按照招标文件及投标承诺配置；</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2.服务质量达到招标文件要求；</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3.对未能达到的管理要求承担管理责任。</w:t>
            </w:r>
          </w:p>
          <w:p>
            <w:pPr>
              <w:pStyle w:val="32"/>
              <w:widowControl/>
              <w:spacing w:line="360" w:lineRule="auto"/>
              <w:ind w:firstLine="0" w:firstLineChars="0"/>
              <w:jc w:val="both"/>
              <w:rPr>
                <w:rFonts w:hint="eastAsia" w:ascii="宋体" w:hAnsi="宋体" w:cs="宋体"/>
                <w:color w:val="auto"/>
                <w:sz w:val="24"/>
                <w:lang w:val="zh-CN"/>
              </w:rPr>
            </w:pPr>
            <w:r>
              <w:rPr>
                <w:rFonts w:hint="eastAsia" w:ascii="宋体" w:hAnsi="宋体" w:cs="宋体"/>
                <w:color w:val="auto"/>
                <w:sz w:val="24"/>
                <w:lang w:val="zh-CN"/>
              </w:rPr>
              <w:t>（二）评分标准：</w:t>
            </w:r>
          </w:p>
          <w:p>
            <w:pPr>
              <w:pStyle w:val="32"/>
              <w:widowControl/>
              <w:spacing w:line="360" w:lineRule="auto"/>
              <w:ind w:firstLine="0" w:firstLineChars="0"/>
              <w:jc w:val="both"/>
              <w:rPr>
                <w:rFonts w:hint="eastAsia" w:ascii="宋体" w:hAnsi="宋体" w:cs="宋体"/>
                <w:color w:val="auto"/>
                <w:sz w:val="24"/>
                <w:highlight w:val="none"/>
                <w:lang w:val="en-US" w:eastAsia="zh-CN"/>
              </w:rPr>
            </w:pPr>
            <w:r>
              <w:rPr>
                <w:rFonts w:hint="eastAsia" w:ascii="宋体" w:hAnsi="宋体" w:cs="宋体"/>
                <w:color w:val="auto"/>
                <w:sz w:val="24"/>
                <w:lang w:val="zh-CN"/>
              </w:rPr>
              <w:t>要求提供承诺（格式自定）作为得分依据，未提供承诺或承诺内容不满足要求不得分。</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lang w:val="en-US" w:eastAsia="zh-CN"/>
              </w:rPr>
              <w:t>5</w:t>
            </w:r>
          </w:p>
        </w:tc>
        <w:tc>
          <w:tcPr>
            <w:tcW w:w="1079"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bl>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highlight w:val="none"/>
        </w:rPr>
      </w:pPr>
      <w:bookmarkStart w:id="18" w:name="_Toc9548"/>
      <w:bookmarkStart w:id="19" w:name="_Hlk28269117"/>
      <w:r>
        <w:rPr>
          <w:rFonts w:hint="eastAsia" w:ascii="宋体" w:hAnsi="宋体" w:cs="宋体"/>
          <w:b/>
          <w:bCs/>
          <w:color w:val="auto"/>
          <w:sz w:val="24"/>
          <w:highlight w:val="none"/>
        </w:rPr>
        <w:t>第七章 附件（投标文件格式）</w:t>
      </w:r>
      <w:bookmarkEnd w:id="18"/>
    </w:p>
    <w:p>
      <w:pPr>
        <w:keepNext/>
        <w:keepLines/>
        <w:spacing w:before="260" w:after="260" w:line="440" w:lineRule="exact"/>
        <w:jc w:val="center"/>
        <w:outlineLvl w:val="1"/>
        <w:rPr>
          <w:rFonts w:hint="eastAsia" w:ascii="宋体" w:hAnsi="宋体" w:cs="宋体"/>
          <w:b/>
          <w:bCs/>
          <w:color w:val="auto"/>
          <w:sz w:val="24"/>
          <w:highlight w:val="none"/>
        </w:rPr>
      </w:pPr>
      <w:bookmarkStart w:id="20" w:name="_Toc31827"/>
      <w:bookmarkStart w:id="21" w:name="_Toc19494"/>
      <w:bookmarkStart w:id="22" w:name="_Toc6548"/>
      <w:bookmarkStart w:id="23" w:name="_Toc5116"/>
      <w:r>
        <w:rPr>
          <w:rFonts w:hint="eastAsia" w:ascii="宋体" w:hAnsi="宋体" w:cs="宋体"/>
          <w:b/>
          <w:bCs/>
          <w:color w:val="auto"/>
          <w:sz w:val="24"/>
          <w:highlight w:val="none"/>
        </w:rPr>
        <w:t>1、投标文件密封袋/封面参考</w:t>
      </w:r>
      <w:bookmarkEnd w:id="20"/>
      <w:bookmarkEnd w:id="21"/>
      <w:bookmarkEnd w:id="22"/>
      <w:bookmarkEnd w:id="23"/>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3"/>
              <w:tabs>
                <w:tab w:val="left" w:pos="562"/>
                <w:tab w:val="left" w:pos="3372"/>
                <w:tab w:val="left" w:pos="3653"/>
              </w:tabs>
              <w:spacing w:line="360" w:lineRule="auto"/>
              <w:rPr>
                <w:rFonts w:hint="eastAsia" w:ascii="仿宋_GB2312" w:eastAsia="仿宋_GB2312"/>
                <w:b/>
                <w:color w:val="auto"/>
                <w:sz w:val="32"/>
                <w:highlight w:val="none"/>
                <w:lang w:val="en-US" w:eastAsia="zh-CN"/>
              </w:rPr>
            </w:pPr>
          </w:p>
          <w:p>
            <w:pPr>
              <w:pStyle w:val="3"/>
              <w:tabs>
                <w:tab w:val="left" w:pos="562"/>
                <w:tab w:val="left" w:pos="3372"/>
                <w:tab w:val="left" w:pos="3653"/>
              </w:tabs>
              <w:spacing w:line="360" w:lineRule="auto"/>
              <w:jc w:val="center"/>
              <w:rPr>
                <w:rFonts w:hint="eastAsia" w:ascii="黑体" w:eastAsia="黑体"/>
                <w:b/>
                <w:color w:val="auto"/>
                <w:sz w:val="72"/>
                <w:szCs w:val="72"/>
                <w:highlight w:val="none"/>
                <w:lang w:val="en-US" w:eastAsia="zh-CN"/>
              </w:rPr>
            </w:pPr>
          </w:p>
          <w:p>
            <w:pPr>
              <w:pStyle w:val="3"/>
              <w:tabs>
                <w:tab w:val="left" w:pos="562"/>
                <w:tab w:val="left" w:pos="3372"/>
                <w:tab w:val="left" w:pos="3653"/>
              </w:tabs>
              <w:spacing w:line="360" w:lineRule="auto"/>
              <w:jc w:val="center"/>
              <w:rPr>
                <w:rFonts w:hint="eastAsia" w:ascii="黑体" w:eastAsia="黑体"/>
                <w:b/>
                <w:color w:val="auto"/>
                <w:sz w:val="72"/>
                <w:szCs w:val="72"/>
                <w:highlight w:val="none"/>
                <w:lang w:val="en-US" w:eastAsia="zh-CN"/>
              </w:rPr>
            </w:pPr>
            <w:r>
              <w:rPr>
                <w:rFonts w:hint="eastAsia" w:ascii="黑体" w:eastAsia="黑体"/>
                <w:b/>
                <w:color w:val="auto"/>
                <w:sz w:val="72"/>
                <w:szCs w:val="72"/>
                <w:highlight w:val="none"/>
                <w:lang w:val="en-US" w:eastAsia="zh-CN"/>
              </w:rPr>
              <w:t>投 标 文 件</w:t>
            </w:r>
          </w:p>
          <w:p>
            <w:pPr>
              <w:pStyle w:val="3"/>
              <w:tabs>
                <w:tab w:val="left" w:pos="562"/>
                <w:tab w:val="left" w:pos="3372"/>
                <w:tab w:val="left" w:pos="3653"/>
              </w:tabs>
              <w:spacing w:line="360" w:lineRule="auto"/>
              <w:jc w:val="center"/>
              <w:rPr>
                <w:rFonts w:hint="eastAsia" w:ascii="黑体" w:eastAsia="黑体"/>
                <w:b/>
                <w:strike/>
                <w:color w:val="auto"/>
                <w:sz w:val="32"/>
                <w:highlight w:val="none"/>
                <w:lang w:val="en-US" w:eastAsia="zh-CN"/>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3"/>
              <w:tabs>
                <w:tab w:val="left" w:pos="562"/>
                <w:tab w:val="left" w:pos="3372"/>
                <w:tab w:val="left" w:pos="3653"/>
              </w:tabs>
              <w:spacing w:line="360" w:lineRule="auto"/>
              <w:rPr>
                <w:rFonts w:hint="eastAsia" w:ascii="仿宋_GB2312" w:eastAsia="仿宋_GB2312"/>
                <w:b/>
                <w:color w:val="auto"/>
                <w:sz w:val="32"/>
                <w:highlight w:val="none"/>
                <w:lang w:val="en-US" w:eastAsia="zh-CN"/>
              </w:rPr>
            </w:pPr>
          </w:p>
          <w:p>
            <w:pPr>
              <w:rPr>
                <w:rFonts w:hint="eastAsia"/>
                <w:color w:val="auto"/>
                <w:highlight w:val="none"/>
              </w:rPr>
            </w:pPr>
          </w:p>
          <w:p>
            <w:pPr>
              <w:pStyle w:val="3"/>
              <w:tabs>
                <w:tab w:val="left" w:pos="562"/>
                <w:tab w:val="left" w:pos="3372"/>
                <w:tab w:val="left" w:pos="3653"/>
              </w:tabs>
              <w:spacing w:line="400" w:lineRule="exact"/>
              <w:ind w:firstLine="900" w:firstLineChars="320"/>
              <w:rPr>
                <w:rFonts w:hint="eastAsia" w:ascii="仿宋_GB2312" w:eastAsia="仿宋_GB2312"/>
                <w:b/>
                <w:color w:val="auto"/>
                <w:sz w:val="28"/>
                <w:szCs w:val="28"/>
                <w:highlight w:val="none"/>
                <w:lang w:val="en-US" w:eastAsia="zh-CN"/>
              </w:rPr>
            </w:pPr>
          </w:p>
          <w:p>
            <w:pPr>
              <w:pStyle w:val="3"/>
              <w:tabs>
                <w:tab w:val="left" w:pos="562"/>
                <w:tab w:val="left" w:pos="3372"/>
                <w:tab w:val="left" w:pos="3653"/>
              </w:tabs>
              <w:spacing w:line="400" w:lineRule="exact"/>
              <w:ind w:firstLine="900" w:firstLineChars="320"/>
              <w:rPr>
                <w:rFonts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项目编号：</w:t>
            </w:r>
            <w:r>
              <w:rPr>
                <w:rFonts w:hint="eastAsia" w:ascii="宋体" w:hAnsi="宋体" w:cs="Arial"/>
                <w:b/>
                <w:bCs/>
                <w:color w:val="auto"/>
                <w:sz w:val="28"/>
                <w:szCs w:val="28"/>
                <w:highlight w:val="none"/>
                <w:u w:val="single"/>
                <w:lang w:val="en-US" w:eastAsia="zh-CN"/>
              </w:rPr>
              <w:t xml:space="preserve">                                   </w:t>
            </w:r>
          </w:p>
          <w:p>
            <w:pPr>
              <w:pStyle w:val="3"/>
              <w:tabs>
                <w:tab w:val="left" w:pos="562"/>
                <w:tab w:val="left" w:pos="3372"/>
                <w:tab w:val="left" w:pos="3653"/>
              </w:tabs>
              <w:spacing w:line="400" w:lineRule="exact"/>
              <w:ind w:firstLine="900" w:firstLineChars="320"/>
              <w:rPr>
                <w:rFonts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项目名称：</w:t>
            </w:r>
            <w:r>
              <w:rPr>
                <w:rFonts w:hint="eastAsia" w:ascii="宋体" w:hAnsi="宋体" w:cs="Arial"/>
                <w:b/>
                <w:bCs/>
                <w:color w:val="auto"/>
                <w:sz w:val="28"/>
                <w:szCs w:val="28"/>
                <w:highlight w:val="none"/>
                <w:u w:val="single"/>
                <w:lang w:val="en-US" w:eastAsia="zh-CN"/>
              </w:rPr>
              <w:t xml:space="preserve">                                   </w:t>
            </w:r>
          </w:p>
          <w:p>
            <w:pPr>
              <w:pStyle w:val="3"/>
              <w:tabs>
                <w:tab w:val="left" w:pos="562"/>
                <w:tab w:val="left" w:pos="3372"/>
                <w:tab w:val="left" w:pos="3653"/>
              </w:tabs>
              <w:spacing w:line="400" w:lineRule="exact"/>
              <w:ind w:firstLine="900" w:firstLineChars="32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投标人名称：</w:t>
            </w:r>
            <w:r>
              <w:rPr>
                <w:rFonts w:hint="eastAsia" w:ascii="宋体" w:hAnsi="宋体" w:cs="Arial"/>
                <w:b/>
                <w:bCs/>
                <w:color w:val="auto"/>
                <w:sz w:val="28"/>
                <w:szCs w:val="28"/>
                <w:highlight w:val="none"/>
                <w:u w:val="single"/>
                <w:lang w:val="en-US" w:eastAsia="zh-CN"/>
              </w:rPr>
              <w:t xml:space="preserve">                     （加盖公章）</w:t>
            </w:r>
          </w:p>
          <w:p>
            <w:pPr>
              <w:pStyle w:val="3"/>
              <w:tabs>
                <w:tab w:val="left" w:pos="562"/>
                <w:tab w:val="left" w:pos="3372"/>
                <w:tab w:val="left" w:pos="3653"/>
              </w:tabs>
              <w:spacing w:line="400" w:lineRule="exact"/>
              <w:ind w:firstLine="900" w:firstLineChars="320"/>
              <w:rPr>
                <w:rFonts w:hint="eastAsia" w:ascii="宋体" w:hAnsi="宋体" w:cs="Arial"/>
                <w:b/>
                <w:bCs/>
                <w:color w:val="auto"/>
                <w:sz w:val="28"/>
                <w:szCs w:val="28"/>
                <w:highlight w:val="none"/>
                <w:u w:val="single"/>
                <w:lang w:val="en-US" w:eastAsia="zh-CN"/>
              </w:rPr>
            </w:pPr>
            <w:r>
              <w:rPr>
                <w:rFonts w:hint="eastAsia" w:ascii="宋体" w:hAnsi="宋体" w:cs="宋体"/>
                <w:b/>
                <w:color w:val="auto"/>
                <w:sz w:val="28"/>
                <w:szCs w:val="28"/>
                <w:highlight w:val="none"/>
                <w:lang w:val="en-US" w:eastAsia="zh-CN"/>
              </w:rPr>
              <w:t>投标人地址：</w:t>
            </w:r>
            <w:r>
              <w:rPr>
                <w:rFonts w:hint="eastAsia" w:ascii="宋体" w:hAnsi="宋体" w:cs="Arial"/>
                <w:b/>
                <w:bCs/>
                <w:color w:val="auto"/>
                <w:sz w:val="28"/>
                <w:szCs w:val="28"/>
                <w:highlight w:val="none"/>
                <w:u w:val="single"/>
                <w:lang w:val="en-US" w:eastAsia="zh-CN"/>
              </w:rPr>
              <w:t xml:space="preserve">                                 </w:t>
            </w:r>
          </w:p>
          <w:p>
            <w:pPr>
              <w:pStyle w:val="3"/>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lang w:val="en-US" w:eastAsia="zh-CN"/>
              </w:rPr>
            </w:pPr>
            <w:r>
              <w:rPr>
                <w:rFonts w:hint="eastAsia" w:ascii="宋体" w:hAnsi="宋体" w:cs="Arial"/>
                <w:b/>
                <w:bCs/>
                <w:color w:val="auto"/>
                <w:sz w:val="28"/>
                <w:szCs w:val="28"/>
                <w:highlight w:val="none"/>
                <w:lang w:val="en-US" w:eastAsia="zh-CN"/>
              </w:rPr>
              <w:t>法定代表人/被授权人：</w:t>
            </w:r>
            <w:r>
              <w:rPr>
                <w:rFonts w:hint="eastAsia" w:ascii="宋体" w:hAnsi="宋体" w:cs="Arial"/>
                <w:b/>
                <w:bCs/>
                <w:color w:val="auto"/>
                <w:sz w:val="28"/>
                <w:szCs w:val="28"/>
                <w:highlight w:val="none"/>
                <w:u w:val="single"/>
                <w:lang w:val="en-US" w:eastAsia="zh-CN"/>
              </w:rPr>
              <w:t xml:space="preserve">                        </w:t>
            </w:r>
          </w:p>
          <w:p>
            <w:pPr>
              <w:pStyle w:val="3"/>
              <w:tabs>
                <w:tab w:val="left" w:pos="562"/>
                <w:tab w:val="left" w:pos="3372"/>
                <w:tab w:val="left" w:pos="3653"/>
              </w:tabs>
              <w:spacing w:line="400" w:lineRule="exact"/>
              <w:ind w:firstLine="900" w:firstLineChars="320"/>
              <w:rPr>
                <w:rFonts w:hint="eastAsia" w:ascii="宋体" w:hAnsi="宋体" w:cs="宋体"/>
                <w:b/>
                <w:color w:val="auto"/>
                <w:sz w:val="28"/>
                <w:szCs w:val="28"/>
                <w:highlight w:val="none"/>
                <w:lang w:val="en-US" w:eastAsia="zh-CN"/>
              </w:rPr>
            </w:pPr>
            <w:r>
              <w:rPr>
                <w:rFonts w:hint="eastAsia" w:ascii="宋体" w:hAnsi="宋体" w:cs="Arial"/>
                <w:b/>
                <w:bCs/>
                <w:color w:val="auto"/>
                <w:sz w:val="28"/>
                <w:szCs w:val="28"/>
                <w:highlight w:val="none"/>
                <w:lang w:val="en-US" w:eastAsia="zh-CN"/>
              </w:rPr>
              <w:t>联系电话：</w:t>
            </w:r>
            <w:r>
              <w:rPr>
                <w:rFonts w:hint="eastAsia" w:ascii="宋体" w:hAnsi="宋体" w:cs="Arial"/>
                <w:b/>
                <w:bCs/>
                <w:color w:val="auto"/>
                <w:sz w:val="28"/>
                <w:szCs w:val="28"/>
                <w:highlight w:val="none"/>
                <w:u w:val="single"/>
                <w:lang w:val="en-US" w:eastAsia="zh-CN"/>
              </w:rPr>
              <w:t xml:space="preserve">                                   </w:t>
            </w: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hint="eastAsia" w:ascii="宋体" w:hAnsi="宋体" w:cs="宋体"/>
          <w:b/>
          <w:bCs/>
          <w:color w:val="auto"/>
          <w:sz w:val="24"/>
          <w:highlight w:val="none"/>
        </w:rPr>
      </w:pPr>
    </w:p>
    <w:p>
      <w:pPr>
        <w:spacing w:before="100" w:beforeAutospacing="1" w:after="100" w:afterAutospacing="1"/>
        <w:jc w:val="center"/>
        <w:outlineLvl w:val="1"/>
        <w:rPr>
          <w:rFonts w:hint="eastAsia" w:ascii="宋体" w:hAnsi="宋体" w:cs="宋体"/>
          <w:b/>
          <w:color w:val="auto"/>
          <w:sz w:val="24"/>
          <w:highlight w:val="none"/>
        </w:rPr>
      </w:pPr>
      <w:bookmarkStart w:id="24" w:name="_Toc16724"/>
      <w:r>
        <w:rPr>
          <w:rFonts w:hint="eastAsia" w:ascii="宋体" w:hAnsi="宋体" w:cs="宋体"/>
          <w:b/>
          <w:color w:val="auto"/>
          <w:sz w:val="24"/>
          <w:highlight w:val="none"/>
        </w:rPr>
        <w:t>2、投标文件—目录</w:t>
      </w:r>
      <w:bookmarkEnd w:id="24"/>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6"/>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numPr>
          <w:ilvl w:val="0"/>
          <w:numId w:val="6"/>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项目负责人（仅限一人）；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服务团队成员（不含项目负责人）；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同类项目业绩；</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投标人获奖情况；</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诚信声明与承诺；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8"/>
        </w:numPr>
        <w:tabs>
          <w:tab w:val="left" w:pos="640"/>
          <w:tab w:val="left" w:pos="1260"/>
          <w:tab w:val="left" w:pos="1418"/>
        </w:tabs>
        <w:spacing w:line="360" w:lineRule="auto"/>
        <w:ind w:left="640" w:right="-420" w:rightChars="-20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项目实施方案；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质量保障措施及方案；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项目重难点分析及相关的合理化建议；</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项目完成（服务期满）后的服务承诺；</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违约承诺；</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9"/>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896"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（人民币）</w:t>
            </w:r>
          </w:p>
        </w:tc>
        <w:tc>
          <w:tcPr>
            <w:tcW w:w="1318"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highlight w:val="none"/>
                <w:u w:val="single"/>
              </w:rPr>
            </w:pPr>
          </w:p>
        </w:tc>
        <w:tc>
          <w:tcPr>
            <w:tcW w:w="2896" w:type="dxa"/>
            <w:noWrap w:val="0"/>
            <w:vAlign w:val="center"/>
          </w:tcPr>
          <w:p>
            <w:pPr>
              <w:spacing w:line="360" w:lineRule="auto"/>
              <w:jc w:val="center"/>
              <w:rPr>
                <w:rFonts w:hint="eastAsia" w:ascii="宋体" w:hAnsi="宋体" w:cs="宋体"/>
                <w:color w:val="auto"/>
                <w:sz w:val="24"/>
                <w:highlight w:val="none"/>
                <w:u w:val="single"/>
              </w:rPr>
            </w:pPr>
          </w:p>
        </w:tc>
        <w:tc>
          <w:tcPr>
            <w:tcW w:w="1318" w:type="dxa"/>
            <w:noWrap w:val="0"/>
            <w:vAlign w:val="center"/>
          </w:tcPr>
          <w:p>
            <w:pPr>
              <w:spacing w:line="360" w:lineRule="auto"/>
              <w:jc w:val="center"/>
              <w:rPr>
                <w:rFonts w:hint="eastAsia" w:ascii="宋体" w:hAnsi="宋体" w:cs="宋体"/>
                <w:color w:val="auto"/>
                <w:sz w:val="24"/>
                <w:highlight w:val="none"/>
                <w:u w:val="single"/>
              </w:rPr>
            </w:pPr>
          </w:p>
        </w:tc>
      </w:tr>
    </w:tbl>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3"/>
        <w:rPr>
          <w:rFonts w:hint="eastAsia"/>
          <w:color w:val="auto"/>
          <w:highlight w:val="none"/>
        </w:rPr>
      </w:pPr>
    </w:p>
    <w:p>
      <w:pPr>
        <w:numPr>
          <w:ilvl w:val="0"/>
          <w:numId w:val="9"/>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序号</w:t>
            </w:r>
          </w:p>
        </w:tc>
        <w:tc>
          <w:tcPr>
            <w:tcW w:w="2212" w:type="dxa"/>
            <w:noWrap w:val="0"/>
            <w:vAlign w:val="center"/>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项目名称、内容</w:t>
            </w: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单位</w:t>
            </w: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数量（工作量）</w:t>
            </w: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单价</w:t>
            </w: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1</w:t>
            </w:r>
          </w:p>
        </w:tc>
        <w:tc>
          <w:tcPr>
            <w:tcW w:w="2212" w:type="dxa"/>
            <w:noWrap w:val="0"/>
            <w:vAlign w:val="center"/>
          </w:tcPr>
          <w:p>
            <w:pPr>
              <w:pStyle w:val="10"/>
              <w:spacing w:line="360" w:lineRule="auto"/>
              <w:jc w:val="center"/>
              <w:rPr>
                <w:rFonts w:hint="eastAsia" w:hAnsi="宋体" w:cs="宋体"/>
                <w:color w:val="auto"/>
                <w:sz w:val="24"/>
                <w:highlight w:val="none"/>
                <w:lang w:val="en-US" w:eastAsia="zh-CN"/>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w:t>
            </w:r>
          </w:p>
        </w:tc>
        <w:tc>
          <w:tcPr>
            <w:tcW w:w="2212" w:type="dxa"/>
            <w:noWrap w:val="0"/>
            <w:vAlign w:val="center"/>
          </w:tcPr>
          <w:p>
            <w:pPr>
              <w:pStyle w:val="10"/>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w:t>
            </w:r>
          </w:p>
        </w:tc>
        <w:tc>
          <w:tcPr>
            <w:tcW w:w="7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10"/>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10"/>
              <w:spacing w:line="360" w:lineRule="auto"/>
              <w:rPr>
                <w:rFonts w:hint="eastAsia" w:hAnsi="宋体" w:cs="宋体"/>
                <w:color w:val="auto"/>
                <w:sz w:val="24"/>
                <w:highlight w:val="none"/>
                <w:lang w:val="en-US" w:eastAsia="zh-CN"/>
              </w:rPr>
            </w:pPr>
            <w:r>
              <w:rPr>
                <w:rFonts w:hint="eastAsia" w:hAnsi="宋体" w:cs="宋体"/>
                <w:color w:val="auto"/>
                <w:sz w:val="24"/>
                <w:highlight w:val="none"/>
                <w:lang w:val="en-US" w:eastAsia="zh-CN"/>
              </w:rPr>
              <w:t>报价合计</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outlineLvl w:val="2"/>
        <w:rPr>
          <w:rFonts w:hint="eastAsia"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一份正本四份副本以及1份电子文档的</w:t>
      </w:r>
      <w:r>
        <w:rPr>
          <w:rFonts w:hint="eastAsia" w:ascii="宋体" w:hAnsi="宋体" w:cs="宋体"/>
          <w:color w:val="auto"/>
          <w:sz w:val="24"/>
          <w:highlight w:val="none"/>
        </w:rPr>
        <w:t>投标文件。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3"/>
        <w:rPr>
          <w:rFonts w:hint="eastAsia"/>
          <w:color w:val="auto"/>
          <w:highlight w:val="none"/>
        </w:rPr>
      </w:pP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政府采购投标及履约承诺函；</w:t>
      </w:r>
    </w:p>
    <w:p>
      <w:pPr>
        <w:spacing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w:t>
      </w:r>
      <w:r>
        <w:rPr>
          <w:rFonts w:hint="eastAsia" w:ascii="宋体" w:hAnsi="宋体" w:cs="宋体"/>
          <w:color w:val="auto"/>
          <w:kern w:val="0"/>
          <w:sz w:val="24"/>
          <w:highlight w:val="none"/>
          <w:lang w:eastAsia="zh-CN"/>
        </w:rPr>
        <w:t>法定代表人</w:t>
      </w:r>
      <w:r>
        <w:rPr>
          <w:rFonts w:hint="eastAsia" w:ascii="宋体" w:hAnsi="宋体" w:cs="宋体"/>
          <w:color w:val="auto"/>
          <w:kern w:val="0"/>
          <w:sz w:val="24"/>
          <w:highlight w:val="none"/>
        </w:rPr>
        <w:t>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w:t>
      </w:r>
      <w:r>
        <w:rPr>
          <w:rFonts w:hint="eastAsia" w:ascii="宋体" w:hAnsi="宋体" w:cs="宋体"/>
          <w:color w:val="auto"/>
          <w:kern w:val="0"/>
          <w:sz w:val="24"/>
          <w:highlight w:val="none"/>
          <w:lang w:eastAsia="zh-CN"/>
        </w:rPr>
        <w:t>法定代表人</w:t>
      </w:r>
      <w:r>
        <w:rPr>
          <w:rFonts w:hint="eastAsia" w:ascii="宋体" w:hAnsi="宋体" w:cs="宋体"/>
          <w:color w:val="auto"/>
          <w:kern w:val="0"/>
          <w:sz w:val="24"/>
          <w:highlight w:val="none"/>
        </w:rPr>
        <w:t>近三年内（投标人成立不足三年的可从成立之日起算）无行贿犯罪记录；</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个官网中列入“失信被执行人、重大税收违法失信主体、政府采购严重违法失信行为记录名单”</w:t>
      </w:r>
      <w:r>
        <w:rPr>
          <w:rFonts w:hint="eastAsia" w:ascii="宋体" w:hAnsi="宋体" w:cs="宋体"/>
          <w:color w:val="auto"/>
          <w:sz w:val="24"/>
          <w:highlight w:val="none"/>
        </w:rPr>
        <w:t>。</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我单位承诺“本单位（公司）不存在《深圳市财政局政府采购供应商信用信息管理办法》（深财规〔2023〕3号）列明的严重违法失信行为</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 xml:space="preserve">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hint="eastAsia" w:ascii="宋体" w:hAnsi="宋体" w:cs="宋体"/>
          <w:color w:val="auto"/>
          <w:sz w:val="24"/>
          <w:highlight w:val="none"/>
        </w:rPr>
      </w:pPr>
    </w:p>
    <w:p>
      <w:pPr>
        <w:tabs>
          <w:tab w:val="left" w:pos="4860"/>
        </w:tabs>
        <w:adjustRightInd w:val="0"/>
        <w:snapToGrid w:val="0"/>
        <w:spacing w:line="360" w:lineRule="auto"/>
        <w:ind w:right="105" w:rightChars="5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eastAsia="zh-CN"/>
        </w:rPr>
        <w:t>法定代表人</w:t>
      </w:r>
      <w:r>
        <w:rPr>
          <w:rFonts w:hint="eastAsia" w:ascii="宋体" w:hAnsi="宋体" w:cs="宋体"/>
          <w:color w:val="auto"/>
          <w:sz w:val="24"/>
          <w:highlight w:val="none"/>
          <w:lang w:val="fr-CH"/>
        </w:rPr>
        <w:t>证明书及身份证明；</w:t>
      </w:r>
    </w:p>
    <w:p>
      <w:pPr>
        <w:spacing w:before="120" w:after="120" w:line="360" w:lineRule="auto"/>
        <w:jc w:val="center"/>
        <w:rPr>
          <w:rFonts w:hint="eastAsia" w:ascii="宋体" w:hAnsi="宋体" w:cs="宋体"/>
          <w:b/>
          <w:color w:val="auto"/>
          <w:sz w:val="24"/>
          <w:highlight w:val="none"/>
        </w:rPr>
      </w:pPr>
    </w:p>
    <w:p>
      <w:pPr>
        <w:spacing w:before="120" w:after="120" w:line="360" w:lineRule="auto"/>
        <w:jc w:val="center"/>
        <w:rPr>
          <w:rFonts w:hint="eastAsia" w:ascii="宋体" w:hAnsi="宋体" w:cs="宋体"/>
          <w:color w:val="auto"/>
          <w:sz w:val="24"/>
          <w:highlight w:val="none"/>
          <w:u w:val="single"/>
        </w:rPr>
      </w:pPr>
      <w:r>
        <w:rPr>
          <w:rFonts w:hint="eastAsia" w:ascii="宋体" w:hAnsi="宋体" w:cs="宋体"/>
          <w:b/>
          <w:color w:val="auto"/>
          <w:sz w:val="24"/>
          <w:highlight w:val="none"/>
          <w:lang w:eastAsia="zh-CN"/>
        </w:rPr>
        <w:t>法定代表人</w:t>
      </w:r>
      <w:r>
        <w:rPr>
          <w:rFonts w:hint="eastAsia" w:ascii="宋体" w:hAnsi="宋体" w:cs="宋体"/>
          <w:b/>
          <w:color w:val="auto"/>
          <w:sz w:val="24"/>
          <w:highlight w:val="none"/>
        </w:rPr>
        <w:t>证明书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说明：1、</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为企业事业单位、国家机关、社会团体的主要行政负责人。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2、内容必须填写真实、清楚，涂改无效，不得转让、买卖.</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（签字或签章）：</w:t>
      </w:r>
    </w:p>
    <w:p>
      <w:pPr>
        <w:spacing w:before="120" w:after="120"/>
        <w:jc w:val="left"/>
        <w:rPr>
          <w:rFonts w:hint="eastAsia" w:ascii="宋体" w:hAnsi="宋体" w:cs="宋体"/>
          <w:color w:val="auto"/>
          <w:szCs w:val="21"/>
          <w:highlight w:val="none"/>
        </w:rPr>
      </w:pPr>
    </w:p>
    <w:p>
      <w:pPr>
        <w:spacing w:before="120" w:after="120"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10"/>
              <w:spacing w:line="360" w:lineRule="auto"/>
              <w:rPr>
                <w:rFonts w:ascii="Arial Narrow" w:hAnsi="Arial Narrow"/>
                <w:b/>
                <w:bCs/>
                <w:color w:val="auto"/>
                <w:szCs w:val="21"/>
                <w:highlight w:val="none"/>
                <w:lang w:val="en-US" w:eastAsia="zh-CN"/>
              </w:rPr>
            </w:pPr>
          </w:p>
        </w:tc>
        <w:tc>
          <w:tcPr>
            <w:tcW w:w="4240" w:type="dxa"/>
            <w:noWrap w:val="0"/>
            <w:vAlign w:val="top"/>
          </w:tcPr>
          <w:p>
            <w:pPr>
              <w:pStyle w:val="10"/>
              <w:spacing w:line="360" w:lineRule="auto"/>
              <w:rPr>
                <w:rFonts w:ascii="Arial Narrow" w:hAnsi="Arial Narrow"/>
                <w:b/>
                <w:bCs/>
                <w:color w:val="auto"/>
                <w:szCs w:val="21"/>
                <w:highlight w:val="none"/>
                <w:lang w:val="en-US" w:eastAsia="zh-CN"/>
              </w:rPr>
            </w:pPr>
          </w:p>
        </w:tc>
      </w:tr>
    </w:tbl>
    <w:p>
      <w:pPr>
        <w:pStyle w:val="3"/>
        <w:rPr>
          <w:rFonts w:hint="eastAsia"/>
          <w:color w:val="auto"/>
          <w:highlight w:val="none"/>
          <w:lang w:val="fr-CH"/>
        </w:rPr>
      </w:pP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eastAsia="zh-CN"/>
        </w:rPr>
        <w:t>法定代表人</w:t>
      </w:r>
      <w:r>
        <w:rPr>
          <w:rFonts w:hint="eastAsia" w:ascii="宋体" w:hAnsi="宋体" w:cs="宋体"/>
          <w:color w:val="auto"/>
          <w:sz w:val="24"/>
          <w:highlight w:val="none"/>
          <w:lang w:val="fr-CH"/>
        </w:rPr>
        <w:t>授权书及身份证明；</w:t>
      </w:r>
    </w:p>
    <w:p>
      <w:pPr>
        <w:pStyle w:val="10"/>
        <w:spacing w:line="360" w:lineRule="auto"/>
        <w:jc w:val="center"/>
        <w:rPr>
          <w:rFonts w:hint="eastAsia" w:hAnsi="宋体" w:cs="宋体"/>
          <w:b/>
          <w:color w:val="auto"/>
          <w:sz w:val="24"/>
          <w:highlight w:val="none"/>
        </w:rPr>
      </w:pPr>
    </w:p>
    <w:p>
      <w:pPr>
        <w:pStyle w:val="10"/>
        <w:spacing w:line="360" w:lineRule="auto"/>
        <w:jc w:val="center"/>
        <w:rPr>
          <w:rFonts w:hint="eastAsia" w:hAnsi="宋体" w:cs="宋体"/>
          <w:b/>
          <w:color w:val="auto"/>
          <w:sz w:val="24"/>
          <w:highlight w:val="none"/>
        </w:rPr>
      </w:pPr>
      <w:r>
        <w:rPr>
          <w:rFonts w:hint="eastAsia" w:hAnsi="宋体" w:cs="宋体"/>
          <w:b/>
          <w:color w:val="auto"/>
          <w:sz w:val="24"/>
          <w:highlight w:val="none"/>
          <w:lang w:eastAsia="zh-CN"/>
        </w:rPr>
        <w:t>法定代表人</w:t>
      </w:r>
      <w:r>
        <w:rPr>
          <w:rFonts w:hint="eastAsia" w:hAnsi="宋体" w:cs="宋体"/>
          <w:b/>
          <w:color w:val="auto"/>
          <w:sz w:val="24"/>
          <w:highlight w:val="none"/>
        </w:rPr>
        <w:t>授权书</w:t>
      </w:r>
    </w:p>
    <w:p>
      <w:pPr>
        <w:pStyle w:val="10"/>
        <w:spacing w:line="360" w:lineRule="auto"/>
        <w:rPr>
          <w:rFonts w:hint="eastAsia" w:hAnsi="宋体" w:cs="宋体"/>
          <w:color w:val="auto"/>
          <w:sz w:val="24"/>
          <w:highlight w:val="none"/>
        </w:rPr>
      </w:pPr>
    </w:p>
    <w:p>
      <w:pPr>
        <w:pStyle w:val="10"/>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r>
        <w:rPr>
          <w:rFonts w:hint="eastAsia" w:hAnsi="宋体" w:cs="宋体"/>
          <w:color w:val="auto"/>
          <w:sz w:val="24"/>
          <w:highlight w:val="none"/>
          <w:lang w:eastAsia="zh-CN"/>
        </w:rPr>
        <w:t>法定代表人</w:t>
      </w:r>
      <w:r>
        <w:rPr>
          <w:rFonts w:hint="eastAsia" w:hAnsi="宋体" w:cs="宋体"/>
          <w:color w:val="auto"/>
          <w:sz w:val="24"/>
          <w:highlight w:val="none"/>
        </w:rPr>
        <w:t>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10"/>
        <w:spacing w:line="360" w:lineRule="auto"/>
        <w:rPr>
          <w:rFonts w:hint="eastAsia" w:hAnsi="宋体" w:cs="宋体"/>
          <w:color w:val="auto"/>
          <w:sz w:val="24"/>
          <w:highlight w:val="none"/>
        </w:rPr>
      </w:pPr>
    </w:p>
    <w:p>
      <w:pPr>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（签字或签章）：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hint="eastAsia" w:ascii="宋体" w:hAnsi="宋体" w:cs="宋体"/>
          <w:b/>
          <w:color w:val="auto"/>
          <w:sz w:val="24"/>
          <w:highlight w:val="none"/>
        </w:rPr>
      </w:pPr>
    </w:p>
    <w:p>
      <w:pPr>
        <w:tabs>
          <w:tab w:val="left" w:pos="640"/>
          <w:tab w:val="left" w:pos="1260"/>
          <w:tab w:val="left" w:pos="1418"/>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10"/>
              <w:spacing w:line="360" w:lineRule="auto"/>
              <w:rPr>
                <w:rFonts w:ascii="Arial Narrow" w:hAnsi="Arial Narrow"/>
                <w:b/>
                <w:bCs/>
                <w:color w:val="auto"/>
                <w:szCs w:val="21"/>
                <w:highlight w:val="none"/>
                <w:lang w:val="en-US" w:eastAsia="zh-CN"/>
              </w:rPr>
            </w:pPr>
          </w:p>
        </w:tc>
        <w:tc>
          <w:tcPr>
            <w:tcW w:w="4677" w:type="dxa"/>
            <w:noWrap w:val="0"/>
            <w:vAlign w:val="top"/>
          </w:tcPr>
          <w:p>
            <w:pPr>
              <w:pStyle w:val="10"/>
              <w:spacing w:line="360" w:lineRule="auto"/>
              <w:rPr>
                <w:rFonts w:ascii="Arial Narrow" w:hAnsi="Arial Narrow"/>
                <w:b/>
                <w:bCs/>
                <w:color w:val="auto"/>
                <w:szCs w:val="21"/>
                <w:highlight w:val="none"/>
                <w:lang w:val="en-US" w:eastAsia="zh-CN"/>
              </w:rPr>
            </w:pPr>
          </w:p>
        </w:tc>
      </w:tr>
    </w:tbl>
    <w:p>
      <w:pPr>
        <w:tabs>
          <w:tab w:val="left" w:pos="640"/>
          <w:tab w:val="left" w:pos="1260"/>
          <w:tab w:val="left" w:pos="1418"/>
        </w:tabs>
        <w:spacing w:line="360" w:lineRule="auto"/>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0"/>
        </w:numPr>
        <w:tabs>
          <w:tab w:val="left" w:pos="640"/>
          <w:tab w:val="left" w:pos="1260"/>
          <w:tab w:val="left" w:pos="1418"/>
        </w:tabs>
        <w:spacing w:line="360" w:lineRule="auto"/>
        <w:ind w:left="64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3"/>
        <w:rPr>
          <w:rFonts w:hint="eastAsia"/>
          <w:color w:val="auto"/>
          <w:highlight w:val="none"/>
          <w:lang w:val="fr-CH"/>
        </w:rPr>
      </w:pPr>
    </w:p>
    <w:p>
      <w:pPr>
        <w:tabs>
          <w:tab w:val="left" w:pos="640"/>
          <w:tab w:val="left" w:pos="1260"/>
          <w:tab w:val="left" w:pos="1418"/>
        </w:tabs>
        <w:spacing w:line="360" w:lineRule="auto"/>
        <w:rPr>
          <w:rFonts w:hint="eastAsia" w:ascii="宋体" w:hAnsi="宋体" w:cs="宋体"/>
          <w:color w:val="auto"/>
          <w:sz w:val="24"/>
          <w:highlight w:val="none"/>
          <w:lang w:val="fr-CH"/>
        </w:rPr>
      </w:pP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10"/>
        <w:spacing w:line="360" w:lineRule="auto"/>
        <w:jc w:val="center"/>
        <w:rPr>
          <w:rFonts w:hint="eastAsia" w:hAnsi="宋体" w:cs="宋体"/>
          <w:b/>
          <w:bCs/>
          <w:color w:val="auto"/>
          <w:sz w:val="24"/>
          <w:highlight w:val="none"/>
        </w:rPr>
      </w:pPr>
      <w:r>
        <w:rPr>
          <w:rFonts w:hint="eastAsia" w:hAnsi="宋体" w:cs="宋体"/>
          <w:b/>
          <w:bCs/>
          <w:color w:val="auto"/>
          <w:sz w:val="24"/>
          <w:highlight w:val="none"/>
        </w:rPr>
        <w:t>供应商基本情况一览表</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1．名称及概况：</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（1）供应商名称：_______________________________________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（2）地址：______________________________________________</w:t>
      </w:r>
    </w:p>
    <w:p>
      <w:pPr>
        <w:pStyle w:val="10"/>
        <w:spacing w:line="360" w:lineRule="auto"/>
        <w:ind w:firstLine="660" w:firstLineChars="275"/>
        <w:rPr>
          <w:rFonts w:hint="eastAsia"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（3）成立和／或注册日期：_________________________________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（4）法人代表：___________________________________________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（5）开户银行：___________________________________________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（6）开户帐号：___________________________________________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（7）注册资金：___________________________________________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（8）近两年财务基本情况</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（9）项目主要联系人（姓名、职务、通讯）：</w:t>
      </w:r>
    </w:p>
    <w:p>
      <w:pPr>
        <w:pStyle w:val="10"/>
        <w:spacing w:line="360" w:lineRule="auto"/>
        <w:rPr>
          <w:rFonts w:hint="eastAsia"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（10）公司概况；</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（11）公司组织机构；</w:t>
      </w:r>
    </w:p>
    <w:p>
      <w:pPr>
        <w:pStyle w:val="10"/>
        <w:spacing w:line="360" w:lineRule="auto"/>
        <w:ind w:firstLine="420"/>
        <w:rPr>
          <w:rFonts w:hint="eastAsia"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3"/>
        <w:rPr>
          <w:rFonts w:hint="eastAsia"/>
          <w:color w:val="auto"/>
          <w:highlight w:val="none"/>
          <w:lang w:val="fr-CH"/>
        </w:rPr>
      </w:pPr>
    </w:p>
    <w:p>
      <w:pPr>
        <w:numPr>
          <w:ilvl w:val="0"/>
          <w:numId w:val="10"/>
        </w:numPr>
        <w:tabs>
          <w:tab w:val="left" w:pos="640"/>
        </w:tabs>
        <w:spacing w:line="360" w:lineRule="auto"/>
        <w:ind w:left="845" w:hanging="845"/>
        <w:rPr>
          <w:rFonts w:hint="eastAsia" w:ascii="宋体" w:hAnsi="宋体" w:eastAsia="宋体" w:cs="宋体"/>
          <w:color w:val="auto"/>
          <w:kern w:val="2"/>
          <w:sz w:val="24"/>
          <w:szCs w:val="24"/>
          <w:highlight w:val="none"/>
          <w:lang w:val="fr-CH" w:eastAsia="zh-CN" w:bidi="ar-SA"/>
        </w:rPr>
      </w:pPr>
      <w:r>
        <w:rPr>
          <w:rFonts w:hint="eastAsia" w:ascii="宋体" w:hAnsi="宋体" w:cs="宋体"/>
          <w:color w:val="auto"/>
          <w:sz w:val="24"/>
          <w:highlight w:val="none"/>
          <w:lang w:val="fr-CH"/>
        </w:rPr>
        <w:br w:type="page"/>
      </w:r>
    </w:p>
    <w:p>
      <w:pPr>
        <w:numPr>
          <w:ilvl w:val="0"/>
          <w:numId w:val="0"/>
        </w:numPr>
        <w:tabs>
          <w:tab w:val="left" w:pos="640"/>
          <w:tab w:val="left" w:pos="1260"/>
          <w:tab w:val="left" w:pos="1418"/>
        </w:tabs>
        <w:spacing w:line="360" w:lineRule="auto"/>
        <w:ind w:leftChars="0"/>
        <w:rPr>
          <w:rFonts w:hint="eastAsia" w:ascii="宋体" w:hAnsi="宋体" w:cs="宋体"/>
          <w:i w:val="0"/>
          <w:iCs w:val="0"/>
          <w:color w:val="auto"/>
          <w:kern w:val="2"/>
          <w:sz w:val="24"/>
          <w:szCs w:val="24"/>
          <w:highlight w:val="none"/>
          <w:lang w:val="fr-CH" w:eastAsia="zh-CN" w:bidi="ar-SA"/>
        </w:rPr>
      </w:pPr>
      <w:r>
        <w:rPr>
          <w:rFonts w:hint="eastAsia" w:ascii="宋体" w:hAnsi="宋体" w:cs="宋体"/>
          <w:i w:val="0"/>
          <w:iCs w:val="0"/>
          <w:color w:val="auto"/>
          <w:kern w:val="2"/>
          <w:sz w:val="24"/>
          <w:szCs w:val="24"/>
          <w:highlight w:val="none"/>
          <w:lang w:val="fr-CH" w:eastAsia="zh-CN" w:bidi="ar-SA"/>
        </w:rPr>
        <w:t>（</w:t>
      </w:r>
      <w:r>
        <w:rPr>
          <w:rFonts w:hint="eastAsia" w:ascii="宋体" w:hAnsi="宋体" w:cs="宋体"/>
          <w:i w:val="0"/>
          <w:iCs w:val="0"/>
          <w:color w:val="auto"/>
          <w:kern w:val="2"/>
          <w:sz w:val="24"/>
          <w:szCs w:val="24"/>
          <w:highlight w:val="none"/>
          <w:lang w:val="en-US" w:eastAsia="zh-CN" w:bidi="ar-SA"/>
        </w:rPr>
        <w:t>9</w:t>
      </w:r>
      <w:r>
        <w:rPr>
          <w:rFonts w:hint="eastAsia" w:ascii="宋体" w:hAnsi="宋体" w:cs="宋体"/>
          <w:i w:val="0"/>
          <w:iCs w:val="0"/>
          <w:color w:val="auto"/>
          <w:kern w:val="2"/>
          <w:sz w:val="24"/>
          <w:szCs w:val="24"/>
          <w:highlight w:val="none"/>
          <w:lang w:val="fr-CH" w:eastAsia="zh-CN" w:bidi="ar-SA"/>
        </w:rPr>
        <w:t>）项目负责人（仅限一人）</w:t>
      </w:r>
      <w:r>
        <w:rPr>
          <w:rFonts w:hint="eastAsia" w:ascii="宋体" w:hAnsi="宋体" w:eastAsia="宋体" w:cs="宋体"/>
          <w:color w:val="auto"/>
          <w:kern w:val="2"/>
          <w:sz w:val="24"/>
          <w:szCs w:val="24"/>
          <w:highlight w:val="none"/>
          <w:lang w:val="en-US" w:eastAsia="zh-CN" w:bidi="ar-SA"/>
        </w:rPr>
        <w:t>；</w:t>
      </w:r>
    </w:p>
    <w:p>
      <w:pPr>
        <w:numPr>
          <w:ilvl w:val="0"/>
          <w:numId w:val="0"/>
        </w:numPr>
        <w:tabs>
          <w:tab w:val="left" w:pos="640"/>
          <w:tab w:val="left" w:pos="1260"/>
          <w:tab w:val="left" w:pos="1418"/>
        </w:tabs>
        <w:spacing w:line="360" w:lineRule="auto"/>
        <w:ind w:leftChars="0"/>
        <w:rPr>
          <w:rFonts w:hint="eastAsia" w:ascii="宋体" w:hAnsi="宋体" w:cs="宋体"/>
          <w:i w:val="0"/>
          <w:iCs w:val="0"/>
          <w:color w:val="auto"/>
          <w:kern w:val="2"/>
          <w:sz w:val="24"/>
          <w:szCs w:val="24"/>
          <w:highlight w:val="none"/>
          <w:lang w:val="fr-CH" w:eastAsia="zh-CN" w:bidi="ar-SA"/>
        </w:rPr>
      </w:pPr>
      <w:r>
        <w:rPr>
          <w:rFonts w:hint="eastAsia" w:ascii="宋体" w:hAnsi="宋体" w:cs="宋体"/>
          <w:i w:val="0"/>
          <w:iCs w:val="0"/>
          <w:color w:val="auto"/>
          <w:kern w:val="2"/>
          <w:sz w:val="24"/>
          <w:szCs w:val="24"/>
          <w:highlight w:val="none"/>
          <w:lang w:val="fr-CH" w:eastAsia="zh-CN" w:bidi="ar-SA"/>
        </w:rPr>
        <w:t>（</w:t>
      </w:r>
      <w:r>
        <w:rPr>
          <w:rFonts w:hint="eastAsia" w:ascii="宋体" w:hAnsi="宋体" w:cs="宋体"/>
          <w:i w:val="0"/>
          <w:iCs w:val="0"/>
          <w:color w:val="auto"/>
          <w:kern w:val="2"/>
          <w:sz w:val="24"/>
          <w:szCs w:val="24"/>
          <w:highlight w:val="none"/>
          <w:lang w:val="en-US" w:eastAsia="zh-CN" w:bidi="ar-SA"/>
        </w:rPr>
        <w:t>10</w:t>
      </w:r>
      <w:r>
        <w:rPr>
          <w:rFonts w:hint="eastAsia" w:ascii="宋体" w:hAnsi="宋体" w:cs="宋体"/>
          <w:i w:val="0"/>
          <w:iCs w:val="0"/>
          <w:color w:val="auto"/>
          <w:kern w:val="2"/>
          <w:sz w:val="24"/>
          <w:szCs w:val="24"/>
          <w:highlight w:val="none"/>
          <w:lang w:val="fr-CH" w:eastAsia="zh-CN" w:bidi="ar-SA"/>
        </w:rPr>
        <w:t>）服务团队成员（不含项目负责人）</w:t>
      </w:r>
      <w:r>
        <w:rPr>
          <w:rFonts w:hint="eastAsia" w:ascii="宋体" w:hAnsi="宋体" w:eastAsia="宋体" w:cs="宋体"/>
          <w:color w:val="auto"/>
          <w:kern w:val="2"/>
          <w:sz w:val="24"/>
          <w:szCs w:val="24"/>
          <w:highlight w:val="none"/>
          <w:lang w:val="en-US" w:eastAsia="zh-CN" w:bidi="ar-SA"/>
        </w:rPr>
        <w:t>；</w:t>
      </w:r>
    </w:p>
    <w:p>
      <w:pPr>
        <w:numPr>
          <w:ilvl w:val="0"/>
          <w:numId w:val="0"/>
        </w:numPr>
        <w:tabs>
          <w:tab w:val="left" w:pos="640"/>
          <w:tab w:val="left" w:pos="1260"/>
          <w:tab w:val="left" w:pos="1418"/>
        </w:tabs>
        <w:spacing w:line="360" w:lineRule="auto"/>
        <w:ind w:leftChars="0"/>
        <w:rPr>
          <w:rFonts w:hint="eastAsia" w:ascii="宋体" w:hAnsi="宋体" w:cs="宋体"/>
          <w:i w:val="0"/>
          <w:iCs w:val="0"/>
          <w:color w:val="auto"/>
          <w:kern w:val="2"/>
          <w:sz w:val="24"/>
          <w:szCs w:val="24"/>
          <w:highlight w:val="none"/>
          <w:lang w:val="fr-CH" w:eastAsia="zh-CN" w:bidi="ar-SA"/>
        </w:rPr>
      </w:pPr>
      <w:r>
        <w:rPr>
          <w:rFonts w:hint="eastAsia" w:ascii="宋体" w:hAnsi="宋体" w:cs="宋体"/>
          <w:i w:val="0"/>
          <w:iCs w:val="0"/>
          <w:color w:val="auto"/>
          <w:kern w:val="2"/>
          <w:sz w:val="24"/>
          <w:szCs w:val="24"/>
          <w:highlight w:val="none"/>
          <w:lang w:val="fr-CH" w:eastAsia="zh-CN" w:bidi="ar-SA"/>
        </w:rPr>
        <w:t>（</w:t>
      </w:r>
      <w:r>
        <w:rPr>
          <w:rFonts w:hint="eastAsia" w:ascii="宋体" w:hAnsi="宋体" w:cs="宋体"/>
          <w:i w:val="0"/>
          <w:iCs w:val="0"/>
          <w:color w:val="auto"/>
          <w:kern w:val="2"/>
          <w:sz w:val="24"/>
          <w:szCs w:val="24"/>
          <w:highlight w:val="none"/>
          <w:lang w:val="en-US" w:eastAsia="zh-CN" w:bidi="ar-SA"/>
        </w:rPr>
        <w:t>11</w:t>
      </w:r>
      <w:r>
        <w:rPr>
          <w:rFonts w:hint="eastAsia" w:ascii="宋体" w:hAnsi="宋体" w:cs="宋体"/>
          <w:i w:val="0"/>
          <w:iCs w:val="0"/>
          <w:color w:val="auto"/>
          <w:kern w:val="2"/>
          <w:sz w:val="24"/>
          <w:szCs w:val="24"/>
          <w:highlight w:val="none"/>
          <w:lang w:val="fr-CH" w:eastAsia="zh-CN" w:bidi="ar-SA"/>
        </w:rPr>
        <w:t>）同类项目业绩</w:t>
      </w:r>
      <w:r>
        <w:rPr>
          <w:rFonts w:hint="eastAsia" w:ascii="宋体" w:hAnsi="宋体" w:eastAsia="宋体" w:cs="宋体"/>
          <w:color w:val="auto"/>
          <w:kern w:val="2"/>
          <w:sz w:val="24"/>
          <w:szCs w:val="24"/>
          <w:highlight w:val="none"/>
          <w:lang w:val="en-US" w:eastAsia="zh-CN" w:bidi="ar-SA"/>
        </w:rPr>
        <w:t>；</w:t>
      </w:r>
    </w:p>
    <w:p>
      <w:pPr>
        <w:numPr>
          <w:ilvl w:val="0"/>
          <w:numId w:val="0"/>
        </w:numPr>
        <w:tabs>
          <w:tab w:val="left" w:pos="640"/>
          <w:tab w:val="left" w:pos="1260"/>
          <w:tab w:val="left" w:pos="1418"/>
        </w:tabs>
        <w:spacing w:line="36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fr-CH" w:eastAsia="zh-CN" w:bidi="ar-SA"/>
        </w:rPr>
        <w:t>（</w:t>
      </w:r>
      <w:r>
        <w:rPr>
          <w:rFonts w:hint="eastAsia" w:ascii="宋体" w:hAnsi="宋体" w:cs="宋体"/>
          <w:i w:val="0"/>
          <w:iCs w:val="0"/>
          <w:color w:val="auto"/>
          <w:kern w:val="2"/>
          <w:sz w:val="24"/>
          <w:szCs w:val="24"/>
          <w:highlight w:val="none"/>
          <w:lang w:val="en-US" w:eastAsia="zh-CN" w:bidi="ar-SA"/>
        </w:rPr>
        <w:t>12</w:t>
      </w:r>
      <w:r>
        <w:rPr>
          <w:rFonts w:hint="eastAsia" w:ascii="宋体" w:hAnsi="宋体" w:cs="宋体"/>
          <w:i w:val="0"/>
          <w:iCs w:val="0"/>
          <w:color w:val="auto"/>
          <w:kern w:val="2"/>
          <w:sz w:val="24"/>
          <w:szCs w:val="24"/>
          <w:highlight w:val="none"/>
          <w:lang w:val="fr-CH" w:eastAsia="zh-CN" w:bidi="ar-SA"/>
        </w:rPr>
        <w:t>）投标人获奖情况</w:t>
      </w:r>
      <w:r>
        <w:rPr>
          <w:rFonts w:hint="eastAsia" w:ascii="宋体" w:hAnsi="宋体" w:eastAsia="宋体" w:cs="宋体"/>
          <w:color w:val="auto"/>
          <w:kern w:val="2"/>
          <w:sz w:val="24"/>
          <w:szCs w:val="24"/>
          <w:highlight w:val="none"/>
          <w:lang w:val="en-US" w:eastAsia="zh-CN" w:bidi="ar-SA"/>
        </w:rPr>
        <w:t>；</w:t>
      </w:r>
    </w:p>
    <w:p>
      <w:pPr>
        <w:tabs>
          <w:tab w:val="left" w:pos="640"/>
          <w:tab w:val="left" w:pos="1260"/>
          <w:tab w:val="left" w:pos="1418"/>
        </w:tabs>
        <w:jc w:val="center"/>
        <w:rPr>
          <w:rFonts w:hint="eastAsia" w:ascii="宋体" w:hAnsi="宋体" w:cs="宋体"/>
          <w:b/>
          <w:bCs/>
          <w:color w:val="auto"/>
          <w:szCs w:val="21"/>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0"/>
        </w:numPr>
        <w:tabs>
          <w:tab w:val="left" w:pos="640"/>
          <w:tab w:val="left" w:pos="840"/>
          <w:tab w:val="left" w:pos="1260"/>
          <w:tab w:val="left" w:pos="1418"/>
        </w:tabs>
        <w:spacing w:line="360" w:lineRule="auto"/>
        <w:ind w:leftChars="0"/>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eastAsia="zh-CN"/>
        </w:rPr>
        <w:t>（</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val="fr-CH" w:eastAsia="zh-CN"/>
        </w:rPr>
        <w:t>）</w:t>
      </w:r>
      <w:r>
        <w:rPr>
          <w:rFonts w:hint="eastAsia" w:ascii="宋体" w:hAnsi="宋体" w:cs="宋体"/>
          <w:b/>
          <w:bCs/>
          <w:color w:val="auto"/>
          <w:sz w:val="24"/>
          <w:highlight w:val="none"/>
          <w:lang w:val="fr-CH"/>
        </w:rPr>
        <w:t>诚信</w:t>
      </w:r>
      <w:r>
        <w:rPr>
          <w:rFonts w:hint="eastAsia" w:ascii="宋体" w:hAnsi="宋体" w:cs="宋体"/>
          <w:b/>
          <w:bCs/>
          <w:color w:val="auto"/>
          <w:sz w:val="24"/>
          <w:highlight w:val="none"/>
        </w:rPr>
        <w:t>声明与承诺</w:t>
      </w:r>
      <w:r>
        <w:rPr>
          <w:rFonts w:hint="eastAsia" w:ascii="宋体" w:hAnsi="宋体" w:cs="宋体"/>
          <w:b/>
          <w:bCs/>
          <w:color w:val="auto"/>
          <w:sz w:val="24"/>
          <w:highlight w:val="none"/>
          <w:lang w:val="fr-CH"/>
        </w:rPr>
        <w:t>；</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诚信声明与承诺</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中国远东国际招标有限公司：</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rPr>
        <w:t>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hint="eastAsia" w:ascii="宋体" w:hAnsi="宋体" w:cs="宋体"/>
          <w:color w:val="auto"/>
          <w:sz w:val="24"/>
          <w:highlight w:val="none"/>
        </w:rPr>
      </w:pPr>
    </w:p>
    <w:p>
      <w:pPr>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10"/>
        <w:spacing w:line="360" w:lineRule="auto"/>
        <w:jc w:val="left"/>
        <w:rPr>
          <w:rFonts w:hint="eastAsia" w:hAnsi="宋体" w:cs="宋体"/>
          <w:color w:val="auto"/>
          <w:sz w:val="24"/>
          <w:highlight w:val="none"/>
        </w:rPr>
      </w:pPr>
    </w:p>
    <w:p>
      <w:pPr>
        <w:pStyle w:val="10"/>
        <w:spacing w:line="360" w:lineRule="auto"/>
        <w:jc w:val="left"/>
        <w:rPr>
          <w:rFonts w:hint="eastAsia" w:hAnsi="宋体" w:cs="宋体"/>
          <w:color w:val="auto"/>
          <w:sz w:val="24"/>
          <w:highlight w:val="none"/>
        </w:rPr>
      </w:pPr>
    </w:p>
    <w:p>
      <w:pPr>
        <w:spacing w:before="100" w:beforeAutospacing="1" w:after="100" w:afterAutospacing="1"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3"/>
        <w:rPr>
          <w:rFonts w:hint="eastAsia"/>
          <w:color w:val="auto"/>
          <w:highlight w:val="none"/>
          <w:lang w:val="fr-CH"/>
        </w:rPr>
      </w:pPr>
    </w:p>
    <w:p>
      <w:pPr>
        <w:numPr>
          <w:ilvl w:val="0"/>
          <w:numId w:val="0"/>
        </w:numPr>
        <w:tabs>
          <w:tab w:val="left" w:pos="640"/>
          <w:tab w:val="left" w:pos="840"/>
          <w:tab w:val="left" w:pos="1260"/>
          <w:tab w:val="left" w:pos="1418"/>
        </w:tabs>
        <w:spacing w:line="360" w:lineRule="auto"/>
        <w:ind w:leftChars="0"/>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color w:val="auto"/>
          <w:sz w:val="24"/>
          <w:highlight w:val="none"/>
        </w:rPr>
      </w:pPr>
    </w:p>
    <w:p>
      <w:pPr>
        <w:spacing w:line="360" w:lineRule="auto"/>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0"/>
        </w:numPr>
        <w:tabs>
          <w:tab w:val="left" w:pos="640"/>
          <w:tab w:val="left" w:pos="1260"/>
          <w:tab w:val="left" w:pos="1418"/>
        </w:tabs>
        <w:spacing w:line="360" w:lineRule="auto"/>
        <w:ind w:leftChars="0" w:right="-420" w:rightChars="-200"/>
        <w:rPr>
          <w:rFonts w:hint="eastAsia" w:ascii="宋体" w:hAnsi="宋体" w:cs="宋体"/>
          <w:color w:val="auto"/>
          <w:sz w:val="24"/>
          <w:highlight w:val="none"/>
          <w:lang w:val="fr-CH"/>
        </w:rPr>
      </w:pP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fr-CH"/>
        </w:rPr>
        <w:t>用户需求响应表；</w:t>
      </w:r>
    </w:p>
    <w:p>
      <w:pPr>
        <w:spacing w:after="78"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507"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3507" w:type="dxa"/>
            <w:noWrap w:val="0"/>
            <w:vAlign w:val="center"/>
          </w:tcPr>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noWrap w:val="0"/>
            <w:vAlign w:val="center"/>
          </w:tcPr>
          <w:p>
            <w:pPr>
              <w:spacing w:line="360" w:lineRule="auto"/>
              <w:jc w:val="center"/>
              <w:rPr>
                <w:rFonts w:hint="eastAsia" w:ascii="宋体" w:hAnsi="宋体" w:cs="宋体"/>
                <w:bCs/>
                <w:color w:val="auto"/>
                <w:sz w:val="24"/>
                <w:highlight w:val="none"/>
              </w:rPr>
            </w:pPr>
          </w:p>
        </w:tc>
      </w:tr>
    </w:tbl>
    <w:p>
      <w:pPr>
        <w:spacing w:after="78" w:line="360" w:lineRule="auto"/>
        <w:rPr>
          <w:rFonts w:hint="eastAsia" w:ascii="宋体" w:hAnsi="宋体" w:cs="宋体"/>
          <w:bCs/>
          <w:color w:val="auto"/>
          <w:sz w:val="24"/>
          <w:highlight w:val="none"/>
        </w:rPr>
      </w:pP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3"/>
        <w:spacing w:line="360" w:lineRule="auto"/>
        <w:rPr>
          <w:rFonts w:hint="eastAsia"/>
          <w:color w:val="auto"/>
          <w:highlight w:val="none"/>
          <w:lang w:val="fr-CH"/>
        </w:rPr>
      </w:pPr>
    </w:p>
    <w:p>
      <w:pPr>
        <w:spacing w:line="360" w:lineRule="auto"/>
        <w:rPr>
          <w:rFonts w:hint="eastAsia" w:ascii="宋体" w:hAnsi="宋体" w:cs="宋体"/>
          <w:color w:val="auto"/>
          <w:sz w:val="24"/>
          <w:highlight w:val="none"/>
          <w:lang w:val="sq-AL" w:eastAsia="zh-CN"/>
        </w:rPr>
      </w:pPr>
      <w:r>
        <w:rPr>
          <w:rFonts w:hint="eastAsia" w:ascii="宋体" w:hAnsi="宋体" w:cs="宋体"/>
          <w:color w:val="auto"/>
          <w:sz w:val="24"/>
          <w:highlight w:val="none"/>
          <w:lang w:val="sq-AL"/>
        </w:rPr>
        <w:br w:type="page"/>
      </w:r>
      <w:r>
        <w:rPr>
          <w:rFonts w:hint="eastAsia" w:ascii="宋体" w:hAnsi="宋体" w:cs="宋体"/>
          <w:color w:val="auto"/>
          <w:sz w:val="24"/>
          <w:highlight w:val="none"/>
          <w:lang w:val="sq-AL"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sq-AL" w:eastAsia="zh-CN"/>
        </w:rPr>
        <w:t>）项目实施方案</w:t>
      </w:r>
      <w:r>
        <w:rPr>
          <w:rFonts w:hint="eastAsia" w:ascii="宋体" w:hAnsi="宋体" w:eastAsia="宋体" w:cs="宋体"/>
          <w:color w:val="auto"/>
          <w:sz w:val="24"/>
          <w:highlight w:val="none"/>
          <w:lang w:val="sq-AL"/>
        </w:rPr>
        <w:t>；</w:t>
      </w:r>
    </w:p>
    <w:p>
      <w:pPr>
        <w:spacing w:line="360" w:lineRule="auto"/>
        <w:rPr>
          <w:rFonts w:hint="eastAsia" w:ascii="宋体" w:hAnsi="宋体" w:cs="宋体"/>
          <w:color w:val="auto"/>
          <w:sz w:val="24"/>
          <w:highlight w:val="none"/>
          <w:lang w:val="sq-AL" w:eastAsia="zh-CN"/>
        </w:rPr>
      </w:pPr>
      <w:r>
        <w:rPr>
          <w:rFonts w:hint="eastAsia" w:ascii="宋体" w:hAnsi="宋体" w:cs="宋体"/>
          <w:color w:val="auto"/>
          <w:sz w:val="24"/>
          <w:highlight w:val="none"/>
          <w:lang w:val="sq-AL"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sq-AL" w:eastAsia="zh-CN"/>
        </w:rPr>
        <w:t>）质量保障措施及方案</w:t>
      </w:r>
      <w:r>
        <w:rPr>
          <w:rFonts w:hint="eastAsia" w:ascii="宋体" w:hAnsi="宋体" w:eastAsia="宋体" w:cs="宋体"/>
          <w:color w:val="auto"/>
          <w:sz w:val="24"/>
          <w:highlight w:val="none"/>
          <w:lang w:val="sq-AL"/>
        </w:rPr>
        <w:t>；</w:t>
      </w:r>
    </w:p>
    <w:p>
      <w:pPr>
        <w:spacing w:line="360" w:lineRule="auto"/>
        <w:rPr>
          <w:rFonts w:hint="eastAsia" w:ascii="宋体" w:hAnsi="宋体" w:cs="宋体"/>
          <w:color w:val="auto"/>
          <w:sz w:val="24"/>
          <w:highlight w:val="none"/>
          <w:lang w:val="sq-AL" w:eastAsia="zh-CN"/>
        </w:rPr>
      </w:pPr>
      <w:r>
        <w:rPr>
          <w:rFonts w:hint="eastAsia" w:ascii="宋体" w:hAnsi="宋体" w:cs="宋体"/>
          <w:color w:val="auto"/>
          <w:sz w:val="24"/>
          <w:highlight w:val="none"/>
          <w:lang w:val="sq-AL"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sq-AL" w:eastAsia="zh-CN"/>
        </w:rPr>
        <w:t>）项目重难点分析及相关的合理化建议</w:t>
      </w:r>
      <w:r>
        <w:rPr>
          <w:rFonts w:hint="eastAsia" w:ascii="宋体" w:hAnsi="宋体" w:eastAsia="宋体" w:cs="宋体"/>
          <w:color w:val="auto"/>
          <w:sz w:val="24"/>
          <w:highlight w:val="none"/>
          <w:lang w:val="sq-AL"/>
        </w:rPr>
        <w:t>；</w:t>
      </w:r>
    </w:p>
    <w:p>
      <w:pPr>
        <w:spacing w:line="360" w:lineRule="auto"/>
        <w:rPr>
          <w:rFonts w:hint="eastAsia" w:ascii="宋体" w:hAnsi="宋体" w:cs="宋体"/>
          <w:color w:val="auto"/>
          <w:sz w:val="24"/>
          <w:highlight w:val="none"/>
          <w:lang w:val="sq-AL" w:eastAsia="zh-CN"/>
        </w:rPr>
      </w:pPr>
      <w:r>
        <w:rPr>
          <w:rFonts w:hint="eastAsia" w:ascii="宋体" w:hAnsi="宋体" w:cs="宋体"/>
          <w:color w:val="auto"/>
          <w:sz w:val="24"/>
          <w:highlight w:val="none"/>
          <w:lang w:val="sq-AL"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sq-AL" w:eastAsia="zh-CN"/>
        </w:rPr>
        <w:t>）项目完成（服务期满）后的服务承诺</w:t>
      </w:r>
      <w:r>
        <w:rPr>
          <w:rFonts w:hint="eastAsia" w:ascii="宋体" w:hAnsi="宋体" w:eastAsia="宋体" w:cs="宋体"/>
          <w:color w:val="auto"/>
          <w:sz w:val="24"/>
          <w:highlight w:val="none"/>
          <w:lang w:val="sq-AL"/>
        </w:rPr>
        <w:t>；</w:t>
      </w:r>
    </w:p>
    <w:p>
      <w:pPr>
        <w:spacing w:line="360" w:lineRule="auto"/>
        <w:rPr>
          <w:rFonts w:hint="eastAsia" w:ascii="宋体" w:hAnsi="宋体" w:eastAsia="宋体" w:cs="宋体"/>
          <w:color w:val="auto"/>
          <w:sz w:val="24"/>
          <w:highlight w:val="none"/>
          <w:lang w:val="sq-AL"/>
        </w:rPr>
      </w:pPr>
      <w:r>
        <w:rPr>
          <w:rFonts w:hint="eastAsia" w:ascii="宋体" w:hAnsi="宋体" w:cs="宋体"/>
          <w:color w:val="auto"/>
          <w:sz w:val="24"/>
          <w:highlight w:val="none"/>
          <w:lang w:val="sq-AL"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sq-AL" w:eastAsia="zh-CN"/>
        </w:rPr>
        <w:t>）违约承诺</w:t>
      </w:r>
      <w:r>
        <w:rPr>
          <w:rFonts w:hint="eastAsia" w:ascii="宋体" w:hAnsi="宋体" w:eastAsia="宋体" w:cs="宋体"/>
          <w:color w:val="auto"/>
          <w:sz w:val="24"/>
          <w:highlight w:val="none"/>
          <w:lang w:val="sq-AL"/>
        </w:rPr>
        <w:t>；</w:t>
      </w: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0"/>
        </w:numPr>
        <w:tabs>
          <w:tab w:val="left" w:pos="640"/>
          <w:tab w:val="left" w:pos="1260"/>
          <w:tab w:val="left" w:pos="1418"/>
        </w:tabs>
        <w:spacing w:line="360" w:lineRule="auto"/>
        <w:ind w:leftChars="0" w:right="-420" w:rightChars="-200"/>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sq-AL"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sq-AL" w:eastAsia="zh-CN"/>
        </w:rPr>
        <w:t>）</w:t>
      </w:r>
      <w:r>
        <w:rPr>
          <w:rFonts w:hint="eastAsia" w:ascii="宋体" w:hAnsi="宋体" w:cs="宋体"/>
          <w:color w:val="auto"/>
          <w:sz w:val="24"/>
          <w:highlight w:val="none"/>
          <w:lang w:val="fr-CH"/>
        </w:rPr>
        <w:t>投标人认为有必要提供的其他材料。</w:t>
      </w:r>
      <w:bookmarkEnd w:id="19"/>
      <w:r>
        <w:rPr>
          <w:rFonts w:hint="eastAsia" w:ascii="宋体" w:hAnsi="宋体" w:cs="宋体"/>
          <w:color w:val="auto"/>
          <w:sz w:val="24"/>
          <w:highlight w:val="none"/>
          <w:lang w:val="fr-CH"/>
        </w:rPr>
        <w:t>（投标人可根据实际情况按照附件的格式提供中小微企业声明函）</w:t>
      </w:r>
    </w:p>
    <w:p>
      <w:pPr>
        <w:tabs>
          <w:tab w:val="left" w:pos="360"/>
        </w:tabs>
        <w:spacing w:line="300" w:lineRule="auto"/>
        <w:outlineLvl w:val="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lang w:val="fr-CH"/>
        </w:rPr>
        <w:br w:type="page"/>
      </w:r>
      <w:bookmarkStart w:id="25" w:name="_Toc6251"/>
      <w:bookmarkStart w:id="26" w:name="_Toc742"/>
      <w:r>
        <w:rPr>
          <w:rFonts w:hint="eastAsia" w:ascii="宋体" w:hAnsi="宋体" w:cs="宋体"/>
          <w:b/>
          <w:bCs/>
          <w:color w:val="auto"/>
          <w:sz w:val="24"/>
          <w:highlight w:val="none"/>
        </w:rPr>
        <w:t>附件：相关政策</w:t>
      </w:r>
      <w:bookmarkEnd w:id="25"/>
      <w:bookmarkEnd w:id="26"/>
    </w:p>
    <w:p>
      <w:pPr>
        <w:tabs>
          <w:tab w:val="left" w:pos="360"/>
        </w:tabs>
        <w:outlineLvl w:val="1"/>
        <w:rPr>
          <w:rFonts w:hint="eastAsia"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3"/>
        <w:tabs>
          <w:tab w:val="left" w:pos="562"/>
          <w:tab w:val="left" w:pos="3372"/>
          <w:tab w:val="left" w:pos="3653"/>
        </w:tabs>
        <w:rPr>
          <w:rFonts w:hint="eastAsia" w:ascii="宋体" w:hAnsi="宋体" w:cs="宋体"/>
          <w:color w:val="auto"/>
          <w:highlight w:val="none"/>
        </w:rPr>
      </w:pPr>
    </w:p>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hint="eastAsia" w:ascii="宋体" w:hAnsi="宋体" w:cs="宋体"/>
          <w:color w:val="auto"/>
          <w:kern w:val="0"/>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（四）框架协议采购项目；</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3"/>
        <w:tabs>
          <w:tab w:val="left" w:pos="562"/>
          <w:tab w:val="left" w:pos="3372"/>
          <w:tab w:val="left" w:pos="3653"/>
        </w:tabs>
        <w:spacing w:before="5"/>
        <w:rPr>
          <w:rFonts w:hint="eastAsia" w:ascii="宋体" w:hAnsi="宋体" w:cs="宋体"/>
          <w:color w:val="auto"/>
          <w:highlight w:val="none"/>
        </w:rPr>
      </w:pP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附：1.中小企业声明函</w:t>
      </w:r>
    </w:p>
    <w:p>
      <w:pPr>
        <w:pStyle w:val="3"/>
        <w:tabs>
          <w:tab w:val="left" w:pos="562"/>
          <w:tab w:val="left" w:pos="3372"/>
          <w:tab w:val="left" w:pos="3653"/>
        </w:tabs>
        <w:ind w:firstLine="960" w:firstLineChars="400"/>
        <w:rPr>
          <w:rFonts w:hint="eastAsia"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3"/>
        <w:tabs>
          <w:tab w:val="left" w:pos="562"/>
          <w:tab w:val="left" w:pos="3372"/>
          <w:tab w:val="left" w:pos="3653"/>
        </w:tabs>
        <w:spacing w:before="30"/>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t>中小企业声明函（货物）</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3"/>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hint="eastAsia" w:ascii="宋体" w:hAnsi="宋体" w:cs="宋体"/>
          <w:color w:val="auto"/>
          <w:highlight w:val="none"/>
        </w:rPr>
      </w:pPr>
      <w:r>
        <w:rPr>
          <w:rFonts w:hint="eastAsia" w:ascii="宋体" w:hAnsi="宋体" w:cs="宋体"/>
          <w:color w:val="auto"/>
          <w:spacing w:val="-2"/>
          <w:highlight w:val="none"/>
        </w:rPr>
        <w:t>企业名称（盖章）日期：</w:t>
      </w:r>
    </w:p>
    <w:p>
      <w:pPr>
        <w:pStyle w:val="3"/>
        <w:tabs>
          <w:tab w:val="left" w:pos="562"/>
          <w:tab w:val="left" w:pos="3372"/>
          <w:tab w:val="left" w:pos="3653"/>
        </w:tabs>
        <w:jc w:val="center"/>
        <w:rPr>
          <w:rFonts w:hint="eastAsia"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3"/>
        <w:tabs>
          <w:tab w:val="left" w:pos="562"/>
          <w:tab w:val="left" w:pos="3372"/>
          <w:tab w:val="left" w:pos="3653"/>
        </w:tabs>
        <w:ind w:firstLine="472" w:firstLineChars="200"/>
        <w:rPr>
          <w:rFonts w:hint="eastAsia" w:ascii="宋体" w:hAnsi="宋体" w:cs="宋体"/>
          <w:color w:val="auto"/>
          <w:spacing w:val="-2"/>
          <w:highlight w:val="none"/>
        </w:rPr>
      </w:pPr>
    </w:p>
    <w:p>
      <w:pPr>
        <w:pStyle w:val="3"/>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注意事项：</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1.从业人员、营业收入、资产总额填报上一年度数据，无上一年度数据的新成立企业可不填报。</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3.事业单位、社会组织等非企业主体不享受中小企业扶持政策，但事业单位、社会组织等非企业主体提供全部由中小企业制造的货物参加货物采购项目的除外。</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4.相关承接/承建企业的所属行业应当与采购标的所属行业（采购文件中明确的行业）相一致。</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hint="eastAsia" w:ascii="宋体" w:hAnsi="宋体" w:cs="宋体"/>
          <w:color w:val="auto"/>
          <w:spacing w:val="-2"/>
          <w:highlight w:val="none"/>
        </w:rPr>
      </w:pPr>
    </w:p>
    <w:p>
      <w:pPr>
        <w:pStyle w:val="3"/>
        <w:tabs>
          <w:tab w:val="left" w:pos="562"/>
          <w:tab w:val="left" w:pos="3372"/>
          <w:tab w:val="left" w:pos="3653"/>
        </w:tabs>
        <w:ind w:left="4200" w:leftChars="2000"/>
        <w:rPr>
          <w:rFonts w:hint="eastAsia" w:ascii="宋体" w:hAnsi="宋体" w:cs="宋体"/>
          <w:color w:val="auto"/>
          <w:spacing w:val="-2"/>
          <w:highlight w:val="none"/>
        </w:rPr>
      </w:pPr>
      <w:r>
        <w:rPr>
          <w:rFonts w:hint="eastAsia" w:ascii="宋体" w:hAnsi="宋体" w:cs="宋体"/>
          <w:color w:val="auto"/>
          <w:spacing w:val="-2"/>
          <w:highlight w:val="none"/>
        </w:rPr>
        <w:t>企业名称（盖章）日期：</w:t>
      </w:r>
    </w:p>
    <w:p>
      <w:pPr>
        <w:pStyle w:val="3"/>
        <w:tabs>
          <w:tab w:val="left" w:pos="562"/>
          <w:tab w:val="left" w:pos="3372"/>
          <w:tab w:val="left" w:pos="3653"/>
        </w:tabs>
        <w:spacing w:before="30"/>
        <w:rPr>
          <w:rFonts w:hint="eastAsia"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jc w:val="center"/>
        <w:rPr>
          <w:rFonts w:hint="eastAsia"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3"/>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3"/>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3"/>
        <w:tabs>
          <w:tab w:val="left" w:pos="562"/>
          <w:tab w:val="left" w:pos="3372"/>
          <w:tab w:val="left" w:pos="3653"/>
        </w:tabs>
        <w:jc w:val="center"/>
        <w:rPr>
          <w:rFonts w:hint="eastAsia" w:ascii="宋体" w:hAnsi="宋体" w:cs="宋体"/>
          <w:b/>
          <w:bCs/>
          <w:color w:val="auto"/>
          <w:highlight w:val="none"/>
        </w:rPr>
      </w:pPr>
      <w:r>
        <w:rPr>
          <w:rFonts w:hint="eastAsia" w:ascii="宋体" w:hAnsi="宋体" w:cs="宋体"/>
          <w:b/>
          <w:bCs/>
          <w:color w:val="auto"/>
          <w:highlight w:val="none"/>
        </w:rPr>
        <w:t>面向中小企业预留项目明细</w:t>
      </w:r>
    </w:p>
    <w:tbl>
      <w:tblPr>
        <w:tblStyle w:val="18"/>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7"/>
              <w:jc w:val="center"/>
              <w:rPr>
                <w:rFonts w:hint="eastAsia"/>
                <w:b/>
                <w:color w:val="auto"/>
                <w:sz w:val="24"/>
                <w:szCs w:val="24"/>
                <w:highlight w:val="none"/>
              </w:rPr>
            </w:pPr>
            <w:r>
              <w:rPr>
                <w:rFonts w:hint="eastAsia"/>
                <w:b/>
                <w:color w:val="auto"/>
                <w:sz w:val="24"/>
                <w:szCs w:val="24"/>
                <w:highlight w:val="none"/>
              </w:rPr>
              <w:t>序号</w:t>
            </w:r>
          </w:p>
        </w:tc>
        <w:tc>
          <w:tcPr>
            <w:tcW w:w="1866" w:type="dxa"/>
            <w:noWrap w:val="0"/>
            <w:vAlign w:val="center"/>
          </w:tcPr>
          <w:p>
            <w:pPr>
              <w:pStyle w:val="27"/>
              <w:jc w:val="center"/>
              <w:rPr>
                <w:rFonts w:hint="eastAsia"/>
                <w:b/>
                <w:color w:val="auto"/>
                <w:sz w:val="24"/>
                <w:szCs w:val="24"/>
                <w:highlight w:val="none"/>
              </w:rPr>
            </w:pPr>
            <w:r>
              <w:rPr>
                <w:rFonts w:hint="eastAsia"/>
                <w:b/>
                <w:color w:val="auto"/>
                <w:sz w:val="24"/>
                <w:szCs w:val="24"/>
                <w:highlight w:val="none"/>
              </w:rPr>
              <w:t>项目名称</w:t>
            </w:r>
          </w:p>
        </w:tc>
        <w:tc>
          <w:tcPr>
            <w:tcW w:w="2010" w:type="dxa"/>
            <w:noWrap w:val="0"/>
            <w:vAlign w:val="center"/>
          </w:tcPr>
          <w:p>
            <w:pPr>
              <w:pStyle w:val="27"/>
              <w:jc w:val="center"/>
              <w:rPr>
                <w:rFonts w:hint="eastAsia"/>
                <w:b/>
                <w:color w:val="auto"/>
                <w:sz w:val="24"/>
                <w:szCs w:val="24"/>
                <w:highlight w:val="none"/>
              </w:rPr>
            </w:pPr>
            <w:r>
              <w:rPr>
                <w:rFonts w:hint="eastAsia"/>
                <w:b/>
                <w:color w:val="auto"/>
                <w:sz w:val="24"/>
                <w:szCs w:val="24"/>
                <w:highlight w:val="none"/>
              </w:rPr>
              <w:t>预留选项</w:t>
            </w:r>
          </w:p>
        </w:tc>
        <w:tc>
          <w:tcPr>
            <w:tcW w:w="2296" w:type="dxa"/>
            <w:noWrap w:val="0"/>
            <w:vAlign w:val="center"/>
          </w:tcPr>
          <w:p>
            <w:pPr>
              <w:pStyle w:val="27"/>
              <w:jc w:val="center"/>
              <w:rPr>
                <w:rFonts w:hint="eastAsia"/>
                <w:b/>
                <w:color w:val="auto"/>
                <w:sz w:val="24"/>
                <w:szCs w:val="24"/>
                <w:highlight w:val="none"/>
              </w:rPr>
            </w:pPr>
            <w:r>
              <w:rPr>
                <w:rFonts w:hint="eastAsia"/>
                <w:b/>
                <w:color w:val="auto"/>
                <w:sz w:val="24"/>
                <w:szCs w:val="24"/>
                <w:highlight w:val="none"/>
              </w:rPr>
              <w:t>面向中小企业采购金额</w:t>
            </w:r>
          </w:p>
        </w:tc>
        <w:tc>
          <w:tcPr>
            <w:tcW w:w="1784" w:type="dxa"/>
            <w:noWrap w:val="0"/>
            <w:vAlign w:val="center"/>
          </w:tcPr>
          <w:p>
            <w:pPr>
              <w:pStyle w:val="27"/>
              <w:jc w:val="center"/>
              <w:rPr>
                <w:rFonts w:hint="eastAsia"/>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7"/>
              <w:jc w:val="center"/>
              <w:rPr>
                <w:rFonts w:hint="eastAsia"/>
                <w:color w:val="auto"/>
                <w:sz w:val="24"/>
                <w:szCs w:val="24"/>
                <w:highlight w:val="none"/>
              </w:rPr>
            </w:pPr>
          </w:p>
        </w:tc>
        <w:tc>
          <w:tcPr>
            <w:tcW w:w="1866" w:type="dxa"/>
            <w:tcBorders>
              <w:bottom w:val="nil"/>
            </w:tcBorders>
            <w:noWrap w:val="0"/>
            <w:vAlign w:val="center"/>
          </w:tcPr>
          <w:p>
            <w:pPr>
              <w:pStyle w:val="27"/>
              <w:jc w:val="center"/>
              <w:rPr>
                <w:rFonts w:hint="eastAsia"/>
                <w:color w:val="auto"/>
                <w:sz w:val="24"/>
                <w:szCs w:val="24"/>
                <w:highlight w:val="none"/>
              </w:rPr>
            </w:pPr>
          </w:p>
        </w:tc>
        <w:tc>
          <w:tcPr>
            <w:tcW w:w="2010" w:type="dxa"/>
            <w:tcBorders>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（填写“采购项</w:t>
            </w:r>
          </w:p>
        </w:tc>
        <w:tc>
          <w:tcPr>
            <w:tcW w:w="2296" w:type="dxa"/>
            <w:tcBorders>
              <w:bottom w:val="nil"/>
            </w:tcBorders>
            <w:noWrap w:val="0"/>
            <w:vAlign w:val="center"/>
          </w:tcPr>
          <w:p>
            <w:pPr>
              <w:pStyle w:val="27"/>
              <w:jc w:val="center"/>
              <w:rPr>
                <w:rFonts w:hint="eastAsia"/>
                <w:color w:val="auto"/>
                <w:sz w:val="24"/>
                <w:szCs w:val="24"/>
                <w:highlight w:val="none"/>
              </w:rPr>
            </w:pPr>
          </w:p>
        </w:tc>
        <w:tc>
          <w:tcPr>
            <w:tcW w:w="1784" w:type="dxa"/>
            <w:vMerge w:val="restart"/>
            <w:noWrap w:val="0"/>
            <w:vAlign w:val="center"/>
          </w:tcPr>
          <w:p>
            <w:pPr>
              <w:pStyle w:val="27"/>
              <w:jc w:val="center"/>
              <w:rPr>
                <w:rFonts w:hint="eastAsia"/>
                <w:color w:val="auto"/>
                <w:sz w:val="24"/>
                <w:szCs w:val="24"/>
                <w:highlight w:val="none"/>
              </w:rPr>
            </w:pPr>
          </w:p>
          <w:p>
            <w:pPr>
              <w:pStyle w:val="27"/>
              <w:jc w:val="center"/>
              <w:rPr>
                <w:rFonts w:hint="eastAsia"/>
                <w:color w:val="auto"/>
                <w:sz w:val="24"/>
                <w:szCs w:val="24"/>
                <w:highlight w:val="none"/>
              </w:rPr>
            </w:pPr>
          </w:p>
          <w:p>
            <w:pPr>
              <w:pStyle w:val="27"/>
              <w:jc w:val="center"/>
              <w:rPr>
                <w:rFonts w:hint="eastAsia"/>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目整体预留”、</w:t>
            </w:r>
          </w:p>
        </w:tc>
        <w:tc>
          <w:tcPr>
            <w:tcW w:w="2296" w:type="dxa"/>
            <w:tcBorders>
              <w:top w:val="nil"/>
              <w:bottom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（填写集中采</w:t>
            </w: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包”、“要求以</w:t>
            </w:r>
          </w:p>
        </w:tc>
        <w:tc>
          <w:tcPr>
            <w:tcW w:w="2296" w:type="dxa"/>
            <w:tcBorders>
              <w:top w:val="nil"/>
              <w:bottom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加”或者“要求</w:t>
            </w:r>
          </w:p>
        </w:tc>
        <w:tc>
          <w:tcPr>
            <w:tcW w:w="2296" w:type="dxa"/>
            <w:tcBorders>
              <w:top w:val="nil"/>
              <w:bottom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合同分包”，除</w:t>
            </w:r>
          </w:p>
        </w:tc>
        <w:tc>
          <w:tcPr>
            <w:tcW w:w="2296" w:type="dxa"/>
            <w:tcBorders>
              <w:top w:val="nil"/>
              <w:bottom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预留”外，还应</w:t>
            </w:r>
          </w:p>
        </w:tc>
        <w:tc>
          <w:tcPr>
            <w:tcW w:w="2296" w:type="dxa"/>
            <w:tcBorders>
              <w:top w:val="nil"/>
              <w:bottom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7"/>
              <w:jc w:val="center"/>
              <w:rPr>
                <w:rFonts w:hint="eastAsia"/>
                <w:color w:val="auto"/>
                <w:sz w:val="24"/>
                <w:szCs w:val="24"/>
                <w:highlight w:val="none"/>
              </w:rPr>
            </w:pPr>
          </w:p>
        </w:tc>
        <w:tc>
          <w:tcPr>
            <w:tcW w:w="2010" w:type="dxa"/>
            <w:tcBorders>
              <w:top w:val="nil"/>
              <w:bottom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tcBorders>
            <w:noWrap w:val="0"/>
            <w:vAlign w:val="center"/>
          </w:tcPr>
          <w:p>
            <w:pPr>
              <w:pStyle w:val="27"/>
              <w:jc w:val="center"/>
              <w:rPr>
                <w:rFonts w:hint="eastAsia"/>
                <w:color w:val="auto"/>
                <w:sz w:val="24"/>
                <w:szCs w:val="24"/>
                <w:highlight w:val="none"/>
              </w:rPr>
            </w:pPr>
          </w:p>
        </w:tc>
        <w:tc>
          <w:tcPr>
            <w:tcW w:w="2010" w:type="dxa"/>
            <w:tcBorders>
              <w:top w:val="nil"/>
            </w:tcBorders>
            <w:noWrap w:val="0"/>
            <w:vAlign w:val="center"/>
          </w:tcPr>
          <w:p>
            <w:pPr>
              <w:pStyle w:val="27"/>
              <w:jc w:val="center"/>
              <w:rPr>
                <w:rFonts w:hint="eastAsia"/>
                <w:color w:val="auto"/>
                <w:sz w:val="24"/>
                <w:szCs w:val="24"/>
                <w:highlight w:val="none"/>
              </w:rPr>
            </w:pPr>
            <w:r>
              <w:rPr>
                <w:rFonts w:hint="eastAsia"/>
                <w:color w:val="auto"/>
                <w:sz w:val="24"/>
                <w:szCs w:val="24"/>
                <w:highlight w:val="none"/>
              </w:rPr>
              <w:t>小企业的比例）</w:t>
            </w:r>
          </w:p>
        </w:tc>
        <w:tc>
          <w:tcPr>
            <w:tcW w:w="2296" w:type="dxa"/>
            <w:tcBorders>
              <w:top w:val="nil"/>
            </w:tcBorders>
            <w:noWrap w:val="0"/>
            <w:vAlign w:val="center"/>
          </w:tcPr>
          <w:p>
            <w:pPr>
              <w:pStyle w:val="27"/>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7"/>
              <w:jc w:val="center"/>
              <w:rPr>
                <w:rFonts w:hint="eastAsia"/>
                <w:color w:val="auto"/>
                <w:sz w:val="24"/>
                <w:szCs w:val="24"/>
                <w:highlight w:val="none"/>
              </w:rPr>
            </w:pPr>
            <w:r>
              <w:rPr>
                <w:rFonts w:hint="eastAsia"/>
                <w:color w:val="auto"/>
                <w:sz w:val="24"/>
                <w:szCs w:val="24"/>
                <w:highlight w:val="none"/>
              </w:rPr>
              <w:t>……</w:t>
            </w:r>
          </w:p>
        </w:tc>
        <w:tc>
          <w:tcPr>
            <w:tcW w:w="1866" w:type="dxa"/>
            <w:noWrap w:val="0"/>
            <w:vAlign w:val="center"/>
          </w:tcPr>
          <w:p>
            <w:pPr>
              <w:pStyle w:val="27"/>
              <w:jc w:val="center"/>
              <w:rPr>
                <w:rFonts w:hint="eastAsia"/>
                <w:color w:val="auto"/>
                <w:sz w:val="24"/>
                <w:szCs w:val="24"/>
                <w:highlight w:val="none"/>
              </w:rPr>
            </w:pPr>
            <w:r>
              <w:rPr>
                <w:rFonts w:hint="eastAsia"/>
                <w:color w:val="auto"/>
                <w:sz w:val="24"/>
                <w:szCs w:val="24"/>
                <w:highlight w:val="none"/>
              </w:rPr>
              <w:t>……</w:t>
            </w:r>
          </w:p>
        </w:tc>
        <w:tc>
          <w:tcPr>
            <w:tcW w:w="2010" w:type="dxa"/>
            <w:noWrap w:val="0"/>
            <w:vAlign w:val="center"/>
          </w:tcPr>
          <w:p>
            <w:pPr>
              <w:pStyle w:val="27"/>
              <w:jc w:val="center"/>
              <w:rPr>
                <w:rFonts w:hint="eastAsia"/>
                <w:color w:val="auto"/>
                <w:sz w:val="24"/>
                <w:szCs w:val="24"/>
                <w:highlight w:val="none"/>
              </w:rPr>
            </w:pPr>
            <w:r>
              <w:rPr>
                <w:rFonts w:hint="eastAsia"/>
                <w:color w:val="auto"/>
                <w:sz w:val="24"/>
                <w:szCs w:val="24"/>
                <w:highlight w:val="none"/>
              </w:rPr>
              <w:t>……</w:t>
            </w:r>
          </w:p>
        </w:tc>
        <w:tc>
          <w:tcPr>
            <w:tcW w:w="2296" w:type="dxa"/>
            <w:noWrap w:val="0"/>
            <w:vAlign w:val="center"/>
          </w:tcPr>
          <w:p>
            <w:pPr>
              <w:pStyle w:val="27"/>
              <w:jc w:val="center"/>
              <w:rPr>
                <w:rFonts w:hint="eastAsia"/>
                <w:color w:val="auto"/>
                <w:sz w:val="24"/>
                <w:szCs w:val="24"/>
                <w:highlight w:val="none"/>
              </w:rPr>
            </w:pPr>
            <w:r>
              <w:rPr>
                <w:rFonts w:hint="eastAsia"/>
                <w:color w:val="auto"/>
                <w:sz w:val="24"/>
                <w:szCs w:val="24"/>
                <w:highlight w:val="none"/>
              </w:rPr>
              <w:t>……</w:t>
            </w:r>
          </w:p>
        </w:tc>
        <w:tc>
          <w:tcPr>
            <w:tcW w:w="1784" w:type="dxa"/>
            <w:noWrap w:val="0"/>
            <w:vAlign w:val="center"/>
          </w:tcPr>
          <w:p>
            <w:pPr>
              <w:pStyle w:val="27"/>
              <w:jc w:val="center"/>
              <w:rPr>
                <w:rFonts w:hint="eastAsia"/>
                <w:color w:val="auto"/>
                <w:sz w:val="24"/>
                <w:szCs w:val="24"/>
                <w:highlight w:val="none"/>
              </w:rPr>
            </w:pPr>
            <w:r>
              <w:rPr>
                <w:rFonts w:hint="eastAsia"/>
                <w:color w:val="auto"/>
                <w:sz w:val="24"/>
                <w:szCs w:val="24"/>
                <w:highlight w:val="none"/>
              </w:rPr>
              <w:t>……</w:t>
            </w:r>
          </w:p>
        </w:tc>
      </w:tr>
    </w:tbl>
    <w:p>
      <w:pPr>
        <w:pStyle w:val="3"/>
        <w:tabs>
          <w:tab w:val="left" w:pos="562"/>
          <w:tab w:val="left" w:pos="3372"/>
          <w:tab w:val="left" w:pos="3653"/>
        </w:tabs>
        <w:spacing w:before="128"/>
        <w:ind w:left="4220" w:right="1843"/>
        <w:rPr>
          <w:rFonts w:hint="eastAsia" w:ascii="宋体" w:hAnsi="宋体" w:cs="宋体"/>
          <w:color w:val="auto"/>
          <w:highlight w:val="none"/>
        </w:rPr>
      </w:pPr>
      <w:r>
        <w:rPr>
          <w:rFonts w:hint="eastAsia" w:ascii="宋体" w:hAnsi="宋体" w:cs="宋体"/>
          <w:color w:val="auto"/>
          <w:highlight w:val="none"/>
        </w:rPr>
        <w:t>部门（单位）名称： 日期：</w:t>
      </w:r>
    </w:p>
    <w:p>
      <w:pPr>
        <w:pStyle w:val="3"/>
        <w:tabs>
          <w:tab w:val="left" w:pos="562"/>
          <w:tab w:val="left" w:pos="3372"/>
          <w:tab w:val="left" w:pos="3653"/>
        </w:tabs>
        <w:rPr>
          <w:rFonts w:hint="eastAsia" w:ascii="宋体" w:hAnsi="宋体" w:cs="宋体"/>
          <w:color w:val="auto"/>
          <w:highlight w:val="none"/>
        </w:rPr>
      </w:pPr>
    </w:p>
    <w:p>
      <w:pPr>
        <w:pStyle w:val="17"/>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3"/>
        <w:tabs>
          <w:tab w:val="left" w:pos="562"/>
          <w:tab w:val="left" w:pos="3372"/>
          <w:tab w:val="left" w:pos="3653"/>
        </w:tabs>
        <w:rPr>
          <w:rFonts w:hint="eastAsia" w:ascii="宋体" w:hAnsi="宋体" w:cs="宋体"/>
          <w:color w:val="auto"/>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hint="eastAsia"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highlight w:val="none"/>
        </w:rPr>
      </w:pPr>
    </w:p>
    <w:p>
      <w:pPr>
        <w:pStyle w:val="17"/>
        <w:jc w:val="both"/>
        <w:outlineLvl w:val="9"/>
        <w:rPr>
          <w:rFonts w:hint="eastAsia" w:ascii="宋体" w:hAnsi="宋体" w:eastAsia="宋体" w:cs="宋体"/>
          <w:color w:val="auto"/>
          <w:sz w:val="24"/>
          <w:szCs w:val="24"/>
          <w:highlight w:val="none"/>
        </w:rPr>
      </w:pPr>
    </w:p>
    <w:p>
      <w:pPr>
        <w:pStyle w:val="17"/>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highlight w:val="none"/>
        </w:rPr>
      </w:pPr>
    </w:p>
    <w:p>
      <w:pPr>
        <w:widowControl/>
        <w:shd w:val="clear" w:color="auto" w:fill="FFFFFF"/>
        <w:jc w:val="center"/>
        <w:rPr>
          <w:rFonts w:hint="eastAsia"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hint="eastAsia" w:ascii="宋体" w:hAnsi="宋体" w:cs="宋体"/>
          <w:color w:val="auto"/>
          <w:kern w:val="0"/>
          <w:sz w:val="24"/>
          <w:highlight w:val="none"/>
        </w:rPr>
      </w:pP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noWrap w:val="0"/>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tabs>
          <w:tab w:val="left" w:pos="562"/>
          <w:tab w:val="left" w:pos="3372"/>
          <w:tab w:val="left" w:pos="3653"/>
        </w:tabs>
        <w:rPr>
          <w:rFonts w:hint="eastAsia" w:ascii="宋体" w:hAnsi="宋体" w:cs="宋体"/>
          <w:color w:val="auto"/>
          <w:highlight w:val="none"/>
        </w:rPr>
      </w:pPr>
    </w:p>
    <w:p>
      <w:pPr>
        <w:pStyle w:val="17"/>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rPr>
          <w:rFonts w:hint="eastAsia" w:ascii="宋体" w:hAnsi="宋体" w:cs="宋体"/>
          <w:bCs/>
          <w:color w:val="auto"/>
          <w:sz w:val="24"/>
          <w:highlight w:val="none"/>
        </w:rPr>
      </w:pPr>
    </w:p>
    <w:p>
      <w:pPr>
        <w:shd w:val="clear" w:color="auto" w:fill="FFFFFF"/>
        <w:rPr>
          <w:rFonts w:hint="eastAsia"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6"/>
        <w:shd w:val="clear" w:color="auto" w:fill="FFFFFF"/>
        <w:spacing w:before="0" w:beforeAutospacing="0" w:after="0" w:afterAutospacing="0"/>
        <w:jc w:val="center"/>
        <w:rPr>
          <w:rFonts w:hint="eastAsia"/>
          <w:color w:val="auto"/>
          <w:highlight w:val="none"/>
        </w:rPr>
      </w:pPr>
      <w:r>
        <w:rPr>
          <w:rFonts w:hint="eastAsia"/>
          <w:color w:val="auto"/>
          <w:highlight w:val="none"/>
        </w:rPr>
        <w:t>　　</w:t>
      </w:r>
      <w:bookmarkStart w:id="27" w:name="sendNo"/>
      <w:r>
        <w:rPr>
          <w:rFonts w:hint="eastAsia"/>
          <w:color w:val="auto"/>
          <w:highlight w:val="none"/>
        </w:rPr>
        <w:t>财库〔</w:t>
      </w:r>
      <w:bookmarkEnd w:id="27"/>
      <w:r>
        <w:rPr>
          <w:rFonts w:hint="eastAsia"/>
          <w:color w:val="auto"/>
          <w:highlight w:val="none"/>
        </w:rPr>
        <w:t>2017〕141号</w:t>
      </w:r>
    </w:p>
    <w:p>
      <w:pPr>
        <w:pStyle w:val="16"/>
        <w:shd w:val="clear" w:color="auto" w:fill="FFFFFF"/>
        <w:spacing w:before="0" w:beforeAutospacing="0" w:after="0" w:afterAutospacing="0"/>
        <w:ind w:firstLine="480" w:firstLineChars="200"/>
        <w:rPr>
          <w:rFonts w:hint="eastAsia"/>
          <w:color w:val="auto"/>
          <w:highlight w:val="none"/>
        </w:rPr>
      </w:pPr>
      <w:bookmarkStart w:id="28"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auto"/>
          <w:highlight w:val="none"/>
        </w:rPr>
        <w:t>：</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一、享受政府采购支持政策的残疾人福利性单位应当同时满足以下条件：</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（二）依法与安置的每位残疾人签订了一年以上（含一年）的劳动合同或服务协议；</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七、本通知自2017年10月1日起执行。</w:t>
      </w:r>
    </w:p>
    <w:p>
      <w:pPr>
        <w:pStyle w:val="16"/>
        <w:shd w:val="clear" w:color="auto" w:fill="FFFFFF"/>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财政部 民政部 中国残疾人联合会</w:t>
      </w:r>
    </w:p>
    <w:p>
      <w:pPr>
        <w:pStyle w:val="16"/>
        <w:shd w:val="clear" w:color="auto" w:fill="FFFFFF"/>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2017年8月22日</w:t>
      </w:r>
    </w:p>
    <w:p>
      <w:pPr>
        <w:pStyle w:val="28"/>
        <w:shd w:val="clear" w:color="auto" w:fill="FFFFFF"/>
        <w:spacing w:before="0" w:beforeAutospacing="0" w:after="0" w:afterAutospacing="0" w:line="560" w:lineRule="exact"/>
        <w:jc w:val="both"/>
        <w:rPr>
          <w:rFonts w:hint="eastAsia"/>
          <w:color w:val="auto"/>
          <w:highlight w:val="none"/>
        </w:rPr>
      </w:pPr>
      <w:r>
        <w:rPr>
          <w:rFonts w:hint="eastAsia"/>
          <w:color w:val="auto"/>
          <w:highlight w:val="none"/>
        </w:rPr>
        <w:t>附件：</w:t>
      </w:r>
    </w:p>
    <w:p>
      <w:pPr>
        <w:pStyle w:val="28"/>
        <w:shd w:val="clear" w:color="auto" w:fill="FFFFFF"/>
        <w:spacing w:before="0" w:beforeAutospacing="0" w:after="0" w:afterAutospacing="0" w:line="560" w:lineRule="exact"/>
        <w:ind w:firstLine="482" w:firstLineChars="200"/>
        <w:jc w:val="center"/>
        <w:rPr>
          <w:rFonts w:hint="eastAsia"/>
          <w:color w:val="auto"/>
          <w:highlight w:val="none"/>
        </w:rPr>
      </w:pPr>
      <w:r>
        <w:rPr>
          <w:rStyle w:val="29"/>
          <w:rFonts w:hint="eastAsia"/>
          <w:b/>
          <w:bCs/>
          <w:color w:val="auto"/>
          <w:highlight w:val="none"/>
        </w:rPr>
        <w:t>残疾人福利性单位声明函</w:t>
      </w:r>
    </w:p>
    <w:p>
      <w:pPr>
        <w:pStyle w:val="28"/>
        <w:shd w:val="clear" w:color="auto" w:fill="FFFFFF"/>
        <w:spacing w:before="0" w:beforeAutospacing="0" w:after="0" w:afterAutospacing="0" w:line="560" w:lineRule="exact"/>
        <w:ind w:firstLine="480" w:firstLineChars="200"/>
        <w:jc w:val="both"/>
        <w:rPr>
          <w:rFonts w:hint="eastAsia"/>
          <w:color w:val="auto"/>
          <w:highlight w:val="none"/>
        </w:rPr>
      </w:pPr>
      <w:r>
        <w:rPr>
          <w:rStyle w:val="29"/>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spacing w:before="0" w:beforeAutospacing="0" w:after="0" w:afterAutospacing="0" w:line="560" w:lineRule="exact"/>
        <w:ind w:firstLine="480" w:firstLineChars="200"/>
        <w:jc w:val="both"/>
        <w:rPr>
          <w:rFonts w:hint="eastAsia"/>
          <w:color w:val="auto"/>
          <w:highlight w:val="none"/>
        </w:rPr>
      </w:pPr>
      <w:r>
        <w:rPr>
          <w:rStyle w:val="29"/>
          <w:rFonts w:hint="eastAsia"/>
          <w:color w:val="auto"/>
          <w:highlight w:val="none"/>
        </w:rPr>
        <w:t>本单位对上述声明的真实性负责。如有虚假，将依法承担相应责任。</w:t>
      </w:r>
    </w:p>
    <w:p>
      <w:pPr>
        <w:pStyle w:val="28"/>
        <w:shd w:val="clear" w:color="auto" w:fill="FFFFFF"/>
        <w:spacing w:before="0" w:beforeAutospacing="0" w:after="0" w:afterAutospacing="0" w:line="560" w:lineRule="exact"/>
        <w:ind w:firstLine="480" w:firstLineChars="200"/>
        <w:jc w:val="both"/>
        <w:rPr>
          <w:rFonts w:hint="eastAsia"/>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spacing w:before="0" w:beforeAutospacing="0" w:after="0" w:afterAutospacing="0" w:line="560" w:lineRule="exact"/>
        <w:ind w:right="2100" w:rightChars="1000"/>
        <w:jc w:val="right"/>
        <w:rPr>
          <w:rFonts w:hint="eastAsia"/>
          <w:color w:val="auto"/>
          <w:highlight w:val="none"/>
        </w:rPr>
      </w:pPr>
      <w:r>
        <w:rPr>
          <w:rStyle w:val="29"/>
          <w:rFonts w:hint="eastAsia"/>
          <w:color w:val="auto"/>
          <w:highlight w:val="none"/>
        </w:rPr>
        <w:t>单位名称（盖章）：</w:t>
      </w:r>
    </w:p>
    <w:p>
      <w:pPr>
        <w:pStyle w:val="28"/>
        <w:shd w:val="clear" w:color="auto" w:fill="FFFFFF"/>
        <w:spacing w:before="0" w:beforeAutospacing="0" w:after="0" w:afterAutospacing="0" w:line="560" w:lineRule="exact"/>
        <w:ind w:right="2100" w:rightChars="1000"/>
        <w:jc w:val="right"/>
        <w:rPr>
          <w:rFonts w:hint="eastAsia"/>
          <w:color w:val="auto"/>
          <w:highlight w:val="none"/>
          <w:lang w:val="fr-CH"/>
        </w:rPr>
      </w:pPr>
      <w:r>
        <w:rPr>
          <w:rStyle w:val="29"/>
          <w:rFonts w:hint="eastAsia"/>
          <w:color w:val="auto"/>
          <w:highlight w:val="none"/>
        </w:rPr>
        <w:t>日 期：</w:t>
      </w:r>
    </w:p>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pPr>
    </w:p>
    <w:p>
      <w:pPr>
        <w:pStyle w:val="23"/>
        <w:rPr>
          <w:rFonts w:hint="eastAsia"/>
          <w:color w:val="auto"/>
          <w:highlight w:val="none"/>
          <w:lang w:val="fr-CH"/>
        </w:rPr>
      </w:pPr>
    </w:p>
    <w:p>
      <w:pPr>
        <w:rPr>
          <w:color w:val="auto"/>
          <w:highlight w:val="none"/>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0"/>
  </w:num>
  <w:num w:numId="2">
    <w:abstractNumId w:val="4"/>
  </w:num>
  <w:num w:numId="3">
    <w:abstractNumId w:val="2"/>
  </w:num>
  <w:num w:numId="4">
    <w:abstractNumId w:val="8"/>
  </w:num>
  <w:num w:numId="5">
    <w:abstractNumId w:val="5"/>
  </w:num>
  <w:num w:numId="6">
    <w:abstractNumId w:val="3"/>
  </w:num>
  <w:num w:numId="7">
    <w:abstractNumId w:val="6"/>
  </w:num>
  <w:num w:numId="8">
    <w:abstractNumId w:val="1"/>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6c52a594-fa24-4eda-8bdf-1df5baad3362"/>
  </w:docVars>
  <w:rsids>
    <w:rsidRoot w:val="6F152D9A"/>
    <w:rsid w:val="00491802"/>
    <w:rsid w:val="005726D8"/>
    <w:rsid w:val="00577718"/>
    <w:rsid w:val="00591ED4"/>
    <w:rsid w:val="006836D3"/>
    <w:rsid w:val="006A5E20"/>
    <w:rsid w:val="009E70F5"/>
    <w:rsid w:val="00A81D22"/>
    <w:rsid w:val="00DE5743"/>
    <w:rsid w:val="01211AD4"/>
    <w:rsid w:val="012B1DC1"/>
    <w:rsid w:val="013B4944"/>
    <w:rsid w:val="0159126E"/>
    <w:rsid w:val="0159301C"/>
    <w:rsid w:val="018C0929"/>
    <w:rsid w:val="01AA3877"/>
    <w:rsid w:val="01B8192A"/>
    <w:rsid w:val="01D33634"/>
    <w:rsid w:val="01E27A17"/>
    <w:rsid w:val="01F560F7"/>
    <w:rsid w:val="01FB0647"/>
    <w:rsid w:val="02234397"/>
    <w:rsid w:val="022618D2"/>
    <w:rsid w:val="02274EC8"/>
    <w:rsid w:val="02395177"/>
    <w:rsid w:val="023A5F04"/>
    <w:rsid w:val="0284231A"/>
    <w:rsid w:val="02855713"/>
    <w:rsid w:val="02881E0B"/>
    <w:rsid w:val="028A5D00"/>
    <w:rsid w:val="028C62E2"/>
    <w:rsid w:val="02A46519"/>
    <w:rsid w:val="031134B4"/>
    <w:rsid w:val="03394299"/>
    <w:rsid w:val="0341645D"/>
    <w:rsid w:val="0375603F"/>
    <w:rsid w:val="03990047"/>
    <w:rsid w:val="03DD6186"/>
    <w:rsid w:val="03E219EE"/>
    <w:rsid w:val="03F15591"/>
    <w:rsid w:val="042277B0"/>
    <w:rsid w:val="045B70AB"/>
    <w:rsid w:val="047B23DE"/>
    <w:rsid w:val="04A005CC"/>
    <w:rsid w:val="04B50EB1"/>
    <w:rsid w:val="04C63705"/>
    <w:rsid w:val="04FF037E"/>
    <w:rsid w:val="05062697"/>
    <w:rsid w:val="05614B95"/>
    <w:rsid w:val="05804BC2"/>
    <w:rsid w:val="05A62DD8"/>
    <w:rsid w:val="06336033"/>
    <w:rsid w:val="068A098C"/>
    <w:rsid w:val="069E458D"/>
    <w:rsid w:val="06BC14B2"/>
    <w:rsid w:val="06BE2A9A"/>
    <w:rsid w:val="06C44D16"/>
    <w:rsid w:val="06D42BC7"/>
    <w:rsid w:val="06F25469"/>
    <w:rsid w:val="06F30D45"/>
    <w:rsid w:val="070D6D82"/>
    <w:rsid w:val="072D6233"/>
    <w:rsid w:val="072F63A4"/>
    <w:rsid w:val="07787DB5"/>
    <w:rsid w:val="077961C6"/>
    <w:rsid w:val="07AC659B"/>
    <w:rsid w:val="07FD54F6"/>
    <w:rsid w:val="087C541A"/>
    <w:rsid w:val="08950582"/>
    <w:rsid w:val="08CE609D"/>
    <w:rsid w:val="08E57A87"/>
    <w:rsid w:val="08E92ED7"/>
    <w:rsid w:val="08F43C68"/>
    <w:rsid w:val="08F57ACE"/>
    <w:rsid w:val="09073F1B"/>
    <w:rsid w:val="09203324"/>
    <w:rsid w:val="09300B06"/>
    <w:rsid w:val="093305F6"/>
    <w:rsid w:val="093822B1"/>
    <w:rsid w:val="09491BC8"/>
    <w:rsid w:val="09823515"/>
    <w:rsid w:val="09C84ED3"/>
    <w:rsid w:val="09CB5D24"/>
    <w:rsid w:val="09F77876"/>
    <w:rsid w:val="0A236C0C"/>
    <w:rsid w:val="0A2A768E"/>
    <w:rsid w:val="0A2B0DCB"/>
    <w:rsid w:val="0A3B3C06"/>
    <w:rsid w:val="0A5E16A3"/>
    <w:rsid w:val="0A602146"/>
    <w:rsid w:val="0A8A693C"/>
    <w:rsid w:val="0A9B4D34"/>
    <w:rsid w:val="0AA72E75"/>
    <w:rsid w:val="0AB85257"/>
    <w:rsid w:val="0AD731CB"/>
    <w:rsid w:val="0B140280"/>
    <w:rsid w:val="0B3B53D5"/>
    <w:rsid w:val="0B4D553B"/>
    <w:rsid w:val="0B522C8B"/>
    <w:rsid w:val="0B7B37EB"/>
    <w:rsid w:val="0B92404D"/>
    <w:rsid w:val="0BB91DF1"/>
    <w:rsid w:val="0BCB4B16"/>
    <w:rsid w:val="0BE62205"/>
    <w:rsid w:val="0BF10254"/>
    <w:rsid w:val="0BFE40A0"/>
    <w:rsid w:val="0C2801BA"/>
    <w:rsid w:val="0C2B0B3A"/>
    <w:rsid w:val="0C45359F"/>
    <w:rsid w:val="0C822ACA"/>
    <w:rsid w:val="0CAC79CA"/>
    <w:rsid w:val="0CB70393"/>
    <w:rsid w:val="0CBB0F79"/>
    <w:rsid w:val="0CBB2DDD"/>
    <w:rsid w:val="0CF01E3D"/>
    <w:rsid w:val="0D046532"/>
    <w:rsid w:val="0D1954AC"/>
    <w:rsid w:val="0D321381"/>
    <w:rsid w:val="0D3F1CF7"/>
    <w:rsid w:val="0D4402D3"/>
    <w:rsid w:val="0D5374B9"/>
    <w:rsid w:val="0D5C54A5"/>
    <w:rsid w:val="0D7E45DD"/>
    <w:rsid w:val="0D9F3011"/>
    <w:rsid w:val="0DC34AA9"/>
    <w:rsid w:val="0E303356"/>
    <w:rsid w:val="0E430BBB"/>
    <w:rsid w:val="0E4B0853"/>
    <w:rsid w:val="0E59465B"/>
    <w:rsid w:val="0E9953A0"/>
    <w:rsid w:val="0EA26534"/>
    <w:rsid w:val="0EC73CBB"/>
    <w:rsid w:val="0EDC703A"/>
    <w:rsid w:val="0F104BA8"/>
    <w:rsid w:val="0F2819E7"/>
    <w:rsid w:val="0F2A5DFB"/>
    <w:rsid w:val="0F6063AF"/>
    <w:rsid w:val="0F670FFA"/>
    <w:rsid w:val="0F7D081D"/>
    <w:rsid w:val="0FAC4C5F"/>
    <w:rsid w:val="0FDF48E7"/>
    <w:rsid w:val="0FE254EF"/>
    <w:rsid w:val="0FE47EF3"/>
    <w:rsid w:val="0FE96BFE"/>
    <w:rsid w:val="0FF5D091"/>
    <w:rsid w:val="10134CDE"/>
    <w:rsid w:val="102D2243"/>
    <w:rsid w:val="10365E2E"/>
    <w:rsid w:val="105B311D"/>
    <w:rsid w:val="105B405A"/>
    <w:rsid w:val="10634BF3"/>
    <w:rsid w:val="108B0D18"/>
    <w:rsid w:val="108B4148"/>
    <w:rsid w:val="10B40C48"/>
    <w:rsid w:val="114A7A66"/>
    <w:rsid w:val="114C75DD"/>
    <w:rsid w:val="12431D83"/>
    <w:rsid w:val="12597320"/>
    <w:rsid w:val="125B755A"/>
    <w:rsid w:val="128123D2"/>
    <w:rsid w:val="12D149BF"/>
    <w:rsid w:val="12E42D35"/>
    <w:rsid w:val="13160D6D"/>
    <w:rsid w:val="13242E4C"/>
    <w:rsid w:val="137139FA"/>
    <w:rsid w:val="1373154F"/>
    <w:rsid w:val="137FA8DD"/>
    <w:rsid w:val="138A5087"/>
    <w:rsid w:val="138B7170"/>
    <w:rsid w:val="13951544"/>
    <w:rsid w:val="139B74C4"/>
    <w:rsid w:val="13A1291C"/>
    <w:rsid w:val="13D029CA"/>
    <w:rsid w:val="13D61A1C"/>
    <w:rsid w:val="13D76995"/>
    <w:rsid w:val="13DA0C71"/>
    <w:rsid w:val="13E90B4A"/>
    <w:rsid w:val="13F57F6C"/>
    <w:rsid w:val="140E7C96"/>
    <w:rsid w:val="144E5BAF"/>
    <w:rsid w:val="145B077C"/>
    <w:rsid w:val="148F7029"/>
    <w:rsid w:val="14BE346A"/>
    <w:rsid w:val="14C64A14"/>
    <w:rsid w:val="14D52961"/>
    <w:rsid w:val="14D83808"/>
    <w:rsid w:val="14FE7D0A"/>
    <w:rsid w:val="1528122B"/>
    <w:rsid w:val="15347304"/>
    <w:rsid w:val="153B4ABB"/>
    <w:rsid w:val="15567B46"/>
    <w:rsid w:val="15610299"/>
    <w:rsid w:val="159124F5"/>
    <w:rsid w:val="16027A14"/>
    <w:rsid w:val="16322361"/>
    <w:rsid w:val="164B3423"/>
    <w:rsid w:val="16705645"/>
    <w:rsid w:val="167179C0"/>
    <w:rsid w:val="16817906"/>
    <w:rsid w:val="16A448E1"/>
    <w:rsid w:val="16B46578"/>
    <w:rsid w:val="16CF7BB0"/>
    <w:rsid w:val="16D8450A"/>
    <w:rsid w:val="16EB2510"/>
    <w:rsid w:val="16F81197"/>
    <w:rsid w:val="17033CFE"/>
    <w:rsid w:val="171F4A71"/>
    <w:rsid w:val="17325709"/>
    <w:rsid w:val="173F4503"/>
    <w:rsid w:val="176E0569"/>
    <w:rsid w:val="17A4601D"/>
    <w:rsid w:val="17B32321"/>
    <w:rsid w:val="180C2F5C"/>
    <w:rsid w:val="184A3A9A"/>
    <w:rsid w:val="184B770B"/>
    <w:rsid w:val="18796DE5"/>
    <w:rsid w:val="189C7F66"/>
    <w:rsid w:val="18C46036"/>
    <w:rsid w:val="18D70F61"/>
    <w:rsid w:val="18E667DE"/>
    <w:rsid w:val="19094ED0"/>
    <w:rsid w:val="190B1AB7"/>
    <w:rsid w:val="190E1E92"/>
    <w:rsid w:val="1910625E"/>
    <w:rsid w:val="191E2C88"/>
    <w:rsid w:val="191E47AE"/>
    <w:rsid w:val="19213D00"/>
    <w:rsid w:val="19391946"/>
    <w:rsid w:val="193E2DCB"/>
    <w:rsid w:val="194A5C14"/>
    <w:rsid w:val="194B4539"/>
    <w:rsid w:val="19677F5C"/>
    <w:rsid w:val="199FA76B"/>
    <w:rsid w:val="19AA0461"/>
    <w:rsid w:val="19EF3664"/>
    <w:rsid w:val="1A163D48"/>
    <w:rsid w:val="1A1A7931"/>
    <w:rsid w:val="1A3C3E2A"/>
    <w:rsid w:val="1A680537"/>
    <w:rsid w:val="1A8A3DEE"/>
    <w:rsid w:val="1A8E78C8"/>
    <w:rsid w:val="1A914D5C"/>
    <w:rsid w:val="1A9417E2"/>
    <w:rsid w:val="1A9B5FFB"/>
    <w:rsid w:val="1AED6666"/>
    <w:rsid w:val="1B46065D"/>
    <w:rsid w:val="1B6740A4"/>
    <w:rsid w:val="1B735DC4"/>
    <w:rsid w:val="1B886580"/>
    <w:rsid w:val="1B9637E8"/>
    <w:rsid w:val="1BB235FD"/>
    <w:rsid w:val="1BB9498B"/>
    <w:rsid w:val="1BC947C4"/>
    <w:rsid w:val="1BD96DDB"/>
    <w:rsid w:val="1C0868FA"/>
    <w:rsid w:val="1C2529FF"/>
    <w:rsid w:val="1C280A6A"/>
    <w:rsid w:val="1C2F19F0"/>
    <w:rsid w:val="1C403D0E"/>
    <w:rsid w:val="1C427076"/>
    <w:rsid w:val="1C522596"/>
    <w:rsid w:val="1C5A2562"/>
    <w:rsid w:val="1C5B5A42"/>
    <w:rsid w:val="1C6F14EE"/>
    <w:rsid w:val="1C9636A0"/>
    <w:rsid w:val="1CD549F2"/>
    <w:rsid w:val="1CEF358F"/>
    <w:rsid w:val="1D274825"/>
    <w:rsid w:val="1D2B18B9"/>
    <w:rsid w:val="1D3D000F"/>
    <w:rsid w:val="1D44297A"/>
    <w:rsid w:val="1D552DD9"/>
    <w:rsid w:val="1D6A70DF"/>
    <w:rsid w:val="1D7414B2"/>
    <w:rsid w:val="1D815FCC"/>
    <w:rsid w:val="1D927B8A"/>
    <w:rsid w:val="1DC42A0B"/>
    <w:rsid w:val="1DCA2E80"/>
    <w:rsid w:val="1DD117FA"/>
    <w:rsid w:val="1DF84EC4"/>
    <w:rsid w:val="1E340C41"/>
    <w:rsid w:val="1E403142"/>
    <w:rsid w:val="1E5C1522"/>
    <w:rsid w:val="1E6B7566"/>
    <w:rsid w:val="1E781388"/>
    <w:rsid w:val="1EA45087"/>
    <w:rsid w:val="1EA47B74"/>
    <w:rsid w:val="1EAE454F"/>
    <w:rsid w:val="1EC51899"/>
    <w:rsid w:val="1ECC5479"/>
    <w:rsid w:val="1EEA75A0"/>
    <w:rsid w:val="1EEF7754"/>
    <w:rsid w:val="1F27593E"/>
    <w:rsid w:val="1F394761"/>
    <w:rsid w:val="1F9BB067"/>
    <w:rsid w:val="1FA31BDA"/>
    <w:rsid w:val="1FB47A5D"/>
    <w:rsid w:val="1FD75D28"/>
    <w:rsid w:val="1FF42436"/>
    <w:rsid w:val="1FFF00F8"/>
    <w:rsid w:val="200655C0"/>
    <w:rsid w:val="20126D60"/>
    <w:rsid w:val="201E5705"/>
    <w:rsid w:val="207417C9"/>
    <w:rsid w:val="208E5A5D"/>
    <w:rsid w:val="209818E4"/>
    <w:rsid w:val="20AA3CDC"/>
    <w:rsid w:val="20B23D8A"/>
    <w:rsid w:val="20C23F73"/>
    <w:rsid w:val="20D54766"/>
    <w:rsid w:val="20FD531A"/>
    <w:rsid w:val="213760C2"/>
    <w:rsid w:val="213D1BBA"/>
    <w:rsid w:val="213F6706"/>
    <w:rsid w:val="2165078C"/>
    <w:rsid w:val="218B0B78"/>
    <w:rsid w:val="21A734D8"/>
    <w:rsid w:val="21F030D1"/>
    <w:rsid w:val="221D6C29"/>
    <w:rsid w:val="2221328A"/>
    <w:rsid w:val="22462A8A"/>
    <w:rsid w:val="22574EFE"/>
    <w:rsid w:val="225E6D5C"/>
    <w:rsid w:val="22696FF6"/>
    <w:rsid w:val="229F2035"/>
    <w:rsid w:val="22B7264E"/>
    <w:rsid w:val="22B97967"/>
    <w:rsid w:val="22D30480"/>
    <w:rsid w:val="22E83DA8"/>
    <w:rsid w:val="22F14C3C"/>
    <w:rsid w:val="22F20EEE"/>
    <w:rsid w:val="23006025"/>
    <w:rsid w:val="230B7162"/>
    <w:rsid w:val="230C1C0F"/>
    <w:rsid w:val="2335523F"/>
    <w:rsid w:val="23445482"/>
    <w:rsid w:val="23531B69"/>
    <w:rsid w:val="23664217"/>
    <w:rsid w:val="238E2BA1"/>
    <w:rsid w:val="23915FA1"/>
    <w:rsid w:val="23976FC8"/>
    <w:rsid w:val="23A5639B"/>
    <w:rsid w:val="23A67435"/>
    <w:rsid w:val="23FE3883"/>
    <w:rsid w:val="240746D5"/>
    <w:rsid w:val="240F5A90"/>
    <w:rsid w:val="24293F8F"/>
    <w:rsid w:val="243A63CC"/>
    <w:rsid w:val="246C10ED"/>
    <w:rsid w:val="247C0C4C"/>
    <w:rsid w:val="24904744"/>
    <w:rsid w:val="249912B8"/>
    <w:rsid w:val="249F3FA9"/>
    <w:rsid w:val="24C745BD"/>
    <w:rsid w:val="2505221B"/>
    <w:rsid w:val="2571148E"/>
    <w:rsid w:val="25B44CD6"/>
    <w:rsid w:val="25BA1A2C"/>
    <w:rsid w:val="25D53C59"/>
    <w:rsid w:val="25F3318F"/>
    <w:rsid w:val="25FC2044"/>
    <w:rsid w:val="26025181"/>
    <w:rsid w:val="260F2A28"/>
    <w:rsid w:val="26176E7E"/>
    <w:rsid w:val="26201D24"/>
    <w:rsid w:val="26315FCE"/>
    <w:rsid w:val="26322643"/>
    <w:rsid w:val="263631A5"/>
    <w:rsid w:val="2637667A"/>
    <w:rsid w:val="264D110D"/>
    <w:rsid w:val="269F15EB"/>
    <w:rsid w:val="26BE19EF"/>
    <w:rsid w:val="26E24FAE"/>
    <w:rsid w:val="26F00D5C"/>
    <w:rsid w:val="26F7280B"/>
    <w:rsid w:val="27734588"/>
    <w:rsid w:val="2780146B"/>
    <w:rsid w:val="27CF7A19"/>
    <w:rsid w:val="27D52687"/>
    <w:rsid w:val="27DA0163"/>
    <w:rsid w:val="28131C63"/>
    <w:rsid w:val="28150C75"/>
    <w:rsid w:val="281C68B6"/>
    <w:rsid w:val="28227D98"/>
    <w:rsid w:val="282F222C"/>
    <w:rsid w:val="286F3F95"/>
    <w:rsid w:val="287B7F79"/>
    <w:rsid w:val="287E1436"/>
    <w:rsid w:val="28C01A4F"/>
    <w:rsid w:val="28D92B11"/>
    <w:rsid w:val="29053273"/>
    <w:rsid w:val="29376315"/>
    <w:rsid w:val="29567BFF"/>
    <w:rsid w:val="295F5BAE"/>
    <w:rsid w:val="2973086F"/>
    <w:rsid w:val="29CD4DD1"/>
    <w:rsid w:val="29ED6BDD"/>
    <w:rsid w:val="2A3E6896"/>
    <w:rsid w:val="2A431C41"/>
    <w:rsid w:val="2A445BEE"/>
    <w:rsid w:val="2A54739A"/>
    <w:rsid w:val="2A5A1A2F"/>
    <w:rsid w:val="2A6754CA"/>
    <w:rsid w:val="2A7FF3BA"/>
    <w:rsid w:val="2A97058D"/>
    <w:rsid w:val="2AA6683B"/>
    <w:rsid w:val="2AB90504"/>
    <w:rsid w:val="2B0674C1"/>
    <w:rsid w:val="2B1A46C4"/>
    <w:rsid w:val="2B353322"/>
    <w:rsid w:val="2B37239C"/>
    <w:rsid w:val="2B3D7387"/>
    <w:rsid w:val="2B6A63EC"/>
    <w:rsid w:val="2BA50A88"/>
    <w:rsid w:val="2BB9468C"/>
    <w:rsid w:val="2BC2163A"/>
    <w:rsid w:val="2BD73CFD"/>
    <w:rsid w:val="2C09011C"/>
    <w:rsid w:val="2C2422F5"/>
    <w:rsid w:val="2C2A71DF"/>
    <w:rsid w:val="2C41042A"/>
    <w:rsid w:val="2C804767"/>
    <w:rsid w:val="2CFF7F99"/>
    <w:rsid w:val="2D546C0A"/>
    <w:rsid w:val="2D5B7F98"/>
    <w:rsid w:val="2D614E83"/>
    <w:rsid w:val="2D806433"/>
    <w:rsid w:val="2D9E69EF"/>
    <w:rsid w:val="2DD077B2"/>
    <w:rsid w:val="2DF301D1"/>
    <w:rsid w:val="2E1E4B22"/>
    <w:rsid w:val="2E24482E"/>
    <w:rsid w:val="2E615CCD"/>
    <w:rsid w:val="2EA35514"/>
    <w:rsid w:val="2EEF6BEA"/>
    <w:rsid w:val="2EF94174"/>
    <w:rsid w:val="2EF97A69"/>
    <w:rsid w:val="2F097580"/>
    <w:rsid w:val="2F1B5030"/>
    <w:rsid w:val="2F3445FD"/>
    <w:rsid w:val="2F37730B"/>
    <w:rsid w:val="2F793F79"/>
    <w:rsid w:val="2F8A6913"/>
    <w:rsid w:val="2F940B9B"/>
    <w:rsid w:val="2FAF6379"/>
    <w:rsid w:val="2FB83480"/>
    <w:rsid w:val="2FE364D9"/>
    <w:rsid w:val="2FE83639"/>
    <w:rsid w:val="2FF11F73"/>
    <w:rsid w:val="2FF6EBD2"/>
    <w:rsid w:val="2FFF1CE2"/>
    <w:rsid w:val="30077F63"/>
    <w:rsid w:val="300974C0"/>
    <w:rsid w:val="302610FC"/>
    <w:rsid w:val="30403475"/>
    <w:rsid w:val="3043586B"/>
    <w:rsid w:val="304A4FBC"/>
    <w:rsid w:val="3058256D"/>
    <w:rsid w:val="30766E97"/>
    <w:rsid w:val="30A47610"/>
    <w:rsid w:val="30B71989"/>
    <w:rsid w:val="30E33504"/>
    <w:rsid w:val="30F524B2"/>
    <w:rsid w:val="30FF4B22"/>
    <w:rsid w:val="310B6BF3"/>
    <w:rsid w:val="31114518"/>
    <w:rsid w:val="31A627B9"/>
    <w:rsid w:val="31F60A7B"/>
    <w:rsid w:val="32236C2E"/>
    <w:rsid w:val="32496611"/>
    <w:rsid w:val="327F327C"/>
    <w:rsid w:val="329769BD"/>
    <w:rsid w:val="32A343B8"/>
    <w:rsid w:val="32C254CB"/>
    <w:rsid w:val="33154745"/>
    <w:rsid w:val="3332198B"/>
    <w:rsid w:val="333E2D8F"/>
    <w:rsid w:val="335A7075"/>
    <w:rsid w:val="335D7410"/>
    <w:rsid w:val="336D3EA4"/>
    <w:rsid w:val="33705E1F"/>
    <w:rsid w:val="337442CE"/>
    <w:rsid w:val="339C6C14"/>
    <w:rsid w:val="33A342A9"/>
    <w:rsid w:val="33AC6E70"/>
    <w:rsid w:val="33C64EB5"/>
    <w:rsid w:val="33DC674E"/>
    <w:rsid w:val="33EC6C5A"/>
    <w:rsid w:val="340622E0"/>
    <w:rsid w:val="343E641F"/>
    <w:rsid w:val="343E7C06"/>
    <w:rsid w:val="344E296A"/>
    <w:rsid w:val="349A75F8"/>
    <w:rsid w:val="34C74165"/>
    <w:rsid w:val="34E00D83"/>
    <w:rsid w:val="34E751DD"/>
    <w:rsid w:val="34E924AB"/>
    <w:rsid w:val="34EB5A9A"/>
    <w:rsid w:val="352F64C7"/>
    <w:rsid w:val="353C7D87"/>
    <w:rsid w:val="355A36A5"/>
    <w:rsid w:val="3596107F"/>
    <w:rsid w:val="359758E5"/>
    <w:rsid w:val="35A57EBA"/>
    <w:rsid w:val="35C012AA"/>
    <w:rsid w:val="35C249F4"/>
    <w:rsid w:val="35FC3D7E"/>
    <w:rsid w:val="362058DB"/>
    <w:rsid w:val="363D6170"/>
    <w:rsid w:val="36525CB0"/>
    <w:rsid w:val="36570DD6"/>
    <w:rsid w:val="36590DED"/>
    <w:rsid w:val="36C546D4"/>
    <w:rsid w:val="36E813DF"/>
    <w:rsid w:val="36F17277"/>
    <w:rsid w:val="370278A8"/>
    <w:rsid w:val="37205FF6"/>
    <w:rsid w:val="374F72A9"/>
    <w:rsid w:val="37865C12"/>
    <w:rsid w:val="379876F3"/>
    <w:rsid w:val="379A16BD"/>
    <w:rsid w:val="37DC1DC0"/>
    <w:rsid w:val="383621D7"/>
    <w:rsid w:val="38415FDC"/>
    <w:rsid w:val="38624A88"/>
    <w:rsid w:val="38664899"/>
    <w:rsid w:val="3876050F"/>
    <w:rsid w:val="38AE714C"/>
    <w:rsid w:val="38DC3EDC"/>
    <w:rsid w:val="38FA68B7"/>
    <w:rsid w:val="38FB98C4"/>
    <w:rsid w:val="390D5B8A"/>
    <w:rsid w:val="39111A4A"/>
    <w:rsid w:val="391B4A7F"/>
    <w:rsid w:val="39202096"/>
    <w:rsid w:val="39394B01"/>
    <w:rsid w:val="396E2E01"/>
    <w:rsid w:val="39777F08"/>
    <w:rsid w:val="39B520EA"/>
    <w:rsid w:val="39B62C55"/>
    <w:rsid w:val="39D71739"/>
    <w:rsid w:val="39F50E2C"/>
    <w:rsid w:val="3A241712"/>
    <w:rsid w:val="3A924955"/>
    <w:rsid w:val="3A950543"/>
    <w:rsid w:val="3A9E7716"/>
    <w:rsid w:val="3ADA56C8"/>
    <w:rsid w:val="3B00217F"/>
    <w:rsid w:val="3B043A1D"/>
    <w:rsid w:val="3B20012B"/>
    <w:rsid w:val="3B2A60E9"/>
    <w:rsid w:val="3B855DC3"/>
    <w:rsid w:val="3B9052B1"/>
    <w:rsid w:val="3B974891"/>
    <w:rsid w:val="3BBE797E"/>
    <w:rsid w:val="3BD21711"/>
    <w:rsid w:val="3BD70484"/>
    <w:rsid w:val="3BD80F0D"/>
    <w:rsid w:val="3BDB85C8"/>
    <w:rsid w:val="3BE467D1"/>
    <w:rsid w:val="3BFF8581"/>
    <w:rsid w:val="3C1C38AF"/>
    <w:rsid w:val="3C1C4D96"/>
    <w:rsid w:val="3C215F09"/>
    <w:rsid w:val="3C31001D"/>
    <w:rsid w:val="3C4340D1"/>
    <w:rsid w:val="3C4B11D8"/>
    <w:rsid w:val="3C6F5B2F"/>
    <w:rsid w:val="3CDD2778"/>
    <w:rsid w:val="3CEA279F"/>
    <w:rsid w:val="3D310065"/>
    <w:rsid w:val="3D4E0F7F"/>
    <w:rsid w:val="3D7A0677"/>
    <w:rsid w:val="3D7F382F"/>
    <w:rsid w:val="3D9B4E64"/>
    <w:rsid w:val="3D9F76BF"/>
    <w:rsid w:val="3DA70690"/>
    <w:rsid w:val="3DAB5AC0"/>
    <w:rsid w:val="3DC54FBA"/>
    <w:rsid w:val="3DE2791A"/>
    <w:rsid w:val="3DFB09DB"/>
    <w:rsid w:val="3DFD1951"/>
    <w:rsid w:val="3E12336F"/>
    <w:rsid w:val="3E1F78FF"/>
    <w:rsid w:val="3E3A4C3F"/>
    <w:rsid w:val="3E6432A1"/>
    <w:rsid w:val="3E685493"/>
    <w:rsid w:val="3E6B3DB3"/>
    <w:rsid w:val="3E90273A"/>
    <w:rsid w:val="3EA352FB"/>
    <w:rsid w:val="3EA846BF"/>
    <w:rsid w:val="3EBE3EE3"/>
    <w:rsid w:val="3EC62D97"/>
    <w:rsid w:val="3EE33949"/>
    <w:rsid w:val="3EF97772"/>
    <w:rsid w:val="3F2859A4"/>
    <w:rsid w:val="3F3C7CCF"/>
    <w:rsid w:val="3F8C5D8F"/>
    <w:rsid w:val="3FA56B52"/>
    <w:rsid w:val="3FCC669D"/>
    <w:rsid w:val="3FD00372"/>
    <w:rsid w:val="3FDD483D"/>
    <w:rsid w:val="3FE07E89"/>
    <w:rsid w:val="3FF77793"/>
    <w:rsid w:val="4004575B"/>
    <w:rsid w:val="401150BE"/>
    <w:rsid w:val="405D1E62"/>
    <w:rsid w:val="407D110C"/>
    <w:rsid w:val="40810011"/>
    <w:rsid w:val="408C3992"/>
    <w:rsid w:val="40C17CBA"/>
    <w:rsid w:val="411B561D"/>
    <w:rsid w:val="411E0F75"/>
    <w:rsid w:val="41326E0A"/>
    <w:rsid w:val="41361B95"/>
    <w:rsid w:val="41526B64"/>
    <w:rsid w:val="419E624E"/>
    <w:rsid w:val="41A35612"/>
    <w:rsid w:val="41C37A62"/>
    <w:rsid w:val="41D04935"/>
    <w:rsid w:val="41D2272D"/>
    <w:rsid w:val="41F1637D"/>
    <w:rsid w:val="421C7965"/>
    <w:rsid w:val="422A40C5"/>
    <w:rsid w:val="425410BD"/>
    <w:rsid w:val="4257135A"/>
    <w:rsid w:val="4263038F"/>
    <w:rsid w:val="426D63FE"/>
    <w:rsid w:val="428F6994"/>
    <w:rsid w:val="4297632A"/>
    <w:rsid w:val="42A15FF5"/>
    <w:rsid w:val="42AE0712"/>
    <w:rsid w:val="42D31F27"/>
    <w:rsid w:val="42D55690"/>
    <w:rsid w:val="42D8704F"/>
    <w:rsid w:val="42DE3E28"/>
    <w:rsid w:val="431C567C"/>
    <w:rsid w:val="439971FA"/>
    <w:rsid w:val="439D4A0F"/>
    <w:rsid w:val="43A833B4"/>
    <w:rsid w:val="43BD6E5F"/>
    <w:rsid w:val="43C65B52"/>
    <w:rsid w:val="43F213F1"/>
    <w:rsid w:val="43F41FD8"/>
    <w:rsid w:val="43FD1DA6"/>
    <w:rsid w:val="44006D4C"/>
    <w:rsid w:val="440209A9"/>
    <w:rsid w:val="44307631"/>
    <w:rsid w:val="443A2A91"/>
    <w:rsid w:val="44A06AE5"/>
    <w:rsid w:val="44D65FFB"/>
    <w:rsid w:val="44DF0C3C"/>
    <w:rsid w:val="44EE2EF8"/>
    <w:rsid w:val="45045743"/>
    <w:rsid w:val="450D2FF8"/>
    <w:rsid w:val="45237196"/>
    <w:rsid w:val="45244CBC"/>
    <w:rsid w:val="4535500F"/>
    <w:rsid w:val="457271D8"/>
    <w:rsid w:val="458D79D2"/>
    <w:rsid w:val="45B0789F"/>
    <w:rsid w:val="45B570AE"/>
    <w:rsid w:val="461A0599"/>
    <w:rsid w:val="461B60BF"/>
    <w:rsid w:val="46317690"/>
    <w:rsid w:val="4649255C"/>
    <w:rsid w:val="46737CA9"/>
    <w:rsid w:val="46974134"/>
    <w:rsid w:val="469C746C"/>
    <w:rsid w:val="46B651A1"/>
    <w:rsid w:val="46C06DBE"/>
    <w:rsid w:val="472015A9"/>
    <w:rsid w:val="473179E3"/>
    <w:rsid w:val="47354BD4"/>
    <w:rsid w:val="474C4C7E"/>
    <w:rsid w:val="47507FEA"/>
    <w:rsid w:val="47867568"/>
    <w:rsid w:val="47900EAC"/>
    <w:rsid w:val="4792411F"/>
    <w:rsid w:val="479D7445"/>
    <w:rsid w:val="47C00CCC"/>
    <w:rsid w:val="47EA5D49"/>
    <w:rsid w:val="480E7A25"/>
    <w:rsid w:val="48180B08"/>
    <w:rsid w:val="48276805"/>
    <w:rsid w:val="484E4529"/>
    <w:rsid w:val="485D6071"/>
    <w:rsid w:val="487B4BF3"/>
    <w:rsid w:val="490168B9"/>
    <w:rsid w:val="4957740E"/>
    <w:rsid w:val="49997A26"/>
    <w:rsid w:val="49D36A87"/>
    <w:rsid w:val="49FC09C8"/>
    <w:rsid w:val="4A301681"/>
    <w:rsid w:val="4A8550A5"/>
    <w:rsid w:val="4A9560CC"/>
    <w:rsid w:val="4A9D52F4"/>
    <w:rsid w:val="4AA04DE4"/>
    <w:rsid w:val="4AA429EA"/>
    <w:rsid w:val="4ABD14F2"/>
    <w:rsid w:val="4ACC3E2B"/>
    <w:rsid w:val="4ADE5AFE"/>
    <w:rsid w:val="4AF313B8"/>
    <w:rsid w:val="4B4439C2"/>
    <w:rsid w:val="4B693466"/>
    <w:rsid w:val="4BA60AB1"/>
    <w:rsid w:val="4BAF1783"/>
    <w:rsid w:val="4BB23021"/>
    <w:rsid w:val="4BB2670B"/>
    <w:rsid w:val="4BB365B5"/>
    <w:rsid w:val="4BC114B6"/>
    <w:rsid w:val="4BE34546"/>
    <w:rsid w:val="4BEB02E1"/>
    <w:rsid w:val="4BF37AF5"/>
    <w:rsid w:val="4BF94C2F"/>
    <w:rsid w:val="4C1635B0"/>
    <w:rsid w:val="4C906769"/>
    <w:rsid w:val="4CB93F3C"/>
    <w:rsid w:val="4CE74F4D"/>
    <w:rsid w:val="4D1473C4"/>
    <w:rsid w:val="4D1A2C2C"/>
    <w:rsid w:val="4D2E2B7B"/>
    <w:rsid w:val="4D4935A3"/>
    <w:rsid w:val="4DB35167"/>
    <w:rsid w:val="4DDF102B"/>
    <w:rsid w:val="4DE33966"/>
    <w:rsid w:val="4DEB6377"/>
    <w:rsid w:val="4E1844A1"/>
    <w:rsid w:val="4E43721F"/>
    <w:rsid w:val="4E5B75AC"/>
    <w:rsid w:val="4E5E1120"/>
    <w:rsid w:val="4E652874"/>
    <w:rsid w:val="4E731753"/>
    <w:rsid w:val="4E9208C3"/>
    <w:rsid w:val="4EDE6657"/>
    <w:rsid w:val="4EF26C2A"/>
    <w:rsid w:val="4F0C39F5"/>
    <w:rsid w:val="4F226DC8"/>
    <w:rsid w:val="4F234ACC"/>
    <w:rsid w:val="4F2A7373"/>
    <w:rsid w:val="4F3E697A"/>
    <w:rsid w:val="4F485A53"/>
    <w:rsid w:val="4F493C9D"/>
    <w:rsid w:val="4F5E53C7"/>
    <w:rsid w:val="4F6351A5"/>
    <w:rsid w:val="4F7EFCB4"/>
    <w:rsid w:val="4F7F44DF"/>
    <w:rsid w:val="4FA71C3F"/>
    <w:rsid w:val="4FAE5BAC"/>
    <w:rsid w:val="4FB84E80"/>
    <w:rsid w:val="4FBA3692"/>
    <w:rsid w:val="4FE985C7"/>
    <w:rsid w:val="500C08AC"/>
    <w:rsid w:val="501C6CBB"/>
    <w:rsid w:val="502703FE"/>
    <w:rsid w:val="505C668F"/>
    <w:rsid w:val="50601F36"/>
    <w:rsid w:val="507329BF"/>
    <w:rsid w:val="50964CC0"/>
    <w:rsid w:val="50AB003F"/>
    <w:rsid w:val="50FE0AB7"/>
    <w:rsid w:val="51042AC7"/>
    <w:rsid w:val="512978E2"/>
    <w:rsid w:val="51346847"/>
    <w:rsid w:val="515D758B"/>
    <w:rsid w:val="5161537B"/>
    <w:rsid w:val="516C5CF7"/>
    <w:rsid w:val="51867B3E"/>
    <w:rsid w:val="519D3E2C"/>
    <w:rsid w:val="51A575B0"/>
    <w:rsid w:val="51C21AE4"/>
    <w:rsid w:val="51C25FE7"/>
    <w:rsid w:val="51C969CF"/>
    <w:rsid w:val="51F41FF1"/>
    <w:rsid w:val="51FF4AE6"/>
    <w:rsid w:val="520774F7"/>
    <w:rsid w:val="520C5A74"/>
    <w:rsid w:val="525564B4"/>
    <w:rsid w:val="525B75EF"/>
    <w:rsid w:val="526341EB"/>
    <w:rsid w:val="52666914"/>
    <w:rsid w:val="5267529D"/>
    <w:rsid w:val="526D5CE7"/>
    <w:rsid w:val="52902DFA"/>
    <w:rsid w:val="52DB2E5E"/>
    <w:rsid w:val="53135B7C"/>
    <w:rsid w:val="5314011E"/>
    <w:rsid w:val="53360094"/>
    <w:rsid w:val="5346796B"/>
    <w:rsid w:val="535D0510"/>
    <w:rsid w:val="536B319B"/>
    <w:rsid w:val="53755060"/>
    <w:rsid w:val="539D0113"/>
    <w:rsid w:val="53A6051D"/>
    <w:rsid w:val="53A76F3B"/>
    <w:rsid w:val="53AF2171"/>
    <w:rsid w:val="53B60FA0"/>
    <w:rsid w:val="53B92BD0"/>
    <w:rsid w:val="53C27B7A"/>
    <w:rsid w:val="53E61F03"/>
    <w:rsid w:val="5406215C"/>
    <w:rsid w:val="542E6C2A"/>
    <w:rsid w:val="547215A0"/>
    <w:rsid w:val="548D63DA"/>
    <w:rsid w:val="54AA699E"/>
    <w:rsid w:val="54BE5581"/>
    <w:rsid w:val="54C3413E"/>
    <w:rsid w:val="54C343AC"/>
    <w:rsid w:val="54E67898"/>
    <w:rsid w:val="550C37A2"/>
    <w:rsid w:val="55124B31"/>
    <w:rsid w:val="552C7A66"/>
    <w:rsid w:val="55363B79"/>
    <w:rsid w:val="55367AA1"/>
    <w:rsid w:val="553757FC"/>
    <w:rsid w:val="556233C2"/>
    <w:rsid w:val="55690BF5"/>
    <w:rsid w:val="55A0038E"/>
    <w:rsid w:val="55F85AD5"/>
    <w:rsid w:val="56113BC9"/>
    <w:rsid w:val="563F6BD5"/>
    <w:rsid w:val="56621F53"/>
    <w:rsid w:val="566D4FAA"/>
    <w:rsid w:val="566D64C3"/>
    <w:rsid w:val="5677F382"/>
    <w:rsid w:val="56B9194B"/>
    <w:rsid w:val="56DA167E"/>
    <w:rsid w:val="56EFBCE7"/>
    <w:rsid w:val="56F79C35"/>
    <w:rsid w:val="571006E4"/>
    <w:rsid w:val="572556CD"/>
    <w:rsid w:val="5764574C"/>
    <w:rsid w:val="578E580A"/>
    <w:rsid w:val="57A11429"/>
    <w:rsid w:val="57B02EBF"/>
    <w:rsid w:val="58020E8D"/>
    <w:rsid w:val="581A12AA"/>
    <w:rsid w:val="583D01CF"/>
    <w:rsid w:val="58AD704A"/>
    <w:rsid w:val="58C63C68"/>
    <w:rsid w:val="58D50A2B"/>
    <w:rsid w:val="59362507"/>
    <w:rsid w:val="595A2986"/>
    <w:rsid w:val="596949DD"/>
    <w:rsid w:val="59C74AA1"/>
    <w:rsid w:val="59F04A62"/>
    <w:rsid w:val="59FC37A5"/>
    <w:rsid w:val="5A0013FC"/>
    <w:rsid w:val="5A1C694B"/>
    <w:rsid w:val="5A407A4A"/>
    <w:rsid w:val="5A4E09B0"/>
    <w:rsid w:val="5A56B2A4"/>
    <w:rsid w:val="5A6A4308"/>
    <w:rsid w:val="5A78538F"/>
    <w:rsid w:val="5A7B0A82"/>
    <w:rsid w:val="5A953685"/>
    <w:rsid w:val="5AA13369"/>
    <w:rsid w:val="5AA44386"/>
    <w:rsid w:val="5AB05047"/>
    <w:rsid w:val="5ABA15AB"/>
    <w:rsid w:val="5AE26D53"/>
    <w:rsid w:val="5AE723C6"/>
    <w:rsid w:val="5AF01470"/>
    <w:rsid w:val="5AFC6067"/>
    <w:rsid w:val="5B0A6B1D"/>
    <w:rsid w:val="5B1834F7"/>
    <w:rsid w:val="5B4475D9"/>
    <w:rsid w:val="5BD743DE"/>
    <w:rsid w:val="5BF07EDE"/>
    <w:rsid w:val="5BF60D08"/>
    <w:rsid w:val="5C0C052C"/>
    <w:rsid w:val="5C237623"/>
    <w:rsid w:val="5C2631A6"/>
    <w:rsid w:val="5C276FB7"/>
    <w:rsid w:val="5C4D4754"/>
    <w:rsid w:val="5C6F429B"/>
    <w:rsid w:val="5C700ABB"/>
    <w:rsid w:val="5C71038F"/>
    <w:rsid w:val="5C9C6B0B"/>
    <w:rsid w:val="5CA249EC"/>
    <w:rsid w:val="5CA73DB1"/>
    <w:rsid w:val="5CCE6402"/>
    <w:rsid w:val="5CDC6150"/>
    <w:rsid w:val="5CED7D9E"/>
    <w:rsid w:val="5D1A517B"/>
    <w:rsid w:val="5D4476A0"/>
    <w:rsid w:val="5D605600"/>
    <w:rsid w:val="5DEA6951"/>
    <w:rsid w:val="5E0A647D"/>
    <w:rsid w:val="5E343D6A"/>
    <w:rsid w:val="5E436EA1"/>
    <w:rsid w:val="5E5E6812"/>
    <w:rsid w:val="5E6737F7"/>
    <w:rsid w:val="5E776851"/>
    <w:rsid w:val="5E8B1BDC"/>
    <w:rsid w:val="5EA06D09"/>
    <w:rsid w:val="5EB729BA"/>
    <w:rsid w:val="5EF07C91"/>
    <w:rsid w:val="5F132FF0"/>
    <w:rsid w:val="5F1E0A25"/>
    <w:rsid w:val="5F335DCF"/>
    <w:rsid w:val="5F337B7D"/>
    <w:rsid w:val="5F48187B"/>
    <w:rsid w:val="5F4F0B4E"/>
    <w:rsid w:val="5F5572F2"/>
    <w:rsid w:val="5F6CADD2"/>
    <w:rsid w:val="5FB24ACC"/>
    <w:rsid w:val="5FBA55DB"/>
    <w:rsid w:val="5FCC5339"/>
    <w:rsid w:val="5FD01870"/>
    <w:rsid w:val="5FE77D07"/>
    <w:rsid w:val="5FEFCB6A"/>
    <w:rsid w:val="600864C5"/>
    <w:rsid w:val="60204437"/>
    <w:rsid w:val="60211516"/>
    <w:rsid w:val="60301004"/>
    <w:rsid w:val="60382473"/>
    <w:rsid w:val="603B26DF"/>
    <w:rsid w:val="603E67DA"/>
    <w:rsid w:val="605E3790"/>
    <w:rsid w:val="607E751E"/>
    <w:rsid w:val="609B1E7E"/>
    <w:rsid w:val="60E07891"/>
    <w:rsid w:val="60E45417"/>
    <w:rsid w:val="61161505"/>
    <w:rsid w:val="613227E3"/>
    <w:rsid w:val="61333E65"/>
    <w:rsid w:val="613876CD"/>
    <w:rsid w:val="614C5210"/>
    <w:rsid w:val="614F61F1"/>
    <w:rsid w:val="616A6E87"/>
    <w:rsid w:val="618049FD"/>
    <w:rsid w:val="618F2C11"/>
    <w:rsid w:val="61936344"/>
    <w:rsid w:val="619E1C26"/>
    <w:rsid w:val="61AB57EF"/>
    <w:rsid w:val="61E45BE1"/>
    <w:rsid w:val="61E52821"/>
    <w:rsid w:val="61F25ACE"/>
    <w:rsid w:val="61FC06FB"/>
    <w:rsid w:val="620E7C5F"/>
    <w:rsid w:val="62161BC7"/>
    <w:rsid w:val="623B56C7"/>
    <w:rsid w:val="62944DD7"/>
    <w:rsid w:val="6341070D"/>
    <w:rsid w:val="634C56B2"/>
    <w:rsid w:val="637901FC"/>
    <w:rsid w:val="638C3E3F"/>
    <w:rsid w:val="63972DD1"/>
    <w:rsid w:val="63A075C4"/>
    <w:rsid w:val="63A92582"/>
    <w:rsid w:val="63BB361B"/>
    <w:rsid w:val="642C6F17"/>
    <w:rsid w:val="64427DEE"/>
    <w:rsid w:val="64793B97"/>
    <w:rsid w:val="648D523F"/>
    <w:rsid w:val="64970BAF"/>
    <w:rsid w:val="64B475B4"/>
    <w:rsid w:val="64C64FF0"/>
    <w:rsid w:val="64C92E5D"/>
    <w:rsid w:val="64E421D7"/>
    <w:rsid w:val="65000502"/>
    <w:rsid w:val="652FD859"/>
    <w:rsid w:val="65474383"/>
    <w:rsid w:val="65662D40"/>
    <w:rsid w:val="658E3D60"/>
    <w:rsid w:val="65975ABE"/>
    <w:rsid w:val="65980C88"/>
    <w:rsid w:val="65E358B9"/>
    <w:rsid w:val="65FC3B45"/>
    <w:rsid w:val="665F12E2"/>
    <w:rsid w:val="6677416F"/>
    <w:rsid w:val="667E2026"/>
    <w:rsid w:val="66903B07"/>
    <w:rsid w:val="66DBAC17"/>
    <w:rsid w:val="66EA3BE6"/>
    <w:rsid w:val="6721001D"/>
    <w:rsid w:val="67334BBF"/>
    <w:rsid w:val="67380427"/>
    <w:rsid w:val="6739419F"/>
    <w:rsid w:val="674768BC"/>
    <w:rsid w:val="678629DB"/>
    <w:rsid w:val="679259FF"/>
    <w:rsid w:val="67987117"/>
    <w:rsid w:val="679F2254"/>
    <w:rsid w:val="67C47140"/>
    <w:rsid w:val="67D23AAF"/>
    <w:rsid w:val="67D363A2"/>
    <w:rsid w:val="680907F4"/>
    <w:rsid w:val="682E5386"/>
    <w:rsid w:val="68354427"/>
    <w:rsid w:val="686F41A0"/>
    <w:rsid w:val="687C5E53"/>
    <w:rsid w:val="687E455F"/>
    <w:rsid w:val="68B7625C"/>
    <w:rsid w:val="68CA77A4"/>
    <w:rsid w:val="68D12617"/>
    <w:rsid w:val="68FA02C2"/>
    <w:rsid w:val="69117181"/>
    <w:rsid w:val="691B590A"/>
    <w:rsid w:val="69344C1E"/>
    <w:rsid w:val="6944742F"/>
    <w:rsid w:val="69613711"/>
    <w:rsid w:val="697F233D"/>
    <w:rsid w:val="69B018C1"/>
    <w:rsid w:val="69D912FF"/>
    <w:rsid w:val="69F85C4B"/>
    <w:rsid w:val="6A010FA4"/>
    <w:rsid w:val="6A2A7525"/>
    <w:rsid w:val="6A58163F"/>
    <w:rsid w:val="6A5F748C"/>
    <w:rsid w:val="6A7C062B"/>
    <w:rsid w:val="6AA84602"/>
    <w:rsid w:val="6ABC136F"/>
    <w:rsid w:val="6AC61871"/>
    <w:rsid w:val="6AE85CC0"/>
    <w:rsid w:val="6AF61265"/>
    <w:rsid w:val="6B0A3E88"/>
    <w:rsid w:val="6B0B007F"/>
    <w:rsid w:val="6B155A49"/>
    <w:rsid w:val="6B5F3D12"/>
    <w:rsid w:val="6B8568CE"/>
    <w:rsid w:val="6BB6110A"/>
    <w:rsid w:val="6BBA12EE"/>
    <w:rsid w:val="6BCA74BB"/>
    <w:rsid w:val="6BCF0C2E"/>
    <w:rsid w:val="6C134FBF"/>
    <w:rsid w:val="6C643B3D"/>
    <w:rsid w:val="6C7C7008"/>
    <w:rsid w:val="6C950778"/>
    <w:rsid w:val="6CC369E5"/>
    <w:rsid w:val="6CC47E5A"/>
    <w:rsid w:val="6CDE737B"/>
    <w:rsid w:val="6D152C7A"/>
    <w:rsid w:val="6D3708FB"/>
    <w:rsid w:val="6D401DE3"/>
    <w:rsid w:val="6D5835D1"/>
    <w:rsid w:val="6D632B13"/>
    <w:rsid w:val="6D6533EB"/>
    <w:rsid w:val="6D8A305E"/>
    <w:rsid w:val="6D8C6AB1"/>
    <w:rsid w:val="6D9050BE"/>
    <w:rsid w:val="6DA7245C"/>
    <w:rsid w:val="6DAD1DA4"/>
    <w:rsid w:val="6DD469CF"/>
    <w:rsid w:val="6E1B2AED"/>
    <w:rsid w:val="6E3154F8"/>
    <w:rsid w:val="6E4A456A"/>
    <w:rsid w:val="6E5518BE"/>
    <w:rsid w:val="6E9835C9"/>
    <w:rsid w:val="6E9D0F19"/>
    <w:rsid w:val="6EA13F6B"/>
    <w:rsid w:val="6EC604AB"/>
    <w:rsid w:val="6ECF62E4"/>
    <w:rsid w:val="6EE41D4A"/>
    <w:rsid w:val="6EEA46FD"/>
    <w:rsid w:val="6F101C89"/>
    <w:rsid w:val="6F152D9A"/>
    <w:rsid w:val="6F600666"/>
    <w:rsid w:val="6F6179BD"/>
    <w:rsid w:val="6F87083E"/>
    <w:rsid w:val="6F9B22A2"/>
    <w:rsid w:val="6FA526CF"/>
    <w:rsid w:val="6FA64098"/>
    <w:rsid w:val="6FB865A9"/>
    <w:rsid w:val="6FD107B4"/>
    <w:rsid w:val="6FE7D2BF"/>
    <w:rsid w:val="6FEF1DE7"/>
    <w:rsid w:val="6FFF7C0E"/>
    <w:rsid w:val="701F7152"/>
    <w:rsid w:val="7049709F"/>
    <w:rsid w:val="7073599E"/>
    <w:rsid w:val="70736AC3"/>
    <w:rsid w:val="707FDCA3"/>
    <w:rsid w:val="70865C9C"/>
    <w:rsid w:val="708A4D58"/>
    <w:rsid w:val="708F6BDE"/>
    <w:rsid w:val="70995FB2"/>
    <w:rsid w:val="70A42689"/>
    <w:rsid w:val="70AC0354"/>
    <w:rsid w:val="70B5505B"/>
    <w:rsid w:val="70B64CF9"/>
    <w:rsid w:val="71286E22"/>
    <w:rsid w:val="713E48B1"/>
    <w:rsid w:val="717D2A82"/>
    <w:rsid w:val="71A566B9"/>
    <w:rsid w:val="71DB20DB"/>
    <w:rsid w:val="71DC5974"/>
    <w:rsid w:val="72273572"/>
    <w:rsid w:val="722C6DDA"/>
    <w:rsid w:val="722D78DE"/>
    <w:rsid w:val="724508C1"/>
    <w:rsid w:val="72583E79"/>
    <w:rsid w:val="725A654C"/>
    <w:rsid w:val="72602357"/>
    <w:rsid w:val="72C45265"/>
    <w:rsid w:val="72D8187A"/>
    <w:rsid w:val="730506BB"/>
    <w:rsid w:val="73153BB6"/>
    <w:rsid w:val="731C29AB"/>
    <w:rsid w:val="734F61F6"/>
    <w:rsid w:val="735E0EFB"/>
    <w:rsid w:val="737547B1"/>
    <w:rsid w:val="737650A4"/>
    <w:rsid w:val="73941CCC"/>
    <w:rsid w:val="73993FFB"/>
    <w:rsid w:val="739F0CFB"/>
    <w:rsid w:val="73AA26AC"/>
    <w:rsid w:val="73AE12EC"/>
    <w:rsid w:val="73AF3118"/>
    <w:rsid w:val="73C117A4"/>
    <w:rsid w:val="74222C41"/>
    <w:rsid w:val="744213FF"/>
    <w:rsid w:val="744A1799"/>
    <w:rsid w:val="7491607B"/>
    <w:rsid w:val="74AB66DC"/>
    <w:rsid w:val="74DB6895"/>
    <w:rsid w:val="74DEE34C"/>
    <w:rsid w:val="74FB609D"/>
    <w:rsid w:val="74FE3011"/>
    <w:rsid w:val="751029E3"/>
    <w:rsid w:val="7512497F"/>
    <w:rsid w:val="755201BF"/>
    <w:rsid w:val="75532CC9"/>
    <w:rsid w:val="75581C94"/>
    <w:rsid w:val="756E5C8B"/>
    <w:rsid w:val="757F36C5"/>
    <w:rsid w:val="75AE7D3B"/>
    <w:rsid w:val="75B01F58"/>
    <w:rsid w:val="75CE4A51"/>
    <w:rsid w:val="75D27C98"/>
    <w:rsid w:val="75FF7042"/>
    <w:rsid w:val="7603295D"/>
    <w:rsid w:val="760925E8"/>
    <w:rsid w:val="76487F5B"/>
    <w:rsid w:val="76845500"/>
    <w:rsid w:val="76934ECB"/>
    <w:rsid w:val="7696746C"/>
    <w:rsid w:val="76BD3B8F"/>
    <w:rsid w:val="76F58E6F"/>
    <w:rsid w:val="76FD6F97"/>
    <w:rsid w:val="77076AA4"/>
    <w:rsid w:val="770C0F88"/>
    <w:rsid w:val="77100A78"/>
    <w:rsid w:val="77107490"/>
    <w:rsid w:val="774DFFB0"/>
    <w:rsid w:val="7754671E"/>
    <w:rsid w:val="77705895"/>
    <w:rsid w:val="777233CA"/>
    <w:rsid w:val="777DC016"/>
    <w:rsid w:val="77B04C16"/>
    <w:rsid w:val="77BA4E88"/>
    <w:rsid w:val="77BEBB5C"/>
    <w:rsid w:val="77C11D73"/>
    <w:rsid w:val="77C61FA0"/>
    <w:rsid w:val="77D17A45"/>
    <w:rsid w:val="77D744B6"/>
    <w:rsid w:val="77E14875"/>
    <w:rsid w:val="77FE2FC7"/>
    <w:rsid w:val="78055809"/>
    <w:rsid w:val="78125870"/>
    <w:rsid w:val="78623556"/>
    <w:rsid w:val="786728C9"/>
    <w:rsid w:val="78743151"/>
    <w:rsid w:val="78867F50"/>
    <w:rsid w:val="78A7540C"/>
    <w:rsid w:val="78C22246"/>
    <w:rsid w:val="78E82ECC"/>
    <w:rsid w:val="79061938"/>
    <w:rsid w:val="791B1604"/>
    <w:rsid w:val="797572B9"/>
    <w:rsid w:val="79A90D10"/>
    <w:rsid w:val="79B0209F"/>
    <w:rsid w:val="79BF480D"/>
    <w:rsid w:val="79CE4C1B"/>
    <w:rsid w:val="79CF5E40"/>
    <w:rsid w:val="79D51B05"/>
    <w:rsid w:val="7A0B7C1A"/>
    <w:rsid w:val="7A301431"/>
    <w:rsid w:val="7A344A7E"/>
    <w:rsid w:val="7A42505B"/>
    <w:rsid w:val="7A5F5873"/>
    <w:rsid w:val="7A6A1622"/>
    <w:rsid w:val="7A7815A3"/>
    <w:rsid w:val="7A886B78"/>
    <w:rsid w:val="7A9A3B0E"/>
    <w:rsid w:val="7AE936A4"/>
    <w:rsid w:val="7B226FCC"/>
    <w:rsid w:val="7B5178B1"/>
    <w:rsid w:val="7B6E1C39"/>
    <w:rsid w:val="7B9D74A9"/>
    <w:rsid w:val="7BA615A2"/>
    <w:rsid w:val="7BB8348D"/>
    <w:rsid w:val="7BB95E55"/>
    <w:rsid w:val="7BD41ECB"/>
    <w:rsid w:val="7BDE554C"/>
    <w:rsid w:val="7BF3D4AF"/>
    <w:rsid w:val="7BF546E1"/>
    <w:rsid w:val="7BFF585B"/>
    <w:rsid w:val="7C031C34"/>
    <w:rsid w:val="7C1161AD"/>
    <w:rsid w:val="7C1F175E"/>
    <w:rsid w:val="7C575A25"/>
    <w:rsid w:val="7C5D696C"/>
    <w:rsid w:val="7C7B014B"/>
    <w:rsid w:val="7C8017F9"/>
    <w:rsid w:val="7CDFA69B"/>
    <w:rsid w:val="7D0B0B62"/>
    <w:rsid w:val="7D0F17D2"/>
    <w:rsid w:val="7D337C34"/>
    <w:rsid w:val="7D40373A"/>
    <w:rsid w:val="7D4A0A5C"/>
    <w:rsid w:val="7D580E3B"/>
    <w:rsid w:val="7D7E6B8B"/>
    <w:rsid w:val="7DBFAEB0"/>
    <w:rsid w:val="7DC55265"/>
    <w:rsid w:val="7DCD02A0"/>
    <w:rsid w:val="7DEB3451"/>
    <w:rsid w:val="7DFF5852"/>
    <w:rsid w:val="7E3D5ECB"/>
    <w:rsid w:val="7E4E1E86"/>
    <w:rsid w:val="7E502DF4"/>
    <w:rsid w:val="7E576F8D"/>
    <w:rsid w:val="7E5E6C4A"/>
    <w:rsid w:val="7E6B34F5"/>
    <w:rsid w:val="7E7B1E6F"/>
    <w:rsid w:val="7E7B3A3F"/>
    <w:rsid w:val="7E85299E"/>
    <w:rsid w:val="7E8B30DA"/>
    <w:rsid w:val="7EAB72D9"/>
    <w:rsid w:val="7EBF4B32"/>
    <w:rsid w:val="7EBFF13C"/>
    <w:rsid w:val="7EC91358"/>
    <w:rsid w:val="7ED7DDCE"/>
    <w:rsid w:val="7EED08B7"/>
    <w:rsid w:val="7F07550C"/>
    <w:rsid w:val="7F0D1D41"/>
    <w:rsid w:val="7F141322"/>
    <w:rsid w:val="7F1453DB"/>
    <w:rsid w:val="7F172C2E"/>
    <w:rsid w:val="7F1E1CCB"/>
    <w:rsid w:val="7F341DFF"/>
    <w:rsid w:val="7F351859"/>
    <w:rsid w:val="7F3F7BBC"/>
    <w:rsid w:val="7F6734C2"/>
    <w:rsid w:val="7F7F6932"/>
    <w:rsid w:val="7F7FAF50"/>
    <w:rsid w:val="7F7FE64A"/>
    <w:rsid w:val="7F9B49B0"/>
    <w:rsid w:val="7FBC67F5"/>
    <w:rsid w:val="7FCDF314"/>
    <w:rsid w:val="7FDC3989"/>
    <w:rsid w:val="7FDD72CD"/>
    <w:rsid w:val="7FEA09E2"/>
    <w:rsid w:val="7FEC1957"/>
    <w:rsid w:val="7FF37189"/>
    <w:rsid w:val="7FF7507A"/>
    <w:rsid w:val="7FF754A0"/>
    <w:rsid w:val="9E7FB5C6"/>
    <w:rsid w:val="9FBD6E3A"/>
    <w:rsid w:val="A7A68469"/>
    <w:rsid w:val="ABB51C1B"/>
    <w:rsid w:val="AFB7940F"/>
    <w:rsid w:val="AFBBF067"/>
    <w:rsid w:val="B1FF1592"/>
    <w:rsid w:val="B5FF2DC1"/>
    <w:rsid w:val="B7D75C42"/>
    <w:rsid w:val="B9F775B7"/>
    <w:rsid w:val="BC936312"/>
    <w:rsid w:val="BD7BCB8D"/>
    <w:rsid w:val="BDFF1568"/>
    <w:rsid w:val="BDFFED4C"/>
    <w:rsid w:val="BEDF50DF"/>
    <w:rsid w:val="BF7F7A46"/>
    <w:rsid w:val="BFBA9DBF"/>
    <w:rsid w:val="BFD75EF3"/>
    <w:rsid w:val="BFD7F7BE"/>
    <w:rsid w:val="BFEA60F3"/>
    <w:rsid w:val="BFF4EE88"/>
    <w:rsid w:val="C6DEE6AD"/>
    <w:rsid w:val="C6DF4D2C"/>
    <w:rsid w:val="CDDF8D29"/>
    <w:rsid w:val="CDEF3FA2"/>
    <w:rsid w:val="CF7B6F3E"/>
    <w:rsid w:val="D2B781E6"/>
    <w:rsid w:val="D47FFD19"/>
    <w:rsid w:val="D6F3290F"/>
    <w:rsid w:val="D7EB514D"/>
    <w:rsid w:val="D7FE6EF6"/>
    <w:rsid w:val="DB2EA37C"/>
    <w:rsid w:val="DE3FAC83"/>
    <w:rsid w:val="DFB72C70"/>
    <w:rsid w:val="DFF3BE51"/>
    <w:rsid w:val="DFFA7DB7"/>
    <w:rsid w:val="E4EB1C6E"/>
    <w:rsid w:val="E75F9682"/>
    <w:rsid w:val="E7FB8D6D"/>
    <w:rsid w:val="EA0B12A9"/>
    <w:rsid w:val="EBF68805"/>
    <w:rsid w:val="EEE7E7A4"/>
    <w:rsid w:val="EF36CB4F"/>
    <w:rsid w:val="EFF60C47"/>
    <w:rsid w:val="F1F511E9"/>
    <w:rsid w:val="F4F5EFC9"/>
    <w:rsid w:val="F68F70A5"/>
    <w:rsid w:val="F7BBF211"/>
    <w:rsid w:val="F7DEF1EE"/>
    <w:rsid w:val="F7EBEF86"/>
    <w:rsid w:val="F7F38D57"/>
    <w:rsid w:val="F7FF55DE"/>
    <w:rsid w:val="F98567CE"/>
    <w:rsid w:val="F9BEFF0E"/>
    <w:rsid w:val="FADDB4F8"/>
    <w:rsid w:val="FAE9CD5D"/>
    <w:rsid w:val="FB5F9FE3"/>
    <w:rsid w:val="FB692196"/>
    <w:rsid w:val="FD7DC39C"/>
    <w:rsid w:val="FDAD4A42"/>
    <w:rsid w:val="FDB488BE"/>
    <w:rsid w:val="FDCE86CD"/>
    <w:rsid w:val="FDEC5532"/>
    <w:rsid w:val="FDEE4AAB"/>
    <w:rsid w:val="FDF48445"/>
    <w:rsid w:val="FDFDD994"/>
    <w:rsid w:val="FDFE196F"/>
    <w:rsid w:val="FDFFA531"/>
    <w:rsid w:val="FE7E9E63"/>
    <w:rsid w:val="FEBDE989"/>
    <w:rsid w:val="FEBF0BE3"/>
    <w:rsid w:val="FEF5BAD6"/>
    <w:rsid w:val="FF572B2E"/>
    <w:rsid w:val="FF7B3FA7"/>
    <w:rsid w:val="FFCF1407"/>
    <w:rsid w:val="FFDF63B8"/>
    <w:rsid w:val="FFE70018"/>
    <w:rsid w:val="FFEF422E"/>
    <w:rsid w:val="FFF82716"/>
    <w:rsid w:val="FFFAA7B2"/>
    <w:rsid w:val="FFFDC16F"/>
    <w:rsid w:val="FFFE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napToGrid w:val="0"/>
      <w:spacing w:line="560" w:lineRule="exact"/>
      <w:ind w:firstLine="200" w:firstLineChars="200"/>
      <w:jc w:val="both"/>
    </w:pPr>
    <w:rPr>
      <w:rFonts w:ascii="仿宋" w:hAnsi="仿宋" w:cs="仿宋"/>
    </w:rPr>
  </w:style>
  <w:style w:type="paragraph" w:styleId="3">
    <w:name w:val="Body Text"/>
    <w:basedOn w:val="1"/>
    <w:next w:val="4"/>
    <w:unhideWhenUsed/>
    <w:qFormat/>
    <w:uiPriority w:val="0"/>
    <w:pPr>
      <w:spacing w:after="120"/>
    </w:pPr>
    <w:rPr>
      <w:sz w:val="24"/>
    </w:rPr>
  </w:style>
  <w:style w:type="paragraph" w:styleId="4">
    <w:name w:val="Body Text 2"/>
    <w:basedOn w:val="1"/>
    <w:qFormat/>
    <w:uiPriority w:val="99"/>
    <w:pPr>
      <w:widowControl w:val="0"/>
      <w:spacing w:before="240"/>
      <w:jc w:val="both"/>
    </w:pPr>
    <w:rPr>
      <w:rFonts w:ascii="Calibri" w:hAnsi="Calibri" w:eastAsia="宋体" w:cs="Times New Roman"/>
      <w:color w:val="FF0000"/>
      <w:kern w:val="2"/>
      <w:sz w:val="21"/>
      <w:szCs w:val="24"/>
      <w:lang w:val="en-US" w:eastAsia="zh-CN" w:bidi="ar-SA"/>
    </w:rPr>
  </w:style>
  <w:style w:type="paragraph" w:styleId="7">
    <w:name w:val="Normal Indent"/>
    <w:basedOn w:val="1"/>
    <w:qFormat/>
    <w:uiPriority w:val="0"/>
    <w:pPr>
      <w:ind w:firstLine="420" w:firstLineChars="200"/>
    </w:pPr>
    <w:rPr>
      <w:szCs w:val="20"/>
    </w:rPr>
  </w:style>
  <w:style w:type="paragraph" w:styleId="8">
    <w:name w:val="annotation text"/>
    <w:basedOn w:val="1"/>
    <w:unhideWhenUsed/>
    <w:qFormat/>
    <w:uiPriority w:val="0"/>
    <w:pPr>
      <w:jc w:val="left"/>
    </w:pPr>
    <w:rPr>
      <w:kern w:val="0"/>
      <w:sz w:val="20"/>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style>
  <w:style w:type="paragraph" w:styleId="15">
    <w:name w:val="toc 2"/>
    <w:basedOn w:val="1"/>
    <w:next w:val="1"/>
    <w:qFormat/>
    <w:uiPriority w:val="0"/>
    <w:pPr>
      <w:spacing w:line="600" w:lineRule="exact"/>
      <w:ind w:firstLine="880" w:firstLineChars="200"/>
    </w:pPr>
    <w:rPr>
      <w:rFonts w:eastAsia="仿宋_GB2312"/>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character" w:styleId="20">
    <w:name w:val="Strong"/>
    <w:basedOn w:val="19"/>
    <w:qFormat/>
    <w:uiPriority w:val="0"/>
    <w:rPr>
      <w:b/>
    </w:rPr>
  </w:style>
  <w:style w:type="character" w:styleId="21">
    <w:name w:val="page number"/>
    <w:qFormat/>
    <w:uiPriority w:val="0"/>
  </w:style>
  <w:style w:type="paragraph" w:styleId="2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3">
    <w:name w:val="正文格式"/>
    <w:basedOn w:val="9"/>
    <w:qFormat/>
    <w:uiPriority w:val="99"/>
    <w:pPr>
      <w:spacing w:after="0" w:line="360" w:lineRule="auto"/>
      <w:ind w:left="0" w:leftChars="0" w:firstLine="600"/>
    </w:pPr>
    <w:rPr>
      <w:rFonts w:eastAsia="仿宋_GB2312"/>
      <w:sz w:val="30"/>
      <w:szCs w:val="30"/>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5">
    <w:name w:val="List Paragraph"/>
    <w:basedOn w:val="1"/>
    <w:qFormat/>
    <w:uiPriority w:val="34"/>
    <w:pPr>
      <w:ind w:firstLine="420" w:firstLineChars="200"/>
    </w:pPr>
  </w:style>
  <w:style w:type="paragraph" w:customStyle="1" w:styleId="26">
    <w:name w:val="（）列表模式"/>
    <w:basedOn w:val="1"/>
    <w:qFormat/>
    <w:uiPriority w:val="0"/>
    <w:pPr>
      <w:tabs>
        <w:tab w:val="left" w:pos="960"/>
        <w:tab w:val="left" w:pos="1470"/>
      </w:tabs>
      <w:spacing w:line="360" w:lineRule="auto"/>
      <w:ind w:left="1470" w:hanging="420"/>
    </w:pPr>
    <w:rPr>
      <w:sz w:val="24"/>
      <w:szCs w:val="20"/>
    </w:r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qowt-font5-gb2312"/>
    <w:qFormat/>
    <w:uiPriority w:val="0"/>
  </w:style>
  <w:style w:type="paragraph" w:customStyle="1" w:styleId="30">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1">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32">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42207</Words>
  <Characters>44907</Characters>
  <Lines>0</Lines>
  <Paragraphs>0</Paragraphs>
  <TotalTime>3</TotalTime>
  <ScaleCrop>false</ScaleCrop>
  <LinksUpToDate>false</LinksUpToDate>
  <CharactersWithSpaces>46862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2023-11-15T20:59:00Z</dcterms:created>
  <dc:creator>姬崽</dc:creator>
  <cp:lastModifiedBy>陈可欣</cp:lastModifiedBy>
  <dcterms:modified xsi:type="dcterms:W3CDTF">2024-09-11T06:16:20Z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C5B2B10C09E24E1499CAE7B23C272841_13</vt:lpwstr>
  </property>
</Properties>
</file>