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72"/>
          <w:szCs w:val="72"/>
          <w:highlight w:val="none"/>
        </w:rPr>
      </w:pPr>
    </w:p>
    <w:p>
      <w:pPr>
        <w:pStyle w:val="10"/>
        <w:rPr>
          <w:rFonts w:hint="eastAsia"/>
          <w:color w:val="auto"/>
          <w:highlight w:val="none"/>
        </w:rPr>
      </w:pPr>
    </w:p>
    <w:p>
      <w:pPr>
        <w:rPr>
          <w:rFonts w:hint="eastAsia"/>
          <w:color w:val="auto"/>
          <w:highlight w:val="none"/>
        </w:rPr>
      </w:pPr>
    </w:p>
    <w:p>
      <w:pPr>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简易招标文件</w:t>
      </w:r>
    </w:p>
    <w:p>
      <w:pPr>
        <w:jc w:val="center"/>
        <w:rPr>
          <w:rFonts w:hint="eastAsia" w:ascii="宋体" w:hAnsi="宋体" w:cs="宋体"/>
          <w:color w:val="auto"/>
          <w:highlight w:val="none"/>
        </w:rPr>
      </w:pPr>
    </w:p>
    <w:p>
      <w:pPr>
        <w:rPr>
          <w:rFonts w:hint="eastAsia" w:ascii="宋体" w:hAnsi="宋体" w:cs="宋体"/>
          <w:color w:val="auto"/>
          <w:highlight w:val="none"/>
        </w:rPr>
      </w:pPr>
    </w:p>
    <w:p>
      <w:pPr>
        <w:pStyle w:val="56"/>
        <w:ind w:firstLine="420"/>
        <w:rPr>
          <w:rFonts w:hint="eastAsia" w:ascii="宋体" w:hAnsi="宋体" w:cs="宋体"/>
          <w:color w:val="auto"/>
          <w:highlight w:val="none"/>
        </w:rPr>
      </w:pPr>
    </w:p>
    <w:p>
      <w:pPr>
        <w:pStyle w:val="56"/>
        <w:ind w:firstLine="420"/>
        <w:rPr>
          <w:rFonts w:hint="eastAsia" w:ascii="宋体" w:hAnsi="宋体" w:cs="宋体"/>
          <w:color w:val="auto"/>
          <w:highlight w:val="none"/>
        </w:rPr>
      </w:pPr>
    </w:p>
    <w:p>
      <w:pPr>
        <w:rPr>
          <w:rFonts w:hint="eastAsia" w:ascii="宋体" w:hAnsi="宋体" w:cs="宋体"/>
          <w:b/>
          <w:color w:val="auto"/>
          <w:sz w:val="44"/>
          <w:highlight w:val="none"/>
        </w:rPr>
      </w:pPr>
    </w:p>
    <w:p>
      <w:pPr>
        <w:ind w:left="2326" w:leftChars="247" w:right="-319" w:rightChars="-152" w:hanging="1807" w:hangingChars="5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招标编号：</w:t>
      </w:r>
      <w:r>
        <w:rPr>
          <w:rFonts w:hint="eastAsia" w:ascii="宋体" w:hAnsi="宋体" w:cs="宋体"/>
          <w:b/>
          <w:color w:val="auto"/>
          <w:sz w:val="36"/>
          <w:szCs w:val="36"/>
          <w:highlight w:val="none"/>
          <w:lang w:eastAsia="zh-CN"/>
        </w:rPr>
        <w:t>QH2023</w:t>
      </w:r>
      <w:r>
        <w:rPr>
          <w:rFonts w:hint="default" w:ascii="宋体" w:hAnsi="宋体" w:cs="宋体"/>
          <w:b/>
          <w:color w:val="auto"/>
          <w:sz w:val="36"/>
          <w:szCs w:val="36"/>
          <w:highlight w:val="none"/>
          <w:lang w:val="en-US" w:eastAsia="zh-CN"/>
        </w:rPr>
        <w:t>071</w:t>
      </w:r>
    </w:p>
    <w:p>
      <w:pPr>
        <w:pStyle w:val="56"/>
        <w:ind w:firstLine="420"/>
        <w:rPr>
          <w:rFonts w:hint="eastAsia" w:ascii="宋体" w:hAnsi="宋体" w:cs="宋体"/>
          <w:color w:val="auto"/>
          <w:highlight w:val="none"/>
        </w:rPr>
      </w:pPr>
    </w:p>
    <w:p>
      <w:pPr>
        <w:pStyle w:val="56"/>
        <w:ind w:firstLine="420"/>
        <w:rPr>
          <w:rFonts w:hint="eastAsia" w:ascii="宋体" w:hAnsi="宋体" w:cs="宋体"/>
          <w:color w:val="auto"/>
          <w:highlight w:val="none"/>
        </w:rPr>
      </w:pPr>
    </w:p>
    <w:p>
      <w:pPr>
        <w:pStyle w:val="56"/>
        <w:ind w:firstLine="420"/>
        <w:rPr>
          <w:rFonts w:hint="eastAsia" w:ascii="宋体" w:hAnsi="宋体" w:cs="宋体"/>
          <w:color w:val="auto"/>
          <w:highlight w:val="none"/>
        </w:rPr>
      </w:pPr>
    </w:p>
    <w:p>
      <w:pPr>
        <w:ind w:left="2326" w:leftChars="247" w:right="-319" w:rightChars="-152" w:hanging="1807" w:hangingChars="5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招标项目：</w:t>
      </w:r>
      <w:r>
        <w:rPr>
          <w:rFonts w:hint="eastAsia" w:ascii="宋体" w:hAnsi="宋体" w:cs="宋体"/>
          <w:b/>
          <w:color w:val="auto"/>
          <w:sz w:val="36"/>
          <w:szCs w:val="36"/>
          <w:highlight w:val="none"/>
          <w:lang w:eastAsia="zh-CN"/>
        </w:rPr>
        <w:t>前海管理局国有资产清查项目</w:t>
      </w:r>
    </w:p>
    <w:p>
      <w:pPr>
        <w:ind w:firstLine="3264" w:firstLineChars="739"/>
        <w:rPr>
          <w:rFonts w:hint="eastAsia" w:ascii="宋体" w:hAnsi="宋体" w:cs="宋体"/>
          <w:b/>
          <w:color w:val="auto"/>
          <w:sz w:val="44"/>
          <w:highlight w:val="none"/>
        </w:rPr>
      </w:pPr>
    </w:p>
    <w:p>
      <w:pPr>
        <w:ind w:left="1260" w:leftChars="600" w:firstLine="1855" w:firstLineChars="420"/>
        <w:rPr>
          <w:rFonts w:hint="eastAsia" w:ascii="宋体" w:hAnsi="宋体" w:cs="宋体"/>
          <w:b/>
          <w:color w:val="auto"/>
          <w:sz w:val="44"/>
          <w:highlight w:val="none"/>
        </w:rPr>
      </w:pPr>
    </w:p>
    <w:p>
      <w:pPr>
        <w:rPr>
          <w:rFonts w:hint="eastAsia" w:ascii="宋体" w:hAnsi="宋体" w:cs="宋体"/>
          <w:b/>
          <w:color w:val="auto"/>
          <w:sz w:val="44"/>
          <w:highlight w:val="none"/>
        </w:rPr>
      </w:pPr>
    </w:p>
    <w:p>
      <w:pPr>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深圳市前海深港现代服务业合作区管理局</w:t>
      </w:r>
    </w:p>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2023年</w:t>
      </w:r>
      <w:r>
        <w:rPr>
          <w:rFonts w:hint="default" w:ascii="宋体" w:hAnsi="宋体" w:cs="宋体"/>
          <w:b/>
          <w:bCs/>
          <w:color w:val="auto"/>
          <w:sz w:val="36"/>
          <w:szCs w:val="36"/>
          <w:highlight w:val="none"/>
          <w:lang w:eastAsia="zh-CN"/>
        </w:rPr>
        <w:t>7</w:t>
      </w:r>
      <w:r>
        <w:rPr>
          <w:rFonts w:hint="eastAsia" w:ascii="宋体" w:hAnsi="宋体" w:cs="宋体"/>
          <w:b/>
          <w:bCs/>
          <w:color w:val="auto"/>
          <w:sz w:val="36"/>
          <w:szCs w:val="36"/>
          <w:highlight w:val="none"/>
        </w:rPr>
        <w:t>月</w:t>
      </w:r>
    </w:p>
    <w:p>
      <w:pPr>
        <w:autoSpaceDE w:val="0"/>
        <w:autoSpaceDN w:val="0"/>
        <w:adjustRightInd w:val="0"/>
        <w:spacing w:line="360" w:lineRule="auto"/>
        <w:jc w:val="center"/>
        <w:rPr>
          <w:rFonts w:hint="eastAsia" w:ascii="宋体" w:hAnsi="宋体" w:cs="宋体"/>
          <w:b/>
          <w:bCs/>
          <w:color w:val="auto"/>
          <w:kern w:val="0"/>
          <w:sz w:val="36"/>
          <w:szCs w:val="36"/>
          <w:highlight w:val="none"/>
        </w:rPr>
      </w:pPr>
      <w:bookmarkStart w:id="0" w:name="_Toc12932"/>
      <w:r>
        <w:rPr>
          <w:rFonts w:ascii="宋体" w:hAnsi="宋体"/>
          <w:b/>
          <w:bCs/>
          <w:color w:val="auto"/>
          <w:sz w:val="32"/>
          <w:szCs w:val="40"/>
          <w:highlight w:val="none"/>
          <w:u w:val="single"/>
        </w:rPr>
        <w:br w:type="page"/>
      </w:r>
      <w:r>
        <w:rPr>
          <w:rFonts w:hint="eastAsia" w:ascii="宋体" w:hAnsi="宋体" w:cs="宋体"/>
          <w:b/>
          <w:bCs/>
          <w:color w:val="auto"/>
          <w:kern w:val="0"/>
          <w:sz w:val="36"/>
          <w:szCs w:val="36"/>
          <w:highlight w:val="none"/>
        </w:rPr>
        <w:t>特别警示条款</w:t>
      </w:r>
    </w:p>
    <w:p>
      <w:pPr>
        <w:pStyle w:val="10"/>
        <w:spacing w:line="360" w:lineRule="auto"/>
        <w:rPr>
          <w:rFonts w:hint="eastAsia"/>
          <w:color w:val="auto"/>
          <w:highlight w:val="none"/>
        </w:rPr>
      </w:pP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（一）在采购活动中应当回避而未回避的；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（二）未按本条例规定签订、履行采购合同，造成严重后果的；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（三）隐瞒真实情况，提供虚假资料的；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（四）以非法手段排斥其他供应商参与竞争的；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（五）与其他采购参加人串通投标的；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（六）恶意投诉的；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（七）向采购项目相关人行贿或者提供其他不当利益的；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（八）阻碍、抗拒主管部门监督检查的；</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（九）其他违反本条例规定的行为。</w:t>
      </w:r>
    </w:p>
    <w:p>
      <w:pPr>
        <w:snapToGrid w:val="0"/>
        <w:spacing w:line="360" w:lineRule="auto"/>
        <w:ind w:firstLine="470" w:firstLineChars="196"/>
        <w:rPr>
          <w:rFonts w:ascii="宋体" w:hAnsi="宋体" w:cs="宋体"/>
          <w:color w:val="auto"/>
          <w:sz w:val="24"/>
          <w:highlight w:val="none"/>
        </w:rPr>
      </w:pP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二、《深圳经济特区政府采购条例实施细则》</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br w:type="page"/>
      </w:r>
      <w:bookmarkStart w:id="1" w:name="_Toc20808"/>
      <w:r>
        <w:rPr>
          <w:rFonts w:hint="eastAsia" w:ascii="宋体" w:hAnsi="宋体" w:cs="宋体"/>
          <w:b/>
          <w:bCs/>
          <w:color w:val="auto"/>
          <w:sz w:val="36"/>
          <w:szCs w:val="36"/>
          <w:highlight w:val="none"/>
          <w:lang w:val="zh-CN"/>
        </w:rPr>
        <w:t>目录</w:t>
      </w:r>
      <w:bookmarkEnd w:id="0"/>
      <w:bookmarkEnd w:id="1"/>
    </w:p>
    <w:p>
      <w:pPr>
        <w:pStyle w:val="17"/>
        <w:tabs>
          <w:tab w:val="right" w:leader="dot" w:pos="8306"/>
        </w:tabs>
        <w:spacing w:line="480" w:lineRule="auto"/>
        <w:rPr>
          <w:b/>
          <w:bCs/>
          <w:color w:val="auto"/>
          <w:sz w:val="24"/>
          <w:szCs w:val="32"/>
          <w:highlight w:val="none"/>
        </w:rPr>
      </w:pPr>
    </w:p>
    <w:p>
      <w:pPr>
        <w:pStyle w:val="17"/>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_Toc17273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第一章 招标邀请书（招标公告）</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_Toc17273 \h </w:instrText>
      </w:r>
      <w:r>
        <w:rPr>
          <w:b/>
          <w:bCs/>
          <w:color w:val="auto"/>
          <w:sz w:val="24"/>
          <w:highlight w:val="none"/>
        </w:rPr>
        <w:fldChar w:fldCharType="separate"/>
      </w:r>
      <w:r>
        <w:rPr>
          <w:b/>
          <w:bCs/>
          <w:color w:val="auto"/>
          <w:sz w:val="24"/>
          <w:highlight w:val="none"/>
        </w:rPr>
        <w:t>5</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7"/>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_Toc10214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第二章 投标须知</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_Toc10214 \h </w:instrText>
      </w:r>
      <w:r>
        <w:rPr>
          <w:b/>
          <w:bCs/>
          <w:color w:val="auto"/>
          <w:sz w:val="24"/>
          <w:highlight w:val="none"/>
        </w:rPr>
        <w:fldChar w:fldCharType="separate"/>
      </w:r>
      <w:r>
        <w:rPr>
          <w:b/>
          <w:bCs/>
          <w:color w:val="auto"/>
          <w:sz w:val="24"/>
          <w:highlight w:val="none"/>
        </w:rPr>
        <w:t>8</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7"/>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_Toc20176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第三章 评标程序</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_Toc20176 \h </w:instrText>
      </w:r>
      <w:r>
        <w:rPr>
          <w:b/>
          <w:bCs/>
          <w:color w:val="auto"/>
          <w:sz w:val="24"/>
          <w:highlight w:val="none"/>
        </w:rPr>
        <w:fldChar w:fldCharType="separate"/>
      </w:r>
      <w:r>
        <w:rPr>
          <w:b/>
          <w:bCs/>
          <w:color w:val="auto"/>
          <w:sz w:val="24"/>
          <w:highlight w:val="none"/>
        </w:rPr>
        <w:t>11</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7"/>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_Toc3567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第四章 合同格式及合同条款</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_Toc3567 \h </w:instrText>
      </w:r>
      <w:r>
        <w:rPr>
          <w:b/>
          <w:bCs/>
          <w:color w:val="auto"/>
          <w:sz w:val="24"/>
          <w:highlight w:val="none"/>
        </w:rPr>
        <w:fldChar w:fldCharType="separate"/>
      </w:r>
      <w:r>
        <w:rPr>
          <w:b/>
          <w:bCs/>
          <w:color w:val="auto"/>
          <w:sz w:val="24"/>
          <w:highlight w:val="none"/>
        </w:rPr>
        <w:t>13</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7"/>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_Toc25518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第五章 用户需求书</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_Toc25518 \h </w:instrText>
      </w:r>
      <w:r>
        <w:rPr>
          <w:b/>
          <w:bCs/>
          <w:color w:val="auto"/>
          <w:sz w:val="24"/>
          <w:highlight w:val="none"/>
        </w:rPr>
        <w:fldChar w:fldCharType="separate"/>
      </w:r>
      <w:r>
        <w:rPr>
          <w:b/>
          <w:bCs/>
          <w:color w:val="auto"/>
          <w:sz w:val="24"/>
          <w:highlight w:val="none"/>
        </w:rPr>
        <w:t>27</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7"/>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_Toc23822 </w:instrText>
      </w:r>
      <w:r>
        <w:rPr>
          <w:rFonts w:hint="eastAsia" w:ascii="宋体" w:hAnsi="宋体" w:cs="宋体"/>
          <w:b/>
          <w:bCs/>
          <w:color w:val="auto"/>
          <w:sz w:val="24"/>
          <w:highlight w:val="none"/>
        </w:rPr>
        <w:fldChar w:fldCharType="separate"/>
      </w:r>
      <w:r>
        <w:rPr>
          <w:rFonts w:hint="eastAsia" w:ascii="宋体" w:cs="宋体"/>
          <w:b/>
          <w:bCs/>
          <w:color w:val="auto"/>
          <w:sz w:val="24"/>
          <w:highlight w:val="none"/>
        </w:rPr>
        <w:t>第六章 投标文件初审及招标项目评分表</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_Toc23822 \h </w:instrText>
      </w:r>
      <w:r>
        <w:rPr>
          <w:b/>
          <w:bCs/>
          <w:color w:val="auto"/>
          <w:sz w:val="24"/>
          <w:highlight w:val="none"/>
        </w:rPr>
        <w:fldChar w:fldCharType="separate"/>
      </w:r>
      <w:r>
        <w:rPr>
          <w:b/>
          <w:bCs/>
          <w:color w:val="auto"/>
          <w:sz w:val="24"/>
          <w:highlight w:val="none"/>
        </w:rPr>
        <w:t>33</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7"/>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_Toc9548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第七章 附件（投标文件格式）</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_Toc9548 \h </w:instrText>
      </w:r>
      <w:r>
        <w:rPr>
          <w:b/>
          <w:bCs/>
          <w:color w:val="auto"/>
          <w:sz w:val="24"/>
          <w:highlight w:val="none"/>
        </w:rPr>
        <w:fldChar w:fldCharType="separate"/>
      </w:r>
      <w:r>
        <w:rPr>
          <w:b/>
          <w:bCs/>
          <w:color w:val="auto"/>
          <w:sz w:val="24"/>
          <w:highlight w:val="none"/>
        </w:rPr>
        <w:t>42</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7"/>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_Toc742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附件：相关政策</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_Toc742 \h </w:instrText>
      </w:r>
      <w:r>
        <w:rPr>
          <w:b/>
          <w:bCs/>
          <w:color w:val="auto"/>
          <w:sz w:val="24"/>
          <w:highlight w:val="none"/>
        </w:rPr>
        <w:fldChar w:fldCharType="separate"/>
      </w:r>
      <w:r>
        <w:rPr>
          <w:b/>
          <w:bCs/>
          <w:color w:val="auto"/>
          <w:sz w:val="24"/>
          <w:highlight w:val="none"/>
        </w:rPr>
        <w:t>62</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7"/>
        <w:tabs>
          <w:tab w:val="right" w:leader="dot" w:pos="8306"/>
        </w:tabs>
        <w:spacing w:line="360" w:lineRule="auto"/>
        <w:rPr>
          <w:rFonts w:hint="eastAsia" w:ascii="宋体" w:hAnsi="宋体" w:cs="宋体"/>
          <w:b/>
          <w:color w:val="auto"/>
          <w:sz w:val="24"/>
          <w:highlight w:val="none"/>
        </w:rPr>
      </w:pPr>
      <w:r>
        <w:rPr>
          <w:rFonts w:hint="eastAsia" w:ascii="宋体" w:hAnsi="宋体" w:cs="宋体"/>
          <w:b/>
          <w:bCs/>
          <w:color w:val="auto"/>
          <w:sz w:val="24"/>
          <w:highlight w:val="none"/>
        </w:rPr>
        <w:fldChar w:fldCharType="end"/>
      </w:r>
    </w:p>
    <w:p>
      <w:pPr>
        <w:spacing w:line="360" w:lineRule="auto"/>
        <w:rPr>
          <w:rFonts w:hint="eastAsia"/>
          <w:color w:val="auto"/>
          <w:highlight w:val="none"/>
        </w:rPr>
      </w:pPr>
    </w:p>
    <w:p>
      <w:pPr>
        <w:numPr>
          <w:ilvl w:val="0"/>
          <w:numId w:val="1"/>
        </w:numPr>
        <w:spacing w:line="360" w:lineRule="auto"/>
        <w:jc w:val="center"/>
        <w:outlineLvl w:val="0"/>
        <w:rPr>
          <w:rFonts w:hint="eastAsia" w:ascii="宋体" w:hAnsi="宋体" w:cs="宋体"/>
          <w:b/>
          <w:bCs/>
          <w:color w:val="auto"/>
          <w:sz w:val="24"/>
          <w:highlight w:val="none"/>
        </w:rPr>
      </w:pPr>
      <w:r>
        <w:rPr>
          <w:rFonts w:ascii="宋体"/>
          <w:b/>
          <w:bCs/>
          <w:color w:val="auto"/>
          <w:sz w:val="32"/>
          <w:szCs w:val="28"/>
          <w:highlight w:val="none"/>
        </w:rPr>
        <w:br w:type="page"/>
      </w:r>
      <w:r>
        <w:rPr>
          <w:rFonts w:hint="eastAsia" w:ascii="宋体"/>
          <w:b/>
          <w:bCs/>
          <w:color w:val="auto"/>
          <w:sz w:val="32"/>
          <w:szCs w:val="28"/>
          <w:highlight w:val="none"/>
        </w:rPr>
        <w:t xml:space="preserve"> </w:t>
      </w:r>
      <w:bookmarkStart w:id="2" w:name="_Toc17273"/>
      <w:r>
        <w:rPr>
          <w:rFonts w:hint="eastAsia" w:ascii="宋体" w:hAnsi="宋体" w:cs="宋体"/>
          <w:b/>
          <w:bCs/>
          <w:color w:val="auto"/>
          <w:sz w:val="24"/>
          <w:highlight w:val="none"/>
        </w:rPr>
        <w:t>招标邀请书（招标公告）</w:t>
      </w:r>
      <w:bookmarkEnd w:id="2"/>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文件编码：0722-2023FE4242SZF-1</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中国远东国际招标有限公司（以下简称采购代理机构）受深圳市前海深港现代服务业合作区管理局委托就“</w:t>
      </w:r>
      <w:r>
        <w:rPr>
          <w:rFonts w:hint="eastAsia" w:ascii="宋体" w:hAnsi="宋体" w:cs="宋体"/>
          <w:color w:val="auto"/>
          <w:sz w:val="24"/>
          <w:highlight w:val="none"/>
          <w:u w:val="single"/>
          <w:lang w:eastAsia="zh-CN"/>
        </w:rPr>
        <w:t>前海管理局国有资产清查项目</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QH2023</w:t>
      </w:r>
      <w:r>
        <w:rPr>
          <w:rFonts w:hint="default" w:ascii="宋体" w:hAnsi="宋体" w:cs="宋体"/>
          <w:color w:val="auto"/>
          <w:sz w:val="24"/>
          <w:highlight w:val="none"/>
          <w:u w:val="single"/>
          <w:lang w:val="en-US" w:eastAsia="zh-CN"/>
        </w:rPr>
        <w:t>071</w:t>
      </w:r>
      <w:r>
        <w:rPr>
          <w:rFonts w:hint="eastAsia" w:ascii="宋体" w:hAnsi="宋体" w:cs="宋体"/>
          <w:color w:val="auto"/>
          <w:sz w:val="24"/>
          <w:highlight w:val="none"/>
        </w:rPr>
        <w:t>）”采用简易招标方式采购，欢迎符合投标人资格要求的专业供应商积极参加投标。</w:t>
      </w:r>
    </w:p>
    <w:tbl>
      <w:tblPr>
        <w:tblStyle w:val="2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招标编号</w:t>
            </w:r>
          </w:p>
        </w:tc>
        <w:tc>
          <w:tcPr>
            <w:tcW w:w="7015" w:type="dxa"/>
            <w:noWrap w:val="0"/>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QH2023</w:t>
            </w:r>
            <w:r>
              <w:rPr>
                <w:rFonts w:hint="default" w:ascii="宋体" w:hAnsi="宋体" w:cs="宋体"/>
                <w:color w:val="auto"/>
                <w:sz w:val="24"/>
                <w:highlight w:val="none"/>
                <w:lang w:val="en-US" w:eastAsia="zh-CN"/>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招标项目名称</w:t>
            </w:r>
          </w:p>
        </w:tc>
        <w:tc>
          <w:tcPr>
            <w:tcW w:w="7015"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前海管理局国有资产清查项目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标的内容</w:t>
            </w:r>
          </w:p>
        </w:tc>
        <w:tc>
          <w:tcPr>
            <w:tcW w:w="7015" w:type="dxa"/>
            <w:noWrap w:val="0"/>
            <w:vAlign w:val="center"/>
          </w:tcPr>
          <w:p>
            <w:pPr>
              <w:spacing w:line="360" w:lineRule="auto"/>
              <w:rPr>
                <w:rFonts w:hint="default" w:eastAsia="宋体"/>
                <w:color w:val="auto"/>
                <w:highlight w:val="none"/>
                <w:lang w:val="en-US" w:eastAsia="zh-CN"/>
              </w:rPr>
            </w:pPr>
            <w:r>
              <w:rPr>
                <w:rFonts w:hint="eastAsia" w:ascii="宋体" w:hAnsi="宋体" w:cs="宋体"/>
                <w:color w:val="auto"/>
                <w:sz w:val="24"/>
                <w:highlight w:val="none"/>
              </w:rPr>
              <w:t xml:space="preserve">  本次资产清查范围为截至2023年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月3</w:t>
            </w:r>
            <w:r>
              <w:rPr>
                <w:rFonts w:hint="default" w:ascii="宋体" w:hAnsi="宋体" w:cs="宋体"/>
                <w:color w:val="auto"/>
                <w:sz w:val="24"/>
                <w:highlight w:val="none"/>
              </w:rPr>
              <w:t>1</w:t>
            </w:r>
            <w:r>
              <w:rPr>
                <w:rFonts w:hint="eastAsia" w:ascii="宋体" w:hAnsi="宋体" w:cs="宋体"/>
                <w:color w:val="auto"/>
                <w:sz w:val="24"/>
                <w:highlight w:val="none"/>
              </w:rPr>
              <w:t>日前海管理局财政投资的在建工程、公共基础设施、保障性住房、固定资产、无形资产、配建物业等资产。</w:t>
            </w:r>
            <w:r>
              <w:rPr>
                <w:rFonts w:hint="eastAsia" w:ascii="宋体" w:hAnsi="宋体" w:cs="宋体"/>
                <w:color w:val="auto"/>
                <w:sz w:val="24"/>
                <w:highlight w:val="none"/>
                <w:lang w:val="en-US" w:eastAsia="zh-CN"/>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项目预算</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（最高限价）</w:t>
            </w:r>
          </w:p>
        </w:tc>
        <w:tc>
          <w:tcPr>
            <w:tcW w:w="7015"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default" w:ascii="宋体" w:hAnsi="宋体" w:cs="宋体"/>
                <w:color w:val="auto"/>
                <w:sz w:val="24"/>
                <w:highlight w:val="none"/>
                <w:lang w:val="en-US"/>
              </w:rPr>
              <w:t>9</w:t>
            </w:r>
            <w:r>
              <w:rPr>
                <w:rFonts w:hint="default" w:ascii="宋体" w:hAnsi="宋体" w:cs="宋体"/>
                <w:color w:val="auto"/>
                <w:sz w:val="24"/>
                <w:highlight w:val="none"/>
              </w:rPr>
              <w:t>8</w:t>
            </w: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rPr>
              <w:t>000.00（人民币</w:t>
            </w:r>
            <w:r>
              <w:rPr>
                <w:rFonts w:hint="eastAsia" w:ascii="宋体" w:hAnsi="宋体" w:cs="宋体"/>
                <w:color w:val="auto"/>
                <w:sz w:val="24"/>
                <w:highlight w:val="none"/>
                <w:lang w:val="en-US" w:eastAsia="zh-CN"/>
              </w:rPr>
              <w:t>玖</w:t>
            </w:r>
            <w:r>
              <w:rPr>
                <w:rFonts w:hint="eastAsia" w:ascii="宋体" w:hAnsi="宋体" w:cs="宋体"/>
                <w:color w:val="auto"/>
                <w:sz w:val="24"/>
                <w:highlight w:val="none"/>
              </w:rPr>
              <w:t>拾</w:t>
            </w:r>
            <w:r>
              <w:rPr>
                <w:rFonts w:hint="default" w:ascii="宋体" w:hAnsi="宋体" w:cs="宋体"/>
                <w:color w:val="auto"/>
                <w:sz w:val="24"/>
                <w:highlight w:val="none"/>
              </w:rPr>
              <w:t>捌</w:t>
            </w:r>
            <w:r>
              <w:rPr>
                <w:rFonts w:hint="eastAsia" w:ascii="宋体" w:hAnsi="宋体" w:cs="宋体"/>
                <w:color w:val="auto"/>
                <w:sz w:val="24"/>
                <w:highlight w:val="none"/>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标书获得办法</w:t>
            </w:r>
          </w:p>
        </w:tc>
        <w:tc>
          <w:tcPr>
            <w:tcW w:w="7015" w:type="dxa"/>
            <w:noWrap w:val="0"/>
            <w:vAlign w:val="center"/>
          </w:tcPr>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本项目所属行业</w:t>
            </w:r>
          </w:p>
        </w:tc>
        <w:tc>
          <w:tcPr>
            <w:tcW w:w="7015" w:type="dxa"/>
            <w:noWrap w:val="0"/>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报名方式</w:t>
            </w:r>
          </w:p>
        </w:tc>
        <w:tc>
          <w:tcPr>
            <w:tcW w:w="7015" w:type="dxa"/>
            <w:noWrap w:val="0"/>
            <w:vAlign w:val="center"/>
          </w:tcPr>
          <w:p>
            <w:pPr>
              <w:adjustRightInd w:val="0"/>
              <w:snapToGrid w:val="0"/>
              <w:spacing w:line="360" w:lineRule="auto"/>
              <w:jc w:val="left"/>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rPr>
              <w:t>将投标文件密封并在</w:t>
            </w:r>
            <w:r>
              <w:rPr>
                <w:rFonts w:hint="eastAsia" w:ascii="宋体" w:hAnsi="宋体" w:cs="宋体"/>
                <w:b/>
                <w:bCs/>
                <w:color w:val="auto"/>
                <w:kern w:val="0"/>
                <w:sz w:val="24"/>
                <w:highlight w:val="none"/>
              </w:rPr>
              <w:t>2023年</w:t>
            </w:r>
            <w:r>
              <w:rPr>
                <w:rFonts w:hint="eastAsia" w:ascii="宋体" w:hAnsi="宋体" w:cs="宋体"/>
                <w:b/>
                <w:bCs/>
                <w:color w:val="auto"/>
                <w:kern w:val="0"/>
                <w:sz w:val="24"/>
                <w:highlight w:val="none"/>
                <w:lang w:val="en-US" w:eastAsia="zh-CN"/>
              </w:rPr>
              <w:t>7</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6</w:t>
            </w:r>
            <w:r>
              <w:rPr>
                <w:rFonts w:hint="eastAsia" w:ascii="宋体" w:hAnsi="宋体" w:cs="宋体"/>
                <w:b/>
                <w:bCs/>
                <w:color w:val="auto"/>
                <w:kern w:val="0"/>
                <w:sz w:val="24"/>
                <w:highlight w:val="none"/>
              </w:rPr>
              <w:t>日</w:t>
            </w:r>
            <w:r>
              <w:rPr>
                <w:rFonts w:hint="eastAsia" w:ascii="宋体" w:hAnsi="宋体" w:cs="宋体"/>
                <w:b/>
                <w:bCs/>
                <w:color w:val="auto"/>
                <w:kern w:val="0"/>
                <w:sz w:val="24"/>
                <w:highlight w:val="none"/>
                <w:lang w:val="en-US" w:eastAsia="zh-CN"/>
              </w:rPr>
              <w:t>上午</w:t>
            </w:r>
            <w:r>
              <w:rPr>
                <w:rFonts w:hint="eastAsia" w:ascii="宋体" w:hAnsi="宋体" w:cs="宋体"/>
                <w:b/>
                <w:bCs/>
                <w:color w:val="auto"/>
                <w:kern w:val="0"/>
                <w:sz w:val="24"/>
                <w:highlight w:val="none"/>
              </w:rPr>
              <w:t>1</w:t>
            </w:r>
            <w:r>
              <w:rPr>
                <w:rFonts w:hint="eastAsia" w:ascii="宋体" w:hAnsi="宋体" w:cs="宋体"/>
                <w:b/>
                <w:bCs/>
                <w:color w:val="auto"/>
                <w:kern w:val="0"/>
                <w:sz w:val="24"/>
                <w:highlight w:val="none"/>
                <w:lang w:val="en-US" w:eastAsia="zh-CN"/>
              </w:rPr>
              <w:t>0</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0</w:t>
            </w:r>
            <w:r>
              <w:rPr>
                <w:rFonts w:hint="eastAsia" w:ascii="宋体" w:hAnsi="宋体" w:cs="宋体"/>
                <w:b/>
                <w:bCs/>
                <w:color w:val="auto"/>
                <w:kern w:val="0"/>
                <w:sz w:val="24"/>
                <w:highlight w:val="none"/>
              </w:rPr>
              <w:t>0时（北京时间）前</w:t>
            </w:r>
            <w:r>
              <w:rPr>
                <w:rFonts w:hint="eastAsia" w:ascii="宋体" w:hAnsi="宋体" w:cs="宋体"/>
                <w:color w:val="auto"/>
                <w:kern w:val="0"/>
                <w:sz w:val="24"/>
                <w:highlight w:val="none"/>
              </w:rPr>
              <w:t>送达（现场递交或邮寄）至</w:t>
            </w:r>
            <w:r>
              <w:rPr>
                <w:rFonts w:hint="eastAsia" w:ascii="宋体" w:hAnsi="宋体" w:cs="宋体"/>
                <w:color w:val="auto"/>
                <w:kern w:val="0"/>
                <w:sz w:val="24"/>
                <w:highlight w:val="none"/>
                <w:u w:val="single"/>
              </w:rPr>
              <w:t xml:space="preserve">  深圳市南山区前海深港合作区桂湾五路123号前海管理局前海大厦T1栋</w:t>
            </w:r>
            <w:r>
              <w:rPr>
                <w:rFonts w:hint="default" w:ascii="宋体" w:hAnsi="宋体" w:cs="宋体"/>
                <w:color w:val="auto"/>
                <w:kern w:val="0"/>
                <w:sz w:val="24"/>
                <w:highlight w:val="none"/>
                <w:u w:val="single"/>
                <w:lang w:val="en-US" w:eastAsia="zh-CN"/>
              </w:rPr>
              <w:t>2513</w:t>
            </w:r>
            <w:r>
              <w:rPr>
                <w:rFonts w:hint="eastAsia" w:ascii="宋体" w:hAnsi="宋体" w:cs="宋体"/>
                <w:color w:val="auto"/>
                <w:kern w:val="0"/>
                <w:sz w:val="24"/>
                <w:highlight w:val="none"/>
                <w:u w:val="single"/>
                <w:lang w:val="en-US" w:eastAsia="zh-CN"/>
              </w:rPr>
              <w:t>室</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eastAsia="zh-CN"/>
              </w:rPr>
              <w:t>曹女士</w:t>
            </w:r>
            <w:r>
              <w:rPr>
                <w:rFonts w:hint="eastAsia" w:ascii="宋体" w:hAnsi="宋体" w:cs="宋体"/>
                <w:color w:val="auto"/>
                <w:kern w:val="0"/>
                <w:sz w:val="24"/>
                <w:highlight w:val="none"/>
              </w:rPr>
              <w:t xml:space="preserve"> </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18599127733</w:t>
            </w:r>
          </w:p>
          <w:p>
            <w:pPr>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投标人资格要求</w:t>
            </w:r>
          </w:p>
        </w:tc>
        <w:tc>
          <w:tcPr>
            <w:tcW w:w="7015" w:type="dxa"/>
            <w:noWrap w:val="0"/>
            <w:vAlign w:val="center"/>
          </w:tcPr>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在中华人民共和国境内注册的具有独立法人资格或具有独立承担民事责任的能力的其它组织</w:t>
            </w:r>
            <w:r>
              <w:rPr>
                <w:rFonts w:hint="eastAsia" w:ascii="宋体" w:hAnsi="宋体" w:cs="宋体"/>
                <w:b/>
                <w:bCs/>
                <w:color w:val="auto"/>
                <w:kern w:val="0"/>
                <w:sz w:val="24"/>
                <w:highlight w:val="none"/>
              </w:rPr>
              <w:t>（提供营业执照或事业单位法人证等法人证明复印件加盖投标人公章）</w:t>
            </w:r>
            <w:r>
              <w:rPr>
                <w:rFonts w:hint="eastAsia" w:ascii="宋体" w:hAnsi="宋体" w:cs="宋体"/>
                <w:color w:val="auto"/>
                <w:kern w:val="0"/>
                <w:sz w:val="24"/>
                <w:highlight w:val="none"/>
              </w:rPr>
              <w:t>；投标人须具有</w:t>
            </w:r>
            <w:r>
              <w:rPr>
                <w:rFonts w:hint="eastAsia" w:ascii="宋体" w:hAnsi="宋体" w:cs="宋体"/>
                <w:color w:val="auto"/>
                <w:kern w:val="0"/>
                <w:sz w:val="24"/>
                <w:highlight w:val="none"/>
                <w:lang w:val="en-US" w:eastAsia="zh-CN"/>
              </w:rPr>
              <w:t>有效的</w:t>
            </w:r>
            <w:r>
              <w:rPr>
                <w:rFonts w:hint="eastAsia" w:ascii="宋体" w:hAnsi="宋体" w:cs="宋体"/>
                <w:color w:val="auto"/>
                <w:kern w:val="0"/>
                <w:sz w:val="24"/>
                <w:highlight w:val="none"/>
              </w:rPr>
              <w:t>财政部门颁发的《会计师事务所执业证书》（提供证明材料复印件，加盖投标人公章，原件备查）</w:t>
            </w:r>
            <w:r>
              <w:rPr>
                <w:rFonts w:hint="eastAsia" w:ascii="宋体" w:hAnsi="宋体" w:cs="宋体"/>
                <w:color w:val="auto"/>
                <w:kern w:val="0"/>
                <w:sz w:val="24"/>
                <w:highlight w:val="none"/>
                <w:lang w:eastAsia="zh-CN"/>
              </w:rPr>
              <w:t>；（分支机构投标，须取得总公司（总所）出具给分支机构的授权书，并提供总公司（总所）和分支机构的营业执照</w:t>
            </w:r>
            <w:r>
              <w:rPr>
                <w:rFonts w:hint="eastAsia" w:ascii="宋体" w:hAnsi="宋体" w:cs="宋体"/>
                <w:color w:val="auto"/>
                <w:kern w:val="0"/>
                <w:sz w:val="24"/>
                <w:highlight w:val="none"/>
                <w:lang w:val="en-US" w:eastAsia="zh-CN"/>
              </w:rPr>
              <w:t>以及</w:t>
            </w:r>
            <w:r>
              <w:rPr>
                <w:rFonts w:hint="eastAsia" w:ascii="宋体" w:hAnsi="宋体" w:cs="宋体"/>
                <w:color w:val="auto"/>
                <w:kern w:val="0"/>
                <w:sz w:val="24"/>
                <w:highlight w:val="none"/>
              </w:rPr>
              <w:t>执业证书</w:t>
            </w:r>
            <w:r>
              <w:rPr>
                <w:rFonts w:hint="eastAsia" w:ascii="宋体" w:hAnsi="宋体" w:cs="宋体"/>
                <w:color w:val="auto"/>
                <w:kern w:val="0"/>
                <w:sz w:val="24"/>
                <w:highlight w:val="none"/>
                <w:lang w:eastAsia="zh-CN"/>
              </w:rPr>
              <w:t>扫描件。已由总公司（总所）授权的，总公司（总所）取得的相关资质证书对分支机构有效，法律法规或者行业另有规定的除外。）</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参与政府采购项目投标的供应商近三年内</w:t>
            </w:r>
            <w:r>
              <w:rPr>
                <w:rFonts w:hint="eastAsia" w:ascii="宋体" w:hAnsi="宋体" w:cs="宋体"/>
                <w:color w:val="auto"/>
                <w:kern w:val="0"/>
                <w:sz w:val="24"/>
                <w:highlight w:val="none"/>
                <w:lang w:eastAsia="zh-CN"/>
              </w:rPr>
              <w:t>（投标人成立不足三年的可从成立之日起算）</w:t>
            </w:r>
            <w:r>
              <w:rPr>
                <w:rFonts w:hint="eastAsia" w:ascii="宋体" w:hAnsi="宋体" w:cs="宋体"/>
                <w:color w:val="auto"/>
                <w:kern w:val="0"/>
                <w:sz w:val="24"/>
                <w:highlight w:val="none"/>
              </w:rPr>
              <w:t>无行贿犯罪记录</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参与本项目投标前三年内</w:t>
            </w:r>
            <w:r>
              <w:rPr>
                <w:rFonts w:hint="eastAsia" w:ascii="宋体" w:hAnsi="宋体" w:cs="宋体"/>
                <w:color w:val="auto"/>
                <w:kern w:val="0"/>
                <w:sz w:val="24"/>
                <w:highlight w:val="none"/>
                <w:lang w:eastAsia="zh-CN"/>
              </w:rPr>
              <w:t>（投标人成立不足三年的可从成立之日起算）</w:t>
            </w:r>
            <w:r>
              <w:rPr>
                <w:rFonts w:hint="eastAsia" w:ascii="宋体" w:hAnsi="宋体" w:cs="宋体"/>
                <w:color w:val="auto"/>
                <w:kern w:val="0"/>
                <w:sz w:val="24"/>
                <w:highlight w:val="none"/>
              </w:rPr>
              <w:t>，在经营活动中没有重大违法记录以及不存在被有关部门禁止参与政府采购活动且在有效期内的情况</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【注：采购代理机构将通过“信用中国”中“信用服务”栏的“重大税收违法</w:t>
            </w:r>
            <w:r>
              <w:rPr>
                <w:rFonts w:hint="eastAsia" w:ascii="宋体" w:hAnsi="宋体" w:cs="宋体"/>
                <w:color w:val="auto"/>
                <w:kern w:val="0"/>
                <w:sz w:val="24"/>
                <w:highlight w:val="none"/>
                <w:lang w:eastAsia="zh-CN"/>
              </w:rPr>
              <w:t>失信主体</w:t>
            </w:r>
            <w:r>
              <w:rPr>
                <w:rFonts w:hint="eastAsia" w:ascii="宋体" w:hAnsi="宋体" w:cs="宋体"/>
                <w:color w:val="auto"/>
                <w:kern w:val="0"/>
                <w:sz w:val="24"/>
                <w:highlight w:val="none"/>
              </w:rPr>
              <w:t>”“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本项目</w:t>
            </w:r>
            <w:r>
              <w:rPr>
                <w:rFonts w:ascii="宋体" w:hAnsi="宋体" w:cs="宋体"/>
                <w:color w:val="auto"/>
                <w:kern w:val="0"/>
                <w:sz w:val="24"/>
                <w:highlight w:val="none"/>
              </w:rPr>
              <w:t>不</w:t>
            </w:r>
            <w:r>
              <w:rPr>
                <w:rFonts w:hint="eastAsia" w:ascii="宋体" w:hAnsi="宋体" w:cs="宋体"/>
                <w:color w:val="auto"/>
                <w:kern w:val="0"/>
                <w:sz w:val="24"/>
                <w:highlight w:val="none"/>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报价要求</w:t>
            </w:r>
          </w:p>
        </w:tc>
        <w:tc>
          <w:tcPr>
            <w:tcW w:w="7015" w:type="dxa"/>
            <w:noWrap w:val="0"/>
            <w:vAlign w:val="center"/>
          </w:tcPr>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本次投标为总价包干，投标报价总价作为中标人与采购人签定的合同金额。项目预算控制</w:t>
            </w:r>
            <w:r>
              <w:rPr>
                <w:rFonts w:hint="eastAsia" w:ascii="宋体" w:hAnsi="宋体" w:cs="宋体"/>
                <w:color w:val="auto"/>
                <w:sz w:val="24"/>
                <w:highlight w:val="none"/>
                <w:lang w:val="en-US" w:eastAsia="zh-CN"/>
              </w:rPr>
              <w:t>9</w:t>
            </w:r>
            <w:r>
              <w:rPr>
                <w:rFonts w:hint="default" w:ascii="宋体" w:hAnsi="宋体" w:cs="宋体"/>
                <w:color w:val="auto"/>
                <w:sz w:val="24"/>
                <w:highlight w:val="none"/>
              </w:rPr>
              <w:t>8</w:t>
            </w:r>
            <w:r>
              <w:rPr>
                <w:rFonts w:hint="eastAsia" w:ascii="宋体" w:hAnsi="宋体" w:cs="宋体"/>
                <w:color w:val="auto"/>
                <w:sz w:val="24"/>
                <w:highlight w:val="none"/>
              </w:rPr>
              <w:t>万元以内，投标人的报价不可高于预算（限价），否则投标人的投标文件视同无效。项目服务费包括调研费、中标服务费、资料费、税金、</w:t>
            </w:r>
            <w:r>
              <w:rPr>
                <w:rFonts w:hint="eastAsia" w:ascii="宋体" w:hAnsi="宋体" w:cs="宋体"/>
                <w:color w:val="auto"/>
                <w:sz w:val="24"/>
                <w:highlight w:val="none"/>
                <w:lang w:eastAsia="zh-CN"/>
              </w:rPr>
              <w:t>人员费用</w:t>
            </w:r>
            <w:r>
              <w:rPr>
                <w:rFonts w:hint="eastAsia" w:ascii="宋体" w:hAnsi="宋体" w:cs="宋体"/>
                <w:color w:val="auto"/>
                <w:sz w:val="24"/>
                <w:highlight w:val="none"/>
              </w:rPr>
              <w:t>、差旅费、后续服务等所有费用，并提供合同要求的成果文件，以及其它相关服务的全部费用。</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7015" w:type="dxa"/>
            <w:noWrap w:val="0"/>
            <w:vAlign w:val="center"/>
          </w:tcPr>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采购人信息：</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名      称： 深圳市前海深港现代服务业合作区管理局</w:t>
            </w:r>
          </w:p>
          <w:p>
            <w:pPr>
              <w:spacing w:line="360" w:lineRule="auto"/>
              <w:rPr>
                <w:rFonts w:hint="default"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联  系  人： </w:t>
            </w:r>
            <w:r>
              <w:rPr>
                <w:rFonts w:hint="default" w:ascii="宋体" w:hAnsi="宋体" w:cs="宋体"/>
                <w:color w:val="auto"/>
                <w:kern w:val="0"/>
                <w:sz w:val="24"/>
                <w:highlight w:val="none"/>
              </w:rPr>
              <w:t>刘先生</w:t>
            </w:r>
          </w:p>
          <w:p>
            <w:pPr>
              <w:spacing w:line="36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电      话： 0755-88105137</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采购代理机构信息：</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名      称： 中国远东国际招标有限公司</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地      址： 深圳市福田区上步南路1001号锦峰大厦22楼</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联  系  人： 凌女士、伍先生</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电      话： 0755-82078919、82077364转110</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中国远东国际招标有限公司</w:t>
      </w:r>
    </w:p>
    <w:p>
      <w:pPr>
        <w:adjustRightInd w:val="0"/>
        <w:snapToGrid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2023年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w:t>
      </w: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3" w:name="_Toc10214"/>
      <w:r>
        <w:rPr>
          <w:rFonts w:hint="eastAsia" w:ascii="宋体" w:hAnsi="宋体" w:cs="宋体"/>
          <w:b/>
          <w:bCs/>
          <w:color w:val="auto"/>
          <w:sz w:val="24"/>
          <w:highlight w:val="none"/>
        </w:rPr>
        <w:t>投标须知</w:t>
      </w:r>
      <w:bookmarkEnd w:id="3"/>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1、本项目是深圳市前海深港现代服务业合作区管理局的</w:t>
      </w:r>
      <w:r>
        <w:rPr>
          <w:rFonts w:hint="eastAsia" w:ascii="宋体" w:hAnsi="宋体" w:cs="宋体"/>
          <w:b w:val="0"/>
          <w:bCs w:val="0"/>
          <w:color w:val="auto"/>
          <w:sz w:val="24"/>
          <w:highlight w:val="none"/>
        </w:rPr>
        <w:t>《</w:t>
      </w:r>
      <w:r>
        <w:rPr>
          <w:rFonts w:hint="eastAsia" w:ascii="宋体" w:hAnsi="宋体" w:cs="宋体"/>
          <w:color w:val="auto"/>
          <w:sz w:val="24"/>
          <w:highlight w:val="none"/>
          <w:lang w:eastAsia="zh-CN"/>
        </w:rPr>
        <w:t>前海管理局国有资产清查项目</w:t>
      </w:r>
      <w:r>
        <w:rPr>
          <w:rFonts w:hint="eastAsia" w:ascii="宋体" w:hAnsi="宋体" w:cs="宋体"/>
          <w:b w:val="0"/>
          <w:bCs w:val="0"/>
          <w:color w:val="auto"/>
          <w:sz w:val="24"/>
          <w:highlight w:val="none"/>
        </w:rPr>
        <w:t>》</w:t>
      </w:r>
      <w:r>
        <w:rPr>
          <w:rFonts w:hint="eastAsia" w:ascii="宋体" w:hAnsi="宋体" w:cs="宋体"/>
          <w:color w:val="auto"/>
          <w:sz w:val="24"/>
          <w:highlight w:val="none"/>
        </w:rPr>
        <w:t>。</w:t>
      </w:r>
    </w:p>
    <w:p>
      <w:pPr>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2、本项目不属于《深圳市2023—2024年政府集中采购目录及限额标准》规定应集中采购项目</w:t>
      </w:r>
      <w:r>
        <w:rPr>
          <w:rFonts w:hint="eastAsia" w:ascii="宋体" w:hAnsi="宋体" w:cs="宋体"/>
          <w:b w:val="0"/>
          <w:bCs w:val="0"/>
          <w:color w:val="auto"/>
          <w:sz w:val="24"/>
          <w:highlight w:val="none"/>
        </w:rPr>
        <w:t>，根据《中华人民共和国政府采购法》、</w:t>
      </w:r>
      <w:r>
        <w:rPr>
          <w:rFonts w:hint="eastAsia" w:ascii="宋体" w:hAnsi="宋体" w:cs="宋体"/>
          <w:b w:val="0"/>
          <w:bCs w:val="0"/>
          <w:color w:val="auto"/>
          <w:sz w:val="24"/>
          <w:highlight w:val="none"/>
          <w:lang w:eastAsia="zh-CN"/>
        </w:rPr>
        <w:t>《深圳经济特区政府采购条例》</w:t>
      </w:r>
      <w:r>
        <w:rPr>
          <w:rFonts w:hint="eastAsia" w:ascii="宋体" w:hAnsi="宋体" w:cs="宋体"/>
          <w:b w:val="0"/>
          <w:bCs w:val="0"/>
          <w:color w:val="auto"/>
          <w:sz w:val="24"/>
          <w:highlight w:val="none"/>
        </w:rPr>
        <w:t>的有关规定，中国远东国际招标有限公司受深圳市前海深港现代服务业合作区管理局委托组织采购，</w:t>
      </w:r>
      <w:r>
        <w:rPr>
          <w:rFonts w:hint="eastAsia" w:ascii="宋体" w:hAnsi="宋体" w:cs="宋体"/>
          <w:b/>
          <w:bCs/>
          <w:color w:val="auto"/>
          <w:sz w:val="24"/>
          <w:highlight w:val="none"/>
        </w:rPr>
        <w:t>本次采购公开征集供应商，采用综合评分法的方式进行，投标截止后，因作出有效投标的供应商不足3家而致招标失败的，按以下流程执行：</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a</w:t>
      </w:r>
      <w:r>
        <w:rPr>
          <w:rFonts w:hint="eastAsia" w:ascii="宋体" w:hAnsi="宋体" w:cs="宋体"/>
          <w:b/>
          <w:bCs/>
          <w:color w:val="auto"/>
          <w:sz w:val="24"/>
          <w:highlight w:val="none"/>
        </w:rPr>
        <w:t>.有效投标人为2家的，可在2家有效投标人中取得分最高者为中标供应商；</w:t>
      </w: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lang w:val="en-US" w:eastAsia="zh-CN"/>
        </w:rPr>
        <w:t>b</w:t>
      </w:r>
      <w:r>
        <w:rPr>
          <w:rFonts w:hint="eastAsia" w:ascii="宋体" w:hAnsi="宋体" w:cs="宋体"/>
          <w:b/>
          <w:bCs/>
          <w:color w:val="auto"/>
          <w:sz w:val="24"/>
          <w:highlight w:val="none"/>
        </w:rPr>
        <w:t>.如参与投标且符合招标文件要求的供应商仅有</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家，评审委员会应与投标供应商进行谈判，原则上成交价应为最初报价的95%。</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3、本项目根据项目的实际情况，公开征集符合投标人资格的供应商。请各供应商根据本文件的要求，准备</w:t>
      </w:r>
      <w:r>
        <w:rPr>
          <w:rFonts w:hint="eastAsia" w:ascii="宋体" w:hAnsi="宋体" w:cs="宋体"/>
          <w:b/>
          <w:bCs/>
          <w:color w:val="auto"/>
          <w:sz w:val="24"/>
          <w:highlight w:val="none"/>
        </w:rPr>
        <w:t>5套（1套正本，4套副本</w:t>
      </w:r>
      <w:r>
        <w:rPr>
          <w:rFonts w:hint="eastAsia" w:ascii="宋体" w:hAnsi="宋体" w:cs="宋体"/>
          <w:b/>
          <w:bCs/>
          <w:color w:val="auto"/>
          <w:sz w:val="24"/>
          <w:highlight w:val="none"/>
          <w:lang w:val="en-US" w:eastAsia="zh-CN"/>
        </w:rPr>
        <w:t>以及1份电子文档</w:t>
      </w:r>
      <w:r>
        <w:rPr>
          <w:rFonts w:hint="eastAsia" w:ascii="宋体" w:hAnsi="宋体" w:cs="宋体"/>
          <w:b/>
          <w:bCs/>
          <w:color w:val="auto"/>
          <w:sz w:val="24"/>
          <w:highlight w:val="none"/>
        </w:rPr>
        <w:t>）</w:t>
      </w:r>
      <w:r>
        <w:rPr>
          <w:rFonts w:hint="eastAsia" w:ascii="宋体" w:hAnsi="宋体" w:cs="宋体"/>
          <w:color w:val="auto"/>
          <w:sz w:val="24"/>
          <w:highlight w:val="none"/>
        </w:rPr>
        <w:t>完备的资料进行投标。</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auto"/>
          <w:sz w:val="24"/>
          <w:highlight w:val="none"/>
        </w:rPr>
      </w:pPr>
      <w:r>
        <w:rPr>
          <w:rFonts w:hint="eastAsia" w:ascii="宋体" w:hAnsi="宋体" w:cs="宋体"/>
          <w:color w:val="auto"/>
          <w:sz w:val="24"/>
          <w:highlight w:val="none"/>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highlight w:val="none"/>
        </w:rPr>
      </w:pPr>
      <w:r>
        <w:rPr>
          <w:rFonts w:hint="eastAsia" w:ascii="宋体" w:hAnsi="宋体" w:cs="宋体"/>
          <w:color w:val="auto"/>
          <w:sz w:val="24"/>
          <w:highlight w:val="none"/>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highlight w:val="none"/>
        </w:rPr>
      </w:pPr>
      <w:r>
        <w:rPr>
          <w:rFonts w:hint="eastAsia" w:ascii="宋体" w:hAnsi="宋体" w:cs="宋体"/>
          <w:color w:val="auto"/>
          <w:sz w:val="24"/>
          <w:highlight w:val="none"/>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highlight w:val="none"/>
        </w:rPr>
      </w:pPr>
      <w:r>
        <w:rPr>
          <w:rFonts w:hint="eastAsia" w:ascii="宋体" w:hAnsi="宋体" w:cs="宋体"/>
          <w:color w:val="auto"/>
          <w:sz w:val="24"/>
          <w:highlight w:val="none"/>
        </w:rPr>
        <w:t>技术部分。</w:t>
      </w:r>
    </w:p>
    <w:p>
      <w:pPr>
        <w:snapToGrid w:val="0"/>
        <w:spacing w:line="360" w:lineRule="auto"/>
        <w:rPr>
          <w:rFonts w:hint="eastAsia" w:ascii="宋体" w:hAnsi="宋体" w:cs="宋体"/>
          <w:b/>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采购人会对本次招标的项目确定一个最高限价，最终成交价格超出最高限价将会被当作投标无效处理。</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9、本次采购凡涉及知识产权问题，由项目供应商负责。</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10、采购人将组成评审委员会，评审工作由评审委员会独立负责。</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12、采用综合评分法的情况：评审委员会将分别对供应商递交的投标文件进行评审。</w:t>
      </w:r>
    </w:p>
    <w:p>
      <w:pPr>
        <w:pStyle w:val="56"/>
        <w:snapToGrid w:val="0"/>
        <w:spacing w:line="360" w:lineRule="auto"/>
        <w:ind w:firstLine="48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highlight w:val="none"/>
        </w:rPr>
        <w:t>第一</w:t>
      </w:r>
      <w:r>
        <w:rPr>
          <w:rFonts w:hint="eastAsia" w:ascii="宋体" w:hAnsi="宋体" w:cs="宋体"/>
          <w:color w:val="auto"/>
          <w:kern w:val="2"/>
          <w:sz w:val="24"/>
          <w:szCs w:val="24"/>
          <w:highlight w:val="none"/>
        </w:rPr>
        <w:t>中标候选人。</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（3）如果二个及以上供应商的综合评分相同，且投标价格也相同时，取技术部分得分高者为第一中标候选人。</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13、采用谈判的情况：评审委员会将与投标供应商进行谈判。</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（1）供应商在谈判时由项目负责人与评审委员会进行谈判；</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（2）原则上成交价应为最初报价的95%。</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14、所有的评审/谈判内容都必须保密。</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15、招标代理服务收费：</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auto"/>
          <w:highlight w:val="none"/>
        </w:rPr>
      </w:pPr>
      <w:r>
        <w:rPr>
          <w:rFonts w:hint="eastAsia" w:ascii="宋体" w:hAnsi="宋体" w:cs="宋体"/>
          <w:color w:val="auto"/>
          <w:sz w:val="24"/>
          <w:highlight w:val="none"/>
        </w:rPr>
        <w:t>具体计取费率标准如下表所示：</w:t>
      </w:r>
    </w:p>
    <w:tbl>
      <w:tblPr>
        <w:tblStyle w:val="24"/>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0.1%</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0.035%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0.035%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0.006%</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0.006%</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0.004%</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0.004%</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0.004%</w:t>
            </w:r>
          </w:p>
        </w:tc>
      </w:tr>
    </w:tbl>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招标代理服务费缴纳至：</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开户名称：中国远东国际招标有限公司深圳分公司</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银行</w:t>
      </w:r>
      <w:r>
        <w:rPr>
          <w:rFonts w:hint="eastAsia" w:ascii="宋体" w:hAnsi="宋体" w:cs="宋体"/>
          <w:color w:val="auto"/>
          <w:sz w:val="24"/>
          <w:highlight w:val="none"/>
          <w:lang w:val="en-US" w:eastAsia="zh-CN"/>
        </w:rPr>
        <w:t>账号</w:t>
      </w:r>
      <w:bookmarkStart w:id="29" w:name="_GoBack"/>
      <w:bookmarkEnd w:id="29"/>
      <w:r>
        <w:rPr>
          <w:rFonts w:hint="eastAsia" w:ascii="宋体" w:hAnsi="宋体" w:cs="宋体"/>
          <w:color w:val="auto"/>
          <w:sz w:val="24"/>
          <w:highlight w:val="none"/>
        </w:rPr>
        <w:t>：11013651025501</w:t>
      </w:r>
    </w:p>
    <w:p>
      <w:pPr>
        <w:spacing w:line="360" w:lineRule="auto"/>
        <w:rPr>
          <w:rFonts w:hint="eastAsia" w:ascii="宋体" w:hAnsi="宋体" w:cs="宋体"/>
          <w:b/>
          <w:bCs/>
          <w:color w:val="auto"/>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highlight w:val="none"/>
        </w:rPr>
        <w:t>开户银行：平安银行深圳中电支行</w:t>
      </w: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bookmarkStart w:id="4" w:name="_Toc20176"/>
      <w:r>
        <w:rPr>
          <w:rFonts w:hint="eastAsia" w:ascii="宋体" w:hAnsi="宋体" w:cs="宋体"/>
          <w:b/>
          <w:bCs/>
          <w:color w:val="auto"/>
          <w:sz w:val="24"/>
          <w:highlight w:val="none"/>
        </w:rPr>
        <w:t>评标程序</w:t>
      </w:r>
      <w:bookmarkEnd w:id="4"/>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一、依法成立评审委员会。在投标截止日前由前海管理局授权招标代理机构在深圳市政府采购评审专家库中抽取专家，组建不少于3人（单数）的评审委员会，其中专家人数为1人，其他专家由采购主办部门委派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评</w:t>
      </w:r>
      <w:r>
        <w:rPr>
          <w:rFonts w:hint="eastAsia" w:ascii="宋体" w:hAnsi="宋体" w:cs="宋体"/>
          <w:color w:val="auto"/>
          <w:sz w:val="24"/>
          <w:highlight w:val="none"/>
        </w:rPr>
        <w:t>审委员会在投标截止日前一天组成</w:t>
      </w:r>
      <w:r>
        <w:rPr>
          <w:rFonts w:hint="eastAsia" w:ascii="宋体" w:hAnsi="宋体" w:cs="宋体"/>
          <w:color w:val="auto"/>
          <w:sz w:val="24"/>
          <w:highlight w:val="none"/>
          <w:lang w:bidi="ar"/>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二、参加会议人员：投标人代表（如需）、项目负责代表、评审委员会成员、监督部门代表（如需）、采购代理机构代表。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三、会议主持人：中国远东国际招标有限公司工作人员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四、开标时间：2023年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上</w:t>
      </w:r>
      <w:r>
        <w:rPr>
          <w:rFonts w:hint="eastAsia" w:ascii="宋体" w:hAnsi="宋体" w:cs="宋体"/>
          <w:color w:val="auto"/>
          <w:sz w:val="24"/>
          <w:highlight w:val="none"/>
        </w:rPr>
        <w:t>午1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0时（北京时间）。</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五、会议开始：2023年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上</w:t>
      </w:r>
      <w:r>
        <w:rPr>
          <w:rFonts w:hint="eastAsia" w:ascii="宋体" w:hAnsi="宋体" w:cs="宋体"/>
          <w:color w:val="auto"/>
          <w:sz w:val="24"/>
          <w:highlight w:val="none"/>
        </w:rPr>
        <w:t>午1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0时（北京时间）由会议主持人宣布定标会议开始。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六、项目负责代表向采购代理机构代表送交投标文件，监督部门代表确认投标文件密封完整，未密封投标文件将作为投标无效处理。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七、由采购代理机构代表现场拆封投标文件，并分发给评审委员会成员。</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八、评审委员会审查供应商的投标文件，工作人员记录审查的情况。</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九、评审委员会按以下工作程序进行：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1、评标委员会对各供应商的投标文件进行初审，对未能通过初审的投标文件作投标无效处理。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2、对通过初审的供应商的投标文件进行详细的比较和评价。如需要，进行必要的澄清/说明工作。</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3、根据参与投标且符合招标文件要求的供应商数量情况，确定本项目的评审方法。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4、采用综合评分法的情况：评审委员会将分别对供应商递交的投标文件进行评审。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4.2如果二个及以上供应商的综合评分相同时，取投标价格低者为第一中标候选人。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4.3如果二个及以上供应商的综合评分相同，且投标价格也相同时，取技术部分得分高者为第一中标候选人。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5、采用谈判的情况：评审委员会将与投标供应商进行谈判。</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5.1 供应商在谈判时由项目负责人与评审委员会进行谈判；</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5.2 原则上成交价应为最初报价的95%。</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6、评审委员会按照本项目招标文件中规定的评标方法确定中标供应商。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十、根据本次采购的结果，10个工作日内与中标供应商签订合同。</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pStyle w:val="10"/>
        <w:rPr>
          <w:rFonts w:hint="eastAsia" w:ascii="宋体" w:hAnsi="宋体" w:cs="宋体"/>
          <w:color w:val="auto"/>
          <w:highlight w:val="none"/>
        </w:rPr>
      </w:pPr>
      <w:r>
        <w:rPr>
          <w:rFonts w:hint="eastAsia"/>
          <w:color w:val="auto"/>
          <w:highlight w:val="none"/>
        </w:rPr>
        <w:br w:type="page"/>
      </w: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bookmarkStart w:id="5" w:name="_Toc3567"/>
      <w:r>
        <w:rPr>
          <w:rFonts w:hint="eastAsia" w:ascii="宋体" w:hAnsi="宋体" w:cs="宋体"/>
          <w:b/>
          <w:bCs/>
          <w:color w:val="auto"/>
          <w:sz w:val="24"/>
          <w:highlight w:val="none"/>
        </w:rPr>
        <w:t>合同格式及合同条款</w:t>
      </w:r>
      <w:bookmarkEnd w:id="5"/>
    </w:p>
    <w:p>
      <w:pPr>
        <w:spacing w:line="360" w:lineRule="auto"/>
        <w:ind w:firstLine="470" w:firstLineChars="196"/>
        <w:jc w:val="center"/>
        <w:rPr>
          <w:rFonts w:hint="eastAsia" w:ascii="宋体" w:hAnsi="宋体" w:cs="宋体"/>
          <w:color w:val="auto"/>
          <w:sz w:val="24"/>
          <w:highlight w:val="none"/>
        </w:rPr>
      </w:pPr>
      <w:bookmarkStart w:id="6" w:name="_Toc73517685"/>
      <w:bookmarkStart w:id="7" w:name="_Toc73518163"/>
      <w:bookmarkStart w:id="8" w:name="_Toc101074886"/>
      <w:bookmarkStart w:id="9" w:name="_Toc73521680"/>
      <w:bookmarkStart w:id="10" w:name="_Toc84303603"/>
      <w:bookmarkStart w:id="11" w:name="_Toc73521592"/>
      <w:bookmarkStart w:id="12" w:name="_Toc100052414"/>
    </w:p>
    <w:bookmarkEnd w:id="6"/>
    <w:bookmarkEnd w:id="7"/>
    <w:bookmarkEnd w:id="8"/>
    <w:bookmarkEnd w:id="9"/>
    <w:bookmarkEnd w:id="10"/>
    <w:bookmarkEnd w:id="11"/>
    <w:bookmarkEnd w:id="12"/>
    <w:p>
      <w:pPr>
        <w:pStyle w:val="56"/>
        <w:spacing w:line="360" w:lineRule="auto"/>
        <w:ind w:left="1470" w:right="1470" w:firstLine="482"/>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合同编号（甲方）：            </w:t>
      </w:r>
    </w:p>
    <w:p>
      <w:pPr>
        <w:pStyle w:val="56"/>
        <w:spacing w:line="360" w:lineRule="auto"/>
        <w:ind w:left="1470" w:right="1470" w:firstLine="482"/>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合同编号（乙方）：            </w:t>
      </w:r>
    </w:p>
    <w:p>
      <w:pPr>
        <w:pStyle w:val="56"/>
        <w:spacing w:line="360" w:lineRule="auto"/>
        <w:ind w:left="1470" w:right="1470" w:firstLine="482"/>
        <w:jc w:val="center"/>
        <w:rPr>
          <w:rFonts w:hint="eastAsia" w:ascii="宋体" w:hAnsi="宋体" w:cs="宋体"/>
          <w:b/>
          <w:color w:val="auto"/>
          <w:sz w:val="24"/>
          <w:szCs w:val="24"/>
          <w:highlight w:val="none"/>
        </w:rPr>
      </w:pPr>
    </w:p>
    <w:p>
      <w:pPr>
        <w:pStyle w:val="56"/>
        <w:spacing w:line="360" w:lineRule="auto"/>
        <w:ind w:left="1470" w:right="1470"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pStyle w:val="56"/>
        <w:spacing w:line="360" w:lineRule="auto"/>
        <w:ind w:left="1470" w:right="1470"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前海管理局国有资产清查项目</w:t>
      </w:r>
    </w:p>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委托合同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pStyle w:val="56"/>
        <w:spacing w:line="360" w:lineRule="auto"/>
        <w:ind w:left="1470" w:right="147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56"/>
        <w:spacing w:line="360" w:lineRule="auto"/>
        <w:ind w:left="1470" w:right="147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前海管理局国有资产清查项目</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项目类型：</w:t>
      </w:r>
      <w:r>
        <w:rPr>
          <w:rFonts w:hint="eastAsia" w:ascii="宋体" w:hAnsi="宋体" w:cs="宋体"/>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委托方（甲方）：</w:t>
      </w:r>
      <w:r>
        <w:rPr>
          <w:rFonts w:hint="eastAsia" w:ascii="宋体" w:hAnsi="宋体" w:cs="宋体"/>
          <w:color w:val="auto"/>
          <w:sz w:val="24"/>
          <w:highlight w:val="none"/>
          <w:u w:val="single"/>
        </w:rPr>
        <w:t xml:space="preserve">  深圳市前海深港现代服务业合作区管理局  </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承接方（乙方）：</w:t>
      </w:r>
      <w:r>
        <w:rPr>
          <w:rFonts w:hint="eastAsia" w:ascii="宋体" w:hAnsi="宋体" w:cs="宋体"/>
          <w:color w:val="auto"/>
          <w:sz w:val="24"/>
          <w:highlight w:val="none"/>
          <w:u w:val="single"/>
        </w:rPr>
        <w:t xml:space="preserve">                                        </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jc w:val="center"/>
        <w:rPr>
          <w:rFonts w:hint="eastAsia" w:ascii="宋体" w:hAnsi="宋体" w:cs="宋体"/>
          <w:color w:val="auto"/>
          <w:sz w:val="24"/>
          <w:highlight w:val="none"/>
        </w:rPr>
      </w:pP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二〇二三年  月</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本合同共    页（不含封面）</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甲方： </w:t>
      </w:r>
      <w:r>
        <w:rPr>
          <w:rFonts w:hint="eastAsia" w:ascii="宋体" w:hAnsi="宋体" w:cs="宋体"/>
          <w:color w:val="auto"/>
          <w:sz w:val="24"/>
          <w:highlight w:val="none"/>
          <w:u w:val="single"/>
        </w:rPr>
        <w:t>深圳市前海深港现代服务业合作区管理局</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地址： </w:t>
      </w:r>
      <w:r>
        <w:rPr>
          <w:rFonts w:hint="eastAsia" w:ascii="宋体" w:hAnsi="宋体" w:cs="宋体"/>
          <w:color w:val="auto"/>
          <w:sz w:val="24"/>
          <w:highlight w:val="none"/>
          <w:u w:val="single"/>
        </w:rPr>
        <w:t>深圳市前海深港合作区</w:t>
      </w:r>
      <w:r>
        <w:rPr>
          <w:rFonts w:ascii="宋体" w:hAnsi="宋体" w:cs="宋体"/>
          <w:color w:val="auto"/>
          <w:sz w:val="24"/>
          <w:highlight w:val="none"/>
          <w:u w:val="single"/>
        </w:rPr>
        <w:t>桂湾五路123号前海大厦T1栋前海管理局</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法定代表人： </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乙方：</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地址：</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法定代表人：</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以下甲方和乙方合称“双方”。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根据《中华人民共和国民法典》等法律、法规的相关规定和编号为【</w:t>
      </w:r>
      <w:r>
        <w:rPr>
          <w:rFonts w:hint="eastAsia" w:ascii="宋体" w:hAnsi="宋体" w:cs="宋体"/>
          <w:color w:val="auto"/>
          <w:sz w:val="24"/>
          <w:highlight w:val="none"/>
          <w:lang w:eastAsia="zh-CN"/>
        </w:rPr>
        <w:t>QH2023</w:t>
      </w:r>
      <w:r>
        <w:rPr>
          <w:rFonts w:hint="eastAsia" w:ascii="宋体" w:hAnsi="宋体" w:cs="宋体"/>
          <w:color w:val="auto"/>
          <w:sz w:val="24"/>
          <w:highlight w:val="none"/>
          <w:lang w:val="en-US" w:eastAsia="zh-CN"/>
        </w:rPr>
        <w:t>071</w:t>
      </w:r>
      <w:r>
        <w:rPr>
          <w:rFonts w:hint="eastAsia" w:ascii="宋体" w:hAnsi="宋体" w:cs="宋体"/>
          <w:color w:val="auto"/>
          <w:sz w:val="24"/>
          <w:highlight w:val="none"/>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auto"/>
          <w:sz w:val="24"/>
          <w:highlight w:val="none"/>
          <w:u w:val="single"/>
        </w:rPr>
        <w:t>乙方</w:t>
      </w:r>
      <w:r>
        <w:rPr>
          <w:rFonts w:hint="eastAsia" w:ascii="宋体" w:hAnsi="宋体" w:cs="宋体"/>
          <w:color w:val="auto"/>
          <w:sz w:val="24"/>
          <w:highlight w:val="none"/>
        </w:rPr>
        <w:t>承担</w:t>
      </w:r>
      <w:r>
        <w:rPr>
          <w:rFonts w:hint="eastAsia" w:ascii="宋体" w:hAnsi="宋体" w:cs="宋体"/>
          <w:color w:val="auto"/>
          <w:sz w:val="24"/>
          <w:highlight w:val="none"/>
          <w:u w:val="single"/>
          <w:lang w:eastAsia="zh-CN"/>
        </w:rPr>
        <w:t>前海管理局国有资产清查项目</w:t>
      </w:r>
      <w:r>
        <w:rPr>
          <w:rFonts w:hint="eastAsia" w:ascii="宋体" w:hAnsi="宋体" w:cs="宋体"/>
          <w:b/>
          <w:bCs/>
          <w:color w:val="auto"/>
          <w:kern w:val="0"/>
          <w:sz w:val="24"/>
          <w:highlight w:val="none"/>
          <w:u w:val="single"/>
        </w:rPr>
        <w:t>（以下简称本项目）</w:t>
      </w:r>
      <w:r>
        <w:rPr>
          <w:rFonts w:hint="eastAsia" w:ascii="宋体" w:hAnsi="宋体" w:cs="宋体"/>
          <w:color w:val="auto"/>
          <w:sz w:val="24"/>
          <w:highlight w:val="none"/>
        </w:rPr>
        <w:t>，达成以下合同条款：</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第一条 项目内容</w:t>
      </w:r>
    </w:p>
    <w:p>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1.项目名称：</w:t>
      </w:r>
      <w:r>
        <w:rPr>
          <w:rFonts w:hint="eastAsia" w:ascii="宋体" w:hAnsi="宋体" w:cs="宋体"/>
          <w:bCs/>
          <w:color w:val="auto"/>
          <w:sz w:val="24"/>
          <w:highlight w:val="none"/>
          <w:lang w:eastAsia="zh-CN"/>
        </w:rPr>
        <w:t>前海管理局国有资产清查项目</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2.项目概况：本次资产清查范围为截至2023年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月31日前海管理局财政投资的在建工程、公共基础设施、保障性住房、固定资产、无形资产、配建物业等资产。</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3.项目内容：</w:t>
      </w:r>
    </w:p>
    <w:p>
      <w:pPr>
        <w:spacing w:line="500" w:lineRule="exact"/>
        <w:ind w:firstLine="480" w:firstLineChars="200"/>
        <w:rPr>
          <w:rFonts w:hint="eastAsia" w:ascii="宋体" w:hAnsi="宋体" w:cs="宋体"/>
          <w:color w:val="auto"/>
          <w:sz w:val="24"/>
          <w:highlight w:val="none"/>
          <w:lang w:val="en-US" w:eastAsia="zh-CN"/>
        </w:rPr>
      </w:pPr>
      <w:r>
        <w:rPr>
          <w:rFonts w:hint="default" w:ascii="宋体" w:hAnsi="宋体" w:cs="宋体"/>
          <w:color w:val="auto"/>
          <w:sz w:val="24"/>
          <w:highlight w:val="none"/>
          <w:lang w:eastAsia="zh-CN"/>
        </w:rPr>
        <w:t>3.</w:t>
      </w:r>
      <w:r>
        <w:rPr>
          <w:rFonts w:hint="eastAsia" w:ascii="宋体" w:hAnsi="宋体" w:cs="宋体"/>
          <w:color w:val="auto"/>
          <w:sz w:val="24"/>
          <w:highlight w:val="none"/>
          <w:lang w:val="en-US" w:eastAsia="zh-CN"/>
        </w:rPr>
        <w:t>1.审查合规性。依据国务院、财政部、深圳市行政事业单位国有资产管理相关政策，审查前海管理局国有资产管理制度合理建设及有效执行情况，全面梳理资产管理流程存在的缺陷及风险点，出具管理意见书，规范国有资产管理工作。</w:t>
      </w:r>
    </w:p>
    <w:p>
      <w:pPr>
        <w:spacing w:line="500" w:lineRule="exact"/>
        <w:ind w:firstLine="480" w:firstLineChars="200"/>
        <w:rPr>
          <w:rFonts w:hint="eastAsia" w:ascii="宋体" w:hAnsi="宋体" w:cs="宋体"/>
          <w:color w:val="auto"/>
          <w:sz w:val="24"/>
          <w:highlight w:val="none"/>
          <w:lang w:val="en-US" w:eastAsia="zh-CN"/>
        </w:rPr>
      </w:pPr>
      <w:r>
        <w:rPr>
          <w:rFonts w:hint="default" w:ascii="宋体" w:hAnsi="宋体" w:cs="宋体"/>
          <w:color w:val="auto"/>
          <w:sz w:val="24"/>
          <w:highlight w:val="none"/>
          <w:lang w:eastAsia="zh-CN"/>
        </w:rPr>
        <w:t>3.</w:t>
      </w:r>
      <w:r>
        <w:rPr>
          <w:rFonts w:hint="eastAsia" w:ascii="宋体" w:hAnsi="宋体" w:cs="宋体"/>
          <w:color w:val="auto"/>
          <w:sz w:val="24"/>
          <w:highlight w:val="none"/>
          <w:lang w:val="en-US" w:eastAsia="zh-CN"/>
        </w:rPr>
        <w:t>2.审查资产的真实性、准确性、完整性。全面摸清我局成立至本项目基准日资产底数，形成真实、准确、完整的资产台账；审查资产台账、资产管理系统与财务账表的一致性，协助我局开展账务调整、资产管理系统信息补录及修改、资产信息卡片张贴等工作，实现账实相符、账账相符、账卡相符。</w:t>
      </w:r>
    </w:p>
    <w:p>
      <w:pPr>
        <w:spacing w:line="500" w:lineRule="exact"/>
        <w:ind w:firstLine="480" w:firstLineChars="200"/>
        <w:rPr>
          <w:rFonts w:hint="eastAsia" w:ascii="宋体" w:hAnsi="宋体" w:cs="宋体"/>
          <w:color w:val="auto"/>
          <w:sz w:val="24"/>
          <w:highlight w:val="none"/>
          <w:lang w:val="en-US" w:eastAsia="zh-CN"/>
        </w:rPr>
      </w:pPr>
      <w:r>
        <w:rPr>
          <w:rFonts w:hint="default" w:ascii="宋体" w:hAnsi="宋体" w:cs="宋体"/>
          <w:color w:val="auto"/>
          <w:sz w:val="24"/>
          <w:highlight w:val="none"/>
          <w:lang w:eastAsia="zh-CN"/>
        </w:rPr>
        <w:t>3.</w:t>
      </w:r>
      <w:r>
        <w:rPr>
          <w:rFonts w:hint="eastAsia" w:ascii="宋体" w:hAnsi="宋体" w:cs="宋体"/>
          <w:color w:val="auto"/>
          <w:sz w:val="24"/>
          <w:highlight w:val="none"/>
          <w:lang w:val="en-US" w:eastAsia="zh-CN"/>
        </w:rPr>
        <w:t>3.审查资产全链条闭环管理情况。审查资产配置、使用、处置、绩效评价、产权登记、信息化、预算、报告等全链条基础管理情况，对资产全生命周期管理提出合理化建议，防控国有资产管理风险。</w:t>
      </w:r>
    </w:p>
    <w:p>
      <w:pPr>
        <w:spacing w:line="500" w:lineRule="exact"/>
        <w:ind w:firstLine="480" w:firstLineChars="200"/>
        <w:rPr>
          <w:rFonts w:hint="eastAsia" w:ascii="宋体" w:hAnsi="宋体" w:cs="宋体"/>
          <w:color w:val="auto"/>
          <w:sz w:val="24"/>
          <w:highlight w:val="none"/>
          <w:lang w:val="en-US" w:eastAsia="zh-CN"/>
        </w:rPr>
      </w:pPr>
      <w:r>
        <w:rPr>
          <w:rFonts w:hint="default" w:ascii="宋体" w:hAnsi="宋体" w:cs="宋体"/>
          <w:color w:val="auto"/>
          <w:sz w:val="24"/>
          <w:highlight w:val="none"/>
          <w:lang w:eastAsia="zh-CN"/>
        </w:rPr>
        <w:t>3.</w:t>
      </w:r>
      <w:r>
        <w:rPr>
          <w:rFonts w:hint="eastAsia" w:ascii="宋体" w:hAnsi="宋体" w:cs="宋体"/>
          <w:color w:val="auto"/>
          <w:sz w:val="24"/>
          <w:highlight w:val="none"/>
          <w:lang w:val="en-US" w:eastAsia="zh-CN"/>
        </w:rPr>
        <w:t>4.审查资产盘活情况。全面摸清资产使用状态，审查资产低效运行、闲置空置等情况，分类汇总形成待盘活资产清单，参照先进地区经验做法，区分资产类别研究明确盘活方式，有针对性的提出资产盘活建议，出具资产盘活工作方案、资产盘活情况表，推动资产盘活与资产使用效率提升。</w:t>
      </w:r>
    </w:p>
    <w:p>
      <w:pPr>
        <w:spacing w:line="500" w:lineRule="exact"/>
        <w:ind w:firstLine="480" w:firstLineChars="200"/>
        <w:rPr>
          <w:rFonts w:hint="eastAsia" w:ascii="宋体" w:hAnsi="宋体" w:cs="宋体"/>
          <w:color w:val="auto"/>
          <w:sz w:val="24"/>
          <w:highlight w:val="none"/>
          <w:lang w:val="en-US" w:eastAsia="zh-CN"/>
        </w:rPr>
      </w:pPr>
      <w:r>
        <w:rPr>
          <w:rFonts w:hint="default" w:ascii="宋体" w:hAnsi="宋体" w:cs="宋体"/>
          <w:color w:val="auto"/>
          <w:sz w:val="24"/>
          <w:highlight w:val="none"/>
          <w:lang w:eastAsia="zh-CN"/>
        </w:rPr>
        <w:t>3.</w:t>
      </w:r>
      <w:r>
        <w:rPr>
          <w:rFonts w:hint="eastAsia" w:ascii="宋体" w:hAnsi="宋体" w:cs="宋体"/>
          <w:color w:val="auto"/>
          <w:sz w:val="24"/>
          <w:highlight w:val="none"/>
          <w:lang w:val="en-US" w:eastAsia="zh-CN"/>
        </w:rPr>
        <w:t>5.资产清查报告。结合政策法规要求及我局资产管理情况，全面排查国有资产管理存在的问题，找准问题的根因，系统性提出资产管理建议，出具资产清查专项报告。</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第二条  服务期限及后续服务</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服务期限：</w:t>
      </w:r>
    </w:p>
    <w:p>
      <w:pPr>
        <w:spacing w:line="360" w:lineRule="auto"/>
        <w:ind w:firstLine="480" w:firstLineChars="200"/>
        <w:rPr>
          <w:rFonts w:hint="default" w:ascii="宋体" w:hAnsi="宋体" w:cs="宋体"/>
          <w:color w:val="auto"/>
          <w:sz w:val="24"/>
          <w:highlight w:val="none"/>
        </w:rPr>
      </w:pPr>
      <w:r>
        <w:rPr>
          <w:rFonts w:hint="eastAsia" w:ascii="宋体" w:hAnsi="宋体" w:cs="宋体"/>
          <w:color w:val="auto"/>
          <w:sz w:val="24"/>
          <w:highlight w:val="none"/>
        </w:rPr>
        <w:t>服务期限为自合同签订之日起</w:t>
      </w:r>
      <w:r>
        <w:rPr>
          <w:rFonts w:hint="default" w:ascii="宋体" w:hAnsi="宋体" w:cs="宋体"/>
          <w:color w:val="auto"/>
          <w:sz w:val="24"/>
          <w:highlight w:val="none"/>
        </w:rPr>
        <w:t>一年</w:t>
      </w:r>
      <w:r>
        <w:rPr>
          <w:rFonts w:hint="eastAsia" w:ascii="宋体" w:hAnsi="宋体" w:cs="宋体"/>
          <w:color w:val="auto"/>
          <w:sz w:val="24"/>
          <w:highlight w:val="none"/>
          <w:lang w:eastAsia="zh-CN"/>
        </w:rPr>
        <w:t>内</w:t>
      </w:r>
      <w:r>
        <w:rPr>
          <w:rFonts w:hint="default"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.后续服务</w:t>
      </w:r>
      <w:r>
        <w:rPr>
          <w:rFonts w:hint="eastAsia" w:ascii="宋体" w:hAnsi="宋体" w:cs="宋体"/>
          <w:color w:val="auto"/>
          <w:sz w:val="24"/>
          <w:highlight w:val="none"/>
        </w:rPr>
        <w:t>：</w:t>
      </w:r>
    </w:p>
    <w:p>
      <w:pPr>
        <w:widowControl/>
        <w:spacing w:line="360" w:lineRule="auto"/>
        <w:ind w:firstLine="480" w:firstLineChars="200"/>
        <w:rPr>
          <w:rFonts w:hint="eastAsia"/>
          <w:color w:val="auto"/>
          <w:highlight w:val="none"/>
        </w:rPr>
      </w:pPr>
      <w:r>
        <w:rPr>
          <w:rFonts w:hint="eastAsia" w:ascii="宋体" w:hAnsi="宋体" w:cs="宋体"/>
          <w:color w:val="auto"/>
          <w:sz w:val="24"/>
          <w:highlight w:val="none"/>
        </w:rPr>
        <w:t>项目最终成果通过甲方验收之日起1年为本合同后续服务期。后续服务期内项目乙方应向甲方提供后续的专业咨询服务，协助甲方完成各种后续审计、评估等工作，并及时根据工作需要补充有关材料。</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第三条  项目资料归属</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1.所有提交给甲方的项目文件及相关资料的</w:t>
      </w:r>
      <w:r>
        <w:rPr>
          <w:rFonts w:ascii="宋体" w:hAnsi="宋体" w:cs="宋体"/>
          <w:color w:val="auto"/>
          <w:sz w:val="24"/>
          <w:highlight w:val="none"/>
        </w:rPr>
        <w:t>阶段性成果及</w:t>
      </w:r>
      <w:r>
        <w:rPr>
          <w:rFonts w:hint="eastAsia" w:ascii="宋体" w:hAnsi="宋体" w:cs="宋体"/>
          <w:color w:val="auto"/>
          <w:sz w:val="24"/>
          <w:highlight w:val="none"/>
        </w:rPr>
        <w:t>最后文本，包括为履行服务范围所编制的计划和证明资料等，都属于甲方</w:t>
      </w:r>
      <w:r>
        <w:rPr>
          <w:rFonts w:ascii="宋体" w:hAnsi="宋体" w:cs="宋体"/>
          <w:color w:val="auto"/>
          <w:sz w:val="24"/>
          <w:highlight w:val="none"/>
        </w:rPr>
        <w:t>所有</w:t>
      </w:r>
      <w:r>
        <w:rPr>
          <w:rFonts w:hint="eastAsia" w:ascii="宋体" w:hAnsi="宋体" w:cs="宋体"/>
          <w:color w:val="auto"/>
          <w:sz w:val="24"/>
          <w:highlight w:val="none"/>
        </w:rPr>
        <w:t>，乙方在提交给甲方之前应将上述资料进行整理归类和编制索引。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第四条  甲方的义务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1.负责与本项目有关的第三方的协调，提供开展项目服务工作的外部条件。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2.向乙方提供与本项目服务工作有关的资料。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3.负责组织对项目成果的</w:t>
      </w:r>
      <w:r>
        <w:rPr>
          <w:rFonts w:ascii="宋体" w:hAnsi="宋体" w:cs="宋体"/>
          <w:color w:val="auto"/>
          <w:sz w:val="24"/>
          <w:highlight w:val="none"/>
        </w:rPr>
        <w:t>验收</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4.根据合同的条款按时支付合同价款。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5.甲方指定项目联系人：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第五条 乙方的义务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1.应按照【</w:t>
      </w:r>
      <w:r>
        <w:rPr>
          <w:rFonts w:hint="eastAsia" w:ascii="宋体" w:hAnsi="宋体" w:cs="宋体"/>
          <w:color w:val="auto"/>
          <w:sz w:val="24"/>
          <w:highlight w:val="none"/>
          <w:lang w:eastAsia="zh-CN"/>
        </w:rPr>
        <w:t>QH2023</w:t>
      </w:r>
      <w:r>
        <w:rPr>
          <w:rFonts w:hint="eastAsia" w:ascii="宋体" w:hAnsi="宋体" w:cs="宋体"/>
          <w:color w:val="auto"/>
          <w:sz w:val="24"/>
          <w:highlight w:val="none"/>
          <w:lang w:val="en-US" w:eastAsia="zh-CN"/>
        </w:rPr>
        <w:t>071</w:t>
      </w:r>
      <w:r>
        <w:rPr>
          <w:rFonts w:hint="eastAsia" w:ascii="宋体" w:hAnsi="宋体" w:cs="宋体"/>
          <w:color w:val="auto"/>
          <w:sz w:val="24"/>
          <w:highlight w:val="none"/>
        </w:rPr>
        <w:t>】号招标文件、乙方投标文件以及本合同的要求按期完成本项目服务工作，出于自身财务、技术、人力等原因导致项目失败的，应承担全部责任。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2.在履行合同期间或合同规定期限内，不得泄露与本合同规定业务活动有关的保密资料。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应按国家、省及深圳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4.对甲方提出的合理的额外服务，不应予以拒绝。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6.乙方应采取必要措施配合甲方验收人员的工作</w:t>
      </w:r>
      <w:r>
        <w:rPr>
          <w:rFonts w:ascii="宋体" w:hAnsi="宋体" w:cs="宋体"/>
          <w:color w:val="auto"/>
          <w:sz w:val="24"/>
          <w:highlight w:val="none"/>
        </w:rPr>
        <w:t>，</w:t>
      </w:r>
      <w:r>
        <w:rPr>
          <w:rFonts w:hint="eastAsia" w:ascii="宋体" w:hAnsi="宋体" w:cs="宋体"/>
          <w:color w:val="auto"/>
          <w:sz w:val="24"/>
          <w:highlight w:val="none"/>
        </w:rPr>
        <w:t>对于验收过程中发现的问题，乙方应在发现问题之日起3天内进行改正，以符合甲方的需要。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7.如乙方提供的研究意见等成果文件不符合本合同要求，必须在甲方提出要求后3天内无条件修改，其费用由乙方自行承担。修改期间，甲方付款时间相应顺延。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8.乙方应独立完成本项目。未经甲方书面在先同意，乙方不得向任何第三方全部或部分转让本项目。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为保证项目成果的质量，乙方在合同履行期间，应按照服务内容要求组织专家队伍，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14.乙方指定项目联系人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乙方：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姓名：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联系方式： </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第六条  甲方的权利</w:t>
      </w:r>
    </w:p>
    <w:p>
      <w:pPr>
        <w:pStyle w:val="13"/>
        <w:snapToGrid w:val="0"/>
        <w:spacing w:line="360" w:lineRule="auto"/>
        <w:ind w:firstLine="420" w:firstLineChars="175"/>
        <w:rPr>
          <w:rFonts w:hint="eastAsia" w:hAnsi="宋体" w:cs="宋体"/>
          <w:color w:val="auto"/>
          <w:sz w:val="24"/>
          <w:highlight w:val="none"/>
        </w:rPr>
      </w:pPr>
      <w:r>
        <w:rPr>
          <w:rFonts w:hint="eastAsia" w:hAnsi="宋体" w:cs="宋体"/>
          <w:color w:val="auto"/>
          <w:sz w:val="24"/>
          <w:highlight w:val="none"/>
        </w:rPr>
        <w:t>1.甲方对研究过程的决策、控制、实施等环节实行全面管理，协调和监督研究工作开展，控制研究工作过程，进行研究成果验收。</w:t>
      </w:r>
    </w:p>
    <w:p>
      <w:pPr>
        <w:pStyle w:val="13"/>
        <w:snapToGrid w:val="0"/>
        <w:spacing w:line="360" w:lineRule="auto"/>
        <w:ind w:firstLine="420" w:firstLineChars="175"/>
        <w:rPr>
          <w:rFonts w:hint="eastAsia" w:hAnsi="宋体" w:cs="宋体"/>
          <w:color w:val="auto"/>
          <w:sz w:val="24"/>
          <w:highlight w:val="none"/>
        </w:rPr>
      </w:pPr>
      <w:r>
        <w:rPr>
          <w:rFonts w:hint="eastAsia" w:hAnsi="宋体" w:cs="宋体"/>
          <w:color w:val="auto"/>
          <w:sz w:val="24"/>
          <w:highlight w:val="none"/>
        </w:rPr>
        <w:t>2.检查乙方研究人员到位情况，如因人力、能力不足致使研究工作不能按计划完成时，有权要求乙方增加或替换相应的技术人员，直至甲方认可，乙方不得拒绝。</w:t>
      </w:r>
    </w:p>
    <w:p>
      <w:pPr>
        <w:pStyle w:val="13"/>
        <w:snapToGrid w:val="0"/>
        <w:spacing w:line="360" w:lineRule="auto"/>
        <w:ind w:firstLine="420" w:firstLineChars="175"/>
        <w:rPr>
          <w:rFonts w:hint="eastAsia" w:hAnsi="宋体" w:cs="宋体"/>
          <w:color w:val="auto"/>
          <w:sz w:val="24"/>
          <w:highlight w:val="none"/>
        </w:rPr>
      </w:pPr>
      <w:r>
        <w:rPr>
          <w:rFonts w:hint="eastAsia" w:hAnsi="宋体" w:cs="宋体"/>
          <w:color w:val="auto"/>
          <w:sz w:val="24"/>
          <w:highlight w:val="none"/>
        </w:rPr>
        <w:t>3.甲方有权向乙方询问项目工作进展及相关情况，并要求乙方在指定时间内做出答复。</w:t>
      </w:r>
    </w:p>
    <w:p>
      <w:pPr>
        <w:pStyle w:val="13"/>
        <w:snapToGrid w:val="0"/>
        <w:spacing w:line="360" w:lineRule="auto"/>
        <w:ind w:firstLine="420" w:firstLineChars="175"/>
        <w:rPr>
          <w:rFonts w:hint="eastAsia" w:hAnsi="宋体" w:cs="宋体"/>
          <w:color w:val="auto"/>
          <w:sz w:val="24"/>
          <w:highlight w:val="none"/>
        </w:rPr>
      </w:pPr>
      <w:r>
        <w:rPr>
          <w:rFonts w:hint="eastAsia" w:hAnsi="宋体" w:cs="宋体"/>
          <w:color w:val="auto"/>
          <w:sz w:val="24"/>
          <w:highlight w:val="none"/>
        </w:rPr>
        <w:t>4.甲方有权对乙方提交的阶段性成果、最终成果送审稿等相关工作文件进行审核并提出修改意见。</w:t>
      </w:r>
    </w:p>
    <w:p>
      <w:pPr>
        <w:pStyle w:val="13"/>
        <w:snapToGrid w:val="0"/>
        <w:spacing w:line="360" w:lineRule="auto"/>
        <w:ind w:firstLine="420" w:firstLineChars="175"/>
        <w:rPr>
          <w:rFonts w:hint="eastAsia" w:hAnsi="宋体" w:cs="宋体"/>
          <w:color w:val="auto"/>
          <w:sz w:val="24"/>
          <w:highlight w:val="none"/>
        </w:rPr>
      </w:pPr>
      <w:r>
        <w:rPr>
          <w:rFonts w:hint="eastAsia" w:hAnsi="宋体" w:cs="宋体"/>
          <w:color w:val="auto"/>
          <w:sz w:val="24"/>
          <w:highlight w:val="none"/>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13"/>
        <w:snapToGrid w:val="0"/>
        <w:spacing w:line="360" w:lineRule="auto"/>
        <w:ind w:firstLine="420" w:firstLineChars="175"/>
        <w:rPr>
          <w:rFonts w:hint="eastAsia" w:hAnsi="宋体" w:cs="宋体"/>
          <w:color w:val="auto"/>
          <w:sz w:val="24"/>
          <w:highlight w:val="none"/>
        </w:rPr>
      </w:pPr>
      <w:r>
        <w:rPr>
          <w:rFonts w:hint="eastAsia" w:hAnsi="宋体" w:cs="宋体"/>
          <w:color w:val="auto"/>
          <w:sz w:val="24"/>
          <w:highlight w:val="none"/>
        </w:rPr>
        <w:t>6.甲方对乙方在委托权限范围内完成委托事项有指导、监督权利。</w:t>
      </w:r>
    </w:p>
    <w:p>
      <w:pPr>
        <w:pStyle w:val="13"/>
        <w:snapToGrid w:val="0"/>
        <w:spacing w:line="360" w:lineRule="auto"/>
        <w:ind w:firstLine="420" w:firstLineChars="175"/>
        <w:rPr>
          <w:rFonts w:hint="eastAsia" w:hAnsi="宋体" w:cs="宋体"/>
          <w:color w:val="auto"/>
          <w:sz w:val="24"/>
          <w:highlight w:val="none"/>
        </w:rPr>
      </w:pPr>
      <w:r>
        <w:rPr>
          <w:rFonts w:hint="eastAsia" w:hAnsi="宋体" w:cs="宋体"/>
          <w:color w:val="auto"/>
          <w:sz w:val="24"/>
          <w:highlight w:val="none"/>
        </w:rPr>
        <w:t>7.甲方有权要求乙方全面履行合同。甲方不接受部分履行，如本合同项下部分成果文件未能按时交付则视为整体延误。</w:t>
      </w:r>
    </w:p>
    <w:p>
      <w:pPr>
        <w:pStyle w:val="13"/>
        <w:snapToGrid w:val="0"/>
        <w:spacing w:line="360" w:lineRule="auto"/>
        <w:ind w:firstLine="420" w:firstLineChars="175"/>
        <w:rPr>
          <w:rFonts w:hint="eastAsia" w:hAnsi="宋体" w:cs="宋体"/>
          <w:color w:val="auto"/>
          <w:sz w:val="24"/>
          <w:highlight w:val="none"/>
        </w:rPr>
      </w:pPr>
      <w:r>
        <w:rPr>
          <w:rFonts w:hint="eastAsia" w:hAnsi="宋体" w:cs="宋体"/>
          <w:color w:val="auto"/>
          <w:sz w:val="24"/>
          <w:highlight w:val="none"/>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第七条  乙方的权利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1.乙方在本项目服务过程中，如甲方提供的资料不明确时可向甲方提出书面报告。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2.乙方在本项目服务过程中，有权对第三方提出与本咨询服务业务有关的问题进行核对或查问。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3.乙方在本项目服务过程中，有到现场勘察并要求甲方协调的权利。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4.根据合同约定收取相应的合同价款。</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第八条  人员要求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以下为本项目核心领导团队。</w:t>
      </w:r>
    </w:p>
    <w:tbl>
      <w:tblPr>
        <w:tblStyle w:val="24"/>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职称、职务</w:t>
            </w: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拟任</w:t>
            </w:r>
            <w:r>
              <w:rPr>
                <w:rFonts w:ascii="宋体" w:hAnsi="宋体" w:cs="宋体"/>
                <w:color w:val="auto"/>
                <w:sz w:val="24"/>
                <w:highlight w:val="none"/>
              </w:rPr>
              <w:t>团队</w:t>
            </w:r>
            <w:r>
              <w:rPr>
                <w:rFonts w:hint="eastAsia" w:ascii="宋体" w:hAnsi="宋体" w:cs="宋体"/>
                <w:color w:val="auto"/>
                <w:sz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r>
    </w:tbl>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1.参加本项目编制的人员必须具有国家和有关部门规定的相应资质。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2.参加本项目编制的人员配置必须与合同中的项目成员组成一致，若需调整需经甲方同意后，方可变更。</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3.乙方须在服务期内提供1名驻点服务人员，能够独立完成甲方分配的工作。</w:t>
      </w:r>
    </w:p>
    <w:p>
      <w:pPr>
        <w:spacing w:line="360" w:lineRule="auto"/>
        <w:ind w:firstLine="480" w:firstLineChars="200"/>
        <w:rPr>
          <w:rFonts w:hint="default" w:ascii="宋体" w:hAnsi="宋体" w:cs="宋体"/>
          <w:color w:val="auto"/>
          <w:sz w:val="24"/>
          <w:highlight w:val="none"/>
        </w:rPr>
      </w:pPr>
      <w:r>
        <w:rPr>
          <w:rFonts w:hint="eastAsia" w:ascii="宋体" w:hAnsi="宋体" w:cs="宋体"/>
          <w:color w:val="auto"/>
          <w:sz w:val="24"/>
          <w:highlight w:val="none"/>
          <w:lang w:val="en-US" w:eastAsia="zh-CN"/>
        </w:rPr>
        <w:t>4</w:t>
      </w:r>
      <w:r>
        <w:rPr>
          <w:rFonts w:hint="default" w:ascii="宋体" w:hAnsi="宋体" w:cs="宋体"/>
          <w:color w:val="auto"/>
          <w:sz w:val="24"/>
          <w:highlight w:val="none"/>
        </w:rPr>
        <w:t>.</w:t>
      </w:r>
      <w:r>
        <w:rPr>
          <w:rFonts w:hint="eastAsia" w:ascii="宋体" w:hAnsi="宋体" w:cs="宋体"/>
          <w:color w:val="auto"/>
          <w:sz w:val="24"/>
          <w:highlight w:val="none"/>
        </w:rPr>
        <w:t>项目团队应包括不少于7名成员（含1名项目团队负责人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1名驻点服务人员</w:t>
      </w:r>
      <w:r>
        <w:rPr>
          <w:rFonts w:hint="eastAsia" w:ascii="宋体" w:hAnsi="宋体" w:cs="宋体"/>
          <w:color w:val="auto"/>
          <w:sz w:val="24"/>
          <w:highlight w:val="none"/>
        </w:rPr>
        <w:t>）</w:t>
      </w:r>
      <w:r>
        <w:rPr>
          <w:rFonts w:hint="default" w:ascii="宋体" w:hAnsi="宋体" w:cs="宋体"/>
          <w:color w:val="auto"/>
          <w:sz w:val="24"/>
          <w:highlight w:val="none"/>
        </w:rPr>
        <w:t>，其中6名团队人员（不含项目负责人）均须有2年（含2年）以上工作经验，</w:t>
      </w:r>
      <w:r>
        <w:rPr>
          <w:rFonts w:hint="eastAsia" w:ascii="宋体" w:hAnsi="宋体" w:cs="宋体"/>
          <w:color w:val="auto"/>
          <w:sz w:val="24"/>
          <w:highlight w:val="none"/>
        </w:rPr>
        <w:t>在项目重要节点举行的项目汇报会应由项目团队负责人参加并主汇报</w:t>
      </w:r>
      <w:r>
        <w:rPr>
          <w:rFonts w:hint="default" w:ascii="宋体" w:hAnsi="宋体" w:cs="宋体"/>
          <w:color w:val="auto"/>
          <w:sz w:val="24"/>
          <w:highlight w:val="none"/>
        </w:rPr>
        <w:t>。</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第九条 成果权属与知识产权</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确定，甲方有权利用乙方按照本合同约定提供的研究开发成果（如有），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5.乙方完成本合同项目的研究开发人员享有在有关技术成果文件上写明技术成果完成者的权利和与甲方共同获得有关荣誉证书、奖励的权利。</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第十条  保密条款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3.乙方须以保密方式处理在编制本项目成果文件过程中自甲方、甲方工作人员或甲方关联机构获得的相关信息、资料、图纸、数据等，或由甲方在履行本合同过程中明确指明为秘密的任何信息</w:t>
      </w:r>
      <w:r>
        <w:rPr>
          <w:rFonts w:ascii="宋体" w:hAnsi="宋体" w:cs="宋体"/>
          <w:color w:val="auto"/>
          <w:sz w:val="24"/>
          <w:highlight w:val="none"/>
        </w:rPr>
        <w:t>，</w:t>
      </w:r>
      <w:r>
        <w:rPr>
          <w:rFonts w:hint="eastAsia" w:ascii="宋体" w:hAnsi="宋体" w:cs="宋体"/>
          <w:color w:val="auto"/>
          <w:sz w:val="24"/>
          <w:highlight w:val="none"/>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4.乙方实施项目的程序应符合国家安全、保密的有关规定和标准。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5.上述保密义务不适用以下情况：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（1）获取的信息已被合法公开；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（2）获得信息拥有方书面许可并在该许可范围内披露；</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（3）国家法律、法规规定的情形。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第十一条  项目成果及最终成果验收</w:t>
      </w:r>
    </w:p>
    <w:p>
      <w:pPr>
        <w:pStyle w:val="53"/>
        <w:tabs>
          <w:tab w:val="left" w:pos="720"/>
        </w:tabs>
        <w:autoSpaceDE w:val="0"/>
        <w:autoSpaceDN w:val="0"/>
        <w:adjustRightInd w:val="0"/>
        <w:spacing w:line="360" w:lineRule="auto"/>
        <w:ind w:right="17" w:firstLine="480"/>
        <w:jc w:val="left"/>
        <w:rPr>
          <w:rFonts w:ascii="宋体" w:hAnsi="宋体" w:cs="宋体"/>
          <w:color w:val="auto"/>
          <w:sz w:val="24"/>
          <w:highlight w:val="none"/>
        </w:rPr>
      </w:pPr>
      <w:r>
        <w:rPr>
          <w:rFonts w:hint="eastAsia" w:ascii="宋体" w:hAnsi="宋体" w:cs="宋体"/>
          <w:color w:val="auto"/>
          <w:sz w:val="24"/>
          <w:highlight w:val="none"/>
        </w:rPr>
        <w:t>1.项目</w:t>
      </w:r>
      <w:r>
        <w:rPr>
          <w:rFonts w:hint="eastAsia" w:ascii="宋体" w:hAnsi="宋体" w:cs="宋体"/>
          <w:color w:val="auto"/>
          <w:sz w:val="24"/>
          <w:highlight w:val="none"/>
          <w:lang w:val="en-US" w:eastAsia="zh-CN"/>
        </w:rPr>
        <w:t>最终</w:t>
      </w:r>
      <w:r>
        <w:rPr>
          <w:rFonts w:hint="eastAsia" w:ascii="宋体" w:hAnsi="宋体" w:cs="宋体"/>
          <w:color w:val="auto"/>
          <w:sz w:val="24"/>
          <w:highlight w:val="none"/>
        </w:rPr>
        <w:t>成果</w:t>
      </w:r>
      <w:r>
        <w:rPr>
          <w:rFonts w:ascii="宋体" w:hAnsi="宋体" w:cs="宋体"/>
          <w:color w:val="auto"/>
          <w:sz w:val="24"/>
          <w:highlight w:val="none"/>
        </w:rPr>
        <w:t>：</w:t>
      </w:r>
    </w:p>
    <w:p>
      <w:pPr>
        <w:pStyle w:val="53"/>
        <w:tabs>
          <w:tab w:val="left" w:pos="720"/>
        </w:tabs>
        <w:autoSpaceDE w:val="0"/>
        <w:autoSpaceDN w:val="0"/>
        <w:adjustRightInd w:val="0"/>
        <w:spacing w:line="360" w:lineRule="auto"/>
        <w:ind w:right="17" w:firstLine="480"/>
        <w:jc w:val="left"/>
        <w:rPr>
          <w:rFonts w:hint="default" w:ascii="宋体" w:hAnsi="宋体" w:cs="宋体"/>
          <w:color w:val="auto"/>
          <w:sz w:val="24"/>
          <w:highlight w:val="none"/>
        </w:rPr>
      </w:pPr>
      <w:r>
        <w:rPr>
          <w:rFonts w:ascii="宋体" w:hAnsi="宋体" w:cs="宋体"/>
          <w:color w:val="auto"/>
          <w:sz w:val="24"/>
          <w:highlight w:val="none"/>
        </w:rPr>
        <w:t>（</w:t>
      </w:r>
      <w:r>
        <w:rPr>
          <w:rFonts w:hint="default" w:ascii="宋体" w:hAnsi="宋体" w:cs="宋体"/>
          <w:color w:val="auto"/>
          <w:sz w:val="24"/>
          <w:highlight w:val="none"/>
        </w:rPr>
        <w:t>1</w:t>
      </w:r>
      <w:r>
        <w:rPr>
          <w:rFonts w:ascii="宋体" w:hAnsi="宋体" w:cs="宋体"/>
          <w:color w:val="auto"/>
          <w:sz w:val="24"/>
          <w:highlight w:val="none"/>
        </w:rPr>
        <w:t>）</w:t>
      </w:r>
      <w:r>
        <w:rPr>
          <w:rFonts w:hint="eastAsia" w:ascii="宋体" w:hAnsi="宋体" w:cs="宋体"/>
          <w:color w:val="auto"/>
          <w:sz w:val="24"/>
          <w:highlight w:val="none"/>
        </w:rPr>
        <w:t>《前海管理局</w:t>
      </w:r>
      <w:r>
        <w:rPr>
          <w:rFonts w:hint="default" w:ascii="宋体" w:hAnsi="宋体" w:cs="宋体"/>
          <w:color w:val="auto"/>
          <w:sz w:val="24"/>
          <w:highlight w:val="none"/>
        </w:rPr>
        <w:t>国有</w:t>
      </w:r>
      <w:r>
        <w:rPr>
          <w:rFonts w:hint="eastAsia" w:ascii="宋体" w:hAnsi="宋体" w:cs="宋体"/>
          <w:color w:val="auto"/>
          <w:sz w:val="24"/>
          <w:highlight w:val="none"/>
        </w:rPr>
        <w:t>资产清查专项报告》</w:t>
      </w:r>
      <w:r>
        <w:rPr>
          <w:rFonts w:hint="default" w:ascii="宋体" w:hAnsi="宋体" w:cs="宋体"/>
          <w:color w:val="auto"/>
          <w:sz w:val="24"/>
          <w:highlight w:val="none"/>
        </w:rPr>
        <w:t>；</w:t>
      </w:r>
    </w:p>
    <w:p>
      <w:pPr>
        <w:pStyle w:val="53"/>
        <w:tabs>
          <w:tab w:val="left" w:pos="720"/>
        </w:tabs>
        <w:autoSpaceDE w:val="0"/>
        <w:autoSpaceDN w:val="0"/>
        <w:adjustRightInd w:val="0"/>
        <w:spacing w:line="360" w:lineRule="auto"/>
        <w:ind w:right="17" w:firstLine="480"/>
        <w:jc w:val="left"/>
        <w:rPr>
          <w:rFonts w:hint="eastAsia" w:ascii="宋体" w:hAnsi="宋体" w:cs="宋体"/>
          <w:color w:val="auto"/>
          <w:sz w:val="24"/>
          <w:highlight w:val="none"/>
        </w:rPr>
      </w:pPr>
      <w:r>
        <w:rPr>
          <w:rFonts w:ascii="宋体" w:hAnsi="宋体" w:cs="宋体"/>
          <w:color w:val="auto"/>
          <w:sz w:val="24"/>
          <w:highlight w:val="none"/>
        </w:rPr>
        <w:t>（</w:t>
      </w:r>
      <w:r>
        <w:rPr>
          <w:rFonts w:hint="default" w:ascii="宋体" w:hAnsi="宋体" w:cs="宋体"/>
          <w:color w:val="auto"/>
          <w:sz w:val="24"/>
          <w:highlight w:val="none"/>
        </w:rPr>
        <w:t>2</w:t>
      </w:r>
      <w:r>
        <w:rPr>
          <w:rFonts w:ascii="宋体" w:hAnsi="宋体" w:cs="宋体"/>
          <w:color w:val="auto"/>
          <w:sz w:val="24"/>
          <w:highlight w:val="none"/>
        </w:rPr>
        <w:t>）《</w:t>
      </w:r>
      <w:r>
        <w:rPr>
          <w:rFonts w:hint="eastAsia" w:ascii="宋体" w:hAnsi="宋体" w:cs="宋体"/>
          <w:color w:val="auto"/>
          <w:sz w:val="24"/>
          <w:highlight w:val="none"/>
        </w:rPr>
        <w:t>前海管理局</w:t>
      </w:r>
      <w:r>
        <w:rPr>
          <w:rFonts w:hint="default" w:ascii="宋体" w:hAnsi="宋体" w:cs="宋体"/>
          <w:color w:val="auto"/>
          <w:sz w:val="24"/>
          <w:highlight w:val="none"/>
        </w:rPr>
        <w:t>国有</w:t>
      </w:r>
      <w:r>
        <w:rPr>
          <w:rFonts w:hint="eastAsia" w:ascii="宋体" w:hAnsi="宋体" w:cs="宋体"/>
          <w:color w:val="auto"/>
          <w:sz w:val="24"/>
          <w:highlight w:val="none"/>
        </w:rPr>
        <w:t>资产</w:t>
      </w:r>
      <w:r>
        <w:rPr>
          <w:rFonts w:hint="default" w:ascii="宋体" w:hAnsi="宋体" w:cs="宋体"/>
          <w:color w:val="auto"/>
          <w:sz w:val="24"/>
          <w:highlight w:val="none"/>
        </w:rPr>
        <w:t>管理建议书</w:t>
      </w:r>
      <w:r>
        <w:rPr>
          <w:rFonts w:ascii="宋体" w:hAnsi="宋体" w:cs="宋体"/>
          <w:color w:val="auto"/>
          <w:sz w:val="24"/>
          <w:highlight w:val="none"/>
        </w:rPr>
        <w:t>》；</w:t>
      </w:r>
    </w:p>
    <w:p>
      <w:pPr>
        <w:pStyle w:val="53"/>
        <w:tabs>
          <w:tab w:val="left" w:pos="720"/>
        </w:tabs>
        <w:autoSpaceDE w:val="0"/>
        <w:autoSpaceDN w:val="0"/>
        <w:adjustRightInd w:val="0"/>
        <w:spacing w:line="360" w:lineRule="auto"/>
        <w:ind w:right="17" w:firstLine="480"/>
        <w:jc w:val="left"/>
        <w:rPr>
          <w:rFonts w:hint="eastAsia" w:ascii="宋体" w:hAnsi="宋体" w:cs="宋体"/>
          <w:color w:val="auto"/>
          <w:sz w:val="24"/>
          <w:highlight w:val="none"/>
        </w:rPr>
      </w:pPr>
      <w:r>
        <w:rPr>
          <w:rFonts w:hint="default" w:ascii="宋体" w:hAnsi="宋体" w:cs="宋体"/>
          <w:color w:val="auto"/>
          <w:sz w:val="24"/>
          <w:highlight w:val="none"/>
        </w:rPr>
        <w:t>（3）</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根据清查情况要求供应商提供的其他成果材料。</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2.最终成果验收：</w:t>
      </w:r>
    </w:p>
    <w:p>
      <w:pPr>
        <w:widowControl/>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项目成果以WORD文本形式呈现，提交书面纸质（2份）和和电子两个版本。项目最终成果验收合格的标志为通过甲方验收</w:t>
      </w:r>
      <w:r>
        <w:rPr>
          <w:rFonts w:ascii="宋体" w:hAnsi="宋体" w:cs="宋体"/>
          <w:color w:val="auto"/>
          <w:sz w:val="24"/>
          <w:highlight w:val="none"/>
        </w:rPr>
        <w:t>。</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第十二条  项目服务费用及付款方式</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1.合同价款：合同总价为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（含税）。包括调研费、中标服务费、资料费、税金、</w:t>
      </w:r>
      <w:r>
        <w:rPr>
          <w:rFonts w:hint="eastAsia" w:ascii="宋体" w:hAnsi="宋体" w:cs="宋体"/>
          <w:color w:val="auto"/>
          <w:sz w:val="24"/>
          <w:highlight w:val="none"/>
          <w:lang w:eastAsia="zh-CN"/>
        </w:rPr>
        <w:t>人员费用</w:t>
      </w:r>
      <w:r>
        <w:rPr>
          <w:rFonts w:hint="eastAsia" w:ascii="宋体" w:hAnsi="宋体" w:cs="宋体"/>
          <w:color w:val="auto"/>
          <w:sz w:val="24"/>
          <w:highlight w:val="none"/>
        </w:rPr>
        <w:t>、差旅费、后续服务等所有费用，并提供合同要求的成果文件，以及其它相关服务的全部费用</w:t>
      </w:r>
      <w:r>
        <w:rPr>
          <w:rFonts w:hint="eastAsia" w:ascii="宋体" w:hAnsi="宋体" w:cs="宋体"/>
          <w:color w:val="auto"/>
          <w:sz w:val="24"/>
          <w:highlight w:val="none"/>
          <w:lang w:val="zh-CN"/>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2.合同价款由甲方分3期支付至乙方指定银行账户：</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2.1.首期：合同签订生效后，向乙方指定银行账户支付人民币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），为合同服务费总金额的</w:t>
      </w:r>
      <w:r>
        <w:rPr>
          <w:rFonts w:hint="default" w:ascii="宋体" w:hAnsi="宋体" w:cs="宋体"/>
          <w:color w:val="auto"/>
          <w:sz w:val="24"/>
          <w:highlight w:val="none"/>
        </w:rPr>
        <w:t>25</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形成资产清查专项报告初稿后，向乙方指定银行账户支付人民币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），为本合同服务费总金额的4</w:t>
      </w:r>
      <w:r>
        <w:rPr>
          <w:rFonts w:hint="default" w:ascii="宋体" w:hAnsi="宋体" w:cs="宋体"/>
          <w:color w:val="auto"/>
          <w:sz w:val="24"/>
          <w:highlight w:val="none"/>
        </w:rPr>
        <w:t>5</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2.3.完成所有项目成果交付并经甲方验收通过后，向乙方指定银行账户支付人民币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），为本合同服务费总金额的30%；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10"/>
        <w:spacing w:after="0"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3.乙方银行账户信息：</w:t>
      </w:r>
    </w:p>
    <w:p>
      <w:pPr>
        <w:pStyle w:val="10"/>
        <w:spacing w:after="0"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 xml:space="preserve">开户银行： </w:t>
      </w:r>
    </w:p>
    <w:p>
      <w:pPr>
        <w:pStyle w:val="10"/>
        <w:spacing w:after="0"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户名：</w:t>
      </w:r>
    </w:p>
    <w:p>
      <w:pPr>
        <w:pStyle w:val="10"/>
        <w:spacing w:after="0"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账号：</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第十三条 合同提前终止</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1.双方协商同意提前终止本合同的，按双方协商约定的方式进行清算执行。</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3.有下列情形之一的，本合同自甲方向乙方发出书面通知之日起终止：</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（1）甲方的职能发生转变，不再具有委托职能。</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（2）本合同签订时适用的法律法规或政策发生变化，且对本合同的继续履行造成重大影响。</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发生以上情形，甲方已向乙方支付的款项不退还，尚未支付的款项不再支付，同时乙方应向甲方提交在合同终止日前完成的所有项目文件和相关资料。</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4.如发生不可抗力或其他超出合同双方控制的事件，致使一方无法履行合同，本合同解除。</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（2）发生不可抗力，甲乙双方承担各自的损失。由于其中一方迟延履行合同义务后发生不可抗力的，其违约责任不能免除。</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highlight w:val="none"/>
          <w:lang w:val="zh-CN"/>
        </w:rPr>
        <w:t>乙方</w:t>
      </w:r>
      <w:r>
        <w:rPr>
          <w:rFonts w:hint="eastAsia" w:ascii="宋体" w:hAnsi="宋体" w:cs="宋体"/>
          <w:color w:val="auto"/>
          <w:sz w:val="24"/>
          <w:highlight w:val="none"/>
        </w:rPr>
        <w:t>非经允许</w:t>
      </w:r>
      <w:r>
        <w:rPr>
          <w:rFonts w:hint="eastAsia" w:ascii="宋体" w:hAnsi="宋体" w:cs="宋体"/>
          <w:color w:val="auto"/>
          <w:sz w:val="24"/>
          <w:highlight w:val="none"/>
          <w:lang w:val="zh-CN"/>
        </w:rPr>
        <w:t>不得将项目非法分包或转包给任何单位和个人。否则，甲方有权即刻终止合同，并要求供应商赔偿相应损失</w:t>
      </w:r>
      <w:r>
        <w:rPr>
          <w:rFonts w:hint="eastAsia" w:ascii="宋体" w:hAnsi="宋体" w:cs="宋体"/>
          <w:color w:val="auto"/>
          <w:sz w:val="24"/>
          <w:highlight w:val="none"/>
          <w:lang w:val="zh-TW"/>
        </w:rPr>
        <w:t>。</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第十四条  争议解决办法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因本合同的履行发生的或与本合同有关的争议或纠纷，由甲乙双方协商解决。协商不成的，任意一方有权向深圳前海合作区人民法院提起诉讼。</w:t>
      </w:r>
    </w:p>
    <w:p>
      <w:pPr>
        <w:numPr>
          <w:ilvl w:val="0"/>
          <w:numId w:val="6"/>
        </w:num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 项目变更</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4.在合同所约定的工作范畴内的服务，本合同价格不予变更。</w:t>
      </w:r>
    </w:p>
    <w:p>
      <w:pPr>
        <w:numPr>
          <w:ilvl w:val="0"/>
          <w:numId w:val="6"/>
        </w:num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风险责任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乙方应完全地按照【</w:t>
      </w:r>
      <w:r>
        <w:rPr>
          <w:rFonts w:hint="eastAsia" w:ascii="宋体" w:hAnsi="宋体" w:cs="宋体"/>
          <w:color w:val="auto"/>
          <w:sz w:val="24"/>
          <w:highlight w:val="none"/>
          <w:lang w:eastAsia="zh-CN"/>
        </w:rPr>
        <w:t>QH2023</w:t>
      </w:r>
      <w:r>
        <w:rPr>
          <w:rFonts w:hint="eastAsia" w:ascii="宋体" w:hAnsi="宋体" w:cs="宋体"/>
          <w:color w:val="auto"/>
          <w:sz w:val="24"/>
          <w:highlight w:val="none"/>
          <w:lang w:val="en-US" w:eastAsia="zh-CN"/>
        </w:rPr>
        <w:t>071</w:t>
      </w:r>
      <w:r>
        <w:rPr>
          <w:rFonts w:hint="eastAsia" w:ascii="宋体" w:hAnsi="宋体" w:cs="宋体"/>
          <w:color w:val="auto"/>
          <w:sz w:val="24"/>
          <w:highlight w:val="none"/>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第十七条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2.本项目项下的工作内容不可分割，任一文件的迟延交付均视为整个项目的迟延交付。</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3.本合同履行期间，发生下述情形时，甲方有权解除本合同，乙方除应退还甲方已支付的全部款项外</w:t>
      </w:r>
      <w:r>
        <w:rPr>
          <w:rFonts w:ascii="宋体" w:hAnsi="宋体" w:cs="宋体"/>
          <w:color w:val="auto"/>
          <w:sz w:val="24"/>
          <w:highlight w:val="none"/>
        </w:rPr>
        <w:t>，</w:t>
      </w:r>
      <w:r>
        <w:rPr>
          <w:rFonts w:hint="eastAsia" w:ascii="宋体" w:hAnsi="宋体" w:cs="宋体"/>
          <w:color w:val="auto"/>
          <w:sz w:val="24"/>
          <w:highlight w:val="none"/>
        </w:rPr>
        <w:t xml:space="preserve">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（1）乙方未能按合同约定的日期(含协商延缓的日期)提交各阶段成果或最终成果，延误时间超过15个工作日；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（2）因乙方工作的错误或遗漏造成成果质量损失，</w:t>
      </w:r>
      <w:r>
        <w:rPr>
          <w:rFonts w:hint="eastAsia" w:ascii="宋体" w:hAnsi="宋体" w:cs="宋体"/>
          <w:color w:val="auto"/>
          <w:sz w:val="24"/>
          <w:highlight w:val="none"/>
          <w:lang w:val="zh-CN"/>
        </w:rPr>
        <w:t>工作成果质量低劣，不能满足甲方工作需要和要求</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（3）乙方虽如期提交最终成果，但连续二次未能通过甲方验收的；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（5）项目负责人未承担本合同项目实质性工作，或未经甲方书面在先同意，乙方擅自更换项目负责人的；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（7）乙方明确表示或者以自己的行为表明不履行本合同的。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5.上述违约责任各自独立且可累加。本合同所约定的违约金如低于因违约行为所造成的损失，违约方应补偿上述不足部分的损失。</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第十八条  其他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（1）合同书及补充协议；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（3）招标文件（编号：    ）及其澄清、补正公告；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3.本合同各条标题仅为提示之用，应以条文内容确定各方的权利义务。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4.本合同未尽事宜，由双方协商签订补充协议进行约定。补充协议应以书面形式作成，经双方法定代表人或其授权代表签字、盖章后与本合同具有同等法律效力。</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7.如果本合同的任何条款在任何时候变成不合法、无效或不可强制执行而不从根本上影响本合同的效力时，本合同的其他条款不受影响。</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9.任何一方未经另一方同意不得向任何第三方透露本合同的签订及其内容。甲方向其关联公司透露前述内容的，不受此限。</w:t>
      </w:r>
    </w:p>
    <w:p>
      <w:pPr>
        <w:pStyle w:val="5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11.本合同自双方法定代表人或其授权代表签字、盖章之日起生效，有效期至本合同全部权利义务履行完毕之日止。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12.本合同一式六份，甲、乙方各执三份，均具有同等法律效力。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（以下无正文，为签章栏）</w:t>
      </w:r>
    </w:p>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（本页为签章页）</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ind w:firstLine="200"/>
        <w:rPr>
          <w:rFonts w:hint="eastAsia" w:ascii="宋体" w:hAnsi="宋体" w:cs="宋体"/>
          <w:color w:val="auto"/>
          <w:sz w:val="24"/>
          <w:highlight w:val="none"/>
        </w:rPr>
      </w:pPr>
    </w:p>
    <w:p>
      <w:pPr>
        <w:adjustRightInd w:val="0"/>
        <w:snapToGrid w:val="0"/>
        <w:spacing w:line="360" w:lineRule="auto"/>
        <w:ind w:left="8312" w:hanging="8312" w:hangingChars="3450"/>
        <w:rPr>
          <w:rFonts w:hint="eastAsia" w:ascii="宋体" w:hAnsi="宋体" w:cs="宋体"/>
          <w:b/>
          <w:color w:val="auto"/>
          <w:sz w:val="24"/>
          <w:highlight w:val="none"/>
        </w:rPr>
      </w:pPr>
      <w:r>
        <w:rPr>
          <w:rFonts w:hint="eastAsia" w:ascii="宋体" w:hAnsi="宋体" w:cs="宋体"/>
          <w:b/>
          <w:color w:val="auto"/>
          <w:sz w:val="24"/>
          <w:highlight w:val="none"/>
        </w:rPr>
        <w:t>甲方名称：                                 乙方名称：</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深圳市前海深港现代服务业合作区管理局</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pPr>
        <w:adjustRightInd w:val="0"/>
        <w:snapToGrid w:val="0"/>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（盖章）</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（盖章）</w:t>
      </w:r>
    </w:p>
    <w:p>
      <w:pPr>
        <w:adjustRightInd w:val="0"/>
        <w:snapToGrid w:val="0"/>
        <w:spacing w:line="360" w:lineRule="auto"/>
        <w:ind w:firstLine="200"/>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法定代表人或授权代表：（签字）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法定代表人或授权代表：（签字）</w:t>
      </w:r>
    </w:p>
    <w:p>
      <w:pPr>
        <w:widowControl/>
        <w:adjustRightInd w:val="0"/>
        <w:snapToGrid w:val="0"/>
        <w:spacing w:line="360" w:lineRule="auto"/>
        <w:ind w:firstLine="200"/>
        <w:jc w:val="left"/>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日期：                                       日期：</w:t>
      </w:r>
    </w:p>
    <w:p>
      <w:pPr>
        <w:adjustRightInd w:val="0"/>
        <w:snapToGrid w:val="0"/>
        <w:spacing w:line="360" w:lineRule="auto"/>
        <w:ind w:firstLine="720" w:firstLineChars="300"/>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注：本合同样本仅供参考，非实质性条款内容可由采购人和中标人协商确定。</w:t>
      </w:r>
    </w:p>
    <w:p>
      <w:pPr>
        <w:snapToGrid w:val="0"/>
        <w:spacing w:line="360" w:lineRule="auto"/>
        <w:rPr>
          <w:rFonts w:hint="eastAsia" w:ascii="宋体" w:hAnsi="宋体" w:cs="宋体"/>
          <w:color w:val="auto"/>
          <w:sz w:val="24"/>
          <w:highlight w:val="none"/>
        </w:rPr>
      </w:pP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13" w:name="_Toc25518"/>
      <w:r>
        <w:rPr>
          <w:rFonts w:hint="eastAsia" w:ascii="宋体" w:hAnsi="宋体" w:cs="宋体"/>
          <w:b/>
          <w:bCs/>
          <w:color w:val="auto"/>
          <w:sz w:val="24"/>
          <w:highlight w:val="none"/>
        </w:rPr>
        <w:t>用户需求书</w:t>
      </w:r>
      <w:bookmarkEnd w:id="13"/>
    </w:p>
    <w:p>
      <w:pPr>
        <w:pStyle w:val="53"/>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bookmarkStart w:id="14" w:name="_Toc23726"/>
      <w:bookmarkStart w:id="15" w:name="_Toc11045"/>
      <w:r>
        <w:rPr>
          <w:rFonts w:hint="eastAsia" w:ascii="宋体" w:hAnsi="宋体" w:cs="宋体"/>
          <w:b/>
          <w:color w:val="auto"/>
          <w:sz w:val="24"/>
          <w:highlight w:val="none"/>
        </w:rPr>
        <w:t>一、</w:t>
      </w:r>
      <w:bookmarkEnd w:id="14"/>
      <w:bookmarkEnd w:id="15"/>
      <w:bookmarkStart w:id="16" w:name="_Toc51746099"/>
      <w:r>
        <w:rPr>
          <w:rFonts w:hint="eastAsia" w:ascii="宋体" w:hAnsi="宋体" w:cs="宋体"/>
          <w:b/>
          <w:color w:val="auto"/>
          <w:sz w:val="24"/>
          <w:highlight w:val="none"/>
          <w:lang w:val="zh-CN"/>
        </w:rPr>
        <w:t>项目概</w:t>
      </w:r>
      <w:r>
        <w:rPr>
          <w:rFonts w:hint="eastAsia" w:ascii="宋体" w:hAnsi="宋体" w:cs="宋体"/>
          <w:b/>
          <w:color w:val="auto"/>
          <w:sz w:val="24"/>
          <w:highlight w:val="none"/>
        </w:rPr>
        <w:t>况</w:t>
      </w:r>
    </w:p>
    <w:bookmarkEnd w:id="16"/>
    <w:p>
      <w:pPr>
        <w:pStyle w:val="10"/>
        <w:spacing w:after="0" w:line="360" w:lineRule="auto"/>
        <w:ind w:firstLine="480" w:firstLineChars="200"/>
        <w:rPr>
          <w:rFonts w:hint="eastAsia" w:ascii="宋体" w:hAnsi="宋体" w:cs="宋体"/>
          <w:color w:val="auto"/>
          <w:szCs w:val="32"/>
          <w:highlight w:val="none"/>
        </w:rPr>
      </w:pPr>
      <w:r>
        <w:rPr>
          <w:rFonts w:hint="eastAsia" w:ascii="宋体" w:hAnsi="宋体" w:cs="宋体"/>
          <w:color w:val="auto"/>
          <w:szCs w:val="32"/>
          <w:highlight w:val="none"/>
        </w:rPr>
        <w:t>本次资产清查范围为截至2023年</w:t>
      </w:r>
      <w:r>
        <w:rPr>
          <w:rFonts w:hint="eastAsia" w:ascii="宋体" w:hAnsi="宋体" w:cs="宋体"/>
          <w:color w:val="auto"/>
          <w:szCs w:val="32"/>
          <w:highlight w:val="none"/>
          <w:lang w:val="en-US" w:eastAsia="zh-CN"/>
        </w:rPr>
        <w:t>7</w:t>
      </w:r>
      <w:r>
        <w:rPr>
          <w:rFonts w:hint="eastAsia" w:ascii="宋体" w:hAnsi="宋体" w:cs="宋体"/>
          <w:color w:val="auto"/>
          <w:szCs w:val="32"/>
          <w:highlight w:val="none"/>
        </w:rPr>
        <w:t>月</w:t>
      </w:r>
      <w:r>
        <w:rPr>
          <w:rFonts w:hint="default" w:ascii="宋体" w:hAnsi="宋体" w:cs="宋体"/>
          <w:color w:val="auto"/>
          <w:szCs w:val="32"/>
          <w:highlight w:val="none"/>
        </w:rPr>
        <w:t>31</w:t>
      </w:r>
      <w:r>
        <w:rPr>
          <w:rFonts w:hint="eastAsia" w:ascii="宋体" w:hAnsi="宋体" w:cs="宋体"/>
          <w:color w:val="auto"/>
          <w:szCs w:val="32"/>
          <w:highlight w:val="none"/>
        </w:rPr>
        <w:t>日前海管理局财政投资的在建工程、公共基础设施、保障性住房、固定资产、无形资产、配建物业等资产。</w:t>
      </w:r>
    </w:p>
    <w:p>
      <w:pPr>
        <w:pStyle w:val="53"/>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二、项目内容</w:t>
      </w:r>
    </w:p>
    <w:p>
      <w:pPr>
        <w:spacing w:line="5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审查合规性。依据国务院、财政部、深圳市行政事业单位国有资产管理相关政策，审查前海管理局国有资产管理制度合理建设及有效执行情况，全面梳理资产管理流程存在的缺陷及风险点，出具管理意见书，规范国有资产管理工作。</w:t>
      </w:r>
    </w:p>
    <w:p>
      <w:pPr>
        <w:spacing w:line="5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审查资产的真实性、准确性、完整性。全面摸清我局成立至本项目基准日资产底数，形成真实、准确、完整的资产台账；审查资产台账、资产管理系统与财务账表的一致性，协助我局开展账务调整、资产管理系统信息补录及修改、资产信息卡片张贴等工作，实现账实相符、账账相符、账卡相符。</w:t>
      </w:r>
    </w:p>
    <w:p>
      <w:pPr>
        <w:spacing w:line="5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审查资产全链条闭环管理情况。审查资产配置、使用、处置、绩效评价、产权登记、信息化、预算、报告等全链条基础管理情况，对资产全生命周期管理提出合理化建议，防控国有资产管理风险。</w:t>
      </w:r>
    </w:p>
    <w:p>
      <w:pPr>
        <w:spacing w:line="5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审查资产盘活情况。全面摸清资产使用状态，审查资产低效运行、闲置空置等情况，分类汇总形成待盘活资产清单，参照先进地区经验做法，区分资产类别研究明确盘活方式，有针对性的提出资产盘活建议，出具资产盘活工作方案、资产盘活情况表，推动资产盘活与资产使用效率提升。</w:t>
      </w:r>
    </w:p>
    <w:p>
      <w:pPr>
        <w:spacing w:line="500" w:lineRule="exact"/>
        <w:ind w:firstLine="480" w:firstLineChars="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五</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资产清查报告。结合政策法规要求及我局资产管理情况，全面排查国有资产管理存在的问题，找准问题的根因，系统性提出资产管理建议，出具资产清查专项报告。</w:t>
      </w:r>
    </w:p>
    <w:p>
      <w:pPr>
        <w:pStyle w:val="53"/>
        <w:tabs>
          <w:tab w:val="left" w:pos="720"/>
        </w:tabs>
        <w:autoSpaceDE w:val="0"/>
        <w:autoSpaceDN w:val="0"/>
        <w:adjustRightInd w:val="0"/>
        <w:spacing w:line="360" w:lineRule="auto"/>
        <w:ind w:right="17" w:firstLine="482"/>
        <w:jc w:val="left"/>
        <w:outlineLvl w:val="1"/>
        <w:rPr>
          <w:rFonts w:ascii="宋体" w:hAnsi="宋体" w:cs="宋体"/>
          <w:b/>
          <w:bCs w:val="0"/>
          <w:color w:val="auto"/>
          <w:sz w:val="24"/>
          <w:highlight w:val="none"/>
        </w:rPr>
      </w:pPr>
      <w:r>
        <w:rPr>
          <w:rFonts w:hint="eastAsia" w:ascii="宋体" w:hAnsi="宋体" w:cs="宋体"/>
          <w:b/>
          <w:bCs w:val="0"/>
          <w:color w:val="auto"/>
          <w:sz w:val="24"/>
          <w:highlight w:val="none"/>
        </w:rPr>
        <w:t>三、项目团队要求及工作进程</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项目团队应包括不少于</w:t>
      </w:r>
      <w:r>
        <w:rPr>
          <w:rFonts w:hint="default" w:ascii="宋体" w:hAnsi="宋体" w:cs="宋体"/>
          <w:color w:val="auto"/>
          <w:sz w:val="24"/>
          <w:highlight w:val="none"/>
        </w:rPr>
        <w:t>7</w:t>
      </w:r>
      <w:r>
        <w:rPr>
          <w:rFonts w:hint="eastAsia" w:ascii="宋体" w:hAnsi="宋体" w:cs="宋体"/>
          <w:color w:val="auto"/>
          <w:sz w:val="24"/>
          <w:highlight w:val="none"/>
        </w:rPr>
        <w:t>名成员（含1名项目团队负责人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1名驻点服务人员</w:t>
      </w:r>
      <w:r>
        <w:rPr>
          <w:rFonts w:hint="eastAsia" w:ascii="宋体" w:hAnsi="宋体" w:cs="宋体"/>
          <w:color w:val="auto"/>
          <w:sz w:val="24"/>
          <w:highlight w:val="none"/>
        </w:rPr>
        <w:t>）</w:t>
      </w:r>
      <w:r>
        <w:rPr>
          <w:rFonts w:hint="default" w:ascii="宋体" w:hAnsi="宋体" w:cs="宋体"/>
          <w:color w:val="auto"/>
          <w:sz w:val="24"/>
          <w:highlight w:val="none"/>
        </w:rPr>
        <w:t>，其中6名团队人员（不含项目负责人）均须有2年（含2年）以上工作经验</w:t>
      </w:r>
      <w:r>
        <w:rPr>
          <w:rFonts w:hint="eastAsia" w:ascii="宋体" w:hAnsi="宋体" w:cs="宋体"/>
          <w:color w:val="auto"/>
          <w:sz w:val="24"/>
          <w:highlight w:val="none"/>
        </w:rPr>
        <w:t>。项目服务周期自合同签订之日起</w:t>
      </w:r>
      <w:r>
        <w:rPr>
          <w:rFonts w:hint="default" w:ascii="宋体" w:hAnsi="宋体" w:cs="宋体"/>
          <w:color w:val="auto"/>
          <w:sz w:val="24"/>
          <w:highlight w:val="none"/>
        </w:rPr>
        <w:t>1年</w:t>
      </w:r>
      <w:r>
        <w:rPr>
          <w:rFonts w:hint="eastAsia" w:ascii="宋体" w:hAnsi="宋体" w:cs="宋体"/>
          <w:color w:val="auto"/>
          <w:sz w:val="24"/>
          <w:highlight w:val="none"/>
          <w:lang w:eastAsia="zh-CN"/>
        </w:rPr>
        <w:t>内</w:t>
      </w:r>
      <w:r>
        <w:rPr>
          <w:rFonts w:hint="eastAsia" w:ascii="宋体" w:hAnsi="宋体" w:cs="宋体"/>
          <w:color w:val="auto"/>
          <w:sz w:val="24"/>
          <w:highlight w:val="none"/>
        </w:rPr>
        <w:t>，在项目重要节点举行的项目汇报会应由项目团队负责人参加并主汇报。</w:t>
      </w:r>
    </w:p>
    <w:p>
      <w:pPr>
        <w:spacing w:line="360" w:lineRule="auto"/>
        <w:ind w:firstLine="480" w:firstLineChars="200"/>
        <w:rPr>
          <w:rFonts w:hint="eastAsia"/>
        </w:rPr>
      </w:pPr>
      <w:r>
        <w:rPr>
          <w:rFonts w:hint="eastAsia" w:ascii="宋体" w:hAnsi="宋体" w:cs="宋体"/>
          <w:color w:val="auto"/>
          <w:sz w:val="24"/>
          <w:highlight w:val="none"/>
          <w:lang w:val="en-US" w:eastAsia="zh-CN"/>
        </w:rPr>
        <w:t>中标人须在服务期内提供1名驻点服务人员，能够独立完成采购人分配的工作。</w:t>
      </w:r>
    </w:p>
    <w:p>
      <w:pPr>
        <w:pStyle w:val="53"/>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rPr>
        <w:t>四、成果形式及最终成果验收</w:t>
      </w:r>
    </w:p>
    <w:p>
      <w:pPr>
        <w:pStyle w:val="53"/>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auto"/>
          <w:sz w:val="24"/>
          <w:highlight w:val="none"/>
          <w:lang w:eastAsia="zh-CN"/>
        </w:rPr>
      </w:pPr>
      <w:r>
        <w:rPr>
          <w:rFonts w:hint="eastAsia" w:ascii="宋体" w:hAnsi="宋体" w:cs="宋体"/>
          <w:color w:val="auto"/>
          <w:sz w:val="24"/>
          <w:highlight w:val="none"/>
        </w:rPr>
        <w:t>（一）</w:t>
      </w:r>
      <w:r>
        <w:rPr>
          <w:rFonts w:hint="eastAsia" w:ascii="宋体" w:hAnsi="宋体" w:cs="宋体"/>
          <w:bCs/>
          <w:color w:val="auto"/>
          <w:sz w:val="24"/>
          <w:highlight w:val="none"/>
        </w:rPr>
        <w:t>本项目最终成果</w:t>
      </w:r>
      <w:r>
        <w:rPr>
          <w:rFonts w:hint="eastAsia" w:ascii="宋体" w:hAnsi="宋体" w:cs="宋体"/>
          <w:bCs/>
          <w:color w:val="auto"/>
          <w:sz w:val="24"/>
          <w:highlight w:val="none"/>
          <w:lang w:eastAsia="zh-CN"/>
        </w:rPr>
        <w:t>：</w:t>
      </w:r>
    </w:p>
    <w:p>
      <w:pPr>
        <w:pStyle w:val="53"/>
        <w:tabs>
          <w:tab w:val="left" w:pos="720"/>
        </w:tabs>
        <w:autoSpaceDE w:val="0"/>
        <w:autoSpaceDN w:val="0"/>
        <w:adjustRightInd w:val="0"/>
        <w:spacing w:line="360" w:lineRule="auto"/>
        <w:ind w:right="17" w:firstLine="480"/>
        <w:jc w:val="left"/>
        <w:outlineLvl w:val="1"/>
        <w:rPr>
          <w:rFonts w:hint="default" w:ascii="宋体" w:hAnsi="宋体" w:cs="宋体"/>
          <w:bCs/>
          <w:color w:val="auto"/>
          <w:sz w:val="24"/>
          <w:highlight w:val="none"/>
        </w:rPr>
      </w:pPr>
      <w:r>
        <w:rPr>
          <w:rFonts w:hint="default" w:ascii="宋体" w:hAnsi="宋体" w:cs="宋体"/>
          <w:bCs/>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前海管理局</w:t>
      </w:r>
      <w:r>
        <w:rPr>
          <w:rFonts w:hint="default" w:ascii="宋体" w:hAnsi="宋体" w:cs="宋体"/>
          <w:color w:val="auto"/>
          <w:sz w:val="24"/>
          <w:highlight w:val="none"/>
        </w:rPr>
        <w:t>国有</w:t>
      </w:r>
      <w:r>
        <w:rPr>
          <w:rFonts w:hint="eastAsia" w:ascii="宋体" w:hAnsi="宋体" w:cs="宋体"/>
          <w:color w:val="auto"/>
          <w:sz w:val="24"/>
          <w:highlight w:val="none"/>
        </w:rPr>
        <w:t>资产清查专项报告</w:t>
      </w:r>
      <w:r>
        <w:rPr>
          <w:rFonts w:hint="eastAsia" w:ascii="宋体" w:hAnsi="宋体" w:cs="宋体"/>
          <w:bCs/>
          <w:color w:val="auto"/>
          <w:sz w:val="24"/>
          <w:highlight w:val="none"/>
        </w:rPr>
        <w:t>》</w:t>
      </w:r>
      <w:r>
        <w:rPr>
          <w:rFonts w:hint="default" w:ascii="宋体" w:hAnsi="宋体" w:cs="宋体"/>
          <w:bCs/>
          <w:color w:val="auto"/>
          <w:sz w:val="24"/>
          <w:highlight w:val="none"/>
        </w:rPr>
        <w:t>；</w:t>
      </w:r>
    </w:p>
    <w:p>
      <w:pPr>
        <w:pStyle w:val="53"/>
        <w:tabs>
          <w:tab w:val="left" w:pos="720"/>
        </w:tabs>
        <w:autoSpaceDE w:val="0"/>
        <w:autoSpaceDN w:val="0"/>
        <w:adjustRightInd w:val="0"/>
        <w:spacing w:line="360" w:lineRule="auto"/>
        <w:ind w:right="17" w:firstLine="480"/>
        <w:jc w:val="left"/>
        <w:outlineLvl w:val="1"/>
        <w:rPr>
          <w:rFonts w:hint="default" w:ascii="宋体" w:hAnsi="宋体" w:cs="宋体"/>
          <w:bCs/>
          <w:color w:val="auto"/>
          <w:sz w:val="24"/>
          <w:highlight w:val="none"/>
        </w:rPr>
      </w:pPr>
      <w:r>
        <w:rPr>
          <w:rFonts w:hint="default" w:ascii="宋体" w:hAnsi="宋体" w:cs="宋体"/>
          <w:bCs/>
          <w:color w:val="auto"/>
          <w:sz w:val="24"/>
          <w:highlight w:val="none"/>
        </w:rPr>
        <w:t>2.</w:t>
      </w:r>
      <w:r>
        <w:rPr>
          <w:rFonts w:ascii="宋体" w:hAnsi="宋体" w:cs="宋体"/>
          <w:color w:val="auto"/>
          <w:sz w:val="24"/>
          <w:highlight w:val="none"/>
        </w:rPr>
        <w:t>《</w:t>
      </w:r>
      <w:r>
        <w:rPr>
          <w:rFonts w:hint="eastAsia" w:ascii="宋体" w:hAnsi="宋体" w:cs="宋体"/>
          <w:color w:val="auto"/>
          <w:sz w:val="24"/>
          <w:highlight w:val="none"/>
        </w:rPr>
        <w:t>前海管理局</w:t>
      </w:r>
      <w:r>
        <w:rPr>
          <w:rFonts w:hint="default" w:ascii="宋体" w:hAnsi="宋体" w:cs="宋体"/>
          <w:color w:val="auto"/>
          <w:sz w:val="24"/>
          <w:highlight w:val="none"/>
        </w:rPr>
        <w:t>国有</w:t>
      </w:r>
      <w:r>
        <w:rPr>
          <w:rFonts w:hint="eastAsia" w:ascii="宋体" w:hAnsi="宋体" w:cs="宋体"/>
          <w:color w:val="auto"/>
          <w:sz w:val="24"/>
          <w:highlight w:val="none"/>
        </w:rPr>
        <w:t>资产</w:t>
      </w:r>
      <w:r>
        <w:rPr>
          <w:rFonts w:hint="default" w:ascii="宋体" w:hAnsi="宋体" w:cs="宋体"/>
          <w:color w:val="auto"/>
          <w:sz w:val="24"/>
          <w:highlight w:val="none"/>
        </w:rPr>
        <w:t>管理建议书</w:t>
      </w:r>
      <w:r>
        <w:rPr>
          <w:rFonts w:ascii="宋体" w:hAnsi="宋体" w:cs="宋体"/>
          <w:color w:val="auto"/>
          <w:sz w:val="24"/>
          <w:highlight w:val="none"/>
        </w:rPr>
        <w:t>》；</w:t>
      </w:r>
    </w:p>
    <w:p>
      <w:pPr>
        <w:pStyle w:val="53"/>
        <w:tabs>
          <w:tab w:val="left" w:pos="720"/>
        </w:tabs>
        <w:autoSpaceDE w:val="0"/>
        <w:autoSpaceDN w:val="0"/>
        <w:adjustRightInd w:val="0"/>
        <w:spacing w:line="360" w:lineRule="auto"/>
        <w:ind w:right="17" w:firstLine="480"/>
        <w:jc w:val="left"/>
        <w:outlineLvl w:val="1"/>
        <w:rPr>
          <w:rFonts w:hint="eastAsia" w:ascii="宋体" w:hAnsi="宋体" w:cs="宋体"/>
          <w:bCs/>
          <w:color w:val="auto"/>
          <w:sz w:val="24"/>
          <w:highlight w:val="none"/>
        </w:rPr>
      </w:pPr>
      <w:r>
        <w:rPr>
          <w:rFonts w:hint="default" w:ascii="宋体" w:hAnsi="宋体" w:cs="宋体"/>
          <w:bCs/>
          <w:color w:val="auto"/>
          <w:sz w:val="24"/>
          <w:highlight w:val="none"/>
        </w:rPr>
        <w:t>3. 采购方根据清查情况要求供应商提供的其他成果材料。</w:t>
      </w:r>
    </w:p>
    <w:p>
      <w:pPr>
        <w:pStyle w:val="53"/>
        <w:tabs>
          <w:tab w:val="left" w:pos="720"/>
        </w:tabs>
        <w:autoSpaceDE w:val="0"/>
        <w:autoSpaceDN w:val="0"/>
        <w:adjustRightInd w:val="0"/>
        <w:spacing w:line="360" w:lineRule="auto"/>
        <w:ind w:right="17" w:firstLine="480"/>
        <w:jc w:val="left"/>
        <w:outlineLvl w:val="1"/>
        <w:rPr>
          <w:rFonts w:hint="eastAsia" w:ascii="宋体" w:hAnsi="宋体" w:cs="宋体"/>
          <w:color w:val="auto"/>
          <w:sz w:val="24"/>
          <w:highlight w:val="none"/>
        </w:rPr>
      </w:pPr>
      <w:r>
        <w:rPr>
          <w:rFonts w:hint="eastAsia" w:ascii="宋体" w:hAnsi="宋体" w:cs="宋体"/>
          <w:color w:val="auto"/>
          <w:sz w:val="24"/>
          <w:highlight w:val="none"/>
        </w:rPr>
        <w:t>（二）最终成果验收</w:t>
      </w:r>
      <w:r>
        <w:rPr>
          <w:rFonts w:hint="eastAsia" w:ascii="宋体" w:hAnsi="宋体" w:cs="宋体"/>
          <w:bCs/>
          <w:color w:val="auto"/>
          <w:sz w:val="24"/>
          <w:highlight w:val="none"/>
        </w:rPr>
        <w:t>：</w:t>
      </w:r>
    </w:p>
    <w:p>
      <w:pPr>
        <w:pStyle w:val="53"/>
        <w:tabs>
          <w:tab w:val="left" w:pos="720"/>
        </w:tabs>
        <w:autoSpaceDE w:val="0"/>
        <w:autoSpaceDN w:val="0"/>
        <w:adjustRightInd w:val="0"/>
        <w:spacing w:line="360" w:lineRule="auto"/>
        <w:ind w:right="17" w:firstLine="480"/>
        <w:jc w:val="left"/>
        <w:outlineLvl w:val="1"/>
        <w:rPr>
          <w:rFonts w:hint="eastAsia" w:ascii="宋体" w:hAnsi="宋体" w:cs="宋体"/>
          <w:bCs/>
          <w:color w:val="auto"/>
          <w:sz w:val="24"/>
          <w:highlight w:val="none"/>
        </w:rPr>
      </w:pPr>
      <w:r>
        <w:rPr>
          <w:rFonts w:hint="eastAsia" w:ascii="宋体" w:hAnsi="宋体" w:cs="宋体"/>
          <w:bCs/>
          <w:color w:val="auto"/>
          <w:sz w:val="24"/>
          <w:highlight w:val="none"/>
        </w:rPr>
        <w:t>项目成果以WORD文本形式呈现，提交书面纸质（</w:t>
      </w:r>
      <w:r>
        <w:rPr>
          <w:rFonts w:hint="default" w:ascii="宋体" w:hAnsi="宋体" w:cs="宋体"/>
          <w:bCs/>
          <w:color w:val="auto"/>
          <w:sz w:val="24"/>
          <w:highlight w:val="none"/>
        </w:rPr>
        <w:t>2</w:t>
      </w:r>
      <w:r>
        <w:rPr>
          <w:rFonts w:hint="eastAsia" w:ascii="宋体" w:hAnsi="宋体" w:cs="宋体"/>
          <w:bCs/>
          <w:color w:val="auto"/>
          <w:sz w:val="24"/>
          <w:highlight w:val="none"/>
        </w:rPr>
        <w:t>份）和电子两个版本。项目最终成果验收合格的标志为通过采购人验收。</w:t>
      </w:r>
    </w:p>
    <w:p>
      <w:pPr>
        <w:pStyle w:val="53"/>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五、商务要求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auto"/>
          <w:sz w:val="24"/>
          <w:highlight w:val="none"/>
        </w:rPr>
      </w:pPr>
      <w:r>
        <w:rPr>
          <w:rFonts w:hint="eastAsia" w:ascii="宋体" w:hAnsi="宋体" w:cs="宋体"/>
          <w:b/>
          <w:bCs/>
          <w:color w:val="auto"/>
          <w:kern w:val="0"/>
          <w:sz w:val="24"/>
          <w:highlight w:val="none"/>
        </w:rPr>
        <w:t>（一）服务期限</w:t>
      </w:r>
    </w:p>
    <w:p>
      <w:pPr>
        <w:spacing w:line="360" w:lineRule="auto"/>
        <w:ind w:firstLine="480" w:firstLineChars="200"/>
        <w:rPr>
          <w:rFonts w:hint="eastAsia"/>
          <w:color w:val="auto"/>
          <w:highlight w:val="none"/>
        </w:rPr>
      </w:pPr>
      <w:r>
        <w:rPr>
          <w:rFonts w:hint="eastAsia" w:ascii="宋体" w:hAnsi="宋体" w:cs="宋体"/>
          <w:color w:val="auto"/>
          <w:sz w:val="24"/>
          <w:highlight w:val="none"/>
        </w:rPr>
        <w:t>本项目服务期限为</w:t>
      </w:r>
      <w:r>
        <w:rPr>
          <w:rFonts w:hint="default" w:ascii="宋体" w:hAnsi="宋体" w:cs="宋体"/>
          <w:color w:val="auto"/>
          <w:sz w:val="24"/>
          <w:highlight w:val="none"/>
        </w:rPr>
        <w:t>自合同签订之日起1年</w:t>
      </w:r>
      <w:r>
        <w:rPr>
          <w:rFonts w:hint="eastAsia" w:ascii="宋体" w:hAnsi="宋体" w:cs="宋体"/>
          <w:color w:val="auto"/>
          <w:sz w:val="24"/>
          <w:highlight w:val="none"/>
          <w:lang w:eastAsia="zh-CN"/>
        </w:rPr>
        <w:t>内</w:t>
      </w:r>
      <w:r>
        <w:rPr>
          <w:rFonts w:hint="eastAsia" w:ascii="宋体" w:hAnsi="宋体" w:cs="宋体"/>
          <w:color w:val="auto"/>
          <w:sz w:val="24"/>
          <w:highlight w:val="none"/>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（二）后续服务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项目最终成果通过采购人验收之日起1年为本合同后续服务期。后续服务期内项目服务单位应向采购人提供后续的专业咨询服务，协助采购人完成各种后续审计、评估等工作，并及时根据工作需要补充有关材料。</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（三）报价要求</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1.本次投标为总价包干，投标报价总价作为中标人与采购人签定的合同金额。项目预算控制</w:t>
      </w:r>
      <w:r>
        <w:rPr>
          <w:rFonts w:hint="eastAsia" w:ascii="宋体" w:hAnsi="宋体" w:cs="宋体"/>
          <w:color w:val="auto"/>
          <w:sz w:val="24"/>
          <w:highlight w:val="none"/>
          <w:lang w:val="en-US" w:eastAsia="zh-CN"/>
        </w:rPr>
        <w:t>9</w:t>
      </w:r>
      <w:r>
        <w:rPr>
          <w:rFonts w:hint="default" w:ascii="宋体" w:hAnsi="宋体" w:cs="宋体"/>
          <w:color w:val="auto"/>
          <w:sz w:val="24"/>
          <w:highlight w:val="none"/>
        </w:rPr>
        <w:t>8</w:t>
      </w:r>
      <w:r>
        <w:rPr>
          <w:rFonts w:hint="eastAsia" w:ascii="宋体" w:hAnsi="宋体" w:cs="宋体"/>
          <w:color w:val="auto"/>
          <w:sz w:val="24"/>
          <w:highlight w:val="none"/>
        </w:rPr>
        <w:t>万元以内，投标人的报价不可高于预算（限价），否则投标人的投标文件视同无效。项目服务费包括调研费、中标服务费、资料费、税金、</w:t>
      </w:r>
      <w:r>
        <w:rPr>
          <w:rFonts w:hint="eastAsia" w:ascii="宋体" w:hAnsi="宋体" w:cs="宋体"/>
          <w:color w:val="auto"/>
          <w:sz w:val="24"/>
          <w:highlight w:val="none"/>
          <w:lang w:eastAsia="zh-CN"/>
        </w:rPr>
        <w:t>人员费用</w:t>
      </w:r>
      <w:r>
        <w:rPr>
          <w:rFonts w:hint="eastAsia" w:ascii="宋体" w:hAnsi="宋体" w:cs="宋体"/>
          <w:color w:val="auto"/>
          <w:sz w:val="24"/>
          <w:highlight w:val="none"/>
        </w:rPr>
        <w:t>、差旅费、后续服务等所有费用，并提供合同要求的成果文件，以及其它相关服务的全部费用。</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highlight w:val="none"/>
        </w:rPr>
      </w:pPr>
      <w:r>
        <w:rPr>
          <w:rFonts w:hint="eastAsia" w:ascii="宋体" w:hAnsi="宋体" w:cs="宋体"/>
          <w:color w:val="auto"/>
          <w:sz w:val="24"/>
          <w:highlight w:val="none"/>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（四）付款方式</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项目资金分3期支付至中标人指定银行账户：</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1.首期：合同签订生效后，向中标人指定银行账户支付合同服务费总金额的</w:t>
      </w:r>
      <w:r>
        <w:rPr>
          <w:rFonts w:hint="default" w:ascii="宋体" w:hAnsi="宋体" w:cs="宋体"/>
          <w:color w:val="auto"/>
          <w:sz w:val="24"/>
          <w:highlight w:val="none"/>
        </w:rPr>
        <w:t>25</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2.第2期：中标人形成资产清查专项报告初稿后，向中标人指定银行账户支付本合同服务费总金额的4</w:t>
      </w:r>
      <w:r>
        <w:rPr>
          <w:rFonts w:hint="default" w:ascii="宋体" w:hAnsi="宋体" w:cs="宋体"/>
          <w:color w:val="auto"/>
          <w:sz w:val="24"/>
          <w:highlight w:val="none"/>
        </w:rPr>
        <w:t>5</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3.第3期：完成所有项目成果交付并经采购人验收通过后，向中标人指定银行账户支付本合同服务费总金额的30%。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highlight w:val="none"/>
        </w:rPr>
        <w:t>采购人</w:t>
      </w:r>
      <w:r>
        <w:rPr>
          <w:rFonts w:hint="eastAsia" w:ascii="宋体" w:hAnsi="宋体" w:cs="宋体"/>
          <w:color w:val="auto"/>
          <w:sz w:val="24"/>
          <w:highlight w:val="none"/>
        </w:rPr>
        <w:t>付款审批影响支付进度，请</w:t>
      </w:r>
      <w:r>
        <w:rPr>
          <w:rFonts w:ascii="宋体" w:hAnsi="宋体" w:cs="宋体"/>
          <w:color w:val="auto"/>
          <w:sz w:val="24"/>
          <w:highlight w:val="none"/>
        </w:rPr>
        <w:t>中标人</w:t>
      </w:r>
      <w:r>
        <w:rPr>
          <w:rFonts w:hint="eastAsia" w:ascii="宋体" w:hAnsi="宋体" w:cs="宋体"/>
          <w:color w:val="auto"/>
          <w:sz w:val="24"/>
          <w:highlight w:val="none"/>
        </w:rPr>
        <w:t>予以谅解，并不得就此向</w:t>
      </w:r>
      <w:r>
        <w:rPr>
          <w:rFonts w:ascii="宋体" w:hAnsi="宋体" w:cs="宋体"/>
          <w:color w:val="auto"/>
          <w:sz w:val="24"/>
          <w:highlight w:val="none"/>
        </w:rPr>
        <w:t>采购人</w:t>
      </w:r>
      <w:r>
        <w:rPr>
          <w:rFonts w:hint="eastAsia" w:ascii="宋体" w:hAnsi="宋体" w:cs="宋体"/>
          <w:color w:val="auto"/>
          <w:sz w:val="24"/>
          <w:highlight w:val="none"/>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（五）成果权属与知识产权</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cs="宋体"/>
          <w:b/>
          <w:bCs/>
          <w:color w:val="auto"/>
          <w:sz w:val="24"/>
          <w:highlight w:val="none"/>
        </w:rPr>
      </w:pPr>
      <w:r>
        <w:rPr>
          <w:rFonts w:hint="eastAsia" w:ascii="宋体" w:hAnsi="宋体" w:cs="宋体"/>
          <w:b/>
          <w:bCs/>
          <w:color w:val="auto"/>
          <w:kern w:val="0"/>
          <w:sz w:val="24"/>
          <w:highlight w:val="none"/>
        </w:rPr>
        <w:t>（六）</w:t>
      </w:r>
      <w:r>
        <w:rPr>
          <w:rFonts w:hint="eastAsia" w:ascii="宋体" w:hAnsi="宋体" w:cs="宋体"/>
          <w:b/>
          <w:bCs/>
          <w:color w:val="auto"/>
          <w:sz w:val="24"/>
          <w:highlight w:val="none"/>
        </w:rPr>
        <w:t>保密条款</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4.中标人实施项目的程序应符合国家安全、保密的有关规定和标准。</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5.上述保密义务不适用以下情况：</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（1）获取的信息已被合法公开；</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（2）获得信息拥有方书面许可并在该许可范围内披露；</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（3）国家法律、法规规定的情形。</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auto"/>
          <w:sz w:val="24"/>
          <w:highlight w:val="none"/>
        </w:rPr>
      </w:pPr>
      <w:r>
        <w:rPr>
          <w:rFonts w:hint="eastAsia" w:ascii="宋体" w:hAnsi="宋体" w:cs="宋体"/>
          <w:b/>
          <w:bCs/>
          <w:color w:val="auto"/>
          <w:kern w:val="0"/>
          <w:sz w:val="24"/>
          <w:highlight w:val="none"/>
        </w:rPr>
        <w:t>（七）</w:t>
      </w:r>
      <w:r>
        <w:rPr>
          <w:rFonts w:hint="eastAsia" w:ascii="宋体" w:hAnsi="宋体" w:cs="宋体"/>
          <w:b/>
          <w:bCs/>
          <w:color w:val="auto"/>
          <w:sz w:val="24"/>
          <w:highlight w:val="none"/>
        </w:rPr>
        <w:t>违约责任</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2.本合同项下的工作内容不可分割，任一文件的迟延交付均视为整个项目的迟延交付。</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3.本合同履行期间，发生下述情形时，采购人有权解除本合同，中标人除应退还采购人已支付的全部款项外</w:t>
      </w:r>
      <w:r>
        <w:rPr>
          <w:rFonts w:ascii="宋体" w:hAnsi="宋体" w:cs="宋体"/>
          <w:color w:val="auto"/>
          <w:sz w:val="24"/>
          <w:highlight w:val="none"/>
        </w:rPr>
        <w:t>，</w:t>
      </w:r>
      <w:r>
        <w:rPr>
          <w:rFonts w:hint="eastAsia" w:ascii="宋体" w:hAnsi="宋体" w:cs="宋体"/>
          <w:color w:val="auto"/>
          <w:sz w:val="24"/>
          <w:highlight w:val="none"/>
        </w:rPr>
        <w:t xml:space="preserve">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（1）中标人未能按合同约定的日期(含协商延缓的日期)提交各阶段工作成果，延误时间超过15个工作日；</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（2）因中标人工作的错误或遗漏造成成果质量不符合本合同要求，且中标人未按采购人要求采取及时有效的补救措施的；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（3）中标人虽如期提交最终成果，但连续二次未能通过采购人验收的；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（7）中标人明确表示或者以自己的行为表明不履行本合同的。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5.上述违约责任各自独立且可累加。本合同所约定的违约金如低于因违约行为所造成的损失，违约方应补偿上述不足部分的损失。</w:t>
      </w:r>
    </w:p>
    <w:p>
      <w:pPr>
        <w:pStyle w:val="53"/>
        <w:tabs>
          <w:tab w:val="left" w:pos="720"/>
        </w:tabs>
        <w:autoSpaceDE w:val="0"/>
        <w:autoSpaceDN w:val="0"/>
        <w:adjustRightInd w:val="0"/>
        <w:spacing w:line="360" w:lineRule="auto"/>
        <w:ind w:left="420" w:leftChars="200" w:right="17" w:firstLine="0" w:firstLineChars="0"/>
        <w:jc w:val="left"/>
        <w:outlineLvl w:val="1"/>
        <w:rPr>
          <w:rFonts w:hint="eastAsia" w:ascii="宋体" w:hAnsi="宋体" w:cs="宋体"/>
          <w:b/>
          <w:color w:val="auto"/>
          <w:sz w:val="24"/>
          <w:highlight w:val="none"/>
        </w:rPr>
      </w:pPr>
      <w:r>
        <w:rPr>
          <w:rFonts w:hint="eastAsia" w:ascii="宋体" w:hAnsi="宋体" w:cs="宋体"/>
          <w:b/>
          <w:color w:val="auto"/>
          <w:sz w:val="24"/>
          <w:highlight w:val="none"/>
        </w:rPr>
        <w:t>六、其他要求</w:t>
      </w:r>
    </w:p>
    <w:p>
      <w:pPr>
        <w:widowControl/>
        <w:spacing w:line="360" w:lineRule="auto"/>
        <w:ind w:firstLine="480" w:firstLineChars="200"/>
        <w:rPr>
          <w:rFonts w:hint="eastAsia" w:ascii="宋体" w:hAnsi="宋体" w:cs="宋体"/>
          <w:color w:val="auto"/>
          <w:sz w:val="24"/>
          <w:highlight w:val="none"/>
          <w:lang w:val="zh-TW"/>
        </w:rPr>
      </w:pPr>
      <w:r>
        <w:rPr>
          <w:rFonts w:hint="eastAsia" w:ascii="宋体" w:hAnsi="宋体" w:cs="宋体"/>
          <w:color w:val="auto"/>
          <w:sz w:val="24"/>
          <w:highlight w:val="none"/>
          <w:lang w:val="zh-CN"/>
        </w:rPr>
        <w:t>供应商</w:t>
      </w:r>
      <w:r>
        <w:rPr>
          <w:rFonts w:hint="eastAsia" w:ascii="宋体" w:hAnsi="宋体" w:cs="宋体"/>
          <w:color w:val="auto"/>
          <w:sz w:val="24"/>
          <w:highlight w:val="none"/>
        </w:rPr>
        <w:t>非经允许</w:t>
      </w:r>
      <w:r>
        <w:rPr>
          <w:rFonts w:hint="eastAsia" w:ascii="宋体" w:hAnsi="宋体" w:cs="宋体"/>
          <w:color w:val="auto"/>
          <w:sz w:val="24"/>
          <w:highlight w:val="none"/>
          <w:lang w:val="zh-CN"/>
        </w:rPr>
        <w:t>不得将项目非法分包或转包给任何单位和个人。否则，采购单位有权即刻终止合同，并要求供应商赔偿相应损失</w:t>
      </w:r>
      <w:r>
        <w:rPr>
          <w:rFonts w:hint="eastAsia" w:ascii="宋体" w:hAnsi="宋体" w:cs="宋体"/>
          <w:color w:val="auto"/>
          <w:sz w:val="24"/>
          <w:highlight w:val="none"/>
          <w:lang w:val="zh-TW"/>
        </w:rPr>
        <w:t>。</w:t>
      </w:r>
    </w:p>
    <w:p>
      <w:pPr>
        <w:spacing w:line="360" w:lineRule="auto"/>
        <w:jc w:val="center"/>
        <w:outlineLvl w:val="0"/>
        <w:rPr>
          <w:rFonts w:hint="eastAsia" w:ascii="宋体" w:cs="宋体"/>
          <w:b/>
          <w:bCs/>
          <w:color w:val="auto"/>
          <w:sz w:val="24"/>
          <w:highlight w:val="none"/>
        </w:rPr>
      </w:pPr>
      <w:r>
        <w:rPr>
          <w:rFonts w:hint="eastAsia" w:ascii="宋体" w:hAnsi="宋体" w:cs="宋体"/>
          <w:color w:val="auto"/>
          <w:sz w:val="24"/>
          <w:highlight w:val="none"/>
        </w:rPr>
        <w:br w:type="page"/>
      </w:r>
      <w:bookmarkStart w:id="17" w:name="_Toc23822"/>
      <w:r>
        <w:rPr>
          <w:rFonts w:hint="eastAsia" w:ascii="宋体" w:cs="宋体"/>
          <w:b/>
          <w:bCs/>
          <w:color w:val="auto"/>
          <w:sz w:val="24"/>
          <w:highlight w:val="none"/>
        </w:rPr>
        <w:t>第六章 投标文件初审及招标项目评分表</w:t>
      </w:r>
      <w:bookmarkEnd w:id="17"/>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投标文件初审表（不可偏离条款）</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（凡有下列情形之一的，投标文件无效，投标作废标处理）</w:t>
      </w:r>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p>
        </w:tc>
        <w:tc>
          <w:tcPr>
            <w:tcW w:w="7108"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8</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9</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法律、法规、规章、规范性文件规定的其他情形。</w:t>
            </w:r>
          </w:p>
        </w:tc>
      </w:tr>
    </w:tbl>
    <w:p>
      <w:pPr>
        <w:spacing w:line="360" w:lineRule="auto"/>
        <w:jc w:val="center"/>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招标项目评分表</w:t>
      </w:r>
      <w:r>
        <w:rPr>
          <w:rFonts w:hint="eastAsia" w:ascii="宋体" w:hAnsi="宋体" w:cs="宋体"/>
          <w:b/>
          <w:bCs/>
          <w:color w:val="auto"/>
          <w:sz w:val="24"/>
          <w:highlight w:val="none"/>
          <w:lang w:eastAsia="zh-CN"/>
        </w:rPr>
        <w:t>：评标方法总述（综合评分法）</w:t>
      </w:r>
    </w:p>
    <w:tbl>
      <w:tblPr>
        <w:tblStyle w:val="24"/>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9777" w:type="dxa"/>
            <w:gridSpan w:val="5"/>
            <w:shd w:val="clear" w:color="auto" w:fill="D9D9D9"/>
            <w:noWrap w:val="0"/>
            <w:vAlign w:val="center"/>
          </w:tcPr>
          <w:p>
            <w:pPr>
              <w:autoSpaceDE w:val="0"/>
              <w:autoSpaceDN w:val="0"/>
              <w:adjustRightInd w:val="0"/>
              <w:spacing w:line="560" w:lineRule="exact"/>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一、价格部分（</w:t>
            </w: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noWrap w:val="0"/>
            <w:vAlign w:val="center"/>
          </w:tcPr>
          <w:p>
            <w:pPr>
              <w:autoSpaceDE w:val="0"/>
              <w:autoSpaceDN w:val="0"/>
              <w:adjustRightIn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5907" w:type="dxa"/>
            <w:noWrap w:val="0"/>
            <w:vAlign w:val="center"/>
          </w:tcPr>
          <w:p>
            <w:pPr>
              <w:autoSpaceDE w:val="0"/>
              <w:autoSpaceDN w:val="0"/>
              <w:adjustRightIn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评分规则</w:t>
            </w:r>
          </w:p>
        </w:tc>
        <w:tc>
          <w:tcPr>
            <w:tcW w:w="860"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rPr>
              <w:t>权重</w:t>
            </w:r>
          </w:p>
        </w:tc>
        <w:tc>
          <w:tcPr>
            <w:tcW w:w="1120" w:type="dxa"/>
            <w:noWrap w:val="0"/>
            <w:vAlign w:val="center"/>
          </w:tcPr>
          <w:p>
            <w:pPr>
              <w:autoSpaceDE w:val="0"/>
              <w:autoSpaceDN w:val="0"/>
              <w:adjustRightIn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168"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b/>
                <w:color w:val="auto"/>
                <w:sz w:val="24"/>
                <w:highlight w:val="none"/>
              </w:rPr>
              <w:t>投标报价</w:t>
            </w:r>
          </w:p>
        </w:tc>
        <w:tc>
          <w:tcPr>
            <w:tcW w:w="5907" w:type="dxa"/>
            <w:noWrap w:val="0"/>
            <w:vAlign w:val="center"/>
          </w:tcPr>
          <w:p>
            <w:pPr>
              <w:pStyle w:val="9"/>
              <w:spacing w:line="560" w:lineRule="exac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采用低价优先法计算，即满足招标文件要求且投标价格最低的投标报价为评标基准价，其价格分为满分。其他投标人的价格分统一按照下列公式计算： </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投标报价得分=(评标基准价／投标报价)×1</w:t>
            </w:r>
            <w:r>
              <w:rPr>
                <w:rFonts w:hint="eastAsia" w:ascii="宋体" w:hAnsi="宋体" w:cs="宋体"/>
                <w:color w:val="auto"/>
                <w:kern w:val="0"/>
                <w:sz w:val="24"/>
                <w:highlight w:val="none"/>
                <w:lang w:val="en-US" w:eastAsia="zh-CN"/>
              </w:rPr>
              <w:t>0</w:t>
            </w:r>
          </w:p>
          <w:p>
            <w:pPr>
              <w:numPr>
                <w:ilvl w:val="0"/>
                <w:numId w:val="7"/>
              </w:numPr>
              <w:spacing w:line="560" w:lineRule="exact"/>
              <w:ind w:left="250" w:hanging="249" w:hangingChars="104"/>
              <w:jc w:val="left"/>
              <w:rPr>
                <w:rFonts w:hint="eastAsia" w:ascii="宋体" w:hAnsi="宋体" w:cs="宋体"/>
                <w:bCs/>
                <w:color w:val="auto"/>
                <w:sz w:val="24"/>
                <w:highlight w:val="none"/>
              </w:rPr>
            </w:pPr>
            <w:r>
              <w:rPr>
                <w:rFonts w:hint="eastAsia" w:ascii="宋体" w:hAnsi="宋体" w:cs="宋体"/>
                <w:bCs/>
                <w:color w:val="auto"/>
                <w:sz w:val="24"/>
                <w:highlight w:val="none"/>
              </w:rPr>
              <w:t>价格评分仅限于有效投标人，</w:t>
            </w:r>
            <w:r>
              <w:rPr>
                <w:rFonts w:hint="eastAsia" w:ascii="宋体" w:hAnsi="宋体" w:cs="宋体"/>
                <w:color w:val="auto"/>
                <w:sz w:val="24"/>
                <w:highlight w:val="none"/>
              </w:rPr>
              <w:t>当价格分&lt;0时，取0。</w:t>
            </w:r>
          </w:p>
          <w:p>
            <w:pPr>
              <w:numPr>
                <w:ilvl w:val="0"/>
                <w:numId w:val="7"/>
              </w:numPr>
              <w:spacing w:line="560" w:lineRule="exact"/>
              <w:ind w:left="250" w:hanging="249" w:hangingChars="104"/>
              <w:jc w:val="left"/>
              <w:rPr>
                <w:rFonts w:hint="eastAsia" w:ascii="宋体" w:hAnsi="宋体" w:cs="宋体"/>
                <w:bCs/>
                <w:color w:val="auto"/>
                <w:sz w:val="24"/>
                <w:highlight w:val="none"/>
              </w:rPr>
            </w:pPr>
            <w:r>
              <w:rPr>
                <w:rFonts w:hint="eastAsia" w:ascii="宋体" w:hAnsi="宋体" w:cs="宋体"/>
                <w:bCs/>
                <w:color w:val="auto"/>
                <w:sz w:val="24"/>
                <w:highlight w:val="none"/>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9"/>
              <w:spacing w:line="560" w:lineRule="exact"/>
              <w:ind w:left="216" w:leftChars="103"/>
              <w:rPr>
                <w:rFonts w:hint="eastAsia" w:ascii="宋体" w:hAnsi="宋体" w:cs="宋体"/>
                <w:color w:val="auto"/>
                <w:kern w:val="0"/>
                <w:sz w:val="24"/>
                <w:highlight w:val="none"/>
              </w:rPr>
            </w:pPr>
            <w:r>
              <w:rPr>
                <w:rFonts w:hint="eastAsia" w:ascii="宋体" w:hAnsi="宋体" w:cs="宋体"/>
                <w:bCs/>
                <w:color w:val="auto"/>
                <w:sz w:val="24"/>
                <w:highlight w:val="none"/>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noWrap w:val="0"/>
            <w:vAlign w:val="center"/>
          </w:tcPr>
          <w:p>
            <w:pPr>
              <w:autoSpaceDE w:val="0"/>
              <w:autoSpaceDN w:val="0"/>
              <w:adjustRightInd w:val="0"/>
              <w:spacing w:line="5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1120"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560" w:lineRule="exact"/>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二、商务部分（</w:t>
            </w:r>
            <w:r>
              <w:rPr>
                <w:rFonts w:hint="eastAsia" w:ascii="宋体" w:hAnsi="宋体" w:cs="宋体"/>
                <w:b/>
                <w:color w:val="auto"/>
                <w:sz w:val="24"/>
                <w:highlight w:val="none"/>
              </w:rPr>
              <w:t>50</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noWrap w:val="0"/>
            <w:vAlign w:val="center"/>
          </w:tcPr>
          <w:p>
            <w:pPr>
              <w:autoSpaceDE w:val="0"/>
              <w:autoSpaceDN w:val="0"/>
              <w:adjustRightIn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5907" w:type="dxa"/>
            <w:noWrap w:val="0"/>
            <w:vAlign w:val="center"/>
          </w:tcPr>
          <w:p>
            <w:pPr>
              <w:autoSpaceDE w:val="0"/>
              <w:autoSpaceDN w:val="0"/>
              <w:adjustRightIn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评分规则</w:t>
            </w:r>
          </w:p>
        </w:tc>
        <w:tc>
          <w:tcPr>
            <w:tcW w:w="860"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rPr>
              <w:t>权重</w:t>
            </w:r>
          </w:p>
        </w:tc>
        <w:tc>
          <w:tcPr>
            <w:tcW w:w="1120" w:type="dxa"/>
            <w:noWrap w:val="0"/>
            <w:vAlign w:val="center"/>
          </w:tcPr>
          <w:p>
            <w:pPr>
              <w:autoSpaceDE w:val="0"/>
              <w:autoSpaceDN w:val="0"/>
              <w:adjustRightIn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68"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rPr>
              <w:t>拟派服务团队负责人（仅限一人）</w:t>
            </w:r>
          </w:p>
        </w:tc>
        <w:tc>
          <w:tcPr>
            <w:tcW w:w="5907" w:type="dxa"/>
            <w:noWrap w:val="0"/>
            <w:vAlign w:val="top"/>
          </w:tcPr>
          <w:p>
            <w:pPr>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（一）评分内容：</w:t>
            </w:r>
          </w:p>
          <w:p>
            <w:pPr>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1.拟派的服务团队负责人</w:t>
            </w:r>
            <w:r>
              <w:rPr>
                <w:rFonts w:ascii="宋体" w:hAnsi="宋体" w:cs="宋体"/>
                <w:color w:val="auto"/>
                <w:sz w:val="24"/>
                <w:highlight w:val="none"/>
              </w:rPr>
              <w:t>审计工作年限</w:t>
            </w:r>
            <w:r>
              <w:rPr>
                <w:rFonts w:hint="eastAsia" w:ascii="宋体" w:hAnsi="宋体" w:cs="宋体"/>
                <w:color w:val="auto"/>
                <w:sz w:val="24"/>
                <w:highlight w:val="none"/>
              </w:rPr>
              <w:t>在1</w:t>
            </w:r>
            <w:r>
              <w:rPr>
                <w:rFonts w:ascii="宋体" w:hAnsi="宋体" w:cs="宋体"/>
                <w:color w:val="auto"/>
                <w:sz w:val="24"/>
                <w:highlight w:val="none"/>
              </w:rPr>
              <w:t>0</w:t>
            </w:r>
            <w:r>
              <w:rPr>
                <w:rFonts w:hint="eastAsia" w:ascii="宋体" w:hAnsi="宋体" w:cs="宋体"/>
                <w:color w:val="auto"/>
                <w:sz w:val="24"/>
                <w:highlight w:val="none"/>
              </w:rPr>
              <w:t>年及以上的</w:t>
            </w:r>
            <w:r>
              <w:rPr>
                <w:rFonts w:hint="eastAsia" w:ascii="宋体" w:hAnsi="宋体" w:cs="宋体"/>
                <w:color w:val="auto"/>
                <w:sz w:val="24"/>
                <w:highlight w:val="none"/>
                <w:lang w:eastAsia="zh-CN"/>
              </w:rPr>
              <w:t>中国</w:t>
            </w:r>
            <w:r>
              <w:rPr>
                <w:rFonts w:hint="eastAsia" w:ascii="宋体" w:hAnsi="宋体" w:cs="宋体"/>
                <w:color w:val="auto"/>
                <w:sz w:val="24"/>
                <w:highlight w:val="none"/>
              </w:rPr>
              <w:t>注册会计师的，得</w:t>
            </w:r>
            <w:r>
              <w:rPr>
                <w:rFonts w:ascii="宋体" w:hAnsi="宋体" w:cs="宋体"/>
                <w:color w:val="auto"/>
                <w:sz w:val="24"/>
                <w:highlight w:val="none"/>
              </w:rPr>
              <w:t>5</w:t>
            </w:r>
            <w:r>
              <w:rPr>
                <w:rFonts w:hint="eastAsia" w:ascii="宋体" w:hAnsi="宋体" w:cs="宋体"/>
                <w:color w:val="auto"/>
                <w:sz w:val="24"/>
                <w:highlight w:val="none"/>
              </w:rPr>
              <w:t>分；</w:t>
            </w:r>
            <w:r>
              <w:rPr>
                <w:rFonts w:ascii="宋体" w:hAnsi="宋体" w:cs="宋体"/>
                <w:color w:val="auto"/>
                <w:sz w:val="24"/>
                <w:highlight w:val="none"/>
              </w:rPr>
              <w:t>审计工作年限</w:t>
            </w:r>
            <w:r>
              <w:rPr>
                <w:rFonts w:hint="eastAsia" w:ascii="宋体" w:hAnsi="宋体" w:cs="宋体"/>
                <w:color w:val="auto"/>
                <w:sz w:val="24"/>
                <w:highlight w:val="none"/>
              </w:rPr>
              <w:t>在</w:t>
            </w:r>
            <w:r>
              <w:rPr>
                <w:rFonts w:ascii="宋体" w:hAnsi="宋体" w:cs="宋体"/>
                <w:color w:val="auto"/>
                <w:sz w:val="24"/>
                <w:highlight w:val="none"/>
              </w:rPr>
              <w:t>8</w:t>
            </w:r>
            <w:r>
              <w:rPr>
                <w:rFonts w:hint="eastAsia" w:ascii="宋体" w:hAnsi="宋体" w:cs="宋体"/>
                <w:color w:val="auto"/>
                <w:sz w:val="24"/>
                <w:highlight w:val="none"/>
              </w:rPr>
              <w:t>年及以上的</w:t>
            </w:r>
            <w:r>
              <w:rPr>
                <w:rFonts w:hint="eastAsia" w:ascii="宋体" w:hAnsi="宋体" w:cs="宋体"/>
                <w:color w:val="auto"/>
                <w:sz w:val="24"/>
                <w:highlight w:val="none"/>
                <w:lang w:eastAsia="zh-CN"/>
              </w:rPr>
              <w:t>中国</w:t>
            </w:r>
            <w:r>
              <w:rPr>
                <w:rFonts w:hint="eastAsia" w:ascii="宋体" w:hAnsi="宋体" w:cs="宋体"/>
                <w:color w:val="auto"/>
                <w:sz w:val="24"/>
                <w:highlight w:val="none"/>
              </w:rPr>
              <w:t>注册会计师的，得</w:t>
            </w:r>
            <w:r>
              <w:rPr>
                <w:rFonts w:ascii="宋体" w:hAnsi="宋体" w:cs="宋体"/>
                <w:color w:val="auto"/>
                <w:sz w:val="24"/>
                <w:highlight w:val="none"/>
              </w:rPr>
              <w:t>3</w:t>
            </w:r>
            <w:r>
              <w:rPr>
                <w:rFonts w:hint="eastAsia" w:ascii="宋体" w:hAnsi="宋体" w:cs="宋体"/>
                <w:color w:val="auto"/>
                <w:sz w:val="24"/>
                <w:highlight w:val="none"/>
              </w:rPr>
              <w:t>分；本小项最高得</w:t>
            </w:r>
            <w:r>
              <w:rPr>
                <w:rFonts w:ascii="宋体" w:hAnsi="宋体" w:cs="宋体"/>
                <w:color w:val="auto"/>
                <w:sz w:val="24"/>
                <w:highlight w:val="none"/>
              </w:rPr>
              <w:t>5</w:t>
            </w:r>
            <w:r>
              <w:rPr>
                <w:rFonts w:hint="eastAsia" w:ascii="宋体" w:hAnsi="宋体" w:cs="宋体"/>
                <w:color w:val="auto"/>
                <w:sz w:val="24"/>
                <w:highlight w:val="none"/>
              </w:rPr>
              <w:t>分；</w:t>
            </w:r>
          </w:p>
          <w:p>
            <w:pPr>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2.拟派的服务团队负责人近三年内（自2020年【1】月【1】日至投标截止之日（以合同签订时间或委托函委托时间为准）为</w:t>
            </w:r>
            <w:r>
              <w:rPr>
                <w:rFonts w:hint="eastAsia" w:ascii="宋体" w:hAnsi="宋体" w:cs="宋体"/>
                <w:color w:val="auto"/>
                <w:sz w:val="24"/>
                <w:highlight w:val="none"/>
                <w:lang w:eastAsia="zh-CN"/>
              </w:rPr>
              <w:t>机关</w:t>
            </w:r>
            <w:r>
              <w:rPr>
                <w:rFonts w:hint="eastAsia" w:ascii="宋体" w:hAnsi="宋体" w:cs="宋体"/>
                <w:color w:val="auto"/>
                <w:sz w:val="24"/>
                <w:highlight w:val="none"/>
              </w:rPr>
              <w:t>事业单位提供过审计（包括财务报表审计及专项审计）、资产清查等相关服务经验，每一项得</w:t>
            </w:r>
            <w:r>
              <w:rPr>
                <w:rFonts w:ascii="宋体" w:hAnsi="宋体" w:cs="宋体"/>
                <w:color w:val="auto"/>
                <w:sz w:val="24"/>
                <w:highlight w:val="none"/>
              </w:rPr>
              <w:t>2.5</w:t>
            </w:r>
            <w:r>
              <w:rPr>
                <w:rFonts w:hint="eastAsia" w:ascii="宋体" w:hAnsi="宋体" w:cs="宋体"/>
                <w:color w:val="auto"/>
                <w:sz w:val="24"/>
                <w:highlight w:val="none"/>
              </w:rPr>
              <w:t>分，最高得</w:t>
            </w:r>
            <w:r>
              <w:rPr>
                <w:rFonts w:ascii="宋体" w:hAnsi="宋体" w:cs="宋体"/>
                <w:color w:val="auto"/>
                <w:sz w:val="24"/>
                <w:highlight w:val="none"/>
              </w:rPr>
              <w:t>10</w:t>
            </w:r>
            <w:r>
              <w:rPr>
                <w:rFonts w:hint="eastAsia" w:ascii="宋体" w:hAnsi="宋体" w:cs="宋体"/>
                <w:color w:val="auto"/>
                <w:sz w:val="24"/>
                <w:highlight w:val="none"/>
              </w:rPr>
              <w:t>分；本小项最高得</w:t>
            </w:r>
            <w:r>
              <w:rPr>
                <w:rFonts w:ascii="宋体" w:hAnsi="宋体" w:cs="宋体"/>
                <w:color w:val="auto"/>
                <w:sz w:val="24"/>
                <w:highlight w:val="none"/>
              </w:rPr>
              <w:t>10</w:t>
            </w:r>
            <w:r>
              <w:rPr>
                <w:rFonts w:hint="eastAsia" w:ascii="宋体" w:hAnsi="宋体" w:cs="宋体"/>
                <w:color w:val="auto"/>
                <w:sz w:val="24"/>
                <w:highlight w:val="none"/>
              </w:rPr>
              <w:t>分。</w:t>
            </w:r>
          </w:p>
          <w:p>
            <w:pPr>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3.本项最高得1</w:t>
            </w:r>
            <w:r>
              <w:rPr>
                <w:rFonts w:ascii="宋体" w:hAnsi="宋体" w:cs="宋体"/>
                <w:color w:val="auto"/>
                <w:sz w:val="24"/>
                <w:highlight w:val="none"/>
              </w:rPr>
              <w:t>5</w:t>
            </w:r>
            <w:r>
              <w:rPr>
                <w:rFonts w:hint="eastAsia" w:ascii="宋体" w:hAnsi="宋体" w:cs="宋体"/>
                <w:color w:val="auto"/>
                <w:sz w:val="24"/>
                <w:highlight w:val="none"/>
              </w:rPr>
              <w:t>分。同一项合同续签不可重复计分。</w:t>
            </w:r>
          </w:p>
          <w:p>
            <w:pPr>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（二）评分依据：</w:t>
            </w:r>
          </w:p>
          <w:p>
            <w:pPr>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1.提供经年</w:t>
            </w:r>
            <w:r>
              <w:rPr>
                <w:rFonts w:hint="eastAsia" w:ascii="宋体" w:hAnsi="宋体" w:cs="宋体"/>
                <w:color w:val="auto"/>
                <w:sz w:val="24"/>
                <w:highlight w:val="none"/>
                <w:lang w:val="en-US" w:eastAsia="zh-CN"/>
              </w:rPr>
              <w:t>检</w:t>
            </w:r>
            <w:r>
              <w:rPr>
                <w:rFonts w:hint="eastAsia" w:ascii="宋体" w:hAnsi="宋体" w:cs="宋体"/>
                <w:color w:val="auto"/>
                <w:sz w:val="24"/>
                <w:highlight w:val="none"/>
              </w:rPr>
              <w:t>有效的注册会计师资格证书扫描件（原件备查）以及中国注册会计师行业管理信息系统中“注册会计师信息”查询结果截图</w:t>
            </w:r>
            <w:r>
              <w:rPr>
                <w:rFonts w:hint="eastAsia" w:ascii="宋体" w:hAnsi="宋体" w:cs="宋体"/>
                <w:color w:val="auto"/>
                <w:sz w:val="24"/>
                <w:highlight w:val="none"/>
                <w:lang w:val="en-US" w:eastAsia="zh-CN"/>
              </w:rPr>
              <w:t>以及年检通过截图</w:t>
            </w:r>
            <w:r>
              <w:rPr>
                <w:rFonts w:hint="eastAsia" w:ascii="宋体" w:hAnsi="宋体" w:cs="宋体"/>
                <w:color w:val="auto"/>
                <w:sz w:val="24"/>
                <w:highlight w:val="none"/>
              </w:rPr>
              <w:t>（查询网址：https://cmispub.cicpa.org.cn）；</w:t>
            </w:r>
          </w:p>
          <w:p>
            <w:pPr>
              <w:spacing w:line="560" w:lineRule="exact"/>
              <w:jc w:val="left"/>
              <w:rPr>
                <w:rFonts w:hint="eastAsia" w:ascii="宋体" w:hAnsi="宋体" w:eastAsia="宋体" w:cs="宋体"/>
                <w:color w:val="auto"/>
                <w:sz w:val="24"/>
                <w:highlight w:val="none"/>
                <w:lang w:eastAsia="zh-CN"/>
              </w:rPr>
            </w:pPr>
            <w:r>
              <w:rPr>
                <w:rFonts w:hint="default" w:ascii="宋体" w:hAnsi="宋体" w:cs="宋体"/>
                <w:color w:val="auto"/>
                <w:sz w:val="24"/>
                <w:highlight w:val="none"/>
              </w:rPr>
              <w:t xml:space="preserve">2. </w:t>
            </w:r>
            <w:r>
              <w:rPr>
                <w:rFonts w:hint="eastAsia" w:ascii="宋体" w:hAnsi="宋体" w:eastAsia="宋体" w:cs="宋体"/>
                <w:color w:val="auto"/>
                <w:sz w:val="24"/>
                <w:highlight w:val="none"/>
                <w:lang w:val="zh-CN"/>
              </w:rPr>
              <w:t>提供项目负责人在投标单位近一个月（202</w:t>
            </w:r>
            <w:r>
              <w:rPr>
                <w:rFonts w:hint="default" w:ascii="宋体" w:hAnsi="宋体" w:eastAsia="宋体" w:cs="宋体"/>
                <w:color w:val="auto"/>
                <w:sz w:val="24"/>
                <w:highlight w:val="none"/>
              </w:rPr>
              <w:t>3</w:t>
            </w:r>
            <w:r>
              <w:rPr>
                <w:rFonts w:hint="eastAsia" w:ascii="宋体" w:hAnsi="宋体" w:eastAsia="宋体" w:cs="宋体"/>
                <w:color w:val="auto"/>
                <w:sz w:val="24"/>
                <w:highlight w:val="none"/>
                <w:lang w:val="zh-CN"/>
              </w:rPr>
              <w:t>年</w:t>
            </w:r>
            <w:r>
              <w:rPr>
                <w:rFonts w:hint="default" w:ascii="宋体" w:hAnsi="宋体" w:eastAsia="宋体" w:cs="宋体"/>
                <w:color w:val="auto"/>
                <w:sz w:val="24"/>
                <w:highlight w:val="none"/>
              </w:rPr>
              <w:t>【</w:t>
            </w:r>
            <w:r>
              <w:rPr>
                <w:rFonts w:hint="default" w:ascii="宋体" w:hAnsi="宋体" w:cs="宋体"/>
                <w:color w:val="auto"/>
                <w:sz w:val="24"/>
                <w:highlight w:val="none"/>
                <w:lang w:val="en-US"/>
              </w:rPr>
              <w:t>5</w:t>
            </w:r>
            <w:r>
              <w:rPr>
                <w:rFonts w:hint="default" w:ascii="宋体" w:hAnsi="宋体" w:eastAsia="宋体" w:cs="宋体"/>
                <w:color w:val="auto"/>
                <w:sz w:val="24"/>
                <w:highlight w:val="none"/>
              </w:rPr>
              <w:t>】</w:t>
            </w:r>
            <w:r>
              <w:rPr>
                <w:rFonts w:hint="eastAsia" w:ascii="宋体" w:hAnsi="宋体" w:eastAsia="宋体" w:cs="宋体"/>
                <w:color w:val="auto"/>
                <w:sz w:val="24"/>
                <w:highlight w:val="none"/>
                <w:lang w:val="zh-CN"/>
              </w:rPr>
              <w:t>月）的社保缴纳证明材料</w:t>
            </w:r>
            <w:r>
              <w:rPr>
                <w:rFonts w:hint="eastAsia" w:ascii="宋体" w:hAnsi="宋体" w:eastAsia="宋体" w:cs="宋体"/>
                <w:color w:val="auto"/>
                <w:kern w:val="2"/>
                <w:sz w:val="24"/>
                <w:szCs w:val="24"/>
                <w:highlight w:val="none"/>
                <w:lang w:val="zh-CN" w:eastAsia="zh-CN" w:bidi="ar-SA"/>
              </w:rPr>
              <w:t>或提供社保承诺书作为得分依据</w:t>
            </w:r>
            <w:r>
              <w:rPr>
                <w:rFonts w:hint="eastAsia" w:ascii="宋体" w:hAnsi="宋体" w:cs="宋体"/>
                <w:color w:val="auto"/>
                <w:sz w:val="24"/>
                <w:highlight w:val="none"/>
              </w:rPr>
              <w:t>加盖公章，原件备查，未提供或提供不齐全或无法分辨的不得分</w:t>
            </w:r>
            <w:r>
              <w:rPr>
                <w:rFonts w:hint="default" w:ascii="宋体" w:hAnsi="宋体" w:cs="宋体"/>
                <w:color w:val="auto"/>
                <w:sz w:val="24"/>
                <w:highlight w:val="none"/>
              </w:rPr>
              <w:t>；</w:t>
            </w:r>
          </w:p>
          <w:p>
            <w:pPr>
              <w:spacing w:line="560" w:lineRule="exact"/>
              <w:jc w:val="left"/>
              <w:rPr>
                <w:rFonts w:ascii="宋体" w:hAnsi="宋体" w:cs="宋体"/>
                <w:color w:val="auto"/>
                <w:sz w:val="24"/>
                <w:highlight w:val="none"/>
              </w:rPr>
            </w:pPr>
            <w:r>
              <w:rPr>
                <w:rFonts w:hint="default" w:ascii="宋体" w:hAnsi="宋体" w:cs="宋体"/>
                <w:color w:val="auto"/>
                <w:sz w:val="24"/>
                <w:highlight w:val="none"/>
              </w:rPr>
              <w:t>3</w:t>
            </w:r>
            <w:r>
              <w:rPr>
                <w:rFonts w:hint="eastAsia" w:ascii="宋体" w:hAnsi="宋体" w:cs="宋体"/>
                <w:color w:val="auto"/>
                <w:sz w:val="24"/>
                <w:highlight w:val="none"/>
              </w:rPr>
              <w:t>.</w:t>
            </w:r>
            <w:r>
              <w:rPr>
                <w:rFonts w:ascii="宋体" w:hAnsi="宋体" w:cs="宋体"/>
                <w:color w:val="auto"/>
                <w:sz w:val="24"/>
                <w:highlight w:val="none"/>
              </w:rPr>
              <w:t>审计工作年限</w:t>
            </w:r>
            <w:r>
              <w:rPr>
                <w:rFonts w:hint="eastAsia" w:ascii="宋体" w:hAnsi="宋体" w:cs="宋体"/>
                <w:color w:val="auto"/>
                <w:sz w:val="24"/>
                <w:highlight w:val="none"/>
              </w:rPr>
              <w:t>证明需提供人员简历以及承诺函加盖公章（格式自拟）</w:t>
            </w:r>
            <w:r>
              <w:rPr>
                <w:rFonts w:hint="default" w:ascii="宋体" w:hAnsi="宋体" w:cs="宋体"/>
                <w:color w:val="auto"/>
                <w:sz w:val="24"/>
                <w:highlight w:val="none"/>
              </w:rPr>
              <w:t>；</w:t>
            </w:r>
          </w:p>
          <w:p>
            <w:pPr>
              <w:spacing w:line="560" w:lineRule="exact"/>
              <w:jc w:val="left"/>
              <w:rPr>
                <w:rFonts w:hint="eastAsia" w:ascii="宋体" w:hAnsi="宋体" w:cs="宋体"/>
                <w:color w:val="auto"/>
                <w:sz w:val="24"/>
                <w:szCs w:val="24"/>
                <w:highlight w:val="none"/>
              </w:rPr>
            </w:pPr>
            <w:r>
              <w:rPr>
                <w:rFonts w:hint="default" w:ascii="宋体" w:hAnsi="宋体" w:cs="宋体"/>
                <w:color w:val="auto"/>
                <w:sz w:val="24"/>
                <w:highlight w:val="none"/>
              </w:rPr>
              <w:t>4</w:t>
            </w:r>
            <w:r>
              <w:rPr>
                <w:rFonts w:hint="eastAsia" w:ascii="宋体" w:hAnsi="宋体" w:cs="宋体"/>
                <w:color w:val="auto"/>
                <w:sz w:val="24"/>
                <w:highlight w:val="none"/>
              </w:rPr>
              <w:t>.提供上述审计、资产清查等相关服务</w:t>
            </w:r>
            <w:r>
              <w:rPr>
                <w:rFonts w:hint="default" w:ascii="宋体" w:hAnsi="宋体" w:cs="宋体"/>
                <w:color w:val="auto"/>
                <w:sz w:val="24"/>
                <w:highlight w:val="none"/>
              </w:rPr>
              <w:t>项目</w:t>
            </w:r>
            <w:r>
              <w:rPr>
                <w:rFonts w:hint="eastAsia" w:ascii="宋体" w:hAnsi="宋体" w:cs="宋体"/>
                <w:color w:val="auto"/>
                <w:sz w:val="24"/>
                <w:highlight w:val="none"/>
              </w:rPr>
              <w:t>的相关材料（如合同关键页（关键页包含但不限于合同封面、服务内容页、服务人员页、双方盖章页等）或委托函加盖甲方公章等复印件,合同关键页或委托函若不能体现项目成员的工作业绩，可</w:t>
            </w:r>
            <w:r>
              <w:rPr>
                <w:rFonts w:hint="eastAsia" w:ascii="宋体" w:hAnsi="宋体" w:cs="宋体"/>
                <w:color w:val="auto"/>
                <w:sz w:val="24"/>
                <w:highlight w:val="none"/>
                <w:lang w:val="en-US" w:eastAsia="zh-CN"/>
              </w:rPr>
              <w:t>同时</w:t>
            </w:r>
            <w:r>
              <w:rPr>
                <w:rFonts w:hint="eastAsia" w:ascii="宋体" w:hAnsi="宋体" w:cs="宋体"/>
                <w:color w:val="auto"/>
                <w:sz w:val="24"/>
                <w:highlight w:val="none"/>
              </w:rPr>
              <w:t>提供委托单位开具的书面证明）加盖公章，原件备查。未提供或提供不齐全或无法分辨的不得分。</w:t>
            </w:r>
          </w:p>
        </w:tc>
        <w:tc>
          <w:tcPr>
            <w:tcW w:w="860" w:type="dxa"/>
            <w:noWrap w:val="0"/>
            <w:vAlign w:val="center"/>
          </w:tcPr>
          <w:p>
            <w:pPr>
              <w:autoSpaceDE w:val="0"/>
              <w:autoSpaceDN w:val="0"/>
              <w:adjustRightIn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5</w:t>
            </w:r>
          </w:p>
        </w:tc>
        <w:tc>
          <w:tcPr>
            <w:tcW w:w="1120"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68"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sq-AL"/>
              </w:rPr>
            </w:pPr>
            <w:r>
              <w:rPr>
                <w:rFonts w:hint="eastAsia" w:ascii="宋体" w:hAnsi="宋体" w:cs="宋体"/>
                <w:color w:val="auto"/>
                <w:sz w:val="24"/>
                <w:highlight w:val="none"/>
              </w:rPr>
              <w:t>拟派服务团队成员（不含负责人）</w:t>
            </w:r>
          </w:p>
        </w:tc>
        <w:tc>
          <w:tcPr>
            <w:tcW w:w="5907" w:type="dxa"/>
            <w:noWrap w:val="0"/>
            <w:vAlign w:val="top"/>
          </w:tcPr>
          <w:p>
            <w:pPr>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（一）评分内容：</w:t>
            </w:r>
          </w:p>
          <w:p>
            <w:pPr>
              <w:spacing w:line="560" w:lineRule="exact"/>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为本项目拟派的投标人服务团队成员均须有2年（含2年）以上工作经验，人数在满足投标要求（6人,其中含1名驻点成员）的基础上，每增加1名2年以上审计工作经验的成员（非驻点成员）得1.5分，最高得1.5分；每增加1名2年以上审计工作经验的驻点成员得1.5分，最高得1.5分</w:t>
            </w:r>
            <w:r>
              <w:rPr>
                <w:rFonts w:hint="default" w:ascii="宋体" w:hAnsi="宋体" w:cs="宋体"/>
                <w:color w:val="auto"/>
                <w:sz w:val="24"/>
                <w:highlight w:val="none"/>
              </w:rPr>
              <w:t>。</w:t>
            </w:r>
            <w:r>
              <w:rPr>
                <w:rFonts w:hint="eastAsia" w:ascii="宋体" w:hAnsi="宋体" w:cs="宋体"/>
                <w:color w:val="auto"/>
                <w:sz w:val="24"/>
                <w:highlight w:val="none"/>
              </w:rPr>
              <w:t>本小项最高得3分。</w:t>
            </w:r>
          </w:p>
          <w:p>
            <w:pPr>
              <w:spacing w:line="560" w:lineRule="exact"/>
              <w:jc w:val="left"/>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为本项目拟派的投标人服务团队成员</w:t>
            </w:r>
            <w:r>
              <w:rPr>
                <w:rFonts w:ascii="宋体" w:hAnsi="宋体" w:cs="宋体"/>
                <w:color w:val="auto"/>
                <w:sz w:val="24"/>
                <w:highlight w:val="none"/>
              </w:rPr>
              <w:t>中具有</w:t>
            </w:r>
            <w:r>
              <w:rPr>
                <w:rFonts w:hint="eastAsia" w:ascii="宋体" w:hAnsi="宋体" w:cs="宋体"/>
                <w:color w:val="auto"/>
                <w:sz w:val="24"/>
                <w:highlight w:val="none"/>
                <w:lang w:eastAsia="zh-CN"/>
              </w:rPr>
              <w:t>中国</w:t>
            </w:r>
            <w:r>
              <w:rPr>
                <w:rFonts w:ascii="宋体" w:hAnsi="宋体" w:cs="宋体"/>
                <w:color w:val="auto"/>
                <w:sz w:val="24"/>
                <w:highlight w:val="none"/>
              </w:rPr>
              <w:t>注册会计师资格的，得3分；每增加1人得</w:t>
            </w:r>
            <w:r>
              <w:rPr>
                <w:rFonts w:hint="eastAsia" w:ascii="宋体" w:hAnsi="宋体" w:cs="宋体"/>
                <w:color w:val="auto"/>
                <w:sz w:val="24"/>
                <w:highlight w:val="none"/>
                <w:lang w:val="en-US" w:eastAsia="zh-CN"/>
              </w:rPr>
              <w:t>2</w:t>
            </w:r>
            <w:r>
              <w:rPr>
                <w:rFonts w:ascii="宋体" w:hAnsi="宋体" w:cs="宋体"/>
                <w:color w:val="auto"/>
                <w:sz w:val="24"/>
                <w:highlight w:val="none"/>
              </w:rPr>
              <w:t>分，本小项最高得</w:t>
            </w:r>
            <w:r>
              <w:rPr>
                <w:rFonts w:hint="eastAsia" w:ascii="宋体" w:hAnsi="宋体" w:cs="宋体"/>
                <w:color w:val="auto"/>
                <w:sz w:val="24"/>
                <w:highlight w:val="none"/>
                <w:lang w:val="en-US" w:eastAsia="zh-CN"/>
              </w:rPr>
              <w:t>5</w:t>
            </w:r>
            <w:r>
              <w:rPr>
                <w:rFonts w:ascii="宋体" w:hAnsi="宋体" w:cs="宋体"/>
                <w:color w:val="auto"/>
                <w:sz w:val="24"/>
                <w:highlight w:val="none"/>
              </w:rPr>
              <w:t>分。</w:t>
            </w:r>
          </w:p>
          <w:p>
            <w:pPr>
              <w:spacing w:line="560" w:lineRule="exact"/>
              <w:jc w:val="left"/>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为本项目拟派的投标人服务团队成员</w:t>
            </w:r>
            <w:r>
              <w:rPr>
                <w:rFonts w:ascii="宋体" w:hAnsi="宋体" w:cs="宋体"/>
                <w:color w:val="auto"/>
                <w:sz w:val="24"/>
                <w:highlight w:val="none"/>
              </w:rPr>
              <w:t>中具有中级</w:t>
            </w:r>
            <w:r>
              <w:rPr>
                <w:rFonts w:hint="eastAsia" w:ascii="宋体" w:hAnsi="宋体" w:cs="宋体"/>
                <w:color w:val="auto"/>
                <w:sz w:val="24"/>
                <w:highlight w:val="none"/>
              </w:rPr>
              <w:t>或以上</w:t>
            </w:r>
            <w:r>
              <w:rPr>
                <w:rFonts w:ascii="宋体" w:hAnsi="宋体" w:cs="宋体"/>
                <w:color w:val="auto"/>
                <w:sz w:val="24"/>
                <w:highlight w:val="none"/>
              </w:rPr>
              <w:t>会计师或中级</w:t>
            </w:r>
            <w:r>
              <w:rPr>
                <w:rFonts w:hint="eastAsia" w:ascii="宋体" w:hAnsi="宋体" w:cs="宋体"/>
                <w:color w:val="auto"/>
                <w:sz w:val="24"/>
                <w:highlight w:val="none"/>
              </w:rPr>
              <w:t>或以上</w:t>
            </w:r>
            <w:r>
              <w:rPr>
                <w:rFonts w:ascii="宋体" w:hAnsi="宋体" w:cs="宋体"/>
                <w:color w:val="auto"/>
                <w:sz w:val="24"/>
                <w:highlight w:val="none"/>
              </w:rPr>
              <w:t>审计师</w:t>
            </w:r>
            <w:r>
              <w:rPr>
                <w:rFonts w:hint="eastAsia" w:ascii="宋体" w:hAnsi="宋体" w:cs="宋体"/>
                <w:color w:val="auto"/>
                <w:sz w:val="24"/>
                <w:highlight w:val="none"/>
              </w:rPr>
              <w:t>资格的，得</w:t>
            </w:r>
            <w:r>
              <w:rPr>
                <w:rFonts w:ascii="宋体" w:hAnsi="宋体" w:cs="宋体"/>
                <w:color w:val="auto"/>
                <w:sz w:val="24"/>
                <w:highlight w:val="none"/>
              </w:rPr>
              <w:t>2</w:t>
            </w:r>
            <w:r>
              <w:rPr>
                <w:rFonts w:hint="eastAsia" w:ascii="宋体" w:hAnsi="宋体" w:cs="宋体"/>
                <w:color w:val="auto"/>
                <w:sz w:val="24"/>
                <w:highlight w:val="none"/>
              </w:rPr>
              <w:t>分</w:t>
            </w:r>
            <w:r>
              <w:rPr>
                <w:rFonts w:ascii="宋体" w:hAnsi="宋体" w:cs="宋体"/>
                <w:color w:val="auto"/>
                <w:sz w:val="24"/>
                <w:highlight w:val="none"/>
              </w:rPr>
              <w:t>；</w:t>
            </w:r>
            <w:r>
              <w:rPr>
                <w:rFonts w:hint="eastAsia" w:ascii="宋体" w:hAnsi="宋体" w:cs="宋体"/>
                <w:color w:val="auto"/>
                <w:sz w:val="24"/>
                <w:highlight w:val="none"/>
              </w:rPr>
              <w:t>每增加1人得</w:t>
            </w:r>
            <w:r>
              <w:rPr>
                <w:rFonts w:ascii="宋体" w:hAnsi="宋体" w:cs="宋体"/>
                <w:color w:val="auto"/>
                <w:sz w:val="24"/>
                <w:highlight w:val="none"/>
              </w:rPr>
              <w:t>2</w:t>
            </w:r>
            <w:r>
              <w:rPr>
                <w:rFonts w:hint="eastAsia" w:ascii="宋体" w:hAnsi="宋体" w:cs="宋体"/>
                <w:color w:val="auto"/>
                <w:sz w:val="24"/>
                <w:highlight w:val="none"/>
              </w:rPr>
              <w:t>分</w:t>
            </w:r>
            <w:r>
              <w:rPr>
                <w:rFonts w:ascii="宋体" w:hAnsi="宋体" w:cs="宋体"/>
                <w:color w:val="auto"/>
                <w:sz w:val="24"/>
                <w:highlight w:val="none"/>
              </w:rPr>
              <w:t>，</w:t>
            </w:r>
            <w:r>
              <w:rPr>
                <w:rFonts w:hint="eastAsia" w:ascii="宋体" w:hAnsi="宋体" w:cs="宋体"/>
                <w:color w:val="auto"/>
                <w:sz w:val="24"/>
                <w:highlight w:val="none"/>
              </w:rPr>
              <w:t>本小项最高得</w:t>
            </w:r>
            <w:r>
              <w:rPr>
                <w:rFonts w:ascii="宋体" w:hAnsi="宋体" w:cs="宋体"/>
                <w:color w:val="auto"/>
                <w:sz w:val="24"/>
                <w:highlight w:val="none"/>
              </w:rPr>
              <w:t>4</w:t>
            </w:r>
            <w:r>
              <w:rPr>
                <w:rFonts w:hint="eastAsia" w:ascii="宋体" w:hAnsi="宋体" w:cs="宋体"/>
                <w:color w:val="auto"/>
                <w:sz w:val="24"/>
                <w:highlight w:val="none"/>
              </w:rPr>
              <w:t>分</w:t>
            </w:r>
            <w:r>
              <w:rPr>
                <w:rFonts w:ascii="宋体" w:hAnsi="宋体" w:cs="宋体"/>
                <w:color w:val="auto"/>
                <w:sz w:val="24"/>
                <w:highlight w:val="none"/>
              </w:rPr>
              <w:t>。</w:t>
            </w:r>
          </w:p>
          <w:p>
            <w:pPr>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备注：</w:t>
            </w:r>
            <w:r>
              <w:rPr>
                <w:rFonts w:ascii="宋体" w:hAnsi="宋体" w:cs="宋体"/>
                <w:color w:val="auto"/>
                <w:sz w:val="24"/>
                <w:highlight w:val="none"/>
              </w:rPr>
              <w:t>同一成员</w:t>
            </w:r>
            <w:r>
              <w:rPr>
                <w:rFonts w:hint="eastAsia" w:ascii="宋体" w:hAnsi="宋体" w:cs="宋体"/>
                <w:color w:val="auto"/>
                <w:sz w:val="24"/>
                <w:highlight w:val="none"/>
              </w:rPr>
              <w:t>同时具备注册会计师或中级会计师、中级审计师的，</w:t>
            </w:r>
            <w:r>
              <w:rPr>
                <w:rFonts w:ascii="宋体" w:hAnsi="宋体" w:cs="宋体"/>
                <w:color w:val="auto"/>
                <w:sz w:val="24"/>
                <w:highlight w:val="none"/>
              </w:rPr>
              <w:t>不累计得分，</w:t>
            </w:r>
            <w:r>
              <w:rPr>
                <w:rFonts w:hint="eastAsia" w:ascii="宋体" w:hAnsi="宋体" w:cs="宋体"/>
                <w:color w:val="auto"/>
                <w:sz w:val="24"/>
                <w:highlight w:val="none"/>
              </w:rPr>
              <w:t>按照最高分得分。</w:t>
            </w:r>
          </w:p>
          <w:p>
            <w:pPr>
              <w:spacing w:line="560" w:lineRule="exact"/>
              <w:jc w:val="left"/>
              <w:rPr>
                <w:rFonts w:hint="eastAsia" w:ascii="宋体" w:hAnsi="宋体" w:cs="宋体"/>
                <w:b/>
                <w:bCs/>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为本项目拟派的投标人服务团队成员近三年内（自2020年【1】月【1】日至投标截止之日（以合同签订时间或委托函委托时间为准）为</w:t>
            </w:r>
            <w:r>
              <w:rPr>
                <w:rFonts w:hint="eastAsia" w:ascii="宋体" w:hAnsi="宋体" w:cs="宋体"/>
                <w:color w:val="auto"/>
                <w:sz w:val="24"/>
                <w:highlight w:val="none"/>
                <w:lang w:eastAsia="zh-CN"/>
              </w:rPr>
              <w:t>机关</w:t>
            </w:r>
            <w:r>
              <w:rPr>
                <w:rFonts w:hint="eastAsia" w:ascii="宋体" w:hAnsi="宋体" w:cs="宋体"/>
                <w:color w:val="auto"/>
                <w:sz w:val="24"/>
                <w:highlight w:val="none"/>
              </w:rPr>
              <w:t>事业单位提供过审计（包括财务报表审计及专项审计）、资产清查等相关服务经验，每一</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得2分，本小项最高得</w:t>
            </w:r>
            <w:r>
              <w:rPr>
                <w:rFonts w:ascii="宋体" w:hAnsi="宋体" w:cs="宋体"/>
                <w:color w:val="auto"/>
                <w:sz w:val="24"/>
                <w:highlight w:val="none"/>
              </w:rPr>
              <w:t>6</w:t>
            </w:r>
            <w:r>
              <w:rPr>
                <w:rFonts w:hint="eastAsia" w:ascii="宋体" w:hAnsi="宋体" w:cs="宋体"/>
                <w:color w:val="auto"/>
                <w:sz w:val="24"/>
                <w:highlight w:val="none"/>
              </w:rPr>
              <w:t>分。</w:t>
            </w:r>
          </w:p>
          <w:p>
            <w:pPr>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以上4项累计得分，满分</w:t>
            </w:r>
            <w:r>
              <w:rPr>
                <w:rFonts w:hint="default" w:ascii="宋体" w:hAnsi="宋体" w:cs="宋体"/>
                <w:color w:val="auto"/>
                <w:sz w:val="24"/>
                <w:highlight w:val="none"/>
                <w:lang w:eastAsia="zh-CN"/>
              </w:rPr>
              <w:t>18</w:t>
            </w:r>
            <w:r>
              <w:rPr>
                <w:rFonts w:hint="eastAsia" w:ascii="宋体" w:hAnsi="宋体" w:cs="宋体"/>
                <w:color w:val="auto"/>
                <w:sz w:val="24"/>
                <w:highlight w:val="none"/>
              </w:rPr>
              <w:t>分。同一项合同续签不可重复计分。</w:t>
            </w:r>
          </w:p>
          <w:p>
            <w:pPr>
              <w:spacing w:line="560" w:lineRule="exact"/>
              <w:jc w:val="left"/>
              <w:rPr>
                <w:rFonts w:hint="eastAsia" w:ascii="宋体" w:hAnsi="宋体" w:cs="宋体"/>
                <w:color w:val="auto"/>
                <w:sz w:val="24"/>
                <w:highlight w:val="none"/>
              </w:rPr>
            </w:pPr>
            <w:r>
              <w:rPr>
                <w:rFonts w:hint="eastAsia" w:ascii="宋体" w:hAnsi="宋体" w:cs="宋体"/>
                <w:color w:val="auto"/>
                <w:sz w:val="24"/>
                <w:highlight w:val="none"/>
              </w:rPr>
              <w:t>（二）评分依据：</w:t>
            </w:r>
          </w:p>
          <w:p>
            <w:pPr>
              <w:spacing w:line="560" w:lineRule="exact"/>
              <w:jc w:val="left"/>
              <w:rPr>
                <w:rFonts w:hint="default" w:ascii="宋体" w:hAnsi="宋体" w:cs="宋体"/>
                <w:color w:val="auto"/>
                <w:sz w:val="24"/>
                <w:highlight w:val="none"/>
              </w:rPr>
            </w:pPr>
            <w:r>
              <w:rPr>
                <w:rFonts w:hint="eastAsia" w:ascii="宋体" w:hAnsi="宋体" w:cs="宋体"/>
                <w:color w:val="auto"/>
                <w:sz w:val="24"/>
                <w:highlight w:val="none"/>
              </w:rPr>
              <w:t>1.提供有效的会计专业技术资格证书或审计专业技术资格证书、注册会计师证书</w:t>
            </w:r>
            <w:r>
              <w:rPr>
                <w:rFonts w:hint="eastAsia" w:ascii="宋体" w:hAnsi="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网页或窗口打印资料均可</w:t>
            </w:r>
            <w:r>
              <w:rPr>
                <w:rFonts w:hint="eastAsia" w:ascii="宋体" w:hAnsi="宋体" w:cs="宋体"/>
                <w:color w:val="auto"/>
                <w:kern w:val="2"/>
                <w:sz w:val="24"/>
                <w:szCs w:val="24"/>
                <w:highlight w:val="none"/>
                <w:lang w:val="en-US" w:eastAsia="zh-CN" w:bidi="ar-SA"/>
              </w:rPr>
              <w:t>,</w:t>
            </w:r>
            <w:r>
              <w:rPr>
                <w:rFonts w:hint="eastAsia" w:ascii="宋体" w:hAnsi="宋体" w:cs="宋体"/>
                <w:color w:val="auto"/>
                <w:sz w:val="24"/>
                <w:highlight w:val="none"/>
              </w:rPr>
              <w:t>注册会计师证书</w:t>
            </w:r>
            <w:r>
              <w:rPr>
                <w:rFonts w:hint="eastAsia" w:ascii="宋体" w:hAnsi="宋体" w:cs="宋体"/>
                <w:color w:val="auto"/>
                <w:sz w:val="24"/>
                <w:highlight w:val="none"/>
                <w:lang w:val="en-US" w:eastAsia="zh-CN"/>
              </w:rPr>
              <w:t>还需提供</w:t>
            </w:r>
            <w:r>
              <w:rPr>
                <w:rFonts w:hint="eastAsia" w:ascii="宋体" w:hAnsi="宋体" w:cs="宋体"/>
                <w:color w:val="auto"/>
                <w:sz w:val="24"/>
                <w:highlight w:val="none"/>
              </w:rPr>
              <w:t>中国注册会计师行业管理信息系统中“注册会计师信息”查询结果截图</w:t>
            </w:r>
            <w:r>
              <w:rPr>
                <w:rFonts w:hint="eastAsia" w:ascii="宋体" w:hAnsi="宋体" w:cs="宋体"/>
                <w:color w:val="auto"/>
                <w:sz w:val="24"/>
                <w:highlight w:val="none"/>
                <w:lang w:val="en-US" w:eastAsia="zh-CN"/>
              </w:rPr>
              <w:t>以及年检通过截图</w:t>
            </w:r>
            <w:r>
              <w:rPr>
                <w:rFonts w:hint="eastAsia" w:ascii="宋体" w:hAnsi="宋体" w:cs="宋体"/>
                <w:color w:val="auto"/>
                <w:sz w:val="24"/>
                <w:highlight w:val="none"/>
              </w:rPr>
              <w:t>（查询网址：https://cmispub.cicpa.org.cn）</w:t>
            </w:r>
            <w:r>
              <w:rPr>
                <w:rFonts w:hint="eastAsia" w:ascii="宋体" w:hAnsi="宋体" w:cs="宋体"/>
                <w:color w:val="auto"/>
                <w:kern w:val="2"/>
                <w:sz w:val="24"/>
                <w:szCs w:val="24"/>
                <w:highlight w:val="none"/>
                <w:lang w:val="zh-CN" w:eastAsia="zh-CN" w:bidi="ar-SA"/>
              </w:rPr>
              <w:t>】</w:t>
            </w:r>
            <w:r>
              <w:rPr>
                <w:rFonts w:hint="eastAsia" w:ascii="宋体" w:hAnsi="宋体" w:cs="宋体"/>
                <w:color w:val="auto"/>
                <w:sz w:val="24"/>
                <w:highlight w:val="none"/>
              </w:rPr>
              <w:t>原件备查</w:t>
            </w:r>
            <w:r>
              <w:rPr>
                <w:rFonts w:hint="default" w:ascii="宋体" w:hAnsi="宋体" w:cs="宋体"/>
                <w:color w:val="auto"/>
                <w:sz w:val="24"/>
                <w:highlight w:val="none"/>
              </w:rPr>
              <w:t>；</w:t>
            </w:r>
          </w:p>
          <w:p>
            <w:pPr>
              <w:spacing w:line="560" w:lineRule="exact"/>
              <w:jc w:val="left"/>
              <w:rPr>
                <w:rFonts w:hint="default"/>
                <w:color w:val="auto"/>
                <w:highlight w:val="none"/>
              </w:rPr>
            </w:pPr>
            <w:r>
              <w:rPr>
                <w:rFonts w:hint="default" w:ascii="宋体" w:hAnsi="宋体" w:cs="宋体"/>
                <w:color w:val="auto"/>
                <w:sz w:val="24"/>
                <w:highlight w:val="none"/>
              </w:rPr>
              <w:t>2.提供项目</w:t>
            </w:r>
            <w:r>
              <w:rPr>
                <w:rFonts w:hint="eastAsia" w:ascii="宋体" w:hAnsi="宋体" w:cs="宋体"/>
                <w:color w:val="auto"/>
                <w:sz w:val="24"/>
                <w:highlight w:val="none"/>
                <w:lang w:val="en-US" w:eastAsia="zh-CN"/>
              </w:rPr>
              <w:t>团队</w:t>
            </w:r>
            <w:r>
              <w:rPr>
                <w:rFonts w:hint="default" w:ascii="宋体" w:hAnsi="宋体" w:cs="宋体"/>
                <w:color w:val="auto"/>
                <w:sz w:val="24"/>
                <w:highlight w:val="none"/>
              </w:rPr>
              <w:t>在投标单位近一个月（2023年【</w:t>
            </w:r>
            <w:r>
              <w:rPr>
                <w:rFonts w:hint="eastAsia" w:ascii="宋体" w:hAnsi="宋体" w:cs="宋体"/>
                <w:color w:val="auto"/>
                <w:sz w:val="24"/>
                <w:highlight w:val="none"/>
                <w:lang w:val="en-US" w:eastAsia="zh-CN"/>
              </w:rPr>
              <w:t>5</w:t>
            </w:r>
            <w:r>
              <w:rPr>
                <w:rFonts w:hint="default" w:ascii="宋体" w:hAnsi="宋体" w:cs="宋体"/>
                <w:color w:val="auto"/>
                <w:sz w:val="24"/>
                <w:highlight w:val="none"/>
              </w:rPr>
              <w:t>】月）的社保缴纳证明材料或提供社保承诺书作为得分依据加盖公章，原件备查，未提供或提供不齐全或无法分辨的不得分；</w:t>
            </w:r>
          </w:p>
          <w:p>
            <w:pPr>
              <w:spacing w:line="560" w:lineRule="exact"/>
              <w:jc w:val="left"/>
              <w:rPr>
                <w:rFonts w:hint="default" w:ascii="宋体" w:hAnsi="宋体" w:cs="宋体"/>
                <w:color w:val="auto"/>
                <w:sz w:val="24"/>
                <w:highlight w:val="none"/>
              </w:rPr>
            </w:pPr>
            <w:r>
              <w:rPr>
                <w:rFonts w:hint="default" w:ascii="宋体" w:hAnsi="宋体" w:cs="宋体"/>
                <w:color w:val="auto"/>
                <w:sz w:val="24"/>
                <w:highlight w:val="none"/>
              </w:rPr>
              <w:t>3</w:t>
            </w:r>
            <w:r>
              <w:rPr>
                <w:rFonts w:hint="eastAsia" w:ascii="宋体" w:hAnsi="宋体" w:cs="宋体"/>
                <w:color w:val="auto"/>
                <w:sz w:val="24"/>
                <w:highlight w:val="none"/>
              </w:rPr>
              <w:t>.第一项</w:t>
            </w:r>
            <w:r>
              <w:rPr>
                <w:rFonts w:ascii="宋体" w:hAnsi="宋体" w:cs="宋体"/>
                <w:color w:val="auto"/>
                <w:sz w:val="24"/>
                <w:highlight w:val="none"/>
              </w:rPr>
              <w:t>审计工作年限</w:t>
            </w:r>
            <w:r>
              <w:rPr>
                <w:rFonts w:hint="eastAsia" w:ascii="宋体" w:hAnsi="宋体" w:cs="宋体"/>
                <w:color w:val="auto"/>
                <w:sz w:val="24"/>
                <w:highlight w:val="none"/>
              </w:rPr>
              <w:t>证明需提供人员简历以及承诺函加盖公章（格式自拟）</w:t>
            </w:r>
            <w:r>
              <w:rPr>
                <w:rFonts w:hint="default" w:ascii="宋体" w:hAnsi="宋体" w:cs="宋体"/>
                <w:color w:val="auto"/>
                <w:sz w:val="24"/>
                <w:highlight w:val="none"/>
              </w:rPr>
              <w:t>；</w:t>
            </w:r>
          </w:p>
          <w:p>
            <w:pPr>
              <w:spacing w:line="560" w:lineRule="exact"/>
              <w:jc w:val="left"/>
              <w:rPr>
                <w:rFonts w:hint="eastAsia" w:ascii="宋体" w:hAnsi="宋体" w:cs="宋体"/>
                <w:color w:val="auto"/>
                <w:kern w:val="0"/>
                <w:sz w:val="24"/>
                <w:highlight w:val="none"/>
              </w:rPr>
            </w:pPr>
            <w:r>
              <w:rPr>
                <w:rFonts w:hint="default" w:ascii="宋体" w:hAnsi="宋体" w:cs="宋体"/>
                <w:color w:val="auto"/>
                <w:sz w:val="24"/>
                <w:highlight w:val="none"/>
              </w:rPr>
              <w:t>4</w:t>
            </w:r>
            <w:r>
              <w:rPr>
                <w:rFonts w:hint="eastAsia" w:ascii="宋体" w:hAnsi="宋体" w:cs="宋体"/>
                <w:color w:val="auto"/>
                <w:sz w:val="24"/>
                <w:highlight w:val="none"/>
              </w:rPr>
              <w:t>.提供上述审计、资产清查等相关服务项目的相关材料（如合同关键页（关键页包含但不限于合同封面、服务内容页、服务人员页、双方盖章页等）或委托函加盖甲方公章等复印件,合同关键页或委托函若不能体现项目成员的工作业绩，可</w:t>
            </w:r>
            <w:r>
              <w:rPr>
                <w:rFonts w:hint="eastAsia" w:ascii="宋体" w:hAnsi="宋体" w:cs="宋体"/>
                <w:color w:val="auto"/>
                <w:sz w:val="24"/>
                <w:highlight w:val="none"/>
                <w:lang w:val="en-US" w:eastAsia="zh-CN"/>
              </w:rPr>
              <w:t>同时</w:t>
            </w:r>
            <w:r>
              <w:rPr>
                <w:rFonts w:hint="eastAsia" w:ascii="宋体" w:hAnsi="宋体" w:cs="宋体"/>
                <w:color w:val="auto"/>
                <w:sz w:val="24"/>
                <w:highlight w:val="none"/>
              </w:rPr>
              <w:t>提供委托单位开具的书面证明）加盖公章，原件备查。未提供或提供不齐全或无法分辨的不得分。</w:t>
            </w:r>
          </w:p>
        </w:tc>
        <w:tc>
          <w:tcPr>
            <w:tcW w:w="860" w:type="dxa"/>
            <w:noWrap w:val="0"/>
            <w:vAlign w:val="center"/>
          </w:tcPr>
          <w:p>
            <w:pPr>
              <w:autoSpaceDE w:val="0"/>
              <w:autoSpaceDN w:val="0"/>
              <w:adjustRightInd w:val="0"/>
              <w:spacing w:line="560" w:lineRule="exact"/>
              <w:jc w:val="center"/>
              <w:rPr>
                <w:rFonts w:hint="default" w:ascii="宋体" w:hAnsi="宋体" w:eastAsia="宋体" w:cs="宋体"/>
                <w:color w:val="auto"/>
                <w:sz w:val="24"/>
                <w:highlight w:val="none"/>
                <w:lang w:eastAsia="zh-CN"/>
              </w:rPr>
            </w:pPr>
            <w:r>
              <w:rPr>
                <w:rFonts w:hint="default" w:ascii="宋体" w:hAnsi="宋体" w:cs="宋体"/>
                <w:color w:val="auto"/>
                <w:sz w:val="24"/>
                <w:highlight w:val="none"/>
                <w:lang w:eastAsia="zh-CN"/>
              </w:rPr>
              <w:t>18</w:t>
            </w:r>
          </w:p>
        </w:tc>
        <w:tc>
          <w:tcPr>
            <w:tcW w:w="1120"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168" w:type="dxa"/>
            <w:noWrap w:val="0"/>
            <w:vAlign w:val="center"/>
          </w:tcPr>
          <w:p>
            <w:pPr>
              <w:autoSpaceDE w:val="0"/>
              <w:autoSpaceDN w:val="0"/>
              <w:adjustRightInd w:val="0"/>
              <w:spacing w:line="5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同类项目业绩</w:t>
            </w:r>
          </w:p>
        </w:tc>
        <w:tc>
          <w:tcPr>
            <w:tcW w:w="5907" w:type="dxa"/>
            <w:noWrap w:val="0"/>
            <w:vAlign w:val="top"/>
          </w:tcPr>
          <w:p>
            <w:pPr>
              <w:pStyle w:val="52"/>
              <w:widowControl/>
              <w:spacing w:line="56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（一）评分内容：</w:t>
            </w:r>
          </w:p>
          <w:p>
            <w:pPr>
              <w:pStyle w:val="52"/>
              <w:widowControl/>
              <w:spacing w:line="56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投标人</w:t>
            </w:r>
            <w:r>
              <w:rPr>
                <w:rFonts w:hint="default" w:ascii="宋体" w:hAnsi="宋体" w:cs="宋体"/>
                <w:color w:val="auto"/>
                <w:sz w:val="24"/>
                <w:highlight w:val="none"/>
              </w:rPr>
              <w:t>提供近三年内（</w:t>
            </w:r>
            <w:r>
              <w:rPr>
                <w:rFonts w:hint="eastAsia" w:ascii="宋体" w:hAnsi="宋体" w:cs="宋体"/>
                <w:color w:val="auto"/>
                <w:sz w:val="24"/>
                <w:highlight w:val="none"/>
              </w:rPr>
              <w:t>自20</w:t>
            </w:r>
            <w:r>
              <w:rPr>
                <w:rFonts w:hint="default" w:ascii="宋体" w:hAnsi="宋体" w:cs="宋体"/>
                <w:color w:val="auto"/>
                <w:sz w:val="24"/>
                <w:highlight w:val="none"/>
              </w:rPr>
              <w:t>20</w:t>
            </w:r>
            <w:r>
              <w:rPr>
                <w:rFonts w:hint="eastAsia" w:ascii="宋体" w:hAnsi="宋体" w:cs="宋体"/>
                <w:color w:val="auto"/>
                <w:sz w:val="24"/>
                <w:highlight w:val="none"/>
              </w:rPr>
              <w:t>年【1】月【1】日至</w:t>
            </w:r>
            <w:r>
              <w:rPr>
                <w:rFonts w:hint="eastAsia" w:ascii="宋体" w:hAnsi="宋体" w:cs="宋体"/>
                <w:color w:val="auto"/>
                <w:sz w:val="24"/>
                <w:highlight w:val="none"/>
                <w:lang w:val="en-US" w:eastAsia="zh-CN"/>
              </w:rPr>
              <w:t>投标截止</w:t>
            </w:r>
            <w:r>
              <w:rPr>
                <w:rFonts w:hint="eastAsia" w:ascii="宋体" w:hAnsi="宋体" w:cs="宋体"/>
                <w:color w:val="auto"/>
                <w:sz w:val="24"/>
                <w:highlight w:val="none"/>
              </w:rPr>
              <w:t>之日（以合同签订时间或委托函委托时间为准）为行政事业单位提供过审计（包括财务报表审计及专项审计）、资产清查等相关服务经验的，每提供一项得</w:t>
            </w:r>
            <w:r>
              <w:rPr>
                <w:rFonts w:hint="default" w:ascii="宋体" w:hAnsi="宋体" w:cs="宋体"/>
                <w:color w:val="auto"/>
                <w:sz w:val="24"/>
                <w:highlight w:val="none"/>
              </w:rPr>
              <w:t>1</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w:t>
            </w:r>
          </w:p>
          <w:p>
            <w:pPr>
              <w:pStyle w:val="52"/>
              <w:widowControl/>
              <w:spacing w:line="56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（二）评分依据：</w:t>
            </w:r>
          </w:p>
          <w:p>
            <w:pPr>
              <w:pStyle w:val="52"/>
              <w:widowControl/>
              <w:spacing w:line="560" w:lineRule="exact"/>
              <w:ind w:firstLine="0" w:firstLineChars="0"/>
              <w:rPr>
                <w:rFonts w:hint="eastAsia"/>
                <w:color w:val="auto"/>
                <w:highlight w:val="none"/>
              </w:rPr>
            </w:pPr>
            <w:r>
              <w:rPr>
                <w:rFonts w:hint="eastAsia" w:ascii="宋体" w:hAnsi="宋体" w:cs="宋体"/>
                <w:color w:val="auto"/>
                <w:sz w:val="24"/>
                <w:highlight w:val="none"/>
              </w:rPr>
              <w:t>提供可证明投标人</w:t>
            </w:r>
            <w:r>
              <w:rPr>
                <w:rFonts w:ascii="宋体" w:hAnsi="宋体" w:cs="宋体"/>
                <w:color w:val="auto"/>
                <w:sz w:val="24"/>
                <w:highlight w:val="none"/>
              </w:rPr>
              <w:t>提供</w:t>
            </w:r>
            <w:r>
              <w:rPr>
                <w:rFonts w:hint="eastAsia" w:ascii="宋体" w:hAnsi="宋体" w:cs="宋体"/>
                <w:color w:val="auto"/>
                <w:sz w:val="24"/>
                <w:highlight w:val="none"/>
              </w:rPr>
              <w:t>上述</w:t>
            </w:r>
            <w:r>
              <w:rPr>
                <w:rFonts w:ascii="宋体" w:hAnsi="宋体" w:cs="宋体"/>
                <w:color w:val="auto"/>
                <w:sz w:val="24"/>
                <w:highlight w:val="none"/>
              </w:rPr>
              <w:t>服务</w:t>
            </w:r>
            <w:r>
              <w:rPr>
                <w:rFonts w:hint="eastAsia" w:ascii="宋体" w:hAnsi="宋体" w:cs="宋体"/>
                <w:color w:val="auto"/>
                <w:sz w:val="24"/>
                <w:highlight w:val="none"/>
              </w:rPr>
              <w:t>的相关材料加盖公章（如合同关键页（关键页包含但不限于合同封面、服务内容页、服务人员页、双方盖章页等）或委托函加盖甲方公章等复印件），原件备查，未提供或提供不齐全或无法分辨的不得分。</w:t>
            </w:r>
          </w:p>
        </w:tc>
        <w:tc>
          <w:tcPr>
            <w:tcW w:w="860" w:type="dxa"/>
            <w:noWrap w:val="0"/>
            <w:vAlign w:val="center"/>
          </w:tcPr>
          <w:p>
            <w:pPr>
              <w:autoSpaceDE w:val="0"/>
              <w:autoSpaceDN w:val="0"/>
              <w:adjustRightInd w:val="0"/>
              <w:spacing w:line="560" w:lineRule="exact"/>
              <w:jc w:val="center"/>
              <w:rPr>
                <w:rFonts w:hint="eastAsia" w:ascii="宋体" w:hAnsi="宋体" w:cs="宋体"/>
                <w:color w:val="auto"/>
                <w:sz w:val="24"/>
                <w:highlight w:val="none"/>
              </w:rPr>
            </w:pPr>
            <w:r>
              <w:rPr>
                <w:rFonts w:ascii="宋体" w:hAnsi="宋体" w:cs="宋体"/>
                <w:color w:val="auto"/>
                <w:sz w:val="24"/>
                <w:highlight w:val="none"/>
              </w:rPr>
              <w:t>10</w:t>
            </w:r>
          </w:p>
        </w:tc>
        <w:tc>
          <w:tcPr>
            <w:tcW w:w="1120"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56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168" w:type="dxa"/>
            <w:noWrap w:val="0"/>
            <w:vAlign w:val="center"/>
          </w:tcPr>
          <w:p>
            <w:pPr>
              <w:autoSpaceDE w:val="0"/>
              <w:autoSpaceDN w:val="0"/>
              <w:adjustRightInd w:val="0"/>
              <w:spacing w:line="560" w:lineRule="exact"/>
              <w:jc w:val="center"/>
              <w:rPr>
                <w:rFonts w:hint="default" w:ascii="宋体" w:hAnsi="宋体" w:cs="宋体"/>
                <w:color w:val="auto"/>
                <w:sz w:val="24"/>
                <w:highlight w:val="none"/>
              </w:rPr>
            </w:pPr>
            <w:r>
              <w:rPr>
                <w:rFonts w:hint="default" w:ascii="宋体" w:hAnsi="宋体" w:cs="宋体"/>
                <w:color w:val="auto"/>
                <w:sz w:val="24"/>
                <w:highlight w:val="none"/>
              </w:rPr>
              <w:t>服务承诺</w:t>
            </w:r>
          </w:p>
        </w:tc>
        <w:tc>
          <w:tcPr>
            <w:tcW w:w="5907" w:type="dxa"/>
            <w:noWrap w:val="0"/>
            <w:vAlign w:val="top"/>
          </w:tcPr>
          <w:p>
            <w:pPr>
              <w:pStyle w:val="52"/>
              <w:widowControl/>
              <w:spacing w:line="56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（一）评分内容：投标人同时承诺以下</w:t>
            </w:r>
            <w:r>
              <w:rPr>
                <w:rFonts w:hint="eastAsia" w:ascii="宋体" w:hAnsi="宋体" w:cs="宋体"/>
                <w:color w:val="auto"/>
                <w:sz w:val="24"/>
                <w:highlight w:val="none"/>
                <w:lang w:val="en-US" w:eastAsia="zh-CN"/>
              </w:rPr>
              <w:t>两</w:t>
            </w:r>
            <w:r>
              <w:rPr>
                <w:rFonts w:hint="eastAsia" w:ascii="宋体" w:hAnsi="宋体" w:cs="宋体"/>
                <w:color w:val="auto"/>
                <w:sz w:val="24"/>
                <w:highlight w:val="none"/>
              </w:rPr>
              <w:t>个事项，得</w:t>
            </w:r>
            <w:r>
              <w:rPr>
                <w:rFonts w:hint="default" w:ascii="宋体" w:hAnsi="宋体" w:cs="宋体"/>
                <w:color w:val="auto"/>
                <w:sz w:val="24"/>
                <w:highlight w:val="none"/>
              </w:rPr>
              <w:t>2分</w:t>
            </w:r>
            <w:r>
              <w:rPr>
                <w:rFonts w:hint="eastAsia" w:ascii="宋体" w:hAnsi="宋体" w:cs="宋体"/>
                <w:color w:val="auto"/>
                <w:sz w:val="24"/>
                <w:highlight w:val="none"/>
              </w:rPr>
              <w:t>，缺漏项的，整体不得分：</w:t>
            </w:r>
          </w:p>
          <w:p>
            <w:pPr>
              <w:pStyle w:val="52"/>
              <w:widowControl/>
              <w:spacing w:line="56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1.投标人应负责统筹整个资产清查全过程的各类事项，及时制定任务分配方案，按规定时间节点要求完成整体清查报告等各项工作。</w:t>
            </w:r>
          </w:p>
          <w:p>
            <w:pPr>
              <w:pStyle w:val="52"/>
              <w:widowControl/>
              <w:spacing w:line="56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2.投标人标书中用于投标的团队成员能够实际服务于本项目工作。</w:t>
            </w:r>
          </w:p>
          <w:p>
            <w:pPr>
              <w:pStyle w:val="52"/>
              <w:widowControl/>
              <w:spacing w:line="560" w:lineRule="exact"/>
              <w:ind w:firstLine="0" w:firstLineChars="0"/>
              <w:rPr>
                <w:rFonts w:hint="eastAsia"/>
                <w:color w:val="auto"/>
                <w:highlight w:val="none"/>
              </w:rPr>
            </w:pPr>
            <w:r>
              <w:rPr>
                <w:rFonts w:hint="eastAsia" w:ascii="宋体" w:hAnsi="宋体" w:cs="宋体"/>
                <w:color w:val="auto"/>
                <w:sz w:val="24"/>
                <w:highlight w:val="none"/>
              </w:rPr>
              <w:t>（二）评分依据：投标人提供</w:t>
            </w:r>
            <w:r>
              <w:rPr>
                <w:rFonts w:hint="default" w:ascii="宋体" w:hAnsi="宋体" w:cs="宋体"/>
                <w:color w:val="auto"/>
                <w:sz w:val="24"/>
                <w:highlight w:val="none"/>
              </w:rPr>
              <w:t>的服务</w:t>
            </w:r>
            <w:r>
              <w:rPr>
                <w:rFonts w:hint="eastAsia" w:ascii="宋体" w:hAnsi="宋体" w:cs="宋体"/>
                <w:color w:val="auto"/>
                <w:sz w:val="24"/>
                <w:highlight w:val="none"/>
              </w:rPr>
              <w:t>承诺书加盖公章，但承诺内容应与评审内容一致，否则不得分。</w:t>
            </w:r>
          </w:p>
        </w:tc>
        <w:tc>
          <w:tcPr>
            <w:tcW w:w="860" w:type="dxa"/>
            <w:noWrap w:val="0"/>
            <w:vAlign w:val="center"/>
          </w:tcPr>
          <w:p>
            <w:pPr>
              <w:autoSpaceDE w:val="0"/>
              <w:autoSpaceDN w:val="0"/>
              <w:adjustRightIn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20"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168"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sq-AL"/>
              </w:rPr>
            </w:pPr>
            <w:r>
              <w:rPr>
                <w:rFonts w:hint="eastAsia" w:ascii="宋体" w:hAnsi="宋体" w:cs="宋体"/>
                <w:color w:val="auto"/>
                <w:sz w:val="24"/>
                <w:highlight w:val="none"/>
                <w:lang w:val="sq" w:bidi="ar"/>
              </w:rPr>
              <w:t>企业诚信</w:t>
            </w:r>
          </w:p>
        </w:tc>
        <w:tc>
          <w:tcPr>
            <w:tcW w:w="5907" w:type="dxa"/>
            <w:noWrap w:val="0"/>
            <w:vAlign w:val="center"/>
          </w:tcPr>
          <w:p>
            <w:pPr>
              <w:wordWrap/>
              <w:spacing w:line="560" w:lineRule="exact"/>
              <w:rPr>
                <w:rFonts w:hint="eastAsia" w:ascii="宋体" w:hAnsi="宋体" w:cs="宋体"/>
                <w:color w:val="auto"/>
                <w:sz w:val="24"/>
                <w:highlight w:val="none"/>
              </w:rPr>
            </w:pPr>
            <w:r>
              <w:rPr>
                <w:rFonts w:hint="eastAsia" w:ascii="宋体" w:hAnsi="宋体" w:cs="宋体"/>
                <w:color w:val="auto"/>
                <w:sz w:val="24"/>
                <w:highlight w:val="none"/>
                <w:lang w:bidi="ar"/>
              </w:rPr>
              <w:t>投标人在参与政府采购活动中存在诚信相关问题且在主管部门相关处理措施实施期限内的，本项不得分，否则得满分。投标人按招标文件格式要求提供《企业诚信声明与承诺》的得满分，其他不得分。</w:t>
            </w:r>
          </w:p>
        </w:tc>
        <w:tc>
          <w:tcPr>
            <w:tcW w:w="860" w:type="dxa"/>
            <w:noWrap w:val="0"/>
            <w:vAlign w:val="center"/>
          </w:tcPr>
          <w:p>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5</w:t>
            </w:r>
          </w:p>
        </w:tc>
        <w:tc>
          <w:tcPr>
            <w:tcW w:w="1120"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560" w:lineRule="exact"/>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三、技术部分（</w:t>
            </w:r>
            <w:r>
              <w:rPr>
                <w:rFonts w:hint="eastAsia" w:ascii="宋体" w:hAnsi="宋体" w:cs="宋体"/>
                <w:b/>
                <w:color w:val="auto"/>
                <w:sz w:val="24"/>
                <w:highlight w:val="none"/>
                <w:lang w:val="en-US" w:eastAsia="zh-CN"/>
              </w:rPr>
              <w:t>40</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noWrap w:val="0"/>
            <w:vAlign w:val="center"/>
          </w:tcPr>
          <w:p>
            <w:pPr>
              <w:autoSpaceDE w:val="0"/>
              <w:autoSpaceDN w:val="0"/>
              <w:adjustRightInd w:val="0"/>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5907"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评分规则</w:t>
            </w:r>
          </w:p>
        </w:tc>
        <w:tc>
          <w:tcPr>
            <w:tcW w:w="860"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rPr>
              <w:t>权重</w:t>
            </w:r>
          </w:p>
        </w:tc>
        <w:tc>
          <w:tcPr>
            <w:tcW w:w="1120"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168"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eastAsia="宋体" w:cs="宋体"/>
                <w:color w:val="auto"/>
                <w:sz w:val="24"/>
                <w:highlight w:val="none"/>
                <w:lang w:val="zh-CN"/>
              </w:rPr>
              <w:t>工作思路</w:t>
            </w:r>
          </w:p>
        </w:tc>
        <w:tc>
          <w:tcPr>
            <w:tcW w:w="5907" w:type="dxa"/>
            <w:noWrap w:val="0"/>
            <w:vAlign w:val="center"/>
          </w:tcPr>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（一）评审内容：</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根据投标文件里对工作目标和工作思路的判断情况比较得分：</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1.项目目标理解；</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2.工作思路</w:t>
            </w:r>
            <w:r>
              <w:rPr>
                <w:rFonts w:hint="eastAsia" w:ascii="宋体" w:hAnsi="宋体" w:eastAsia="宋体" w:cs="宋体"/>
                <w:color w:val="auto"/>
                <w:sz w:val="24"/>
                <w:szCs w:val="24"/>
                <w:highlight w:val="none"/>
              </w:rPr>
              <w:t>及工作</w:t>
            </w:r>
            <w:r>
              <w:rPr>
                <w:rFonts w:hint="eastAsia" w:ascii="宋体" w:hAnsi="宋体" w:eastAsia="宋体" w:cs="宋体"/>
                <w:color w:val="auto"/>
                <w:sz w:val="24"/>
                <w:szCs w:val="24"/>
                <w:highlight w:val="none"/>
                <w:lang w:val="zh-CN"/>
              </w:rPr>
              <w:t>内容。</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（二）评审标准：</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满足两点得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分，满足任意一点得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分，未满足不得分。</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在此基础上，专家根据各</w:t>
            </w:r>
            <w:r>
              <w:rPr>
                <w:rFonts w:hint="default" w:ascii="宋体" w:hAnsi="宋体" w:eastAsia="宋体" w:cs="宋体"/>
                <w:color w:val="auto"/>
                <w:sz w:val="24"/>
                <w:szCs w:val="24"/>
                <w:highlight w:val="none"/>
              </w:rPr>
              <w:t>投标单位</w:t>
            </w:r>
            <w:r>
              <w:rPr>
                <w:rFonts w:hint="eastAsia" w:ascii="宋体" w:hAnsi="宋体" w:eastAsia="宋体" w:cs="宋体"/>
                <w:color w:val="auto"/>
                <w:sz w:val="24"/>
                <w:szCs w:val="24"/>
                <w:highlight w:val="none"/>
                <w:lang w:val="zh-CN"/>
              </w:rPr>
              <w:t>的具体响应内容按照量化的评审因素指标进一步评审：</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优：对项目目标理解和把握全面准确，工作思路内容与深度符合招标文件要求</w:t>
            </w:r>
            <w:r>
              <w:rPr>
                <w:rFonts w:hint="eastAsia" w:ascii="宋体" w:hAnsi="宋体" w:eastAsia="宋体" w:cs="宋体"/>
                <w:color w:val="auto"/>
                <w:sz w:val="24"/>
                <w:highlight w:val="none"/>
                <w:lang w:val="zh-CN"/>
              </w:rPr>
              <w:t>，贴合项目具体情况</w:t>
            </w:r>
            <w:r>
              <w:rPr>
                <w:rFonts w:hint="eastAsia" w:ascii="宋体" w:hAnsi="宋体" w:eastAsia="宋体" w:cs="宋体"/>
                <w:color w:val="auto"/>
                <w:sz w:val="24"/>
                <w:szCs w:val="24"/>
                <w:highlight w:val="none"/>
                <w:lang w:val="zh-CN"/>
              </w:rPr>
              <w:t>；</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良：对项目目标理解和把握全面准确，工作思路内容</w:t>
            </w:r>
            <w:r>
              <w:rPr>
                <w:rFonts w:hint="eastAsia" w:ascii="宋体" w:hAnsi="宋体" w:eastAsia="宋体" w:cs="宋体"/>
                <w:color w:val="auto"/>
                <w:sz w:val="24"/>
                <w:highlight w:val="none"/>
                <w:lang w:val="zh-CN"/>
              </w:rPr>
              <w:t>详实具体的</w:t>
            </w:r>
            <w:r>
              <w:rPr>
                <w:rFonts w:hint="eastAsia" w:ascii="宋体" w:hAnsi="宋体" w:eastAsia="宋体" w:cs="宋体"/>
                <w:color w:val="auto"/>
                <w:sz w:val="24"/>
                <w:szCs w:val="24"/>
                <w:highlight w:val="none"/>
                <w:lang w:val="zh-CN"/>
              </w:rPr>
              <w:t>；</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中：对项目目标理解和把握基本准确，工作思路内容</w:t>
            </w:r>
            <w:r>
              <w:rPr>
                <w:rFonts w:hint="eastAsia" w:ascii="宋体" w:hAnsi="宋体" w:eastAsia="宋体" w:cs="宋体"/>
                <w:color w:val="auto"/>
                <w:sz w:val="24"/>
                <w:highlight w:val="none"/>
                <w:lang w:val="zh-CN"/>
              </w:rPr>
              <w:t>措施简单，可执行性一般的</w:t>
            </w:r>
            <w:r>
              <w:rPr>
                <w:rFonts w:hint="eastAsia" w:ascii="宋体" w:hAnsi="宋体" w:eastAsia="宋体" w:cs="宋体"/>
                <w:color w:val="auto"/>
                <w:sz w:val="24"/>
                <w:szCs w:val="24"/>
                <w:highlight w:val="none"/>
                <w:lang w:val="zh-CN"/>
              </w:rPr>
              <w:t>；</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差：对项目目标理解和把握不准确</w:t>
            </w:r>
            <w:r>
              <w:rPr>
                <w:rFonts w:hint="eastAsia" w:ascii="宋体" w:hAnsi="宋体" w:eastAsia="宋体" w:cs="宋体"/>
                <w:color w:val="auto"/>
                <w:sz w:val="24"/>
                <w:szCs w:val="24"/>
                <w:highlight w:val="none"/>
              </w:rPr>
              <w:t>，工作思路</w:t>
            </w:r>
            <w:r>
              <w:rPr>
                <w:rFonts w:hint="eastAsia" w:ascii="宋体" w:hAnsi="宋体" w:eastAsia="宋体" w:cs="宋体"/>
                <w:color w:val="auto"/>
                <w:sz w:val="24"/>
                <w:highlight w:val="none"/>
                <w:lang w:val="zh-CN"/>
              </w:rPr>
              <w:t>内容</w:t>
            </w:r>
            <w:r>
              <w:rPr>
                <w:rFonts w:hint="eastAsia" w:ascii="宋体" w:hAnsi="宋体" w:eastAsia="宋体" w:cs="宋体"/>
                <w:color w:val="auto"/>
                <w:sz w:val="24"/>
                <w:highlight w:val="none"/>
              </w:rPr>
              <w:t>不完整</w:t>
            </w:r>
            <w:r>
              <w:rPr>
                <w:rFonts w:hint="eastAsia" w:ascii="宋体" w:hAnsi="宋体" w:eastAsia="宋体" w:cs="宋体"/>
                <w:color w:val="auto"/>
                <w:sz w:val="24"/>
                <w:highlight w:val="none"/>
                <w:lang w:val="zh-CN"/>
              </w:rPr>
              <w:t>，可执行性差</w:t>
            </w:r>
            <w:r>
              <w:rPr>
                <w:rFonts w:hint="eastAsia" w:ascii="宋体" w:hAnsi="宋体" w:eastAsia="宋体" w:cs="宋体"/>
                <w:color w:val="auto"/>
                <w:sz w:val="24"/>
                <w:highlight w:val="none"/>
              </w:rPr>
              <w:t>的</w:t>
            </w:r>
            <w:r>
              <w:rPr>
                <w:rFonts w:hint="eastAsia" w:ascii="宋体" w:hAnsi="宋体" w:eastAsia="宋体" w:cs="宋体"/>
                <w:color w:val="auto"/>
                <w:sz w:val="24"/>
                <w:szCs w:val="24"/>
                <w:highlight w:val="none"/>
                <w:lang w:val="zh-CN"/>
              </w:rPr>
              <w:t>。</w:t>
            </w:r>
          </w:p>
          <w:p>
            <w:pPr>
              <w:pStyle w:val="52"/>
              <w:widowControl/>
              <w:spacing w:line="560" w:lineRule="exact"/>
              <w:ind w:firstLine="0" w:firstLineChars="0"/>
              <w:jc w:val="left"/>
              <w:rPr>
                <w:rFonts w:hint="eastAsia"/>
                <w:color w:val="auto"/>
                <w:highlight w:val="none"/>
              </w:rPr>
            </w:pPr>
            <w:r>
              <w:rPr>
                <w:rFonts w:hint="eastAsia" w:ascii="宋体" w:hAnsi="宋体" w:eastAsia="宋体" w:cs="宋体"/>
                <w:color w:val="auto"/>
                <w:sz w:val="24"/>
                <w:szCs w:val="24"/>
                <w:highlight w:val="none"/>
                <w:lang w:val="zh-CN"/>
              </w:rPr>
              <w:t>根据招标文件比较，评价为优</w:t>
            </w:r>
            <w:r>
              <w:rPr>
                <w:rFonts w:hint="eastAsia" w:ascii="宋体" w:hAnsi="宋体" w:eastAsia="宋体" w:cs="宋体"/>
                <w:color w:val="auto"/>
                <w:sz w:val="24"/>
                <w:szCs w:val="24"/>
                <w:highlight w:val="none"/>
                <w:lang w:val="en-US" w:eastAsia="zh-CN"/>
              </w:rPr>
              <w:t>加9</w:t>
            </w:r>
            <w:r>
              <w:rPr>
                <w:rFonts w:hint="eastAsia" w:ascii="宋体" w:hAnsi="宋体" w:eastAsia="宋体" w:cs="宋体"/>
                <w:color w:val="auto"/>
                <w:sz w:val="24"/>
                <w:szCs w:val="24"/>
                <w:highlight w:val="none"/>
                <w:lang w:val="zh-CN"/>
              </w:rPr>
              <w:t>分；评价为良</w:t>
            </w:r>
            <w:r>
              <w:rPr>
                <w:rFonts w:hint="eastAsia" w:ascii="宋体" w:hAnsi="宋体" w:eastAsia="宋体" w:cs="宋体"/>
                <w:color w:val="auto"/>
                <w:sz w:val="24"/>
                <w:szCs w:val="24"/>
                <w:highlight w:val="none"/>
                <w:lang w:val="en-US" w:eastAsia="zh-CN"/>
              </w:rPr>
              <w:t>加6</w:t>
            </w:r>
            <w:r>
              <w:rPr>
                <w:rFonts w:hint="eastAsia" w:ascii="宋体" w:hAnsi="宋体" w:eastAsia="宋体" w:cs="宋体"/>
                <w:color w:val="auto"/>
                <w:sz w:val="24"/>
                <w:szCs w:val="24"/>
                <w:highlight w:val="none"/>
                <w:lang w:val="zh-CN"/>
              </w:rPr>
              <w:t>分；评价为中</w:t>
            </w:r>
            <w:r>
              <w:rPr>
                <w:rFonts w:hint="eastAsia" w:ascii="宋体" w:hAnsi="宋体" w:eastAsia="宋体" w:cs="宋体"/>
                <w:color w:val="auto"/>
                <w:sz w:val="24"/>
                <w:szCs w:val="24"/>
                <w:highlight w:val="none"/>
                <w:lang w:val="en-US" w:eastAsia="zh-CN"/>
              </w:rPr>
              <w:t>加</w:t>
            </w:r>
            <w:r>
              <w:rPr>
                <w:rFonts w:hint="default"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；评价为差</w:t>
            </w:r>
            <w:r>
              <w:rPr>
                <w:rFonts w:hint="eastAsia" w:ascii="宋体" w:hAnsi="宋体" w:eastAsia="宋体" w:cs="宋体"/>
                <w:color w:val="auto"/>
                <w:sz w:val="24"/>
                <w:szCs w:val="24"/>
                <w:highlight w:val="none"/>
                <w:lang w:val="en-US" w:eastAsia="zh-CN"/>
              </w:rPr>
              <w:t>不加分</w:t>
            </w:r>
            <w:r>
              <w:rPr>
                <w:rFonts w:hint="eastAsia" w:ascii="宋体" w:hAnsi="宋体" w:eastAsia="宋体" w:cs="宋体"/>
                <w:color w:val="auto"/>
                <w:sz w:val="24"/>
                <w:szCs w:val="24"/>
                <w:highlight w:val="none"/>
                <w:lang w:val="zh-CN"/>
              </w:rPr>
              <w:t>。</w:t>
            </w:r>
          </w:p>
        </w:tc>
        <w:tc>
          <w:tcPr>
            <w:tcW w:w="860" w:type="dxa"/>
            <w:noWrap w:val="0"/>
            <w:vAlign w:val="center"/>
          </w:tcPr>
          <w:p>
            <w:pPr>
              <w:autoSpaceDE w:val="0"/>
              <w:autoSpaceDN w:val="0"/>
              <w:adjustRightInd w:val="0"/>
              <w:spacing w:line="560" w:lineRule="exact"/>
              <w:jc w:val="center"/>
              <w:rPr>
                <w:rFonts w:ascii="宋体" w:hAnsi="宋体" w:cs="宋体"/>
                <w:color w:val="auto"/>
                <w:sz w:val="24"/>
                <w:highlight w:val="none"/>
              </w:rPr>
            </w:pPr>
            <w:r>
              <w:rPr>
                <w:rFonts w:hint="default" w:ascii="宋体" w:hAnsi="宋体" w:eastAsia="宋体" w:cs="宋体"/>
                <w:color w:val="auto"/>
                <w:sz w:val="24"/>
                <w:highlight w:val="none"/>
              </w:rPr>
              <w:t>15</w:t>
            </w:r>
          </w:p>
        </w:tc>
        <w:tc>
          <w:tcPr>
            <w:tcW w:w="1120"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2</w:t>
            </w:r>
          </w:p>
        </w:tc>
        <w:tc>
          <w:tcPr>
            <w:tcW w:w="1168"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eastAsia="宋体" w:cs="宋体"/>
                <w:color w:val="auto"/>
                <w:sz w:val="24"/>
                <w:highlight w:val="none"/>
                <w:lang w:val="zh-CN"/>
              </w:rPr>
              <w:t>质量保障措施及方案</w:t>
            </w:r>
          </w:p>
        </w:tc>
        <w:tc>
          <w:tcPr>
            <w:tcW w:w="5907" w:type="dxa"/>
            <w:noWrap w:val="0"/>
            <w:vAlign w:val="center"/>
          </w:tcPr>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（一）评审内容：</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根据招标文件的需求和投标文件响应情况，编制项目实施方案。包含但不限于以下内容：</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项目组织</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zh-CN"/>
              </w:rPr>
              <w:t>；</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项目进度安排</w:t>
            </w:r>
            <w:r>
              <w:rPr>
                <w:rFonts w:hint="eastAsia" w:ascii="宋体" w:hAnsi="宋体" w:eastAsia="宋体" w:cs="宋体"/>
                <w:color w:val="auto"/>
                <w:sz w:val="24"/>
                <w:szCs w:val="24"/>
                <w:highlight w:val="none"/>
              </w:rPr>
              <w:t>方案</w:t>
            </w:r>
            <w:r>
              <w:rPr>
                <w:rFonts w:hint="eastAsia" w:ascii="宋体" w:hAnsi="宋体" w:eastAsia="宋体" w:cs="宋体"/>
                <w:color w:val="auto"/>
                <w:sz w:val="24"/>
                <w:highlight w:val="none"/>
              </w:rPr>
              <w:t>（以完成工作日计）</w:t>
            </w:r>
            <w:r>
              <w:rPr>
                <w:rFonts w:hint="eastAsia" w:ascii="宋体" w:hAnsi="宋体" w:eastAsia="宋体" w:cs="宋体"/>
                <w:color w:val="auto"/>
                <w:sz w:val="24"/>
                <w:szCs w:val="24"/>
                <w:highlight w:val="none"/>
                <w:lang w:val="zh-CN"/>
              </w:rPr>
              <w:t>；</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zh-CN"/>
              </w:rPr>
              <w:t>保障措施。</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（二）评分标准： </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满足三点得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分，满足任意两点得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分，满足任意一点得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 xml:space="preserve">分，未满足不得分。 </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在此基础上，专家根据各</w:t>
            </w:r>
            <w:r>
              <w:rPr>
                <w:rFonts w:hint="default" w:ascii="宋体" w:hAnsi="宋体" w:eastAsia="宋体" w:cs="宋体"/>
                <w:color w:val="auto"/>
                <w:sz w:val="24"/>
                <w:szCs w:val="24"/>
                <w:highlight w:val="none"/>
              </w:rPr>
              <w:t>投标单位</w:t>
            </w:r>
            <w:r>
              <w:rPr>
                <w:rFonts w:hint="eastAsia" w:ascii="宋体" w:hAnsi="宋体" w:eastAsia="宋体" w:cs="宋体"/>
                <w:color w:val="auto"/>
                <w:sz w:val="24"/>
                <w:szCs w:val="24"/>
                <w:highlight w:val="none"/>
                <w:lang w:val="zh-CN"/>
              </w:rPr>
              <w:t xml:space="preserve">的具体响应内容按照量化的评审因素指标进一步评审： </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优：项目质量、保障措施及方案可行</w:t>
            </w:r>
            <w:r>
              <w:rPr>
                <w:rFonts w:hint="eastAsia" w:ascii="宋体" w:hAnsi="宋体" w:eastAsia="宋体" w:cs="宋体"/>
                <w:color w:val="auto"/>
                <w:sz w:val="24"/>
                <w:highlight w:val="none"/>
                <w:lang w:val="zh-CN"/>
              </w:rPr>
              <w:t>，项目安排</w:t>
            </w:r>
            <w:r>
              <w:rPr>
                <w:rFonts w:hint="eastAsia" w:ascii="宋体" w:hAnsi="宋体" w:eastAsia="宋体" w:cs="宋体"/>
                <w:color w:val="auto"/>
                <w:sz w:val="24"/>
                <w:highlight w:val="none"/>
              </w:rPr>
              <w:t>人员及</w:t>
            </w:r>
            <w:r>
              <w:rPr>
                <w:rFonts w:hint="eastAsia" w:ascii="宋体" w:hAnsi="宋体" w:eastAsia="宋体" w:cs="宋体"/>
                <w:color w:val="auto"/>
                <w:sz w:val="24"/>
                <w:highlight w:val="none"/>
                <w:lang w:val="zh-CN"/>
              </w:rPr>
              <w:t>时间</w:t>
            </w:r>
            <w:r>
              <w:rPr>
                <w:rFonts w:hint="eastAsia" w:ascii="宋体" w:hAnsi="宋体" w:eastAsia="宋体" w:cs="宋体"/>
                <w:color w:val="auto"/>
                <w:sz w:val="24"/>
                <w:highlight w:val="none"/>
              </w:rPr>
              <w:t>高于招标文件</w:t>
            </w:r>
            <w:r>
              <w:rPr>
                <w:rFonts w:hint="eastAsia" w:ascii="宋体" w:hAnsi="宋体" w:eastAsia="宋体" w:cs="宋体"/>
                <w:color w:val="auto"/>
                <w:sz w:val="24"/>
                <w:highlight w:val="none"/>
                <w:lang w:val="zh-CN"/>
              </w:rPr>
              <w:t>要求，提出不少于三点可执行、针对性强的保障措施</w:t>
            </w:r>
            <w:r>
              <w:rPr>
                <w:rFonts w:hint="eastAsia" w:ascii="宋体" w:hAnsi="宋体" w:eastAsia="宋体" w:cs="宋体"/>
                <w:color w:val="auto"/>
                <w:sz w:val="24"/>
                <w:szCs w:val="24"/>
                <w:highlight w:val="none"/>
                <w:lang w:val="zh-CN"/>
              </w:rPr>
              <w:t>；</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良：项目质量、保障措施及方案比较可行</w:t>
            </w:r>
            <w:r>
              <w:rPr>
                <w:rFonts w:hint="eastAsia" w:ascii="宋体" w:hAnsi="宋体" w:eastAsia="宋体" w:cs="宋体"/>
                <w:color w:val="auto"/>
                <w:sz w:val="24"/>
                <w:highlight w:val="none"/>
                <w:lang w:val="zh-CN"/>
              </w:rPr>
              <w:t>，项目安排安排</w:t>
            </w:r>
            <w:r>
              <w:rPr>
                <w:rFonts w:hint="eastAsia" w:ascii="宋体" w:hAnsi="宋体" w:eastAsia="宋体" w:cs="宋体"/>
                <w:color w:val="auto"/>
                <w:sz w:val="24"/>
                <w:highlight w:val="none"/>
              </w:rPr>
              <w:t>人员及</w:t>
            </w:r>
            <w:r>
              <w:rPr>
                <w:rFonts w:hint="eastAsia" w:ascii="宋体" w:hAnsi="宋体" w:eastAsia="宋体" w:cs="宋体"/>
                <w:color w:val="auto"/>
                <w:sz w:val="24"/>
                <w:highlight w:val="none"/>
                <w:lang w:val="zh-CN"/>
              </w:rPr>
              <w:t>时间符合</w:t>
            </w:r>
            <w:r>
              <w:rPr>
                <w:rFonts w:hint="eastAsia" w:ascii="宋体" w:hAnsi="宋体" w:eastAsia="宋体" w:cs="宋体"/>
                <w:color w:val="auto"/>
                <w:sz w:val="24"/>
                <w:highlight w:val="none"/>
              </w:rPr>
              <w:t>招标文件</w:t>
            </w:r>
            <w:r>
              <w:rPr>
                <w:rFonts w:hint="eastAsia" w:ascii="宋体" w:hAnsi="宋体" w:eastAsia="宋体" w:cs="宋体"/>
                <w:color w:val="auto"/>
                <w:sz w:val="24"/>
                <w:highlight w:val="none"/>
                <w:lang w:val="zh-CN"/>
              </w:rPr>
              <w:t>要求，提出两点可执行、有针对性的保障措施</w:t>
            </w:r>
            <w:r>
              <w:rPr>
                <w:rFonts w:hint="eastAsia" w:ascii="宋体" w:hAnsi="宋体" w:eastAsia="宋体" w:cs="宋体"/>
                <w:color w:val="auto"/>
                <w:sz w:val="24"/>
                <w:szCs w:val="24"/>
                <w:highlight w:val="none"/>
                <w:lang w:val="zh-CN"/>
              </w:rPr>
              <w:t>；</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中：项目质量、保障措施及方案基本</w:t>
            </w:r>
            <w:r>
              <w:rPr>
                <w:rFonts w:hint="eastAsia" w:ascii="宋体" w:hAnsi="宋体" w:eastAsia="宋体" w:cs="宋体"/>
                <w:color w:val="auto"/>
                <w:sz w:val="24"/>
                <w:highlight w:val="none"/>
                <w:lang w:val="zh-CN"/>
              </w:rPr>
              <w:t>合理，项目安排安排</w:t>
            </w:r>
            <w:r>
              <w:rPr>
                <w:rFonts w:hint="eastAsia" w:ascii="宋体" w:hAnsi="宋体" w:eastAsia="宋体" w:cs="宋体"/>
                <w:color w:val="auto"/>
                <w:sz w:val="24"/>
                <w:highlight w:val="none"/>
              </w:rPr>
              <w:t>人员及</w:t>
            </w:r>
            <w:r>
              <w:rPr>
                <w:rFonts w:hint="eastAsia" w:ascii="宋体" w:hAnsi="宋体" w:eastAsia="宋体" w:cs="宋体"/>
                <w:color w:val="auto"/>
                <w:sz w:val="24"/>
                <w:highlight w:val="none"/>
                <w:lang w:val="zh-CN"/>
              </w:rPr>
              <w:t>时间</w:t>
            </w:r>
            <w:r>
              <w:rPr>
                <w:rFonts w:hint="eastAsia" w:ascii="宋体" w:hAnsi="宋体" w:eastAsia="宋体" w:cs="宋体"/>
                <w:color w:val="auto"/>
                <w:sz w:val="24"/>
                <w:highlight w:val="none"/>
              </w:rPr>
              <w:t>基本</w:t>
            </w:r>
            <w:r>
              <w:rPr>
                <w:rFonts w:hint="eastAsia" w:ascii="宋体" w:hAnsi="宋体" w:eastAsia="宋体" w:cs="宋体"/>
                <w:color w:val="auto"/>
                <w:sz w:val="24"/>
                <w:highlight w:val="none"/>
                <w:lang w:val="zh-CN"/>
              </w:rPr>
              <w:t>符合</w:t>
            </w:r>
            <w:r>
              <w:rPr>
                <w:rFonts w:hint="eastAsia" w:ascii="宋体" w:hAnsi="宋体" w:eastAsia="宋体" w:cs="宋体"/>
                <w:color w:val="auto"/>
                <w:sz w:val="24"/>
                <w:highlight w:val="none"/>
              </w:rPr>
              <w:t>招标文件</w:t>
            </w:r>
            <w:r>
              <w:rPr>
                <w:rFonts w:hint="eastAsia" w:ascii="宋体" w:hAnsi="宋体" w:eastAsia="宋体" w:cs="宋体"/>
                <w:color w:val="auto"/>
                <w:sz w:val="24"/>
                <w:highlight w:val="none"/>
                <w:lang w:val="zh-CN"/>
              </w:rPr>
              <w:t>要求，提出</w:t>
            </w:r>
            <w:r>
              <w:rPr>
                <w:rFonts w:hint="eastAsia" w:ascii="宋体" w:hAnsi="宋体" w:eastAsia="宋体" w:cs="宋体"/>
                <w:color w:val="auto"/>
                <w:sz w:val="24"/>
                <w:highlight w:val="none"/>
              </w:rPr>
              <w:t>一点</w:t>
            </w:r>
            <w:r>
              <w:rPr>
                <w:rFonts w:hint="eastAsia" w:ascii="宋体" w:hAnsi="宋体" w:eastAsia="宋体" w:cs="宋体"/>
                <w:color w:val="auto"/>
                <w:sz w:val="24"/>
                <w:highlight w:val="none"/>
                <w:lang w:val="zh-CN"/>
              </w:rPr>
              <w:t>可执行的保障措施的</w:t>
            </w:r>
            <w:r>
              <w:rPr>
                <w:rFonts w:hint="eastAsia" w:ascii="宋体" w:hAnsi="宋体" w:eastAsia="宋体" w:cs="宋体"/>
                <w:color w:val="auto"/>
                <w:sz w:val="24"/>
                <w:szCs w:val="24"/>
                <w:highlight w:val="none"/>
                <w:lang w:val="zh-CN"/>
              </w:rPr>
              <w:t>；</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差：项目质量、保障措施及方案不可行和不合理的</w:t>
            </w:r>
            <w:r>
              <w:rPr>
                <w:rFonts w:hint="eastAsia" w:ascii="宋体" w:hAnsi="宋体" w:eastAsia="宋体" w:cs="宋体"/>
                <w:color w:val="auto"/>
                <w:sz w:val="24"/>
                <w:szCs w:val="24"/>
                <w:highlight w:val="none"/>
              </w:rPr>
              <w:t>，未提出可执行的保障措施</w:t>
            </w:r>
            <w:r>
              <w:rPr>
                <w:rFonts w:hint="eastAsia" w:ascii="宋体" w:hAnsi="宋体" w:eastAsia="宋体" w:cs="宋体"/>
                <w:color w:val="auto"/>
                <w:sz w:val="24"/>
                <w:szCs w:val="24"/>
                <w:highlight w:val="none"/>
                <w:lang w:val="zh-CN"/>
              </w:rPr>
              <w:t>。</w:t>
            </w:r>
          </w:p>
          <w:p>
            <w:pPr>
              <w:pStyle w:val="52"/>
              <w:widowControl/>
              <w:spacing w:line="560" w:lineRule="exact"/>
              <w:ind w:firstLine="0" w:firstLineChars="0"/>
              <w:jc w:val="left"/>
              <w:rPr>
                <w:rFonts w:hint="eastAsia"/>
                <w:color w:val="auto"/>
                <w:highlight w:val="none"/>
              </w:rPr>
            </w:pPr>
            <w:r>
              <w:rPr>
                <w:rFonts w:hint="eastAsia" w:ascii="宋体" w:hAnsi="宋体" w:eastAsia="宋体" w:cs="宋体"/>
                <w:color w:val="auto"/>
                <w:sz w:val="24"/>
                <w:szCs w:val="24"/>
                <w:highlight w:val="none"/>
                <w:lang w:val="zh-CN"/>
              </w:rPr>
              <w:t>评审为优的</w:t>
            </w:r>
            <w:r>
              <w:rPr>
                <w:rFonts w:hint="eastAsia" w:ascii="宋体" w:hAnsi="宋体" w:eastAsia="宋体" w:cs="宋体"/>
                <w:color w:val="auto"/>
                <w:sz w:val="24"/>
                <w:szCs w:val="24"/>
                <w:highlight w:val="none"/>
                <w:lang w:val="en-US" w:eastAsia="zh-CN"/>
              </w:rPr>
              <w:t>加</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分；评审为良的</w:t>
            </w:r>
            <w:r>
              <w:rPr>
                <w:rFonts w:hint="eastAsia" w:ascii="宋体" w:hAnsi="宋体" w:eastAsia="宋体" w:cs="宋体"/>
                <w:color w:val="auto"/>
                <w:sz w:val="24"/>
                <w:szCs w:val="24"/>
                <w:highlight w:val="none"/>
                <w:lang w:val="en-US" w:eastAsia="zh-CN"/>
              </w:rPr>
              <w:t>加</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分；评审为中的</w:t>
            </w:r>
            <w:r>
              <w:rPr>
                <w:rFonts w:hint="eastAsia" w:ascii="宋体" w:hAnsi="宋体" w:eastAsia="宋体" w:cs="宋体"/>
                <w:color w:val="auto"/>
                <w:sz w:val="24"/>
                <w:szCs w:val="24"/>
                <w:highlight w:val="none"/>
                <w:lang w:val="en-US" w:eastAsia="zh-CN"/>
              </w:rPr>
              <w:t>加</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分；评审为差</w:t>
            </w:r>
            <w:r>
              <w:rPr>
                <w:rFonts w:hint="eastAsia" w:ascii="宋体" w:hAnsi="宋体" w:eastAsia="宋体" w:cs="宋体"/>
                <w:color w:val="auto"/>
                <w:sz w:val="24"/>
                <w:szCs w:val="24"/>
                <w:highlight w:val="none"/>
                <w:lang w:val="en-US" w:eastAsia="zh-CN"/>
              </w:rPr>
              <w:t>不得分</w:t>
            </w:r>
            <w:r>
              <w:rPr>
                <w:rFonts w:hint="eastAsia" w:ascii="宋体" w:hAnsi="宋体" w:eastAsia="宋体" w:cs="宋体"/>
                <w:color w:val="auto"/>
                <w:sz w:val="24"/>
                <w:szCs w:val="24"/>
                <w:highlight w:val="none"/>
              </w:rPr>
              <w:t>。</w:t>
            </w:r>
          </w:p>
        </w:tc>
        <w:tc>
          <w:tcPr>
            <w:tcW w:w="860" w:type="dxa"/>
            <w:noWrap w:val="0"/>
            <w:vAlign w:val="center"/>
          </w:tcPr>
          <w:p>
            <w:pPr>
              <w:autoSpaceDE w:val="0"/>
              <w:autoSpaceDN w:val="0"/>
              <w:adjustRightInd w:val="0"/>
              <w:spacing w:line="5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1</w:t>
            </w:r>
            <w:r>
              <w:rPr>
                <w:rFonts w:hint="eastAsia" w:ascii="宋体" w:hAnsi="宋体" w:cs="宋体"/>
                <w:color w:val="auto"/>
                <w:sz w:val="24"/>
                <w:highlight w:val="none"/>
                <w:lang w:val="en-US" w:eastAsia="zh-CN"/>
              </w:rPr>
              <w:t>0</w:t>
            </w:r>
          </w:p>
        </w:tc>
        <w:tc>
          <w:tcPr>
            <w:tcW w:w="1120"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3</w:t>
            </w:r>
          </w:p>
        </w:tc>
        <w:tc>
          <w:tcPr>
            <w:tcW w:w="1168"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eastAsia="宋体" w:cs="宋体"/>
                <w:color w:val="auto"/>
                <w:sz w:val="24"/>
                <w:highlight w:val="none"/>
                <w:lang w:val="zh-CN"/>
              </w:rPr>
              <w:t>项目难点重点分析及相关的合理化建议</w:t>
            </w:r>
          </w:p>
        </w:tc>
        <w:tc>
          <w:tcPr>
            <w:tcW w:w="5907" w:type="dxa"/>
            <w:noWrap w:val="0"/>
            <w:vAlign w:val="center"/>
          </w:tcPr>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（一）评审内容：</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根据招标文件的需求和投标文件响应情况，编制项目难点重点分析。包含但不限于以下内容：</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1.项目难点、重点分析；</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2.应对措施及相关建议。</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）评分标准：</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满足两点得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分，满足任意一点得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分，未满足不得分。</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在此基础上，专家根据各</w:t>
            </w:r>
            <w:r>
              <w:rPr>
                <w:rFonts w:hint="default" w:ascii="宋体" w:hAnsi="宋体" w:eastAsia="宋体" w:cs="宋体"/>
                <w:color w:val="auto"/>
                <w:sz w:val="24"/>
                <w:szCs w:val="24"/>
                <w:highlight w:val="none"/>
              </w:rPr>
              <w:t>投标单位</w:t>
            </w:r>
            <w:r>
              <w:rPr>
                <w:rFonts w:hint="eastAsia" w:ascii="宋体" w:hAnsi="宋体" w:eastAsia="宋体" w:cs="宋体"/>
                <w:color w:val="auto"/>
                <w:sz w:val="24"/>
                <w:szCs w:val="24"/>
                <w:highlight w:val="none"/>
                <w:lang w:val="zh-CN"/>
              </w:rPr>
              <w:t xml:space="preserve">的具体响应内容按照量化的评审因素指标进一步评审； </w:t>
            </w:r>
          </w:p>
          <w:p>
            <w:pPr>
              <w:pStyle w:val="52"/>
              <w:widowControl/>
              <w:spacing w:line="560" w:lineRule="exact"/>
              <w:ind w:firstLine="0" w:firstLineChars="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优：找出2个及以上项目重点难点，</w:t>
            </w:r>
            <w:r>
              <w:rPr>
                <w:rFonts w:hint="eastAsia" w:ascii="宋体" w:hAnsi="宋体" w:eastAsia="宋体" w:cs="宋体"/>
                <w:color w:val="auto"/>
                <w:sz w:val="24"/>
                <w:highlight w:val="none"/>
              </w:rPr>
              <w:t>分析清晰，</w:t>
            </w:r>
            <w:r>
              <w:rPr>
                <w:rFonts w:hint="eastAsia" w:ascii="宋体" w:hAnsi="宋体" w:eastAsia="宋体" w:cs="宋体"/>
                <w:color w:val="auto"/>
                <w:sz w:val="24"/>
                <w:highlight w:val="none"/>
                <w:lang w:val="zh-CN"/>
              </w:rPr>
              <w:t>并提出针对性强的解决</w:t>
            </w:r>
            <w:r>
              <w:rPr>
                <w:rFonts w:hint="eastAsia" w:ascii="宋体" w:hAnsi="宋体" w:eastAsia="宋体" w:cs="宋体"/>
                <w:color w:val="auto"/>
                <w:sz w:val="24"/>
                <w:highlight w:val="none"/>
              </w:rPr>
              <w:t>建议</w:t>
            </w:r>
            <w:r>
              <w:rPr>
                <w:rFonts w:hint="eastAsia" w:ascii="宋体" w:hAnsi="宋体" w:eastAsia="宋体" w:cs="宋体"/>
                <w:color w:val="auto"/>
                <w:sz w:val="24"/>
                <w:highlight w:val="none"/>
                <w:lang w:val="zh-CN"/>
              </w:rPr>
              <w:t>；</w:t>
            </w:r>
          </w:p>
          <w:p>
            <w:pPr>
              <w:pStyle w:val="52"/>
              <w:widowControl/>
              <w:spacing w:line="560" w:lineRule="exact"/>
              <w:ind w:firstLine="0" w:firstLineChars="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良：找出1个项目重点难点，分析基本清楚、解决</w:t>
            </w:r>
            <w:r>
              <w:rPr>
                <w:rFonts w:hint="eastAsia" w:ascii="宋体" w:hAnsi="宋体" w:eastAsia="宋体" w:cs="宋体"/>
                <w:color w:val="auto"/>
                <w:sz w:val="24"/>
                <w:highlight w:val="none"/>
              </w:rPr>
              <w:t>建议</w:t>
            </w:r>
            <w:r>
              <w:rPr>
                <w:rFonts w:hint="eastAsia" w:ascii="宋体" w:hAnsi="宋体" w:eastAsia="宋体" w:cs="宋体"/>
                <w:color w:val="auto"/>
                <w:sz w:val="24"/>
                <w:highlight w:val="none"/>
                <w:lang w:val="zh-CN"/>
              </w:rPr>
              <w:t>针对性较好的；</w:t>
            </w:r>
          </w:p>
          <w:p>
            <w:pPr>
              <w:pStyle w:val="52"/>
              <w:widowControl/>
              <w:spacing w:line="560" w:lineRule="exact"/>
              <w:ind w:firstLine="0" w:firstLineChars="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中：对项目重点难点分析仅做概括性描述的</w:t>
            </w:r>
            <w:r>
              <w:rPr>
                <w:rFonts w:hint="eastAsia" w:ascii="宋体" w:hAnsi="宋体" w:eastAsia="宋体" w:cs="宋体"/>
                <w:color w:val="auto"/>
                <w:sz w:val="24"/>
                <w:highlight w:val="none"/>
              </w:rPr>
              <w:t>，缺乏具体分析，解决建议不具备可操作性</w:t>
            </w:r>
            <w:r>
              <w:rPr>
                <w:rFonts w:hint="eastAsia" w:ascii="宋体" w:hAnsi="宋体" w:eastAsia="宋体" w:cs="宋体"/>
                <w:color w:val="auto"/>
                <w:sz w:val="24"/>
                <w:highlight w:val="none"/>
                <w:lang w:val="zh-CN"/>
              </w:rPr>
              <w:t>；</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lang w:val="zh-CN"/>
              </w:rPr>
              <w:t>差：项目重点难点分析</w:t>
            </w:r>
            <w:r>
              <w:rPr>
                <w:rFonts w:hint="eastAsia" w:ascii="宋体" w:hAnsi="宋体" w:eastAsia="宋体" w:cs="宋体"/>
                <w:color w:val="auto"/>
                <w:sz w:val="24"/>
                <w:highlight w:val="none"/>
                <w:lang w:val="en-US" w:eastAsia="zh-CN"/>
              </w:rPr>
              <w:t>不合理</w:t>
            </w:r>
            <w:r>
              <w:rPr>
                <w:rFonts w:hint="eastAsia" w:ascii="宋体" w:hAnsi="宋体" w:eastAsia="宋体" w:cs="宋体"/>
                <w:color w:val="auto"/>
                <w:sz w:val="24"/>
                <w:highlight w:val="none"/>
              </w:rPr>
              <w:t>，缺乏</w:t>
            </w:r>
            <w:r>
              <w:rPr>
                <w:rFonts w:hint="eastAsia" w:ascii="宋体" w:hAnsi="宋体" w:eastAsia="宋体" w:cs="宋体"/>
                <w:color w:val="auto"/>
                <w:sz w:val="24"/>
                <w:highlight w:val="none"/>
                <w:lang w:val="zh-CN"/>
              </w:rPr>
              <w:t>解决</w:t>
            </w:r>
            <w:r>
              <w:rPr>
                <w:rFonts w:hint="eastAsia" w:ascii="宋体" w:hAnsi="宋体" w:eastAsia="宋体" w:cs="宋体"/>
                <w:color w:val="auto"/>
                <w:sz w:val="24"/>
                <w:highlight w:val="none"/>
              </w:rPr>
              <w:t>建议</w:t>
            </w:r>
            <w:r>
              <w:rPr>
                <w:rFonts w:hint="eastAsia" w:ascii="宋体" w:hAnsi="宋体" w:eastAsia="宋体" w:cs="宋体"/>
                <w:color w:val="auto"/>
                <w:sz w:val="24"/>
                <w:highlight w:val="none"/>
                <w:lang w:val="zh-CN"/>
              </w:rPr>
              <w:t>。</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评审为优的加</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分；</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评审为良的加</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w:t>
            </w:r>
          </w:p>
          <w:p>
            <w:pPr>
              <w:pStyle w:val="52"/>
              <w:widowControl/>
              <w:spacing w:line="5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评审为中的加</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w:t>
            </w:r>
          </w:p>
          <w:p>
            <w:pPr>
              <w:pStyle w:val="52"/>
              <w:widowControl/>
              <w:spacing w:line="560" w:lineRule="exact"/>
              <w:ind w:firstLine="0" w:firstLineChars="0"/>
              <w:jc w:val="left"/>
              <w:rPr>
                <w:rFonts w:hint="eastAsia"/>
                <w:color w:val="auto"/>
                <w:highlight w:val="none"/>
              </w:rPr>
            </w:pPr>
            <w:r>
              <w:rPr>
                <w:rFonts w:hint="eastAsia" w:ascii="宋体" w:hAnsi="宋体" w:eastAsia="宋体" w:cs="宋体"/>
                <w:color w:val="auto"/>
                <w:sz w:val="24"/>
                <w:szCs w:val="24"/>
                <w:highlight w:val="none"/>
                <w:lang w:val="zh-CN"/>
              </w:rPr>
              <w:t>评审为差</w:t>
            </w:r>
            <w:r>
              <w:rPr>
                <w:rFonts w:hint="eastAsia" w:ascii="宋体" w:hAnsi="宋体" w:eastAsia="宋体" w:cs="宋体"/>
                <w:color w:val="auto"/>
                <w:sz w:val="24"/>
                <w:szCs w:val="24"/>
                <w:highlight w:val="none"/>
                <w:lang w:val="en-US" w:eastAsia="zh-CN"/>
              </w:rPr>
              <w:t>不加分。</w:t>
            </w:r>
          </w:p>
        </w:tc>
        <w:tc>
          <w:tcPr>
            <w:tcW w:w="860" w:type="dxa"/>
            <w:noWrap w:val="0"/>
            <w:vAlign w:val="center"/>
          </w:tcPr>
          <w:p>
            <w:pPr>
              <w:autoSpaceDE w:val="0"/>
              <w:autoSpaceDN w:val="0"/>
              <w:adjustRightInd w:val="0"/>
              <w:spacing w:line="560" w:lineRule="exact"/>
              <w:jc w:val="center"/>
              <w:rPr>
                <w:rFonts w:ascii="宋体" w:hAnsi="宋体" w:cs="宋体"/>
                <w:color w:val="auto"/>
                <w:sz w:val="24"/>
                <w:highlight w:val="none"/>
              </w:rPr>
            </w:pPr>
            <w:r>
              <w:rPr>
                <w:rFonts w:hint="eastAsia" w:ascii="宋体" w:hAnsi="宋体" w:eastAsia="宋体" w:cs="宋体"/>
                <w:color w:val="auto"/>
                <w:sz w:val="24"/>
                <w:highlight w:val="none"/>
                <w:lang w:val="zh-CN"/>
              </w:rPr>
              <w:t>1</w:t>
            </w:r>
            <w:r>
              <w:rPr>
                <w:rFonts w:hint="default" w:ascii="宋体" w:hAnsi="宋体" w:eastAsia="宋体" w:cs="宋体"/>
                <w:color w:val="auto"/>
                <w:sz w:val="24"/>
                <w:highlight w:val="none"/>
              </w:rPr>
              <w:t>5</w:t>
            </w:r>
          </w:p>
        </w:tc>
        <w:tc>
          <w:tcPr>
            <w:tcW w:w="1120" w:type="dxa"/>
            <w:noWrap w:val="0"/>
            <w:vAlign w:val="center"/>
          </w:tcPr>
          <w:p>
            <w:pPr>
              <w:autoSpaceDE w:val="0"/>
              <w:autoSpaceDN w:val="0"/>
              <w:adjustRightInd w:val="0"/>
              <w:spacing w:line="5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bl>
    <w:p>
      <w:pPr>
        <w:rPr>
          <w:color w:val="auto"/>
          <w:highlight w:val="none"/>
        </w:rPr>
      </w:pPr>
    </w:p>
    <w:p>
      <w:pPr>
        <w:pStyle w:val="4"/>
        <w:jc w:val="both"/>
        <w:rPr>
          <w:rFonts w:hint="eastAsia" w:ascii="宋体" w:eastAsia="宋体" w:cs="宋体"/>
          <w:b/>
          <w:bCs/>
          <w:color w:val="auto"/>
          <w:sz w:val="24"/>
          <w:szCs w:val="24"/>
          <w:highlight w:val="none"/>
        </w:rPr>
        <w:sectPr>
          <w:pgSz w:w="11906" w:h="16838"/>
          <w:pgMar w:top="1440" w:right="1800" w:bottom="1440" w:left="1800" w:header="851" w:footer="992" w:gutter="0"/>
          <w:cols w:space="720" w:num="1"/>
          <w:docGrid w:type="lines" w:linePitch="312" w:charSpace="0"/>
        </w:sectPr>
      </w:pPr>
    </w:p>
    <w:p>
      <w:pPr>
        <w:spacing w:line="360" w:lineRule="auto"/>
        <w:jc w:val="center"/>
        <w:outlineLvl w:val="0"/>
        <w:rPr>
          <w:rFonts w:hint="eastAsia" w:ascii="宋体" w:hAnsi="宋体" w:cs="宋体"/>
          <w:b/>
          <w:bCs/>
          <w:color w:val="auto"/>
          <w:sz w:val="24"/>
          <w:highlight w:val="none"/>
        </w:rPr>
      </w:pPr>
      <w:bookmarkStart w:id="18" w:name="_Toc9548"/>
      <w:bookmarkStart w:id="19" w:name="_Hlk28269117"/>
      <w:r>
        <w:rPr>
          <w:rFonts w:hint="eastAsia" w:ascii="宋体" w:hAnsi="宋体" w:cs="宋体"/>
          <w:b/>
          <w:bCs/>
          <w:color w:val="auto"/>
          <w:sz w:val="24"/>
          <w:highlight w:val="none"/>
        </w:rPr>
        <w:t>第七章 附件（投标文件格式）</w:t>
      </w:r>
      <w:bookmarkEnd w:id="18"/>
    </w:p>
    <w:p>
      <w:pPr>
        <w:keepNext/>
        <w:keepLines/>
        <w:spacing w:before="260" w:after="260" w:line="440" w:lineRule="exact"/>
        <w:jc w:val="center"/>
        <w:outlineLvl w:val="1"/>
        <w:rPr>
          <w:rFonts w:hint="eastAsia" w:ascii="宋体" w:hAnsi="宋体" w:cs="宋体"/>
          <w:b/>
          <w:bCs/>
          <w:color w:val="auto"/>
          <w:sz w:val="24"/>
          <w:highlight w:val="none"/>
        </w:rPr>
      </w:pPr>
      <w:bookmarkStart w:id="20" w:name="_Toc19494"/>
      <w:bookmarkStart w:id="21" w:name="_Toc31827"/>
      <w:bookmarkStart w:id="22" w:name="_Toc6548"/>
      <w:bookmarkStart w:id="23" w:name="_Toc5116"/>
      <w:r>
        <w:rPr>
          <w:rFonts w:hint="eastAsia" w:ascii="宋体" w:hAnsi="宋体" w:cs="宋体"/>
          <w:b/>
          <w:bCs/>
          <w:color w:val="auto"/>
          <w:sz w:val="24"/>
          <w:highlight w:val="none"/>
        </w:rPr>
        <w:t>1、投标文件密封袋/封面参考</w:t>
      </w:r>
      <w:bookmarkEnd w:id="20"/>
      <w:bookmarkEnd w:id="21"/>
      <w:bookmarkEnd w:id="22"/>
      <w:bookmarkEnd w:id="23"/>
    </w:p>
    <w:tbl>
      <w:tblPr>
        <w:tblStyle w:val="2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10"/>
              <w:tabs>
                <w:tab w:val="left" w:pos="562"/>
                <w:tab w:val="left" w:pos="3372"/>
                <w:tab w:val="left" w:pos="3653"/>
              </w:tabs>
              <w:spacing w:line="360" w:lineRule="auto"/>
              <w:rPr>
                <w:rFonts w:hint="eastAsia" w:ascii="仿宋_GB2312" w:eastAsia="仿宋_GB2312"/>
                <w:b/>
                <w:color w:val="auto"/>
                <w:sz w:val="32"/>
                <w:highlight w:val="none"/>
              </w:rPr>
            </w:pPr>
          </w:p>
          <w:p>
            <w:pPr>
              <w:pStyle w:val="10"/>
              <w:tabs>
                <w:tab w:val="left" w:pos="562"/>
                <w:tab w:val="left" w:pos="3372"/>
                <w:tab w:val="left" w:pos="3653"/>
              </w:tabs>
              <w:spacing w:line="360" w:lineRule="auto"/>
              <w:jc w:val="center"/>
              <w:rPr>
                <w:rFonts w:hint="eastAsia" w:ascii="黑体" w:eastAsia="黑体"/>
                <w:b/>
                <w:color w:val="auto"/>
                <w:sz w:val="72"/>
                <w:szCs w:val="72"/>
                <w:highlight w:val="none"/>
              </w:rPr>
            </w:pPr>
          </w:p>
          <w:p>
            <w:pPr>
              <w:pStyle w:val="10"/>
              <w:tabs>
                <w:tab w:val="left" w:pos="562"/>
                <w:tab w:val="left" w:pos="3372"/>
                <w:tab w:val="left" w:pos="3653"/>
              </w:tabs>
              <w:spacing w:line="360" w:lineRule="auto"/>
              <w:jc w:val="center"/>
              <w:rPr>
                <w:rFonts w:hint="eastAsia" w:ascii="黑体" w:eastAsia="黑体"/>
                <w:b/>
                <w:color w:val="auto"/>
                <w:sz w:val="72"/>
                <w:szCs w:val="72"/>
                <w:highlight w:val="none"/>
              </w:rPr>
            </w:pPr>
            <w:r>
              <w:rPr>
                <w:rFonts w:hint="eastAsia" w:ascii="黑体" w:eastAsia="黑体"/>
                <w:b/>
                <w:color w:val="auto"/>
                <w:sz w:val="72"/>
                <w:szCs w:val="72"/>
                <w:highlight w:val="none"/>
              </w:rPr>
              <w:t>投 标 文 件</w:t>
            </w:r>
          </w:p>
          <w:p>
            <w:pPr>
              <w:pStyle w:val="10"/>
              <w:tabs>
                <w:tab w:val="left" w:pos="562"/>
                <w:tab w:val="left" w:pos="3372"/>
                <w:tab w:val="left" w:pos="3653"/>
              </w:tabs>
              <w:spacing w:line="360" w:lineRule="auto"/>
              <w:jc w:val="center"/>
              <w:rPr>
                <w:rFonts w:hint="eastAsia" w:ascii="黑体" w:eastAsia="黑体"/>
                <w:b/>
                <w:strike/>
                <w:color w:val="auto"/>
                <w:sz w:val="32"/>
                <w:highlight w:val="none"/>
              </w:rPr>
            </w:pP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正本</w:t>
            </w: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副本</w:t>
            </w:r>
          </w:p>
          <w:p>
            <w:pPr>
              <w:pStyle w:val="10"/>
              <w:tabs>
                <w:tab w:val="left" w:pos="562"/>
                <w:tab w:val="left" w:pos="3372"/>
                <w:tab w:val="left" w:pos="3653"/>
              </w:tabs>
              <w:spacing w:line="360" w:lineRule="auto"/>
              <w:rPr>
                <w:rFonts w:hint="eastAsia" w:ascii="仿宋_GB2312" w:eastAsia="仿宋_GB2312"/>
                <w:b/>
                <w:color w:val="auto"/>
                <w:sz w:val="32"/>
                <w:highlight w:val="none"/>
              </w:rPr>
            </w:pPr>
          </w:p>
          <w:p>
            <w:pPr>
              <w:rPr>
                <w:rFonts w:hint="eastAsia"/>
                <w:color w:val="auto"/>
                <w:highlight w:val="none"/>
              </w:rPr>
            </w:pPr>
          </w:p>
          <w:p>
            <w:pPr>
              <w:pStyle w:val="10"/>
              <w:tabs>
                <w:tab w:val="left" w:pos="562"/>
                <w:tab w:val="left" w:pos="3372"/>
                <w:tab w:val="left" w:pos="3653"/>
              </w:tabs>
              <w:spacing w:line="400" w:lineRule="exact"/>
              <w:ind w:firstLine="900" w:firstLineChars="320"/>
              <w:rPr>
                <w:rFonts w:hint="eastAsia" w:ascii="仿宋_GB2312" w:eastAsia="仿宋_GB2312"/>
                <w:b/>
                <w:color w:val="auto"/>
                <w:sz w:val="28"/>
                <w:szCs w:val="28"/>
                <w:highlight w:val="none"/>
              </w:rPr>
            </w:pPr>
          </w:p>
          <w:p>
            <w:pPr>
              <w:pStyle w:val="10"/>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Arial"/>
                <w:b/>
                <w:bCs/>
                <w:color w:val="auto"/>
                <w:sz w:val="28"/>
                <w:szCs w:val="28"/>
                <w:highlight w:val="none"/>
                <w:u w:val="single"/>
              </w:rPr>
              <w:t xml:space="preserve">                                   </w:t>
            </w:r>
          </w:p>
          <w:p>
            <w:pPr>
              <w:pStyle w:val="10"/>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项目名称：</w:t>
            </w:r>
            <w:r>
              <w:rPr>
                <w:rFonts w:hint="eastAsia" w:ascii="宋体" w:hAnsi="宋体" w:cs="Arial"/>
                <w:b/>
                <w:bCs/>
                <w:color w:val="auto"/>
                <w:sz w:val="28"/>
                <w:szCs w:val="28"/>
                <w:highlight w:val="none"/>
                <w:u w:val="single"/>
              </w:rPr>
              <w:t xml:space="preserve">                                   </w:t>
            </w:r>
          </w:p>
          <w:p>
            <w:pPr>
              <w:pStyle w:val="10"/>
              <w:tabs>
                <w:tab w:val="left" w:pos="562"/>
                <w:tab w:val="left" w:pos="3372"/>
                <w:tab w:val="left" w:pos="3653"/>
              </w:tabs>
              <w:spacing w:line="400" w:lineRule="exact"/>
              <w:ind w:firstLine="900" w:firstLineChars="320"/>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投标人名称：</w:t>
            </w:r>
            <w:r>
              <w:rPr>
                <w:rFonts w:hint="eastAsia" w:ascii="宋体" w:hAnsi="宋体" w:cs="Arial"/>
                <w:b/>
                <w:bCs/>
                <w:color w:val="auto"/>
                <w:sz w:val="28"/>
                <w:szCs w:val="28"/>
                <w:highlight w:val="none"/>
                <w:u w:val="single"/>
              </w:rPr>
              <w:t xml:space="preserve">                     （加盖公章）</w:t>
            </w:r>
          </w:p>
          <w:p>
            <w:pPr>
              <w:pStyle w:val="10"/>
              <w:tabs>
                <w:tab w:val="left" w:pos="562"/>
                <w:tab w:val="left" w:pos="3372"/>
                <w:tab w:val="left" w:pos="3653"/>
              </w:tabs>
              <w:spacing w:line="400" w:lineRule="exact"/>
              <w:ind w:firstLine="900" w:firstLineChars="320"/>
              <w:rPr>
                <w:rFonts w:hint="eastAsia" w:ascii="宋体" w:hAnsi="宋体" w:cs="Arial"/>
                <w:b/>
                <w:bCs/>
                <w:color w:val="auto"/>
                <w:sz w:val="28"/>
                <w:szCs w:val="28"/>
                <w:highlight w:val="none"/>
                <w:u w:val="single"/>
              </w:rPr>
            </w:pPr>
            <w:r>
              <w:rPr>
                <w:rFonts w:hint="eastAsia" w:ascii="宋体" w:hAnsi="宋体" w:cs="宋体"/>
                <w:b/>
                <w:color w:val="auto"/>
                <w:sz w:val="28"/>
                <w:szCs w:val="28"/>
                <w:highlight w:val="none"/>
              </w:rPr>
              <w:t>投标人地址：</w:t>
            </w:r>
            <w:r>
              <w:rPr>
                <w:rFonts w:hint="eastAsia" w:ascii="宋体" w:hAnsi="宋体" w:cs="Arial"/>
                <w:b/>
                <w:bCs/>
                <w:color w:val="auto"/>
                <w:sz w:val="28"/>
                <w:szCs w:val="28"/>
                <w:highlight w:val="none"/>
                <w:u w:val="single"/>
              </w:rPr>
              <w:t xml:space="preserve">                                 </w:t>
            </w:r>
          </w:p>
          <w:p>
            <w:pPr>
              <w:pStyle w:val="10"/>
              <w:tabs>
                <w:tab w:val="left" w:pos="562"/>
                <w:tab w:val="left" w:pos="3372"/>
                <w:tab w:val="left" w:pos="3653"/>
              </w:tabs>
              <w:spacing w:line="400" w:lineRule="exact"/>
              <w:ind w:firstLine="900" w:firstLineChars="320"/>
              <w:rPr>
                <w:rFonts w:ascii="宋体" w:hAnsi="宋体" w:cs="Arial"/>
                <w:b/>
                <w:bCs/>
                <w:color w:val="auto"/>
                <w:sz w:val="28"/>
                <w:szCs w:val="28"/>
                <w:highlight w:val="none"/>
                <w:u w:val="single"/>
              </w:rPr>
            </w:pPr>
            <w:r>
              <w:rPr>
                <w:rFonts w:hint="eastAsia" w:ascii="宋体" w:hAnsi="宋体" w:cs="Arial"/>
                <w:b/>
                <w:bCs/>
                <w:color w:val="auto"/>
                <w:sz w:val="28"/>
                <w:szCs w:val="28"/>
                <w:highlight w:val="none"/>
              </w:rPr>
              <w:t>法定代表人/被授权人：</w:t>
            </w:r>
            <w:r>
              <w:rPr>
                <w:rFonts w:hint="eastAsia" w:ascii="宋体" w:hAnsi="宋体" w:cs="Arial"/>
                <w:b/>
                <w:bCs/>
                <w:color w:val="auto"/>
                <w:sz w:val="28"/>
                <w:szCs w:val="28"/>
                <w:highlight w:val="none"/>
                <w:u w:val="single"/>
              </w:rPr>
              <w:t xml:space="preserve">                        </w:t>
            </w:r>
          </w:p>
          <w:p>
            <w:pPr>
              <w:pStyle w:val="10"/>
              <w:tabs>
                <w:tab w:val="left" w:pos="562"/>
                <w:tab w:val="left" w:pos="3372"/>
                <w:tab w:val="left" w:pos="3653"/>
              </w:tabs>
              <w:spacing w:line="400" w:lineRule="exact"/>
              <w:ind w:firstLine="900" w:firstLineChars="320"/>
              <w:rPr>
                <w:rFonts w:hint="eastAsia" w:ascii="宋体" w:hAnsi="宋体" w:cs="宋体"/>
                <w:b/>
                <w:color w:val="auto"/>
                <w:sz w:val="28"/>
                <w:szCs w:val="28"/>
                <w:highlight w:val="none"/>
              </w:rPr>
            </w:pPr>
            <w:r>
              <w:rPr>
                <w:rFonts w:hint="eastAsia" w:ascii="宋体" w:hAnsi="宋体" w:cs="Arial"/>
                <w:b/>
                <w:bCs/>
                <w:color w:val="auto"/>
                <w:sz w:val="28"/>
                <w:szCs w:val="28"/>
                <w:highlight w:val="none"/>
              </w:rPr>
              <w:t>联系电话：</w:t>
            </w:r>
            <w:r>
              <w:rPr>
                <w:rFonts w:hint="eastAsia" w:ascii="宋体" w:hAnsi="宋体" w:cs="Arial"/>
                <w:b/>
                <w:bCs/>
                <w:color w:val="auto"/>
                <w:sz w:val="28"/>
                <w:szCs w:val="28"/>
                <w:highlight w:val="none"/>
                <w:u w:val="single"/>
              </w:rPr>
              <w:t xml:space="preserve">                                   </w:t>
            </w:r>
          </w:p>
          <w:p>
            <w:pPr>
              <w:spacing w:line="360" w:lineRule="auto"/>
              <w:jc w:val="center"/>
              <w:rPr>
                <w:rFonts w:hint="eastAsia" w:ascii="宋体" w:hAnsi="宋体" w:cs="Arial"/>
                <w:b/>
                <w:bCs/>
                <w:color w:val="auto"/>
                <w:sz w:val="28"/>
                <w:szCs w:val="28"/>
                <w:highlight w:val="none"/>
              </w:rPr>
            </w:pPr>
          </w:p>
          <w:p>
            <w:pPr>
              <w:spacing w:line="360" w:lineRule="auto"/>
              <w:jc w:val="center"/>
              <w:rPr>
                <w:rFonts w:hint="eastAsia" w:ascii="宋体" w:hAnsi="宋体" w:cs="Arial"/>
                <w:b/>
                <w:bCs/>
                <w:color w:val="auto"/>
                <w:sz w:val="28"/>
                <w:szCs w:val="28"/>
                <w:highlight w:val="none"/>
              </w:rPr>
            </w:pPr>
          </w:p>
          <w:p>
            <w:pPr>
              <w:spacing w:line="360" w:lineRule="auto"/>
              <w:jc w:val="center"/>
              <w:rPr>
                <w:rFonts w:hint="eastAsia" w:ascii="仿宋_GB2312" w:eastAsia="仿宋_GB2312"/>
                <w:b/>
                <w:color w:val="auto"/>
                <w:sz w:val="32"/>
                <w:highlight w:val="none"/>
              </w:rPr>
            </w:pPr>
            <w:r>
              <w:rPr>
                <w:rFonts w:hint="eastAsia" w:ascii="宋体" w:hAnsi="宋体" w:cs="Arial"/>
                <w:b/>
                <w:bCs/>
                <w:color w:val="auto"/>
                <w:sz w:val="28"/>
                <w:szCs w:val="28"/>
                <w:highlight w:val="none"/>
              </w:rPr>
              <w:t>【年月日时分之前不得启封。】</w:t>
            </w:r>
          </w:p>
        </w:tc>
      </w:tr>
    </w:tbl>
    <w:p>
      <w:pPr>
        <w:spacing w:line="360" w:lineRule="auto"/>
        <w:jc w:val="center"/>
        <w:rPr>
          <w:rFonts w:hint="eastAsia" w:ascii="宋体" w:hAnsi="宋体" w:cs="宋体"/>
          <w:b/>
          <w:bCs/>
          <w:color w:val="auto"/>
          <w:sz w:val="24"/>
          <w:highlight w:val="none"/>
        </w:rPr>
      </w:pPr>
    </w:p>
    <w:p>
      <w:pPr>
        <w:spacing w:before="100" w:beforeAutospacing="1" w:after="100" w:afterAutospacing="1"/>
        <w:jc w:val="center"/>
        <w:outlineLvl w:val="1"/>
        <w:rPr>
          <w:rFonts w:hint="eastAsia" w:ascii="宋体" w:hAnsi="宋体" w:cs="宋体"/>
          <w:b/>
          <w:color w:val="auto"/>
          <w:sz w:val="24"/>
          <w:highlight w:val="none"/>
        </w:rPr>
      </w:pPr>
      <w:bookmarkStart w:id="24" w:name="_Toc16724"/>
      <w:r>
        <w:rPr>
          <w:rFonts w:hint="eastAsia" w:ascii="宋体" w:hAnsi="宋体" w:cs="宋体"/>
          <w:b/>
          <w:color w:val="auto"/>
          <w:sz w:val="24"/>
          <w:highlight w:val="none"/>
        </w:rPr>
        <w:t>2、投标文件—目录</w:t>
      </w:r>
      <w:bookmarkEnd w:id="24"/>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8"/>
        </w:numPr>
        <w:tabs>
          <w:tab w:val="left" w:pos="640"/>
          <w:tab w:val="clear" w:pos="425"/>
        </w:tabs>
        <w:spacing w:line="360" w:lineRule="auto"/>
        <w:ind w:left="625" w:hanging="625"/>
        <w:rPr>
          <w:rFonts w:hint="eastAsia" w:ascii="宋体" w:hAnsi="宋体" w:cs="宋体"/>
          <w:color w:val="auto"/>
          <w:sz w:val="24"/>
          <w:highlight w:val="none"/>
        </w:rPr>
      </w:pPr>
      <w:r>
        <w:rPr>
          <w:rFonts w:hint="eastAsia" w:ascii="宋体" w:hAnsi="宋体" w:cs="宋体"/>
          <w:color w:val="auto"/>
          <w:sz w:val="24"/>
          <w:highlight w:val="none"/>
        </w:rPr>
        <w:t>投标一览表；</w:t>
      </w:r>
    </w:p>
    <w:p>
      <w:pPr>
        <w:numPr>
          <w:ilvl w:val="0"/>
          <w:numId w:val="8"/>
        </w:numPr>
        <w:tabs>
          <w:tab w:val="left" w:pos="640"/>
          <w:tab w:val="clear" w:pos="425"/>
        </w:tabs>
        <w:spacing w:line="360" w:lineRule="auto"/>
        <w:ind w:left="625" w:hanging="625"/>
        <w:rPr>
          <w:rFonts w:hint="eastAsia" w:ascii="宋体" w:hAnsi="宋体" w:cs="宋体"/>
          <w:color w:val="auto"/>
          <w:sz w:val="24"/>
          <w:highlight w:val="none"/>
        </w:rPr>
      </w:pPr>
      <w:r>
        <w:rPr>
          <w:rFonts w:hint="eastAsia" w:ascii="宋体" w:hAnsi="宋体" w:cs="宋体"/>
          <w:color w:val="auto"/>
          <w:sz w:val="24"/>
          <w:highlight w:val="none"/>
        </w:rPr>
        <w:t>分类报价明细表；</w:t>
      </w:r>
    </w:p>
    <w:p>
      <w:pPr>
        <w:spacing w:line="360" w:lineRule="auto"/>
        <w:rPr>
          <w:rFonts w:hint="eastAsia" w:ascii="宋体" w:hAnsi="宋体" w:cs="宋体"/>
          <w:b/>
          <w:bCs/>
          <w:color w:val="auto"/>
          <w:sz w:val="24"/>
          <w:highlight w:val="none"/>
          <w:u w:val="wave"/>
        </w:rPr>
      </w:pPr>
      <w:r>
        <w:rPr>
          <w:rFonts w:hint="eastAsia" w:ascii="宋体" w:hAnsi="宋体" w:cs="宋体"/>
          <w:b/>
          <w:bCs/>
          <w:color w:val="auto"/>
          <w:sz w:val="24"/>
          <w:highlight w:val="none"/>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投标函；</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r>
        <w:rPr>
          <w:rFonts w:hint="eastAsia" w:ascii="宋体" w:hAnsi="宋体" w:cs="宋体"/>
          <w:color w:val="auto"/>
          <w:kern w:val="0"/>
          <w:sz w:val="24"/>
          <w:highlight w:val="none"/>
        </w:rPr>
        <w:t>投标人须具有</w:t>
      </w:r>
      <w:r>
        <w:rPr>
          <w:rFonts w:hint="eastAsia" w:ascii="宋体" w:hAnsi="宋体" w:cs="宋体"/>
          <w:color w:val="auto"/>
          <w:kern w:val="0"/>
          <w:sz w:val="24"/>
          <w:highlight w:val="none"/>
          <w:lang w:val="en-US" w:eastAsia="zh-CN"/>
        </w:rPr>
        <w:t>有效的</w:t>
      </w:r>
      <w:r>
        <w:rPr>
          <w:rFonts w:hint="eastAsia" w:ascii="宋体" w:hAnsi="宋体" w:cs="宋体"/>
          <w:color w:val="auto"/>
          <w:kern w:val="0"/>
          <w:sz w:val="24"/>
          <w:highlight w:val="none"/>
        </w:rPr>
        <w:t>财政部门颁发的《会计师事务所执业证书》（提供证明材料复印件，加盖投标人公章，原件备查）</w:t>
      </w:r>
      <w:r>
        <w:rPr>
          <w:rFonts w:hint="eastAsia" w:ascii="宋体" w:hAnsi="宋体" w:cs="宋体"/>
          <w:color w:val="auto"/>
          <w:kern w:val="0"/>
          <w:sz w:val="24"/>
          <w:highlight w:val="none"/>
          <w:lang w:eastAsia="zh-CN"/>
        </w:rPr>
        <w:t>；（分支机构投标，须取得总公司（总所）出具给分支机构的授权书，并提供总公司（总所）和分支机构的营业执照</w:t>
      </w:r>
      <w:r>
        <w:rPr>
          <w:rFonts w:hint="eastAsia" w:ascii="宋体" w:hAnsi="宋体" w:cs="宋体"/>
          <w:color w:val="auto"/>
          <w:kern w:val="0"/>
          <w:sz w:val="24"/>
          <w:highlight w:val="none"/>
          <w:lang w:val="en-US" w:eastAsia="zh-CN"/>
        </w:rPr>
        <w:t>以及</w:t>
      </w:r>
      <w:r>
        <w:rPr>
          <w:rFonts w:hint="eastAsia" w:ascii="宋体" w:hAnsi="宋体" w:cs="宋体"/>
          <w:color w:val="auto"/>
          <w:kern w:val="0"/>
          <w:sz w:val="24"/>
          <w:highlight w:val="none"/>
        </w:rPr>
        <w:t>执业证书</w:t>
      </w:r>
      <w:r>
        <w:rPr>
          <w:rFonts w:hint="eastAsia" w:ascii="宋体" w:hAnsi="宋体" w:cs="宋体"/>
          <w:color w:val="auto"/>
          <w:kern w:val="0"/>
          <w:sz w:val="24"/>
          <w:highlight w:val="none"/>
          <w:lang w:eastAsia="zh-CN"/>
        </w:rPr>
        <w:t>扫描件。已由总公司（总所）授权的，总公司（总所）取得的相关资质证书对分支机构有效，法律法规或者行业另有规定的除外。）</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法人代表证明书及身份证明；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法定代表人授权书及身份证明；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拟派服务团队负责人（仅限一人）；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拟派服务团队成员（不含负责人）；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同类项目业绩；</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default" w:ascii="宋体" w:hAnsi="宋体" w:cs="宋体"/>
          <w:color w:val="auto"/>
          <w:sz w:val="24"/>
          <w:highlight w:val="none"/>
        </w:rPr>
        <w:t>服务承诺</w:t>
      </w:r>
      <w:r>
        <w:rPr>
          <w:rFonts w:hint="eastAsia" w:ascii="宋体" w:hAnsi="宋体" w:cs="宋体"/>
          <w:color w:val="auto"/>
          <w:sz w:val="24"/>
          <w:highlight w:val="none"/>
          <w:lang w:val="fr-CH"/>
        </w:rPr>
        <w:t>；</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企业诚信；</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投标人认为有必要提供的其他材料。</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color w:val="auto"/>
          <w:sz w:val="24"/>
          <w:highlight w:val="none"/>
          <w:lang w:val="fr-CH"/>
        </w:rPr>
      </w:pPr>
      <w:r>
        <w:rPr>
          <w:rFonts w:hint="eastAsia" w:ascii="宋体" w:hAnsi="宋体" w:cs="宋体"/>
          <w:color w:val="auto"/>
          <w:sz w:val="24"/>
          <w:highlight w:val="none"/>
          <w:lang w:val="fr-CH"/>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工作思路；</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质量保障措施及方案；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项目难点重点分析及相关的合理化建议；</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投标人认为有必要提供的其他材料。</w:t>
      </w:r>
    </w:p>
    <w:p>
      <w:pPr>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11"/>
        </w:numPr>
        <w:tabs>
          <w:tab w:val="left" w:pos="640"/>
          <w:tab w:val="clear" w:pos="425"/>
        </w:tabs>
        <w:ind w:left="625" w:hanging="625"/>
        <w:rPr>
          <w:rFonts w:hint="eastAsia" w:ascii="宋体" w:hAnsi="宋体" w:cs="宋体"/>
          <w:color w:val="auto"/>
          <w:sz w:val="24"/>
          <w:highlight w:val="none"/>
        </w:rPr>
      </w:pPr>
      <w:r>
        <w:rPr>
          <w:rFonts w:hint="eastAsia" w:ascii="宋体" w:hAnsi="宋体" w:cs="宋体"/>
          <w:color w:val="auto"/>
          <w:sz w:val="24"/>
          <w:highlight w:val="none"/>
        </w:rPr>
        <w:t>投标一览表；</w:t>
      </w:r>
    </w:p>
    <w:p>
      <w:pPr>
        <w:spacing w:line="360" w:lineRule="auto"/>
        <w:rPr>
          <w:rFonts w:hint="eastAsia"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投标一览表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24"/>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5" w:hRule="atLeast"/>
        </w:trPr>
        <w:tc>
          <w:tcPr>
            <w:tcW w:w="3484" w:type="dxa"/>
            <w:noWrap w:val="0"/>
            <w:vAlign w:val="center"/>
          </w:tcPr>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2896" w:type="dxa"/>
            <w:noWrap w:val="0"/>
            <w:vAlign w:val="center"/>
          </w:tcPr>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投标价</w:t>
            </w:r>
          </w:p>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（人民币）</w:t>
            </w:r>
          </w:p>
        </w:tc>
        <w:tc>
          <w:tcPr>
            <w:tcW w:w="1318" w:type="dxa"/>
            <w:noWrap w:val="0"/>
            <w:vAlign w:val="center"/>
          </w:tcPr>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auto"/>
                <w:sz w:val="24"/>
                <w:highlight w:val="none"/>
                <w:u w:val="single"/>
              </w:rPr>
            </w:pPr>
          </w:p>
        </w:tc>
        <w:tc>
          <w:tcPr>
            <w:tcW w:w="2896" w:type="dxa"/>
            <w:noWrap w:val="0"/>
            <w:vAlign w:val="center"/>
          </w:tcPr>
          <w:p>
            <w:pPr>
              <w:spacing w:line="360" w:lineRule="auto"/>
              <w:jc w:val="center"/>
              <w:rPr>
                <w:rFonts w:hint="eastAsia" w:ascii="宋体" w:hAnsi="宋体" w:cs="宋体"/>
                <w:color w:val="auto"/>
                <w:sz w:val="24"/>
                <w:highlight w:val="none"/>
                <w:u w:val="single"/>
              </w:rPr>
            </w:pPr>
          </w:p>
        </w:tc>
        <w:tc>
          <w:tcPr>
            <w:tcW w:w="1318" w:type="dxa"/>
            <w:noWrap w:val="0"/>
            <w:vAlign w:val="center"/>
          </w:tcPr>
          <w:p>
            <w:pPr>
              <w:spacing w:line="360" w:lineRule="auto"/>
              <w:jc w:val="center"/>
              <w:rPr>
                <w:rFonts w:hint="eastAsia" w:ascii="宋体" w:hAnsi="宋体" w:cs="宋体"/>
                <w:color w:val="auto"/>
                <w:sz w:val="24"/>
                <w:highlight w:val="none"/>
                <w:u w:val="single"/>
              </w:rPr>
            </w:pPr>
          </w:p>
        </w:tc>
      </w:tr>
    </w:tbl>
    <w:p>
      <w:pPr>
        <w:spacing w:line="360" w:lineRule="auto"/>
        <w:rPr>
          <w:rFonts w:hint="eastAsia"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10"/>
        <w:rPr>
          <w:rFonts w:hint="eastAsia"/>
          <w:color w:val="auto"/>
          <w:highlight w:val="none"/>
        </w:rPr>
      </w:pPr>
    </w:p>
    <w:p>
      <w:pPr>
        <w:numPr>
          <w:ilvl w:val="0"/>
          <w:numId w:val="11"/>
        </w:numPr>
        <w:tabs>
          <w:tab w:val="left" w:pos="640"/>
          <w:tab w:val="clear" w:pos="425"/>
        </w:tabs>
        <w:ind w:left="625" w:hanging="625"/>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分项报价清单；</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分项报价清单</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序号</w:t>
            </w:r>
          </w:p>
        </w:tc>
        <w:tc>
          <w:tcPr>
            <w:tcW w:w="2212" w:type="dxa"/>
            <w:noWrap w:val="0"/>
            <w:vAlign w:val="center"/>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项目名称、内容</w:t>
            </w:r>
          </w:p>
        </w:tc>
        <w:tc>
          <w:tcPr>
            <w:tcW w:w="720" w:type="dxa"/>
            <w:noWrap w:val="0"/>
            <w:vAlign w:val="center"/>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单位</w:t>
            </w:r>
          </w:p>
        </w:tc>
        <w:tc>
          <w:tcPr>
            <w:tcW w:w="1800" w:type="dxa"/>
            <w:noWrap w:val="0"/>
            <w:vAlign w:val="center"/>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数量（工作量）</w:t>
            </w:r>
          </w:p>
        </w:tc>
        <w:tc>
          <w:tcPr>
            <w:tcW w:w="1620" w:type="dxa"/>
            <w:noWrap w:val="0"/>
            <w:vAlign w:val="center"/>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单价</w:t>
            </w:r>
          </w:p>
        </w:tc>
        <w:tc>
          <w:tcPr>
            <w:tcW w:w="1620" w:type="dxa"/>
            <w:noWrap w:val="0"/>
            <w:vAlign w:val="center"/>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1</w:t>
            </w:r>
          </w:p>
        </w:tc>
        <w:tc>
          <w:tcPr>
            <w:tcW w:w="2212" w:type="dxa"/>
            <w:noWrap w:val="0"/>
            <w:vAlign w:val="center"/>
          </w:tcPr>
          <w:p>
            <w:pPr>
              <w:pStyle w:val="13"/>
              <w:spacing w:line="360" w:lineRule="auto"/>
              <w:jc w:val="center"/>
              <w:rPr>
                <w:rFonts w:hint="eastAsia" w:hAnsi="宋体" w:cs="宋体"/>
                <w:color w:val="auto"/>
                <w:sz w:val="24"/>
                <w:highlight w:val="none"/>
              </w:rPr>
            </w:pPr>
          </w:p>
        </w:tc>
        <w:tc>
          <w:tcPr>
            <w:tcW w:w="720" w:type="dxa"/>
            <w:noWrap w:val="0"/>
            <w:vAlign w:val="center"/>
          </w:tcPr>
          <w:p>
            <w:pPr>
              <w:pStyle w:val="13"/>
              <w:spacing w:line="360" w:lineRule="auto"/>
              <w:jc w:val="center"/>
              <w:rPr>
                <w:rFonts w:hint="eastAsia" w:hAnsi="宋体" w:cs="宋体"/>
                <w:color w:val="auto"/>
                <w:sz w:val="24"/>
                <w:highlight w:val="none"/>
              </w:rPr>
            </w:pPr>
          </w:p>
        </w:tc>
        <w:tc>
          <w:tcPr>
            <w:tcW w:w="180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3"/>
              <w:spacing w:line="360" w:lineRule="auto"/>
              <w:jc w:val="center"/>
              <w:rPr>
                <w:rFonts w:hint="eastAsia" w:hAnsi="宋体" w:cs="宋体"/>
                <w:color w:val="auto"/>
                <w:sz w:val="24"/>
                <w:highlight w:val="none"/>
              </w:rPr>
            </w:pPr>
          </w:p>
        </w:tc>
        <w:tc>
          <w:tcPr>
            <w:tcW w:w="180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3"/>
              <w:spacing w:line="360" w:lineRule="auto"/>
              <w:jc w:val="center"/>
              <w:rPr>
                <w:rFonts w:hint="eastAsia" w:hAnsi="宋体" w:cs="宋体"/>
                <w:color w:val="auto"/>
                <w:sz w:val="24"/>
                <w:highlight w:val="none"/>
              </w:rPr>
            </w:pPr>
          </w:p>
        </w:tc>
        <w:tc>
          <w:tcPr>
            <w:tcW w:w="180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3"/>
              <w:spacing w:line="360" w:lineRule="auto"/>
              <w:jc w:val="center"/>
              <w:rPr>
                <w:rFonts w:hint="eastAsia" w:hAnsi="宋体" w:cs="宋体"/>
                <w:color w:val="auto"/>
                <w:sz w:val="24"/>
                <w:highlight w:val="none"/>
              </w:rPr>
            </w:pPr>
          </w:p>
        </w:tc>
        <w:tc>
          <w:tcPr>
            <w:tcW w:w="180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3"/>
              <w:spacing w:line="360" w:lineRule="auto"/>
              <w:jc w:val="center"/>
              <w:rPr>
                <w:rFonts w:hint="eastAsia" w:hAnsi="宋体" w:cs="宋体"/>
                <w:color w:val="auto"/>
                <w:sz w:val="24"/>
                <w:highlight w:val="none"/>
              </w:rPr>
            </w:pPr>
          </w:p>
        </w:tc>
        <w:tc>
          <w:tcPr>
            <w:tcW w:w="180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3"/>
              <w:spacing w:line="360" w:lineRule="auto"/>
              <w:jc w:val="center"/>
              <w:rPr>
                <w:rFonts w:hint="eastAsia" w:hAnsi="宋体" w:cs="宋体"/>
                <w:color w:val="auto"/>
                <w:sz w:val="24"/>
                <w:highlight w:val="none"/>
              </w:rPr>
            </w:pPr>
          </w:p>
        </w:tc>
        <w:tc>
          <w:tcPr>
            <w:tcW w:w="180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3"/>
              <w:spacing w:line="360" w:lineRule="auto"/>
              <w:jc w:val="center"/>
              <w:rPr>
                <w:rFonts w:hint="eastAsia" w:hAnsi="宋体" w:cs="宋体"/>
                <w:color w:val="auto"/>
                <w:sz w:val="24"/>
                <w:highlight w:val="none"/>
              </w:rPr>
            </w:pPr>
          </w:p>
        </w:tc>
        <w:tc>
          <w:tcPr>
            <w:tcW w:w="180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3"/>
              <w:spacing w:line="360" w:lineRule="auto"/>
              <w:jc w:val="center"/>
              <w:rPr>
                <w:rFonts w:hint="eastAsia" w:hAnsi="宋体" w:cs="宋体"/>
                <w:color w:val="auto"/>
                <w:sz w:val="24"/>
                <w:highlight w:val="none"/>
              </w:rPr>
            </w:pPr>
          </w:p>
        </w:tc>
        <w:tc>
          <w:tcPr>
            <w:tcW w:w="180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3"/>
              <w:spacing w:line="360" w:lineRule="auto"/>
              <w:jc w:val="center"/>
              <w:rPr>
                <w:rFonts w:hint="eastAsia" w:hAnsi="宋体" w:cs="宋体"/>
                <w:color w:val="auto"/>
                <w:sz w:val="24"/>
                <w:highlight w:val="none"/>
              </w:rPr>
            </w:pPr>
          </w:p>
        </w:tc>
        <w:tc>
          <w:tcPr>
            <w:tcW w:w="180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w:t>
            </w:r>
          </w:p>
        </w:tc>
        <w:tc>
          <w:tcPr>
            <w:tcW w:w="2212" w:type="dxa"/>
            <w:noWrap w:val="0"/>
            <w:vAlign w:val="center"/>
          </w:tcPr>
          <w:p>
            <w:pPr>
              <w:pStyle w:val="13"/>
              <w:spacing w:line="360" w:lineRule="auto"/>
              <w:jc w:val="center"/>
              <w:rPr>
                <w:rFonts w:hint="eastAsia" w:hAnsi="宋体" w:cs="宋体"/>
                <w:color w:val="auto"/>
                <w:sz w:val="24"/>
                <w:highlight w:val="none"/>
              </w:rPr>
            </w:pPr>
            <w:r>
              <w:rPr>
                <w:rFonts w:hint="eastAsia" w:hAnsi="宋体" w:cs="宋体"/>
                <w:color w:val="auto"/>
                <w:sz w:val="24"/>
                <w:highlight w:val="none"/>
              </w:rPr>
              <w:t>…</w:t>
            </w:r>
          </w:p>
        </w:tc>
        <w:tc>
          <w:tcPr>
            <w:tcW w:w="720" w:type="dxa"/>
            <w:noWrap w:val="0"/>
            <w:vAlign w:val="center"/>
          </w:tcPr>
          <w:p>
            <w:pPr>
              <w:pStyle w:val="13"/>
              <w:spacing w:line="360" w:lineRule="auto"/>
              <w:jc w:val="center"/>
              <w:rPr>
                <w:rFonts w:hint="eastAsia" w:hAnsi="宋体" w:cs="宋体"/>
                <w:color w:val="auto"/>
                <w:sz w:val="24"/>
                <w:highlight w:val="none"/>
              </w:rPr>
            </w:pPr>
          </w:p>
        </w:tc>
        <w:tc>
          <w:tcPr>
            <w:tcW w:w="180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c>
          <w:tcPr>
            <w:tcW w:w="1620" w:type="dxa"/>
            <w:noWrap w:val="0"/>
            <w:vAlign w:val="center"/>
          </w:tcPr>
          <w:p>
            <w:pPr>
              <w:pStyle w:val="13"/>
              <w:spacing w:line="360" w:lineRule="auto"/>
              <w:jc w:val="center"/>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13"/>
              <w:spacing w:line="360" w:lineRule="auto"/>
              <w:rPr>
                <w:rFonts w:hint="eastAsia" w:hAnsi="宋体" w:cs="宋体"/>
                <w:color w:val="auto"/>
                <w:sz w:val="24"/>
                <w:highlight w:val="none"/>
              </w:rPr>
            </w:pPr>
            <w:r>
              <w:rPr>
                <w:rFonts w:hint="eastAsia" w:hAnsi="宋体" w:cs="宋体"/>
                <w:color w:val="auto"/>
                <w:sz w:val="24"/>
                <w:highlight w:val="none"/>
              </w:rPr>
              <w:t>报价合计</w:t>
            </w:r>
          </w:p>
        </w:tc>
      </w:tr>
    </w:tbl>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投标供应商授权代表： ________________________</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pacing w:line="360" w:lineRule="auto"/>
        <w:outlineLvl w:val="2"/>
        <w:rPr>
          <w:rFonts w:hint="eastAsia" w:ascii="宋体" w:hAnsi="宋体" w:cs="宋体"/>
          <w:b/>
          <w:bCs/>
          <w:color w:val="auto"/>
          <w:sz w:val="24"/>
          <w:highlight w:val="none"/>
          <w:u w:val="wav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投标响应书；</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投标响应书</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p>
    <w:p>
      <w:pPr>
        <w:spacing w:line="360" w:lineRule="auto"/>
        <w:ind w:firstLine="494" w:firstLineChars="206"/>
        <w:rPr>
          <w:rFonts w:hint="eastAsia"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项目采购的邀请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（招标文件编号         ），签字代表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（全名、职务）经正式授权并代表供应商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（供应商方名称、地址）提交</w:t>
      </w:r>
      <w:r>
        <w:rPr>
          <w:rFonts w:hint="eastAsia" w:ascii="宋体" w:hAnsi="宋体" w:cs="宋体"/>
          <w:b/>
          <w:color w:val="auto"/>
          <w:sz w:val="24"/>
          <w:highlight w:val="none"/>
        </w:rPr>
        <w:t>一份正本四份副本</w:t>
      </w:r>
      <w:r>
        <w:rPr>
          <w:rFonts w:hint="eastAsia" w:ascii="宋体" w:hAnsi="宋体" w:cs="宋体"/>
          <w:b/>
          <w:bCs/>
          <w:color w:val="auto"/>
          <w:sz w:val="24"/>
          <w:highlight w:val="none"/>
          <w:lang w:val="en-US" w:eastAsia="zh-CN"/>
        </w:rPr>
        <w:t>以及1份电子文档</w:t>
      </w:r>
      <w:r>
        <w:rPr>
          <w:rFonts w:hint="eastAsia" w:ascii="宋体" w:hAnsi="宋体" w:cs="宋体"/>
          <w:color w:val="auto"/>
          <w:sz w:val="24"/>
          <w:highlight w:val="none"/>
        </w:rPr>
        <w:t>投标文件。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据此函，签字代表宣布同意如下：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1、供应商方将按招标文件的规定履行合同责任和义务。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3、与本投标项目有关的一切正式往来通讯请寄：</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邮箱：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投标供应商授权代表、职务（印刷体）：</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投标供应商名称：</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（公  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pStyle w:val="10"/>
        <w:rPr>
          <w:rFonts w:hint="eastAsia"/>
          <w:color w:val="auto"/>
          <w:highlight w:val="none"/>
        </w:rPr>
      </w:pP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r>
        <w:rPr>
          <w:rFonts w:hint="eastAsia" w:ascii="宋体" w:hAnsi="宋体" w:cs="宋体"/>
          <w:color w:val="auto"/>
          <w:kern w:val="0"/>
          <w:sz w:val="24"/>
          <w:highlight w:val="none"/>
        </w:rPr>
        <w:t>投标人须具有</w:t>
      </w:r>
      <w:r>
        <w:rPr>
          <w:rFonts w:hint="eastAsia" w:ascii="宋体" w:hAnsi="宋体" w:cs="宋体"/>
          <w:color w:val="auto"/>
          <w:kern w:val="0"/>
          <w:sz w:val="24"/>
          <w:highlight w:val="none"/>
          <w:lang w:val="en-US" w:eastAsia="zh-CN"/>
        </w:rPr>
        <w:t>有效的</w:t>
      </w:r>
      <w:r>
        <w:rPr>
          <w:rFonts w:hint="eastAsia" w:ascii="宋体" w:hAnsi="宋体" w:cs="宋体"/>
          <w:color w:val="auto"/>
          <w:kern w:val="0"/>
          <w:sz w:val="24"/>
          <w:highlight w:val="none"/>
        </w:rPr>
        <w:t>财政部门颁发的《会计师事务所执业证书》（提供证明材料复印件，加盖投标人公章，原件备查）</w:t>
      </w:r>
      <w:r>
        <w:rPr>
          <w:rFonts w:hint="eastAsia" w:ascii="宋体" w:hAnsi="宋体" w:cs="宋体"/>
          <w:color w:val="auto"/>
          <w:kern w:val="0"/>
          <w:sz w:val="24"/>
          <w:highlight w:val="none"/>
          <w:lang w:eastAsia="zh-CN"/>
        </w:rPr>
        <w:t>；（分支机构投标，须取得总公司（总所）出具给分支机构的授权书，并提供总公司（总所）和分支机构的营业执照</w:t>
      </w:r>
      <w:r>
        <w:rPr>
          <w:rFonts w:hint="eastAsia" w:ascii="宋体" w:hAnsi="宋体" w:cs="宋体"/>
          <w:color w:val="auto"/>
          <w:kern w:val="0"/>
          <w:sz w:val="24"/>
          <w:highlight w:val="none"/>
          <w:lang w:val="en-US" w:eastAsia="zh-CN"/>
        </w:rPr>
        <w:t>以及</w:t>
      </w:r>
      <w:r>
        <w:rPr>
          <w:rFonts w:hint="eastAsia" w:ascii="宋体" w:hAnsi="宋体" w:cs="宋体"/>
          <w:color w:val="auto"/>
          <w:kern w:val="0"/>
          <w:sz w:val="24"/>
          <w:highlight w:val="none"/>
        </w:rPr>
        <w:t>执业证书</w:t>
      </w:r>
      <w:r>
        <w:rPr>
          <w:rFonts w:hint="eastAsia" w:ascii="宋体" w:hAnsi="宋体" w:cs="宋体"/>
          <w:color w:val="auto"/>
          <w:kern w:val="0"/>
          <w:sz w:val="24"/>
          <w:highlight w:val="none"/>
          <w:lang w:eastAsia="zh-CN"/>
        </w:rPr>
        <w:t>扫描件。已由总公司（总所）授权的，总公司（总所）取得的相关资质证书对分支机构有效，法律法规或者行业另有规定的除外。）</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政府采购投标及履约承诺函；</w:t>
      </w:r>
    </w:p>
    <w:p>
      <w:pPr>
        <w:spacing w:line="360" w:lineRule="auto"/>
        <w:jc w:val="center"/>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政府采购投标及履约承诺函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参与本项目投标前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及其法定代表人参与政府采购项目近三年内（投标人成立不足三年的可从成立之日起算）无行贿犯罪记录；</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符合财政部和深圳市财政局关于诚信管理的要求，</w:t>
      </w:r>
      <w:r>
        <w:rPr>
          <w:rFonts w:hint="eastAsia" w:ascii="宋体" w:hAnsi="宋体" w:cs="宋体"/>
          <w:color w:val="auto"/>
          <w:kern w:val="0"/>
          <w:sz w:val="24"/>
          <w:highlight w:val="none"/>
        </w:rPr>
        <w:t>至投标截止时间，我单位未有在“信用中国”网（www.creditchina.gov.cn）、中国政府采购网（www.ccgp.gov.cn）、深圳市政府采购监督管理网（zfcg.sz.gov.cn）和“国家企业信用信息公示系统（www.gsxt.gov.cn）等</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个官网中列入“失信被执行人、重大税收违法</w:t>
      </w:r>
      <w:r>
        <w:rPr>
          <w:rFonts w:hint="eastAsia" w:ascii="宋体" w:hAnsi="宋体" w:cs="宋体"/>
          <w:color w:val="auto"/>
          <w:kern w:val="0"/>
          <w:sz w:val="24"/>
          <w:highlight w:val="none"/>
          <w:lang w:eastAsia="zh-CN"/>
        </w:rPr>
        <w:t>失信主体</w:t>
      </w:r>
      <w:r>
        <w:rPr>
          <w:rFonts w:hint="eastAsia" w:ascii="宋体" w:hAnsi="宋体" w:cs="宋体"/>
          <w:color w:val="auto"/>
          <w:kern w:val="0"/>
          <w:sz w:val="24"/>
          <w:highlight w:val="none"/>
        </w:rPr>
        <w:t>、政府采购严重违法失信行为记录名单”</w:t>
      </w:r>
      <w:r>
        <w:rPr>
          <w:rFonts w:hint="eastAsia" w:ascii="宋体" w:hAnsi="宋体" w:cs="宋体"/>
          <w:color w:val="auto"/>
          <w:sz w:val="24"/>
          <w:highlight w:val="none"/>
        </w:rPr>
        <w:t>。</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以上承诺，如有违反，愿依照国家相关法律处理，并承担由此给采购人带来的损失。</w:t>
      </w:r>
    </w:p>
    <w:p>
      <w:pPr>
        <w:spacing w:line="360" w:lineRule="auto"/>
        <w:ind w:firstLine="480" w:firstLineChars="200"/>
        <w:rPr>
          <w:rFonts w:hint="eastAsia" w:ascii="宋体" w:hAnsi="宋体" w:cs="宋体"/>
          <w:color w:val="auto"/>
          <w:sz w:val="24"/>
          <w:highlight w:val="none"/>
        </w:rPr>
      </w:pPr>
    </w:p>
    <w:p>
      <w:pPr>
        <w:tabs>
          <w:tab w:val="left" w:pos="4860"/>
        </w:tabs>
        <w:adjustRightInd w:val="0"/>
        <w:snapToGrid w:val="0"/>
        <w:spacing w:line="360" w:lineRule="auto"/>
        <w:ind w:right="105" w:rightChars="5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auto"/>
          <w:sz w:val="24"/>
          <w:highlight w:val="none"/>
        </w:rPr>
      </w:pPr>
      <w:r>
        <w:rPr>
          <w:rFonts w:hint="eastAsia" w:ascii="宋体" w:hAnsi="宋体" w:cs="宋体"/>
          <w:color w:val="auto"/>
          <w:sz w:val="24"/>
          <w:highlight w:val="none"/>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hAnsi="宋体" w:cs="宋体"/>
          <w:color w:val="auto"/>
          <w:highlight w:val="none"/>
        </w:rPr>
        <w:br w:type="page"/>
      </w:r>
      <w:r>
        <w:rPr>
          <w:rFonts w:hint="eastAsia" w:ascii="宋体" w:hAnsi="宋体" w:cs="宋体"/>
          <w:color w:val="auto"/>
          <w:sz w:val="24"/>
          <w:highlight w:val="none"/>
        </w:rPr>
        <w:t>关于资格的声明函；</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关于资格的声明函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u w:val="single"/>
        </w:rPr>
        <w:t xml:space="preserve"> （ 投标人名称）    </w:t>
      </w:r>
      <w:r>
        <w:rPr>
          <w:rFonts w:hint="eastAsia" w:ascii="宋体" w:hAnsi="宋体" w:cs="宋体"/>
          <w:color w:val="auto"/>
          <w:sz w:val="24"/>
          <w:highlight w:val="none"/>
        </w:rPr>
        <w:t xml:space="preserve"> 参与了</w:t>
      </w:r>
      <w:r>
        <w:rPr>
          <w:rFonts w:hint="eastAsia" w:ascii="宋体" w:hAnsi="宋体" w:cs="宋体"/>
          <w:color w:val="auto"/>
          <w:sz w:val="24"/>
          <w:highlight w:val="none"/>
          <w:u w:val="single"/>
        </w:rPr>
        <w:t xml:space="preserve"> （项目名称 、招标编号） </w:t>
      </w:r>
      <w:r>
        <w:rPr>
          <w:rFonts w:hint="eastAsia" w:ascii="宋体" w:hAnsi="宋体" w:cs="宋体"/>
          <w:color w:val="auto"/>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left="420"/>
        <w:rPr>
          <w:rFonts w:hint="eastAsia" w:ascii="宋体" w:hAnsi="宋体" w:cs="宋体"/>
          <w:color w:val="auto"/>
          <w:sz w:val="24"/>
          <w:highlight w:val="none"/>
        </w:rPr>
      </w:pPr>
    </w:p>
    <w:p>
      <w:pPr>
        <w:tabs>
          <w:tab w:val="left" w:pos="4860"/>
        </w:tabs>
        <w:adjustRightInd w:val="0"/>
        <w:snapToGrid w:val="0"/>
        <w:spacing w:line="360" w:lineRule="auto"/>
        <w:ind w:right="105" w:rightChars="50"/>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法</w:t>
      </w:r>
      <w:r>
        <w:rPr>
          <w:rFonts w:ascii="宋体" w:hAnsi="宋体" w:cs="宋体"/>
          <w:color w:val="auto"/>
          <w:sz w:val="24"/>
          <w:highlight w:val="none"/>
        </w:rPr>
        <w:t>定代表</w:t>
      </w:r>
      <w:r>
        <w:rPr>
          <w:rFonts w:hint="eastAsia" w:ascii="宋体" w:hAnsi="宋体" w:cs="宋体"/>
          <w:color w:val="auto"/>
          <w:sz w:val="24"/>
          <w:highlight w:val="none"/>
          <w:lang w:val="fr-CH"/>
        </w:rPr>
        <w:t>人证明书及身份证明；</w:t>
      </w:r>
    </w:p>
    <w:p>
      <w:pPr>
        <w:spacing w:before="120" w:after="120" w:line="360" w:lineRule="auto"/>
        <w:jc w:val="center"/>
        <w:rPr>
          <w:rFonts w:hint="eastAsia" w:ascii="宋体" w:hAnsi="宋体" w:cs="宋体"/>
          <w:b/>
          <w:color w:val="auto"/>
          <w:sz w:val="24"/>
          <w:highlight w:val="none"/>
        </w:rPr>
      </w:pPr>
    </w:p>
    <w:p>
      <w:pPr>
        <w:spacing w:before="120" w:after="120" w:line="360" w:lineRule="auto"/>
        <w:jc w:val="center"/>
        <w:rPr>
          <w:rFonts w:hint="eastAsia" w:ascii="宋体" w:hAnsi="宋体" w:cs="宋体"/>
          <w:color w:val="auto"/>
          <w:sz w:val="24"/>
          <w:highlight w:val="none"/>
          <w:u w:val="single"/>
        </w:rPr>
      </w:pPr>
      <w:r>
        <w:rPr>
          <w:rFonts w:hint="eastAsia" w:ascii="宋体" w:hAnsi="宋体" w:cs="宋体"/>
          <w:b/>
          <w:color w:val="auto"/>
          <w:sz w:val="24"/>
          <w:highlight w:val="none"/>
        </w:rPr>
        <w:t>法定代表人证明书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同志，现任我单位职务，为法定代表人，特此证明。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签发日期：             有效日期：         单位：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附：代表人性别：   年龄：      身份证号码：</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营业执照号码：                 经济性质：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主营（产）：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兼营（产）：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进口物品经营许可证号码：</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主营：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兼营：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说明：1、法定代表人为企业事业单位、国家机关、社会团体的主要行政负责人。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2、内容必须填写真实、清楚，涂改无效，不得转让、买卖.</w:t>
      </w:r>
    </w:p>
    <w:p>
      <w:pPr>
        <w:tabs>
          <w:tab w:val="left" w:pos="37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法定代表人（签字或签章）：</w:t>
      </w:r>
    </w:p>
    <w:p>
      <w:pPr>
        <w:spacing w:before="120" w:after="120"/>
        <w:jc w:val="left"/>
        <w:rPr>
          <w:rFonts w:hint="eastAsia" w:ascii="宋体" w:hAnsi="宋体" w:cs="宋体"/>
          <w:color w:val="auto"/>
          <w:szCs w:val="21"/>
          <w:highlight w:val="none"/>
        </w:rPr>
      </w:pPr>
    </w:p>
    <w:p>
      <w:pPr>
        <w:spacing w:before="120" w:after="120"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13"/>
              <w:spacing w:line="360" w:lineRule="auto"/>
              <w:rPr>
                <w:rFonts w:ascii="Arial Narrow" w:hAnsi="Arial Narrow"/>
                <w:b/>
                <w:bCs/>
                <w:color w:val="auto"/>
                <w:szCs w:val="21"/>
                <w:highlight w:val="none"/>
              </w:rPr>
            </w:pPr>
          </w:p>
        </w:tc>
        <w:tc>
          <w:tcPr>
            <w:tcW w:w="4240" w:type="dxa"/>
            <w:noWrap w:val="0"/>
            <w:vAlign w:val="top"/>
          </w:tcPr>
          <w:p>
            <w:pPr>
              <w:pStyle w:val="13"/>
              <w:spacing w:line="360" w:lineRule="auto"/>
              <w:rPr>
                <w:rFonts w:ascii="Arial Narrow" w:hAnsi="Arial Narrow"/>
                <w:b/>
                <w:bCs/>
                <w:color w:val="auto"/>
                <w:szCs w:val="21"/>
                <w:highlight w:val="none"/>
              </w:rPr>
            </w:pPr>
          </w:p>
        </w:tc>
      </w:tr>
    </w:tbl>
    <w:p>
      <w:pPr>
        <w:pStyle w:val="10"/>
        <w:rPr>
          <w:rFonts w:hint="eastAsia"/>
          <w:color w:val="auto"/>
          <w:highlight w:val="none"/>
          <w:lang w:val="fr-CH"/>
        </w:rPr>
      </w:pP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法定代表人授权书及身份证明；</w:t>
      </w:r>
    </w:p>
    <w:p>
      <w:pPr>
        <w:pStyle w:val="13"/>
        <w:spacing w:line="360" w:lineRule="auto"/>
        <w:jc w:val="center"/>
        <w:rPr>
          <w:rFonts w:hint="eastAsia" w:hAnsi="宋体" w:cs="宋体"/>
          <w:b/>
          <w:color w:val="auto"/>
          <w:sz w:val="24"/>
          <w:highlight w:val="none"/>
        </w:rPr>
      </w:pPr>
    </w:p>
    <w:p>
      <w:pPr>
        <w:pStyle w:val="13"/>
        <w:spacing w:line="360" w:lineRule="auto"/>
        <w:jc w:val="center"/>
        <w:rPr>
          <w:rFonts w:hint="eastAsia" w:hAnsi="宋体" w:cs="宋体"/>
          <w:b/>
          <w:color w:val="auto"/>
          <w:sz w:val="24"/>
          <w:highlight w:val="none"/>
        </w:rPr>
      </w:pPr>
      <w:r>
        <w:rPr>
          <w:rFonts w:hint="eastAsia" w:hAnsi="宋体" w:cs="宋体"/>
          <w:b/>
          <w:color w:val="auto"/>
          <w:sz w:val="24"/>
          <w:highlight w:val="none"/>
        </w:rPr>
        <w:t>法定代表人授权书</w:t>
      </w:r>
    </w:p>
    <w:p>
      <w:pPr>
        <w:pStyle w:val="13"/>
        <w:spacing w:line="360" w:lineRule="auto"/>
        <w:rPr>
          <w:rFonts w:hint="eastAsia" w:hAnsi="宋体" w:cs="宋体"/>
          <w:color w:val="auto"/>
          <w:sz w:val="24"/>
          <w:highlight w:val="none"/>
        </w:rPr>
      </w:pPr>
    </w:p>
    <w:p>
      <w:pPr>
        <w:pStyle w:val="13"/>
        <w:spacing w:line="360" w:lineRule="auto"/>
        <w:rPr>
          <w:rFonts w:hAnsi="宋体" w:cs="宋体"/>
          <w:color w:val="auto"/>
          <w:sz w:val="24"/>
          <w:highlight w:val="none"/>
        </w:rPr>
      </w:pPr>
      <w:r>
        <w:rPr>
          <w:rFonts w:hint="eastAsia" w:hAnsi="宋体" w:cs="宋体"/>
          <w:b/>
          <w:color w:val="auto"/>
          <w:sz w:val="24"/>
          <w:highlight w:val="none"/>
        </w:rPr>
        <w:t>深圳市前海深港现代服务业合作区管理局：</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本授权书声明：注册于</w:t>
      </w:r>
      <w:r>
        <w:rPr>
          <w:rFonts w:hint="eastAsia" w:hAnsi="宋体" w:cs="宋体"/>
          <w:color w:val="auto"/>
          <w:sz w:val="24"/>
          <w:highlight w:val="none"/>
          <w:u w:val="single"/>
        </w:rPr>
        <w:t xml:space="preserve">     </w:t>
      </w:r>
      <w:r>
        <w:rPr>
          <w:rFonts w:hint="eastAsia" w:hAnsi="宋体" w:cs="宋体"/>
          <w:color w:val="auto"/>
          <w:sz w:val="24"/>
          <w:highlight w:val="none"/>
        </w:rPr>
        <w:t>（国家或地区）的</w:t>
      </w:r>
      <w:r>
        <w:rPr>
          <w:rFonts w:hint="eastAsia" w:hAnsi="宋体" w:cs="宋体"/>
          <w:color w:val="auto"/>
          <w:sz w:val="24"/>
          <w:highlight w:val="none"/>
          <w:u w:val="single"/>
        </w:rPr>
        <w:t xml:space="preserve">     </w:t>
      </w:r>
      <w:r>
        <w:rPr>
          <w:rFonts w:hint="eastAsia" w:hAnsi="宋体" w:cs="宋体"/>
          <w:color w:val="auto"/>
          <w:sz w:val="24"/>
          <w:highlight w:val="none"/>
        </w:rPr>
        <w:t>（投标人名称）的在下面签字的</w:t>
      </w:r>
      <w:r>
        <w:rPr>
          <w:rFonts w:hint="eastAsia" w:hAnsi="宋体" w:cs="宋体"/>
          <w:color w:val="auto"/>
          <w:sz w:val="24"/>
          <w:highlight w:val="none"/>
          <w:u w:val="single"/>
        </w:rPr>
        <w:t xml:space="preserve">     </w:t>
      </w:r>
      <w:r>
        <w:rPr>
          <w:rFonts w:hint="eastAsia" w:hAnsi="宋体" w:cs="宋体"/>
          <w:color w:val="auto"/>
          <w:sz w:val="24"/>
          <w:highlight w:val="none"/>
        </w:rPr>
        <w:t xml:space="preserve"> （法定代表人姓名、职务）代表本公司授权在下面签字的</w:t>
      </w:r>
      <w:r>
        <w:rPr>
          <w:rFonts w:hint="eastAsia" w:hAnsi="宋体" w:cs="宋体"/>
          <w:color w:val="auto"/>
          <w:sz w:val="24"/>
          <w:highlight w:val="none"/>
          <w:u w:val="single"/>
        </w:rPr>
        <w:t xml:space="preserve">     </w:t>
      </w:r>
      <w:r>
        <w:rPr>
          <w:rFonts w:hint="eastAsia" w:hAnsi="宋体" w:cs="宋体"/>
          <w:color w:val="auto"/>
          <w:sz w:val="24"/>
          <w:highlight w:val="none"/>
        </w:rPr>
        <w:t>（被授权人的姓名、职务）为本公司的合法代表人，就</w:t>
      </w:r>
      <w:r>
        <w:rPr>
          <w:rFonts w:hint="eastAsia" w:hAnsi="宋体" w:cs="宋体"/>
          <w:color w:val="auto"/>
          <w:sz w:val="24"/>
          <w:highlight w:val="none"/>
          <w:u w:val="single"/>
        </w:rPr>
        <w:t xml:space="preserve">       </w:t>
      </w:r>
      <w:r>
        <w:rPr>
          <w:rFonts w:hint="eastAsia" w:hAnsi="宋体" w:cs="宋体"/>
          <w:color w:val="auto"/>
          <w:sz w:val="24"/>
          <w:highlight w:val="none"/>
        </w:rPr>
        <w:t>[招标编号为：</w:t>
      </w:r>
      <w:r>
        <w:rPr>
          <w:rFonts w:hint="eastAsia" w:hAnsi="宋体" w:cs="宋体"/>
          <w:color w:val="auto"/>
          <w:sz w:val="24"/>
          <w:highlight w:val="none"/>
          <w:u w:val="single"/>
        </w:rPr>
        <w:t xml:space="preserve">     </w:t>
      </w:r>
      <w:r>
        <w:rPr>
          <w:rFonts w:hint="eastAsia" w:hAnsi="宋体" w:cs="宋体"/>
          <w:color w:val="auto"/>
          <w:sz w:val="24"/>
          <w:highlight w:val="none"/>
        </w:rPr>
        <w:t>]的投标和合同执行，以我方的名义处理一切与之有关的事宜。</w:t>
      </w:r>
    </w:p>
    <w:p>
      <w:pPr>
        <w:pStyle w:val="13"/>
        <w:spacing w:line="360" w:lineRule="auto"/>
        <w:rPr>
          <w:rFonts w:hint="eastAsia" w:hAnsi="宋体" w:cs="宋体"/>
          <w:color w:val="auto"/>
          <w:sz w:val="24"/>
          <w:highlight w:val="none"/>
        </w:rPr>
      </w:pPr>
    </w:p>
    <w:p>
      <w:pPr>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法定代表人（签字或签章）：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被授权人代表（签字或签章）：</w:t>
      </w:r>
    </w:p>
    <w:p>
      <w:pPr>
        <w:tabs>
          <w:tab w:val="left" w:pos="640"/>
          <w:tab w:val="left" w:pos="1260"/>
          <w:tab w:val="left" w:pos="1418"/>
        </w:tabs>
        <w:spacing w:line="360" w:lineRule="auto"/>
        <w:rPr>
          <w:rFonts w:hint="eastAsia" w:ascii="宋体" w:hAnsi="宋体" w:cs="宋体"/>
          <w:b/>
          <w:color w:val="auto"/>
          <w:sz w:val="24"/>
          <w:highlight w:val="none"/>
        </w:rPr>
      </w:pPr>
    </w:p>
    <w:p>
      <w:pPr>
        <w:tabs>
          <w:tab w:val="left" w:pos="640"/>
          <w:tab w:val="left" w:pos="1260"/>
          <w:tab w:val="left" w:pos="1418"/>
        </w:tabs>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13"/>
              <w:spacing w:line="360" w:lineRule="auto"/>
              <w:rPr>
                <w:rFonts w:ascii="Arial Narrow" w:hAnsi="Arial Narrow"/>
                <w:b/>
                <w:bCs/>
                <w:color w:val="auto"/>
                <w:szCs w:val="21"/>
                <w:highlight w:val="none"/>
              </w:rPr>
            </w:pPr>
          </w:p>
        </w:tc>
        <w:tc>
          <w:tcPr>
            <w:tcW w:w="4677" w:type="dxa"/>
            <w:noWrap w:val="0"/>
            <w:vAlign w:val="top"/>
          </w:tcPr>
          <w:p>
            <w:pPr>
              <w:pStyle w:val="13"/>
              <w:spacing w:line="360" w:lineRule="auto"/>
              <w:rPr>
                <w:rFonts w:ascii="Arial Narrow" w:hAnsi="Arial Narrow"/>
                <w:b/>
                <w:bCs/>
                <w:color w:val="auto"/>
                <w:szCs w:val="21"/>
                <w:highlight w:val="none"/>
              </w:rPr>
            </w:pPr>
          </w:p>
        </w:tc>
      </w:tr>
    </w:tbl>
    <w:p>
      <w:pPr>
        <w:tabs>
          <w:tab w:val="left" w:pos="640"/>
          <w:tab w:val="left" w:pos="1260"/>
          <w:tab w:val="left" w:pos="1418"/>
        </w:tabs>
        <w:spacing w:line="360" w:lineRule="auto"/>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p>
    <w:p>
      <w:pPr>
        <w:numPr>
          <w:ilvl w:val="0"/>
          <w:numId w:val="12"/>
        </w:numPr>
        <w:tabs>
          <w:tab w:val="left" w:pos="640"/>
          <w:tab w:val="left" w:pos="1260"/>
          <w:tab w:val="left" w:pos="1418"/>
        </w:tabs>
        <w:spacing w:line="360" w:lineRule="auto"/>
        <w:ind w:left="640" w:hanging="640"/>
        <w:rPr>
          <w:rFonts w:hint="eastAsia" w:ascii="宋体" w:hAnsi="宋体" w:cs="宋体"/>
          <w:color w:val="auto"/>
          <w:sz w:val="24"/>
          <w:highlight w:val="none"/>
          <w:lang w:val="fr-CH"/>
        </w:rPr>
      </w:pPr>
      <w:r>
        <w:rPr>
          <w:rFonts w:hint="eastAsia" w:ascii="宋体" w:hAnsi="宋体" w:cs="宋体"/>
          <w:color w:val="auto"/>
          <w:sz w:val="24"/>
          <w:highlight w:val="none"/>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auto"/>
          <w:sz w:val="24"/>
          <w:highlight w:val="none"/>
          <w:lang w:val="fr-CH"/>
        </w:rPr>
      </w:pPr>
    </w:p>
    <w:p>
      <w:pPr>
        <w:widowControl/>
        <w:autoSpaceDE w:val="0"/>
        <w:autoSpaceDN w:val="0"/>
        <w:spacing w:line="360" w:lineRule="auto"/>
        <w:ind w:left="359" w:right="26" w:hanging="357"/>
        <w:jc w:val="center"/>
        <w:textAlignment w:val="bottom"/>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致：中国远东国际招标有限公司</w:t>
      </w:r>
    </w:p>
    <w:p>
      <w:pPr>
        <w:widowControl/>
        <w:autoSpaceDE w:val="0"/>
        <w:autoSpaceDN w:val="0"/>
        <w:spacing w:line="360" w:lineRule="auto"/>
        <w:ind w:right="26" w:firstLine="540"/>
        <w:textAlignment w:val="bottom"/>
        <w:rPr>
          <w:rFonts w:hint="eastAsia" w:ascii="宋体" w:hAnsi="宋体" w:cs="宋体"/>
          <w:color w:val="auto"/>
          <w:sz w:val="24"/>
          <w:highlight w:val="none"/>
        </w:rPr>
      </w:pPr>
      <w:r>
        <w:rPr>
          <w:rFonts w:hint="eastAsia" w:ascii="宋体" w:hAnsi="宋体" w:cs="宋体"/>
          <w:color w:val="auto"/>
          <w:sz w:val="24"/>
          <w:highlight w:val="none"/>
        </w:rPr>
        <w:t>我们在贵司代理的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auto"/>
          <w:sz w:val="24"/>
          <w:highlight w:val="none"/>
          <w:u w:val="single"/>
        </w:rPr>
        <w:t>招标文件中的规定</w:t>
      </w:r>
      <w:r>
        <w:rPr>
          <w:rFonts w:hint="eastAsia" w:ascii="宋体" w:hAnsi="宋体" w:cs="宋体"/>
          <w:color w:val="auto"/>
          <w:sz w:val="24"/>
          <w:highlight w:val="none"/>
        </w:rPr>
        <w:t>计算。</w:t>
      </w:r>
    </w:p>
    <w:p>
      <w:pPr>
        <w:widowControl/>
        <w:autoSpaceDE w:val="0"/>
        <w:autoSpaceDN w:val="0"/>
        <w:spacing w:line="360" w:lineRule="auto"/>
        <w:ind w:right="26" w:firstLine="540"/>
        <w:textAlignment w:val="bottom"/>
        <w:rPr>
          <w:rFonts w:hint="eastAsia" w:ascii="宋体" w:hAnsi="宋体" w:cs="宋体"/>
          <w:color w:val="auto"/>
          <w:sz w:val="24"/>
          <w:highlight w:val="none"/>
        </w:rPr>
      </w:pPr>
      <w:r>
        <w:rPr>
          <w:rFonts w:hint="eastAsia" w:ascii="宋体" w:hAnsi="宋体" w:cs="宋体"/>
          <w:color w:val="auto"/>
          <w:sz w:val="24"/>
          <w:highlight w:val="none"/>
        </w:rPr>
        <w:t>特此承诺。</w:t>
      </w:r>
    </w:p>
    <w:p>
      <w:pPr>
        <w:tabs>
          <w:tab w:val="left" w:pos="3780"/>
        </w:tabs>
        <w:spacing w:line="360" w:lineRule="auto"/>
        <w:jc w:val="left"/>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投标供应商地址：</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电话：         </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传真：</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10"/>
        <w:rPr>
          <w:rFonts w:hint="eastAsia"/>
          <w:color w:val="auto"/>
          <w:highlight w:val="none"/>
          <w:lang w:val="fr-CH"/>
        </w:rPr>
      </w:pPr>
    </w:p>
    <w:p>
      <w:pPr>
        <w:tabs>
          <w:tab w:val="left" w:pos="640"/>
          <w:tab w:val="left" w:pos="1260"/>
          <w:tab w:val="left" w:pos="1418"/>
        </w:tabs>
        <w:spacing w:line="360" w:lineRule="auto"/>
        <w:rPr>
          <w:rFonts w:hint="eastAsia" w:ascii="宋体" w:hAnsi="宋体" w:cs="宋体"/>
          <w:color w:val="auto"/>
          <w:sz w:val="24"/>
          <w:highlight w:val="none"/>
          <w:lang w:val="fr-CH"/>
        </w:rPr>
      </w:pP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rPr>
        <w:t>供应商</w:t>
      </w:r>
      <w:r>
        <w:rPr>
          <w:rFonts w:hint="eastAsia" w:ascii="宋体" w:hAnsi="宋体" w:cs="宋体"/>
          <w:color w:val="auto"/>
          <w:sz w:val="24"/>
          <w:highlight w:val="none"/>
          <w:lang w:val="fr-CH"/>
        </w:rPr>
        <w:t>简介；</w:t>
      </w:r>
    </w:p>
    <w:p>
      <w:pPr>
        <w:pStyle w:val="13"/>
        <w:spacing w:line="360" w:lineRule="auto"/>
        <w:jc w:val="center"/>
        <w:rPr>
          <w:rFonts w:hint="eastAsia" w:hAnsi="宋体" w:cs="宋体"/>
          <w:b/>
          <w:bCs/>
          <w:color w:val="auto"/>
          <w:sz w:val="24"/>
          <w:highlight w:val="none"/>
        </w:rPr>
      </w:pPr>
      <w:r>
        <w:rPr>
          <w:rFonts w:hint="eastAsia" w:hAnsi="宋体" w:cs="宋体"/>
          <w:b/>
          <w:bCs/>
          <w:color w:val="auto"/>
          <w:sz w:val="24"/>
          <w:highlight w:val="none"/>
        </w:rPr>
        <w:t>供应商基本情况一览表</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1．名称及概况：</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（1）供应商名称：_______________________________________</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（2）地址：______________________________________________</w:t>
      </w:r>
    </w:p>
    <w:p>
      <w:pPr>
        <w:pStyle w:val="13"/>
        <w:spacing w:line="360" w:lineRule="auto"/>
        <w:ind w:firstLine="660" w:firstLineChars="275"/>
        <w:rPr>
          <w:rFonts w:hint="eastAsia" w:hAnsi="宋体" w:cs="宋体"/>
          <w:color w:val="auto"/>
          <w:sz w:val="24"/>
          <w:highlight w:val="none"/>
        </w:rPr>
      </w:pPr>
      <w:r>
        <w:rPr>
          <w:rFonts w:hint="eastAsia" w:hAnsi="宋体" w:cs="宋体"/>
          <w:color w:val="auto"/>
          <w:sz w:val="24"/>
          <w:highlight w:val="none"/>
        </w:rPr>
        <w:t xml:space="preserve">   邮政编码：___________________________________________</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电话号码：___________________________________________ </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传真号码：___________________________________________ </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（3）成立和／或注册日期：_________________________________</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（4）法人代表：___________________________________________</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（5）开户银行：___________________________________________</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（6）开户帐号：___________________________________________</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（7）注册资金：___________________________________________</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（8）近两年财务基本情况</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①货币资金期末数：_____________________________________</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③年营业总额（值）：___________________________________</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③资产负债率：_________________________________________</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④销售利润率：_________________________________________</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⑤资本收益率：_________________________________________</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（9）项目主要联系人（姓名、职务、通讯）：</w:t>
      </w:r>
    </w:p>
    <w:p>
      <w:pPr>
        <w:pStyle w:val="13"/>
        <w:spacing w:line="360" w:lineRule="auto"/>
        <w:rPr>
          <w:rFonts w:hint="eastAsia" w:hAnsi="宋体" w:cs="宋体"/>
          <w:color w:val="auto"/>
          <w:sz w:val="24"/>
          <w:highlight w:val="none"/>
        </w:rPr>
      </w:pPr>
      <w:r>
        <w:rPr>
          <w:rFonts w:hint="eastAsia" w:hAnsi="宋体" w:cs="宋体"/>
          <w:color w:val="auto"/>
          <w:sz w:val="24"/>
          <w:highlight w:val="none"/>
        </w:rPr>
        <w:t>_____________________________________________________________________</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（10）公司概况；</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（11）公司组织机构；</w:t>
      </w:r>
    </w:p>
    <w:p>
      <w:pPr>
        <w:pStyle w:val="13"/>
        <w:spacing w:line="360" w:lineRule="auto"/>
        <w:ind w:firstLine="420"/>
        <w:rPr>
          <w:rFonts w:hint="eastAsia" w:hAnsi="宋体" w:cs="宋体"/>
          <w:color w:val="auto"/>
          <w:sz w:val="24"/>
          <w:highlight w:val="none"/>
        </w:rPr>
      </w:pPr>
      <w:r>
        <w:rPr>
          <w:rFonts w:hint="eastAsia" w:hAnsi="宋体" w:cs="宋体"/>
          <w:color w:val="auto"/>
          <w:sz w:val="24"/>
          <w:highlight w:val="none"/>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10"/>
        <w:rPr>
          <w:rFonts w:hint="eastAsia"/>
          <w:color w:val="auto"/>
          <w:highlight w:val="none"/>
          <w:lang w:val="fr-CH"/>
        </w:rPr>
      </w:pPr>
    </w:p>
    <w:p>
      <w:pPr>
        <w:numPr>
          <w:ilvl w:val="0"/>
          <w:numId w:val="12"/>
        </w:numPr>
        <w:tabs>
          <w:tab w:val="left" w:pos="640"/>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拟派服务团队负责人（仅限一人）</w:t>
      </w:r>
      <w:r>
        <w:rPr>
          <w:rFonts w:hint="eastAsia" w:ascii="宋体" w:hAnsi="宋体" w:cs="宋体"/>
          <w:color w:val="auto"/>
          <w:sz w:val="24"/>
          <w:highlight w:val="none"/>
        </w:rPr>
        <w:t>；</w:t>
      </w:r>
    </w:p>
    <w:p>
      <w:pPr>
        <w:numPr>
          <w:ilvl w:val="0"/>
          <w:numId w:val="12"/>
        </w:numPr>
        <w:tabs>
          <w:tab w:val="left" w:pos="640"/>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拟派服务团队成员（不含负责人）</w:t>
      </w:r>
      <w:r>
        <w:rPr>
          <w:rFonts w:hint="eastAsia" w:ascii="宋体" w:hAnsi="宋体" w:cs="宋体"/>
          <w:color w:val="auto"/>
          <w:sz w:val="24"/>
          <w:highlight w:val="none"/>
        </w:rPr>
        <w:t>；</w:t>
      </w:r>
    </w:p>
    <w:p>
      <w:pPr>
        <w:numPr>
          <w:ilvl w:val="0"/>
          <w:numId w:val="12"/>
        </w:numPr>
        <w:tabs>
          <w:tab w:val="left" w:pos="640"/>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同类项目业绩</w:t>
      </w:r>
      <w:r>
        <w:rPr>
          <w:rFonts w:hint="eastAsia" w:ascii="宋体" w:hAnsi="宋体" w:cs="宋体"/>
          <w:color w:val="auto"/>
          <w:sz w:val="24"/>
          <w:highlight w:val="none"/>
        </w:rPr>
        <w:t>；</w:t>
      </w:r>
    </w:p>
    <w:p>
      <w:pPr>
        <w:numPr>
          <w:ilvl w:val="0"/>
          <w:numId w:val="12"/>
        </w:numPr>
        <w:tabs>
          <w:tab w:val="left" w:pos="640"/>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lang w:val="en-US" w:eastAsia="zh-CN"/>
        </w:rPr>
        <w:t>服务承诺</w:t>
      </w:r>
      <w:r>
        <w:rPr>
          <w:rFonts w:hint="eastAsia" w:ascii="宋体" w:hAnsi="宋体" w:cs="宋体"/>
          <w:color w:val="auto"/>
          <w:sz w:val="24"/>
          <w:highlight w:val="none"/>
        </w:rPr>
        <w:t>；</w:t>
      </w:r>
    </w:p>
    <w:p>
      <w:pPr>
        <w:tabs>
          <w:tab w:val="left" w:pos="640"/>
          <w:tab w:val="left" w:pos="1260"/>
          <w:tab w:val="left" w:pos="1418"/>
        </w:tabs>
        <w:jc w:val="center"/>
        <w:rPr>
          <w:rFonts w:hint="eastAsia" w:ascii="宋体" w:hAnsi="宋体" w:cs="宋体"/>
          <w:b/>
          <w:bCs/>
          <w:color w:val="auto"/>
          <w:szCs w:val="21"/>
          <w:highlight w:val="none"/>
        </w:rPr>
      </w:pPr>
    </w:p>
    <w:p>
      <w:pPr>
        <w:tabs>
          <w:tab w:val="left" w:pos="640"/>
          <w:tab w:val="left" w:pos="1260"/>
          <w:tab w:val="left" w:pos="1418"/>
        </w:tabs>
        <w:jc w:val="center"/>
        <w:rPr>
          <w:rFonts w:hint="eastAsia"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b/>
          <w:bCs/>
          <w:color w:val="auto"/>
          <w:sz w:val="24"/>
          <w:highlight w:val="none"/>
          <w:lang w:val="fr-CH"/>
        </w:rPr>
        <w:t>企业诚信；</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企业诚信声明与承诺</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中国远东国际招标有限公司：</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  我公司参与贵代理机构组织的项目（项目编号：）投标，现就企业诚信作如下声明与承诺：</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我司对上述内容的真实性负责。如有虚假，将依法承担相应责任。</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特此声明与承诺！</w:t>
      </w:r>
    </w:p>
    <w:p>
      <w:pPr>
        <w:spacing w:line="360" w:lineRule="auto"/>
        <w:jc w:val="left"/>
        <w:rPr>
          <w:rFonts w:hint="eastAsia" w:ascii="宋体" w:hAnsi="宋体" w:cs="宋体"/>
          <w:color w:val="auto"/>
          <w:sz w:val="24"/>
          <w:highlight w:val="none"/>
        </w:rPr>
      </w:pPr>
    </w:p>
    <w:p>
      <w:pPr>
        <w:spacing w:line="360" w:lineRule="auto"/>
        <w:jc w:val="left"/>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13"/>
        <w:spacing w:line="360" w:lineRule="auto"/>
        <w:jc w:val="left"/>
        <w:rPr>
          <w:rFonts w:hint="eastAsia" w:hAnsi="宋体" w:cs="宋体"/>
          <w:color w:val="auto"/>
          <w:sz w:val="24"/>
          <w:highlight w:val="none"/>
        </w:rPr>
      </w:pPr>
    </w:p>
    <w:p>
      <w:pPr>
        <w:pStyle w:val="13"/>
        <w:spacing w:line="360" w:lineRule="auto"/>
        <w:jc w:val="left"/>
        <w:rPr>
          <w:rFonts w:hint="eastAsia" w:hAnsi="宋体" w:cs="宋体"/>
          <w:color w:val="auto"/>
          <w:sz w:val="24"/>
          <w:highlight w:val="none"/>
        </w:rPr>
      </w:pPr>
    </w:p>
    <w:p>
      <w:pPr>
        <w:spacing w:before="100" w:beforeAutospacing="1" w:after="100" w:afterAutospacing="1"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注：近三年内，如投标人有任何违法违规、受惩罚和禁止、不良信用等记录，必须列明记载，并附网络截图（加盖公章）。</w:t>
      </w:r>
    </w:p>
    <w:p>
      <w:pPr>
        <w:pStyle w:val="10"/>
        <w:rPr>
          <w:rFonts w:hint="eastAsia"/>
          <w:color w:val="auto"/>
          <w:highlight w:val="none"/>
          <w:lang w:val="fr-CH"/>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投标人认为有必要提供的其他材料。</w:t>
      </w:r>
    </w:p>
    <w:p>
      <w:pPr>
        <w:spacing w:line="360" w:lineRule="auto"/>
        <w:rPr>
          <w:rFonts w:hint="eastAsia" w:ascii="宋体" w:hAnsi="宋体" w:cs="宋体"/>
          <w:color w:val="auto"/>
          <w:sz w:val="24"/>
          <w:highlight w:val="none"/>
        </w:rPr>
      </w:pPr>
    </w:p>
    <w:p>
      <w:pPr>
        <w:spacing w:line="360" w:lineRule="auto"/>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（三）技术部分</w:t>
      </w:r>
    </w:p>
    <w:p>
      <w:pPr>
        <w:numPr>
          <w:ilvl w:val="0"/>
          <w:numId w:val="14"/>
        </w:numPr>
        <w:tabs>
          <w:tab w:val="left" w:pos="640"/>
          <w:tab w:val="left" w:pos="1260"/>
          <w:tab w:val="left" w:pos="1418"/>
        </w:tabs>
        <w:spacing w:line="360" w:lineRule="auto"/>
        <w:ind w:left="640" w:right="-420" w:rightChars="-200" w:hanging="640"/>
        <w:rPr>
          <w:rFonts w:hint="eastAsia" w:ascii="宋体" w:hAnsi="宋体" w:cs="宋体"/>
          <w:color w:val="auto"/>
          <w:sz w:val="24"/>
          <w:highlight w:val="none"/>
          <w:lang w:val="fr-CH"/>
        </w:rPr>
      </w:pPr>
      <w:r>
        <w:rPr>
          <w:rFonts w:hint="eastAsia" w:ascii="宋体" w:hAnsi="宋体" w:cs="宋体"/>
          <w:color w:val="auto"/>
          <w:sz w:val="24"/>
          <w:highlight w:val="none"/>
          <w:lang w:val="fr-CH"/>
        </w:rPr>
        <w:t>用户需求响应表；</w:t>
      </w:r>
    </w:p>
    <w:p>
      <w:pPr>
        <w:spacing w:after="78" w:line="360" w:lineRule="auto"/>
        <w:jc w:val="center"/>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用户需求响应表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after="78" w:line="360" w:lineRule="auto"/>
        <w:rPr>
          <w:rFonts w:hint="eastAsia" w:ascii="宋体" w:hAnsi="宋体" w:cs="宋体"/>
          <w:bCs/>
          <w:color w:val="auto"/>
          <w:sz w:val="24"/>
          <w:highlight w:val="none"/>
        </w:rPr>
      </w:pPr>
      <w:r>
        <w:rPr>
          <w:rFonts w:hint="eastAsia" w:ascii="宋体" w:hAnsi="宋体" w:cs="宋体"/>
          <w:bCs/>
          <w:color w:val="auto"/>
          <w:sz w:val="24"/>
          <w:highlight w:val="none"/>
        </w:rPr>
        <w:t>据招标文件要求，我公司承诺响应如下：</w:t>
      </w:r>
    </w:p>
    <w:tbl>
      <w:tblPr>
        <w:tblStyle w:val="24"/>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3507"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招标文件要求</w:t>
            </w:r>
          </w:p>
        </w:tc>
        <w:tc>
          <w:tcPr>
            <w:tcW w:w="3241"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投标文件响应</w:t>
            </w:r>
          </w:p>
        </w:tc>
        <w:tc>
          <w:tcPr>
            <w:tcW w:w="1917"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3507" w:type="dxa"/>
            <w:noWrap w:val="0"/>
            <w:vAlign w:val="center"/>
          </w:tcPr>
          <w:p>
            <w:pPr>
              <w:spacing w:after="78" w:line="360" w:lineRule="auto"/>
              <w:rPr>
                <w:rFonts w:hint="eastAsia" w:ascii="宋体" w:hAnsi="宋体" w:cs="宋体"/>
                <w:bCs/>
                <w:color w:val="auto"/>
                <w:sz w:val="24"/>
                <w:highlight w:val="none"/>
              </w:rPr>
            </w:pPr>
            <w:r>
              <w:rPr>
                <w:rFonts w:hint="eastAsia" w:ascii="宋体" w:hAnsi="宋体" w:cs="宋体"/>
                <w:bCs/>
                <w:color w:val="auto"/>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无需另行编制填写内容。</w:t>
            </w:r>
          </w:p>
        </w:tc>
        <w:tc>
          <w:tcPr>
            <w:tcW w:w="1917" w:type="dxa"/>
            <w:noWrap w:val="0"/>
            <w:vAlign w:val="center"/>
          </w:tcPr>
          <w:p>
            <w:pPr>
              <w:spacing w:line="360" w:lineRule="auto"/>
              <w:jc w:val="center"/>
              <w:rPr>
                <w:rFonts w:hint="eastAsia" w:ascii="宋体" w:hAnsi="宋体" w:cs="宋体"/>
                <w:bCs/>
                <w:color w:val="auto"/>
                <w:sz w:val="24"/>
                <w:highlight w:val="none"/>
              </w:rPr>
            </w:pPr>
          </w:p>
        </w:tc>
      </w:tr>
    </w:tbl>
    <w:p>
      <w:pPr>
        <w:spacing w:after="78" w:line="360" w:lineRule="auto"/>
        <w:rPr>
          <w:rFonts w:hint="eastAsia" w:ascii="宋体" w:hAnsi="宋体" w:cs="宋体"/>
          <w:bCs/>
          <w:color w:val="auto"/>
          <w:sz w:val="24"/>
          <w:highlight w:val="none"/>
        </w:rPr>
      </w:pPr>
    </w:p>
    <w:p>
      <w:pPr>
        <w:spacing w:after="78" w:line="360" w:lineRule="auto"/>
        <w:rPr>
          <w:rFonts w:hint="eastAsia" w:ascii="宋体" w:hAnsi="宋体" w:cs="宋体"/>
          <w:bCs/>
          <w:color w:val="auto"/>
          <w:sz w:val="24"/>
          <w:highlight w:val="none"/>
        </w:rPr>
      </w:pPr>
      <w:r>
        <w:rPr>
          <w:rFonts w:hint="eastAsia" w:ascii="宋体" w:hAnsi="宋体" w:cs="宋体"/>
          <w:bCs/>
          <w:color w:val="auto"/>
          <w:sz w:val="24"/>
          <w:highlight w:val="none"/>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10"/>
        <w:spacing w:line="360" w:lineRule="auto"/>
        <w:rPr>
          <w:rFonts w:hint="eastAsia"/>
          <w:color w:val="auto"/>
          <w:highlight w:val="none"/>
          <w:lang w:val="fr-CH"/>
        </w:rPr>
      </w:pP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br w:type="page"/>
      </w:r>
      <w:r>
        <w:rPr>
          <w:rFonts w:hint="eastAsia" w:ascii="宋体" w:hAnsi="宋体" w:cs="宋体"/>
          <w:color w:val="auto"/>
          <w:sz w:val="24"/>
          <w:highlight w:val="none"/>
          <w:lang w:val="sq-AL"/>
        </w:rPr>
        <w:t>工作思路；</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质量保障措施及方案；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项目难点重点分析及相关的合理化建议；</w:t>
      </w:r>
    </w:p>
    <w:p>
      <w:pPr>
        <w:tabs>
          <w:tab w:val="left" w:pos="640"/>
          <w:tab w:val="left" w:pos="1260"/>
          <w:tab w:val="left" w:pos="1418"/>
        </w:tabs>
        <w:jc w:val="center"/>
        <w:rPr>
          <w:rFonts w:hint="eastAsia" w:ascii="宋体" w:hAnsi="宋体" w:cs="宋体"/>
          <w:b/>
          <w:bCs/>
          <w:color w:val="auto"/>
          <w:sz w:val="24"/>
          <w:highlight w:val="none"/>
        </w:rPr>
      </w:pPr>
    </w:p>
    <w:p>
      <w:pPr>
        <w:tabs>
          <w:tab w:val="left" w:pos="640"/>
          <w:tab w:val="left" w:pos="1260"/>
          <w:tab w:val="left" w:pos="1418"/>
        </w:tabs>
        <w:jc w:val="center"/>
        <w:rPr>
          <w:rFonts w:hint="eastAsia" w:ascii="宋体" w:hAnsi="宋体" w:cs="宋体"/>
          <w:b/>
          <w:bCs/>
          <w:color w:val="auto"/>
          <w:sz w:val="24"/>
          <w:highlight w:val="none"/>
        </w:rPr>
      </w:pPr>
    </w:p>
    <w:p>
      <w:pPr>
        <w:tabs>
          <w:tab w:val="left" w:pos="640"/>
          <w:tab w:val="left" w:pos="1260"/>
          <w:tab w:val="left" w:pos="1418"/>
        </w:tabs>
        <w:jc w:val="center"/>
        <w:rPr>
          <w:rFonts w:hint="eastAsia"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投标人认为有必要提供的其他材料。</w:t>
      </w:r>
      <w:bookmarkEnd w:id="19"/>
    </w:p>
    <w:p>
      <w:pPr>
        <w:tabs>
          <w:tab w:val="left" w:pos="360"/>
        </w:tabs>
        <w:spacing w:line="300" w:lineRule="auto"/>
        <w:outlineLvl w:val="0"/>
        <w:rPr>
          <w:rFonts w:hint="eastAsia" w:ascii="宋体" w:hAnsi="宋体" w:cs="宋体"/>
          <w:b/>
          <w:bCs/>
          <w:color w:val="auto"/>
          <w:sz w:val="24"/>
          <w:highlight w:val="none"/>
        </w:rPr>
      </w:pPr>
      <w:r>
        <w:rPr>
          <w:rFonts w:hint="eastAsia" w:ascii="宋体" w:hAnsi="宋体" w:cs="宋体"/>
          <w:color w:val="auto"/>
          <w:sz w:val="24"/>
          <w:highlight w:val="none"/>
          <w:lang w:val="fr-CH"/>
        </w:rPr>
        <w:br w:type="page"/>
      </w:r>
      <w:bookmarkStart w:id="25" w:name="_Toc742"/>
      <w:bookmarkStart w:id="26" w:name="_Toc6251"/>
      <w:r>
        <w:rPr>
          <w:rFonts w:hint="eastAsia" w:ascii="宋体" w:hAnsi="宋体" w:cs="宋体"/>
          <w:b/>
          <w:bCs/>
          <w:color w:val="auto"/>
          <w:sz w:val="24"/>
          <w:highlight w:val="none"/>
        </w:rPr>
        <w:t>附件：相关政策</w:t>
      </w:r>
      <w:bookmarkEnd w:id="25"/>
      <w:bookmarkEnd w:id="26"/>
    </w:p>
    <w:p>
      <w:pPr>
        <w:tabs>
          <w:tab w:val="left" w:pos="360"/>
        </w:tabs>
        <w:outlineLvl w:val="1"/>
        <w:rPr>
          <w:rFonts w:hint="eastAsia" w:ascii="宋体" w:hAnsi="宋体" w:cs="宋体"/>
          <w:b/>
          <w:bCs/>
          <w:color w:val="auto"/>
          <w:sz w:val="24"/>
          <w:highlight w:val="none"/>
        </w:rPr>
      </w:pPr>
      <w:r>
        <w:rPr>
          <w:rFonts w:hint="eastAsia" w:ascii="宋体" w:hAnsi="宋体" w:cs="宋体"/>
          <w:b/>
          <w:bCs/>
          <w:color w:val="auto"/>
          <w:sz w:val="24"/>
          <w:highlight w:val="none"/>
        </w:rPr>
        <w:t>1、财政部、工业和信息化部《关于印发〈政府采购促进中小企业发展管理办法〉的通知》（财库〔2020〕46 号）</w:t>
      </w:r>
    </w:p>
    <w:p>
      <w:pPr>
        <w:pStyle w:val="10"/>
        <w:tabs>
          <w:tab w:val="left" w:pos="562"/>
          <w:tab w:val="left" w:pos="3372"/>
          <w:tab w:val="left" w:pos="3653"/>
        </w:tabs>
        <w:rPr>
          <w:rFonts w:hint="eastAsia" w:ascii="宋体" w:hAnsi="宋体" w:cs="宋体"/>
          <w:color w:val="auto"/>
          <w:highlight w:val="none"/>
        </w:rPr>
      </w:pPr>
    </w:p>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关于印发《政府采购促进中小企业发展管理办法》的通知</w:t>
      </w:r>
    </w:p>
    <w:p>
      <w:pPr>
        <w:widowControl/>
        <w:shd w:val="clear" w:color="auto" w:fill="FFFFFF"/>
        <w:spacing w:after="24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财库〔2020〕46号</w:t>
      </w:r>
    </w:p>
    <w:p>
      <w:pPr>
        <w:widowControl/>
        <w:shd w:val="clear" w:color="auto" w:fill="FFFFFF"/>
        <w:spacing w:after="2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附件：政府采购促进中小企业发展管理办法</w:t>
      </w:r>
    </w:p>
    <w:p>
      <w:pPr>
        <w:widowControl/>
        <w:shd w:val="clear" w:color="auto" w:fill="FFFFFF"/>
        <w:jc w:val="right"/>
        <w:rPr>
          <w:rFonts w:hint="eastAsia" w:ascii="宋体" w:hAnsi="宋体" w:cs="宋体"/>
          <w:color w:val="auto"/>
          <w:kern w:val="0"/>
          <w:sz w:val="24"/>
          <w:highlight w:val="none"/>
        </w:rPr>
      </w:pPr>
      <w:r>
        <w:rPr>
          <w:rFonts w:hint="eastAsia" w:ascii="宋体" w:hAnsi="宋体" w:cs="宋体"/>
          <w:color w:val="auto"/>
          <w:kern w:val="0"/>
          <w:sz w:val="24"/>
          <w:highlight w:val="none"/>
        </w:rPr>
        <w:t>财  政  部</w:t>
      </w:r>
    </w:p>
    <w:p>
      <w:pPr>
        <w:widowControl/>
        <w:shd w:val="clear" w:color="auto" w:fill="FFFFFF"/>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工业和信息化部</w:t>
      </w:r>
    </w:p>
    <w:p>
      <w:pPr>
        <w:widowControl/>
        <w:shd w:val="clear" w:color="auto" w:fill="FFFFFF"/>
        <w:jc w:val="right"/>
        <w:rPr>
          <w:rFonts w:hint="eastAsia" w:ascii="宋体" w:hAnsi="宋体" w:cs="宋体"/>
          <w:color w:val="auto"/>
          <w:kern w:val="0"/>
          <w:sz w:val="24"/>
          <w:highlight w:val="none"/>
        </w:rPr>
      </w:pPr>
      <w:r>
        <w:rPr>
          <w:rFonts w:hint="eastAsia" w:ascii="宋体" w:hAnsi="宋体" w:cs="宋体"/>
          <w:color w:val="auto"/>
          <w:kern w:val="0"/>
          <w:sz w:val="24"/>
          <w:highlight w:val="none"/>
        </w:rPr>
        <w:t>2020年12月18日</w:t>
      </w:r>
    </w:p>
    <w:p>
      <w:pPr>
        <w:autoSpaceDE w:val="0"/>
        <w:autoSpaceDN w:val="0"/>
        <w:adjustRightInd w:val="0"/>
        <w:jc w:val="left"/>
        <w:rPr>
          <w:rFonts w:hint="eastAsia" w:ascii="宋体" w:hAnsi="宋体" w:cs="宋体"/>
          <w:color w:val="auto"/>
          <w:kern w:val="0"/>
          <w:sz w:val="24"/>
          <w:highlight w:val="none"/>
        </w:rPr>
      </w:pP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政府采购促进中小企业发展管理办法</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第一条 为了发挥政府采购的政策功能，促进中小企业健康发展，根据《中华人民共和国政府采购法》、《中华人民共和国中小企业促进法》等有关法律法规，制定本办法。</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第三条 采购人在政府采购活动中应当通过加强采购需求管理，落实预留采购份额、价格评审优惠、优先采购等 措施，提高中小企业在政府采购中的份额，支持中小企业发展。</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第四条 在政府采购活动中，供应商提供的货物、工程或者服务符合下列情形的，享受本办法规定的中小企业扶持政策：</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（一）在货物采购项目中，货物由中小企业制造，即货 物由中小企业生产且使用该中小企业商号或者注册商标；</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（二）在工程采购项目中，工程由中小企业承建，即工 程施工单位为中小企业；</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（三）在服务采购项目中，服务由中小企业承接，即提供服务的人员为中小企业依照《中华人民共和国劳动合同法》订立劳动合同的从业人员。</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在货物采购项目中，供应商提供的货物既有中小企业制造货物，也有大型企业制造货物的，不享受本办法规定的中小企业扶持政策。</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以联合体形式参加政府采购活动，联合体各方均为中小企业的，联合体视同中小企业。其中，联合体各方均为小微企业的，联合体视同小微企业。</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10"/>
        <w:tabs>
          <w:tab w:val="left" w:pos="562"/>
          <w:tab w:val="left" w:pos="3372"/>
          <w:tab w:val="left" w:pos="3653"/>
        </w:tabs>
        <w:ind w:firstLine="480" w:firstLineChars="200"/>
        <w:rPr>
          <w:rFonts w:hint="eastAsia" w:ascii="宋体" w:hAnsi="宋体" w:cs="宋体"/>
          <w:color w:val="auto"/>
          <w:highlight w:val="none"/>
        </w:rPr>
      </w:pPr>
      <w:r>
        <w:rPr>
          <w:rFonts w:hint="eastAsia" w:ascii="宋体" w:hAnsi="宋体" w:cs="宋体"/>
          <w:color w:val="auto"/>
          <w:kern w:val="0"/>
          <w:highlight w:val="none"/>
        </w:rPr>
        <w:t>符合下列情形之一的，可不专门面向中小企业预留采购</w:t>
      </w:r>
      <w:r>
        <w:rPr>
          <w:rFonts w:hint="eastAsia" w:ascii="宋体" w:hAnsi="宋体" w:cs="宋体"/>
          <w:color w:val="auto"/>
          <w:highlight w:val="none"/>
        </w:rPr>
        <w:t>份额：</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（一）法律法规和国家有关政策明确规定优先或者应当面向事业单位、社会组织等非企业主体采购的；</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（二）因确需使用不可替代的专利、专有技术，基础设施限制，或者提供特定公共服务等原因，只能从中小企业之外的供应商处采购的；</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（三）按照本办法规定预留采购份额无法确保充分供应、充分竞争，或者存在可能影响政府采购目标实现的情形；</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（四）框架协议采购项目；</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（五）省级以上人民政府财政部门规定的其他情形。 除上述情形外，其他均为适宜由中小企业提供的情形。</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第七条采购限额标准以上，200万元以下的货物和服务采购项目、400 万元以下的工程采购项目，适宜由中小企业提供的，采购人应当专门面向中小企业采购。</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（一）将采购项目整体或者设置采购包专门面向中小企业采购；</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（二）要求供应商以联合体形式参加采购活动，且联合体中中小企业承担的部分达到一定比例；</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（三）要求获得采购合同的供应商将采购项目中的一定比例分包给一家或者多家中小企业。</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组成联合体或者接受分包合同的中小企业与联合体内 其他企业、分包企业之间不得存在直接控股、管理关系。</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第十二条 采购项目涉及中小企业采购的，采购文件应当明确以下内容：</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（一）预留份额的采购项目或者采购包，明确该项目或相关采购包专门面向中小企业采购，以及相关标的及预算金额；</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（二）要求以联合体形式参加或者合同分包的，明确联合协议或者分包意向协议中中小企业合同金额应当达到的 比例，并作为供应商资格条件；</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（三）非预留份额的采购项目或者采购包，明确有关价格扣除比例或者价格分加分比例；</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（四）规定依据本办法规定享受扶持政策获得政府采购合同的，小微企业不得将合同分包给大中型企业，中型企业不得将合同分包给大型企业；</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（五）采购人认为具备相关条件的，明确对中小企业在资金支付期限、预付款比例等方面的优惠措施；</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（六）明确采购标的对应的中小企业划分标准所属行业；</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（七）法律法规和省级以上人民政府财政部门规定的其他事项。</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第十三条 中标、成交供应商享受本办法规定的中小企业扶持政策的，采购人、采购代理机构应当随中标、成交结果公开中标、成交供应商的《中小企业声明函》。</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适用招标投标法的政府采购工程建设项目，应当在公示中标候选人时公开中标候选人的《中小企业声明函》。</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中小企业主管部门应当在收到财政部门或者有关招标 投标行政监督部门关于协助开展中小企业认定函后 10 个工作日内做出书面答复。</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第二十条 供应商按照本办法规定提供声明函内容不实的，属于提供虚假材料谋取中标、成交，依照《中华人民共和国政府采购法》等国家有关规定追究相应责任。</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第二十二条 对外援助项目、国家相关资格或者资质管理制度另有规定的项目，不适用本办法。</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第二十三条 关于视同中小企业的其他主体的政府采购扶持政策，由财政部会同有关部门另行规定。</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第二十四条 省级财政部门可以会同中小企业主管部门根据本办法的规定制定具体实施办法。</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第二十五条 本办法自 2021 年 1 月 1 日起施行。《财政部 工业和信息化部关于印发〈政府采购促进中小企业发展暂行办法〉的通知》（财库﹝2011﹞181 号）同时废止。</w:t>
      </w:r>
    </w:p>
    <w:p>
      <w:pPr>
        <w:pStyle w:val="10"/>
        <w:tabs>
          <w:tab w:val="left" w:pos="562"/>
          <w:tab w:val="left" w:pos="3372"/>
          <w:tab w:val="left" w:pos="3653"/>
        </w:tabs>
        <w:spacing w:before="5"/>
        <w:rPr>
          <w:rFonts w:hint="eastAsia" w:ascii="宋体" w:hAnsi="宋体" w:cs="宋体"/>
          <w:color w:val="auto"/>
          <w:highlight w:val="none"/>
        </w:rPr>
      </w:pP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附：1.中小企业声明函</w:t>
      </w:r>
    </w:p>
    <w:p>
      <w:pPr>
        <w:pStyle w:val="10"/>
        <w:tabs>
          <w:tab w:val="left" w:pos="562"/>
          <w:tab w:val="left" w:pos="3372"/>
          <w:tab w:val="left" w:pos="3653"/>
        </w:tabs>
        <w:ind w:firstLine="960" w:firstLineChars="400"/>
        <w:rPr>
          <w:rFonts w:hint="eastAsia" w:ascii="宋体" w:hAnsi="宋体" w:cs="宋体"/>
          <w:color w:val="auto"/>
          <w:kern w:val="0"/>
          <w:highlight w:val="none"/>
        </w:rPr>
      </w:pPr>
      <w:r>
        <w:rPr>
          <w:rFonts w:hint="eastAsia" w:ascii="宋体" w:hAnsi="宋体" w:cs="宋体"/>
          <w:color w:val="auto"/>
          <w:kern w:val="0"/>
          <w:highlight w:val="none"/>
        </w:rPr>
        <w:t>2.面向中小企业预留项目执行情况公告</w:t>
      </w:r>
    </w:p>
    <w:p>
      <w:pPr>
        <w:pStyle w:val="10"/>
        <w:tabs>
          <w:tab w:val="left" w:pos="562"/>
          <w:tab w:val="left" w:pos="3372"/>
          <w:tab w:val="left" w:pos="3653"/>
        </w:tabs>
        <w:spacing w:before="30"/>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附 1</w:t>
      </w:r>
    </w:p>
    <w:p>
      <w:pPr>
        <w:spacing w:after="319" w:afterLines="100"/>
        <w:jc w:val="center"/>
        <w:rPr>
          <w:rFonts w:hint="eastAsia" w:ascii="宋体" w:hAnsi="宋体" w:cs="宋体"/>
          <w:color w:val="auto"/>
          <w:sz w:val="24"/>
          <w:highlight w:val="none"/>
        </w:rPr>
      </w:pPr>
      <w:r>
        <w:rPr>
          <w:rFonts w:hint="eastAsia" w:ascii="宋体" w:hAnsi="宋体" w:cs="宋体"/>
          <w:color w:val="auto"/>
          <w:sz w:val="24"/>
          <w:highlight w:val="none"/>
        </w:rPr>
        <w:t>中小企业声明函（货物）</w:t>
      </w:r>
    </w:p>
    <w:p>
      <w:pPr>
        <w:pStyle w:val="10"/>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）采购活动，提供的货物全部由符合政策要求的中小企业制造。相关企业（含联合体中的中小企业、签订分包意向协议的中小企业） 的具体情况如下：</w:t>
      </w:r>
    </w:p>
    <w:p>
      <w:pPr>
        <w:pStyle w:val="10"/>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u w:val="single"/>
        </w:rPr>
        <w:t>标的名称</w:t>
      </w:r>
      <w:r>
        <w:rPr>
          <w:rFonts w:hint="eastAsia" w:ascii="宋体" w:hAnsi="宋体" w:cs="宋体"/>
          <w:color w:val="auto"/>
          <w:kern w:val="0"/>
          <w:highlight w:val="none"/>
        </w:rPr>
        <w:t>），属于（</w:t>
      </w:r>
      <w:r>
        <w:rPr>
          <w:rFonts w:hint="eastAsia" w:ascii="宋体" w:hAnsi="宋体" w:cs="宋体"/>
          <w:color w:val="auto"/>
          <w:kern w:val="0"/>
          <w:highlight w:val="none"/>
          <w:u w:val="single"/>
        </w:rPr>
        <w:t>采购文件中明确的所属行业</w:t>
      </w:r>
      <w:r>
        <w:rPr>
          <w:rFonts w:hint="eastAsia" w:ascii="宋体" w:hAnsi="宋体" w:cs="宋体"/>
          <w:color w:val="auto"/>
          <w:kern w:val="0"/>
          <w:highlight w:val="none"/>
        </w:rPr>
        <w:t>）；制造商为（</w:t>
      </w:r>
      <w:r>
        <w:rPr>
          <w:rFonts w:hint="eastAsia" w:ascii="宋体" w:hAnsi="宋体" w:cs="宋体"/>
          <w:color w:val="auto"/>
          <w:kern w:val="0"/>
          <w:highlight w:val="none"/>
          <w:u w:val="single"/>
        </w:rPr>
        <w:t>企业名称</w:t>
      </w:r>
      <w:r>
        <w:rPr>
          <w:rFonts w:hint="eastAsia" w:ascii="宋体" w:hAnsi="宋体" w:cs="宋体"/>
          <w:color w:val="auto"/>
          <w:kern w:val="0"/>
          <w:highlight w:val="none"/>
        </w:rPr>
        <w:t>），从业人员</w:t>
      </w:r>
      <w:r>
        <w:rPr>
          <w:rFonts w:hint="eastAsia" w:ascii="宋体" w:hAnsi="宋体" w:cs="宋体"/>
          <w:color w:val="auto"/>
          <w:kern w:val="0"/>
          <w:highlight w:val="none"/>
          <w:u w:val="single"/>
        </w:rPr>
        <w:tab/>
      </w:r>
      <w:r>
        <w:rPr>
          <w:rFonts w:hint="eastAsia" w:ascii="宋体" w:hAnsi="宋体" w:cs="宋体"/>
          <w:color w:val="auto"/>
          <w:kern w:val="0"/>
          <w:highlight w:val="none"/>
        </w:rPr>
        <w:t xml:space="preserve">人，营业收入为 </w:t>
      </w:r>
      <w:r>
        <w:rPr>
          <w:rFonts w:hint="eastAsia" w:ascii="宋体" w:hAnsi="宋体" w:cs="宋体"/>
          <w:color w:val="auto"/>
          <w:kern w:val="0"/>
          <w:highlight w:val="none"/>
          <w:u w:val="single"/>
        </w:rPr>
        <w:tab/>
      </w:r>
      <w:r>
        <w:rPr>
          <w:rFonts w:hint="eastAsia" w:ascii="宋体" w:hAnsi="宋体" w:cs="宋体"/>
          <w:color w:val="auto"/>
          <w:kern w:val="0"/>
          <w:highlight w:val="none"/>
        </w:rPr>
        <w:t>万元，资产总额为</w:t>
      </w:r>
      <w:r>
        <w:rPr>
          <w:rFonts w:hint="eastAsia" w:ascii="宋体" w:hAnsi="宋体" w:cs="宋体"/>
          <w:color w:val="auto"/>
          <w:kern w:val="0"/>
          <w:highlight w:val="none"/>
          <w:u w:val="single"/>
        </w:rPr>
        <w:tab/>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万元，属于（</w:t>
      </w:r>
      <w:r>
        <w:rPr>
          <w:rFonts w:hint="eastAsia" w:ascii="宋体" w:hAnsi="宋体" w:cs="宋体"/>
          <w:color w:val="auto"/>
          <w:kern w:val="0"/>
          <w:highlight w:val="none"/>
          <w:u w:val="single"/>
        </w:rPr>
        <w:t>中型企业、小型企业、微型企业</w:t>
      </w:r>
      <w:r>
        <w:rPr>
          <w:rFonts w:hint="eastAsia" w:ascii="宋体" w:hAnsi="宋体" w:cs="宋体"/>
          <w:color w:val="auto"/>
          <w:kern w:val="0"/>
          <w:highlight w:val="none"/>
        </w:rPr>
        <w:t>）；</w:t>
      </w:r>
    </w:p>
    <w:p>
      <w:pPr>
        <w:pStyle w:val="10"/>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）；制造商为（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10"/>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w:t>
      </w:r>
    </w:p>
    <w:p>
      <w:pPr>
        <w:pStyle w:val="10"/>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10"/>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10"/>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0"/>
        <w:tabs>
          <w:tab w:val="left" w:pos="562"/>
          <w:tab w:val="left" w:pos="3372"/>
          <w:tab w:val="left" w:pos="3653"/>
        </w:tabs>
        <w:ind w:left="4200" w:leftChars="2000"/>
        <w:rPr>
          <w:rFonts w:hint="eastAsia" w:ascii="宋体" w:hAnsi="宋体" w:cs="宋体"/>
          <w:color w:val="auto"/>
          <w:highlight w:val="none"/>
        </w:rPr>
      </w:pPr>
      <w:r>
        <w:rPr>
          <w:rFonts w:hint="eastAsia" w:ascii="宋体" w:hAnsi="宋体" w:cs="宋体"/>
          <w:color w:val="auto"/>
          <w:spacing w:val="-2"/>
          <w:highlight w:val="none"/>
        </w:rPr>
        <w:t>企业名称（盖章）日期：</w:t>
      </w:r>
    </w:p>
    <w:p>
      <w:pPr>
        <w:pStyle w:val="10"/>
        <w:tabs>
          <w:tab w:val="left" w:pos="562"/>
          <w:tab w:val="left" w:pos="3372"/>
          <w:tab w:val="left" w:pos="3653"/>
        </w:tabs>
        <w:jc w:val="center"/>
        <w:rPr>
          <w:rFonts w:hint="eastAsia" w:ascii="宋体" w:hAnsi="宋体" w:cs="宋体"/>
          <w:color w:val="auto"/>
          <w:spacing w:val="-2"/>
          <w:highlight w:val="none"/>
        </w:rPr>
      </w:pPr>
      <w:r>
        <w:rPr>
          <w:rFonts w:hint="eastAsia" w:ascii="宋体" w:hAnsi="宋体" w:cs="宋体"/>
          <w:color w:val="auto"/>
          <w:spacing w:val="-2"/>
          <w:highlight w:val="none"/>
        </w:rPr>
        <w:t>从业人员、营业收入、资产总额填报上一年度数据，无上一年度数据的新成立企业可不填报。</w:t>
      </w:r>
    </w:p>
    <w:p>
      <w:pPr>
        <w:spacing w:after="319" w:afterLines="100"/>
        <w:jc w:val="center"/>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中小企业声明函（工程、服务）</w:t>
      </w:r>
    </w:p>
    <w:p>
      <w:pPr>
        <w:pStyle w:val="10"/>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10"/>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1、（</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10"/>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 ；承建（承接）企业为（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10"/>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w:t>
      </w:r>
    </w:p>
    <w:p>
      <w:pPr>
        <w:pStyle w:val="10"/>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10"/>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10"/>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0"/>
        <w:tabs>
          <w:tab w:val="left" w:pos="562"/>
          <w:tab w:val="left" w:pos="3372"/>
          <w:tab w:val="left" w:pos="3653"/>
        </w:tabs>
        <w:ind w:left="4200" w:leftChars="2000"/>
        <w:rPr>
          <w:rFonts w:hint="eastAsia" w:ascii="宋体" w:hAnsi="宋体" w:cs="宋体"/>
          <w:color w:val="auto"/>
          <w:spacing w:val="-2"/>
          <w:highlight w:val="none"/>
        </w:rPr>
      </w:pPr>
    </w:p>
    <w:p>
      <w:pPr>
        <w:pStyle w:val="10"/>
        <w:tabs>
          <w:tab w:val="left" w:pos="562"/>
          <w:tab w:val="left" w:pos="3372"/>
          <w:tab w:val="left" w:pos="3653"/>
        </w:tabs>
        <w:ind w:left="4200" w:leftChars="2000"/>
        <w:rPr>
          <w:rFonts w:hint="eastAsia" w:ascii="宋体" w:hAnsi="宋体" w:cs="宋体"/>
          <w:color w:val="auto"/>
          <w:spacing w:val="-2"/>
          <w:highlight w:val="none"/>
        </w:rPr>
      </w:pPr>
      <w:r>
        <w:rPr>
          <w:rFonts w:hint="eastAsia" w:ascii="宋体" w:hAnsi="宋体" w:cs="宋体"/>
          <w:color w:val="auto"/>
          <w:spacing w:val="-2"/>
          <w:highlight w:val="none"/>
        </w:rPr>
        <w:t>企业名称（盖章）日期：</w:t>
      </w:r>
    </w:p>
    <w:p>
      <w:pPr>
        <w:pStyle w:val="10"/>
        <w:tabs>
          <w:tab w:val="left" w:pos="562"/>
          <w:tab w:val="left" w:pos="3372"/>
          <w:tab w:val="left" w:pos="3653"/>
        </w:tabs>
        <w:rPr>
          <w:rFonts w:hint="eastAsia" w:ascii="宋体" w:hAnsi="宋体" w:cs="宋体"/>
          <w:color w:val="auto"/>
          <w:spacing w:val="-2"/>
          <w:highlight w:val="none"/>
        </w:rPr>
      </w:pPr>
    </w:p>
    <w:p>
      <w:pPr>
        <w:pStyle w:val="10"/>
        <w:tabs>
          <w:tab w:val="left" w:pos="562"/>
          <w:tab w:val="left" w:pos="3372"/>
          <w:tab w:val="left" w:pos="3653"/>
        </w:tabs>
        <w:spacing w:before="30"/>
        <w:rPr>
          <w:rFonts w:hint="eastAsia" w:ascii="宋体" w:hAnsi="宋体" w:cs="宋体"/>
          <w:color w:val="auto"/>
          <w:highlight w:val="none"/>
        </w:rPr>
      </w:pPr>
      <w:r>
        <w:rPr>
          <w:rFonts w:hint="eastAsia" w:ascii="宋体" w:hAnsi="宋体" w:cs="宋体"/>
          <w:color w:val="auto"/>
          <w:spacing w:val="-2"/>
          <w:highlight w:val="none"/>
        </w:rPr>
        <w:t>从业人员、营业收入、资产总额填报上一年度数据，无上一年度数据的新成立企业可不填报。</w:t>
      </w:r>
      <w:r>
        <w:rPr>
          <w:rFonts w:hint="eastAsia" w:ascii="宋体" w:hAnsi="宋体" w:cs="宋体"/>
          <w:color w:val="auto"/>
          <w:highlight w:val="none"/>
        </w:rPr>
        <w:br w:type="page"/>
      </w:r>
      <w:r>
        <w:rPr>
          <w:rFonts w:hint="eastAsia" w:ascii="宋体" w:hAnsi="宋体" w:cs="宋体"/>
          <w:b/>
          <w:bCs/>
          <w:color w:val="auto"/>
          <w:highlight w:val="none"/>
        </w:rPr>
        <w:t>附 2</w:t>
      </w:r>
    </w:p>
    <w:p>
      <w:pPr>
        <w:jc w:val="center"/>
        <w:rPr>
          <w:rFonts w:hint="eastAsia" w:ascii="宋体" w:hAnsi="宋体" w:cs="宋体"/>
          <w:b/>
          <w:color w:val="auto"/>
          <w:sz w:val="24"/>
          <w:highlight w:val="none"/>
        </w:rPr>
      </w:pPr>
      <w:r>
        <w:rPr>
          <w:rFonts w:hint="eastAsia" w:ascii="宋体" w:hAnsi="宋体" w:cs="宋体"/>
          <w:color w:val="auto"/>
          <w:spacing w:val="-3"/>
          <w:sz w:val="24"/>
          <w:highlight w:val="none"/>
          <w:u w:val="single" w:color="000000"/>
        </w:rPr>
        <w:t>（单位名称）</w:t>
      </w:r>
      <w:r>
        <w:rPr>
          <w:rFonts w:hint="eastAsia" w:ascii="宋体" w:hAnsi="宋体" w:cs="宋体"/>
          <w:color w:val="auto"/>
          <w:spacing w:val="-29"/>
          <w:sz w:val="24"/>
          <w:highlight w:val="none"/>
        </w:rPr>
        <w:t>××</w:t>
      </w:r>
      <w:r>
        <w:rPr>
          <w:rFonts w:hint="eastAsia" w:ascii="宋体" w:hAnsi="宋体" w:cs="宋体"/>
          <w:b/>
          <w:color w:val="auto"/>
          <w:sz w:val="24"/>
          <w:highlight w:val="none"/>
        </w:rPr>
        <w:t>年面向中小企业预留项目执行情况公告</w:t>
      </w:r>
    </w:p>
    <w:p>
      <w:pPr>
        <w:pStyle w:val="10"/>
        <w:tabs>
          <w:tab w:val="left" w:pos="562"/>
          <w:tab w:val="left" w:pos="3372"/>
          <w:tab w:val="left" w:pos="3653"/>
        </w:tabs>
        <w:ind w:firstLine="480" w:firstLineChars="200"/>
        <w:rPr>
          <w:rFonts w:hint="eastAsia" w:ascii="宋体" w:hAnsi="宋体" w:cs="宋体"/>
          <w:color w:val="auto"/>
          <w:highlight w:val="none"/>
        </w:rPr>
      </w:pPr>
      <w:r>
        <w:rPr>
          <w:rFonts w:hint="eastAsia" w:ascii="宋体" w:hAnsi="宋体" w:cs="宋体"/>
          <w:color w:val="auto"/>
          <w:highlight w:val="none"/>
        </w:rPr>
        <w:t>根据《政府采购促进中小企业发展管理办法》（财库﹝2020﹞46</w:t>
      </w:r>
      <w:r>
        <w:rPr>
          <w:rFonts w:hint="eastAsia" w:ascii="宋体" w:hAnsi="宋体" w:cs="宋体"/>
          <w:color w:val="auto"/>
          <w:spacing w:val="-47"/>
          <w:highlight w:val="none"/>
        </w:rPr>
        <w:t xml:space="preserve"> 号</w:t>
      </w:r>
      <w:r>
        <w:rPr>
          <w:rFonts w:hint="eastAsia" w:ascii="宋体" w:hAnsi="宋体" w:cs="宋体"/>
          <w:color w:val="auto"/>
          <w:spacing w:val="-22"/>
          <w:highlight w:val="none"/>
        </w:rPr>
        <w:t>）</w:t>
      </w:r>
      <w:r>
        <w:rPr>
          <w:rFonts w:hint="eastAsia" w:ascii="宋体" w:hAnsi="宋体" w:cs="宋体"/>
          <w:color w:val="auto"/>
          <w:spacing w:val="-7"/>
          <w:highlight w:val="none"/>
        </w:rPr>
        <w:t>要求，现对本部门</w:t>
      </w:r>
      <w:r>
        <w:rPr>
          <w:rFonts w:hint="eastAsia" w:ascii="宋体" w:hAnsi="宋体" w:cs="宋体"/>
          <w:color w:val="auto"/>
          <w:spacing w:val="-3"/>
          <w:highlight w:val="none"/>
        </w:rPr>
        <w:t>（</w:t>
      </w:r>
      <w:r>
        <w:rPr>
          <w:rFonts w:hint="eastAsia" w:ascii="宋体" w:hAnsi="宋体" w:cs="宋体"/>
          <w:color w:val="auto"/>
          <w:highlight w:val="none"/>
        </w:rPr>
        <w:t>单位</w:t>
      </w:r>
      <w:r>
        <w:rPr>
          <w:rFonts w:hint="eastAsia" w:ascii="宋体" w:hAnsi="宋体" w:cs="宋体"/>
          <w:color w:val="auto"/>
          <w:spacing w:val="-7"/>
          <w:highlight w:val="none"/>
        </w:rPr>
        <w:t>）</w:t>
      </w:r>
      <w:r>
        <w:rPr>
          <w:rFonts w:hint="eastAsia" w:ascii="宋体" w:hAnsi="宋体" w:cs="宋体"/>
          <w:color w:val="auto"/>
          <w:spacing w:val="-4"/>
          <w:highlight w:val="none"/>
        </w:rPr>
        <w:t>××年面向中小企业预留项目执行情况公告如下：</w:t>
      </w:r>
    </w:p>
    <w:p>
      <w:pPr>
        <w:pStyle w:val="10"/>
        <w:tabs>
          <w:tab w:val="left" w:pos="562"/>
          <w:tab w:val="left" w:pos="3372"/>
          <w:tab w:val="left" w:pos="3653"/>
        </w:tabs>
        <w:ind w:firstLine="480" w:firstLineChars="200"/>
        <w:rPr>
          <w:rFonts w:hint="eastAsia" w:ascii="宋体" w:hAnsi="宋体" w:cs="宋体"/>
          <w:color w:val="auto"/>
          <w:highlight w:val="none"/>
        </w:rPr>
      </w:pPr>
      <w:r>
        <w:rPr>
          <w:rFonts w:hint="eastAsia" w:ascii="宋体" w:hAnsi="宋体" w:cs="宋体"/>
          <w:color w:val="auto"/>
          <w:highlight w:val="none"/>
        </w:rPr>
        <w:t>本部门（单位）××年预留项目面向中小企业采购共计××万元，其中，面向小微企业采购××万元，占××%。</w:t>
      </w:r>
    </w:p>
    <w:p>
      <w:pPr>
        <w:pStyle w:val="10"/>
        <w:tabs>
          <w:tab w:val="left" w:pos="562"/>
          <w:tab w:val="left" w:pos="3372"/>
          <w:tab w:val="left" w:pos="3653"/>
        </w:tabs>
        <w:jc w:val="center"/>
        <w:rPr>
          <w:rFonts w:hint="eastAsia" w:ascii="宋体" w:hAnsi="宋体" w:cs="宋体"/>
          <w:b/>
          <w:bCs/>
          <w:color w:val="auto"/>
          <w:highlight w:val="none"/>
        </w:rPr>
      </w:pPr>
      <w:r>
        <w:rPr>
          <w:rFonts w:hint="eastAsia" w:ascii="宋体" w:hAnsi="宋体" w:cs="宋体"/>
          <w:b/>
          <w:bCs/>
          <w:color w:val="auto"/>
          <w:highlight w:val="none"/>
        </w:rPr>
        <w:t>面向中小企业预留项目明细</w:t>
      </w:r>
    </w:p>
    <w:tbl>
      <w:tblPr>
        <w:tblStyle w:val="24"/>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7"/>
              <w:jc w:val="center"/>
              <w:rPr>
                <w:rFonts w:hint="eastAsia"/>
                <w:b/>
                <w:color w:val="auto"/>
                <w:sz w:val="24"/>
                <w:szCs w:val="24"/>
                <w:highlight w:val="none"/>
              </w:rPr>
            </w:pPr>
            <w:r>
              <w:rPr>
                <w:rFonts w:hint="eastAsia"/>
                <w:b/>
                <w:color w:val="auto"/>
                <w:sz w:val="24"/>
                <w:szCs w:val="24"/>
                <w:highlight w:val="none"/>
              </w:rPr>
              <w:t>序号</w:t>
            </w:r>
          </w:p>
        </w:tc>
        <w:tc>
          <w:tcPr>
            <w:tcW w:w="1866" w:type="dxa"/>
            <w:noWrap w:val="0"/>
            <w:vAlign w:val="center"/>
          </w:tcPr>
          <w:p>
            <w:pPr>
              <w:pStyle w:val="57"/>
              <w:jc w:val="center"/>
              <w:rPr>
                <w:rFonts w:hint="eastAsia"/>
                <w:b/>
                <w:color w:val="auto"/>
                <w:sz w:val="24"/>
                <w:szCs w:val="24"/>
                <w:highlight w:val="none"/>
              </w:rPr>
            </w:pPr>
            <w:r>
              <w:rPr>
                <w:rFonts w:hint="eastAsia"/>
                <w:b/>
                <w:color w:val="auto"/>
                <w:sz w:val="24"/>
                <w:szCs w:val="24"/>
                <w:highlight w:val="none"/>
              </w:rPr>
              <w:t>项目名称</w:t>
            </w:r>
          </w:p>
        </w:tc>
        <w:tc>
          <w:tcPr>
            <w:tcW w:w="2010" w:type="dxa"/>
            <w:noWrap w:val="0"/>
            <w:vAlign w:val="center"/>
          </w:tcPr>
          <w:p>
            <w:pPr>
              <w:pStyle w:val="57"/>
              <w:jc w:val="center"/>
              <w:rPr>
                <w:rFonts w:hint="eastAsia"/>
                <w:b/>
                <w:color w:val="auto"/>
                <w:sz w:val="24"/>
                <w:szCs w:val="24"/>
                <w:highlight w:val="none"/>
              </w:rPr>
            </w:pPr>
            <w:r>
              <w:rPr>
                <w:rFonts w:hint="eastAsia"/>
                <w:b/>
                <w:color w:val="auto"/>
                <w:sz w:val="24"/>
                <w:szCs w:val="24"/>
                <w:highlight w:val="none"/>
              </w:rPr>
              <w:t>预留选项</w:t>
            </w:r>
          </w:p>
        </w:tc>
        <w:tc>
          <w:tcPr>
            <w:tcW w:w="2296" w:type="dxa"/>
            <w:noWrap w:val="0"/>
            <w:vAlign w:val="center"/>
          </w:tcPr>
          <w:p>
            <w:pPr>
              <w:pStyle w:val="57"/>
              <w:jc w:val="center"/>
              <w:rPr>
                <w:rFonts w:hint="eastAsia"/>
                <w:b/>
                <w:color w:val="auto"/>
                <w:sz w:val="24"/>
                <w:szCs w:val="24"/>
                <w:highlight w:val="none"/>
              </w:rPr>
            </w:pPr>
            <w:r>
              <w:rPr>
                <w:rFonts w:hint="eastAsia"/>
                <w:b/>
                <w:color w:val="auto"/>
                <w:sz w:val="24"/>
                <w:szCs w:val="24"/>
                <w:highlight w:val="none"/>
              </w:rPr>
              <w:t>面向中小企业采购金额</w:t>
            </w:r>
          </w:p>
        </w:tc>
        <w:tc>
          <w:tcPr>
            <w:tcW w:w="1784" w:type="dxa"/>
            <w:noWrap w:val="0"/>
            <w:vAlign w:val="center"/>
          </w:tcPr>
          <w:p>
            <w:pPr>
              <w:pStyle w:val="57"/>
              <w:jc w:val="center"/>
              <w:rPr>
                <w:rFonts w:hint="eastAsia"/>
                <w:b/>
                <w:color w:val="auto"/>
                <w:sz w:val="24"/>
                <w:szCs w:val="24"/>
                <w:highlight w:val="none"/>
              </w:rPr>
            </w:pPr>
            <w:r>
              <w:rPr>
                <w:rFonts w:hint="eastAsia"/>
                <w:b/>
                <w:color w:val="auto"/>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57"/>
              <w:jc w:val="center"/>
              <w:rPr>
                <w:rFonts w:hint="eastAsia"/>
                <w:color w:val="auto"/>
                <w:sz w:val="24"/>
                <w:szCs w:val="24"/>
                <w:highlight w:val="none"/>
              </w:rPr>
            </w:pPr>
          </w:p>
        </w:tc>
        <w:tc>
          <w:tcPr>
            <w:tcW w:w="1866" w:type="dxa"/>
            <w:tcBorders>
              <w:bottom w:val="nil"/>
            </w:tcBorders>
            <w:noWrap w:val="0"/>
            <w:vAlign w:val="center"/>
          </w:tcPr>
          <w:p>
            <w:pPr>
              <w:pStyle w:val="57"/>
              <w:jc w:val="center"/>
              <w:rPr>
                <w:rFonts w:hint="eastAsia"/>
                <w:color w:val="auto"/>
                <w:sz w:val="24"/>
                <w:szCs w:val="24"/>
                <w:highlight w:val="none"/>
              </w:rPr>
            </w:pPr>
          </w:p>
        </w:tc>
        <w:tc>
          <w:tcPr>
            <w:tcW w:w="2010" w:type="dxa"/>
            <w:tcBorders>
              <w:bottom w:val="nil"/>
            </w:tcBorders>
            <w:noWrap w:val="0"/>
            <w:vAlign w:val="center"/>
          </w:tcPr>
          <w:p>
            <w:pPr>
              <w:pStyle w:val="57"/>
              <w:jc w:val="center"/>
              <w:rPr>
                <w:rFonts w:hint="eastAsia"/>
                <w:color w:val="auto"/>
                <w:sz w:val="24"/>
                <w:szCs w:val="24"/>
                <w:highlight w:val="none"/>
              </w:rPr>
            </w:pPr>
            <w:r>
              <w:rPr>
                <w:rFonts w:hint="eastAsia"/>
                <w:color w:val="auto"/>
                <w:sz w:val="24"/>
                <w:szCs w:val="24"/>
                <w:highlight w:val="none"/>
              </w:rPr>
              <w:t>（填写“采购项</w:t>
            </w:r>
          </w:p>
        </w:tc>
        <w:tc>
          <w:tcPr>
            <w:tcW w:w="2296" w:type="dxa"/>
            <w:tcBorders>
              <w:bottom w:val="nil"/>
            </w:tcBorders>
            <w:noWrap w:val="0"/>
            <w:vAlign w:val="center"/>
          </w:tcPr>
          <w:p>
            <w:pPr>
              <w:pStyle w:val="57"/>
              <w:jc w:val="center"/>
              <w:rPr>
                <w:rFonts w:hint="eastAsia"/>
                <w:color w:val="auto"/>
                <w:sz w:val="24"/>
                <w:szCs w:val="24"/>
                <w:highlight w:val="none"/>
              </w:rPr>
            </w:pPr>
          </w:p>
        </w:tc>
        <w:tc>
          <w:tcPr>
            <w:tcW w:w="1784" w:type="dxa"/>
            <w:vMerge w:val="restart"/>
            <w:noWrap w:val="0"/>
            <w:vAlign w:val="center"/>
          </w:tcPr>
          <w:p>
            <w:pPr>
              <w:pStyle w:val="57"/>
              <w:jc w:val="center"/>
              <w:rPr>
                <w:rFonts w:hint="eastAsia"/>
                <w:color w:val="auto"/>
                <w:sz w:val="24"/>
                <w:szCs w:val="24"/>
                <w:highlight w:val="none"/>
              </w:rPr>
            </w:pPr>
          </w:p>
          <w:p>
            <w:pPr>
              <w:pStyle w:val="57"/>
              <w:jc w:val="center"/>
              <w:rPr>
                <w:rFonts w:hint="eastAsia"/>
                <w:color w:val="auto"/>
                <w:sz w:val="24"/>
                <w:szCs w:val="24"/>
                <w:highlight w:val="none"/>
              </w:rPr>
            </w:pPr>
          </w:p>
          <w:p>
            <w:pPr>
              <w:pStyle w:val="57"/>
              <w:jc w:val="center"/>
              <w:rPr>
                <w:rFonts w:hint="eastAsia"/>
                <w:color w:val="auto"/>
                <w:sz w:val="24"/>
                <w:szCs w:val="24"/>
                <w:highlight w:val="none"/>
              </w:rPr>
            </w:pPr>
            <w:r>
              <w:rPr>
                <w:rFonts w:hint="eastAsia"/>
                <w:color w:val="auto"/>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7"/>
              <w:jc w:val="center"/>
              <w:rPr>
                <w:rFonts w:hint="eastAsia"/>
                <w:color w:val="auto"/>
                <w:sz w:val="24"/>
                <w:szCs w:val="24"/>
                <w:highlight w:val="none"/>
              </w:rPr>
            </w:pPr>
          </w:p>
        </w:tc>
        <w:tc>
          <w:tcPr>
            <w:tcW w:w="2010" w:type="dxa"/>
            <w:tcBorders>
              <w:top w:val="nil"/>
              <w:bottom w:val="nil"/>
            </w:tcBorders>
            <w:noWrap w:val="0"/>
            <w:vAlign w:val="center"/>
          </w:tcPr>
          <w:p>
            <w:pPr>
              <w:pStyle w:val="57"/>
              <w:jc w:val="center"/>
              <w:rPr>
                <w:rFonts w:hint="eastAsia"/>
                <w:color w:val="auto"/>
                <w:sz w:val="24"/>
                <w:szCs w:val="24"/>
                <w:highlight w:val="none"/>
              </w:rPr>
            </w:pPr>
            <w:r>
              <w:rPr>
                <w:rFonts w:hint="eastAsia"/>
                <w:color w:val="auto"/>
                <w:sz w:val="24"/>
                <w:szCs w:val="24"/>
                <w:highlight w:val="none"/>
              </w:rPr>
              <w:t>目整体预留”、</w:t>
            </w:r>
          </w:p>
        </w:tc>
        <w:tc>
          <w:tcPr>
            <w:tcW w:w="2296" w:type="dxa"/>
            <w:tcBorders>
              <w:top w:val="nil"/>
              <w:bottom w:val="nil"/>
            </w:tcBorders>
            <w:noWrap w:val="0"/>
            <w:vAlign w:val="center"/>
          </w:tcPr>
          <w:p>
            <w:pPr>
              <w:pStyle w:val="5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7"/>
              <w:jc w:val="center"/>
              <w:rPr>
                <w:rFonts w:hint="eastAsia"/>
                <w:color w:val="auto"/>
                <w:sz w:val="24"/>
                <w:szCs w:val="24"/>
                <w:highlight w:val="none"/>
              </w:rPr>
            </w:pPr>
          </w:p>
        </w:tc>
        <w:tc>
          <w:tcPr>
            <w:tcW w:w="2010" w:type="dxa"/>
            <w:tcBorders>
              <w:top w:val="nil"/>
              <w:bottom w:val="nil"/>
            </w:tcBorders>
            <w:noWrap w:val="0"/>
            <w:vAlign w:val="center"/>
          </w:tcPr>
          <w:p>
            <w:pPr>
              <w:pStyle w:val="57"/>
              <w:jc w:val="center"/>
              <w:rPr>
                <w:rFonts w:hint="eastAsia"/>
                <w:color w:val="auto"/>
                <w:sz w:val="24"/>
                <w:szCs w:val="24"/>
                <w:highlight w:val="none"/>
              </w:rPr>
            </w:pPr>
            <w:r>
              <w:rPr>
                <w:rFonts w:hint="eastAsia"/>
                <w:color w:val="auto"/>
                <w:sz w:val="24"/>
                <w:szCs w:val="24"/>
                <w:highlight w:val="none"/>
              </w:rPr>
              <w:t>“设置专门采购</w:t>
            </w:r>
          </w:p>
        </w:tc>
        <w:tc>
          <w:tcPr>
            <w:tcW w:w="2296" w:type="dxa"/>
            <w:tcBorders>
              <w:top w:val="nil"/>
              <w:bottom w:val="nil"/>
            </w:tcBorders>
            <w:noWrap w:val="0"/>
            <w:vAlign w:val="center"/>
          </w:tcPr>
          <w:p>
            <w:pPr>
              <w:pStyle w:val="5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7"/>
              <w:jc w:val="center"/>
              <w:rPr>
                <w:rFonts w:hint="eastAsia"/>
                <w:color w:val="auto"/>
                <w:sz w:val="24"/>
                <w:szCs w:val="24"/>
                <w:highlight w:val="none"/>
              </w:rPr>
            </w:pPr>
            <w:r>
              <w:rPr>
                <w:rFonts w:hint="eastAsia"/>
                <w:color w:val="auto"/>
                <w:sz w:val="24"/>
                <w:szCs w:val="24"/>
                <w:highlight w:val="none"/>
              </w:rPr>
              <w:t>（填写集中采</w:t>
            </w:r>
          </w:p>
        </w:tc>
        <w:tc>
          <w:tcPr>
            <w:tcW w:w="2010" w:type="dxa"/>
            <w:tcBorders>
              <w:top w:val="nil"/>
              <w:bottom w:val="nil"/>
            </w:tcBorders>
            <w:noWrap w:val="0"/>
            <w:vAlign w:val="center"/>
          </w:tcPr>
          <w:p>
            <w:pPr>
              <w:pStyle w:val="57"/>
              <w:jc w:val="center"/>
              <w:rPr>
                <w:rFonts w:hint="eastAsia"/>
                <w:color w:val="auto"/>
                <w:sz w:val="24"/>
                <w:szCs w:val="24"/>
                <w:highlight w:val="none"/>
              </w:rPr>
            </w:pPr>
            <w:r>
              <w:rPr>
                <w:rFonts w:hint="eastAsia"/>
                <w:color w:val="auto"/>
                <w:sz w:val="24"/>
                <w:szCs w:val="24"/>
                <w:highlight w:val="none"/>
              </w:rPr>
              <w:t>包”、“要求以</w:t>
            </w:r>
          </w:p>
        </w:tc>
        <w:tc>
          <w:tcPr>
            <w:tcW w:w="2296" w:type="dxa"/>
            <w:tcBorders>
              <w:top w:val="nil"/>
              <w:bottom w:val="nil"/>
            </w:tcBorders>
            <w:noWrap w:val="0"/>
            <w:vAlign w:val="center"/>
          </w:tcPr>
          <w:p>
            <w:pPr>
              <w:pStyle w:val="5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7"/>
              <w:jc w:val="center"/>
              <w:rPr>
                <w:rFonts w:hint="eastAsia"/>
                <w:color w:val="auto"/>
                <w:sz w:val="24"/>
                <w:szCs w:val="24"/>
                <w:highlight w:val="none"/>
              </w:rPr>
            </w:pPr>
            <w:r>
              <w:rPr>
                <w:rFonts w:hint="eastAsia"/>
                <w:color w:val="auto"/>
                <w:sz w:val="24"/>
                <w:szCs w:val="24"/>
                <w:highlight w:val="none"/>
              </w:rPr>
              <w:t>购目录以内或</w:t>
            </w:r>
          </w:p>
        </w:tc>
        <w:tc>
          <w:tcPr>
            <w:tcW w:w="2010" w:type="dxa"/>
            <w:tcBorders>
              <w:top w:val="nil"/>
              <w:bottom w:val="nil"/>
            </w:tcBorders>
            <w:noWrap w:val="0"/>
            <w:vAlign w:val="center"/>
          </w:tcPr>
          <w:p>
            <w:pPr>
              <w:pStyle w:val="57"/>
              <w:jc w:val="center"/>
              <w:rPr>
                <w:rFonts w:hint="eastAsia"/>
                <w:color w:val="auto"/>
                <w:sz w:val="24"/>
                <w:szCs w:val="24"/>
                <w:highlight w:val="none"/>
              </w:rPr>
            </w:pPr>
            <w:r>
              <w:rPr>
                <w:rFonts w:hint="eastAsia"/>
                <w:color w:val="auto"/>
                <w:sz w:val="24"/>
                <w:szCs w:val="24"/>
                <w:highlight w:val="none"/>
              </w:rPr>
              <w:t>联合体形式参</w:t>
            </w:r>
          </w:p>
        </w:tc>
        <w:tc>
          <w:tcPr>
            <w:tcW w:w="2296" w:type="dxa"/>
            <w:tcBorders>
              <w:top w:val="nil"/>
              <w:bottom w:val="nil"/>
            </w:tcBorders>
            <w:noWrap w:val="0"/>
            <w:vAlign w:val="center"/>
          </w:tcPr>
          <w:p>
            <w:pPr>
              <w:pStyle w:val="57"/>
              <w:jc w:val="center"/>
              <w:rPr>
                <w:rFonts w:hint="eastAsia"/>
                <w:color w:val="auto"/>
                <w:sz w:val="24"/>
                <w:szCs w:val="24"/>
                <w:highlight w:val="none"/>
              </w:rPr>
            </w:pPr>
            <w:r>
              <w:rPr>
                <w:rFonts w:hint="eastAsia"/>
                <w:color w:val="auto"/>
                <w:sz w:val="24"/>
                <w:szCs w:val="24"/>
                <w:highlight w:val="none"/>
              </w:rPr>
              <w:t>（精确到万元）</w:t>
            </w: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7"/>
              <w:jc w:val="center"/>
              <w:rPr>
                <w:rFonts w:hint="eastAsia"/>
                <w:color w:val="auto"/>
                <w:sz w:val="24"/>
                <w:szCs w:val="24"/>
                <w:highlight w:val="none"/>
              </w:rPr>
            </w:pPr>
            <w:r>
              <w:rPr>
                <w:rFonts w:hint="eastAsia"/>
                <w:color w:val="auto"/>
                <w:sz w:val="24"/>
                <w:szCs w:val="24"/>
                <w:highlight w:val="none"/>
              </w:rPr>
              <w:t>者采购限额标</w:t>
            </w:r>
          </w:p>
        </w:tc>
        <w:tc>
          <w:tcPr>
            <w:tcW w:w="2010" w:type="dxa"/>
            <w:tcBorders>
              <w:top w:val="nil"/>
              <w:bottom w:val="nil"/>
            </w:tcBorders>
            <w:noWrap w:val="0"/>
            <w:vAlign w:val="center"/>
          </w:tcPr>
          <w:p>
            <w:pPr>
              <w:pStyle w:val="57"/>
              <w:jc w:val="center"/>
              <w:rPr>
                <w:rFonts w:hint="eastAsia"/>
                <w:color w:val="auto"/>
                <w:sz w:val="24"/>
                <w:szCs w:val="24"/>
                <w:highlight w:val="none"/>
              </w:rPr>
            </w:pPr>
            <w:r>
              <w:rPr>
                <w:rFonts w:hint="eastAsia"/>
                <w:color w:val="auto"/>
                <w:sz w:val="24"/>
                <w:szCs w:val="24"/>
                <w:highlight w:val="none"/>
              </w:rPr>
              <w:t>加”或者“要求</w:t>
            </w:r>
          </w:p>
        </w:tc>
        <w:tc>
          <w:tcPr>
            <w:tcW w:w="2296" w:type="dxa"/>
            <w:tcBorders>
              <w:top w:val="nil"/>
              <w:bottom w:val="nil"/>
            </w:tcBorders>
            <w:noWrap w:val="0"/>
            <w:vAlign w:val="center"/>
          </w:tcPr>
          <w:p>
            <w:pPr>
              <w:pStyle w:val="5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7"/>
              <w:jc w:val="center"/>
              <w:rPr>
                <w:rFonts w:hint="eastAsia"/>
                <w:color w:val="auto"/>
                <w:sz w:val="24"/>
                <w:szCs w:val="24"/>
                <w:highlight w:val="none"/>
              </w:rPr>
            </w:pPr>
            <w:r>
              <w:rPr>
                <w:rFonts w:hint="eastAsia"/>
                <w:color w:val="auto"/>
                <w:sz w:val="24"/>
                <w:szCs w:val="24"/>
                <w:highlight w:val="none"/>
              </w:rPr>
              <w:t>准以上的采购项目</w:t>
            </w:r>
          </w:p>
        </w:tc>
        <w:tc>
          <w:tcPr>
            <w:tcW w:w="2010" w:type="dxa"/>
            <w:tcBorders>
              <w:top w:val="nil"/>
              <w:bottom w:val="nil"/>
            </w:tcBorders>
            <w:noWrap w:val="0"/>
            <w:vAlign w:val="center"/>
          </w:tcPr>
          <w:p>
            <w:pPr>
              <w:pStyle w:val="57"/>
              <w:jc w:val="center"/>
              <w:rPr>
                <w:rFonts w:hint="eastAsia"/>
                <w:color w:val="auto"/>
                <w:sz w:val="24"/>
                <w:szCs w:val="24"/>
                <w:highlight w:val="none"/>
              </w:rPr>
            </w:pPr>
            <w:r>
              <w:rPr>
                <w:rFonts w:hint="eastAsia"/>
                <w:color w:val="auto"/>
                <w:sz w:val="24"/>
                <w:szCs w:val="24"/>
                <w:highlight w:val="none"/>
              </w:rPr>
              <w:t>合同分包”，除</w:t>
            </w:r>
          </w:p>
        </w:tc>
        <w:tc>
          <w:tcPr>
            <w:tcW w:w="2296" w:type="dxa"/>
            <w:tcBorders>
              <w:top w:val="nil"/>
              <w:bottom w:val="nil"/>
            </w:tcBorders>
            <w:noWrap w:val="0"/>
            <w:vAlign w:val="center"/>
          </w:tcPr>
          <w:p>
            <w:pPr>
              <w:pStyle w:val="5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7"/>
              <w:jc w:val="center"/>
              <w:rPr>
                <w:rFonts w:hint="eastAsia"/>
                <w:color w:val="auto"/>
                <w:sz w:val="24"/>
                <w:szCs w:val="24"/>
                <w:highlight w:val="none"/>
              </w:rPr>
            </w:pPr>
          </w:p>
        </w:tc>
        <w:tc>
          <w:tcPr>
            <w:tcW w:w="2010" w:type="dxa"/>
            <w:tcBorders>
              <w:top w:val="nil"/>
              <w:bottom w:val="nil"/>
            </w:tcBorders>
            <w:noWrap w:val="0"/>
            <w:vAlign w:val="center"/>
          </w:tcPr>
          <w:p>
            <w:pPr>
              <w:pStyle w:val="57"/>
              <w:jc w:val="center"/>
              <w:rPr>
                <w:rFonts w:hint="eastAsia"/>
                <w:color w:val="auto"/>
                <w:sz w:val="24"/>
                <w:szCs w:val="24"/>
                <w:highlight w:val="none"/>
              </w:rPr>
            </w:pPr>
            <w:r>
              <w:rPr>
                <w:rFonts w:hint="eastAsia"/>
                <w:color w:val="auto"/>
                <w:sz w:val="24"/>
                <w:szCs w:val="24"/>
                <w:highlight w:val="none"/>
              </w:rPr>
              <w:t>“采购项目全部</w:t>
            </w:r>
          </w:p>
        </w:tc>
        <w:tc>
          <w:tcPr>
            <w:tcW w:w="2296" w:type="dxa"/>
            <w:tcBorders>
              <w:top w:val="nil"/>
              <w:bottom w:val="nil"/>
            </w:tcBorders>
            <w:noWrap w:val="0"/>
            <w:vAlign w:val="center"/>
          </w:tcPr>
          <w:p>
            <w:pPr>
              <w:pStyle w:val="5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7"/>
              <w:jc w:val="center"/>
              <w:rPr>
                <w:rFonts w:hint="eastAsia"/>
                <w:color w:val="auto"/>
                <w:sz w:val="24"/>
                <w:szCs w:val="24"/>
                <w:highlight w:val="none"/>
              </w:rPr>
            </w:pPr>
          </w:p>
        </w:tc>
        <w:tc>
          <w:tcPr>
            <w:tcW w:w="2010" w:type="dxa"/>
            <w:tcBorders>
              <w:top w:val="nil"/>
              <w:bottom w:val="nil"/>
            </w:tcBorders>
            <w:noWrap w:val="0"/>
            <w:vAlign w:val="center"/>
          </w:tcPr>
          <w:p>
            <w:pPr>
              <w:pStyle w:val="57"/>
              <w:jc w:val="center"/>
              <w:rPr>
                <w:rFonts w:hint="eastAsia"/>
                <w:color w:val="auto"/>
                <w:sz w:val="24"/>
                <w:szCs w:val="24"/>
                <w:highlight w:val="none"/>
              </w:rPr>
            </w:pPr>
            <w:r>
              <w:rPr>
                <w:rFonts w:hint="eastAsia"/>
                <w:color w:val="auto"/>
                <w:sz w:val="24"/>
                <w:szCs w:val="24"/>
                <w:highlight w:val="none"/>
              </w:rPr>
              <w:t>预留”外，还应</w:t>
            </w:r>
          </w:p>
        </w:tc>
        <w:tc>
          <w:tcPr>
            <w:tcW w:w="2296" w:type="dxa"/>
            <w:tcBorders>
              <w:top w:val="nil"/>
              <w:bottom w:val="nil"/>
            </w:tcBorders>
            <w:noWrap w:val="0"/>
            <w:vAlign w:val="center"/>
          </w:tcPr>
          <w:p>
            <w:pPr>
              <w:pStyle w:val="5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57"/>
              <w:jc w:val="center"/>
              <w:rPr>
                <w:rFonts w:hint="eastAsia"/>
                <w:color w:val="auto"/>
                <w:sz w:val="24"/>
                <w:szCs w:val="24"/>
                <w:highlight w:val="none"/>
              </w:rPr>
            </w:pPr>
          </w:p>
        </w:tc>
        <w:tc>
          <w:tcPr>
            <w:tcW w:w="2010" w:type="dxa"/>
            <w:tcBorders>
              <w:top w:val="nil"/>
              <w:bottom w:val="nil"/>
            </w:tcBorders>
            <w:noWrap w:val="0"/>
            <w:vAlign w:val="center"/>
          </w:tcPr>
          <w:p>
            <w:pPr>
              <w:pStyle w:val="57"/>
              <w:jc w:val="center"/>
              <w:rPr>
                <w:rFonts w:hint="eastAsia"/>
                <w:color w:val="auto"/>
                <w:sz w:val="24"/>
                <w:szCs w:val="24"/>
                <w:highlight w:val="none"/>
              </w:rPr>
            </w:pPr>
            <w:r>
              <w:rPr>
                <w:rFonts w:hint="eastAsia"/>
                <w:color w:val="auto"/>
                <w:sz w:val="24"/>
                <w:szCs w:val="24"/>
                <w:highlight w:val="none"/>
              </w:rPr>
              <w:t>当填写预留给中</w:t>
            </w:r>
          </w:p>
        </w:tc>
        <w:tc>
          <w:tcPr>
            <w:tcW w:w="2296" w:type="dxa"/>
            <w:tcBorders>
              <w:top w:val="nil"/>
              <w:bottom w:val="nil"/>
            </w:tcBorders>
            <w:noWrap w:val="0"/>
            <w:vAlign w:val="center"/>
          </w:tcPr>
          <w:p>
            <w:pPr>
              <w:pStyle w:val="5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tcBorders>
            <w:noWrap w:val="0"/>
            <w:vAlign w:val="center"/>
          </w:tcPr>
          <w:p>
            <w:pPr>
              <w:pStyle w:val="57"/>
              <w:jc w:val="center"/>
              <w:rPr>
                <w:rFonts w:hint="eastAsia"/>
                <w:color w:val="auto"/>
                <w:sz w:val="24"/>
                <w:szCs w:val="24"/>
                <w:highlight w:val="none"/>
              </w:rPr>
            </w:pPr>
          </w:p>
        </w:tc>
        <w:tc>
          <w:tcPr>
            <w:tcW w:w="2010" w:type="dxa"/>
            <w:tcBorders>
              <w:top w:val="nil"/>
            </w:tcBorders>
            <w:noWrap w:val="0"/>
            <w:vAlign w:val="center"/>
          </w:tcPr>
          <w:p>
            <w:pPr>
              <w:pStyle w:val="57"/>
              <w:jc w:val="center"/>
              <w:rPr>
                <w:rFonts w:hint="eastAsia"/>
                <w:color w:val="auto"/>
                <w:sz w:val="24"/>
                <w:szCs w:val="24"/>
                <w:highlight w:val="none"/>
              </w:rPr>
            </w:pPr>
            <w:r>
              <w:rPr>
                <w:rFonts w:hint="eastAsia"/>
                <w:color w:val="auto"/>
                <w:sz w:val="24"/>
                <w:szCs w:val="24"/>
                <w:highlight w:val="none"/>
              </w:rPr>
              <w:t>小企业的比例）</w:t>
            </w:r>
          </w:p>
        </w:tc>
        <w:tc>
          <w:tcPr>
            <w:tcW w:w="2296" w:type="dxa"/>
            <w:tcBorders>
              <w:top w:val="nil"/>
            </w:tcBorders>
            <w:noWrap w:val="0"/>
            <w:vAlign w:val="center"/>
          </w:tcPr>
          <w:p>
            <w:pPr>
              <w:pStyle w:val="5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7"/>
              <w:jc w:val="center"/>
              <w:rPr>
                <w:rFonts w:hint="eastAsia"/>
                <w:color w:val="auto"/>
                <w:sz w:val="24"/>
                <w:szCs w:val="24"/>
                <w:highlight w:val="none"/>
              </w:rPr>
            </w:pPr>
            <w:r>
              <w:rPr>
                <w:rFonts w:hint="eastAsia"/>
                <w:color w:val="auto"/>
                <w:sz w:val="24"/>
                <w:szCs w:val="24"/>
                <w:highlight w:val="none"/>
              </w:rPr>
              <w:t>……</w:t>
            </w:r>
          </w:p>
        </w:tc>
        <w:tc>
          <w:tcPr>
            <w:tcW w:w="1866" w:type="dxa"/>
            <w:noWrap w:val="0"/>
            <w:vAlign w:val="center"/>
          </w:tcPr>
          <w:p>
            <w:pPr>
              <w:pStyle w:val="57"/>
              <w:jc w:val="center"/>
              <w:rPr>
                <w:rFonts w:hint="eastAsia"/>
                <w:color w:val="auto"/>
                <w:sz w:val="24"/>
                <w:szCs w:val="24"/>
                <w:highlight w:val="none"/>
              </w:rPr>
            </w:pPr>
            <w:r>
              <w:rPr>
                <w:rFonts w:hint="eastAsia"/>
                <w:color w:val="auto"/>
                <w:sz w:val="24"/>
                <w:szCs w:val="24"/>
                <w:highlight w:val="none"/>
              </w:rPr>
              <w:t>……</w:t>
            </w:r>
          </w:p>
        </w:tc>
        <w:tc>
          <w:tcPr>
            <w:tcW w:w="2010" w:type="dxa"/>
            <w:noWrap w:val="0"/>
            <w:vAlign w:val="center"/>
          </w:tcPr>
          <w:p>
            <w:pPr>
              <w:pStyle w:val="57"/>
              <w:jc w:val="center"/>
              <w:rPr>
                <w:rFonts w:hint="eastAsia"/>
                <w:color w:val="auto"/>
                <w:sz w:val="24"/>
                <w:szCs w:val="24"/>
                <w:highlight w:val="none"/>
              </w:rPr>
            </w:pPr>
            <w:r>
              <w:rPr>
                <w:rFonts w:hint="eastAsia"/>
                <w:color w:val="auto"/>
                <w:sz w:val="24"/>
                <w:szCs w:val="24"/>
                <w:highlight w:val="none"/>
              </w:rPr>
              <w:t>……</w:t>
            </w:r>
          </w:p>
        </w:tc>
        <w:tc>
          <w:tcPr>
            <w:tcW w:w="2296" w:type="dxa"/>
            <w:noWrap w:val="0"/>
            <w:vAlign w:val="center"/>
          </w:tcPr>
          <w:p>
            <w:pPr>
              <w:pStyle w:val="57"/>
              <w:jc w:val="center"/>
              <w:rPr>
                <w:rFonts w:hint="eastAsia"/>
                <w:color w:val="auto"/>
                <w:sz w:val="24"/>
                <w:szCs w:val="24"/>
                <w:highlight w:val="none"/>
              </w:rPr>
            </w:pPr>
            <w:r>
              <w:rPr>
                <w:rFonts w:hint="eastAsia"/>
                <w:color w:val="auto"/>
                <w:sz w:val="24"/>
                <w:szCs w:val="24"/>
                <w:highlight w:val="none"/>
              </w:rPr>
              <w:t>……</w:t>
            </w:r>
          </w:p>
        </w:tc>
        <w:tc>
          <w:tcPr>
            <w:tcW w:w="1784" w:type="dxa"/>
            <w:noWrap w:val="0"/>
            <w:vAlign w:val="center"/>
          </w:tcPr>
          <w:p>
            <w:pPr>
              <w:pStyle w:val="57"/>
              <w:jc w:val="center"/>
              <w:rPr>
                <w:rFonts w:hint="eastAsia"/>
                <w:color w:val="auto"/>
                <w:sz w:val="24"/>
                <w:szCs w:val="24"/>
                <w:highlight w:val="none"/>
              </w:rPr>
            </w:pPr>
            <w:r>
              <w:rPr>
                <w:rFonts w:hint="eastAsia"/>
                <w:color w:val="auto"/>
                <w:sz w:val="24"/>
                <w:szCs w:val="24"/>
                <w:highlight w:val="none"/>
              </w:rPr>
              <w:t>……</w:t>
            </w:r>
          </w:p>
        </w:tc>
      </w:tr>
    </w:tbl>
    <w:p>
      <w:pPr>
        <w:pStyle w:val="10"/>
        <w:tabs>
          <w:tab w:val="left" w:pos="562"/>
          <w:tab w:val="left" w:pos="3372"/>
          <w:tab w:val="left" w:pos="3653"/>
        </w:tabs>
        <w:spacing w:before="128"/>
        <w:ind w:left="4220" w:right="1843"/>
        <w:rPr>
          <w:rFonts w:hint="eastAsia" w:ascii="宋体" w:hAnsi="宋体" w:cs="宋体"/>
          <w:color w:val="auto"/>
          <w:highlight w:val="none"/>
        </w:rPr>
      </w:pPr>
      <w:r>
        <w:rPr>
          <w:rFonts w:hint="eastAsia" w:ascii="宋体" w:hAnsi="宋体" w:cs="宋体"/>
          <w:color w:val="auto"/>
          <w:highlight w:val="none"/>
        </w:rPr>
        <w:t>部门（单位）名称： 日期：</w:t>
      </w:r>
    </w:p>
    <w:p>
      <w:pPr>
        <w:pStyle w:val="10"/>
        <w:tabs>
          <w:tab w:val="left" w:pos="562"/>
          <w:tab w:val="left" w:pos="3372"/>
          <w:tab w:val="left" w:pos="3653"/>
        </w:tabs>
        <w:rPr>
          <w:rFonts w:hint="eastAsia" w:ascii="宋体" w:hAnsi="宋体" w:cs="宋体"/>
          <w:color w:val="auto"/>
          <w:highlight w:val="none"/>
        </w:rPr>
      </w:pPr>
    </w:p>
    <w:p>
      <w:pPr>
        <w:pStyle w:val="22"/>
        <w:jc w:val="both"/>
        <w:outlineLvl w:val="9"/>
        <w:rPr>
          <w:rFonts w:hint="eastAsia" w:ascii="宋体" w:hAnsi="宋体" w:eastAsia="宋体" w:cs="宋体"/>
          <w:color w:val="auto"/>
          <w:sz w:val="24"/>
          <w:szCs w:val="24"/>
          <w:highlight w:val="none"/>
        </w:rPr>
      </w:pPr>
    </w:p>
    <w:p>
      <w:pPr>
        <w:tabs>
          <w:tab w:val="left" w:pos="360"/>
        </w:tabs>
        <w:outlineLvl w:val="1"/>
        <w:rPr>
          <w:rFonts w:hint="eastAsia"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2、工业和信息化部、国家统计局、国家发展和改革委员会、财政部《关于印发〈中小企业划型标准规定〉的通知》（工信部联企〔2011〕300 号）</w:t>
      </w:r>
    </w:p>
    <w:p>
      <w:pPr>
        <w:pStyle w:val="10"/>
        <w:tabs>
          <w:tab w:val="left" w:pos="562"/>
          <w:tab w:val="left" w:pos="3372"/>
          <w:tab w:val="left" w:pos="3653"/>
        </w:tabs>
        <w:rPr>
          <w:rFonts w:hint="eastAsia" w:ascii="宋体" w:hAnsi="宋体" w:cs="宋体"/>
          <w:color w:val="auto"/>
          <w:highlight w:val="none"/>
        </w:rPr>
      </w:pP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关于印发中小企业划型标准规定的通知</w:t>
      </w:r>
    </w:p>
    <w:p>
      <w:pPr>
        <w:jc w:val="center"/>
        <w:rPr>
          <w:rFonts w:hint="eastAsia" w:ascii="宋体" w:hAnsi="宋体" w:cs="宋体"/>
          <w:color w:val="auto"/>
          <w:sz w:val="24"/>
          <w:highlight w:val="none"/>
        </w:rPr>
      </w:pPr>
      <w:r>
        <w:rPr>
          <w:rFonts w:hint="eastAsia" w:ascii="宋体" w:hAnsi="宋体" w:cs="宋体"/>
          <w:color w:val="auto"/>
          <w:sz w:val="24"/>
          <w:highlight w:val="none"/>
        </w:rPr>
        <w:t>工信部联企业〔2011〕300号</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各省、自治区、直辖市人民政府，国务院各部委、各直属机构及有关单位：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工业和信息化部 国家统计局</w:t>
      </w:r>
    </w:p>
    <w:p>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国家发展和改革委员会 财政部</w:t>
      </w:r>
    </w:p>
    <w:p>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二○一一年六月十八日</w:t>
      </w: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中小企业划型标准规定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四、各行业划型标准为：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auto"/>
          <w:sz w:val="24"/>
          <w:highlight w:val="none"/>
        </w:rPr>
      </w:pPr>
    </w:p>
    <w:p>
      <w:pPr>
        <w:pStyle w:val="22"/>
        <w:jc w:val="both"/>
        <w:outlineLvl w:val="9"/>
        <w:rPr>
          <w:rFonts w:hint="eastAsia" w:ascii="宋体" w:hAnsi="宋体" w:eastAsia="宋体" w:cs="宋体"/>
          <w:color w:val="auto"/>
          <w:sz w:val="24"/>
          <w:szCs w:val="24"/>
          <w:highlight w:val="none"/>
        </w:rPr>
      </w:pPr>
    </w:p>
    <w:p>
      <w:pPr>
        <w:pStyle w:val="22"/>
        <w:jc w:val="both"/>
        <w:outlineLvl w:val="9"/>
        <w:rPr>
          <w:rFonts w:hint="eastAsia" w:ascii="宋体" w:hAnsi="宋体" w:eastAsia="宋体" w:cs="宋体"/>
          <w:color w:val="auto"/>
          <w:sz w:val="24"/>
          <w:szCs w:val="24"/>
          <w:highlight w:val="none"/>
        </w:rPr>
      </w:pPr>
    </w:p>
    <w:p>
      <w:pPr>
        <w:tabs>
          <w:tab w:val="left" w:pos="360"/>
        </w:tabs>
        <w:outlineLvl w:val="1"/>
        <w:rPr>
          <w:rFonts w:hint="eastAsia"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3、国家统计局《关于印发〈统计上大中小微型企业划分办法（2017）〉的通知》</w:t>
      </w:r>
    </w:p>
    <w:p>
      <w:pPr>
        <w:widowControl/>
        <w:shd w:val="clear" w:color="auto" w:fill="FFFFFF"/>
        <w:jc w:val="center"/>
        <w:rPr>
          <w:rFonts w:hint="eastAsia" w:ascii="宋体" w:hAnsi="宋体" w:cs="宋体"/>
          <w:b/>
          <w:bCs/>
          <w:color w:val="auto"/>
          <w:kern w:val="0"/>
          <w:sz w:val="24"/>
          <w:highlight w:val="none"/>
        </w:rPr>
      </w:pPr>
    </w:p>
    <w:p>
      <w:pPr>
        <w:widowControl/>
        <w:shd w:val="clear" w:color="auto" w:fill="FFFFFF"/>
        <w:jc w:val="center"/>
        <w:rPr>
          <w:rFonts w:hint="eastAsia" w:ascii="宋体" w:hAnsi="宋体" w:cs="宋体"/>
          <w:b/>
          <w:color w:val="auto"/>
          <w:kern w:val="0"/>
          <w:sz w:val="24"/>
          <w:highlight w:val="none"/>
        </w:rPr>
      </w:pPr>
      <w:r>
        <w:rPr>
          <w:rFonts w:hint="eastAsia" w:ascii="宋体" w:hAnsi="宋体" w:cs="宋体"/>
          <w:b/>
          <w:bCs/>
          <w:color w:val="auto"/>
          <w:kern w:val="0"/>
          <w:sz w:val="24"/>
          <w:highlight w:val="none"/>
        </w:rPr>
        <w:t>国家统计局关于印发《统计上大中小微型企业划分办法（2017）》的通知</w:t>
      </w:r>
    </w:p>
    <w:p>
      <w:pPr>
        <w:widowControl/>
        <w:shd w:val="clear" w:color="auto" w:fill="FFFFFF"/>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附件：《统计上大中小微型企业划分办法（2017）》修订说明</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国家统计局</w:t>
      </w:r>
    </w:p>
    <w:p>
      <w:pPr>
        <w:widowControl/>
        <w:shd w:val="clear" w:color="auto" w:fill="FFFFFF"/>
        <w:ind w:firstLine="480" w:firstLineChars="20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2017年12月28日</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统计上大中小微型企业划分办法（2017）</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附表：统计上大中小微型企业划分标准</w:t>
      </w:r>
    </w:p>
    <w:p>
      <w:pPr>
        <w:widowControl/>
        <w:jc w:val="left"/>
        <w:rPr>
          <w:rFonts w:hint="eastAsia" w:ascii="宋体" w:hAnsi="宋体" w:cs="宋体"/>
          <w:color w:val="auto"/>
          <w:kern w:val="0"/>
          <w:sz w:val="24"/>
          <w:highlight w:val="none"/>
        </w:rPr>
      </w:pP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附表：</w:t>
      </w:r>
    </w:p>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统计上大中小微型企业划分标准</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行业名称</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指标名称</w:t>
            </w:r>
          </w:p>
        </w:tc>
        <w:tc>
          <w:tcPr>
            <w:tcW w:w="727" w:type="dxa"/>
            <w:noWrap w:val="0"/>
            <w:vAlign w:val="center"/>
          </w:tcPr>
          <w:p>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计量</w:t>
            </w:r>
          </w:p>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单位</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大型</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中型</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小型</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农、林、牧、渔业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50≤Y＜500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工业 *</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2000≤Y＜40000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300≤Y＜2000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建筑业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Y≥80000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6000≤Y＜80000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300≤Y＜6000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Z≥80000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5000≤Z＜80000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300≤Z＜5000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批发业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20≤X＜200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5≤X＜20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5000≤Y＜40000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1000≤Y＜5000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零售业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10≤X＜50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100≤Y＜500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交通运输业 *</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3000≤Y＜30000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200≤Y＜3000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仓储业*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100≤X＜200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1000≤Y＜30000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邮政业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2000≤Y＜30000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住宿业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餐饮业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信息传输业 *</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100≤X＜2000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1000≤Y＜100000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软件和信息技术服务业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1000≤Y＜10000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房地产开发经营</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1000≤Y＜200000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Z≥10000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5000≤Z＜10000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2000≤Z＜5000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物业管理</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1000≤Y＜5000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租赁和商务服务业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Z≥120000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8000≤Z＜120000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100≤Z＜8000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其他未列明行业 *</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bl>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说明：</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0"/>
        <w:tabs>
          <w:tab w:val="left" w:pos="562"/>
          <w:tab w:val="left" w:pos="3372"/>
          <w:tab w:val="left" w:pos="3653"/>
        </w:tabs>
        <w:rPr>
          <w:rFonts w:hint="eastAsia" w:ascii="宋体" w:hAnsi="宋体" w:cs="宋体"/>
          <w:color w:val="auto"/>
          <w:highlight w:val="none"/>
        </w:rPr>
      </w:pPr>
    </w:p>
    <w:p>
      <w:pPr>
        <w:pStyle w:val="22"/>
        <w:outlineLvl w:val="9"/>
        <w:rPr>
          <w:rFonts w:hint="eastAsia" w:ascii="宋体" w:hAnsi="宋体" w:eastAsia="宋体" w:cs="宋体"/>
          <w:color w:val="auto"/>
          <w:sz w:val="24"/>
          <w:szCs w:val="24"/>
          <w:highlight w:val="none"/>
        </w:rPr>
      </w:pPr>
    </w:p>
    <w:p>
      <w:pPr>
        <w:tabs>
          <w:tab w:val="left" w:pos="360"/>
        </w:tabs>
        <w:outlineLvl w:val="1"/>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4、财政部、民政部、中国残联《关于促进残疾人就业政府采购政策的通知》（财库〔2017〕141 号）</w:t>
      </w:r>
    </w:p>
    <w:p>
      <w:pPr>
        <w:shd w:val="clear" w:color="auto" w:fill="FFFFFF"/>
        <w:rPr>
          <w:rFonts w:hint="eastAsia" w:ascii="宋体" w:hAnsi="宋体" w:cs="宋体"/>
          <w:bCs/>
          <w:color w:val="auto"/>
          <w:sz w:val="24"/>
          <w:highlight w:val="none"/>
        </w:rPr>
      </w:pPr>
    </w:p>
    <w:p>
      <w:pPr>
        <w:shd w:val="clear" w:color="auto" w:fill="FFFFFF"/>
        <w:rPr>
          <w:rFonts w:hint="eastAsia" w:ascii="宋体" w:hAnsi="宋体" w:cs="宋体"/>
          <w:bCs/>
          <w:color w:val="auto"/>
          <w:sz w:val="24"/>
          <w:highlight w:val="none"/>
        </w:rPr>
      </w:pPr>
      <w:r>
        <w:rPr>
          <w:rFonts w:hint="eastAsia" w:ascii="宋体" w:hAnsi="宋体" w:cs="宋体"/>
          <w:bCs/>
          <w:color w:val="auto"/>
          <w:sz w:val="24"/>
          <w:highlight w:val="none"/>
        </w:rPr>
        <w:t>关于促进残疾人就业政府采购政策的通知</w:t>
      </w:r>
    </w:p>
    <w:p>
      <w:pPr>
        <w:pStyle w:val="21"/>
        <w:shd w:val="clear" w:color="auto" w:fill="FFFFFF"/>
        <w:spacing w:before="0" w:beforeAutospacing="0" w:after="0" w:afterAutospacing="0"/>
        <w:jc w:val="center"/>
        <w:rPr>
          <w:rFonts w:hint="eastAsia"/>
          <w:color w:val="auto"/>
          <w:highlight w:val="none"/>
        </w:rPr>
      </w:pPr>
      <w:r>
        <w:rPr>
          <w:rFonts w:hint="eastAsia"/>
          <w:color w:val="auto"/>
          <w:highlight w:val="none"/>
        </w:rPr>
        <w:t>　　</w:t>
      </w:r>
      <w:bookmarkStart w:id="27" w:name="sendNo"/>
      <w:r>
        <w:rPr>
          <w:rFonts w:hint="eastAsia"/>
          <w:color w:val="auto"/>
          <w:highlight w:val="none"/>
        </w:rPr>
        <w:t>财库〔</w:t>
      </w:r>
      <w:bookmarkEnd w:id="27"/>
      <w:r>
        <w:rPr>
          <w:rFonts w:hint="eastAsia"/>
          <w:color w:val="auto"/>
          <w:highlight w:val="none"/>
        </w:rPr>
        <w:t>2017〕141号</w:t>
      </w:r>
    </w:p>
    <w:p>
      <w:pPr>
        <w:pStyle w:val="21"/>
        <w:shd w:val="clear" w:color="auto" w:fill="FFFFFF"/>
        <w:spacing w:before="0" w:beforeAutospacing="0" w:after="0" w:afterAutospacing="0"/>
        <w:ind w:firstLine="480" w:firstLineChars="200"/>
        <w:rPr>
          <w:rFonts w:hint="eastAsia"/>
          <w:color w:val="auto"/>
          <w:highlight w:val="none"/>
        </w:rPr>
      </w:pPr>
      <w:bookmarkStart w:id="28" w:name="toDeptId"/>
      <w:r>
        <w:rPr>
          <w:rFonts w:hint="eastAsia"/>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color w:val="auto"/>
          <w:highlight w:val="none"/>
        </w:rPr>
        <w:t>：</w:t>
      </w:r>
    </w:p>
    <w:p>
      <w:pPr>
        <w:pStyle w:val="21"/>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为了发挥政府采购促进残疾人就业的作用，进一步保障残疾人权益，依照《政府采购法》、《残疾人保障法》等法律法规及相关规定，现就促进残疾人就业政府采购政策通知如下：</w:t>
      </w:r>
    </w:p>
    <w:p>
      <w:pPr>
        <w:pStyle w:val="21"/>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一、享受政府采购支持政策的残疾人福利性单位应当同时满足以下条件：</w:t>
      </w:r>
    </w:p>
    <w:p>
      <w:pPr>
        <w:pStyle w:val="21"/>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（一）安置的残疾人占本单位在职职工人数的比例不低于25%（含25%），并且安置的残疾人人数不少于10人（含10人）；</w:t>
      </w:r>
    </w:p>
    <w:p>
      <w:pPr>
        <w:pStyle w:val="21"/>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（二）依法与安置的每位残疾人签订了一年以上（含一年）的劳动合同或服务协议；</w:t>
      </w:r>
    </w:p>
    <w:p>
      <w:pPr>
        <w:pStyle w:val="21"/>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（三）为安置的每位残疾人按月足额缴纳了基本养老保险、基本医疗保险、失业保险、工伤保险和生育保险等社会保险费；</w:t>
      </w:r>
    </w:p>
    <w:p>
      <w:pPr>
        <w:pStyle w:val="21"/>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（四）通过银行等金融机构向安置的每位残疾人，按月支付了不低于单位所在区县适用的经省级人民政府批准的月最低工资标准的工资；</w:t>
      </w:r>
    </w:p>
    <w:p>
      <w:pPr>
        <w:pStyle w:val="21"/>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（五）提供本单位制造的货物、承担的工程或者服务（以下简称产品），或者提供其他残疾人福利性单位制造的货物（不包括使用非残疾人福利性单位注册商标的货物）。</w:t>
      </w:r>
    </w:p>
    <w:p>
      <w:pPr>
        <w:pStyle w:val="21"/>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1"/>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中标、成交供应商为残疾人福利性单位的，采购人或者其委托的采购代理机构应当随中标、成交结果同时公告其《残疾人福利性单位声明函》，接受社会监督。</w:t>
      </w:r>
    </w:p>
    <w:p>
      <w:pPr>
        <w:pStyle w:val="21"/>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供应商提供的《残疾人福利性单位声明函》与事实不符的，依照《政府采购法》第七十七条第一款的规定追究法律责任。</w:t>
      </w:r>
    </w:p>
    <w:p>
      <w:pPr>
        <w:pStyle w:val="21"/>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1"/>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四、采购人采购公开招标数额标准以上的货物或者服务，因落实促进残疾人就业政策的需要，依法履行有关报批程序后，可采用公开招标以外的采购方式。</w:t>
      </w:r>
    </w:p>
    <w:p>
      <w:pPr>
        <w:pStyle w:val="21"/>
        <w:shd w:val="clear" w:color="auto" w:fill="FFFFFF"/>
        <w:spacing w:before="0" w:beforeAutospacing="0" w:after="0" w:afterAutospacing="0" w:line="560" w:lineRule="exact"/>
        <w:ind w:firstLine="480" w:firstLineChars="200"/>
        <w:rPr>
          <w:rFonts w:hint="eastAsia"/>
          <w:color w:val="auto"/>
          <w:highlight w:val="none"/>
        </w:rPr>
      </w:pPr>
      <w:r>
        <w:rPr>
          <w:rFonts w:hint="eastAsia"/>
          <w:color w:val="auto"/>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1"/>
        <w:shd w:val="clear" w:color="auto" w:fill="FFFFFF"/>
        <w:spacing w:before="0" w:beforeAutospacing="0" w:after="0" w:afterAutospacing="0" w:line="560" w:lineRule="exact"/>
        <w:ind w:firstLine="480" w:firstLineChars="200"/>
        <w:rPr>
          <w:rFonts w:hint="eastAsia"/>
          <w:color w:val="auto"/>
          <w:highlight w:val="none"/>
        </w:rPr>
      </w:pPr>
      <w:r>
        <w:rPr>
          <w:rFonts w:hint="eastAsia"/>
          <w:color w:val="auto"/>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1"/>
        <w:shd w:val="clear" w:color="auto" w:fill="FFFFFF"/>
        <w:spacing w:before="0" w:beforeAutospacing="0" w:after="0" w:afterAutospacing="0" w:line="560" w:lineRule="exact"/>
        <w:ind w:firstLine="480" w:firstLineChars="200"/>
        <w:rPr>
          <w:rFonts w:hint="eastAsia"/>
          <w:color w:val="auto"/>
          <w:highlight w:val="none"/>
        </w:rPr>
      </w:pPr>
      <w:r>
        <w:rPr>
          <w:rFonts w:hint="eastAsia"/>
          <w:color w:val="auto"/>
          <w:highlight w:val="none"/>
        </w:rPr>
        <w:t>七、本通知自2017年10月1日起执行。</w:t>
      </w:r>
    </w:p>
    <w:p>
      <w:pPr>
        <w:pStyle w:val="21"/>
        <w:shd w:val="clear" w:color="auto" w:fill="FFFFFF"/>
        <w:spacing w:before="0" w:beforeAutospacing="0" w:after="0" w:afterAutospacing="0" w:line="560" w:lineRule="exact"/>
        <w:ind w:firstLine="480" w:firstLineChars="200"/>
        <w:jc w:val="right"/>
        <w:rPr>
          <w:rFonts w:hint="eastAsia"/>
          <w:color w:val="auto"/>
          <w:highlight w:val="none"/>
        </w:rPr>
      </w:pPr>
      <w:r>
        <w:rPr>
          <w:rFonts w:hint="eastAsia"/>
          <w:color w:val="auto"/>
          <w:highlight w:val="none"/>
        </w:rPr>
        <w:t>财政部 民政部 中国残疾人联合会</w:t>
      </w:r>
    </w:p>
    <w:p>
      <w:pPr>
        <w:pStyle w:val="21"/>
        <w:shd w:val="clear" w:color="auto" w:fill="FFFFFF"/>
        <w:spacing w:before="0" w:beforeAutospacing="0" w:after="0" w:afterAutospacing="0" w:line="560" w:lineRule="exact"/>
        <w:ind w:firstLine="480" w:firstLineChars="200"/>
        <w:jc w:val="right"/>
        <w:rPr>
          <w:rFonts w:hint="eastAsia"/>
          <w:color w:val="auto"/>
          <w:highlight w:val="none"/>
        </w:rPr>
      </w:pPr>
      <w:r>
        <w:rPr>
          <w:rFonts w:hint="eastAsia"/>
          <w:color w:val="auto"/>
          <w:highlight w:val="none"/>
        </w:rPr>
        <w:t>2017年8月22日</w:t>
      </w:r>
    </w:p>
    <w:p>
      <w:pPr>
        <w:pStyle w:val="58"/>
        <w:shd w:val="clear" w:color="auto" w:fill="FFFFFF"/>
        <w:spacing w:before="0" w:beforeAutospacing="0" w:after="0" w:afterAutospacing="0" w:line="560" w:lineRule="exact"/>
        <w:jc w:val="both"/>
        <w:rPr>
          <w:rFonts w:hint="eastAsia"/>
          <w:color w:val="auto"/>
          <w:highlight w:val="none"/>
        </w:rPr>
      </w:pPr>
      <w:r>
        <w:rPr>
          <w:rFonts w:hint="eastAsia"/>
          <w:color w:val="auto"/>
          <w:highlight w:val="none"/>
        </w:rPr>
        <w:t>附件：</w:t>
      </w:r>
    </w:p>
    <w:p>
      <w:pPr>
        <w:pStyle w:val="58"/>
        <w:shd w:val="clear" w:color="auto" w:fill="FFFFFF"/>
        <w:spacing w:before="0" w:beforeAutospacing="0" w:after="0" w:afterAutospacing="0" w:line="560" w:lineRule="exact"/>
        <w:ind w:firstLine="482" w:firstLineChars="200"/>
        <w:jc w:val="center"/>
        <w:rPr>
          <w:rFonts w:hint="eastAsia"/>
          <w:color w:val="auto"/>
          <w:highlight w:val="none"/>
        </w:rPr>
      </w:pPr>
      <w:r>
        <w:rPr>
          <w:rStyle w:val="41"/>
          <w:rFonts w:hint="eastAsia"/>
          <w:b/>
          <w:bCs/>
          <w:color w:val="auto"/>
          <w:highlight w:val="none"/>
        </w:rPr>
        <w:t>残疾人福利性单位声明函</w:t>
      </w:r>
    </w:p>
    <w:p>
      <w:pPr>
        <w:pStyle w:val="58"/>
        <w:shd w:val="clear" w:color="auto" w:fill="FFFFFF"/>
        <w:spacing w:before="0" w:beforeAutospacing="0" w:after="0" w:afterAutospacing="0" w:line="560" w:lineRule="exact"/>
        <w:ind w:firstLine="480" w:firstLineChars="200"/>
        <w:jc w:val="both"/>
        <w:rPr>
          <w:rFonts w:hint="eastAsia"/>
          <w:color w:val="auto"/>
          <w:highlight w:val="none"/>
        </w:rPr>
      </w:pPr>
      <w:r>
        <w:rPr>
          <w:rStyle w:val="41"/>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8"/>
        <w:shd w:val="clear" w:color="auto" w:fill="FFFFFF"/>
        <w:spacing w:before="0" w:beforeAutospacing="0" w:after="0" w:afterAutospacing="0" w:line="560" w:lineRule="exact"/>
        <w:ind w:firstLine="480" w:firstLineChars="200"/>
        <w:jc w:val="both"/>
        <w:rPr>
          <w:rFonts w:hint="eastAsia"/>
          <w:color w:val="auto"/>
          <w:highlight w:val="none"/>
        </w:rPr>
      </w:pPr>
      <w:r>
        <w:rPr>
          <w:rStyle w:val="41"/>
          <w:rFonts w:hint="eastAsia"/>
          <w:color w:val="auto"/>
          <w:highlight w:val="none"/>
        </w:rPr>
        <w:t>本单位对上述声明的真实性负责。如有虚假，将依法承担相应责任。</w:t>
      </w:r>
    </w:p>
    <w:p>
      <w:pPr>
        <w:pStyle w:val="58"/>
        <w:shd w:val="clear" w:color="auto" w:fill="FFFFFF"/>
        <w:spacing w:before="0" w:beforeAutospacing="0" w:after="0" w:afterAutospacing="0" w:line="560" w:lineRule="exact"/>
        <w:ind w:firstLine="480" w:firstLineChars="200"/>
        <w:jc w:val="both"/>
        <w:rPr>
          <w:rFonts w:hint="eastAsia"/>
          <w:color w:val="auto"/>
          <w:highlight w:val="none"/>
        </w:rPr>
      </w:pPr>
      <w:r>
        <w:rPr>
          <w:rFonts w:hint="eastAsia"/>
          <w:color w:val="auto"/>
          <w:highlight w:val="none"/>
        </w:rPr>
        <w:t>投标人已知悉《关于促进残疾人就业政府采购政策的通知》（财库〔2017〕141 号）的规定，承诺提供的声明函内容是真实的，如提供声明函内容不实，则依法追究相关法律责任。</w:t>
      </w:r>
    </w:p>
    <w:p>
      <w:pPr>
        <w:pStyle w:val="58"/>
        <w:shd w:val="clear" w:color="auto" w:fill="FFFFFF"/>
        <w:spacing w:before="0" w:beforeAutospacing="0" w:after="0" w:afterAutospacing="0" w:line="560" w:lineRule="exact"/>
        <w:ind w:right="2100" w:rightChars="1000"/>
        <w:jc w:val="right"/>
        <w:rPr>
          <w:rFonts w:hint="eastAsia"/>
          <w:color w:val="auto"/>
          <w:highlight w:val="none"/>
        </w:rPr>
      </w:pPr>
      <w:r>
        <w:rPr>
          <w:rStyle w:val="41"/>
          <w:rFonts w:hint="eastAsia"/>
          <w:color w:val="auto"/>
          <w:highlight w:val="none"/>
        </w:rPr>
        <w:t>单位名称（盖章）：</w:t>
      </w:r>
    </w:p>
    <w:p>
      <w:pPr>
        <w:pStyle w:val="58"/>
        <w:shd w:val="clear" w:color="auto" w:fill="FFFFFF"/>
        <w:spacing w:before="0" w:beforeAutospacing="0" w:after="0" w:afterAutospacing="0" w:line="560" w:lineRule="exact"/>
        <w:ind w:right="2100" w:rightChars="1000"/>
        <w:jc w:val="right"/>
        <w:rPr>
          <w:rFonts w:hint="eastAsia"/>
          <w:color w:val="auto"/>
          <w:highlight w:val="none"/>
          <w:lang w:val="fr-CH"/>
        </w:rPr>
      </w:pPr>
      <w:r>
        <w:rPr>
          <w:rStyle w:val="41"/>
          <w:rFonts w:hint="eastAsia"/>
          <w:color w:val="auto"/>
          <w:highlight w:val="none"/>
        </w:rPr>
        <w:t>日 期：</w:t>
      </w:r>
    </w:p>
    <w:p>
      <w:pPr>
        <w:tabs>
          <w:tab w:val="left" w:pos="640"/>
          <w:tab w:val="left" w:pos="1260"/>
          <w:tab w:val="left" w:pos="1418"/>
        </w:tabs>
        <w:spacing w:line="360" w:lineRule="auto"/>
        <w:ind w:right="-420" w:rightChars="-200"/>
        <w:rPr>
          <w:rFonts w:hint="eastAsia" w:ascii="宋体" w:hAnsi="宋体" w:cs="宋体"/>
          <w:color w:val="auto"/>
          <w:sz w:val="24"/>
          <w:highlight w:val="none"/>
          <w:lang w:val="fr-CH"/>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长城仿宋">
    <w:altName w:val="仿宋"/>
    <w:panose1 w:val="00000000000000000000"/>
    <w:charset w:val="00"/>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8"/>
        <w:rFonts w:ascii="宋体" w:hAnsi="宋体"/>
        <w:sz w:val="28"/>
        <w:szCs w:val="28"/>
      </w:rPr>
      <w:instrText xml:space="preserve">PAGE  </w:instrText>
    </w:r>
    <w:r>
      <w:rPr>
        <w:rFonts w:ascii="宋体" w:hAnsi="宋体"/>
        <w:sz w:val="28"/>
        <w:szCs w:val="28"/>
      </w:rPr>
      <w:fldChar w:fldCharType="separate"/>
    </w:r>
    <w:r>
      <w:rPr>
        <w:rStyle w:val="28"/>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8"/>
        <w:rFonts w:ascii="宋体" w:hAnsi="宋体"/>
        <w:sz w:val="28"/>
        <w:szCs w:val="28"/>
      </w:rPr>
      <w:instrText xml:space="preserve">PAGE  </w:instrText>
    </w:r>
    <w:r>
      <w:rPr>
        <w:rFonts w:ascii="宋体" w:hAnsi="宋体"/>
        <w:sz w:val="28"/>
        <w:szCs w:val="28"/>
      </w:rPr>
      <w:fldChar w:fldCharType="separate"/>
    </w:r>
    <w:r>
      <w:rPr>
        <w:rStyle w:val="28"/>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9"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刘军帅20230630"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7">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520A9610"/>
    <w:multiLevelType w:val="singleLevel"/>
    <w:tmpl w:val="520A9610"/>
    <w:lvl w:ilvl="0" w:tentative="0">
      <w:start w:val="15"/>
      <w:numFmt w:val="chineseCounting"/>
      <w:suff w:val="space"/>
      <w:lvlText w:val="第%1条"/>
      <w:lvlJc w:val="left"/>
      <w:rPr>
        <w:rFonts w:hint="eastAsia"/>
      </w:r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8"/>
  </w:num>
  <w:num w:numId="5">
    <w:abstractNumId w:val="5"/>
  </w:num>
  <w:num w:numId="6">
    <w:abstractNumId w:val="10"/>
  </w:num>
  <w:num w:numId="7">
    <w:abstractNumId w:val="9"/>
  </w:num>
  <w:num w:numId="8">
    <w:abstractNumId w:val="3"/>
  </w:num>
  <w:num w:numId="9">
    <w:abstractNumId w:val="6"/>
  </w:num>
  <w:num w:numId="10">
    <w:abstractNumId w:val="1"/>
  </w:num>
  <w:num w:numId="11">
    <w:abstractNumId w:val="0"/>
  </w:num>
  <w:num w:numId="12">
    <w:abstractNumId w:val="7"/>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WE3MTVkODBjNDk2ODkyNzFiYzZmZGRmMDcyNDEifQ=="/>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26FED"/>
    <w:rsid w:val="000310A0"/>
    <w:rsid w:val="00031A87"/>
    <w:rsid w:val="00032953"/>
    <w:rsid w:val="000362D8"/>
    <w:rsid w:val="00037AD7"/>
    <w:rsid w:val="0004035A"/>
    <w:rsid w:val="000448BB"/>
    <w:rsid w:val="0004493F"/>
    <w:rsid w:val="00045D2D"/>
    <w:rsid w:val="00046AA0"/>
    <w:rsid w:val="000504B2"/>
    <w:rsid w:val="0005157D"/>
    <w:rsid w:val="00053D50"/>
    <w:rsid w:val="00056078"/>
    <w:rsid w:val="00061AD3"/>
    <w:rsid w:val="000654B8"/>
    <w:rsid w:val="000658CA"/>
    <w:rsid w:val="00067C19"/>
    <w:rsid w:val="00070BB4"/>
    <w:rsid w:val="00073E2D"/>
    <w:rsid w:val="00074F8A"/>
    <w:rsid w:val="00077143"/>
    <w:rsid w:val="0007743F"/>
    <w:rsid w:val="000775E5"/>
    <w:rsid w:val="0007776A"/>
    <w:rsid w:val="000804FB"/>
    <w:rsid w:val="00083B7F"/>
    <w:rsid w:val="00084902"/>
    <w:rsid w:val="00084D07"/>
    <w:rsid w:val="000860DA"/>
    <w:rsid w:val="00091357"/>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43EA"/>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1981"/>
    <w:rsid w:val="000D3B08"/>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5349"/>
    <w:rsid w:val="001167AD"/>
    <w:rsid w:val="001170A0"/>
    <w:rsid w:val="00120C0F"/>
    <w:rsid w:val="001219F1"/>
    <w:rsid w:val="00122CC4"/>
    <w:rsid w:val="00126551"/>
    <w:rsid w:val="0012710C"/>
    <w:rsid w:val="001275D1"/>
    <w:rsid w:val="00130AF0"/>
    <w:rsid w:val="00132F8C"/>
    <w:rsid w:val="001332D0"/>
    <w:rsid w:val="00133771"/>
    <w:rsid w:val="00133C62"/>
    <w:rsid w:val="001346D2"/>
    <w:rsid w:val="00135F03"/>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506"/>
    <w:rsid w:val="00163757"/>
    <w:rsid w:val="00163F61"/>
    <w:rsid w:val="001646EE"/>
    <w:rsid w:val="00164AAE"/>
    <w:rsid w:val="001650A6"/>
    <w:rsid w:val="00165F2A"/>
    <w:rsid w:val="001669D4"/>
    <w:rsid w:val="00166C2F"/>
    <w:rsid w:val="0017292D"/>
    <w:rsid w:val="00172EFE"/>
    <w:rsid w:val="00173067"/>
    <w:rsid w:val="00174DDD"/>
    <w:rsid w:val="00175536"/>
    <w:rsid w:val="001755DC"/>
    <w:rsid w:val="00175AC4"/>
    <w:rsid w:val="00175CB9"/>
    <w:rsid w:val="00176A4E"/>
    <w:rsid w:val="00181D99"/>
    <w:rsid w:val="00182CEB"/>
    <w:rsid w:val="00184339"/>
    <w:rsid w:val="00184E1A"/>
    <w:rsid w:val="00185C7A"/>
    <w:rsid w:val="00185EB3"/>
    <w:rsid w:val="00185EB5"/>
    <w:rsid w:val="00187AD2"/>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AE4"/>
    <w:rsid w:val="00221D29"/>
    <w:rsid w:val="0022369F"/>
    <w:rsid w:val="002236AC"/>
    <w:rsid w:val="00226910"/>
    <w:rsid w:val="00227013"/>
    <w:rsid w:val="00227611"/>
    <w:rsid w:val="00230164"/>
    <w:rsid w:val="0023084A"/>
    <w:rsid w:val="00231F8E"/>
    <w:rsid w:val="002329DD"/>
    <w:rsid w:val="0023484D"/>
    <w:rsid w:val="00235A6F"/>
    <w:rsid w:val="00236028"/>
    <w:rsid w:val="002360BE"/>
    <w:rsid w:val="0023643C"/>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3A"/>
    <w:rsid w:val="002617B3"/>
    <w:rsid w:val="002625C9"/>
    <w:rsid w:val="00265059"/>
    <w:rsid w:val="00265BA1"/>
    <w:rsid w:val="00266382"/>
    <w:rsid w:val="00267B4D"/>
    <w:rsid w:val="00270F9D"/>
    <w:rsid w:val="002716C3"/>
    <w:rsid w:val="002729B1"/>
    <w:rsid w:val="002752B7"/>
    <w:rsid w:val="00275862"/>
    <w:rsid w:val="0028095D"/>
    <w:rsid w:val="00281CA3"/>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3118"/>
    <w:rsid w:val="002B31C6"/>
    <w:rsid w:val="002B3FB9"/>
    <w:rsid w:val="002B6BC2"/>
    <w:rsid w:val="002B72CA"/>
    <w:rsid w:val="002C0C27"/>
    <w:rsid w:val="002C12DB"/>
    <w:rsid w:val="002C2855"/>
    <w:rsid w:val="002C2F38"/>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3EF1"/>
    <w:rsid w:val="004046FC"/>
    <w:rsid w:val="00404D76"/>
    <w:rsid w:val="00405AC8"/>
    <w:rsid w:val="0040689F"/>
    <w:rsid w:val="00412D52"/>
    <w:rsid w:val="0041373D"/>
    <w:rsid w:val="00413E34"/>
    <w:rsid w:val="004146D1"/>
    <w:rsid w:val="00414EF7"/>
    <w:rsid w:val="004150C5"/>
    <w:rsid w:val="004155E0"/>
    <w:rsid w:val="0041589D"/>
    <w:rsid w:val="00416022"/>
    <w:rsid w:val="004168D6"/>
    <w:rsid w:val="0041725B"/>
    <w:rsid w:val="00417958"/>
    <w:rsid w:val="0042262D"/>
    <w:rsid w:val="00422715"/>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4394"/>
    <w:rsid w:val="00436384"/>
    <w:rsid w:val="00436974"/>
    <w:rsid w:val="004404BE"/>
    <w:rsid w:val="00441097"/>
    <w:rsid w:val="004415B2"/>
    <w:rsid w:val="004423D8"/>
    <w:rsid w:val="004429E3"/>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2E09"/>
    <w:rsid w:val="004832E4"/>
    <w:rsid w:val="00484F92"/>
    <w:rsid w:val="004852A1"/>
    <w:rsid w:val="00485C04"/>
    <w:rsid w:val="00490EC1"/>
    <w:rsid w:val="00491106"/>
    <w:rsid w:val="00491CAC"/>
    <w:rsid w:val="004926D4"/>
    <w:rsid w:val="00495CC5"/>
    <w:rsid w:val="00496591"/>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CEB"/>
    <w:rsid w:val="004E3D12"/>
    <w:rsid w:val="004E46C3"/>
    <w:rsid w:val="004E4A84"/>
    <w:rsid w:val="004E4FF3"/>
    <w:rsid w:val="004E5BE8"/>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356"/>
    <w:rsid w:val="0052301E"/>
    <w:rsid w:val="00523446"/>
    <w:rsid w:val="005245DD"/>
    <w:rsid w:val="00524CA4"/>
    <w:rsid w:val="005258E6"/>
    <w:rsid w:val="0052679B"/>
    <w:rsid w:val="005272F0"/>
    <w:rsid w:val="00527665"/>
    <w:rsid w:val="00531A71"/>
    <w:rsid w:val="00531B43"/>
    <w:rsid w:val="00533EB1"/>
    <w:rsid w:val="00535647"/>
    <w:rsid w:val="00535A89"/>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3A6"/>
    <w:rsid w:val="005B25F6"/>
    <w:rsid w:val="005B2EB2"/>
    <w:rsid w:val="005B302C"/>
    <w:rsid w:val="005B70FC"/>
    <w:rsid w:val="005B71AC"/>
    <w:rsid w:val="005B735E"/>
    <w:rsid w:val="005B7414"/>
    <w:rsid w:val="005B7FE4"/>
    <w:rsid w:val="005C0689"/>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3EC7"/>
    <w:rsid w:val="005E3F87"/>
    <w:rsid w:val="005E4BA3"/>
    <w:rsid w:val="005E4E75"/>
    <w:rsid w:val="005E5ADE"/>
    <w:rsid w:val="005E608E"/>
    <w:rsid w:val="005E719A"/>
    <w:rsid w:val="005E74F7"/>
    <w:rsid w:val="005F14A6"/>
    <w:rsid w:val="005F1A60"/>
    <w:rsid w:val="005F33FF"/>
    <w:rsid w:val="005F3BD4"/>
    <w:rsid w:val="005F4019"/>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3E0"/>
    <w:rsid w:val="006725A4"/>
    <w:rsid w:val="00673A0D"/>
    <w:rsid w:val="006773E9"/>
    <w:rsid w:val="0068015D"/>
    <w:rsid w:val="00680904"/>
    <w:rsid w:val="00680988"/>
    <w:rsid w:val="00682FB8"/>
    <w:rsid w:val="006832C3"/>
    <w:rsid w:val="006835FE"/>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D90"/>
    <w:rsid w:val="00717E6D"/>
    <w:rsid w:val="007214E0"/>
    <w:rsid w:val="00721A3A"/>
    <w:rsid w:val="007224FA"/>
    <w:rsid w:val="00722D1B"/>
    <w:rsid w:val="00723846"/>
    <w:rsid w:val="0072397F"/>
    <w:rsid w:val="00724D59"/>
    <w:rsid w:val="007250E6"/>
    <w:rsid w:val="007308B5"/>
    <w:rsid w:val="007314BA"/>
    <w:rsid w:val="007337B2"/>
    <w:rsid w:val="00734AEA"/>
    <w:rsid w:val="00735921"/>
    <w:rsid w:val="00735E0C"/>
    <w:rsid w:val="00743E60"/>
    <w:rsid w:val="00745CE5"/>
    <w:rsid w:val="00746F9B"/>
    <w:rsid w:val="0074716C"/>
    <w:rsid w:val="007516F1"/>
    <w:rsid w:val="007531A8"/>
    <w:rsid w:val="00754C20"/>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36F8"/>
    <w:rsid w:val="00815165"/>
    <w:rsid w:val="008160F8"/>
    <w:rsid w:val="00816E37"/>
    <w:rsid w:val="00823A16"/>
    <w:rsid w:val="00824DF1"/>
    <w:rsid w:val="00825BEF"/>
    <w:rsid w:val="00825ED9"/>
    <w:rsid w:val="00830E7F"/>
    <w:rsid w:val="008311A1"/>
    <w:rsid w:val="00831619"/>
    <w:rsid w:val="00832487"/>
    <w:rsid w:val="00832BF2"/>
    <w:rsid w:val="008335B2"/>
    <w:rsid w:val="00833911"/>
    <w:rsid w:val="0084124D"/>
    <w:rsid w:val="00841879"/>
    <w:rsid w:val="00843C71"/>
    <w:rsid w:val="008454A4"/>
    <w:rsid w:val="00846DAF"/>
    <w:rsid w:val="0085003F"/>
    <w:rsid w:val="0085018B"/>
    <w:rsid w:val="0085028C"/>
    <w:rsid w:val="008510F6"/>
    <w:rsid w:val="008522CA"/>
    <w:rsid w:val="00852B92"/>
    <w:rsid w:val="0085565D"/>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5B23"/>
    <w:rsid w:val="00887721"/>
    <w:rsid w:val="008907CD"/>
    <w:rsid w:val="00890ECE"/>
    <w:rsid w:val="0089198E"/>
    <w:rsid w:val="00891D55"/>
    <w:rsid w:val="00891FA1"/>
    <w:rsid w:val="008954D2"/>
    <w:rsid w:val="00895C37"/>
    <w:rsid w:val="00897D53"/>
    <w:rsid w:val="008A03AD"/>
    <w:rsid w:val="008A07BF"/>
    <w:rsid w:val="008A1C3D"/>
    <w:rsid w:val="008A420B"/>
    <w:rsid w:val="008A452F"/>
    <w:rsid w:val="008A5692"/>
    <w:rsid w:val="008A57AB"/>
    <w:rsid w:val="008A5ED4"/>
    <w:rsid w:val="008A5FEB"/>
    <w:rsid w:val="008A7737"/>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23A1"/>
    <w:rsid w:val="009D2A73"/>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3D1"/>
    <w:rsid w:val="00A029A2"/>
    <w:rsid w:val="00A02C70"/>
    <w:rsid w:val="00A033FF"/>
    <w:rsid w:val="00A03665"/>
    <w:rsid w:val="00A04C71"/>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98F"/>
    <w:rsid w:val="00AB20A8"/>
    <w:rsid w:val="00AB20E3"/>
    <w:rsid w:val="00AB25D7"/>
    <w:rsid w:val="00AB25F5"/>
    <w:rsid w:val="00AB5498"/>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4AC5"/>
    <w:rsid w:val="00B6539D"/>
    <w:rsid w:val="00B65CE0"/>
    <w:rsid w:val="00B66D2B"/>
    <w:rsid w:val="00B67326"/>
    <w:rsid w:val="00B676F1"/>
    <w:rsid w:val="00B71F5A"/>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2294"/>
    <w:rsid w:val="00BE36E8"/>
    <w:rsid w:val="00BE5D8E"/>
    <w:rsid w:val="00BE66DC"/>
    <w:rsid w:val="00BE6AB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4DCD"/>
    <w:rsid w:val="00DA5CCE"/>
    <w:rsid w:val="00DA71ED"/>
    <w:rsid w:val="00DB0540"/>
    <w:rsid w:val="00DB59F2"/>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156F"/>
    <w:rsid w:val="00DF1B2A"/>
    <w:rsid w:val="00DF1D85"/>
    <w:rsid w:val="00DF2B9D"/>
    <w:rsid w:val="00DF3736"/>
    <w:rsid w:val="00DF3979"/>
    <w:rsid w:val="00DF3C0C"/>
    <w:rsid w:val="00DF446A"/>
    <w:rsid w:val="00DF51E2"/>
    <w:rsid w:val="00DF7F2D"/>
    <w:rsid w:val="00E002C7"/>
    <w:rsid w:val="00E0245B"/>
    <w:rsid w:val="00E04D87"/>
    <w:rsid w:val="00E0543E"/>
    <w:rsid w:val="00E05E2B"/>
    <w:rsid w:val="00E0603F"/>
    <w:rsid w:val="00E060DA"/>
    <w:rsid w:val="00E078F2"/>
    <w:rsid w:val="00E13396"/>
    <w:rsid w:val="00E13486"/>
    <w:rsid w:val="00E15BC0"/>
    <w:rsid w:val="00E160F5"/>
    <w:rsid w:val="00E161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494E"/>
    <w:rsid w:val="00FD4BAE"/>
    <w:rsid w:val="00FD4D05"/>
    <w:rsid w:val="00FD4D50"/>
    <w:rsid w:val="00FD5232"/>
    <w:rsid w:val="00FD6626"/>
    <w:rsid w:val="00FE038F"/>
    <w:rsid w:val="00FE1123"/>
    <w:rsid w:val="00FE1297"/>
    <w:rsid w:val="00FE1D7D"/>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23584C"/>
    <w:rsid w:val="012A4725"/>
    <w:rsid w:val="013211C4"/>
    <w:rsid w:val="01347A59"/>
    <w:rsid w:val="014A2DD9"/>
    <w:rsid w:val="014F5D55"/>
    <w:rsid w:val="015058DD"/>
    <w:rsid w:val="01522FB1"/>
    <w:rsid w:val="01527EDF"/>
    <w:rsid w:val="015737CF"/>
    <w:rsid w:val="016C0FA1"/>
    <w:rsid w:val="01714809"/>
    <w:rsid w:val="01763BCE"/>
    <w:rsid w:val="01806B0D"/>
    <w:rsid w:val="018A58CB"/>
    <w:rsid w:val="018F4C90"/>
    <w:rsid w:val="019B1992"/>
    <w:rsid w:val="019C5D81"/>
    <w:rsid w:val="01AC5AA6"/>
    <w:rsid w:val="01C539C5"/>
    <w:rsid w:val="01C964EE"/>
    <w:rsid w:val="01CA63A7"/>
    <w:rsid w:val="01CF7782"/>
    <w:rsid w:val="01E42829"/>
    <w:rsid w:val="01EA2E81"/>
    <w:rsid w:val="01EB45BC"/>
    <w:rsid w:val="01FC3894"/>
    <w:rsid w:val="02074908"/>
    <w:rsid w:val="020E6899"/>
    <w:rsid w:val="020F139A"/>
    <w:rsid w:val="02167022"/>
    <w:rsid w:val="02191E33"/>
    <w:rsid w:val="02247ACE"/>
    <w:rsid w:val="022767E5"/>
    <w:rsid w:val="022A2E24"/>
    <w:rsid w:val="023F0464"/>
    <w:rsid w:val="024431A9"/>
    <w:rsid w:val="026B1259"/>
    <w:rsid w:val="026C4FD1"/>
    <w:rsid w:val="02706B88"/>
    <w:rsid w:val="027951DA"/>
    <w:rsid w:val="027B0CF6"/>
    <w:rsid w:val="0281282A"/>
    <w:rsid w:val="02851E3F"/>
    <w:rsid w:val="028E13EB"/>
    <w:rsid w:val="02A1111E"/>
    <w:rsid w:val="02A243E6"/>
    <w:rsid w:val="02B349AE"/>
    <w:rsid w:val="02B62046"/>
    <w:rsid w:val="02C62933"/>
    <w:rsid w:val="02CD73A2"/>
    <w:rsid w:val="02D05560"/>
    <w:rsid w:val="02DB5691"/>
    <w:rsid w:val="02E64D83"/>
    <w:rsid w:val="02ED7EC0"/>
    <w:rsid w:val="02F27FB9"/>
    <w:rsid w:val="02FC6355"/>
    <w:rsid w:val="03056415"/>
    <w:rsid w:val="032000D3"/>
    <w:rsid w:val="0320423A"/>
    <w:rsid w:val="033318F7"/>
    <w:rsid w:val="03355182"/>
    <w:rsid w:val="03510C1F"/>
    <w:rsid w:val="035148F2"/>
    <w:rsid w:val="0364676B"/>
    <w:rsid w:val="03661A20"/>
    <w:rsid w:val="037A0B0F"/>
    <w:rsid w:val="03830824"/>
    <w:rsid w:val="03885E3A"/>
    <w:rsid w:val="038D16A3"/>
    <w:rsid w:val="03914CEF"/>
    <w:rsid w:val="03990047"/>
    <w:rsid w:val="03A8554E"/>
    <w:rsid w:val="03AC1B29"/>
    <w:rsid w:val="03B7227C"/>
    <w:rsid w:val="03BD1015"/>
    <w:rsid w:val="03C52BEB"/>
    <w:rsid w:val="03C94890"/>
    <w:rsid w:val="03DA48E8"/>
    <w:rsid w:val="03E05C76"/>
    <w:rsid w:val="03E272F9"/>
    <w:rsid w:val="03F84D6E"/>
    <w:rsid w:val="03FA7098"/>
    <w:rsid w:val="03FB03BA"/>
    <w:rsid w:val="040E58BE"/>
    <w:rsid w:val="040F20B8"/>
    <w:rsid w:val="0410030A"/>
    <w:rsid w:val="04131BA8"/>
    <w:rsid w:val="041A21CD"/>
    <w:rsid w:val="041F7AEB"/>
    <w:rsid w:val="04206073"/>
    <w:rsid w:val="042B32BF"/>
    <w:rsid w:val="042C4A18"/>
    <w:rsid w:val="043A4DFA"/>
    <w:rsid w:val="043B420D"/>
    <w:rsid w:val="043F299D"/>
    <w:rsid w:val="044B1342"/>
    <w:rsid w:val="04525154"/>
    <w:rsid w:val="045B3AF8"/>
    <w:rsid w:val="045B52FD"/>
    <w:rsid w:val="046240FB"/>
    <w:rsid w:val="0463143E"/>
    <w:rsid w:val="046501D7"/>
    <w:rsid w:val="046A5C17"/>
    <w:rsid w:val="046B2C26"/>
    <w:rsid w:val="046E0E27"/>
    <w:rsid w:val="0482414B"/>
    <w:rsid w:val="04926F71"/>
    <w:rsid w:val="049C7DEF"/>
    <w:rsid w:val="04A31AD1"/>
    <w:rsid w:val="04A71B2E"/>
    <w:rsid w:val="04AB071E"/>
    <w:rsid w:val="04AF022F"/>
    <w:rsid w:val="04BC3FEE"/>
    <w:rsid w:val="04BE29F4"/>
    <w:rsid w:val="04BF5DD5"/>
    <w:rsid w:val="04CB5867"/>
    <w:rsid w:val="04D37589"/>
    <w:rsid w:val="04DA12DA"/>
    <w:rsid w:val="04E83035"/>
    <w:rsid w:val="04E86B91"/>
    <w:rsid w:val="04F46F7F"/>
    <w:rsid w:val="04F5670C"/>
    <w:rsid w:val="04FE15F6"/>
    <w:rsid w:val="051450D4"/>
    <w:rsid w:val="05343214"/>
    <w:rsid w:val="0541624E"/>
    <w:rsid w:val="054305F2"/>
    <w:rsid w:val="05432A54"/>
    <w:rsid w:val="054D733B"/>
    <w:rsid w:val="0552282F"/>
    <w:rsid w:val="055A54B2"/>
    <w:rsid w:val="056703FD"/>
    <w:rsid w:val="05724329"/>
    <w:rsid w:val="05764199"/>
    <w:rsid w:val="05860158"/>
    <w:rsid w:val="0599432F"/>
    <w:rsid w:val="05A54DF4"/>
    <w:rsid w:val="05B747B5"/>
    <w:rsid w:val="05C60A49"/>
    <w:rsid w:val="05D259BD"/>
    <w:rsid w:val="05DF451F"/>
    <w:rsid w:val="05E70379"/>
    <w:rsid w:val="05F32667"/>
    <w:rsid w:val="05F45A09"/>
    <w:rsid w:val="060A6FDB"/>
    <w:rsid w:val="06113EC5"/>
    <w:rsid w:val="061630C5"/>
    <w:rsid w:val="06257970"/>
    <w:rsid w:val="062A31D9"/>
    <w:rsid w:val="063302DF"/>
    <w:rsid w:val="063D4CBA"/>
    <w:rsid w:val="063D4E23"/>
    <w:rsid w:val="064A387B"/>
    <w:rsid w:val="06672975"/>
    <w:rsid w:val="06693D01"/>
    <w:rsid w:val="066A5EA1"/>
    <w:rsid w:val="066F086A"/>
    <w:rsid w:val="06710E08"/>
    <w:rsid w:val="0673692E"/>
    <w:rsid w:val="06760C3A"/>
    <w:rsid w:val="06772778"/>
    <w:rsid w:val="0678024F"/>
    <w:rsid w:val="067B1C86"/>
    <w:rsid w:val="06890016"/>
    <w:rsid w:val="06940436"/>
    <w:rsid w:val="06A84A1D"/>
    <w:rsid w:val="06AE3F68"/>
    <w:rsid w:val="06B6252E"/>
    <w:rsid w:val="06BE5725"/>
    <w:rsid w:val="06C273F9"/>
    <w:rsid w:val="06DC1E81"/>
    <w:rsid w:val="06E25862"/>
    <w:rsid w:val="06E54D66"/>
    <w:rsid w:val="06E86E4E"/>
    <w:rsid w:val="06EB6E0C"/>
    <w:rsid w:val="06F537E7"/>
    <w:rsid w:val="06F55A9F"/>
    <w:rsid w:val="06FB0143"/>
    <w:rsid w:val="06FF56BD"/>
    <w:rsid w:val="07030E3E"/>
    <w:rsid w:val="070B283F"/>
    <w:rsid w:val="07126147"/>
    <w:rsid w:val="071675C6"/>
    <w:rsid w:val="072B545A"/>
    <w:rsid w:val="07510B6E"/>
    <w:rsid w:val="07530B23"/>
    <w:rsid w:val="07577FFE"/>
    <w:rsid w:val="07594F89"/>
    <w:rsid w:val="075F150C"/>
    <w:rsid w:val="076369A2"/>
    <w:rsid w:val="07725C7E"/>
    <w:rsid w:val="07743C52"/>
    <w:rsid w:val="07782CCB"/>
    <w:rsid w:val="077961C6"/>
    <w:rsid w:val="077B2B23"/>
    <w:rsid w:val="07887094"/>
    <w:rsid w:val="079E7F01"/>
    <w:rsid w:val="07A34FF1"/>
    <w:rsid w:val="07B92E8A"/>
    <w:rsid w:val="07CA0317"/>
    <w:rsid w:val="07CC279A"/>
    <w:rsid w:val="07D2310B"/>
    <w:rsid w:val="07E6312F"/>
    <w:rsid w:val="07EC2E3C"/>
    <w:rsid w:val="07ED5C07"/>
    <w:rsid w:val="07F92694"/>
    <w:rsid w:val="08027EA4"/>
    <w:rsid w:val="08041448"/>
    <w:rsid w:val="08086F7D"/>
    <w:rsid w:val="080A5120"/>
    <w:rsid w:val="080F3625"/>
    <w:rsid w:val="08141242"/>
    <w:rsid w:val="081E32D0"/>
    <w:rsid w:val="081F40B1"/>
    <w:rsid w:val="083B791F"/>
    <w:rsid w:val="084555EB"/>
    <w:rsid w:val="084B4ABC"/>
    <w:rsid w:val="08533184"/>
    <w:rsid w:val="08573C15"/>
    <w:rsid w:val="085F5FF9"/>
    <w:rsid w:val="086C7AD9"/>
    <w:rsid w:val="087846CF"/>
    <w:rsid w:val="087A2048"/>
    <w:rsid w:val="087D3A94"/>
    <w:rsid w:val="087F16D6"/>
    <w:rsid w:val="088237F5"/>
    <w:rsid w:val="088376DE"/>
    <w:rsid w:val="089704AA"/>
    <w:rsid w:val="08AB663F"/>
    <w:rsid w:val="08D538D0"/>
    <w:rsid w:val="08DA0EE6"/>
    <w:rsid w:val="08E44D97"/>
    <w:rsid w:val="08E9364C"/>
    <w:rsid w:val="08FC124B"/>
    <w:rsid w:val="08FC3E83"/>
    <w:rsid w:val="08FD305C"/>
    <w:rsid w:val="08FE4A83"/>
    <w:rsid w:val="09171F73"/>
    <w:rsid w:val="091C6C5B"/>
    <w:rsid w:val="091F2D9D"/>
    <w:rsid w:val="092117BF"/>
    <w:rsid w:val="09250409"/>
    <w:rsid w:val="0925775D"/>
    <w:rsid w:val="092951A8"/>
    <w:rsid w:val="092C2F19"/>
    <w:rsid w:val="09336431"/>
    <w:rsid w:val="0934067B"/>
    <w:rsid w:val="09385C0D"/>
    <w:rsid w:val="093B4BC3"/>
    <w:rsid w:val="09400811"/>
    <w:rsid w:val="09412D13"/>
    <w:rsid w:val="094265A7"/>
    <w:rsid w:val="094268E2"/>
    <w:rsid w:val="09455F12"/>
    <w:rsid w:val="09531E1A"/>
    <w:rsid w:val="095B4482"/>
    <w:rsid w:val="095C2F24"/>
    <w:rsid w:val="0971207B"/>
    <w:rsid w:val="097E7AC3"/>
    <w:rsid w:val="098F597B"/>
    <w:rsid w:val="09953F16"/>
    <w:rsid w:val="099C619C"/>
    <w:rsid w:val="09AC6C98"/>
    <w:rsid w:val="09BE2422"/>
    <w:rsid w:val="09C27C64"/>
    <w:rsid w:val="09C37BCC"/>
    <w:rsid w:val="09C76BC9"/>
    <w:rsid w:val="09DE1964"/>
    <w:rsid w:val="09E11E76"/>
    <w:rsid w:val="09E85885"/>
    <w:rsid w:val="09E9348C"/>
    <w:rsid w:val="09FE0C04"/>
    <w:rsid w:val="0A053D41"/>
    <w:rsid w:val="0A08663A"/>
    <w:rsid w:val="0A0A3A20"/>
    <w:rsid w:val="0A0A73CC"/>
    <w:rsid w:val="0A0D30BF"/>
    <w:rsid w:val="0A0F4BBF"/>
    <w:rsid w:val="0A1239D7"/>
    <w:rsid w:val="0A3B7763"/>
    <w:rsid w:val="0A3F5F36"/>
    <w:rsid w:val="0A440B24"/>
    <w:rsid w:val="0A456833"/>
    <w:rsid w:val="0A5243CC"/>
    <w:rsid w:val="0A60422D"/>
    <w:rsid w:val="0A693D18"/>
    <w:rsid w:val="0A736290"/>
    <w:rsid w:val="0A7703FB"/>
    <w:rsid w:val="0A8376D2"/>
    <w:rsid w:val="0A856C30"/>
    <w:rsid w:val="0A905A1A"/>
    <w:rsid w:val="0A9A6B7F"/>
    <w:rsid w:val="0AA572D2"/>
    <w:rsid w:val="0AAA3C19"/>
    <w:rsid w:val="0AAC60CF"/>
    <w:rsid w:val="0ABF3657"/>
    <w:rsid w:val="0AD10DFC"/>
    <w:rsid w:val="0AE620BB"/>
    <w:rsid w:val="0AF10F8A"/>
    <w:rsid w:val="0AF47E99"/>
    <w:rsid w:val="0B057D70"/>
    <w:rsid w:val="0B076817"/>
    <w:rsid w:val="0B093D05"/>
    <w:rsid w:val="0B103F50"/>
    <w:rsid w:val="0B153BFE"/>
    <w:rsid w:val="0B185CF6"/>
    <w:rsid w:val="0B237538"/>
    <w:rsid w:val="0B27202A"/>
    <w:rsid w:val="0B2F1915"/>
    <w:rsid w:val="0B301291"/>
    <w:rsid w:val="0B36310D"/>
    <w:rsid w:val="0B381EF4"/>
    <w:rsid w:val="0B384A74"/>
    <w:rsid w:val="0B3D4596"/>
    <w:rsid w:val="0B5A4560"/>
    <w:rsid w:val="0B5C2086"/>
    <w:rsid w:val="0B616DDD"/>
    <w:rsid w:val="0B6231AD"/>
    <w:rsid w:val="0B642CE9"/>
    <w:rsid w:val="0B787A86"/>
    <w:rsid w:val="0B792C38"/>
    <w:rsid w:val="0B7A16C2"/>
    <w:rsid w:val="0B7B7D63"/>
    <w:rsid w:val="0B7D1301"/>
    <w:rsid w:val="0B8709D7"/>
    <w:rsid w:val="0B9730BE"/>
    <w:rsid w:val="0B9C6927"/>
    <w:rsid w:val="0BAA1044"/>
    <w:rsid w:val="0BAF6679"/>
    <w:rsid w:val="0BC226BA"/>
    <w:rsid w:val="0BC55E7E"/>
    <w:rsid w:val="0BC639A4"/>
    <w:rsid w:val="0BC71D84"/>
    <w:rsid w:val="0BCB24B5"/>
    <w:rsid w:val="0BCB4B16"/>
    <w:rsid w:val="0BCD2653"/>
    <w:rsid w:val="0BD33C9A"/>
    <w:rsid w:val="0BD7795F"/>
    <w:rsid w:val="0BDA220A"/>
    <w:rsid w:val="0BE1258C"/>
    <w:rsid w:val="0BE50E63"/>
    <w:rsid w:val="0BE81B6C"/>
    <w:rsid w:val="0BED9C3C"/>
    <w:rsid w:val="0C00427B"/>
    <w:rsid w:val="0C105DFF"/>
    <w:rsid w:val="0C1A784C"/>
    <w:rsid w:val="0C1E733C"/>
    <w:rsid w:val="0C2226EA"/>
    <w:rsid w:val="0C22507E"/>
    <w:rsid w:val="0C475927"/>
    <w:rsid w:val="0C4B7A88"/>
    <w:rsid w:val="0C4F6F32"/>
    <w:rsid w:val="0C5D6F3F"/>
    <w:rsid w:val="0C654075"/>
    <w:rsid w:val="0C670CE3"/>
    <w:rsid w:val="0C687599"/>
    <w:rsid w:val="0C752B67"/>
    <w:rsid w:val="0C7D0506"/>
    <w:rsid w:val="0C7D1D22"/>
    <w:rsid w:val="0C811679"/>
    <w:rsid w:val="0C8B0F2D"/>
    <w:rsid w:val="0C8F1FF8"/>
    <w:rsid w:val="0C99751F"/>
    <w:rsid w:val="0C9D317F"/>
    <w:rsid w:val="0CA05FA3"/>
    <w:rsid w:val="0CA17F2D"/>
    <w:rsid w:val="0CBF0B1F"/>
    <w:rsid w:val="0CC872A8"/>
    <w:rsid w:val="0CCA1272"/>
    <w:rsid w:val="0CD46CDB"/>
    <w:rsid w:val="0CE40585"/>
    <w:rsid w:val="0CE42990"/>
    <w:rsid w:val="0CE74940"/>
    <w:rsid w:val="0CEC743A"/>
    <w:rsid w:val="0CEE4F60"/>
    <w:rsid w:val="0CF12CA2"/>
    <w:rsid w:val="0CF30FD7"/>
    <w:rsid w:val="0CF84540"/>
    <w:rsid w:val="0CFA3905"/>
    <w:rsid w:val="0CFC121B"/>
    <w:rsid w:val="0CFE6747"/>
    <w:rsid w:val="0D027A2E"/>
    <w:rsid w:val="0D1116A9"/>
    <w:rsid w:val="0D274C9F"/>
    <w:rsid w:val="0D2C7836"/>
    <w:rsid w:val="0D377E75"/>
    <w:rsid w:val="0D3C216F"/>
    <w:rsid w:val="0D425817"/>
    <w:rsid w:val="0D456672"/>
    <w:rsid w:val="0D483A45"/>
    <w:rsid w:val="0D63597A"/>
    <w:rsid w:val="0D705975"/>
    <w:rsid w:val="0D7D62E4"/>
    <w:rsid w:val="0D81039E"/>
    <w:rsid w:val="0D814026"/>
    <w:rsid w:val="0D8739DC"/>
    <w:rsid w:val="0D930BF2"/>
    <w:rsid w:val="0D9638DD"/>
    <w:rsid w:val="0D973154"/>
    <w:rsid w:val="0D98311E"/>
    <w:rsid w:val="0DA11FD2"/>
    <w:rsid w:val="0DB241E0"/>
    <w:rsid w:val="0DB344F1"/>
    <w:rsid w:val="0DBA12E6"/>
    <w:rsid w:val="0DBA3094"/>
    <w:rsid w:val="0DBE0DD6"/>
    <w:rsid w:val="0DDB7E0F"/>
    <w:rsid w:val="0DDC5040"/>
    <w:rsid w:val="0DDC74AE"/>
    <w:rsid w:val="0DE75735"/>
    <w:rsid w:val="0DEBBCA9"/>
    <w:rsid w:val="0DEF558D"/>
    <w:rsid w:val="0DF068AA"/>
    <w:rsid w:val="0DF172C8"/>
    <w:rsid w:val="0DF433F1"/>
    <w:rsid w:val="0DF93BBD"/>
    <w:rsid w:val="0DFC1FFF"/>
    <w:rsid w:val="0E303356"/>
    <w:rsid w:val="0E430639"/>
    <w:rsid w:val="0E4312DC"/>
    <w:rsid w:val="0E480C42"/>
    <w:rsid w:val="0E6558A0"/>
    <w:rsid w:val="0E684E2E"/>
    <w:rsid w:val="0E6D45AA"/>
    <w:rsid w:val="0E72396F"/>
    <w:rsid w:val="0E7302E4"/>
    <w:rsid w:val="0E747A2D"/>
    <w:rsid w:val="0E7D2A40"/>
    <w:rsid w:val="0E8306F4"/>
    <w:rsid w:val="0E8F62CF"/>
    <w:rsid w:val="0EA55C45"/>
    <w:rsid w:val="0EA60B68"/>
    <w:rsid w:val="0EA86384"/>
    <w:rsid w:val="0EB2020F"/>
    <w:rsid w:val="0EC00B7E"/>
    <w:rsid w:val="0ECE7CE8"/>
    <w:rsid w:val="0ED9579C"/>
    <w:rsid w:val="0EE15967"/>
    <w:rsid w:val="0EE23012"/>
    <w:rsid w:val="0EE23E2C"/>
    <w:rsid w:val="0EE50C22"/>
    <w:rsid w:val="0EFE2C1E"/>
    <w:rsid w:val="0F014633"/>
    <w:rsid w:val="0F0312ED"/>
    <w:rsid w:val="0F050929"/>
    <w:rsid w:val="0F063E64"/>
    <w:rsid w:val="0F0942D3"/>
    <w:rsid w:val="0F0E5BDA"/>
    <w:rsid w:val="0F184516"/>
    <w:rsid w:val="0F245332"/>
    <w:rsid w:val="0F280D60"/>
    <w:rsid w:val="0F3330FE"/>
    <w:rsid w:val="0F4A54CF"/>
    <w:rsid w:val="0F4C4E90"/>
    <w:rsid w:val="0F503CB0"/>
    <w:rsid w:val="0F515C7A"/>
    <w:rsid w:val="0F557518"/>
    <w:rsid w:val="0F570577"/>
    <w:rsid w:val="0F5E63E1"/>
    <w:rsid w:val="0F5F0397"/>
    <w:rsid w:val="0F603CED"/>
    <w:rsid w:val="0F632412"/>
    <w:rsid w:val="0F645D19"/>
    <w:rsid w:val="0F6A2898"/>
    <w:rsid w:val="0F75501B"/>
    <w:rsid w:val="0F78432B"/>
    <w:rsid w:val="0F870164"/>
    <w:rsid w:val="0F8971C2"/>
    <w:rsid w:val="0F8A4A20"/>
    <w:rsid w:val="0F8C280E"/>
    <w:rsid w:val="0F8D06EA"/>
    <w:rsid w:val="0F900551"/>
    <w:rsid w:val="0FAA316E"/>
    <w:rsid w:val="0FAC5576"/>
    <w:rsid w:val="0FB06917"/>
    <w:rsid w:val="0FB110C5"/>
    <w:rsid w:val="0FB2232D"/>
    <w:rsid w:val="0FBA7461"/>
    <w:rsid w:val="0FC44BCF"/>
    <w:rsid w:val="0FC46A88"/>
    <w:rsid w:val="0FCE7B7D"/>
    <w:rsid w:val="0FD2443A"/>
    <w:rsid w:val="0FDA7728"/>
    <w:rsid w:val="0FE36B89"/>
    <w:rsid w:val="0FE465FF"/>
    <w:rsid w:val="0FE670A5"/>
    <w:rsid w:val="0FEE0246"/>
    <w:rsid w:val="0FF3288D"/>
    <w:rsid w:val="100920B1"/>
    <w:rsid w:val="100A27E6"/>
    <w:rsid w:val="100C2F87"/>
    <w:rsid w:val="101133B7"/>
    <w:rsid w:val="101933AE"/>
    <w:rsid w:val="101F694C"/>
    <w:rsid w:val="10284B8F"/>
    <w:rsid w:val="103241E5"/>
    <w:rsid w:val="10335CC9"/>
    <w:rsid w:val="104E2006"/>
    <w:rsid w:val="10505F32"/>
    <w:rsid w:val="1054157E"/>
    <w:rsid w:val="105552F6"/>
    <w:rsid w:val="105772C0"/>
    <w:rsid w:val="105B0B5E"/>
    <w:rsid w:val="105D3BF9"/>
    <w:rsid w:val="105F48B1"/>
    <w:rsid w:val="10602325"/>
    <w:rsid w:val="10611EED"/>
    <w:rsid w:val="10616317"/>
    <w:rsid w:val="1077526D"/>
    <w:rsid w:val="107B7182"/>
    <w:rsid w:val="107C6A46"/>
    <w:rsid w:val="107E2A9F"/>
    <w:rsid w:val="108300B5"/>
    <w:rsid w:val="108322BF"/>
    <w:rsid w:val="1087780A"/>
    <w:rsid w:val="1088747A"/>
    <w:rsid w:val="108970CB"/>
    <w:rsid w:val="108F0808"/>
    <w:rsid w:val="10945EF7"/>
    <w:rsid w:val="10991F70"/>
    <w:rsid w:val="109951E3"/>
    <w:rsid w:val="10A33B25"/>
    <w:rsid w:val="10C5668F"/>
    <w:rsid w:val="10C73309"/>
    <w:rsid w:val="10CF50A9"/>
    <w:rsid w:val="10DE353E"/>
    <w:rsid w:val="10F03150"/>
    <w:rsid w:val="10F15E25"/>
    <w:rsid w:val="10FE598E"/>
    <w:rsid w:val="110547C9"/>
    <w:rsid w:val="1109680C"/>
    <w:rsid w:val="111F7DDE"/>
    <w:rsid w:val="11207CB1"/>
    <w:rsid w:val="11472E91"/>
    <w:rsid w:val="115119ED"/>
    <w:rsid w:val="11515ABE"/>
    <w:rsid w:val="1170063A"/>
    <w:rsid w:val="11791613"/>
    <w:rsid w:val="11795AFD"/>
    <w:rsid w:val="11815B4A"/>
    <w:rsid w:val="118E286E"/>
    <w:rsid w:val="11A36E95"/>
    <w:rsid w:val="11AE3D23"/>
    <w:rsid w:val="11B00120"/>
    <w:rsid w:val="11BB0A26"/>
    <w:rsid w:val="11DC7A7D"/>
    <w:rsid w:val="11E90E6C"/>
    <w:rsid w:val="11ED6377"/>
    <w:rsid w:val="11F12FEF"/>
    <w:rsid w:val="11F502B0"/>
    <w:rsid w:val="11FD07C1"/>
    <w:rsid w:val="1212349F"/>
    <w:rsid w:val="1218482D"/>
    <w:rsid w:val="121F0324"/>
    <w:rsid w:val="12234694"/>
    <w:rsid w:val="12280D51"/>
    <w:rsid w:val="122C4DD8"/>
    <w:rsid w:val="12301B77"/>
    <w:rsid w:val="124E2055"/>
    <w:rsid w:val="125515DD"/>
    <w:rsid w:val="12593CA9"/>
    <w:rsid w:val="125E4936"/>
    <w:rsid w:val="125E66E4"/>
    <w:rsid w:val="125F1AC6"/>
    <w:rsid w:val="12633CFA"/>
    <w:rsid w:val="126B66F7"/>
    <w:rsid w:val="12741F5E"/>
    <w:rsid w:val="12750005"/>
    <w:rsid w:val="12802811"/>
    <w:rsid w:val="1291328C"/>
    <w:rsid w:val="12977E48"/>
    <w:rsid w:val="1299596E"/>
    <w:rsid w:val="129C720C"/>
    <w:rsid w:val="12A32349"/>
    <w:rsid w:val="12A40621"/>
    <w:rsid w:val="12AC0145"/>
    <w:rsid w:val="12B26A5D"/>
    <w:rsid w:val="12B37E92"/>
    <w:rsid w:val="12B7253D"/>
    <w:rsid w:val="12BF70C4"/>
    <w:rsid w:val="12C329EB"/>
    <w:rsid w:val="12C95C1F"/>
    <w:rsid w:val="12CA04D3"/>
    <w:rsid w:val="12CD6CB6"/>
    <w:rsid w:val="12CE2135"/>
    <w:rsid w:val="12D37012"/>
    <w:rsid w:val="12D44BF8"/>
    <w:rsid w:val="12D544CC"/>
    <w:rsid w:val="12D70244"/>
    <w:rsid w:val="12E3308D"/>
    <w:rsid w:val="12EB7007"/>
    <w:rsid w:val="12F11306"/>
    <w:rsid w:val="13023513"/>
    <w:rsid w:val="1312726D"/>
    <w:rsid w:val="131C5B88"/>
    <w:rsid w:val="131D659F"/>
    <w:rsid w:val="1323348A"/>
    <w:rsid w:val="133204BE"/>
    <w:rsid w:val="13327BCA"/>
    <w:rsid w:val="13382DC7"/>
    <w:rsid w:val="13452433"/>
    <w:rsid w:val="13466C2A"/>
    <w:rsid w:val="13695D3B"/>
    <w:rsid w:val="136F66CF"/>
    <w:rsid w:val="137D497C"/>
    <w:rsid w:val="13835254"/>
    <w:rsid w:val="13857CA0"/>
    <w:rsid w:val="13897791"/>
    <w:rsid w:val="138E5DD1"/>
    <w:rsid w:val="13AC6036"/>
    <w:rsid w:val="13B0106F"/>
    <w:rsid w:val="13B16CE7"/>
    <w:rsid w:val="13BB7B66"/>
    <w:rsid w:val="13BD38DE"/>
    <w:rsid w:val="13C7141F"/>
    <w:rsid w:val="13C84512"/>
    <w:rsid w:val="13CC2CE5"/>
    <w:rsid w:val="13CD49D8"/>
    <w:rsid w:val="13EC7D20"/>
    <w:rsid w:val="14126207"/>
    <w:rsid w:val="142179C9"/>
    <w:rsid w:val="14237BE5"/>
    <w:rsid w:val="14292753"/>
    <w:rsid w:val="14293CDB"/>
    <w:rsid w:val="142F2E14"/>
    <w:rsid w:val="1433065B"/>
    <w:rsid w:val="1448764C"/>
    <w:rsid w:val="145204CA"/>
    <w:rsid w:val="145E0C1D"/>
    <w:rsid w:val="145E77EA"/>
    <w:rsid w:val="146124BC"/>
    <w:rsid w:val="14706B0E"/>
    <w:rsid w:val="1472070A"/>
    <w:rsid w:val="147F7284"/>
    <w:rsid w:val="1485143D"/>
    <w:rsid w:val="14887A48"/>
    <w:rsid w:val="149C2CDC"/>
    <w:rsid w:val="149E54BE"/>
    <w:rsid w:val="14A02B20"/>
    <w:rsid w:val="14A740BD"/>
    <w:rsid w:val="14A75703"/>
    <w:rsid w:val="14B20F69"/>
    <w:rsid w:val="14B2243D"/>
    <w:rsid w:val="14B52807"/>
    <w:rsid w:val="14BB749D"/>
    <w:rsid w:val="14C82913"/>
    <w:rsid w:val="14CB0413"/>
    <w:rsid w:val="14D013EF"/>
    <w:rsid w:val="14DC7969"/>
    <w:rsid w:val="14E40C49"/>
    <w:rsid w:val="14F21366"/>
    <w:rsid w:val="14FE5F5C"/>
    <w:rsid w:val="15065976"/>
    <w:rsid w:val="151439D2"/>
    <w:rsid w:val="15182B92"/>
    <w:rsid w:val="153B3941"/>
    <w:rsid w:val="15406575"/>
    <w:rsid w:val="15446F04"/>
    <w:rsid w:val="15542020"/>
    <w:rsid w:val="15593193"/>
    <w:rsid w:val="155A3E1C"/>
    <w:rsid w:val="156758B0"/>
    <w:rsid w:val="156C436F"/>
    <w:rsid w:val="1574621E"/>
    <w:rsid w:val="157A2987"/>
    <w:rsid w:val="157B2187"/>
    <w:rsid w:val="157B2848"/>
    <w:rsid w:val="15891CCA"/>
    <w:rsid w:val="158B07D8"/>
    <w:rsid w:val="15AE7982"/>
    <w:rsid w:val="15C03212"/>
    <w:rsid w:val="15C26F8A"/>
    <w:rsid w:val="15C87EA7"/>
    <w:rsid w:val="15CA22E2"/>
    <w:rsid w:val="15DB44F0"/>
    <w:rsid w:val="15DB4D1F"/>
    <w:rsid w:val="15F555B1"/>
    <w:rsid w:val="16017613"/>
    <w:rsid w:val="160752E5"/>
    <w:rsid w:val="16094BB9"/>
    <w:rsid w:val="1615355E"/>
    <w:rsid w:val="161672D6"/>
    <w:rsid w:val="161B13E4"/>
    <w:rsid w:val="161C272A"/>
    <w:rsid w:val="16220F65"/>
    <w:rsid w:val="162C3DEF"/>
    <w:rsid w:val="162E2FB0"/>
    <w:rsid w:val="163C77C6"/>
    <w:rsid w:val="163D4862"/>
    <w:rsid w:val="1651030E"/>
    <w:rsid w:val="16591300"/>
    <w:rsid w:val="165A18B8"/>
    <w:rsid w:val="16624474"/>
    <w:rsid w:val="16702E8A"/>
    <w:rsid w:val="1673488D"/>
    <w:rsid w:val="16775FC6"/>
    <w:rsid w:val="167F30CD"/>
    <w:rsid w:val="16960A0E"/>
    <w:rsid w:val="169E79F7"/>
    <w:rsid w:val="16BA2357"/>
    <w:rsid w:val="16BC7E7D"/>
    <w:rsid w:val="16C16C33"/>
    <w:rsid w:val="16C200B7"/>
    <w:rsid w:val="16D34DDA"/>
    <w:rsid w:val="16D572AC"/>
    <w:rsid w:val="16DB47A7"/>
    <w:rsid w:val="16E11692"/>
    <w:rsid w:val="16E12EB6"/>
    <w:rsid w:val="16E80C72"/>
    <w:rsid w:val="16EC74B0"/>
    <w:rsid w:val="16EC7E54"/>
    <w:rsid w:val="16F2389F"/>
    <w:rsid w:val="16F92F35"/>
    <w:rsid w:val="17090292"/>
    <w:rsid w:val="170A0BE8"/>
    <w:rsid w:val="170B3AF5"/>
    <w:rsid w:val="170F61FF"/>
    <w:rsid w:val="171A0831"/>
    <w:rsid w:val="171E24DE"/>
    <w:rsid w:val="1723661F"/>
    <w:rsid w:val="17253C74"/>
    <w:rsid w:val="17297EC6"/>
    <w:rsid w:val="17342109"/>
    <w:rsid w:val="173857BC"/>
    <w:rsid w:val="17473343"/>
    <w:rsid w:val="175207E1"/>
    <w:rsid w:val="175B05DE"/>
    <w:rsid w:val="176F26A7"/>
    <w:rsid w:val="17935082"/>
    <w:rsid w:val="17A77857"/>
    <w:rsid w:val="17A829E2"/>
    <w:rsid w:val="17B44FF8"/>
    <w:rsid w:val="17BB13E6"/>
    <w:rsid w:val="17C118AF"/>
    <w:rsid w:val="17C35A7C"/>
    <w:rsid w:val="17C50FB3"/>
    <w:rsid w:val="17C739D2"/>
    <w:rsid w:val="17E256C1"/>
    <w:rsid w:val="17E9547C"/>
    <w:rsid w:val="17FD08DA"/>
    <w:rsid w:val="1804549F"/>
    <w:rsid w:val="181231AA"/>
    <w:rsid w:val="181D422F"/>
    <w:rsid w:val="181E7318"/>
    <w:rsid w:val="18285388"/>
    <w:rsid w:val="182A3BC2"/>
    <w:rsid w:val="18455C50"/>
    <w:rsid w:val="18467635"/>
    <w:rsid w:val="18492AD7"/>
    <w:rsid w:val="184A37E9"/>
    <w:rsid w:val="185A5BA0"/>
    <w:rsid w:val="186364ED"/>
    <w:rsid w:val="186B1B5B"/>
    <w:rsid w:val="18715475"/>
    <w:rsid w:val="18874D9D"/>
    <w:rsid w:val="18925EAF"/>
    <w:rsid w:val="189372CE"/>
    <w:rsid w:val="1894002B"/>
    <w:rsid w:val="18980476"/>
    <w:rsid w:val="189C7F66"/>
    <w:rsid w:val="18C43F61"/>
    <w:rsid w:val="18E90CD1"/>
    <w:rsid w:val="18EE0096"/>
    <w:rsid w:val="18FA0623"/>
    <w:rsid w:val="190A633A"/>
    <w:rsid w:val="190D49C0"/>
    <w:rsid w:val="19136F16"/>
    <w:rsid w:val="19237B9F"/>
    <w:rsid w:val="192A37C4"/>
    <w:rsid w:val="193D33F0"/>
    <w:rsid w:val="194009BD"/>
    <w:rsid w:val="19471B5D"/>
    <w:rsid w:val="194859F8"/>
    <w:rsid w:val="195066E0"/>
    <w:rsid w:val="19566367"/>
    <w:rsid w:val="19570467"/>
    <w:rsid w:val="195B56B1"/>
    <w:rsid w:val="197109D1"/>
    <w:rsid w:val="19720A2A"/>
    <w:rsid w:val="19737D0A"/>
    <w:rsid w:val="197B5FF6"/>
    <w:rsid w:val="198D5CA8"/>
    <w:rsid w:val="199450E1"/>
    <w:rsid w:val="19AC41D9"/>
    <w:rsid w:val="19AE278A"/>
    <w:rsid w:val="19BB266E"/>
    <w:rsid w:val="19C029FD"/>
    <w:rsid w:val="19C07C84"/>
    <w:rsid w:val="19C67A57"/>
    <w:rsid w:val="19C71013"/>
    <w:rsid w:val="19D13C3F"/>
    <w:rsid w:val="19D31807"/>
    <w:rsid w:val="19D96F98"/>
    <w:rsid w:val="19DE02E9"/>
    <w:rsid w:val="19DE1A3C"/>
    <w:rsid w:val="19DF45AE"/>
    <w:rsid w:val="19E41F02"/>
    <w:rsid w:val="19E445A9"/>
    <w:rsid w:val="19EE1931"/>
    <w:rsid w:val="19EF5756"/>
    <w:rsid w:val="19FD6FB4"/>
    <w:rsid w:val="1A02029D"/>
    <w:rsid w:val="1A1678A4"/>
    <w:rsid w:val="1A1E49AB"/>
    <w:rsid w:val="1A2A0014"/>
    <w:rsid w:val="1A3B37AF"/>
    <w:rsid w:val="1A436706"/>
    <w:rsid w:val="1A4743E4"/>
    <w:rsid w:val="1A5503C6"/>
    <w:rsid w:val="1A56092D"/>
    <w:rsid w:val="1A5A2DE1"/>
    <w:rsid w:val="1A5B3C40"/>
    <w:rsid w:val="1A5F124B"/>
    <w:rsid w:val="1A666E7E"/>
    <w:rsid w:val="1A750A6F"/>
    <w:rsid w:val="1A796EBF"/>
    <w:rsid w:val="1AA17FFF"/>
    <w:rsid w:val="1AB20159"/>
    <w:rsid w:val="1ABF7F3C"/>
    <w:rsid w:val="1AC13CB4"/>
    <w:rsid w:val="1AD870F6"/>
    <w:rsid w:val="1AE06FED"/>
    <w:rsid w:val="1AE53804"/>
    <w:rsid w:val="1AE97736"/>
    <w:rsid w:val="1AF0001C"/>
    <w:rsid w:val="1AF11538"/>
    <w:rsid w:val="1AFF1F6C"/>
    <w:rsid w:val="1B0B4F2F"/>
    <w:rsid w:val="1B1262BE"/>
    <w:rsid w:val="1B140288"/>
    <w:rsid w:val="1B153DB8"/>
    <w:rsid w:val="1B1F6C2C"/>
    <w:rsid w:val="1B244D45"/>
    <w:rsid w:val="1B367C84"/>
    <w:rsid w:val="1B474E65"/>
    <w:rsid w:val="1B570174"/>
    <w:rsid w:val="1B576951"/>
    <w:rsid w:val="1B5C39DD"/>
    <w:rsid w:val="1B5D777F"/>
    <w:rsid w:val="1B614C1F"/>
    <w:rsid w:val="1B76354D"/>
    <w:rsid w:val="1B776A68"/>
    <w:rsid w:val="1B91134D"/>
    <w:rsid w:val="1B9211AC"/>
    <w:rsid w:val="1B9374DE"/>
    <w:rsid w:val="1B9A2198"/>
    <w:rsid w:val="1BA40968"/>
    <w:rsid w:val="1BA57132"/>
    <w:rsid w:val="1BA809D0"/>
    <w:rsid w:val="1BA90BB8"/>
    <w:rsid w:val="1BB35E2F"/>
    <w:rsid w:val="1BBA7347"/>
    <w:rsid w:val="1BC07E23"/>
    <w:rsid w:val="1BC65AEE"/>
    <w:rsid w:val="1BC670A8"/>
    <w:rsid w:val="1BD0568D"/>
    <w:rsid w:val="1BD27011"/>
    <w:rsid w:val="1BD42A40"/>
    <w:rsid w:val="1BDF0DAF"/>
    <w:rsid w:val="1BF26782"/>
    <w:rsid w:val="1BF42469"/>
    <w:rsid w:val="1BFF173C"/>
    <w:rsid w:val="1C00080C"/>
    <w:rsid w:val="1C1177BB"/>
    <w:rsid w:val="1C1425F4"/>
    <w:rsid w:val="1C1A4476"/>
    <w:rsid w:val="1C201864"/>
    <w:rsid w:val="1C2564C4"/>
    <w:rsid w:val="1C2920DF"/>
    <w:rsid w:val="1C2D46BF"/>
    <w:rsid w:val="1C3861F8"/>
    <w:rsid w:val="1C3F5DAD"/>
    <w:rsid w:val="1C494732"/>
    <w:rsid w:val="1C4955DC"/>
    <w:rsid w:val="1C4B65ED"/>
    <w:rsid w:val="1C5363E4"/>
    <w:rsid w:val="1C556DAA"/>
    <w:rsid w:val="1C597F1C"/>
    <w:rsid w:val="1C5D17BA"/>
    <w:rsid w:val="1C6B690B"/>
    <w:rsid w:val="1C7E50D0"/>
    <w:rsid w:val="1C837A09"/>
    <w:rsid w:val="1C93694D"/>
    <w:rsid w:val="1CA06A08"/>
    <w:rsid w:val="1CA127CF"/>
    <w:rsid w:val="1CB515F6"/>
    <w:rsid w:val="1CCC33C4"/>
    <w:rsid w:val="1CE45DB6"/>
    <w:rsid w:val="1CE50760"/>
    <w:rsid w:val="1CE57C07"/>
    <w:rsid w:val="1CEB5018"/>
    <w:rsid w:val="1CFB1DB5"/>
    <w:rsid w:val="1CFE1CD3"/>
    <w:rsid w:val="1D0D1432"/>
    <w:rsid w:val="1D214EDE"/>
    <w:rsid w:val="1D2906F2"/>
    <w:rsid w:val="1D322C47"/>
    <w:rsid w:val="1D375E9C"/>
    <w:rsid w:val="1D3F22E4"/>
    <w:rsid w:val="1D4110DC"/>
    <w:rsid w:val="1D4806BC"/>
    <w:rsid w:val="1D502ED2"/>
    <w:rsid w:val="1D556936"/>
    <w:rsid w:val="1D5A267E"/>
    <w:rsid w:val="1D5E34AA"/>
    <w:rsid w:val="1D606212"/>
    <w:rsid w:val="1D69418F"/>
    <w:rsid w:val="1D6C48F6"/>
    <w:rsid w:val="1D72325E"/>
    <w:rsid w:val="1D733EDB"/>
    <w:rsid w:val="1D7E40DE"/>
    <w:rsid w:val="1D7F9BB1"/>
    <w:rsid w:val="1D8611E5"/>
    <w:rsid w:val="1D8C3FF0"/>
    <w:rsid w:val="1D907667"/>
    <w:rsid w:val="1D9931F7"/>
    <w:rsid w:val="1D9B6A3E"/>
    <w:rsid w:val="1D9C27B6"/>
    <w:rsid w:val="1DAB4918"/>
    <w:rsid w:val="1DB16262"/>
    <w:rsid w:val="1DB67273"/>
    <w:rsid w:val="1DD51824"/>
    <w:rsid w:val="1DE4451C"/>
    <w:rsid w:val="1DE45416"/>
    <w:rsid w:val="1DE859FC"/>
    <w:rsid w:val="1DEA3522"/>
    <w:rsid w:val="1DFC2585"/>
    <w:rsid w:val="1E0D4BB8"/>
    <w:rsid w:val="1E207AA3"/>
    <w:rsid w:val="1E2527AC"/>
    <w:rsid w:val="1E29229C"/>
    <w:rsid w:val="1E2B3694"/>
    <w:rsid w:val="1E33115E"/>
    <w:rsid w:val="1E3429EF"/>
    <w:rsid w:val="1E3450BD"/>
    <w:rsid w:val="1E3A76DB"/>
    <w:rsid w:val="1E3B3D7D"/>
    <w:rsid w:val="1E3E59B0"/>
    <w:rsid w:val="1E447672"/>
    <w:rsid w:val="1E4546F7"/>
    <w:rsid w:val="1E544457"/>
    <w:rsid w:val="1E551F1A"/>
    <w:rsid w:val="1E5F67B7"/>
    <w:rsid w:val="1E696B3C"/>
    <w:rsid w:val="1E6B55EB"/>
    <w:rsid w:val="1E7219A1"/>
    <w:rsid w:val="1E7D4396"/>
    <w:rsid w:val="1E8E7A8E"/>
    <w:rsid w:val="1E94288D"/>
    <w:rsid w:val="1EA00084"/>
    <w:rsid w:val="1EA10478"/>
    <w:rsid w:val="1EAC4C7B"/>
    <w:rsid w:val="1EB41931"/>
    <w:rsid w:val="1EB71B46"/>
    <w:rsid w:val="1EC137FC"/>
    <w:rsid w:val="1EC801E5"/>
    <w:rsid w:val="1ECED510"/>
    <w:rsid w:val="1ED61CF8"/>
    <w:rsid w:val="1EE00481"/>
    <w:rsid w:val="1EEA3E61"/>
    <w:rsid w:val="1EEE7042"/>
    <w:rsid w:val="1EF6464E"/>
    <w:rsid w:val="1EFC3B58"/>
    <w:rsid w:val="1F1151C2"/>
    <w:rsid w:val="1F187E58"/>
    <w:rsid w:val="1F1E074B"/>
    <w:rsid w:val="1F244811"/>
    <w:rsid w:val="1F2726C5"/>
    <w:rsid w:val="1F29084A"/>
    <w:rsid w:val="1F290A0E"/>
    <w:rsid w:val="1F2A69A4"/>
    <w:rsid w:val="1F346AB5"/>
    <w:rsid w:val="1F3FDFFC"/>
    <w:rsid w:val="1F595559"/>
    <w:rsid w:val="1F640DA5"/>
    <w:rsid w:val="1F7431C0"/>
    <w:rsid w:val="1F75506D"/>
    <w:rsid w:val="1F7C289F"/>
    <w:rsid w:val="1F7D3F22"/>
    <w:rsid w:val="1F7F1D95"/>
    <w:rsid w:val="1F830BD9"/>
    <w:rsid w:val="1F850636"/>
    <w:rsid w:val="1F8A6087"/>
    <w:rsid w:val="1F95570F"/>
    <w:rsid w:val="1F9F1946"/>
    <w:rsid w:val="1FA31BDA"/>
    <w:rsid w:val="1FAA5C2F"/>
    <w:rsid w:val="1FB05D8B"/>
    <w:rsid w:val="1FB24013"/>
    <w:rsid w:val="1FB406F8"/>
    <w:rsid w:val="1FB979B9"/>
    <w:rsid w:val="1FCD6C57"/>
    <w:rsid w:val="1FEC3AE3"/>
    <w:rsid w:val="1FEE2F5C"/>
    <w:rsid w:val="1FEF4AE7"/>
    <w:rsid w:val="1FFF9B72"/>
    <w:rsid w:val="20014B53"/>
    <w:rsid w:val="2018760F"/>
    <w:rsid w:val="2020147D"/>
    <w:rsid w:val="20210F16"/>
    <w:rsid w:val="202919B6"/>
    <w:rsid w:val="20371344"/>
    <w:rsid w:val="20445877"/>
    <w:rsid w:val="206155F1"/>
    <w:rsid w:val="206A36D3"/>
    <w:rsid w:val="206C021E"/>
    <w:rsid w:val="20713A86"/>
    <w:rsid w:val="209B0B03"/>
    <w:rsid w:val="20A61B12"/>
    <w:rsid w:val="20A61F93"/>
    <w:rsid w:val="20A7794A"/>
    <w:rsid w:val="20AA2020"/>
    <w:rsid w:val="20B81D58"/>
    <w:rsid w:val="20BB1426"/>
    <w:rsid w:val="20C30596"/>
    <w:rsid w:val="20C46836"/>
    <w:rsid w:val="20D010D1"/>
    <w:rsid w:val="20D26C9E"/>
    <w:rsid w:val="20D65FDF"/>
    <w:rsid w:val="20DB35F6"/>
    <w:rsid w:val="20DD1972"/>
    <w:rsid w:val="20DD2ECA"/>
    <w:rsid w:val="20DD736E"/>
    <w:rsid w:val="20E11DC2"/>
    <w:rsid w:val="20E224E5"/>
    <w:rsid w:val="20E22DB1"/>
    <w:rsid w:val="20EA2A65"/>
    <w:rsid w:val="20ED3DE4"/>
    <w:rsid w:val="20FD5B68"/>
    <w:rsid w:val="21156B08"/>
    <w:rsid w:val="211F34E2"/>
    <w:rsid w:val="2120725A"/>
    <w:rsid w:val="2131111E"/>
    <w:rsid w:val="21327632"/>
    <w:rsid w:val="213A656E"/>
    <w:rsid w:val="214B2529"/>
    <w:rsid w:val="215018EE"/>
    <w:rsid w:val="21530394"/>
    <w:rsid w:val="215D3B26"/>
    <w:rsid w:val="21625173"/>
    <w:rsid w:val="216703B6"/>
    <w:rsid w:val="216B497A"/>
    <w:rsid w:val="216E5668"/>
    <w:rsid w:val="21714784"/>
    <w:rsid w:val="21771570"/>
    <w:rsid w:val="217A2425"/>
    <w:rsid w:val="21977533"/>
    <w:rsid w:val="219851B9"/>
    <w:rsid w:val="21986A4E"/>
    <w:rsid w:val="21AE70D7"/>
    <w:rsid w:val="21B0066E"/>
    <w:rsid w:val="21B36881"/>
    <w:rsid w:val="21D53A09"/>
    <w:rsid w:val="21D56297"/>
    <w:rsid w:val="21E8421C"/>
    <w:rsid w:val="21FE58F7"/>
    <w:rsid w:val="2208599B"/>
    <w:rsid w:val="221E3160"/>
    <w:rsid w:val="22356D36"/>
    <w:rsid w:val="224C70F0"/>
    <w:rsid w:val="225C2514"/>
    <w:rsid w:val="226F5DBF"/>
    <w:rsid w:val="227C0EC4"/>
    <w:rsid w:val="22885270"/>
    <w:rsid w:val="229B303C"/>
    <w:rsid w:val="22A85759"/>
    <w:rsid w:val="22AE3AA8"/>
    <w:rsid w:val="22B10AB2"/>
    <w:rsid w:val="22BE570A"/>
    <w:rsid w:val="22BF6927"/>
    <w:rsid w:val="22CB676E"/>
    <w:rsid w:val="22E440E3"/>
    <w:rsid w:val="22E460A7"/>
    <w:rsid w:val="22E72668"/>
    <w:rsid w:val="22E9024C"/>
    <w:rsid w:val="231921B3"/>
    <w:rsid w:val="231A62E5"/>
    <w:rsid w:val="232D371B"/>
    <w:rsid w:val="232F0909"/>
    <w:rsid w:val="23337719"/>
    <w:rsid w:val="233961B3"/>
    <w:rsid w:val="233A4054"/>
    <w:rsid w:val="233A6C4C"/>
    <w:rsid w:val="233D7991"/>
    <w:rsid w:val="234611FA"/>
    <w:rsid w:val="23474F72"/>
    <w:rsid w:val="235A2EF8"/>
    <w:rsid w:val="235D4796"/>
    <w:rsid w:val="2366364A"/>
    <w:rsid w:val="23694EE9"/>
    <w:rsid w:val="236A32F1"/>
    <w:rsid w:val="23746A60"/>
    <w:rsid w:val="2378512C"/>
    <w:rsid w:val="237F64BA"/>
    <w:rsid w:val="239A04EF"/>
    <w:rsid w:val="239C52BE"/>
    <w:rsid w:val="23A45F21"/>
    <w:rsid w:val="23A979DB"/>
    <w:rsid w:val="23AC0FD2"/>
    <w:rsid w:val="23B02761"/>
    <w:rsid w:val="23B31D5F"/>
    <w:rsid w:val="23BC770E"/>
    <w:rsid w:val="23C40371"/>
    <w:rsid w:val="23CD6E0A"/>
    <w:rsid w:val="23D16494"/>
    <w:rsid w:val="23D305B4"/>
    <w:rsid w:val="23D52D24"/>
    <w:rsid w:val="23D82733"/>
    <w:rsid w:val="23DC384B"/>
    <w:rsid w:val="23DF21DE"/>
    <w:rsid w:val="23ED666D"/>
    <w:rsid w:val="23F65209"/>
    <w:rsid w:val="24080638"/>
    <w:rsid w:val="2409080A"/>
    <w:rsid w:val="242332EA"/>
    <w:rsid w:val="24250489"/>
    <w:rsid w:val="24271EF9"/>
    <w:rsid w:val="242B169C"/>
    <w:rsid w:val="243A0633"/>
    <w:rsid w:val="243A6885"/>
    <w:rsid w:val="244018D4"/>
    <w:rsid w:val="244A4D4D"/>
    <w:rsid w:val="244D236D"/>
    <w:rsid w:val="244F6DB9"/>
    <w:rsid w:val="24511AAF"/>
    <w:rsid w:val="246D6DF6"/>
    <w:rsid w:val="24763D61"/>
    <w:rsid w:val="24774BDC"/>
    <w:rsid w:val="248021E9"/>
    <w:rsid w:val="248144B4"/>
    <w:rsid w:val="24872B02"/>
    <w:rsid w:val="248E3007"/>
    <w:rsid w:val="249441E7"/>
    <w:rsid w:val="24B30A1C"/>
    <w:rsid w:val="24BF4C2F"/>
    <w:rsid w:val="24C30629"/>
    <w:rsid w:val="24C745BD"/>
    <w:rsid w:val="24D06014"/>
    <w:rsid w:val="24D171E9"/>
    <w:rsid w:val="24D259C4"/>
    <w:rsid w:val="24D90223"/>
    <w:rsid w:val="24DB0068"/>
    <w:rsid w:val="24DD7B5D"/>
    <w:rsid w:val="24E863F3"/>
    <w:rsid w:val="24EE7ED0"/>
    <w:rsid w:val="24F34F0B"/>
    <w:rsid w:val="24F44FF1"/>
    <w:rsid w:val="24FA1965"/>
    <w:rsid w:val="24FE5B05"/>
    <w:rsid w:val="250F1AC0"/>
    <w:rsid w:val="25216B98"/>
    <w:rsid w:val="252249A3"/>
    <w:rsid w:val="2522679D"/>
    <w:rsid w:val="252427C9"/>
    <w:rsid w:val="252437BD"/>
    <w:rsid w:val="252C2320"/>
    <w:rsid w:val="253432D4"/>
    <w:rsid w:val="253439FF"/>
    <w:rsid w:val="253B4663"/>
    <w:rsid w:val="253E2650"/>
    <w:rsid w:val="25502DD1"/>
    <w:rsid w:val="25585824"/>
    <w:rsid w:val="255F65A3"/>
    <w:rsid w:val="25622B0F"/>
    <w:rsid w:val="25665B84"/>
    <w:rsid w:val="25685726"/>
    <w:rsid w:val="25700120"/>
    <w:rsid w:val="25777D91"/>
    <w:rsid w:val="257B10A7"/>
    <w:rsid w:val="258C7A56"/>
    <w:rsid w:val="2593624D"/>
    <w:rsid w:val="25950217"/>
    <w:rsid w:val="25A0096A"/>
    <w:rsid w:val="25A466AC"/>
    <w:rsid w:val="25A91F14"/>
    <w:rsid w:val="25AB3597"/>
    <w:rsid w:val="25B368EF"/>
    <w:rsid w:val="25B83057"/>
    <w:rsid w:val="25BC08A2"/>
    <w:rsid w:val="25C07D2D"/>
    <w:rsid w:val="25D32AED"/>
    <w:rsid w:val="25D728C0"/>
    <w:rsid w:val="25EA2B31"/>
    <w:rsid w:val="25EA666C"/>
    <w:rsid w:val="25ED0053"/>
    <w:rsid w:val="25F747AF"/>
    <w:rsid w:val="25F860EB"/>
    <w:rsid w:val="2600794E"/>
    <w:rsid w:val="260158AC"/>
    <w:rsid w:val="260C7AAD"/>
    <w:rsid w:val="262F60F7"/>
    <w:rsid w:val="263B7010"/>
    <w:rsid w:val="26422E9B"/>
    <w:rsid w:val="265A5C0C"/>
    <w:rsid w:val="265C69B1"/>
    <w:rsid w:val="2670658E"/>
    <w:rsid w:val="26764558"/>
    <w:rsid w:val="2677791D"/>
    <w:rsid w:val="26804A23"/>
    <w:rsid w:val="26864004"/>
    <w:rsid w:val="26914FE9"/>
    <w:rsid w:val="269954E5"/>
    <w:rsid w:val="26A06E73"/>
    <w:rsid w:val="26A47BFF"/>
    <w:rsid w:val="26BE5FC5"/>
    <w:rsid w:val="26C64400"/>
    <w:rsid w:val="26CF19C2"/>
    <w:rsid w:val="26D92D41"/>
    <w:rsid w:val="26DE799C"/>
    <w:rsid w:val="26E414EB"/>
    <w:rsid w:val="26E42362"/>
    <w:rsid w:val="26F50C55"/>
    <w:rsid w:val="270A7415"/>
    <w:rsid w:val="270C5331"/>
    <w:rsid w:val="271A594C"/>
    <w:rsid w:val="27266F5B"/>
    <w:rsid w:val="272A01DA"/>
    <w:rsid w:val="272C6959"/>
    <w:rsid w:val="273121C1"/>
    <w:rsid w:val="27400942"/>
    <w:rsid w:val="274F318F"/>
    <w:rsid w:val="275238C7"/>
    <w:rsid w:val="276A25B5"/>
    <w:rsid w:val="27716A62"/>
    <w:rsid w:val="277D5407"/>
    <w:rsid w:val="27826579"/>
    <w:rsid w:val="279C2835"/>
    <w:rsid w:val="279D1605"/>
    <w:rsid w:val="279D33B3"/>
    <w:rsid w:val="27A44741"/>
    <w:rsid w:val="27AA58D8"/>
    <w:rsid w:val="27B0758A"/>
    <w:rsid w:val="27CE5C62"/>
    <w:rsid w:val="27DB3502"/>
    <w:rsid w:val="27DD49AF"/>
    <w:rsid w:val="27E2526A"/>
    <w:rsid w:val="27E72880"/>
    <w:rsid w:val="27F154AD"/>
    <w:rsid w:val="27F158D3"/>
    <w:rsid w:val="27F81395"/>
    <w:rsid w:val="280B1A82"/>
    <w:rsid w:val="28101DD7"/>
    <w:rsid w:val="281766AC"/>
    <w:rsid w:val="281D44F4"/>
    <w:rsid w:val="281F026C"/>
    <w:rsid w:val="28232772"/>
    <w:rsid w:val="28245882"/>
    <w:rsid w:val="283048B1"/>
    <w:rsid w:val="28387B79"/>
    <w:rsid w:val="283F26BC"/>
    <w:rsid w:val="28427911"/>
    <w:rsid w:val="284F2D0E"/>
    <w:rsid w:val="285B7A54"/>
    <w:rsid w:val="285C5FDB"/>
    <w:rsid w:val="28615C98"/>
    <w:rsid w:val="2879797C"/>
    <w:rsid w:val="28845976"/>
    <w:rsid w:val="2886653D"/>
    <w:rsid w:val="288E0245"/>
    <w:rsid w:val="288E0F4E"/>
    <w:rsid w:val="288E323D"/>
    <w:rsid w:val="28944BAE"/>
    <w:rsid w:val="28A54C15"/>
    <w:rsid w:val="28A6141E"/>
    <w:rsid w:val="28C65634"/>
    <w:rsid w:val="28CE5541"/>
    <w:rsid w:val="28D23742"/>
    <w:rsid w:val="28D9041B"/>
    <w:rsid w:val="28DC43AF"/>
    <w:rsid w:val="28EA087A"/>
    <w:rsid w:val="28EF36B9"/>
    <w:rsid w:val="28EF7C3E"/>
    <w:rsid w:val="2908648D"/>
    <w:rsid w:val="291D0C4F"/>
    <w:rsid w:val="29201209"/>
    <w:rsid w:val="292E4C0A"/>
    <w:rsid w:val="292F0982"/>
    <w:rsid w:val="2940049A"/>
    <w:rsid w:val="29401FE7"/>
    <w:rsid w:val="29414BE5"/>
    <w:rsid w:val="29475CCC"/>
    <w:rsid w:val="295F65D8"/>
    <w:rsid w:val="296028EA"/>
    <w:rsid w:val="29746395"/>
    <w:rsid w:val="29750330"/>
    <w:rsid w:val="29785E86"/>
    <w:rsid w:val="297A7BB1"/>
    <w:rsid w:val="29817776"/>
    <w:rsid w:val="298F4EE5"/>
    <w:rsid w:val="29900AF5"/>
    <w:rsid w:val="29915199"/>
    <w:rsid w:val="299C44DE"/>
    <w:rsid w:val="29A70519"/>
    <w:rsid w:val="29AB31B9"/>
    <w:rsid w:val="29AC1FD3"/>
    <w:rsid w:val="29B36EBE"/>
    <w:rsid w:val="29BB5D72"/>
    <w:rsid w:val="29C63095"/>
    <w:rsid w:val="29CB1ED3"/>
    <w:rsid w:val="29CB5A75"/>
    <w:rsid w:val="29CFE5AA"/>
    <w:rsid w:val="29F7616C"/>
    <w:rsid w:val="29FB29A5"/>
    <w:rsid w:val="29FC57B3"/>
    <w:rsid w:val="2A157B78"/>
    <w:rsid w:val="2A1856DC"/>
    <w:rsid w:val="2A273408"/>
    <w:rsid w:val="2A336C8D"/>
    <w:rsid w:val="2A353998"/>
    <w:rsid w:val="2A467D32"/>
    <w:rsid w:val="2A557566"/>
    <w:rsid w:val="2A5D6D30"/>
    <w:rsid w:val="2A5E32CD"/>
    <w:rsid w:val="2A634AE6"/>
    <w:rsid w:val="2A6425B4"/>
    <w:rsid w:val="2A750617"/>
    <w:rsid w:val="2AA131BA"/>
    <w:rsid w:val="2AA80CAF"/>
    <w:rsid w:val="2AB033FD"/>
    <w:rsid w:val="2AB52B4E"/>
    <w:rsid w:val="2ABB12BD"/>
    <w:rsid w:val="2AD3590E"/>
    <w:rsid w:val="2AD451E8"/>
    <w:rsid w:val="2AE966F2"/>
    <w:rsid w:val="2AED5233"/>
    <w:rsid w:val="2AF07C9E"/>
    <w:rsid w:val="2AF15231"/>
    <w:rsid w:val="2AF465F1"/>
    <w:rsid w:val="2AF76522"/>
    <w:rsid w:val="2B071193"/>
    <w:rsid w:val="2B083239"/>
    <w:rsid w:val="2B110340"/>
    <w:rsid w:val="2B1823DD"/>
    <w:rsid w:val="2B211B1F"/>
    <w:rsid w:val="2B253B3A"/>
    <w:rsid w:val="2B377D46"/>
    <w:rsid w:val="2B3E6C5B"/>
    <w:rsid w:val="2B473D61"/>
    <w:rsid w:val="2B475F3E"/>
    <w:rsid w:val="2B4843B6"/>
    <w:rsid w:val="2B4A4C91"/>
    <w:rsid w:val="2B4E3EA7"/>
    <w:rsid w:val="2B53729A"/>
    <w:rsid w:val="2B5F2A60"/>
    <w:rsid w:val="2B6622A3"/>
    <w:rsid w:val="2B6E226F"/>
    <w:rsid w:val="2B741F54"/>
    <w:rsid w:val="2B7E614C"/>
    <w:rsid w:val="2BA2543C"/>
    <w:rsid w:val="2BA966CA"/>
    <w:rsid w:val="2BAF1907"/>
    <w:rsid w:val="2BB42139"/>
    <w:rsid w:val="2BB5161D"/>
    <w:rsid w:val="2BBE7741"/>
    <w:rsid w:val="2BC52ED8"/>
    <w:rsid w:val="2BC74169"/>
    <w:rsid w:val="2BC95556"/>
    <w:rsid w:val="2BD05FDF"/>
    <w:rsid w:val="2BF343F3"/>
    <w:rsid w:val="2C023933"/>
    <w:rsid w:val="2C0E0D23"/>
    <w:rsid w:val="2C1A56AF"/>
    <w:rsid w:val="2C1D2D14"/>
    <w:rsid w:val="2C214146"/>
    <w:rsid w:val="2C231C6F"/>
    <w:rsid w:val="2C2355B3"/>
    <w:rsid w:val="2C245E51"/>
    <w:rsid w:val="2C2E4F21"/>
    <w:rsid w:val="2C302A48"/>
    <w:rsid w:val="2C31056E"/>
    <w:rsid w:val="2C3639E8"/>
    <w:rsid w:val="2C372028"/>
    <w:rsid w:val="2C456CEE"/>
    <w:rsid w:val="2C534988"/>
    <w:rsid w:val="2C5F332D"/>
    <w:rsid w:val="2C624BCB"/>
    <w:rsid w:val="2C626979"/>
    <w:rsid w:val="2C7373D2"/>
    <w:rsid w:val="2C7C78C3"/>
    <w:rsid w:val="2C9C33F7"/>
    <w:rsid w:val="2CB2296E"/>
    <w:rsid w:val="2CB27900"/>
    <w:rsid w:val="2CBC7A94"/>
    <w:rsid w:val="2CC71744"/>
    <w:rsid w:val="2CC94C4A"/>
    <w:rsid w:val="2CD1317B"/>
    <w:rsid w:val="2CD233DA"/>
    <w:rsid w:val="2CE35D0C"/>
    <w:rsid w:val="2D037DB8"/>
    <w:rsid w:val="2D0543E6"/>
    <w:rsid w:val="2D0978AA"/>
    <w:rsid w:val="2D0E339D"/>
    <w:rsid w:val="2D0E50C2"/>
    <w:rsid w:val="2D1F015C"/>
    <w:rsid w:val="2D312900"/>
    <w:rsid w:val="2D346567"/>
    <w:rsid w:val="2D360531"/>
    <w:rsid w:val="2D370F54"/>
    <w:rsid w:val="2D371DC3"/>
    <w:rsid w:val="2D4434C9"/>
    <w:rsid w:val="2D463ACD"/>
    <w:rsid w:val="2D4F6EFD"/>
    <w:rsid w:val="2D564730"/>
    <w:rsid w:val="2D6023B1"/>
    <w:rsid w:val="2D60735C"/>
    <w:rsid w:val="2D623374"/>
    <w:rsid w:val="2D6327A4"/>
    <w:rsid w:val="2D663273"/>
    <w:rsid w:val="2D6D5C86"/>
    <w:rsid w:val="2D6F2366"/>
    <w:rsid w:val="2D713318"/>
    <w:rsid w:val="2D7F006D"/>
    <w:rsid w:val="2D895B7E"/>
    <w:rsid w:val="2D99461C"/>
    <w:rsid w:val="2D9D235F"/>
    <w:rsid w:val="2DA82AB1"/>
    <w:rsid w:val="2DAC3172"/>
    <w:rsid w:val="2DAC4350"/>
    <w:rsid w:val="2DB6793F"/>
    <w:rsid w:val="2DBA2F11"/>
    <w:rsid w:val="2DC044F6"/>
    <w:rsid w:val="2DD57A31"/>
    <w:rsid w:val="2DDE6D07"/>
    <w:rsid w:val="2DE27D71"/>
    <w:rsid w:val="2DE33E32"/>
    <w:rsid w:val="2DE52846"/>
    <w:rsid w:val="2DE7182C"/>
    <w:rsid w:val="2DE73D29"/>
    <w:rsid w:val="2DF45CF7"/>
    <w:rsid w:val="2DF90AA0"/>
    <w:rsid w:val="2DFD07F3"/>
    <w:rsid w:val="2E094521"/>
    <w:rsid w:val="2E0B376C"/>
    <w:rsid w:val="2E0C7137"/>
    <w:rsid w:val="2E162C88"/>
    <w:rsid w:val="2E3B71C5"/>
    <w:rsid w:val="2E3F09E8"/>
    <w:rsid w:val="2E4B6EAB"/>
    <w:rsid w:val="2E4F1947"/>
    <w:rsid w:val="2E547F14"/>
    <w:rsid w:val="2E586286"/>
    <w:rsid w:val="2E641A7D"/>
    <w:rsid w:val="2E6734E3"/>
    <w:rsid w:val="2E6F6A87"/>
    <w:rsid w:val="2E70537D"/>
    <w:rsid w:val="2E724E76"/>
    <w:rsid w:val="2E734E6D"/>
    <w:rsid w:val="2E8775D6"/>
    <w:rsid w:val="2E96584B"/>
    <w:rsid w:val="2E996D16"/>
    <w:rsid w:val="2E9C2616"/>
    <w:rsid w:val="2EA119DB"/>
    <w:rsid w:val="2EA50BEE"/>
    <w:rsid w:val="2EBC6814"/>
    <w:rsid w:val="2ED17FB6"/>
    <w:rsid w:val="2ED3590C"/>
    <w:rsid w:val="2EE8585B"/>
    <w:rsid w:val="2F085084"/>
    <w:rsid w:val="2F0F2DE8"/>
    <w:rsid w:val="2F115C87"/>
    <w:rsid w:val="2F24188F"/>
    <w:rsid w:val="2F260132"/>
    <w:rsid w:val="2F3565C7"/>
    <w:rsid w:val="2F391C13"/>
    <w:rsid w:val="2F47706D"/>
    <w:rsid w:val="2F52555A"/>
    <w:rsid w:val="2F5F101A"/>
    <w:rsid w:val="2F6A001E"/>
    <w:rsid w:val="2F7442E4"/>
    <w:rsid w:val="2F76EB0D"/>
    <w:rsid w:val="2F8F429B"/>
    <w:rsid w:val="2F8F7515"/>
    <w:rsid w:val="2F9F5292"/>
    <w:rsid w:val="2FB233B7"/>
    <w:rsid w:val="2FB27C17"/>
    <w:rsid w:val="2FCC0CD9"/>
    <w:rsid w:val="2FCE3E3B"/>
    <w:rsid w:val="2FD07D6B"/>
    <w:rsid w:val="2FD26231"/>
    <w:rsid w:val="2FD47B8E"/>
    <w:rsid w:val="2FD85A13"/>
    <w:rsid w:val="2FE42CDE"/>
    <w:rsid w:val="2FF30683"/>
    <w:rsid w:val="2FFE2E5D"/>
    <w:rsid w:val="300315B9"/>
    <w:rsid w:val="30116076"/>
    <w:rsid w:val="30136908"/>
    <w:rsid w:val="30146F8B"/>
    <w:rsid w:val="30224D9D"/>
    <w:rsid w:val="302A245E"/>
    <w:rsid w:val="303321F6"/>
    <w:rsid w:val="303552CF"/>
    <w:rsid w:val="303C4D07"/>
    <w:rsid w:val="303D0DFC"/>
    <w:rsid w:val="30542A7D"/>
    <w:rsid w:val="306929CC"/>
    <w:rsid w:val="306A22A0"/>
    <w:rsid w:val="30737D00"/>
    <w:rsid w:val="307B05C4"/>
    <w:rsid w:val="307D1EE9"/>
    <w:rsid w:val="307F5C1F"/>
    <w:rsid w:val="30803872"/>
    <w:rsid w:val="3086532C"/>
    <w:rsid w:val="308C0468"/>
    <w:rsid w:val="30904174"/>
    <w:rsid w:val="309441E9"/>
    <w:rsid w:val="309A4933"/>
    <w:rsid w:val="30B11C7D"/>
    <w:rsid w:val="30B40A52"/>
    <w:rsid w:val="30B443D8"/>
    <w:rsid w:val="30BA6D84"/>
    <w:rsid w:val="30C168E2"/>
    <w:rsid w:val="30CB180D"/>
    <w:rsid w:val="30CD2F5B"/>
    <w:rsid w:val="30D11AE7"/>
    <w:rsid w:val="30D616E4"/>
    <w:rsid w:val="30EB1633"/>
    <w:rsid w:val="30EE1123"/>
    <w:rsid w:val="30EF220B"/>
    <w:rsid w:val="30F5437F"/>
    <w:rsid w:val="30FB3EF8"/>
    <w:rsid w:val="30FF0C3A"/>
    <w:rsid w:val="310B0D65"/>
    <w:rsid w:val="31112915"/>
    <w:rsid w:val="31175F84"/>
    <w:rsid w:val="31181CFC"/>
    <w:rsid w:val="31245F91"/>
    <w:rsid w:val="31304586"/>
    <w:rsid w:val="314E392A"/>
    <w:rsid w:val="3150593A"/>
    <w:rsid w:val="315679FF"/>
    <w:rsid w:val="31677002"/>
    <w:rsid w:val="31807FCD"/>
    <w:rsid w:val="318A3E92"/>
    <w:rsid w:val="319925E7"/>
    <w:rsid w:val="31A0241D"/>
    <w:rsid w:val="31A37DE9"/>
    <w:rsid w:val="31AB2B70"/>
    <w:rsid w:val="31AC0C90"/>
    <w:rsid w:val="31B41A25"/>
    <w:rsid w:val="31BA0D5D"/>
    <w:rsid w:val="31BB2DB3"/>
    <w:rsid w:val="31C249DB"/>
    <w:rsid w:val="31C54E28"/>
    <w:rsid w:val="31C840A2"/>
    <w:rsid w:val="31CB2007"/>
    <w:rsid w:val="31DB79D8"/>
    <w:rsid w:val="31DF79A9"/>
    <w:rsid w:val="31E83DC4"/>
    <w:rsid w:val="31FB58A6"/>
    <w:rsid w:val="31FE5396"/>
    <w:rsid w:val="31FF7744"/>
    <w:rsid w:val="32034EF7"/>
    <w:rsid w:val="3210328B"/>
    <w:rsid w:val="321B2E89"/>
    <w:rsid w:val="322546D1"/>
    <w:rsid w:val="322B3707"/>
    <w:rsid w:val="322C43BA"/>
    <w:rsid w:val="322F5EB7"/>
    <w:rsid w:val="322F7E5B"/>
    <w:rsid w:val="32452FC5"/>
    <w:rsid w:val="32500091"/>
    <w:rsid w:val="325829EC"/>
    <w:rsid w:val="32586854"/>
    <w:rsid w:val="325A5DCC"/>
    <w:rsid w:val="325D20BC"/>
    <w:rsid w:val="32680F89"/>
    <w:rsid w:val="3275602C"/>
    <w:rsid w:val="327918AA"/>
    <w:rsid w:val="32841A47"/>
    <w:rsid w:val="32847224"/>
    <w:rsid w:val="32870EE7"/>
    <w:rsid w:val="328E671A"/>
    <w:rsid w:val="329362BA"/>
    <w:rsid w:val="32A24A38"/>
    <w:rsid w:val="32A61CB5"/>
    <w:rsid w:val="32BF68D3"/>
    <w:rsid w:val="32C75788"/>
    <w:rsid w:val="32E20814"/>
    <w:rsid w:val="32E43F45"/>
    <w:rsid w:val="32EE518C"/>
    <w:rsid w:val="32F26CA9"/>
    <w:rsid w:val="32FF13C6"/>
    <w:rsid w:val="33092244"/>
    <w:rsid w:val="330B7D6A"/>
    <w:rsid w:val="33152498"/>
    <w:rsid w:val="331A1D5C"/>
    <w:rsid w:val="3321758E"/>
    <w:rsid w:val="33226E62"/>
    <w:rsid w:val="332B3F69"/>
    <w:rsid w:val="332E1CAB"/>
    <w:rsid w:val="333170A5"/>
    <w:rsid w:val="333F5A93"/>
    <w:rsid w:val="334868C9"/>
    <w:rsid w:val="335E1C38"/>
    <w:rsid w:val="336417E9"/>
    <w:rsid w:val="33661C03"/>
    <w:rsid w:val="33663BDB"/>
    <w:rsid w:val="33663C98"/>
    <w:rsid w:val="33694A91"/>
    <w:rsid w:val="33934B57"/>
    <w:rsid w:val="339D6506"/>
    <w:rsid w:val="33A61841"/>
    <w:rsid w:val="33A87367"/>
    <w:rsid w:val="33B05759"/>
    <w:rsid w:val="33B14B36"/>
    <w:rsid w:val="33C337C4"/>
    <w:rsid w:val="33CB74FA"/>
    <w:rsid w:val="33E04D53"/>
    <w:rsid w:val="33E36AB9"/>
    <w:rsid w:val="33F70598"/>
    <w:rsid w:val="33FD6212"/>
    <w:rsid w:val="341838CF"/>
    <w:rsid w:val="342310E4"/>
    <w:rsid w:val="342A2472"/>
    <w:rsid w:val="34391824"/>
    <w:rsid w:val="343B01DB"/>
    <w:rsid w:val="34425A0E"/>
    <w:rsid w:val="3446796C"/>
    <w:rsid w:val="344D6161"/>
    <w:rsid w:val="345816AA"/>
    <w:rsid w:val="345A3DD4"/>
    <w:rsid w:val="34620231"/>
    <w:rsid w:val="346F27C6"/>
    <w:rsid w:val="34711F46"/>
    <w:rsid w:val="34745A79"/>
    <w:rsid w:val="34763909"/>
    <w:rsid w:val="34776B46"/>
    <w:rsid w:val="34815534"/>
    <w:rsid w:val="34844D32"/>
    <w:rsid w:val="348F6779"/>
    <w:rsid w:val="34906DAF"/>
    <w:rsid w:val="349124F1"/>
    <w:rsid w:val="34A00474"/>
    <w:rsid w:val="34A264AC"/>
    <w:rsid w:val="34B14942"/>
    <w:rsid w:val="34D36666"/>
    <w:rsid w:val="34D71CBF"/>
    <w:rsid w:val="34DD74E5"/>
    <w:rsid w:val="34DF14AF"/>
    <w:rsid w:val="34DF263D"/>
    <w:rsid w:val="34E62438"/>
    <w:rsid w:val="34E806FB"/>
    <w:rsid w:val="34EF7816"/>
    <w:rsid w:val="34F211E2"/>
    <w:rsid w:val="34F74E78"/>
    <w:rsid w:val="350727B3"/>
    <w:rsid w:val="3511718E"/>
    <w:rsid w:val="35284C04"/>
    <w:rsid w:val="352E1AEE"/>
    <w:rsid w:val="353230F1"/>
    <w:rsid w:val="353646D6"/>
    <w:rsid w:val="353B03CE"/>
    <w:rsid w:val="353C4CEF"/>
    <w:rsid w:val="355635F9"/>
    <w:rsid w:val="35571045"/>
    <w:rsid w:val="35575DD8"/>
    <w:rsid w:val="355F0E30"/>
    <w:rsid w:val="357E2A76"/>
    <w:rsid w:val="3583585A"/>
    <w:rsid w:val="358A766C"/>
    <w:rsid w:val="358C3338"/>
    <w:rsid w:val="3593266D"/>
    <w:rsid w:val="35941D23"/>
    <w:rsid w:val="35961234"/>
    <w:rsid w:val="35A061C5"/>
    <w:rsid w:val="35B60028"/>
    <w:rsid w:val="35B83942"/>
    <w:rsid w:val="35B923B1"/>
    <w:rsid w:val="35BE2E72"/>
    <w:rsid w:val="35C366DA"/>
    <w:rsid w:val="35C44201"/>
    <w:rsid w:val="35C67F79"/>
    <w:rsid w:val="35CE332E"/>
    <w:rsid w:val="35CF507F"/>
    <w:rsid w:val="35D07049"/>
    <w:rsid w:val="35D84564"/>
    <w:rsid w:val="35DD481C"/>
    <w:rsid w:val="35EE332A"/>
    <w:rsid w:val="35EF585C"/>
    <w:rsid w:val="35F679F4"/>
    <w:rsid w:val="36011A9C"/>
    <w:rsid w:val="360F5C2A"/>
    <w:rsid w:val="36121410"/>
    <w:rsid w:val="36162CAE"/>
    <w:rsid w:val="36174C78"/>
    <w:rsid w:val="36210B20"/>
    <w:rsid w:val="362D0788"/>
    <w:rsid w:val="36300F1A"/>
    <w:rsid w:val="36433785"/>
    <w:rsid w:val="36586B29"/>
    <w:rsid w:val="36633A19"/>
    <w:rsid w:val="367C4861"/>
    <w:rsid w:val="367E6AA5"/>
    <w:rsid w:val="36806379"/>
    <w:rsid w:val="368220F2"/>
    <w:rsid w:val="368C4D1E"/>
    <w:rsid w:val="368F2A60"/>
    <w:rsid w:val="36965B9D"/>
    <w:rsid w:val="36975981"/>
    <w:rsid w:val="36987D7C"/>
    <w:rsid w:val="36A323F3"/>
    <w:rsid w:val="36AA789A"/>
    <w:rsid w:val="36AC298D"/>
    <w:rsid w:val="36BA08DC"/>
    <w:rsid w:val="36BB1AA7"/>
    <w:rsid w:val="36CA241F"/>
    <w:rsid w:val="36CD016C"/>
    <w:rsid w:val="36CE5A1E"/>
    <w:rsid w:val="36D86939"/>
    <w:rsid w:val="36E74BCF"/>
    <w:rsid w:val="36F06EBF"/>
    <w:rsid w:val="36F36094"/>
    <w:rsid w:val="36FA437E"/>
    <w:rsid w:val="36FA545B"/>
    <w:rsid w:val="37005E85"/>
    <w:rsid w:val="37032EE2"/>
    <w:rsid w:val="37052D23"/>
    <w:rsid w:val="3706381E"/>
    <w:rsid w:val="370E607B"/>
    <w:rsid w:val="37115D1B"/>
    <w:rsid w:val="37132D3F"/>
    <w:rsid w:val="37164F30"/>
    <w:rsid w:val="37353608"/>
    <w:rsid w:val="37380B07"/>
    <w:rsid w:val="37473124"/>
    <w:rsid w:val="37495DE7"/>
    <w:rsid w:val="37620175"/>
    <w:rsid w:val="376E6B1A"/>
    <w:rsid w:val="37754EA4"/>
    <w:rsid w:val="377A0F90"/>
    <w:rsid w:val="3781684D"/>
    <w:rsid w:val="37971BCD"/>
    <w:rsid w:val="37976071"/>
    <w:rsid w:val="379A74B9"/>
    <w:rsid w:val="379C3687"/>
    <w:rsid w:val="37A332CD"/>
    <w:rsid w:val="37AA7968"/>
    <w:rsid w:val="37AD6FFB"/>
    <w:rsid w:val="37AE3470"/>
    <w:rsid w:val="37B07204"/>
    <w:rsid w:val="37B87D95"/>
    <w:rsid w:val="37BA5670"/>
    <w:rsid w:val="37D141F5"/>
    <w:rsid w:val="37D963E5"/>
    <w:rsid w:val="37EA43F2"/>
    <w:rsid w:val="37EBC7A6"/>
    <w:rsid w:val="37ED426E"/>
    <w:rsid w:val="37FB587E"/>
    <w:rsid w:val="380B6326"/>
    <w:rsid w:val="381839A2"/>
    <w:rsid w:val="38222004"/>
    <w:rsid w:val="38223A5B"/>
    <w:rsid w:val="38234110"/>
    <w:rsid w:val="38340E36"/>
    <w:rsid w:val="38353194"/>
    <w:rsid w:val="38372165"/>
    <w:rsid w:val="384A70AD"/>
    <w:rsid w:val="385950D4"/>
    <w:rsid w:val="38660F08"/>
    <w:rsid w:val="386A108F"/>
    <w:rsid w:val="386B56A1"/>
    <w:rsid w:val="38713459"/>
    <w:rsid w:val="387329B0"/>
    <w:rsid w:val="387C7014"/>
    <w:rsid w:val="387E0FDF"/>
    <w:rsid w:val="388349E1"/>
    <w:rsid w:val="38946EF2"/>
    <w:rsid w:val="389712E7"/>
    <w:rsid w:val="38982C55"/>
    <w:rsid w:val="389941AE"/>
    <w:rsid w:val="38A45FDC"/>
    <w:rsid w:val="38AF5D1E"/>
    <w:rsid w:val="38DE3230"/>
    <w:rsid w:val="38EB36E5"/>
    <w:rsid w:val="38F44393"/>
    <w:rsid w:val="38F74AF1"/>
    <w:rsid w:val="38FF3ECD"/>
    <w:rsid w:val="3901753D"/>
    <w:rsid w:val="39140F60"/>
    <w:rsid w:val="3914724D"/>
    <w:rsid w:val="3915565D"/>
    <w:rsid w:val="391E0C2C"/>
    <w:rsid w:val="3922196A"/>
    <w:rsid w:val="39271C2E"/>
    <w:rsid w:val="392E7AA4"/>
    <w:rsid w:val="39397EF6"/>
    <w:rsid w:val="394713D0"/>
    <w:rsid w:val="394C61B4"/>
    <w:rsid w:val="3958538C"/>
    <w:rsid w:val="395A1000"/>
    <w:rsid w:val="395A1104"/>
    <w:rsid w:val="396106E4"/>
    <w:rsid w:val="39697599"/>
    <w:rsid w:val="397F14BF"/>
    <w:rsid w:val="39806C59"/>
    <w:rsid w:val="39854CED"/>
    <w:rsid w:val="39897C3B"/>
    <w:rsid w:val="39912999"/>
    <w:rsid w:val="39A03EED"/>
    <w:rsid w:val="39A131D7"/>
    <w:rsid w:val="39A73BAE"/>
    <w:rsid w:val="39A87231"/>
    <w:rsid w:val="39AB5E03"/>
    <w:rsid w:val="39B34CB8"/>
    <w:rsid w:val="39BA7DF4"/>
    <w:rsid w:val="39BD78E5"/>
    <w:rsid w:val="39C35667"/>
    <w:rsid w:val="39C80763"/>
    <w:rsid w:val="39CB50A6"/>
    <w:rsid w:val="39CF6DF4"/>
    <w:rsid w:val="39D44E96"/>
    <w:rsid w:val="39D4535A"/>
    <w:rsid w:val="39E6508D"/>
    <w:rsid w:val="39EA239A"/>
    <w:rsid w:val="39EB4452"/>
    <w:rsid w:val="39EC3F23"/>
    <w:rsid w:val="39EC5B12"/>
    <w:rsid w:val="3A137505"/>
    <w:rsid w:val="3A1805F9"/>
    <w:rsid w:val="3A2160C5"/>
    <w:rsid w:val="3A4818A4"/>
    <w:rsid w:val="3A4A1141"/>
    <w:rsid w:val="3A59585F"/>
    <w:rsid w:val="3A601D2F"/>
    <w:rsid w:val="3A687850"/>
    <w:rsid w:val="3A6A0CDC"/>
    <w:rsid w:val="3A726E4E"/>
    <w:rsid w:val="3A7E085A"/>
    <w:rsid w:val="3A8433AD"/>
    <w:rsid w:val="3A843ABE"/>
    <w:rsid w:val="3A9128C1"/>
    <w:rsid w:val="3A922524"/>
    <w:rsid w:val="3AA85F85"/>
    <w:rsid w:val="3AAD5BAB"/>
    <w:rsid w:val="3AAF64AB"/>
    <w:rsid w:val="3AB40CE8"/>
    <w:rsid w:val="3ABF0039"/>
    <w:rsid w:val="3AC21D31"/>
    <w:rsid w:val="3ACC77E6"/>
    <w:rsid w:val="3AD17B7F"/>
    <w:rsid w:val="3AD35612"/>
    <w:rsid w:val="3AD874C9"/>
    <w:rsid w:val="3AEE244B"/>
    <w:rsid w:val="3AEF180B"/>
    <w:rsid w:val="3AF916B0"/>
    <w:rsid w:val="3AFD61EB"/>
    <w:rsid w:val="3B07350D"/>
    <w:rsid w:val="3B191B7A"/>
    <w:rsid w:val="3B250922"/>
    <w:rsid w:val="3B260976"/>
    <w:rsid w:val="3B366613"/>
    <w:rsid w:val="3B3D6F2F"/>
    <w:rsid w:val="3B486A4A"/>
    <w:rsid w:val="3B4D6A6B"/>
    <w:rsid w:val="3B535A77"/>
    <w:rsid w:val="3B581673"/>
    <w:rsid w:val="3B5D4FE6"/>
    <w:rsid w:val="3B5E01E4"/>
    <w:rsid w:val="3B6236A0"/>
    <w:rsid w:val="3B6B3A9C"/>
    <w:rsid w:val="3B8B1C35"/>
    <w:rsid w:val="3B937DF8"/>
    <w:rsid w:val="3BA20A9E"/>
    <w:rsid w:val="3BA27B29"/>
    <w:rsid w:val="3BA36306"/>
    <w:rsid w:val="3BA90120"/>
    <w:rsid w:val="3BA96C8B"/>
    <w:rsid w:val="3BB645EB"/>
    <w:rsid w:val="3BB75234"/>
    <w:rsid w:val="3BB81A38"/>
    <w:rsid w:val="3BC46D08"/>
    <w:rsid w:val="3BC74A4B"/>
    <w:rsid w:val="3BC9468F"/>
    <w:rsid w:val="3BC96069"/>
    <w:rsid w:val="3BD01B51"/>
    <w:rsid w:val="3BD258C9"/>
    <w:rsid w:val="3BE6C7A4"/>
    <w:rsid w:val="3BFF41E4"/>
    <w:rsid w:val="3BFFA27A"/>
    <w:rsid w:val="3C027831"/>
    <w:rsid w:val="3C084023"/>
    <w:rsid w:val="3C157564"/>
    <w:rsid w:val="3C3C0CD2"/>
    <w:rsid w:val="3C460065"/>
    <w:rsid w:val="3C522566"/>
    <w:rsid w:val="3C5249B6"/>
    <w:rsid w:val="3C666012"/>
    <w:rsid w:val="3C69674F"/>
    <w:rsid w:val="3C7C75E3"/>
    <w:rsid w:val="3C8A2084"/>
    <w:rsid w:val="3C8D13F8"/>
    <w:rsid w:val="3C9012E0"/>
    <w:rsid w:val="3C9708C1"/>
    <w:rsid w:val="3CAD4C77"/>
    <w:rsid w:val="3CC62F17"/>
    <w:rsid w:val="3CC907F0"/>
    <w:rsid w:val="3CCC92BA"/>
    <w:rsid w:val="3CCE7F04"/>
    <w:rsid w:val="3CD5470D"/>
    <w:rsid w:val="3CD64F45"/>
    <w:rsid w:val="3CDC0DE1"/>
    <w:rsid w:val="3CEC3657"/>
    <w:rsid w:val="3CF1446D"/>
    <w:rsid w:val="3CF36A59"/>
    <w:rsid w:val="3CF4186F"/>
    <w:rsid w:val="3CFB1DD3"/>
    <w:rsid w:val="3D025872"/>
    <w:rsid w:val="3D0620E8"/>
    <w:rsid w:val="3D0F4ED7"/>
    <w:rsid w:val="3D193084"/>
    <w:rsid w:val="3D1C6BC8"/>
    <w:rsid w:val="3D1E069A"/>
    <w:rsid w:val="3D22018A"/>
    <w:rsid w:val="3D294424"/>
    <w:rsid w:val="3D29758D"/>
    <w:rsid w:val="3D2C5607"/>
    <w:rsid w:val="3D472F70"/>
    <w:rsid w:val="3D4C3459"/>
    <w:rsid w:val="3D534CEE"/>
    <w:rsid w:val="3D683084"/>
    <w:rsid w:val="3D7604D6"/>
    <w:rsid w:val="3D76708B"/>
    <w:rsid w:val="3D7B5AED"/>
    <w:rsid w:val="3D84709F"/>
    <w:rsid w:val="3D8A4F7F"/>
    <w:rsid w:val="3D8C1249"/>
    <w:rsid w:val="3D907E4E"/>
    <w:rsid w:val="3D915D03"/>
    <w:rsid w:val="3D9B7F3D"/>
    <w:rsid w:val="3D9D5A63"/>
    <w:rsid w:val="3D9F67B1"/>
    <w:rsid w:val="3DA26D0E"/>
    <w:rsid w:val="3DAF617E"/>
    <w:rsid w:val="3DB1150E"/>
    <w:rsid w:val="3DB17760"/>
    <w:rsid w:val="3DBA03C3"/>
    <w:rsid w:val="3DC42CFC"/>
    <w:rsid w:val="3DC46ABA"/>
    <w:rsid w:val="3DC95CBF"/>
    <w:rsid w:val="3DD31485"/>
    <w:rsid w:val="3DD35929"/>
    <w:rsid w:val="3DD47A3F"/>
    <w:rsid w:val="3DDA450B"/>
    <w:rsid w:val="3DDD2303"/>
    <w:rsid w:val="3DEB38AB"/>
    <w:rsid w:val="3DEE62BF"/>
    <w:rsid w:val="3DF5764D"/>
    <w:rsid w:val="3DFF3DB0"/>
    <w:rsid w:val="3DFF45DA"/>
    <w:rsid w:val="3E0E6961"/>
    <w:rsid w:val="3E17163D"/>
    <w:rsid w:val="3E175815"/>
    <w:rsid w:val="3E1F6F2C"/>
    <w:rsid w:val="3E3C1720"/>
    <w:rsid w:val="3E486ECD"/>
    <w:rsid w:val="3E4A0DFA"/>
    <w:rsid w:val="3E4D1237"/>
    <w:rsid w:val="3E733E0D"/>
    <w:rsid w:val="3E734A16"/>
    <w:rsid w:val="3E781F2F"/>
    <w:rsid w:val="3E8B6216"/>
    <w:rsid w:val="3E99749A"/>
    <w:rsid w:val="3EB373AC"/>
    <w:rsid w:val="3EBD90BE"/>
    <w:rsid w:val="3ECE0D76"/>
    <w:rsid w:val="3EDC080D"/>
    <w:rsid w:val="3EDD2677"/>
    <w:rsid w:val="3EFB446E"/>
    <w:rsid w:val="3F0833B0"/>
    <w:rsid w:val="3F0A13F8"/>
    <w:rsid w:val="3F0D4E6A"/>
    <w:rsid w:val="3F220A30"/>
    <w:rsid w:val="3F22253F"/>
    <w:rsid w:val="3F2335C3"/>
    <w:rsid w:val="3F236054"/>
    <w:rsid w:val="3F256073"/>
    <w:rsid w:val="3F2C4D37"/>
    <w:rsid w:val="3F2D4CD5"/>
    <w:rsid w:val="3F3C245E"/>
    <w:rsid w:val="3F3E6DD2"/>
    <w:rsid w:val="3F431B2C"/>
    <w:rsid w:val="3F4A17B3"/>
    <w:rsid w:val="3F4C14EF"/>
    <w:rsid w:val="3F53550C"/>
    <w:rsid w:val="3F537FF3"/>
    <w:rsid w:val="3F5605BF"/>
    <w:rsid w:val="3F5A02EC"/>
    <w:rsid w:val="3F5B7984"/>
    <w:rsid w:val="3F6B2D2B"/>
    <w:rsid w:val="3F6B55BF"/>
    <w:rsid w:val="3F9152EB"/>
    <w:rsid w:val="3F9E5AC2"/>
    <w:rsid w:val="3FAE03FB"/>
    <w:rsid w:val="3FAE3F57"/>
    <w:rsid w:val="3FB0398F"/>
    <w:rsid w:val="3FC03C8B"/>
    <w:rsid w:val="3FCE0156"/>
    <w:rsid w:val="3FCF098B"/>
    <w:rsid w:val="3FD06468"/>
    <w:rsid w:val="3FD87226"/>
    <w:rsid w:val="3FE45BCB"/>
    <w:rsid w:val="3FE47979"/>
    <w:rsid w:val="3FE7A14E"/>
    <w:rsid w:val="3FEFA0F3"/>
    <w:rsid w:val="3FF51B86"/>
    <w:rsid w:val="3FF86700"/>
    <w:rsid w:val="3FFE08B6"/>
    <w:rsid w:val="3FFE0E31"/>
    <w:rsid w:val="3FFF995D"/>
    <w:rsid w:val="40010EF3"/>
    <w:rsid w:val="400422FF"/>
    <w:rsid w:val="40152228"/>
    <w:rsid w:val="40181D19"/>
    <w:rsid w:val="402E32EA"/>
    <w:rsid w:val="403158D7"/>
    <w:rsid w:val="40322DDA"/>
    <w:rsid w:val="403D352D"/>
    <w:rsid w:val="405220B8"/>
    <w:rsid w:val="405368AD"/>
    <w:rsid w:val="40543E48"/>
    <w:rsid w:val="40585637"/>
    <w:rsid w:val="40665850"/>
    <w:rsid w:val="407A676D"/>
    <w:rsid w:val="40866C82"/>
    <w:rsid w:val="408E29FF"/>
    <w:rsid w:val="40A37834"/>
    <w:rsid w:val="40B84D47"/>
    <w:rsid w:val="40CD665F"/>
    <w:rsid w:val="40D365D4"/>
    <w:rsid w:val="40D43E92"/>
    <w:rsid w:val="40D774DE"/>
    <w:rsid w:val="40E23738"/>
    <w:rsid w:val="40E276F7"/>
    <w:rsid w:val="40EA6EBA"/>
    <w:rsid w:val="40ED54D8"/>
    <w:rsid w:val="40F42C5D"/>
    <w:rsid w:val="40F56C6C"/>
    <w:rsid w:val="40F938F8"/>
    <w:rsid w:val="40FEB618"/>
    <w:rsid w:val="410605CC"/>
    <w:rsid w:val="410B7BCB"/>
    <w:rsid w:val="412E6F3C"/>
    <w:rsid w:val="41405083"/>
    <w:rsid w:val="41436921"/>
    <w:rsid w:val="4151103E"/>
    <w:rsid w:val="41526080"/>
    <w:rsid w:val="41724AE9"/>
    <w:rsid w:val="41850CE8"/>
    <w:rsid w:val="41941570"/>
    <w:rsid w:val="41961202"/>
    <w:rsid w:val="419B3618"/>
    <w:rsid w:val="419E41F7"/>
    <w:rsid w:val="41B15EE3"/>
    <w:rsid w:val="41B445E9"/>
    <w:rsid w:val="41BD2B78"/>
    <w:rsid w:val="41C50BB6"/>
    <w:rsid w:val="41C9151C"/>
    <w:rsid w:val="41D57EC1"/>
    <w:rsid w:val="41E40104"/>
    <w:rsid w:val="41EE4ADF"/>
    <w:rsid w:val="41F248FA"/>
    <w:rsid w:val="41F64B29"/>
    <w:rsid w:val="42066721"/>
    <w:rsid w:val="42186000"/>
    <w:rsid w:val="42213106"/>
    <w:rsid w:val="42442951"/>
    <w:rsid w:val="42497184"/>
    <w:rsid w:val="424B5480"/>
    <w:rsid w:val="424E32A8"/>
    <w:rsid w:val="424F0A63"/>
    <w:rsid w:val="42553EE8"/>
    <w:rsid w:val="425C3523"/>
    <w:rsid w:val="42605908"/>
    <w:rsid w:val="426138DE"/>
    <w:rsid w:val="4278084D"/>
    <w:rsid w:val="427B3D8A"/>
    <w:rsid w:val="4286740D"/>
    <w:rsid w:val="42886D23"/>
    <w:rsid w:val="428C5620"/>
    <w:rsid w:val="428C60A6"/>
    <w:rsid w:val="42993F16"/>
    <w:rsid w:val="429F24F8"/>
    <w:rsid w:val="42A31D6D"/>
    <w:rsid w:val="42B15B0D"/>
    <w:rsid w:val="42B41D52"/>
    <w:rsid w:val="42BE7CB4"/>
    <w:rsid w:val="42C00C5C"/>
    <w:rsid w:val="42CB7A34"/>
    <w:rsid w:val="42E12FAA"/>
    <w:rsid w:val="42E3216A"/>
    <w:rsid w:val="42EB439E"/>
    <w:rsid w:val="42EE5221"/>
    <w:rsid w:val="42EF4FB3"/>
    <w:rsid w:val="42F071AC"/>
    <w:rsid w:val="42F51E9D"/>
    <w:rsid w:val="42FC76D0"/>
    <w:rsid w:val="43025F84"/>
    <w:rsid w:val="43122A4F"/>
    <w:rsid w:val="432E448E"/>
    <w:rsid w:val="43325B98"/>
    <w:rsid w:val="43341C3E"/>
    <w:rsid w:val="43495B48"/>
    <w:rsid w:val="43560B8E"/>
    <w:rsid w:val="4356268C"/>
    <w:rsid w:val="435B43F6"/>
    <w:rsid w:val="435B61A4"/>
    <w:rsid w:val="4368266F"/>
    <w:rsid w:val="43721740"/>
    <w:rsid w:val="43776D56"/>
    <w:rsid w:val="43777723"/>
    <w:rsid w:val="437C4A28"/>
    <w:rsid w:val="438374A9"/>
    <w:rsid w:val="43983C23"/>
    <w:rsid w:val="439C7CD4"/>
    <w:rsid w:val="43A73199"/>
    <w:rsid w:val="43A7579D"/>
    <w:rsid w:val="43AE09CA"/>
    <w:rsid w:val="43C82B7A"/>
    <w:rsid w:val="43C875B2"/>
    <w:rsid w:val="43D21641"/>
    <w:rsid w:val="43D441A9"/>
    <w:rsid w:val="43E758B2"/>
    <w:rsid w:val="43EC32A0"/>
    <w:rsid w:val="43EF4B3E"/>
    <w:rsid w:val="440228DF"/>
    <w:rsid w:val="44093E52"/>
    <w:rsid w:val="440B6D71"/>
    <w:rsid w:val="440C749E"/>
    <w:rsid w:val="440F3278"/>
    <w:rsid w:val="44115B45"/>
    <w:rsid w:val="441427F7"/>
    <w:rsid w:val="442030D5"/>
    <w:rsid w:val="443F3D46"/>
    <w:rsid w:val="444255B6"/>
    <w:rsid w:val="444529B0"/>
    <w:rsid w:val="44466E54"/>
    <w:rsid w:val="444E7AB7"/>
    <w:rsid w:val="44587E0A"/>
    <w:rsid w:val="44593DBA"/>
    <w:rsid w:val="44613C8E"/>
    <w:rsid w:val="4475773A"/>
    <w:rsid w:val="447A63A2"/>
    <w:rsid w:val="447D493F"/>
    <w:rsid w:val="447D65EE"/>
    <w:rsid w:val="4484797D"/>
    <w:rsid w:val="4493196E"/>
    <w:rsid w:val="449F6565"/>
    <w:rsid w:val="44A00397"/>
    <w:rsid w:val="44A409D6"/>
    <w:rsid w:val="44AC55BD"/>
    <w:rsid w:val="44AF4066"/>
    <w:rsid w:val="44B042CE"/>
    <w:rsid w:val="44BD10DE"/>
    <w:rsid w:val="44D81A76"/>
    <w:rsid w:val="44DF6BBE"/>
    <w:rsid w:val="44F47E43"/>
    <w:rsid w:val="44FC4475"/>
    <w:rsid w:val="45082F5D"/>
    <w:rsid w:val="450A1C21"/>
    <w:rsid w:val="451E392D"/>
    <w:rsid w:val="451E3EC6"/>
    <w:rsid w:val="452F4A52"/>
    <w:rsid w:val="452F55B2"/>
    <w:rsid w:val="45327E35"/>
    <w:rsid w:val="45332259"/>
    <w:rsid w:val="453E73B1"/>
    <w:rsid w:val="4545710C"/>
    <w:rsid w:val="45467F62"/>
    <w:rsid w:val="45486BFC"/>
    <w:rsid w:val="45504D86"/>
    <w:rsid w:val="45533F1C"/>
    <w:rsid w:val="4557225D"/>
    <w:rsid w:val="45901070"/>
    <w:rsid w:val="45B06ED6"/>
    <w:rsid w:val="45B37EB1"/>
    <w:rsid w:val="45B47498"/>
    <w:rsid w:val="45C710FB"/>
    <w:rsid w:val="45CC032A"/>
    <w:rsid w:val="45D71D2E"/>
    <w:rsid w:val="45DA17D8"/>
    <w:rsid w:val="45E46ACA"/>
    <w:rsid w:val="45EF52CA"/>
    <w:rsid w:val="45F1231E"/>
    <w:rsid w:val="45F34DBA"/>
    <w:rsid w:val="45F840E8"/>
    <w:rsid w:val="45F8417E"/>
    <w:rsid w:val="45FB4B6F"/>
    <w:rsid w:val="46026E36"/>
    <w:rsid w:val="46064558"/>
    <w:rsid w:val="462813AD"/>
    <w:rsid w:val="462B7B4C"/>
    <w:rsid w:val="462F3EF3"/>
    <w:rsid w:val="46301610"/>
    <w:rsid w:val="46313B8E"/>
    <w:rsid w:val="463B42CB"/>
    <w:rsid w:val="46440544"/>
    <w:rsid w:val="465F5301"/>
    <w:rsid w:val="46623CEE"/>
    <w:rsid w:val="466C1D8C"/>
    <w:rsid w:val="466D314E"/>
    <w:rsid w:val="467B0413"/>
    <w:rsid w:val="46804174"/>
    <w:rsid w:val="468A24B1"/>
    <w:rsid w:val="468A53B0"/>
    <w:rsid w:val="469B534E"/>
    <w:rsid w:val="469F43E0"/>
    <w:rsid w:val="46B11CD5"/>
    <w:rsid w:val="46B53E1D"/>
    <w:rsid w:val="46B837C8"/>
    <w:rsid w:val="46C0453A"/>
    <w:rsid w:val="46C82AEE"/>
    <w:rsid w:val="46CB4320"/>
    <w:rsid w:val="46CD72D6"/>
    <w:rsid w:val="46E841F3"/>
    <w:rsid w:val="46EE732F"/>
    <w:rsid w:val="46F33B59"/>
    <w:rsid w:val="46F506BE"/>
    <w:rsid w:val="470C1CAD"/>
    <w:rsid w:val="470D1EAB"/>
    <w:rsid w:val="4713457F"/>
    <w:rsid w:val="47176886"/>
    <w:rsid w:val="471F2936"/>
    <w:rsid w:val="471F673A"/>
    <w:rsid w:val="47363055"/>
    <w:rsid w:val="473E41E7"/>
    <w:rsid w:val="47530F1F"/>
    <w:rsid w:val="475950F1"/>
    <w:rsid w:val="475F022D"/>
    <w:rsid w:val="476F0470"/>
    <w:rsid w:val="47704076"/>
    <w:rsid w:val="47705DC8"/>
    <w:rsid w:val="47741147"/>
    <w:rsid w:val="47774690"/>
    <w:rsid w:val="47793411"/>
    <w:rsid w:val="477C2B8D"/>
    <w:rsid w:val="477E0BCB"/>
    <w:rsid w:val="478101A3"/>
    <w:rsid w:val="478758D4"/>
    <w:rsid w:val="478B77DC"/>
    <w:rsid w:val="478D1745"/>
    <w:rsid w:val="4791488A"/>
    <w:rsid w:val="47B10A89"/>
    <w:rsid w:val="47B40579"/>
    <w:rsid w:val="47C018DD"/>
    <w:rsid w:val="47C03707"/>
    <w:rsid w:val="47C34CE9"/>
    <w:rsid w:val="47D337DD"/>
    <w:rsid w:val="47E94C70"/>
    <w:rsid w:val="47F37F37"/>
    <w:rsid w:val="47F933CB"/>
    <w:rsid w:val="47FB0800"/>
    <w:rsid w:val="480C2163"/>
    <w:rsid w:val="480F1C53"/>
    <w:rsid w:val="481A4DA4"/>
    <w:rsid w:val="48233009"/>
    <w:rsid w:val="482A25E9"/>
    <w:rsid w:val="482E1FB6"/>
    <w:rsid w:val="48317F40"/>
    <w:rsid w:val="48381F7D"/>
    <w:rsid w:val="484D3CAB"/>
    <w:rsid w:val="4850390A"/>
    <w:rsid w:val="48561630"/>
    <w:rsid w:val="486378A9"/>
    <w:rsid w:val="48717D4C"/>
    <w:rsid w:val="48730182"/>
    <w:rsid w:val="48751F9C"/>
    <w:rsid w:val="4877302A"/>
    <w:rsid w:val="487970CD"/>
    <w:rsid w:val="487C375E"/>
    <w:rsid w:val="48802209"/>
    <w:rsid w:val="488501FF"/>
    <w:rsid w:val="488838C5"/>
    <w:rsid w:val="48901EE0"/>
    <w:rsid w:val="48910462"/>
    <w:rsid w:val="48943F06"/>
    <w:rsid w:val="489B4111"/>
    <w:rsid w:val="48A31586"/>
    <w:rsid w:val="48BF0F83"/>
    <w:rsid w:val="48C84ACB"/>
    <w:rsid w:val="48C978A6"/>
    <w:rsid w:val="48CB3DCC"/>
    <w:rsid w:val="48E04E5A"/>
    <w:rsid w:val="48EE3617"/>
    <w:rsid w:val="48F74BC1"/>
    <w:rsid w:val="48FE1841"/>
    <w:rsid w:val="49080B7C"/>
    <w:rsid w:val="490966FA"/>
    <w:rsid w:val="4914081D"/>
    <w:rsid w:val="491465B8"/>
    <w:rsid w:val="49162368"/>
    <w:rsid w:val="491C4A93"/>
    <w:rsid w:val="49267254"/>
    <w:rsid w:val="493763E3"/>
    <w:rsid w:val="494D29E7"/>
    <w:rsid w:val="49583186"/>
    <w:rsid w:val="495A4B31"/>
    <w:rsid w:val="495A6EFE"/>
    <w:rsid w:val="496164DE"/>
    <w:rsid w:val="496658A3"/>
    <w:rsid w:val="4967696F"/>
    <w:rsid w:val="496C4368"/>
    <w:rsid w:val="497004D0"/>
    <w:rsid w:val="49777A09"/>
    <w:rsid w:val="4989333F"/>
    <w:rsid w:val="499535CF"/>
    <w:rsid w:val="49956188"/>
    <w:rsid w:val="499B0290"/>
    <w:rsid w:val="499D3F04"/>
    <w:rsid w:val="499E328F"/>
    <w:rsid w:val="49A11A8A"/>
    <w:rsid w:val="49A90D0C"/>
    <w:rsid w:val="49B02FC2"/>
    <w:rsid w:val="49B15FF9"/>
    <w:rsid w:val="49B56541"/>
    <w:rsid w:val="49B91E77"/>
    <w:rsid w:val="49BD7800"/>
    <w:rsid w:val="49BE123B"/>
    <w:rsid w:val="49BE62E1"/>
    <w:rsid w:val="49C36851"/>
    <w:rsid w:val="49D84D2B"/>
    <w:rsid w:val="49DC7913"/>
    <w:rsid w:val="49DD3BE1"/>
    <w:rsid w:val="49E35145"/>
    <w:rsid w:val="49E55BB5"/>
    <w:rsid w:val="49EB1ADA"/>
    <w:rsid w:val="49F66C27"/>
    <w:rsid w:val="49F85F83"/>
    <w:rsid w:val="49F97C1B"/>
    <w:rsid w:val="4A037596"/>
    <w:rsid w:val="4A064DC7"/>
    <w:rsid w:val="4A0D28D0"/>
    <w:rsid w:val="4A16722D"/>
    <w:rsid w:val="4A1D310F"/>
    <w:rsid w:val="4A1E7F2C"/>
    <w:rsid w:val="4A2512BA"/>
    <w:rsid w:val="4A3A6A54"/>
    <w:rsid w:val="4A3B0312"/>
    <w:rsid w:val="4A443E36"/>
    <w:rsid w:val="4A4462D6"/>
    <w:rsid w:val="4A563B69"/>
    <w:rsid w:val="4A695377"/>
    <w:rsid w:val="4A7135B2"/>
    <w:rsid w:val="4A7558CA"/>
    <w:rsid w:val="4A8149A7"/>
    <w:rsid w:val="4A840031"/>
    <w:rsid w:val="4A983EFF"/>
    <w:rsid w:val="4A9B157C"/>
    <w:rsid w:val="4AA66EAC"/>
    <w:rsid w:val="4AAE7501"/>
    <w:rsid w:val="4AAF5028"/>
    <w:rsid w:val="4AB10DA0"/>
    <w:rsid w:val="4AB670D1"/>
    <w:rsid w:val="4ABE5B79"/>
    <w:rsid w:val="4AC8062E"/>
    <w:rsid w:val="4ADA2E75"/>
    <w:rsid w:val="4ADD5690"/>
    <w:rsid w:val="4AE03433"/>
    <w:rsid w:val="4AE304BB"/>
    <w:rsid w:val="4AED5A66"/>
    <w:rsid w:val="4AF31E4E"/>
    <w:rsid w:val="4AFC64BF"/>
    <w:rsid w:val="4B0931D0"/>
    <w:rsid w:val="4B0B04B0"/>
    <w:rsid w:val="4B0E45B6"/>
    <w:rsid w:val="4B17661E"/>
    <w:rsid w:val="4B1F0C61"/>
    <w:rsid w:val="4B236133"/>
    <w:rsid w:val="4B2E1B61"/>
    <w:rsid w:val="4B41504C"/>
    <w:rsid w:val="4B43474D"/>
    <w:rsid w:val="4B48404E"/>
    <w:rsid w:val="4B542FA1"/>
    <w:rsid w:val="4B5C36E4"/>
    <w:rsid w:val="4B6C24F0"/>
    <w:rsid w:val="4B7818BD"/>
    <w:rsid w:val="4B792D75"/>
    <w:rsid w:val="4B85447B"/>
    <w:rsid w:val="4B865D88"/>
    <w:rsid w:val="4B895879"/>
    <w:rsid w:val="4B920BD1"/>
    <w:rsid w:val="4B9A1834"/>
    <w:rsid w:val="4BA90A6B"/>
    <w:rsid w:val="4BB5041C"/>
    <w:rsid w:val="4BBC79FC"/>
    <w:rsid w:val="4BC425F6"/>
    <w:rsid w:val="4BC42640"/>
    <w:rsid w:val="4BC535EC"/>
    <w:rsid w:val="4BC871E5"/>
    <w:rsid w:val="4BD21CDC"/>
    <w:rsid w:val="4BD655FC"/>
    <w:rsid w:val="4BDF6FA5"/>
    <w:rsid w:val="4BE60F1D"/>
    <w:rsid w:val="4BEC0A43"/>
    <w:rsid w:val="4BEFD26A"/>
    <w:rsid w:val="4BF70D1F"/>
    <w:rsid w:val="4BFC7FED"/>
    <w:rsid w:val="4C03387D"/>
    <w:rsid w:val="4C1D42B0"/>
    <w:rsid w:val="4C201DD4"/>
    <w:rsid w:val="4C29189F"/>
    <w:rsid w:val="4C3457E4"/>
    <w:rsid w:val="4C482434"/>
    <w:rsid w:val="4C5B0FC3"/>
    <w:rsid w:val="4C602A7D"/>
    <w:rsid w:val="4C6A38FC"/>
    <w:rsid w:val="4C8107A0"/>
    <w:rsid w:val="4C8835FA"/>
    <w:rsid w:val="4C8E71BF"/>
    <w:rsid w:val="4C9747A4"/>
    <w:rsid w:val="4CAB6711"/>
    <w:rsid w:val="4CAE46E6"/>
    <w:rsid w:val="4CB3320A"/>
    <w:rsid w:val="4CB86687"/>
    <w:rsid w:val="4CC7034A"/>
    <w:rsid w:val="4CCB35C9"/>
    <w:rsid w:val="4CCC1EC1"/>
    <w:rsid w:val="4CCE5C39"/>
    <w:rsid w:val="4CD64AED"/>
    <w:rsid w:val="4CDF1BF4"/>
    <w:rsid w:val="4CE0539C"/>
    <w:rsid w:val="4CE5757E"/>
    <w:rsid w:val="4CFB09F8"/>
    <w:rsid w:val="4CFF4044"/>
    <w:rsid w:val="4D046B6A"/>
    <w:rsid w:val="4D0478AD"/>
    <w:rsid w:val="4D0C69C4"/>
    <w:rsid w:val="4D0E72D5"/>
    <w:rsid w:val="4D1D34E8"/>
    <w:rsid w:val="4D1E654F"/>
    <w:rsid w:val="4D355BCD"/>
    <w:rsid w:val="4D3B0DF4"/>
    <w:rsid w:val="4D3C7DE3"/>
    <w:rsid w:val="4D4D1254"/>
    <w:rsid w:val="4D4D69CE"/>
    <w:rsid w:val="4D543E3B"/>
    <w:rsid w:val="4D565C2E"/>
    <w:rsid w:val="4D693BB4"/>
    <w:rsid w:val="4D705BC5"/>
    <w:rsid w:val="4D812D57"/>
    <w:rsid w:val="4D815970"/>
    <w:rsid w:val="4D8373D4"/>
    <w:rsid w:val="4D924485"/>
    <w:rsid w:val="4D956757"/>
    <w:rsid w:val="4D976E51"/>
    <w:rsid w:val="4DAF3415"/>
    <w:rsid w:val="4DB74893"/>
    <w:rsid w:val="4DB90697"/>
    <w:rsid w:val="4DBE4E9F"/>
    <w:rsid w:val="4DBF16C4"/>
    <w:rsid w:val="4DC4703C"/>
    <w:rsid w:val="4DD52FF7"/>
    <w:rsid w:val="4DE616DE"/>
    <w:rsid w:val="4DED405F"/>
    <w:rsid w:val="4DF711BF"/>
    <w:rsid w:val="4DF77C8C"/>
    <w:rsid w:val="4DFD2DE6"/>
    <w:rsid w:val="4E121B55"/>
    <w:rsid w:val="4E122358"/>
    <w:rsid w:val="4E2A3343"/>
    <w:rsid w:val="4E2B61AD"/>
    <w:rsid w:val="4E306E72"/>
    <w:rsid w:val="4E361CE8"/>
    <w:rsid w:val="4E3C5B2A"/>
    <w:rsid w:val="4E451F2B"/>
    <w:rsid w:val="4E492DD0"/>
    <w:rsid w:val="4E4C267F"/>
    <w:rsid w:val="4E4C3506"/>
    <w:rsid w:val="4E4E41F3"/>
    <w:rsid w:val="4E546612"/>
    <w:rsid w:val="4E5F2AF8"/>
    <w:rsid w:val="4E74619E"/>
    <w:rsid w:val="4E74636C"/>
    <w:rsid w:val="4E7C2D1C"/>
    <w:rsid w:val="4E824F2D"/>
    <w:rsid w:val="4E86609F"/>
    <w:rsid w:val="4E952232"/>
    <w:rsid w:val="4E9700F7"/>
    <w:rsid w:val="4E984929"/>
    <w:rsid w:val="4E992277"/>
    <w:rsid w:val="4E9B0E76"/>
    <w:rsid w:val="4EA524E3"/>
    <w:rsid w:val="4EA62ADA"/>
    <w:rsid w:val="4EB250E6"/>
    <w:rsid w:val="4EB4172E"/>
    <w:rsid w:val="4EB5120D"/>
    <w:rsid w:val="4EBD5F65"/>
    <w:rsid w:val="4EBE538C"/>
    <w:rsid w:val="4EE334F2"/>
    <w:rsid w:val="4EE37F68"/>
    <w:rsid w:val="4EEF00E8"/>
    <w:rsid w:val="4EF55E94"/>
    <w:rsid w:val="4EF70D4B"/>
    <w:rsid w:val="4F0746D1"/>
    <w:rsid w:val="4F133DD7"/>
    <w:rsid w:val="4F15544F"/>
    <w:rsid w:val="4F2C6C47"/>
    <w:rsid w:val="4F415041"/>
    <w:rsid w:val="4F477707"/>
    <w:rsid w:val="4F4E518E"/>
    <w:rsid w:val="4F5012C8"/>
    <w:rsid w:val="4F59138E"/>
    <w:rsid w:val="4F5B752C"/>
    <w:rsid w:val="4F6247EF"/>
    <w:rsid w:val="4F721C64"/>
    <w:rsid w:val="4F734876"/>
    <w:rsid w:val="4F841516"/>
    <w:rsid w:val="4F842187"/>
    <w:rsid w:val="4F9071D6"/>
    <w:rsid w:val="4F9204FB"/>
    <w:rsid w:val="4F940B35"/>
    <w:rsid w:val="4F980780"/>
    <w:rsid w:val="4FA26F09"/>
    <w:rsid w:val="4FC116B9"/>
    <w:rsid w:val="4FC155E1"/>
    <w:rsid w:val="4FC178DF"/>
    <w:rsid w:val="4FC6256C"/>
    <w:rsid w:val="4FCB2904"/>
    <w:rsid w:val="4FCF6062"/>
    <w:rsid w:val="4FDB196C"/>
    <w:rsid w:val="4FDC795D"/>
    <w:rsid w:val="4FDE2637"/>
    <w:rsid w:val="4FDF62B0"/>
    <w:rsid w:val="4FE47C0F"/>
    <w:rsid w:val="4FE946BE"/>
    <w:rsid w:val="4FEB08B0"/>
    <w:rsid w:val="4FF534DD"/>
    <w:rsid w:val="4FF57980"/>
    <w:rsid w:val="50025BF9"/>
    <w:rsid w:val="50042B5E"/>
    <w:rsid w:val="50062548"/>
    <w:rsid w:val="500F5911"/>
    <w:rsid w:val="5023004A"/>
    <w:rsid w:val="50250266"/>
    <w:rsid w:val="5028222A"/>
    <w:rsid w:val="502D2C76"/>
    <w:rsid w:val="5031210B"/>
    <w:rsid w:val="503264DF"/>
    <w:rsid w:val="50377F99"/>
    <w:rsid w:val="5038161B"/>
    <w:rsid w:val="50483F54"/>
    <w:rsid w:val="50484AC6"/>
    <w:rsid w:val="504A5FC6"/>
    <w:rsid w:val="504F0EE6"/>
    <w:rsid w:val="50540473"/>
    <w:rsid w:val="507606DD"/>
    <w:rsid w:val="507C53C5"/>
    <w:rsid w:val="5080549C"/>
    <w:rsid w:val="508825A3"/>
    <w:rsid w:val="50A72C5D"/>
    <w:rsid w:val="50AC2B50"/>
    <w:rsid w:val="50B91BE4"/>
    <w:rsid w:val="50BF6559"/>
    <w:rsid w:val="50C63AFC"/>
    <w:rsid w:val="50C97700"/>
    <w:rsid w:val="50D77086"/>
    <w:rsid w:val="50DD5829"/>
    <w:rsid w:val="50E50C09"/>
    <w:rsid w:val="50E86A91"/>
    <w:rsid w:val="50EA19E5"/>
    <w:rsid w:val="50FB4B23"/>
    <w:rsid w:val="510107BF"/>
    <w:rsid w:val="51080A7C"/>
    <w:rsid w:val="511B3417"/>
    <w:rsid w:val="51271DBC"/>
    <w:rsid w:val="51361141"/>
    <w:rsid w:val="514209A3"/>
    <w:rsid w:val="51527191"/>
    <w:rsid w:val="5153670D"/>
    <w:rsid w:val="515A3F3F"/>
    <w:rsid w:val="51604411"/>
    <w:rsid w:val="517F76F4"/>
    <w:rsid w:val="518043AE"/>
    <w:rsid w:val="51826FF2"/>
    <w:rsid w:val="518E30D2"/>
    <w:rsid w:val="5193319F"/>
    <w:rsid w:val="519659C7"/>
    <w:rsid w:val="51A94ACE"/>
    <w:rsid w:val="51AA404F"/>
    <w:rsid w:val="51AC0513"/>
    <w:rsid w:val="51AC6715"/>
    <w:rsid w:val="51AE1727"/>
    <w:rsid w:val="51BF2E61"/>
    <w:rsid w:val="51C1147A"/>
    <w:rsid w:val="51DD06CC"/>
    <w:rsid w:val="51DF52D1"/>
    <w:rsid w:val="51E62A34"/>
    <w:rsid w:val="51EC6A99"/>
    <w:rsid w:val="51EDC784"/>
    <w:rsid w:val="51EF0FDE"/>
    <w:rsid w:val="51F2586F"/>
    <w:rsid w:val="51F45335"/>
    <w:rsid w:val="51F45ABB"/>
    <w:rsid w:val="51FC6541"/>
    <w:rsid w:val="5209326F"/>
    <w:rsid w:val="520B4811"/>
    <w:rsid w:val="522620D6"/>
    <w:rsid w:val="522E717A"/>
    <w:rsid w:val="52337E0A"/>
    <w:rsid w:val="523B0C24"/>
    <w:rsid w:val="523B7217"/>
    <w:rsid w:val="523E05D2"/>
    <w:rsid w:val="523E652B"/>
    <w:rsid w:val="525C7843"/>
    <w:rsid w:val="5268268C"/>
    <w:rsid w:val="526C3FEC"/>
    <w:rsid w:val="527C422B"/>
    <w:rsid w:val="52870E07"/>
    <w:rsid w:val="528A121C"/>
    <w:rsid w:val="528C4D2C"/>
    <w:rsid w:val="529207E1"/>
    <w:rsid w:val="529E7E5B"/>
    <w:rsid w:val="52A940B1"/>
    <w:rsid w:val="52B61649"/>
    <w:rsid w:val="52BE22AC"/>
    <w:rsid w:val="52C13B4A"/>
    <w:rsid w:val="52C75604"/>
    <w:rsid w:val="52C8312A"/>
    <w:rsid w:val="52E33AC0"/>
    <w:rsid w:val="52E964FA"/>
    <w:rsid w:val="52EF40B0"/>
    <w:rsid w:val="52F70215"/>
    <w:rsid w:val="52F87468"/>
    <w:rsid w:val="53036406"/>
    <w:rsid w:val="53057EDB"/>
    <w:rsid w:val="532632D1"/>
    <w:rsid w:val="532A4990"/>
    <w:rsid w:val="533E09D3"/>
    <w:rsid w:val="534259E0"/>
    <w:rsid w:val="534E7AD3"/>
    <w:rsid w:val="535E583D"/>
    <w:rsid w:val="536966BB"/>
    <w:rsid w:val="53784B50"/>
    <w:rsid w:val="537E1A3B"/>
    <w:rsid w:val="538243F4"/>
    <w:rsid w:val="53925D5F"/>
    <w:rsid w:val="53AC65A8"/>
    <w:rsid w:val="53AE40CE"/>
    <w:rsid w:val="53BF6819"/>
    <w:rsid w:val="53CA764B"/>
    <w:rsid w:val="53E059A1"/>
    <w:rsid w:val="53E0654E"/>
    <w:rsid w:val="53EA1B9E"/>
    <w:rsid w:val="53EC4BF7"/>
    <w:rsid w:val="53EE4E13"/>
    <w:rsid w:val="53FD24DA"/>
    <w:rsid w:val="5402441A"/>
    <w:rsid w:val="540921AE"/>
    <w:rsid w:val="54166B2E"/>
    <w:rsid w:val="54260108"/>
    <w:rsid w:val="54307C7C"/>
    <w:rsid w:val="54345F35"/>
    <w:rsid w:val="54386DE8"/>
    <w:rsid w:val="5444349B"/>
    <w:rsid w:val="5446239B"/>
    <w:rsid w:val="5452306B"/>
    <w:rsid w:val="54534C76"/>
    <w:rsid w:val="54640C31"/>
    <w:rsid w:val="546E385E"/>
    <w:rsid w:val="54710A3B"/>
    <w:rsid w:val="54770964"/>
    <w:rsid w:val="54815C87"/>
    <w:rsid w:val="549459BA"/>
    <w:rsid w:val="54A340AA"/>
    <w:rsid w:val="54A62896"/>
    <w:rsid w:val="54A6749B"/>
    <w:rsid w:val="54A84FC1"/>
    <w:rsid w:val="54AB56D0"/>
    <w:rsid w:val="54B25E40"/>
    <w:rsid w:val="54B90F7D"/>
    <w:rsid w:val="54CA714C"/>
    <w:rsid w:val="54CF254E"/>
    <w:rsid w:val="54D01A26"/>
    <w:rsid w:val="54F81F48"/>
    <w:rsid w:val="54F93A6F"/>
    <w:rsid w:val="54FC530D"/>
    <w:rsid w:val="54FE1085"/>
    <w:rsid w:val="54FF1A4E"/>
    <w:rsid w:val="550345FC"/>
    <w:rsid w:val="5508666C"/>
    <w:rsid w:val="55164621"/>
    <w:rsid w:val="551B1C37"/>
    <w:rsid w:val="55232D59"/>
    <w:rsid w:val="55322ADD"/>
    <w:rsid w:val="553E1482"/>
    <w:rsid w:val="55637009"/>
    <w:rsid w:val="55651503"/>
    <w:rsid w:val="55696F3C"/>
    <w:rsid w:val="558671A5"/>
    <w:rsid w:val="558B35C4"/>
    <w:rsid w:val="558E1391"/>
    <w:rsid w:val="558F7F2F"/>
    <w:rsid w:val="5590636B"/>
    <w:rsid w:val="55967510"/>
    <w:rsid w:val="559E0172"/>
    <w:rsid w:val="55A25260"/>
    <w:rsid w:val="55A541E7"/>
    <w:rsid w:val="55AE4859"/>
    <w:rsid w:val="55C53951"/>
    <w:rsid w:val="55C67DF5"/>
    <w:rsid w:val="55D1679A"/>
    <w:rsid w:val="55D45D44"/>
    <w:rsid w:val="55D63DB0"/>
    <w:rsid w:val="55E21FC7"/>
    <w:rsid w:val="55EB71C9"/>
    <w:rsid w:val="55F514F6"/>
    <w:rsid w:val="55F602D7"/>
    <w:rsid w:val="55FB6C4B"/>
    <w:rsid w:val="56093087"/>
    <w:rsid w:val="56165F22"/>
    <w:rsid w:val="561C1DF7"/>
    <w:rsid w:val="56220DA3"/>
    <w:rsid w:val="56262642"/>
    <w:rsid w:val="562C13CB"/>
    <w:rsid w:val="563B0432"/>
    <w:rsid w:val="563D5D26"/>
    <w:rsid w:val="563E7ACB"/>
    <w:rsid w:val="56410EA1"/>
    <w:rsid w:val="564205FD"/>
    <w:rsid w:val="56462AAF"/>
    <w:rsid w:val="564C5E20"/>
    <w:rsid w:val="564E326D"/>
    <w:rsid w:val="56523548"/>
    <w:rsid w:val="565D4D50"/>
    <w:rsid w:val="5665191E"/>
    <w:rsid w:val="56675A92"/>
    <w:rsid w:val="56701B0F"/>
    <w:rsid w:val="56817CD8"/>
    <w:rsid w:val="56892221"/>
    <w:rsid w:val="568B4CF7"/>
    <w:rsid w:val="568B6949"/>
    <w:rsid w:val="56953DA9"/>
    <w:rsid w:val="569A24CA"/>
    <w:rsid w:val="569C6DA8"/>
    <w:rsid w:val="56A31EE4"/>
    <w:rsid w:val="56C46405"/>
    <w:rsid w:val="56D04A16"/>
    <w:rsid w:val="56D55E16"/>
    <w:rsid w:val="56D77DE0"/>
    <w:rsid w:val="56EA18C1"/>
    <w:rsid w:val="56ED0C98"/>
    <w:rsid w:val="56F339AA"/>
    <w:rsid w:val="56F444EE"/>
    <w:rsid w:val="56FCDB5C"/>
    <w:rsid w:val="570046B2"/>
    <w:rsid w:val="57061ACA"/>
    <w:rsid w:val="570A256C"/>
    <w:rsid w:val="571526B6"/>
    <w:rsid w:val="572F438D"/>
    <w:rsid w:val="574908F7"/>
    <w:rsid w:val="57520451"/>
    <w:rsid w:val="57637D90"/>
    <w:rsid w:val="57647C1E"/>
    <w:rsid w:val="576770D1"/>
    <w:rsid w:val="57684EDC"/>
    <w:rsid w:val="577531CA"/>
    <w:rsid w:val="5779195F"/>
    <w:rsid w:val="577C7278"/>
    <w:rsid w:val="577F1756"/>
    <w:rsid w:val="5781424D"/>
    <w:rsid w:val="57875362"/>
    <w:rsid w:val="578D54DC"/>
    <w:rsid w:val="57906944"/>
    <w:rsid w:val="57923D07"/>
    <w:rsid w:val="5796146F"/>
    <w:rsid w:val="5797131D"/>
    <w:rsid w:val="57AD5AD7"/>
    <w:rsid w:val="57B56F19"/>
    <w:rsid w:val="57BB14B0"/>
    <w:rsid w:val="57C1138B"/>
    <w:rsid w:val="57CF0AB7"/>
    <w:rsid w:val="57DB6156"/>
    <w:rsid w:val="57DC6353"/>
    <w:rsid w:val="57DE55B1"/>
    <w:rsid w:val="57E509D2"/>
    <w:rsid w:val="57E52E8C"/>
    <w:rsid w:val="57EE0507"/>
    <w:rsid w:val="57FD64F7"/>
    <w:rsid w:val="57FEB5F8"/>
    <w:rsid w:val="57FF8603"/>
    <w:rsid w:val="58011430"/>
    <w:rsid w:val="58015C02"/>
    <w:rsid w:val="58277C4C"/>
    <w:rsid w:val="58342289"/>
    <w:rsid w:val="58372D88"/>
    <w:rsid w:val="583A6878"/>
    <w:rsid w:val="58583E1D"/>
    <w:rsid w:val="586438F5"/>
    <w:rsid w:val="586C6306"/>
    <w:rsid w:val="58853D00"/>
    <w:rsid w:val="5886561A"/>
    <w:rsid w:val="58871392"/>
    <w:rsid w:val="588836A3"/>
    <w:rsid w:val="5889510A"/>
    <w:rsid w:val="58A1367E"/>
    <w:rsid w:val="58A13E38"/>
    <w:rsid w:val="58AB5080"/>
    <w:rsid w:val="58B141AE"/>
    <w:rsid w:val="58C445DA"/>
    <w:rsid w:val="58CF5213"/>
    <w:rsid w:val="58DC1FC7"/>
    <w:rsid w:val="58DE7B7E"/>
    <w:rsid w:val="58DF54A7"/>
    <w:rsid w:val="58E34C0D"/>
    <w:rsid w:val="58E42EF4"/>
    <w:rsid w:val="58E95A3B"/>
    <w:rsid w:val="58ED38EB"/>
    <w:rsid w:val="5904190E"/>
    <w:rsid w:val="590F3861"/>
    <w:rsid w:val="591B63C3"/>
    <w:rsid w:val="592D3CE7"/>
    <w:rsid w:val="592E180D"/>
    <w:rsid w:val="592F5CB1"/>
    <w:rsid w:val="592F7F98"/>
    <w:rsid w:val="593C3F2A"/>
    <w:rsid w:val="59403CBE"/>
    <w:rsid w:val="59486D73"/>
    <w:rsid w:val="595B7D89"/>
    <w:rsid w:val="59611737"/>
    <w:rsid w:val="59667064"/>
    <w:rsid w:val="596C2616"/>
    <w:rsid w:val="59702CC4"/>
    <w:rsid w:val="59755721"/>
    <w:rsid w:val="59764EA2"/>
    <w:rsid w:val="597C786F"/>
    <w:rsid w:val="597FA2B2"/>
    <w:rsid w:val="5980290A"/>
    <w:rsid w:val="59822285"/>
    <w:rsid w:val="59835FFD"/>
    <w:rsid w:val="598B115D"/>
    <w:rsid w:val="59910F7B"/>
    <w:rsid w:val="599124C8"/>
    <w:rsid w:val="599173E6"/>
    <w:rsid w:val="59927FEE"/>
    <w:rsid w:val="59A87812"/>
    <w:rsid w:val="59B43CAC"/>
    <w:rsid w:val="59BA5E57"/>
    <w:rsid w:val="59BB700B"/>
    <w:rsid w:val="59BE0E84"/>
    <w:rsid w:val="59D555CE"/>
    <w:rsid w:val="59E2410E"/>
    <w:rsid w:val="59E36A9C"/>
    <w:rsid w:val="59E545C2"/>
    <w:rsid w:val="59F61D50"/>
    <w:rsid w:val="5A0218C9"/>
    <w:rsid w:val="5A065F73"/>
    <w:rsid w:val="5A0F163F"/>
    <w:rsid w:val="5A190766"/>
    <w:rsid w:val="5A224BAB"/>
    <w:rsid w:val="5A25145E"/>
    <w:rsid w:val="5A291D65"/>
    <w:rsid w:val="5A3C33AE"/>
    <w:rsid w:val="5A3D7F5A"/>
    <w:rsid w:val="5A413DFF"/>
    <w:rsid w:val="5A48645D"/>
    <w:rsid w:val="5A4B6B1B"/>
    <w:rsid w:val="5A5359CF"/>
    <w:rsid w:val="5A56726E"/>
    <w:rsid w:val="5A567950"/>
    <w:rsid w:val="5A5A0B0C"/>
    <w:rsid w:val="5A5A1045"/>
    <w:rsid w:val="5A64198B"/>
    <w:rsid w:val="5A6A2A66"/>
    <w:rsid w:val="5A771092"/>
    <w:rsid w:val="5A775CEE"/>
    <w:rsid w:val="5A7B06D5"/>
    <w:rsid w:val="5A813D7F"/>
    <w:rsid w:val="5A8B5667"/>
    <w:rsid w:val="5A8E44DA"/>
    <w:rsid w:val="5A93401E"/>
    <w:rsid w:val="5A9473B6"/>
    <w:rsid w:val="5A975B99"/>
    <w:rsid w:val="5AA93841"/>
    <w:rsid w:val="5AB02E22"/>
    <w:rsid w:val="5AB04BD0"/>
    <w:rsid w:val="5AC24903"/>
    <w:rsid w:val="5ACC0A94"/>
    <w:rsid w:val="5AE8433A"/>
    <w:rsid w:val="5AEB600E"/>
    <w:rsid w:val="5AF76B1D"/>
    <w:rsid w:val="5AFB66E6"/>
    <w:rsid w:val="5AFC1DAF"/>
    <w:rsid w:val="5B21162A"/>
    <w:rsid w:val="5B25539F"/>
    <w:rsid w:val="5B2C34B9"/>
    <w:rsid w:val="5B3520B1"/>
    <w:rsid w:val="5B3D395D"/>
    <w:rsid w:val="5B435A44"/>
    <w:rsid w:val="5B4B7501"/>
    <w:rsid w:val="5B4F43E9"/>
    <w:rsid w:val="5B501F0F"/>
    <w:rsid w:val="5B5150EA"/>
    <w:rsid w:val="5B602582"/>
    <w:rsid w:val="5B6634E0"/>
    <w:rsid w:val="5B706D8D"/>
    <w:rsid w:val="5B810107"/>
    <w:rsid w:val="5B811D24"/>
    <w:rsid w:val="5B913692"/>
    <w:rsid w:val="5BA40927"/>
    <w:rsid w:val="5BA71B25"/>
    <w:rsid w:val="5BAA161F"/>
    <w:rsid w:val="5BB65800"/>
    <w:rsid w:val="5BB93F58"/>
    <w:rsid w:val="5BDC3E5C"/>
    <w:rsid w:val="5BDC72D5"/>
    <w:rsid w:val="5BDDF2ED"/>
    <w:rsid w:val="5BE10DB9"/>
    <w:rsid w:val="5BED59B0"/>
    <w:rsid w:val="5BEF797A"/>
    <w:rsid w:val="5BF353EE"/>
    <w:rsid w:val="5BFFBD36"/>
    <w:rsid w:val="5C0E2A6F"/>
    <w:rsid w:val="5C0F5926"/>
    <w:rsid w:val="5C1178F0"/>
    <w:rsid w:val="5C13384C"/>
    <w:rsid w:val="5C1F6ACA"/>
    <w:rsid w:val="5C241BE6"/>
    <w:rsid w:val="5C2B0170"/>
    <w:rsid w:val="5C3655A9"/>
    <w:rsid w:val="5C433822"/>
    <w:rsid w:val="5C5058D6"/>
    <w:rsid w:val="5C5924D5"/>
    <w:rsid w:val="5C5B4667"/>
    <w:rsid w:val="5C5D2B35"/>
    <w:rsid w:val="5C601C9F"/>
    <w:rsid w:val="5C607B91"/>
    <w:rsid w:val="5C863035"/>
    <w:rsid w:val="5CAA3BAB"/>
    <w:rsid w:val="5CAA6FA4"/>
    <w:rsid w:val="5CB2226F"/>
    <w:rsid w:val="5CBA3AE4"/>
    <w:rsid w:val="5CC059C2"/>
    <w:rsid w:val="5CCB5CF1"/>
    <w:rsid w:val="5CCE45F7"/>
    <w:rsid w:val="5CD32DF8"/>
    <w:rsid w:val="5CD5607E"/>
    <w:rsid w:val="5CDE27C2"/>
    <w:rsid w:val="5CE11347"/>
    <w:rsid w:val="5CE74832"/>
    <w:rsid w:val="5CE7726D"/>
    <w:rsid w:val="5CF36EBF"/>
    <w:rsid w:val="5CFBF3AE"/>
    <w:rsid w:val="5D031B59"/>
    <w:rsid w:val="5D055FED"/>
    <w:rsid w:val="5D086C55"/>
    <w:rsid w:val="5D0B04AC"/>
    <w:rsid w:val="5D170F36"/>
    <w:rsid w:val="5D215911"/>
    <w:rsid w:val="5D3C099D"/>
    <w:rsid w:val="5D3F66DF"/>
    <w:rsid w:val="5D423AD9"/>
    <w:rsid w:val="5D465377"/>
    <w:rsid w:val="5D4B0BE0"/>
    <w:rsid w:val="5D4F0C38"/>
    <w:rsid w:val="5D504D94"/>
    <w:rsid w:val="5D5061F6"/>
    <w:rsid w:val="5D5A7075"/>
    <w:rsid w:val="5D66289E"/>
    <w:rsid w:val="5D6B50AB"/>
    <w:rsid w:val="5D7C2A07"/>
    <w:rsid w:val="5D804D2D"/>
    <w:rsid w:val="5D851485"/>
    <w:rsid w:val="5D885990"/>
    <w:rsid w:val="5D902723"/>
    <w:rsid w:val="5D947F46"/>
    <w:rsid w:val="5D9500AD"/>
    <w:rsid w:val="5D9702E4"/>
    <w:rsid w:val="5D975303"/>
    <w:rsid w:val="5DAA635A"/>
    <w:rsid w:val="5DAB2583"/>
    <w:rsid w:val="5DAB78D0"/>
    <w:rsid w:val="5DAD53F7"/>
    <w:rsid w:val="5DC0337C"/>
    <w:rsid w:val="5DC3599E"/>
    <w:rsid w:val="5DC4648D"/>
    <w:rsid w:val="5DC6470A"/>
    <w:rsid w:val="5DD961EC"/>
    <w:rsid w:val="5DDD5383"/>
    <w:rsid w:val="5DE54B90"/>
    <w:rsid w:val="5DE66B5A"/>
    <w:rsid w:val="5DED3270"/>
    <w:rsid w:val="5DF474C9"/>
    <w:rsid w:val="5DF5CDE9"/>
    <w:rsid w:val="5DF64860"/>
    <w:rsid w:val="5DF93820"/>
    <w:rsid w:val="5DFC0867"/>
    <w:rsid w:val="5DFE20F6"/>
    <w:rsid w:val="5E037840"/>
    <w:rsid w:val="5E0C65C1"/>
    <w:rsid w:val="5E111E29"/>
    <w:rsid w:val="5E115985"/>
    <w:rsid w:val="5E194310"/>
    <w:rsid w:val="5E1C432A"/>
    <w:rsid w:val="5E200792"/>
    <w:rsid w:val="5E230AA7"/>
    <w:rsid w:val="5E2A7E49"/>
    <w:rsid w:val="5E3B0C54"/>
    <w:rsid w:val="5E404724"/>
    <w:rsid w:val="5E426F07"/>
    <w:rsid w:val="5E5D6E1D"/>
    <w:rsid w:val="5E5E4943"/>
    <w:rsid w:val="5E745D6E"/>
    <w:rsid w:val="5E7F4C65"/>
    <w:rsid w:val="5E8771BA"/>
    <w:rsid w:val="5E8C0F8B"/>
    <w:rsid w:val="5E8C5954"/>
    <w:rsid w:val="5E923B09"/>
    <w:rsid w:val="5EA031AD"/>
    <w:rsid w:val="5EA62054"/>
    <w:rsid w:val="5EA90415"/>
    <w:rsid w:val="5EAD4431"/>
    <w:rsid w:val="5EB153BA"/>
    <w:rsid w:val="5EC72ACE"/>
    <w:rsid w:val="5ECB5FF5"/>
    <w:rsid w:val="5ED35784"/>
    <w:rsid w:val="5EDC0AC0"/>
    <w:rsid w:val="5EDF7832"/>
    <w:rsid w:val="5EE237C6"/>
    <w:rsid w:val="5EE4753E"/>
    <w:rsid w:val="5EE57A83"/>
    <w:rsid w:val="5EE65D18"/>
    <w:rsid w:val="5EE906B0"/>
    <w:rsid w:val="5EEA46FA"/>
    <w:rsid w:val="5EF07C91"/>
    <w:rsid w:val="5EF27584"/>
    <w:rsid w:val="5EF79A39"/>
    <w:rsid w:val="5EFA22A1"/>
    <w:rsid w:val="5F090D52"/>
    <w:rsid w:val="5F10363A"/>
    <w:rsid w:val="5F1548F7"/>
    <w:rsid w:val="5F1E0BE4"/>
    <w:rsid w:val="5F200B07"/>
    <w:rsid w:val="5F311C88"/>
    <w:rsid w:val="5F322057"/>
    <w:rsid w:val="5F3FABB5"/>
    <w:rsid w:val="5F4A2DEE"/>
    <w:rsid w:val="5F4B08DC"/>
    <w:rsid w:val="5F4C2F89"/>
    <w:rsid w:val="5F4F66B6"/>
    <w:rsid w:val="5F5019B7"/>
    <w:rsid w:val="5F530220"/>
    <w:rsid w:val="5F5533BB"/>
    <w:rsid w:val="5F586FEE"/>
    <w:rsid w:val="5F60319C"/>
    <w:rsid w:val="5F670948"/>
    <w:rsid w:val="5F69146D"/>
    <w:rsid w:val="5F71F63F"/>
    <w:rsid w:val="5F752E69"/>
    <w:rsid w:val="5F7D4849"/>
    <w:rsid w:val="5F807429"/>
    <w:rsid w:val="5F834669"/>
    <w:rsid w:val="5F8A1E93"/>
    <w:rsid w:val="5F8D1947"/>
    <w:rsid w:val="5F904FD0"/>
    <w:rsid w:val="5F9100A0"/>
    <w:rsid w:val="5F95631A"/>
    <w:rsid w:val="5F984EEC"/>
    <w:rsid w:val="5F9E76ED"/>
    <w:rsid w:val="5FA15A3C"/>
    <w:rsid w:val="5FA665A1"/>
    <w:rsid w:val="5FB0066B"/>
    <w:rsid w:val="5FB019C5"/>
    <w:rsid w:val="5FBF7663"/>
    <w:rsid w:val="5FC23BC4"/>
    <w:rsid w:val="5FC86314"/>
    <w:rsid w:val="5FCA6734"/>
    <w:rsid w:val="5FCF5AF8"/>
    <w:rsid w:val="5FD01870"/>
    <w:rsid w:val="5FE570CA"/>
    <w:rsid w:val="5FF23595"/>
    <w:rsid w:val="6007390A"/>
    <w:rsid w:val="600A3865"/>
    <w:rsid w:val="601001FD"/>
    <w:rsid w:val="60163727"/>
    <w:rsid w:val="601B4DC9"/>
    <w:rsid w:val="602373CD"/>
    <w:rsid w:val="60247B5D"/>
    <w:rsid w:val="603B3E30"/>
    <w:rsid w:val="603C0CB4"/>
    <w:rsid w:val="60416DCA"/>
    <w:rsid w:val="60421B4F"/>
    <w:rsid w:val="60431EA4"/>
    <w:rsid w:val="604B0D71"/>
    <w:rsid w:val="60560001"/>
    <w:rsid w:val="60651FB9"/>
    <w:rsid w:val="606631C7"/>
    <w:rsid w:val="60730CCF"/>
    <w:rsid w:val="607C3A33"/>
    <w:rsid w:val="60820DBC"/>
    <w:rsid w:val="608250F0"/>
    <w:rsid w:val="608C7484"/>
    <w:rsid w:val="609D0FCF"/>
    <w:rsid w:val="60A6142B"/>
    <w:rsid w:val="60A7067E"/>
    <w:rsid w:val="60A800F7"/>
    <w:rsid w:val="60C0317B"/>
    <w:rsid w:val="60C24090"/>
    <w:rsid w:val="60C56332"/>
    <w:rsid w:val="60C86CE7"/>
    <w:rsid w:val="60C875C1"/>
    <w:rsid w:val="60CA02AA"/>
    <w:rsid w:val="60D62EB6"/>
    <w:rsid w:val="60DB020D"/>
    <w:rsid w:val="60E66B25"/>
    <w:rsid w:val="60E96F2A"/>
    <w:rsid w:val="60E9736E"/>
    <w:rsid w:val="60FA7E42"/>
    <w:rsid w:val="61032317"/>
    <w:rsid w:val="61114070"/>
    <w:rsid w:val="61236D4E"/>
    <w:rsid w:val="61371BA7"/>
    <w:rsid w:val="6142054C"/>
    <w:rsid w:val="6146003C"/>
    <w:rsid w:val="615421A0"/>
    <w:rsid w:val="61596B36"/>
    <w:rsid w:val="61671D60"/>
    <w:rsid w:val="61695482"/>
    <w:rsid w:val="61731074"/>
    <w:rsid w:val="61747F7F"/>
    <w:rsid w:val="617C6DCA"/>
    <w:rsid w:val="61881ABA"/>
    <w:rsid w:val="61882403"/>
    <w:rsid w:val="619227A8"/>
    <w:rsid w:val="619A4A8B"/>
    <w:rsid w:val="61A70A27"/>
    <w:rsid w:val="61A80DBC"/>
    <w:rsid w:val="61A84853"/>
    <w:rsid w:val="61B551C2"/>
    <w:rsid w:val="61B83E3D"/>
    <w:rsid w:val="61C22AFF"/>
    <w:rsid w:val="61C77C1D"/>
    <w:rsid w:val="61C84EF5"/>
    <w:rsid w:val="61C86CA3"/>
    <w:rsid w:val="61D57AA6"/>
    <w:rsid w:val="61D75138"/>
    <w:rsid w:val="61DA69D6"/>
    <w:rsid w:val="61DC0E2B"/>
    <w:rsid w:val="61DF188E"/>
    <w:rsid w:val="61E12D57"/>
    <w:rsid w:val="61ED72A2"/>
    <w:rsid w:val="61F66565"/>
    <w:rsid w:val="61F85BAC"/>
    <w:rsid w:val="620C5B7E"/>
    <w:rsid w:val="62157A0E"/>
    <w:rsid w:val="621719D8"/>
    <w:rsid w:val="62180C7C"/>
    <w:rsid w:val="62244731"/>
    <w:rsid w:val="623B255B"/>
    <w:rsid w:val="624413F5"/>
    <w:rsid w:val="62483A5B"/>
    <w:rsid w:val="62542DF1"/>
    <w:rsid w:val="62571DD5"/>
    <w:rsid w:val="625B7B17"/>
    <w:rsid w:val="625D3525"/>
    <w:rsid w:val="6263230B"/>
    <w:rsid w:val="626562A0"/>
    <w:rsid w:val="62662018"/>
    <w:rsid w:val="626764BC"/>
    <w:rsid w:val="626A7709"/>
    <w:rsid w:val="6275418B"/>
    <w:rsid w:val="62885CDB"/>
    <w:rsid w:val="628A3F58"/>
    <w:rsid w:val="628F5A13"/>
    <w:rsid w:val="629848C7"/>
    <w:rsid w:val="6299063F"/>
    <w:rsid w:val="62A52B40"/>
    <w:rsid w:val="62BF6C3D"/>
    <w:rsid w:val="62C63B33"/>
    <w:rsid w:val="62C84A81"/>
    <w:rsid w:val="62DD052C"/>
    <w:rsid w:val="62E62F4B"/>
    <w:rsid w:val="62EE2E7F"/>
    <w:rsid w:val="62F37D50"/>
    <w:rsid w:val="62FC6F89"/>
    <w:rsid w:val="6303477F"/>
    <w:rsid w:val="631A1780"/>
    <w:rsid w:val="631C0920"/>
    <w:rsid w:val="632127C3"/>
    <w:rsid w:val="63381C06"/>
    <w:rsid w:val="63396CA8"/>
    <w:rsid w:val="634A36E8"/>
    <w:rsid w:val="635D166D"/>
    <w:rsid w:val="63690593"/>
    <w:rsid w:val="63730E90"/>
    <w:rsid w:val="6379017B"/>
    <w:rsid w:val="638310F9"/>
    <w:rsid w:val="638579A3"/>
    <w:rsid w:val="638905F3"/>
    <w:rsid w:val="63972DD1"/>
    <w:rsid w:val="639A641D"/>
    <w:rsid w:val="639D7CBB"/>
    <w:rsid w:val="63AE8ED4"/>
    <w:rsid w:val="63B2324E"/>
    <w:rsid w:val="63B3663A"/>
    <w:rsid w:val="63B36841"/>
    <w:rsid w:val="63C05EA7"/>
    <w:rsid w:val="63C721AC"/>
    <w:rsid w:val="63C97AE9"/>
    <w:rsid w:val="63DA3BD9"/>
    <w:rsid w:val="63DC6A36"/>
    <w:rsid w:val="63E853DA"/>
    <w:rsid w:val="63F763B6"/>
    <w:rsid w:val="63F77FE5"/>
    <w:rsid w:val="6401649C"/>
    <w:rsid w:val="640624AF"/>
    <w:rsid w:val="640C789D"/>
    <w:rsid w:val="640F0BB9"/>
    <w:rsid w:val="64191A38"/>
    <w:rsid w:val="641F14FA"/>
    <w:rsid w:val="641F276B"/>
    <w:rsid w:val="641F4B74"/>
    <w:rsid w:val="64216B3E"/>
    <w:rsid w:val="642C6BC4"/>
    <w:rsid w:val="643A5ABF"/>
    <w:rsid w:val="643B19AE"/>
    <w:rsid w:val="64526CF8"/>
    <w:rsid w:val="647B7FFD"/>
    <w:rsid w:val="64963088"/>
    <w:rsid w:val="649A3955"/>
    <w:rsid w:val="64A31301"/>
    <w:rsid w:val="64AA08E2"/>
    <w:rsid w:val="64B81251"/>
    <w:rsid w:val="64BD7EE3"/>
    <w:rsid w:val="64C01EB3"/>
    <w:rsid w:val="64C10F29"/>
    <w:rsid w:val="64DA53AE"/>
    <w:rsid w:val="64E60142"/>
    <w:rsid w:val="64EC2CA8"/>
    <w:rsid w:val="64EE343A"/>
    <w:rsid w:val="64FE478A"/>
    <w:rsid w:val="64FFDE4B"/>
    <w:rsid w:val="650A3B2D"/>
    <w:rsid w:val="651842D4"/>
    <w:rsid w:val="652C579B"/>
    <w:rsid w:val="6543667F"/>
    <w:rsid w:val="65491EA9"/>
    <w:rsid w:val="6557687A"/>
    <w:rsid w:val="655A2308"/>
    <w:rsid w:val="655A2EB6"/>
    <w:rsid w:val="656272D4"/>
    <w:rsid w:val="65644F35"/>
    <w:rsid w:val="65672FDC"/>
    <w:rsid w:val="656A1E1F"/>
    <w:rsid w:val="656A5839"/>
    <w:rsid w:val="657D1B52"/>
    <w:rsid w:val="65817895"/>
    <w:rsid w:val="6584085B"/>
    <w:rsid w:val="65847385"/>
    <w:rsid w:val="658662AB"/>
    <w:rsid w:val="65A04370"/>
    <w:rsid w:val="65B04F76"/>
    <w:rsid w:val="65B45EF6"/>
    <w:rsid w:val="65B79903"/>
    <w:rsid w:val="65BA6903"/>
    <w:rsid w:val="65BC6B1F"/>
    <w:rsid w:val="65C578D3"/>
    <w:rsid w:val="65D200F0"/>
    <w:rsid w:val="65DF280D"/>
    <w:rsid w:val="65EC662A"/>
    <w:rsid w:val="65FA7647"/>
    <w:rsid w:val="65FF07B9"/>
    <w:rsid w:val="65FF6A0B"/>
    <w:rsid w:val="66010A5C"/>
    <w:rsid w:val="660202AA"/>
    <w:rsid w:val="66023EA3"/>
    <w:rsid w:val="66027DCC"/>
    <w:rsid w:val="66054436"/>
    <w:rsid w:val="660D4DB6"/>
    <w:rsid w:val="66212E26"/>
    <w:rsid w:val="664063B2"/>
    <w:rsid w:val="66406452"/>
    <w:rsid w:val="66415388"/>
    <w:rsid w:val="66485ACF"/>
    <w:rsid w:val="66495ED8"/>
    <w:rsid w:val="664D2567"/>
    <w:rsid w:val="6663343E"/>
    <w:rsid w:val="66680A54"/>
    <w:rsid w:val="66716B4A"/>
    <w:rsid w:val="667D73A4"/>
    <w:rsid w:val="66811B16"/>
    <w:rsid w:val="66893EE6"/>
    <w:rsid w:val="66952ECC"/>
    <w:rsid w:val="66A32E79"/>
    <w:rsid w:val="66B90E50"/>
    <w:rsid w:val="66C56E6A"/>
    <w:rsid w:val="66CD2666"/>
    <w:rsid w:val="66D83EE9"/>
    <w:rsid w:val="66D87988"/>
    <w:rsid w:val="66ED2D08"/>
    <w:rsid w:val="66F03B9D"/>
    <w:rsid w:val="66F26570"/>
    <w:rsid w:val="66F81DD8"/>
    <w:rsid w:val="66F916AD"/>
    <w:rsid w:val="67007FF3"/>
    <w:rsid w:val="67185FD7"/>
    <w:rsid w:val="672030DD"/>
    <w:rsid w:val="673426E5"/>
    <w:rsid w:val="673E0CD7"/>
    <w:rsid w:val="67427FD5"/>
    <w:rsid w:val="67486190"/>
    <w:rsid w:val="67542D87"/>
    <w:rsid w:val="675B2D5F"/>
    <w:rsid w:val="675E59B4"/>
    <w:rsid w:val="67622366"/>
    <w:rsid w:val="67650AF0"/>
    <w:rsid w:val="676A327D"/>
    <w:rsid w:val="676B59C3"/>
    <w:rsid w:val="67725A14"/>
    <w:rsid w:val="67786A75"/>
    <w:rsid w:val="679259FF"/>
    <w:rsid w:val="67935E87"/>
    <w:rsid w:val="67A71109"/>
    <w:rsid w:val="67A96C2F"/>
    <w:rsid w:val="67AC4324"/>
    <w:rsid w:val="67BA5E6E"/>
    <w:rsid w:val="67C1276E"/>
    <w:rsid w:val="67C454CF"/>
    <w:rsid w:val="67C577E1"/>
    <w:rsid w:val="67C73980"/>
    <w:rsid w:val="67CC011D"/>
    <w:rsid w:val="67D0240D"/>
    <w:rsid w:val="67D143D7"/>
    <w:rsid w:val="67E54283"/>
    <w:rsid w:val="67EA1118"/>
    <w:rsid w:val="67F65DA4"/>
    <w:rsid w:val="67F7723D"/>
    <w:rsid w:val="67FA4BEF"/>
    <w:rsid w:val="67FF6D26"/>
    <w:rsid w:val="67FF7197"/>
    <w:rsid w:val="680256B8"/>
    <w:rsid w:val="680419E0"/>
    <w:rsid w:val="6804655B"/>
    <w:rsid w:val="680648F3"/>
    <w:rsid w:val="681471FC"/>
    <w:rsid w:val="68190258"/>
    <w:rsid w:val="681C5653"/>
    <w:rsid w:val="682409AB"/>
    <w:rsid w:val="682C4037"/>
    <w:rsid w:val="68307350"/>
    <w:rsid w:val="683A61DE"/>
    <w:rsid w:val="683C6AF0"/>
    <w:rsid w:val="683E1F97"/>
    <w:rsid w:val="684474B4"/>
    <w:rsid w:val="68466191"/>
    <w:rsid w:val="68476448"/>
    <w:rsid w:val="684B23DC"/>
    <w:rsid w:val="68562FBD"/>
    <w:rsid w:val="685F19D4"/>
    <w:rsid w:val="686168F7"/>
    <w:rsid w:val="6863369E"/>
    <w:rsid w:val="686915D3"/>
    <w:rsid w:val="687D96E0"/>
    <w:rsid w:val="689C4BF4"/>
    <w:rsid w:val="689D2D9B"/>
    <w:rsid w:val="68C06926"/>
    <w:rsid w:val="68C74DCD"/>
    <w:rsid w:val="68D26659"/>
    <w:rsid w:val="68E24AEE"/>
    <w:rsid w:val="68E72403"/>
    <w:rsid w:val="68EB3277"/>
    <w:rsid w:val="68EB3D19"/>
    <w:rsid w:val="68EC14C9"/>
    <w:rsid w:val="68F83FE7"/>
    <w:rsid w:val="68FB2D3F"/>
    <w:rsid w:val="69020CEC"/>
    <w:rsid w:val="690305C1"/>
    <w:rsid w:val="69051B7B"/>
    <w:rsid w:val="69166546"/>
    <w:rsid w:val="692A3D9F"/>
    <w:rsid w:val="692C46A6"/>
    <w:rsid w:val="69303AFB"/>
    <w:rsid w:val="6933041A"/>
    <w:rsid w:val="6933534A"/>
    <w:rsid w:val="694035C3"/>
    <w:rsid w:val="69674277"/>
    <w:rsid w:val="696F232C"/>
    <w:rsid w:val="696F6212"/>
    <w:rsid w:val="699A614E"/>
    <w:rsid w:val="69D106BF"/>
    <w:rsid w:val="69DC3B22"/>
    <w:rsid w:val="69E337EE"/>
    <w:rsid w:val="69E66B78"/>
    <w:rsid w:val="69F22B91"/>
    <w:rsid w:val="69F23EFC"/>
    <w:rsid w:val="69F66377"/>
    <w:rsid w:val="69FB4289"/>
    <w:rsid w:val="69FF7695"/>
    <w:rsid w:val="6A021836"/>
    <w:rsid w:val="6A170D51"/>
    <w:rsid w:val="6A19191D"/>
    <w:rsid w:val="6A1C4030"/>
    <w:rsid w:val="6A244B48"/>
    <w:rsid w:val="6A3A40DB"/>
    <w:rsid w:val="6A4B03C2"/>
    <w:rsid w:val="6A711BF9"/>
    <w:rsid w:val="6A75504B"/>
    <w:rsid w:val="6A7D6CAF"/>
    <w:rsid w:val="6A7E25F5"/>
    <w:rsid w:val="6A7F1057"/>
    <w:rsid w:val="6A837C0B"/>
    <w:rsid w:val="6A890241"/>
    <w:rsid w:val="6A8B520E"/>
    <w:rsid w:val="6AA964F4"/>
    <w:rsid w:val="6ABF1C94"/>
    <w:rsid w:val="6AC46281"/>
    <w:rsid w:val="6AC87D14"/>
    <w:rsid w:val="6ADB7A47"/>
    <w:rsid w:val="6AE508C6"/>
    <w:rsid w:val="6AE81BC8"/>
    <w:rsid w:val="6AEB70B9"/>
    <w:rsid w:val="6AEF06B9"/>
    <w:rsid w:val="6AF7DBD5"/>
    <w:rsid w:val="6AFF731D"/>
    <w:rsid w:val="6B07083C"/>
    <w:rsid w:val="6B12220B"/>
    <w:rsid w:val="6B23319C"/>
    <w:rsid w:val="6B2338BC"/>
    <w:rsid w:val="6B234F4A"/>
    <w:rsid w:val="6B2F0F06"/>
    <w:rsid w:val="6B3929BF"/>
    <w:rsid w:val="6B491503"/>
    <w:rsid w:val="6B4915A2"/>
    <w:rsid w:val="6B4947E4"/>
    <w:rsid w:val="6B4D0219"/>
    <w:rsid w:val="6B6172B8"/>
    <w:rsid w:val="6B651B78"/>
    <w:rsid w:val="6B65473C"/>
    <w:rsid w:val="6B67752D"/>
    <w:rsid w:val="6B790EAD"/>
    <w:rsid w:val="6B79100E"/>
    <w:rsid w:val="6B7E0447"/>
    <w:rsid w:val="6B8C0D18"/>
    <w:rsid w:val="6B8D57E5"/>
    <w:rsid w:val="6B92656F"/>
    <w:rsid w:val="6B94722B"/>
    <w:rsid w:val="6B9660DC"/>
    <w:rsid w:val="6B9B71D6"/>
    <w:rsid w:val="6B9C4ADA"/>
    <w:rsid w:val="6BA52955"/>
    <w:rsid w:val="6BAA309A"/>
    <w:rsid w:val="6BC32289"/>
    <w:rsid w:val="6BDE7AC3"/>
    <w:rsid w:val="6BE40B7D"/>
    <w:rsid w:val="6BEC7A32"/>
    <w:rsid w:val="6C0807A3"/>
    <w:rsid w:val="6C0B079C"/>
    <w:rsid w:val="6C117498"/>
    <w:rsid w:val="6C1F5711"/>
    <w:rsid w:val="6C21592D"/>
    <w:rsid w:val="6C2D7757"/>
    <w:rsid w:val="6C411314"/>
    <w:rsid w:val="6C4E2A07"/>
    <w:rsid w:val="6C501D6F"/>
    <w:rsid w:val="6C515AE7"/>
    <w:rsid w:val="6C6625E1"/>
    <w:rsid w:val="6C6719A7"/>
    <w:rsid w:val="6C6C46F9"/>
    <w:rsid w:val="6C7F08A6"/>
    <w:rsid w:val="6C8D16B4"/>
    <w:rsid w:val="6C8E0AE9"/>
    <w:rsid w:val="6C923939"/>
    <w:rsid w:val="6C967F0D"/>
    <w:rsid w:val="6CA05526"/>
    <w:rsid w:val="6CAC4153"/>
    <w:rsid w:val="6CAE6A95"/>
    <w:rsid w:val="6CBE10EF"/>
    <w:rsid w:val="6CC10EBE"/>
    <w:rsid w:val="6CCA61BE"/>
    <w:rsid w:val="6CD8316D"/>
    <w:rsid w:val="6CDA5ADC"/>
    <w:rsid w:val="6CEC4D2D"/>
    <w:rsid w:val="6CF109D2"/>
    <w:rsid w:val="6CF463EC"/>
    <w:rsid w:val="6D002AD6"/>
    <w:rsid w:val="6D01750D"/>
    <w:rsid w:val="6D020114"/>
    <w:rsid w:val="6D1E3C1B"/>
    <w:rsid w:val="6D254FA9"/>
    <w:rsid w:val="6D276982"/>
    <w:rsid w:val="6D30174F"/>
    <w:rsid w:val="6D325918"/>
    <w:rsid w:val="6D352513"/>
    <w:rsid w:val="6D3B040E"/>
    <w:rsid w:val="6D3E42BD"/>
    <w:rsid w:val="6D3F8872"/>
    <w:rsid w:val="6D4573FA"/>
    <w:rsid w:val="6D4C41C3"/>
    <w:rsid w:val="6D4D2752"/>
    <w:rsid w:val="6D513FF0"/>
    <w:rsid w:val="6D57537F"/>
    <w:rsid w:val="6D5910F7"/>
    <w:rsid w:val="6D5A11EE"/>
    <w:rsid w:val="6D6261FE"/>
    <w:rsid w:val="6D6C7E3C"/>
    <w:rsid w:val="6D7221B9"/>
    <w:rsid w:val="6D752493"/>
    <w:rsid w:val="6D772135"/>
    <w:rsid w:val="6D793547"/>
    <w:rsid w:val="6D7B6DFE"/>
    <w:rsid w:val="6D7D3370"/>
    <w:rsid w:val="6D7F429F"/>
    <w:rsid w:val="6D902392"/>
    <w:rsid w:val="6D91263F"/>
    <w:rsid w:val="6D920165"/>
    <w:rsid w:val="6D9B3AD4"/>
    <w:rsid w:val="6DA93E2C"/>
    <w:rsid w:val="6DAF2A8F"/>
    <w:rsid w:val="6DAF6F69"/>
    <w:rsid w:val="6DB620A5"/>
    <w:rsid w:val="6DBE13EF"/>
    <w:rsid w:val="6DBE5E87"/>
    <w:rsid w:val="6DC742B3"/>
    <w:rsid w:val="6DD32C57"/>
    <w:rsid w:val="6DDEB473"/>
    <w:rsid w:val="6DF0480C"/>
    <w:rsid w:val="6DFE08FF"/>
    <w:rsid w:val="6E005A16"/>
    <w:rsid w:val="6E0A419F"/>
    <w:rsid w:val="6E1F5A5B"/>
    <w:rsid w:val="6E2552A2"/>
    <w:rsid w:val="6E2B7B92"/>
    <w:rsid w:val="6E353C2B"/>
    <w:rsid w:val="6E3D37CD"/>
    <w:rsid w:val="6E58315D"/>
    <w:rsid w:val="6E6C09B6"/>
    <w:rsid w:val="6E707D97"/>
    <w:rsid w:val="6E845862"/>
    <w:rsid w:val="6E856204"/>
    <w:rsid w:val="6E8B1221"/>
    <w:rsid w:val="6E8C7791"/>
    <w:rsid w:val="6E8E2DFC"/>
    <w:rsid w:val="6E9817AB"/>
    <w:rsid w:val="6E99148A"/>
    <w:rsid w:val="6E9A42BE"/>
    <w:rsid w:val="6EAD3AF4"/>
    <w:rsid w:val="6EBA7973"/>
    <w:rsid w:val="6EBD7E40"/>
    <w:rsid w:val="6EBE56B6"/>
    <w:rsid w:val="6EC542C2"/>
    <w:rsid w:val="6ED21161"/>
    <w:rsid w:val="6EDA5E42"/>
    <w:rsid w:val="6EDBB425"/>
    <w:rsid w:val="6EDC3D8E"/>
    <w:rsid w:val="6EDD98B8"/>
    <w:rsid w:val="6EDF88E9"/>
    <w:rsid w:val="6EE55FDB"/>
    <w:rsid w:val="6EE64684"/>
    <w:rsid w:val="6EE87C0A"/>
    <w:rsid w:val="6EEF2CA6"/>
    <w:rsid w:val="6EFC7F8C"/>
    <w:rsid w:val="6EFD5AB2"/>
    <w:rsid w:val="6EFE3D04"/>
    <w:rsid w:val="6F06777B"/>
    <w:rsid w:val="6F116A9F"/>
    <w:rsid w:val="6F1663F5"/>
    <w:rsid w:val="6F1F0A56"/>
    <w:rsid w:val="6F29622D"/>
    <w:rsid w:val="6F3C1769"/>
    <w:rsid w:val="6F4162E7"/>
    <w:rsid w:val="6F46A646"/>
    <w:rsid w:val="6F4D6D78"/>
    <w:rsid w:val="6F4E8EDA"/>
    <w:rsid w:val="6F510A1A"/>
    <w:rsid w:val="6F540FB0"/>
    <w:rsid w:val="6F754EBC"/>
    <w:rsid w:val="6F7AD003"/>
    <w:rsid w:val="6F7E53E5"/>
    <w:rsid w:val="6F8D7959"/>
    <w:rsid w:val="6F9208F0"/>
    <w:rsid w:val="6F965839"/>
    <w:rsid w:val="6FA10775"/>
    <w:rsid w:val="6FA81EC2"/>
    <w:rsid w:val="6FAB550E"/>
    <w:rsid w:val="6FBB1BF5"/>
    <w:rsid w:val="6FBE3493"/>
    <w:rsid w:val="6FCC0A95"/>
    <w:rsid w:val="6FCF744E"/>
    <w:rsid w:val="6FD254FB"/>
    <w:rsid w:val="6FD269A1"/>
    <w:rsid w:val="6FD51038"/>
    <w:rsid w:val="6FDB6F32"/>
    <w:rsid w:val="6FE32EFA"/>
    <w:rsid w:val="6FEF1B60"/>
    <w:rsid w:val="6FF62C2D"/>
    <w:rsid w:val="6FF8D550"/>
    <w:rsid w:val="6FFA65F4"/>
    <w:rsid w:val="6FFB90E0"/>
    <w:rsid w:val="6FFD220E"/>
    <w:rsid w:val="6FFF3EF6"/>
    <w:rsid w:val="6FFF95FF"/>
    <w:rsid w:val="70035433"/>
    <w:rsid w:val="700510C2"/>
    <w:rsid w:val="700840D2"/>
    <w:rsid w:val="70131A31"/>
    <w:rsid w:val="701A7080"/>
    <w:rsid w:val="701B2694"/>
    <w:rsid w:val="701C37AB"/>
    <w:rsid w:val="702814CB"/>
    <w:rsid w:val="702C664F"/>
    <w:rsid w:val="703532C5"/>
    <w:rsid w:val="7040659E"/>
    <w:rsid w:val="704515FA"/>
    <w:rsid w:val="705A7D9D"/>
    <w:rsid w:val="70691651"/>
    <w:rsid w:val="70757FF6"/>
    <w:rsid w:val="70761FC0"/>
    <w:rsid w:val="707C4710"/>
    <w:rsid w:val="70822713"/>
    <w:rsid w:val="70827D2B"/>
    <w:rsid w:val="70862203"/>
    <w:rsid w:val="70880D43"/>
    <w:rsid w:val="70934920"/>
    <w:rsid w:val="709361DC"/>
    <w:rsid w:val="709578C1"/>
    <w:rsid w:val="7099764F"/>
    <w:rsid w:val="709A5FCD"/>
    <w:rsid w:val="70BE33D2"/>
    <w:rsid w:val="70C77C7E"/>
    <w:rsid w:val="70CD16CB"/>
    <w:rsid w:val="70DC70DA"/>
    <w:rsid w:val="70E52721"/>
    <w:rsid w:val="70E909E4"/>
    <w:rsid w:val="70F76680"/>
    <w:rsid w:val="71185836"/>
    <w:rsid w:val="712F22B8"/>
    <w:rsid w:val="712F289B"/>
    <w:rsid w:val="7130216F"/>
    <w:rsid w:val="713C61FC"/>
    <w:rsid w:val="714A1495"/>
    <w:rsid w:val="714D4DDA"/>
    <w:rsid w:val="71554062"/>
    <w:rsid w:val="715D51C4"/>
    <w:rsid w:val="71681909"/>
    <w:rsid w:val="71775FF0"/>
    <w:rsid w:val="718002C9"/>
    <w:rsid w:val="7189187F"/>
    <w:rsid w:val="718D75C1"/>
    <w:rsid w:val="71AD43DD"/>
    <w:rsid w:val="71AD7C63"/>
    <w:rsid w:val="71AE2B03"/>
    <w:rsid w:val="71B3DEE8"/>
    <w:rsid w:val="71B9D13A"/>
    <w:rsid w:val="71C254BD"/>
    <w:rsid w:val="71D75F6B"/>
    <w:rsid w:val="71E34706"/>
    <w:rsid w:val="71E4311C"/>
    <w:rsid w:val="71E52BF0"/>
    <w:rsid w:val="71E64273"/>
    <w:rsid w:val="71EF3DD8"/>
    <w:rsid w:val="71FC4716"/>
    <w:rsid w:val="720901B6"/>
    <w:rsid w:val="720E0C51"/>
    <w:rsid w:val="72270535"/>
    <w:rsid w:val="72292BA4"/>
    <w:rsid w:val="722F2426"/>
    <w:rsid w:val="72344242"/>
    <w:rsid w:val="724063E2"/>
    <w:rsid w:val="72477770"/>
    <w:rsid w:val="724C5D97"/>
    <w:rsid w:val="72516841"/>
    <w:rsid w:val="725715D2"/>
    <w:rsid w:val="725E4ABA"/>
    <w:rsid w:val="72874010"/>
    <w:rsid w:val="728E41FF"/>
    <w:rsid w:val="7294509A"/>
    <w:rsid w:val="72967D5D"/>
    <w:rsid w:val="72A703D9"/>
    <w:rsid w:val="72B66B1F"/>
    <w:rsid w:val="72B87E28"/>
    <w:rsid w:val="72BB3CBA"/>
    <w:rsid w:val="72CE60E3"/>
    <w:rsid w:val="72D364DA"/>
    <w:rsid w:val="72D37256"/>
    <w:rsid w:val="72D459C1"/>
    <w:rsid w:val="72DA60BD"/>
    <w:rsid w:val="72DB7B79"/>
    <w:rsid w:val="72E66F89"/>
    <w:rsid w:val="72F36D66"/>
    <w:rsid w:val="72F71196"/>
    <w:rsid w:val="72FB03ED"/>
    <w:rsid w:val="72FF629D"/>
    <w:rsid w:val="73001975"/>
    <w:rsid w:val="73092CA7"/>
    <w:rsid w:val="73306456"/>
    <w:rsid w:val="73326672"/>
    <w:rsid w:val="7338114D"/>
    <w:rsid w:val="733E1B79"/>
    <w:rsid w:val="733F2B3D"/>
    <w:rsid w:val="73465C7A"/>
    <w:rsid w:val="734939BC"/>
    <w:rsid w:val="734F380E"/>
    <w:rsid w:val="736507F6"/>
    <w:rsid w:val="73656370"/>
    <w:rsid w:val="73682846"/>
    <w:rsid w:val="73697546"/>
    <w:rsid w:val="737D2E68"/>
    <w:rsid w:val="737E3665"/>
    <w:rsid w:val="737E5413"/>
    <w:rsid w:val="73844CD9"/>
    <w:rsid w:val="73893DAB"/>
    <w:rsid w:val="738C468D"/>
    <w:rsid w:val="739A7D73"/>
    <w:rsid w:val="73AA47BD"/>
    <w:rsid w:val="73AD3F4B"/>
    <w:rsid w:val="73AF1A71"/>
    <w:rsid w:val="73B47B62"/>
    <w:rsid w:val="73B572BB"/>
    <w:rsid w:val="73BE1CB4"/>
    <w:rsid w:val="73C179F6"/>
    <w:rsid w:val="73C372CA"/>
    <w:rsid w:val="73D56FFD"/>
    <w:rsid w:val="73D74B24"/>
    <w:rsid w:val="73D75CC6"/>
    <w:rsid w:val="73D83389"/>
    <w:rsid w:val="73DF5786"/>
    <w:rsid w:val="73E01C2A"/>
    <w:rsid w:val="73F456D6"/>
    <w:rsid w:val="73F90F3E"/>
    <w:rsid w:val="73FE1225"/>
    <w:rsid w:val="74024296"/>
    <w:rsid w:val="7416564C"/>
    <w:rsid w:val="742363A2"/>
    <w:rsid w:val="74365CEE"/>
    <w:rsid w:val="74387CB8"/>
    <w:rsid w:val="743B1556"/>
    <w:rsid w:val="743E279B"/>
    <w:rsid w:val="743F620E"/>
    <w:rsid w:val="74404DBF"/>
    <w:rsid w:val="744148DD"/>
    <w:rsid w:val="74485A04"/>
    <w:rsid w:val="744A6ED7"/>
    <w:rsid w:val="744F588B"/>
    <w:rsid w:val="745E6FF3"/>
    <w:rsid w:val="746A2530"/>
    <w:rsid w:val="746B7328"/>
    <w:rsid w:val="74701E32"/>
    <w:rsid w:val="747800B5"/>
    <w:rsid w:val="748603E4"/>
    <w:rsid w:val="749D668F"/>
    <w:rsid w:val="74A0634E"/>
    <w:rsid w:val="74A25132"/>
    <w:rsid w:val="74AD4A43"/>
    <w:rsid w:val="74B03CF2"/>
    <w:rsid w:val="74B15375"/>
    <w:rsid w:val="74B310ED"/>
    <w:rsid w:val="74B33326"/>
    <w:rsid w:val="74C17067"/>
    <w:rsid w:val="74C57072"/>
    <w:rsid w:val="74C72DEA"/>
    <w:rsid w:val="74C975DD"/>
    <w:rsid w:val="74DA1B24"/>
    <w:rsid w:val="74DB3473"/>
    <w:rsid w:val="74EB2763"/>
    <w:rsid w:val="74ED54EF"/>
    <w:rsid w:val="74FC2209"/>
    <w:rsid w:val="7501454E"/>
    <w:rsid w:val="75061B64"/>
    <w:rsid w:val="750B717B"/>
    <w:rsid w:val="750C4CA1"/>
    <w:rsid w:val="75183646"/>
    <w:rsid w:val="752244C4"/>
    <w:rsid w:val="75243D99"/>
    <w:rsid w:val="75287D2D"/>
    <w:rsid w:val="75322959"/>
    <w:rsid w:val="75387745"/>
    <w:rsid w:val="754206C3"/>
    <w:rsid w:val="75502DDF"/>
    <w:rsid w:val="75530322"/>
    <w:rsid w:val="75562447"/>
    <w:rsid w:val="75604F8E"/>
    <w:rsid w:val="756845CD"/>
    <w:rsid w:val="75698AAE"/>
    <w:rsid w:val="75703482"/>
    <w:rsid w:val="75705230"/>
    <w:rsid w:val="75763BE2"/>
    <w:rsid w:val="758807CB"/>
    <w:rsid w:val="758D16DD"/>
    <w:rsid w:val="758D36C3"/>
    <w:rsid w:val="758E461D"/>
    <w:rsid w:val="75936023"/>
    <w:rsid w:val="75A24FC9"/>
    <w:rsid w:val="75A5367F"/>
    <w:rsid w:val="75A86778"/>
    <w:rsid w:val="75AA6994"/>
    <w:rsid w:val="75B66A1A"/>
    <w:rsid w:val="75BC0DA6"/>
    <w:rsid w:val="75BF7F65"/>
    <w:rsid w:val="75C46760"/>
    <w:rsid w:val="75D03F20"/>
    <w:rsid w:val="75D37125"/>
    <w:rsid w:val="75E13FA0"/>
    <w:rsid w:val="75E4177A"/>
    <w:rsid w:val="75F45E61"/>
    <w:rsid w:val="75F81F01"/>
    <w:rsid w:val="76020EA1"/>
    <w:rsid w:val="760A7432"/>
    <w:rsid w:val="760F2C9B"/>
    <w:rsid w:val="761F5082"/>
    <w:rsid w:val="76206C56"/>
    <w:rsid w:val="762140C2"/>
    <w:rsid w:val="76267583"/>
    <w:rsid w:val="76287F26"/>
    <w:rsid w:val="763829FD"/>
    <w:rsid w:val="76394E56"/>
    <w:rsid w:val="763E507E"/>
    <w:rsid w:val="764F753B"/>
    <w:rsid w:val="76516E0F"/>
    <w:rsid w:val="76680CF1"/>
    <w:rsid w:val="766E5C13"/>
    <w:rsid w:val="766E7B22"/>
    <w:rsid w:val="76762C07"/>
    <w:rsid w:val="768D497C"/>
    <w:rsid w:val="76903064"/>
    <w:rsid w:val="76911902"/>
    <w:rsid w:val="769E7B7B"/>
    <w:rsid w:val="76A02DB3"/>
    <w:rsid w:val="76B17DED"/>
    <w:rsid w:val="76B32088"/>
    <w:rsid w:val="76BEFC56"/>
    <w:rsid w:val="76C05D43"/>
    <w:rsid w:val="76C92E49"/>
    <w:rsid w:val="76D04F73"/>
    <w:rsid w:val="76DD06A3"/>
    <w:rsid w:val="76F14A9C"/>
    <w:rsid w:val="76FFB02D"/>
    <w:rsid w:val="7702635B"/>
    <w:rsid w:val="77061A83"/>
    <w:rsid w:val="771A37DE"/>
    <w:rsid w:val="77242783"/>
    <w:rsid w:val="772B2297"/>
    <w:rsid w:val="772B71EA"/>
    <w:rsid w:val="77366850"/>
    <w:rsid w:val="77382754"/>
    <w:rsid w:val="77446974"/>
    <w:rsid w:val="77455E56"/>
    <w:rsid w:val="77507B50"/>
    <w:rsid w:val="775832D0"/>
    <w:rsid w:val="775A14FA"/>
    <w:rsid w:val="776C1A27"/>
    <w:rsid w:val="7771703D"/>
    <w:rsid w:val="7774550B"/>
    <w:rsid w:val="7778661E"/>
    <w:rsid w:val="777E7C1C"/>
    <w:rsid w:val="77830A09"/>
    <w:rsid w:val="77884510"/>
    <w:rsid w:val="77884AB3"/>
    <w:rsid w:val="779416A9"/>
    <w:rsid w:val="779B1D4F"/>
    <w:rsid w:val="779F3BAA"/>
    <w:rsid w:val="77A24726"/>
    <w:rsid w:val="77B0248F"/>
    <w:rsid w:val="77B2760C"/>
    <w:rsid w:val="77B35AC9"/>
    <w:rsid w:val="77B557D3"/>
    <w:rsid w:val="77B82409"/>
    <w:rsid w:val="77BC0B2A"/>
    <w:rsid w:val="77BF2E02"/>
    <w:rsid w:val="77C83229"/>
    <w:rsid w:val="77CB0E43"/>
    <w:rsid w:val="77D56023"/>
    <w:rsid w:val="77E251B6"/>
    <w:rsid w:val="77E37F3B"/>
    <w:rsid w:val="77EB0548"/>
    <w:rsid w:val="77F263D0"/>
    <w:rsid w:val="77F4560A"/>
    <w:rsid w:val="77FD3D83"/>
    <w:rsid w:val="77FE9E86"/>
    <w:rsid w:val="78000AED"/>
    <w:rsid w:val="78003B4A"/>
    <w:rsid w:val="78005CD7"/>
    <w:rsid w:val="78044908"/>
    <w:rsid w:val="780B1240"/>
    <w:rsid w:val="7818643A"/>
    <w:rsid w:val="781C344D"/>
    <w:rsid w:val="78210A63"/>
    <w:rsid w:val="78280961"/>
    <w:rsid w:val="7828630C"/>
    <w:rsid w:val="782A5B6A"/>
    <w:rsid w:val="784A3F9D"/>
    <w:rsid w:val="784A55CB"/>
    <w:rsid w:val="784C3D32"/>
    <w:rsid w:val="78572DD4"/>
    <w:rsid w:val="786077DD"/>
    <w:rsid w:val="787119EB"/>
    <w:rsid w:val="78714F73"/>
    <w:rsid w:val="787D0EC3"/>
    <w:rsid w:val="7883021C"/>
    <w:rsid w:val="78846121"/>
    <w:rsid w:val="788A6608"/>
    <w:rsid w:val="788F1E71"/>
    <w:rsid w:val="789227C4"/>
    <w:rsid w:val="7896550A"/>
    <w:rsid w:val="789D27E0"/>
    <w:rsid w:val="78A14D50"/>
    <w:rsid w:val="78B23D00"/>
    <w:rsid w:val="78B43685"/>
    <w:rsid w:val="78B958A9"/>
    <w:rsid w:val="78B96EEE"/>
    <w:rsid w:val="78C249B3"/>
    <w:rsid w:val="78C27525"/>
    <w:rsid w:val="78C55892"/>
    <w:rsid w:val="78C80736"/>
    <w:rsid w:val="78CC09CF"/>
    <w:rsid w:val="78CC460F"/>
    <w:rsid w:val="78D16440"/>
    <w:rsid w:val="78D37FAF"/>
    <w:rsid w:val="78D53FEF"/>
    <w:rsid w:val="78D635FC"/>
    <w:rsid w:val="78DD4999"/>
    <w:rsid w:val="78E43C3A"/>
    <w:rsid w:val="78E51DC1"/>
    <w:rsid w:val="79004B1D"/>
    <w:rsid w:val="790A7C54"/>
    <w:rsid w:val="79165E39"/>
    <w:rsid w:val="791D202A"/>
    <w:rsid w:val="79224A93"/>
    <w:rsid w:val="79243D01"/>
    <w:rsid w:val="79352A18"/>
    <w:rsid w:val="7936053E"/>
    <w:rsid w:val="793D0477"/>
    <w:rsid w:val="793D7B1F"/>
    <w:rsid w:val="793E2B81"/>
    <w:rsid w:val="79442C5B"/>
    <w:rsid w:val="795D5ACB"/>
    <w:rsid w:val="796B5E5A"/>
    <w:rsid w:val="797650C3"/>
    <w:rsid w:val="797D616D"/>
    <w:rsid w:val="798474FC"/>
    <w:rsid w:val="79856DD0"/>
    <w:rsid w:val="79960FDD"/>
    <w:rsid w:val="79A4194C"/>
    <w:rsid w:val="79AA5A9D"/>
    <w:rsid w:val="79BE712E"/>
    <w:rsid w:val="79C2740A"/>
    <w:rsid w:val="79C8388C"/>
    <w:rsid w:val="79D13A78"/>
    <w:rsid w:val="79DC910D"/>
    <w:rsid w:val="79DD3184"/>
    <w:rsid w:val="79DF4732"/>
    <w:rsid w:val="79E32474"/>
    <w:rsid w:val="79ED4D77"/>
    <w:rsid w:val="79EE5666"/>
    <w:rsid w:val="79EF2CC9"/>
    <w:rsid w:val="79EFBD07"/>
    <w:rsid w:val="79F301DD"/>
    <w:rsid w:val="79F95D73"/>
    <w:rsid w:val="79FB3F53"/>
    <w:rsid w:val="7A140880"/>
    <w:rsid w:val="7A150154"/>
    <w:rsid w:val="7A15348D"/>
    <w:rsid w:val="7A1A1600"/>
    <w:rsid w:val="7A1C1A38"/>
    <w:rsid w:val="7A1C7F36"/>
    <w:rsid w:val="7A2A5002"/>
    <w:rsid w:val="7A37585A"/>
    <w:rsid w:val="7A3E58FC"/>
    <w:rsid w:val="7A592736"/>
    <w:rsid w:val="7A5B6D2C"/>
    <w:rsid w:val="7A5B73A8"/>
    <w:rsid w:val="7A6F3D08"/>
    <w:rsid w:val="7A765B2D"/>
    <w:rsid w:val="7A7A7D8A"/>
    <w:rsid w:val="7A7E6380"/>
    <w:rsid w:val="7A7FDB48"/>
    <w:rsid w:val="7A884DCA"/>
    <w:rsid w:val="7A9279F6"/>
    <w:rsid w:val="7A93454E"/>
    <w:rsid w:val="7A942FE7"/>
    <w:rsid w:val="7A992B33"/>
    <w:rsid w:val="7AA240DD"/>
    <w:rsid w:val="7AA634A2"/>
    <w:rsid w:val="7AAC0AB8"/>
    <w:rsid w:val="7AB34877"/>
    <w:rsid w:val="7AB6E8FE"/>
    <w:rsid w:val="7ABC1D2D"/>
    <w:rsid w:val="7AC027B5"/>
    <w:rsid w:val="7AC848ED"/>
    <w:rsid w:val="7AD43416"/>
    <w:rsid w:val="7AD63D87"/>
    <w:rsid w:val="7AD85E10"/>
    <w:rsid w:val="7AF25943"/>
    <w:rsid w:val="7AF30181"/>
    <w:rsid w:val="7AF44DFF"/>
    <w:rsid w:val="7AF90389"/>
    <w:rsid w:val="7AF95CC7"/>
    <w:rsid w:val="7AFF9448"/>
    <w:rsid w:val="7B032A3A"/>
    <w:rsid w:val="7B036F20"/>
    <w:rsid w:val="7B09527D"/>
    <w:rsid w:val="7B146194"/>
    <w:rsid w:val="7B30793B"/>
    <w:rsid w:val="7B31720F"/>
    <w:rsid w:val="7B4718A3"/>
    <w:rsid w:val="7B48773F"/>
    <w:rsid w:val="7B5A49B8"/>
    <w:rsid w:val="7B704F89"/>
    <w:rsid w:val="7B7A2964"/>
    <w:rsid w:val="7B7C69A4"/>
    <w:rsid w:val="7B853D48"/>
    <w:rsid w:val="7BA358FE"/>
    <w:rsid w:val="7BA9149B"/>
    <w:rsid w:val="7BAA13D3"/>
    <w:rsid w:val="7BC10593"/>
    <w:rsid w:val="7BCE4C52"/>
    <w:rsid w:val="7BD1705E"/>
    <w:rsid w:val="7BD55DED"/>
    <w:rsid w:val="7BDFF533"/>
    <w:rsid w:val="7BEF3D12"/>
    <w:rsid w:val="7BF10231"/>
    <w:rsid w:val="7BF756FE"/>
    <w:rsid w:val="7BFE17E7"/>
    <w:rsid w:val="7C305719"/>
    <w:rsid w:val="7C3172F7"/>
    <w:rsid w:val="7C370855"/>
    <w:rsid w:val="7C3949A7"/>
    <w:rsid w:val="7C3B59D3"/>
    <w:rsid w:val="7C3D3992"/>
    <w:rsid w:val="7C41167F"/>
    <w:rsid w:val="7C456003"/>
    <w:rsid w:val="7C4B2553"/>
    <w:rsid w:val="7C4F50D2"/>
    <w:rsid w:val="7C50154F"/>
    <w:rsid w:val="7C501917"/>
    <w:rsid w:val="7C6461C4"/>
    <w:rsid w:val="7C7716B2"/>
    <w:rsid w:val="7C8998D9"/>
    <w:rsid w:val="7C8C2AE3"/>
    <w:rsid w:val="7C8E41ED"/>
    <w:rsid w:val="7C921F30"/>
    <w:rsid w:val="7C953AE4"/>
    <w:rsid w:val="7CA53A11"/>
    <w:rsid w:val="7CAB4D9F"/>
    <w:rsid w:val="7CB37868"/>
    <w:rsid w:val="7CB4042E"/>
    <w:rsid w:val="7CB71996"/>
    <w:rsid w:val="7CBB1819"/>
    <w:rsid w:val="7CBC51FE"/>
    <w:rsid w:val="7CBF0A06"/>
    <w:rsid w:val="7CC540B3"/>
    <w:rsid w:val="7CE51BC3"/>
    <w:rsid w:val="7CED360A"/>
    <w:rsid w:val="7CED7166"/>
    <w:rsid w:val="7CEEB960"/>
    <w:rsid w:val="7CF16265"/>
    <w:rsid w:val="7CF33E53"/>
    <w:rsid w:val="7CF74C40"/>
    <w:rsid w:val="7CF83C2F"/>
    <w:rsid w:val="7CFA3997"/>
    <w:rsid w:val="7CFFF5B8"/>
    <w:rsid w:val="7D024F8E"/>
    <w:rsid w:val="7D150AFD"/>
    <w:rsid w:val="7D15201E"/>
    <w:rsid w:val="7D250FF6"/>
    <w:rsid w:val="7D2C2AAE"/>
    <w:rsid w:val="7D3B31E8"/>
    <w:rsid w:val="7D3B4375"/>
    <w:rsid w:val="7D4274B2"/>
    <w:rsid w:val="7D494CE4"/>
    <w:rsid w:val="7D4C20DE"/>
    <w:rsid w:val="7D50302A"/>
    <w:rsid w:val="7D52346D"/>
    <w:rsid w:val="7D563C1F"/>
    <w:rsid w:val="7D567401"/>
    <w:rsid w:val="7D5F62B6"/>
    <w:rsid w:val="7D625DA6"/>
    <w:rsid w:val="7D646FE6"/>
    <w:rsid w:val="7D65682C"/>
    <w:rsid w:val="7D6C2781"/>
    <w:rsid w:val="7D7702C0"/>
    <w:rsid w:val="7D7DD7D4"/>
    <w:rsid w:val="7D7F16EC"/>
    <w:rsid w:val="7D8A547F"/>
    <w:rsid w:val="7D8E0949"/>
    <w:rsid w:val="7D96500F"/>
    <w:rsid w:val="7D9870EB"/>
    <w:rsid w:val="7D997627"/>
    <w:rsid w:val="7DA834E4"/>
    <w:rsid w:val="7DB30F95"/>
    <w:rsid w:val="7DB42244"/>
    <w:rsid w:val="7DB559C7"/>
    <w:rsid w:val="7DB90FC9"/>
    <w:rsid w:val="7DBE3BDC"/>
    <w:rsid w:val="7DBFD623"/>
    <w:rsid w:val="7DCC035C"/>
    <w:rsid w:val="7DD03787"/>
    <w:rsid w:val="7DD1074B"/>
    <w:rsid w:val="7DD65E4C"/>
    <w:rsid w:val="7DD81597"/>
    <w:rsid w:val="7DDD55F1"/>
    <w:rsid w:val="7DED25F1"/>
    <w:rsid w:val="7DF40153"/>
    <w:rsid w:val="7DFA77F7"/>
    <w:rsid w:val="7DFC494D"/>
    <w:rsid w:val="7DFEBF87"/>
    <w:rsid w:val="7E001370"/>
    <w:rsid w:val="7E1A2BCF"/>
    <w:rsid w:val="7E22507B"/>
    <w:rsid w:val="7E2E7A36"/>
    <w:rsid w:val="7E32384F"/>
    <w:rsid w:val="7E357016"/>
    <w:rsid w:val="7E36758B"/>
    <w:rsid w:val="7E39377D"/>
    <w:rsid w:val="7E3C6480"/>
    <w:rsid w:val="7E405974"/>
    <w:rsid w:val="7E464D80"/>
    <w:rsid w:val="7E48340D"/>
    <w:rsid w:val="7E4B05E8"/>
    <w:rsid w:val="7E505516"/>
    <w:rsid w:val="7E642257"/>
    <w:rsid w:val="7E6478FC"/>
    <w:rsid w:val="7E660E19"/>
    <w:rsid w:val="7E6E2528"/>
    <w:rsid w:val="7E6F077A"/>
    <w:rsid w:val="7E7235F9"/>
    <w:rsid w:val="7E778D31"/>
    <w:rsid w:val="7E784022"/>
    <w:rsid w:val="7E7A4224"/>
    <w:rsid w:val="7E7B232B"/>
    <w:rsid w:val="7EA357F8"/>
    <w:rsid w:val="7EA53912"/>
    <w:rsid w:val="7EB4C332"/>
    <w:rsid w:val="7EB5014B"/>
    <w:rsid w:val="7EB56CC0"/>
    <w:rsid w:val="7EB663A9"/>
    <w:rsid w:val="7EBF8D68"/>
    <w:rsid w:val="7EC363D0"/>
    <w:rsid w:val="7EC469CB"/>
    <w:rsid w:val="7EC5039A"/>
    <w:rsid w:val="7EC90406"/>
    <w:rsid w:val="7EC97625"/>
    <w:rsid w:val="7ED11CAD"/>
    <w:rsid w:val="7EF16AAC"/>
    <w:rsid w:val="7EF86D6A"/>
    <w:rsid w:val="7EFE6824"/>
    <w:rsid w:val="7F01514B"/>
    <w:rsid w:val="7F166E48"/>
    <w:rsid w:val="7F1E5699"/>
    <w:rsid w:val="7F2552DD"/>
    <w:rsid w:val="7F2F3A66"/>
    <w:rsid w:val="7F313C82"/>
    <w:rsid w:val="7F323340"/>
    <w:rsid w:val="7F3555C5"/>
    <w:rsid w:val="7F441B10"/>
    <w:rsid w:val="7F46600F"/>
    <w:rsid w:val="7F480FCB"/>
    <w:rsid w:val="7F533BF8"/>
    <w:rsid w:val="7F565496"/>
    <w:rsid w:val="7F592524"/>
    <w:rsid w:val="7F5C3C9C"/>
    <w:rsid w:val="7F5D60C2"/>
    <w:rsid w:val="7F5F4BFC"/>
    <w:rsid w:val="7F6565D9"/>
    <w:rsid w:val="7F6578FB"/>
    <w:rsid w:val="7F6768AC"/>
    <w:rsid w:val="7F6779F6"/>
    <w:rsid w:val="7F6F64E1"/>
    <w:rsid w:val="7F7542D2"/>
    <w:rsid w:val="7F7997A2"/>
    <w:rsid w:val="7F7B6CAB"/>
    <w:rsid w:val="7F857B2A"/>
    <w:rsid w:val="7F903BD2"/>
    <w:rsid w:val="7F937415"/>
    <w:rsid w:val="7F963AE5"/>
    <w:rsid w:val="7F998E79"/>
    <w:rsid w:val="7FAB90FE"/>
    <w:rsid w:val="7FAE2048"/>
    <w:rsid w:val="7FAF933B"/>
    <w:rsid w:val="7FB73115"/>
    <w:rsid w:val="7FB863C1"/>
    <w:rsid w:val="7FBD1532"/>
    <w:rsid w:val="7FBD72C3"/>
    <w:rsid w:val="7FBF303C"/>
    <w:rsid w:val="7FC53407"/>
    <w:rsid w:val="7FC841C1"/>
    <w:rsid w:val="7FD6583E"/>
    <w:rsid w:val="7FDF2BFA"/>
    <w:rsid w:val="7FE7683D"/>
    <w:rsid w:val="7FEBB101"/>
    <w:rsid w:val="7FF932C8"/>
    <w:rsid w:val="7FF9A5B2"/>
    <w:rsid w:val="7FFBE61A"/>
    <w:rsid w:val="7FFBFDBF"/>
    <w:rsid w:val="7FFC1EBF"/>
    <w:rsid w:val="7FFE2F2B"/>
    <w:rsid w:val="7FFE8769"/>
    <w:rsid w:val="7FFF074A"/>
    <w:rsid w:val="7FFF73AF"/>
    <w:rsid w:val="7FFF92A9"/>
    <w:rsid w:val="8B79F42A"/>
    <w:rsid w:val="8EFE28D9"/>
    <w:rsid w:val="8F372423"/>
    <w:rsid w:val="93EE851A"/>
    <w:rsid w:val="9775E069"/>
    <w:rsid w:val="97FFAA26"/>
    <w:rsid w:val="9A3D66DB"/>
    <w:rsid w:val="9F3D8CE3"/>
    <w:rsid w:val="9F7E7A00"/>
    <w:rsid w:val="9FDED4BA"/>
    <w:rsid w:val="A7BDB41A"/>
    <w:rsid w:val="AAFF4CD8"/>
    <w:rsid w:val="ABBD5453"/>
    <w:rsid w:val="ABFBBCF5"/>
    <w:rsid w:val="ADEF6A34"/>
    <w:rsid w:val="ADF7200E"/>
    <w:rsid w:val="AECDD1DA"/>
    <w:rsid w:val="AF09F5FF"/>
    <w:rsid w:val="AFDBCF5D"/>
    <w:rsid w:val="AFF70E63"/>
    <w:rsid w:val="B3F3063D"/>
    <w:rsid w:val="B5DA5392"/>
    <w:rsid w:val="B6FE02DA"/>
    <w:rsid w:val="B7B34E4D"/>
    <w:rsid w:val="B7CE4B8B"/>
    <w:rsid w:val="B7FA7F68"/>
    <w:rsid w:val="B94BDE29"/>
    <w:rsid w:val="BB7B7454"/>
    <w:rsid w:val="BBA7A4B5"/>
    <w:rsid w:val="BBAE5837"/>
    <w:rsid w:val="BBBB6F11"/>
    <w:rsid w:val="BBEDB025"/>
    <w:rsid w:val="BBFE2A3A"/>
    <w:rsid w:val="BD472E0E"/>
    <w:rsid w:val="BDAFA2B3"/>
    <w:rsid w:val="BDEE50FA"/>
    <w:rsid w:val="BDFE8156"/>
    <w:rsid w:val="BEFBF8A7"/>
    <w:rsid w:val="BF674AC0"/>
    <w:rsid w:val="BF7391BA"/>
    <w:rsid w:val="BF77812B"/>
    <w:rsid w:val="BFDEC40F"/>
    <w:rsid w:val="BFF2BBDA"/>
    <w:rsid w:val="BFF77357"/>
    <w:rsid w:val="BFFF6292"/>
    <w:rsid w:val="C6FF7764"/>
    <w:rsid w:val="C7FF4FF9"/>
    <w:rsid w:val="CB374EEA"/>
    <w:rsid w:val="CB755014"/>
    <w:rsid w:val="CBD4CE04"/>
    <w:rsid w:val="CBFF55D5"/>
    <w:rsid w:val="CCFF2A63"/>
    <w:rsid w:val="CDFF754B"/>
    <w:rsid w:val="CECF229F"/>
    <w:rsid w:val="CED2E7FC"/>
    <w:rsid w:val="CEEFCF86"/>
    <w:rsid w:val="CFC58FBE"/>
    <w:rsid w:val="CFEBF7A5"/>
    <w:rsid w:val="CFFF70D3"/>
    <w:rsid w:val="D3D714C6"/>
    <w:rsid w:val="D4F4298A"/>
    <w:rsid w:val="D5F3B815"/>
    <w:rsid w:val="D7B7AF88"/>
    <w:rsid w:val="D9EA5FDD"/>
    <w:rsid w:val="DA5E8EA2"/>
    <w:rsid w:val="DAFF2443"/>
    <w:rsid w:val="DAFFAEFC"/>
    <w:rsid w:val="DBA53F1E"/>
    <w:rsid w:val="DCFB64ED"/>
    <w:rsid w:val="DD6EB600"/>
    <w:rsid w:val="DD7F5733"/>
    <w:rsid w:val="DD8E6F13"/>
    <w:rsid w:val="DDEDDD53"/>
    <w:rsid w:val="DDF213A1"/>
    <w:rsid w:val="DFBBAC78"/>
    <w:rsid w:val="DFBF3725"/>
    <w:rsid w:val="DFD52B5D"/>
    <w:rsid w:val="DFF5FE75"/>
    <w:rsid w:val="DFFF1F27"/>
    <w:rsid w:val="E37740DB"/>
    <w:rsid w:val="E47B2EFB"/>
    <w:rsid w:val="E57FD9A0"/>
    <w:rsid w:val="E5BF92B5"/>
    <w:rsid w:val="E67D67A1"/>
    <w:rsid w:val="E77B7678"/>
    <w:rsid w:val="E7D520B3"/>
    <w:rsid w:val="E7D7FA00"/>
    <w:rsid w:val="E7FBF13C"/>
    <w:rsid w:val="E8C7BAB7"/>
    <w:rsid w:val="E983A337"/>
    <w:rsid w:val="EAF634B0"/>
    <w:rsid w:val="EBFA2A39"/>
    <w:rsid w:val="EC8BD0C9"/>
    <w:rsid w:val="EDA7D4B8"/>
    <w:rsid w:val="EF37FD01"/>
    <w:rsid w:val="EFBFB0B0"/>
    <w:rsid w:val="EFDD65F0"/>
    <w:rsid w:val="EFDFE14A"/>
    <w:rsid w:val="EFF779EA"/>
    <w:rsid w:val="EFF78BF1"/>
    <w:rsid w:val="EFFD9D46"/>
    <w:rsid w:val="EFFF64FF"/>
    <w:rsid w:val="F36E0FC4"/>
    <w:rsid w:val="F3DF05AC"/>
    <w:rsid w:val="F3EB7FBC"/>
    <w:rsid w:val="F4BF1A42"/>
    <w:rsid w:val="F57B0D89"/>
    <w:rsid w:val="F5BBEDCC"/>
    <w:rsid w:val="F5DF0B95"/>
    <w:rsid w:val="F6EBD86D"/>
    <w:rsid w:val="F6F59CDC"/>
    <w:rsid w:val="F70AB8A2"/>
    <w:rsid w:val="F73389C8"/>
    <w:rsid w:val="F75CCE16"/>
    <w:rsid w:val="F75F3AA3"/>
    <w:rsid w:val="F79B5717"/>
    <w:rsid w:val="F7DB9B88"/>
    <w:rsid w:val="F7EF9FC8"/>
    <w:rsid w:val="F7FD02F4"/>
    <w:rsid w:val="F7FE0117"/>
    <w:rsid w:val="F7FEC747"/>
    <w:rsid w:val="F87965F3"/>
    <w:rsid w:val="F994E925"/>
    <w:rsid w:val="F9B72875"/>
    <w:rsid w:val="FABECAEE"/>
    <w:rsid w:val="FAF736DC"/>
    <w:rsid w:val="FBBE6C3C"/>
    <w:rsid w:val="FBC6A65A"/>
    <w:rsid w:val="FBEEF497"/>
    <w:rsid w:val="FBEFB84F"/>
    <w:rsid w:val="FBF7170F"/>
    <w:rsid w:val="FBF9B900"/>
    <w:rsid w:val="FC7F978C"/>
    <w:rsid w:val="FCA3B445"/>
    <w:rsid w:val="FCDFD664"/>
    <w:rsid w:val="FCFF6BE5"/>
    <w:rsid w:val="FCFFC4C2"/>
    <w:rsid w:val="FCFFD75D"/>
    <w:rsid w:val="FD3D3666"/>
    <w:rsid w:val="FDB66EEA"/>
    <w:rsid w:val="FDD5043B"/>
    <w:rsid w:val="FDD648A9"/>
    <w:rsid w:val="FDE5699D"/>
    <w:rsid w:val="FDEE2C55"/>
    <w:rsid w:val="FDF74EFB"/>
    <w:rsid w:val="FDFF2979"/>
    <w:rsid w:val="FE3E47A6"/>
    <w:rsid w:val="FE67307B"/>
    <w:rsid w:val="FE6B5C7F"/>
    <w:rsid w:val="FEA6F3AD"/>
    <w:rsid w:val="FED7C941"/>
    <w:rsid w:val="FEEB70AF"/>
    <w:rsid w:val="FEFE529E"/>
    <w:rsid w:val="FF2F06C0"/>
    <w:rsid w:val="FF2FC985"/>
    <w:rsid w:val="FF3534B3"/>
    <w:rsid w:val="FF3B4806"/>
    <w:rsid w:val="FF772DA8"/>
    <w:rsid w:val="FF77D45E"/>
    <w:rsid w:val="FF7D1313"/>
    <w:rsid w:val="FF7D1E65"/>
    <w:rsid w:val="FF86AECA"/>
    <w:rsid w:val="FFADB387"/>
    <w:rsid w:val="FFAFBBC1"/>
    <w:rsid w:val="FFBDBD99"/>
    <w:rsid w:val="FFCB90D5"/>
    <w:rsid w:val="FFD7D610"/>
    <w:rsid w:val="FFDBD8C2"/>
    <w:rsid w:val="FFF32EFF"/>
    <w:rsid w:val="FFF733B7"/>
    <w:rsid w:val="FFF7BE53"/>
    <w:rsid w:val="FFFA27D4"/>
    <w:rsid w:val="FFFB5857"/>
    <w:rsid w:val="FFFB5E70"/>
    <w:rsid w:val="FFFD18ED"/>
    <w:rsid w:val="FFFEE9D2"/>
    <w:rsid w:val="FFFF238B"/>
    <w:rsid w:val="FFFFA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3"/>
    <w:qFormat/>
    <w:uiPriority w:val="9"/>
    <w:pPr>
      <w:keepNext/>
      <w:keepLines/>
      <w:spacing w:before="280" w:after="290" w:line="376" w:lineRule="auto"/>
      <w:outlineLvl w:val="4"/>
    </w:pPr>
    <w:rPr>
      <w:b/>
      <w:bCs/>
      <w:sz w:val="28"/>
      <w:szCs w:val="28"/>
    </w:rPr>
  </w:style>
  <w:style w:type="character" w:default="1" w:styleId="26">
    <w:name w:val="Default Paragraph Font"/>
    <w:link w:val="27"/>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alloon Text"/>
    <w:basedOn w:val="1"/>
    <w:link w:val="32"/>
    <w:unhideWhenUsed/>
    <w:qFormat/>
    <w:uiPriority w:val="99"/>
    <w:rPr>
      <w:sz w:val="18"/>
      <w:szCs w:val="18"/>
    </w:rPr>
  </w:style>
  <w:style w:type="paragraph" w:styleId="8">
    <w:name w:val="Normal Indent"/>
    <w:basedOn w:val="1"/>
    <w:qFormat/>
    <w:uiPriority w:val="0"/>
    <w:pPr>
      <w:ind w:firstLine="420"/>
    </w:pPr>
    <w:rPr>
      <w:szCs w:val="20"/>
    </w:rPr>
  </w:style>
  <w:style w:type="paragraph" w:styleId="9">
    <w:name w:val="annotation text"/>
    <w:basedOn w:val="1"/>
    <w:link w:val="34"/>
    <w:unhideWhenUsed/>
    <w:qFormat/>
    <w:uiPriority w:val="0"/>
    <w:pPr>
      <w:jc w:val="left"/>
    </w:pPr>
  </w:style>
  <w:style w:type="paragraph" w:styleId="10">
    <w:name w:val="Body Text"/>
    <w:basedOn w:val="1"/>
    <w:next w:val="11"/>
    <w:link w:val="35"/>
    <w:unhideWhenUsed/>
    <w:qFormat/>
    <w:uiPriority w:val="0"/>
    <w:pPr>
      <w:spacing w:after="120"/>
    </w:pPr>
    <w:rPr>
      <w:rFonts w:ascii="Times New Roman" w:hAnsi="Times New Roman" w:eastAsia="宋体"/>
      <w:sz w:val="24"/>
    </w:rPr>
  </w:style>
  <w:style w:type="paragraph" w:styleId="11">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12">
    <w:name w:val="Body Text Indent"/>
    <w:basedOn w:val="1"/>
    <w:unhideWhenUsed/>
    <w:qFormat/>
    <w:uiPriority w:val="99"/>
    <w:pPr>
      <w:spacing w:after="120"/>
      <w:ind w:left="420" w:leftChars="200"/>
    </w:pPr>
    <w:rPr>
      <w:kern w:val="0"/>
      <w:sz w:val="20"/>
      <w:szCs w:val="20"/>
    </w:rPr>
  </w:style>
  <w:style w:type="paragraph" w:styleId="13">
    <w:name w:val="Plain Text"/>
    <w:basedOn w:val="1"/>
    <w:next w:val="14"/>
    <w:link w:val="36"/>
    <w:qFormat/>
    <w:uiPriority w:val="0"/>
    <w:rPr>
      <w:rFonts w:ascii="宋体" w:hAnsi="Courier New"/>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5">
    <w:name w:val="footer"/>
    <w:basedOn w:val="1"/>
    <w:link w:val="37"/>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7">
    <w:name w:val="toc 1"/>
    <w:basedOn w:val="1"/>
    <w:next w:val="1"/>
    <w:unhideWhenUsed/>
    <w:qFormat/>
    <w:uiPriority w:val="39"/>
  </w:style>
  <w:style w:type="paragraph" w:styleId="18">
    <w:name w:val="toc 2"/>
    <w:basedOn w:val="1"/>
    <w:next w:val="1"/>
    <w:qFormat/>
    <w:uiPriority w:val="0"/>
    <w:pPr>
      <w:spacing w:line="600" w:lineRule="exact"/>
      <w:ind w:firstLine="880" w:firstLineChars="200"/>
    </w:pPr>
    <w:rPr>
      <w:rFonts w:eastAsia="仿宋_GB2312"/>
      <w:sz w:val="32"/>
    </w:rPr>
  </w:style>
  <w:style w:type="paragraph" w:styleId="19">
    <w:name w:val="Body Text 2"/>
    <w:basedOn w:val="1"/>
    <w:qFormat/>
    <w:uiPriority w:val="0"/>
    <w:pPr>
      <w:tabs>
        <w:tab w:val="left" w:pos="0"/>
      </w:tabs>
      <w:spacing w:line="400" w:lineRule="atLeast"/>
    </w:pPr>
    <w:rPr>
      <w:rFonts w:ascii="Arial" w:hAnsi="Arial"/>
      <w:color w:val="000000"/>
    </w:rPr>
  </w:style>
  <w:style w:type="paragraph" w:styleId="2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jc w:val="center"/>
      <w:outlineLvl w:val="0"/>
    </w:pPr>
    <w:rPr>
      <w:rFonts w:ascii="Arial" w:hAnsi="Arial" w:eastAsia="隶书"/>
      <w:b/>
      <w:bCs/>
      <w:sz w:val="32"/>
      <w:szCs w:val="32"/>
    </w:rPr>
  </w:style>
  <w:style w:type="paragraph" w:styleId="23">
    <w:name w:val="annotation subject"/>
    <w:basedOn w:val="9"/>
    <w:next w:val="9"/>
    <w:link w:val="39"/>
    <w:unhideWhenUsed/>
    <w:qFormat/>
    <w:uiPriority w:val="99"/>
    <w:rPr>
      <w:b/>
      <w:bCs/>
    </w:rPr>
  </w:style>
  <w:style w:type="table" w:styleId="25">
    <w:name w:val="Table Grid"/>
    <w:basedOn w:val="2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Char"/>
    <w:basedOn w:val="1"/>
    <w:link w:val="26"/>
    <w:qFormat/>
    <w:uiPriority w:val="0"/>
    <w:pPr>
      <w:widowControl/>
      <w:spacing w:after="160" w:line="240" w:lineRule="exact"/>
      <w:jc w:val="left"/>
    </w:pPr>
  </w:style>
  <w:style w:type="character" w:styleId="28">
    <w:name w:val="page number"/>
    <w:qFormat/>
    <w:uiPriority w:val="0"/>
  </w:style>
  <w:style w:type="character" w:styleId="29">
    <w:name w:val="FollowedHyperlink"/>
    <w:unhideWhenUsed/>
    <w:qFormat/>
    <w:uiPriority w:val="99"/>
    <w:rPr>
      <w:color w:val="954F72"/>
      <w:u w:val="single"/>
    </w:rPr>
  </w:style>
  <w:style w:type="character" w:styleId="30">
    <w:name w:val="Hyperlink"/>
    <w:qFormat/>
    <w:uiPriority w:val="0"/>
    <w:rPr>
      <w:color w:val="0000FF"/>
      <w:u w:val="none"/>
    </w:rPr>
  </w:style>
  <w:style w:type="character" w:styleId="31">
    <w:name w:val="annotation reference"/>
    <w:unhideWhenUsed/>
    <w:qFormat/>
    <w:uiPriority w:val="0"/>
    <w:rPr>
      <w:sz w:val="21"/>
      <w:szCs w:val="21"/>
    </w:rPr>
  </w:style>
  <w:style w:type="character" w:customStyle="1" w:styleId="32">
    <w:name w:val="批注框文本 字符"/>
    <w:link w:val="2"/>
    <w:semiHidden/>
    <w:qFormat/>
    <w:uiPriority w:val="99"/>
    <w:rPr>
      <w:rFonts w:ascii="Times New Roman" w:hAnsi="Times New Roman" w:eastAsia="宋体" w:cs="Times New Roman"/>
      <w:sz w:val="18"/>
      <w:szCs w:val="18"/>
    </w:rPr>
  </w:style>
  <w:style w:type="character" w:customStyle="1" w:styleId="33">
    <w:name w:val="标题 5 字符"/>
    <w:link w:val="7"/>
    <w:semiHidden/>
    <w:qFormat/>
    <w:uiPriority w:val="9"/>
    <w:rPr>
      <w:b/>
      <w:bCs/>
      <w:kern w:val="2"/>
      <w:sz w:val="28"/>
      <w:szCs w:val="28"/>
    </w:rPr>
  </w:style>
  <w:style w:type="character" w:customStyle="1" w:styleId="34">
    <w:name w:val="批注文字 字符"/>
    <w:link w:val="9"/>
    <w:qFormat/>
    <w:uiPriority w:val="0"/>
    <w:rPr>
      <w:rFonts w:ascii="Times New Roman" w:hAnsi="Times New Roman" w:eastAsia="宋体" w:cs="Times New Roman"/>
      <w:szCs w:val="24"/>
    </w:rPr>
  </w:style>
  <w:style w:type="character" w:customStyle="1" w:styleId="35">
    <w:name w:val="正文文本 字符"/>
    <w:link w:val="10"/>
    <w:qFormat/>
    <w:uiPriority w:val="0"/>
    <w:rPr>
      <w:rFonts w:ascii="Times New Roman" w:hAnsi="Times New Roman" w:eastAsia="宋体"/>
      <w:kern w:val="2"/>
      <w:sz w:val="24"/>
      <w:szCs w:val="24"/>
    </w:rPr>
  </w:style>
  <w:style w:type="character" w:customStyle="1" w:styleId="36">
    <w:name w:val="纯文本 字符1"/>
    <w:link w:val="13"/>
    <w:qFormat/>
    <w:uiPriority w:val="0"/>
    <w:rPr>
      <w:rFonts w:ascii="宋体" w:hAnsi="Courier New"/>
      <w:kern w:val="2"/>
      <w:sz w:val="21"/>
      <w:szCs w:val="24"/>
    </w:rPr>
  </w:style>
  <w:style w:type="character" w:customStyle="1" w:styleId="37">
    <w:name w:val="页脚 字符1"/>
    <w:link w:val="15"/>
    <w:qFormat/>
    <w:uiPriority w:val="99"/>
    <w:rPr>
      <w:sz w:val="18"/>
      <w:szCs w:val="18"/>
    </w:rPr>
  </w:style>
  <w:style w:type="character" w:customStyle="1" w:styleId="38">
    <w:name w:val="页眉 字符"/>
    <w:link w:val="16"/>
    <w:qFormat/>
    <w:uiPriority w:val="99"/>
    <w:rPr>
      <w:sz w:val="18"/>
      <w:szCs w:val="18"/>
    </w:rPr>
  </w:style>
  <w:style w:type="character" w:customStyle="1" w:styleId="39">
    <w:name w:val="批注主题 字符"/>
    <w:link w:val="23"/>
    <w:semiHidden/>
    <w:qFormat/>
    <w:uiPriority w:val="99"/>
    <w:rPr>
      <w:rFonts w:ascii="Times New Roman" w:hAnsi="Times New Roman" w:eastAsia="宋体" w:cs="Times New Roman"/>
      <w:b/>
      <w:bCs/>
      <w:szCs w:val="24"/>
    </w:rPr>
  </w:style>
  <w:style w:type="paragraph" w:customStyle="1" w:styleId="40">
    <w:name w:val="正文格式"/>
    <w:basedOn w:val="12"/>
    <w:qFormat/>
    <w:uiPriority w:val="99"/>
    <w:pPr>
      <w:spacing w:after="0" w:line="360" w:lineRule="auto"/>
      <w:ind w:left="0" w:leftChars="0" w:firstLine="600"/>
    </w:pPr>
    <w:rPr>
      <w:rFonts w:eastAsia="仿宋_GB2312"/>
      <w:sz w:val="30"/>
      <w:szCs w:val="30"/>
    </w:rPr>
  </w:style>
  <w:style w:type="character" w:customStyle="1" w:styleId="41">
    <w:name w:val="qowt-font5-gb2312"/>
    <w:qFormat/>
    <w:uiPriority w:val="0"/>
  </w:style>
  <w:style w:type="character" w:customStyle="1" w:styleId="42">
    <w:name w:val="标题1"/>
    <w:qFormat/>
    <w:uiPriority w:val="0"/>
  </w:style>
  <w:style w:type="character" w:customStyle="1" w:styleId="43">
    <w:name w:val="页脚 字符"/>
    <w:qFormat/>
    <w:uiPriority w:val="99"/>
    <w:rPr>
      <w:rFonts w:ascii="Calibri" w:hAnsi="Calibri"/>
      <w:kern w:val="2"/>
      <w:sz w:val="18"/>
      <w:szCs w:val="18"/>
    </w:rPr>
  </w:style>
  <w:style w:type="character" w:customStyle="1" w:styleId="44">
    <w:name w:val="纯文本 字符"/>
    <w:semiHidden/>
    <w:qFormat/>
    <w:uiPriority w:val="99"/>
    <w:rPr>
      <w:rFonts w:ascii="宋体" w:hAnsi="Courier New" w:cs="Courier New"/>
      <w:kern w:val="2"/>
      <w:sz w:val="21"/>
      <w:szCs w:val="21"/>
    </w:rPr>
  </w:style>
  <w:style w:type="character" w:customStyle="1" w:styleId="45">
    <w:name w:val="Hyperlink.0"/>
    <w:qFormat/>
    <w:uiPriority w:val="0"/>
    <w:rPr>
      <w:rFonts w:ascii="宋体" w:hAnsi="宋体" w:eastAsia="宋体" w:cs="宋体"/>
      <w:lang w:val="en-US" w:eastAsia="zh-TW"/>
    </w:rPr>
  </w:style>
  <w:style w:type="character" w:customStyle="1" w:styleId="46">
    <w:name w:val="批注文字 字符1"/>
    <w:qFormat/>
    <w:uiPriority w:val="0"/>
    <w:rPr>
      <w:rFonts w:ascii="Times New Roman" w:hAnsi="Times New Roman" w:eastAsia="宋体" w:cs="Times New Roman"/>
      <w:szCs w:val="24"/>
    </w:rPr>
  </w:style>
  <w:style w:type="paragraph" w:customStyle="1" w:styleId="47">
    <w:name w:val="_Style 46"/>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51">
    <w:name w:val="Other|1"/>
    <w:basedOn w:val="1"/>
    <w:qFormat/>
    <w:uiPriority w:val="0"/>
    <w:pPr>
      <w:spacing w:line="300" w:lineRule="auto"/>
      <w:ind w:firstLine="400"/>
    </w:pPr>
    <w:rPr>
      <w:rFonts w:ascii="宋体" w:hAnsi="宋体" w:cs="宋体"/>
      <w:lang w:val="zh-TW" w:eastAsia="zh-TW" w:bidi="zh-TW"/>
    </w:rPr>
  </w:style>
  <w:style w:type="paragraph" w:customStyle="1" w:styleId="52">
    <w:name w:val="msolistparagraph"/>
    <w:basedOn w:val="1"/>
    <w:qFormat/>
    <w:uiPriority w:val="0"/>
    <w:pPr>
      <w:ind w:firstLine="420" w:firstLineChars="200"/>
    </w:pPr>
    <w:rPr>
      <w:szCs w:val="24"/>
    </w:rPr>
  </w:style>
  <w:style w:type="paragraph" w:styleId="53">
    <w:name w:val="List Paragraph"/>
    <w:basedOn w:val="1"/>
    <w:qFormat/>
    <w:uiPriority w:val="34"/>
    <w:pPr>
      <w:ind w:firstLine="420" w:firstLineChars="200"/>
    </w:pPr>
  </w:style>
  <w:style w:type="paragraph" w:customStyle="1" w:styleId="5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7">
    <w:name w:val="Table Paragraph"/>
    <w:basedOn w:val="1"/>
    <w:qFormat/>
    <w:uiPriority w:val="0"/>
    <w:pPr>
      <w:autoSpaceDE w:val="0"/>
      <w:autoSpaceDN w:val="0"/>
      <w:jc w:val="left"/>
    </w:pPr>
    <w:rPr>
      <w:rFonts w:ascii="宋体" w:hAnsi="宋体" w:cs="宋体"/>
      <w:kern w:val="0"/>
      <w:sz w:val="22"/>
      <w:szCs w:val="22"/>
    </w:rPr>
  </w:style>
  <w:style w:type="paragraph" w:customStyle="1" w:styleId="58">
    <w:name w:val="x-scop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中等深浅网格 21"/>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qh-PC</Company>
  <Pages>77</Pages>
  <Words>38472</Words>
  <Characters>41037</Characters>
  <Lines>327</Lines>
  <Paragraphs>92</Paragraphs>
  <TotalTime>11</TotalTime>
  <ScaleCrop>false</ScaleCrop>
  <LinksUpToDate>false</LinksUpToDate>
  <CharactersWithSpaces>43003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2023-04-14T10:36:00Z</dcterms:created>
  <dc:creator>远东招标-凌勰13728851925</dc:creator>
  <cp:lastModifiedBy>陈可欣</cp:lastModifiedBy>
  <cp:lastPrinted>2023-06-28T07:54:00Z</cp:lastPrinted>
  <dcterms:modified xsi:type="dcterms:W3CDTF">2024-07-10T09:11:47Z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D8EB54D578AF4154850D5D7AA65C2C3E</vt:lpwstr>
  </property>
  <property fmtid="{D5CDD505-2E9C-101B-9397-08002B2CF9AE}" pid="4" name="commondata">
    <vt:lpwstr>eyJoZGlkIjoiYmMxMDc3MzEwOWIzMjRmOWFjY2ZmMjJjMThlMGUwZWUifQ==</vt:lpwstr>
  </property>
</Properties>
</file>