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auto"/>
          <w:sz w:val="72"/>
          <w:szCs w:val="72"/>
          <w:highlight w:val="none"/>
        </w:rPr>
      </w:pPr>
    </w:p>
    <w:p>
      <w:pPr>
        <w:pStyle w:val="9"/>
        <w:rPr>
          <w:color w:val="auto"/>
          <w:highlight w:val="none"/>
        </w:rPr>
      </w:pPr>
    </w:p>
    <w:p>
      <w:pPr>
        <w:rPr>
          <w:color w:val="auto"/>
          <w:highlight w:val="none"/>
        </w:rPr>
      </w:pPr>
    </w:p>
    <w:p>
      <w:pPr>
        <w:jc w:val="center"/>
        <w:rPr>
          <w:rFonts w:ascii="宋体" w:hAnsi="宋体" w:cs="宋体"/>
          <w:b/>
          <w:color w:val="auto"/>
          <w:sz w:val="72"/>
          <w:szCs w:val="72"/>
          <w:highlight w:val="none"/>
        </w:rPr>
      </w:pPr>
      <w:r>
        <w:rPr>
          <w:rFonts w:hint="eastAsia" w:ascii="宋体" w:hAnsi="宋体" w:cs="宋体"/>
          <w:b/>
          <w:color w:val="auto"/>
          <w:sz w:val="72"/>
          <w:szCs w:val="72"/>
          <w:highlight w:val="none"/>
        </w:rPr>
        <w:t>简易招标文件</w:t>
      </w:r>
    </w:p>
    <w:p>
      <w:pPr>
        <w:jc w:val="center"/>
        <w:rPr>
          <w:rFonts w:ascii="宋体" w:hAnsi="宋体" w:cs="宋体"/>
          <w:color w:val="auto"/>
          <w:highlight w:val="none"/>
        </w:rPr>
      </w:pPr>
    </w:p>
    <w:p>
      <w:pPr>
        <w:rPr>
          <w:rFonts w:ascii="宋体" w:hAnsi="宋体" w:cs="宋体"/>
          <w:color w:val="auto"/>
          <w:highlight w:val="none"/>
        </w:rPr>
      </w:pPr>
    </w:p>
    <w:p>
      <w:pPr>
        <w:pStyle w:val="55"/>
        <w:ind w:firstLine="420"/>
        <w:rPr>
          <w:rFonts w:ascii="宋体" w:hAnsi="宋体" w:cs="宋体"/>
          <w:color w:val="auto"/>
          <w:highlight w:val="none"/>
        </w:rPr>
      </w:pPr>
    </w:p>
    <w:p>
      <w:pPr>
        <w:pStyle w:val="55"/>
        <w:ind w:firstLine="420"/>
        <w:rPr>
          <w:rFonts w:ascii="宋体" w:hAnsi="宋体" w:cs="宋体"/>
          <w:color w:val="auto"/>
          <w:highlight w:val="none"/>
        </w:rPr>
      </w:pPr>
    </w:p>
    <w:p>
      <w:pPr>
        <w:rPr>
          <w:rFonts w:ascii="宋体" w:hAnsi="宋体" w:cs="宋体"/>
          <w:b/>
          <w:color w:val="auto"/>
          <w:sz w:val="44"/>
          <w:highlight w:val="none"/>
        </w:rPr>
      </w:pPr>
    </w:p>
    <w:p>
      <w:pPr>
        <w:ind w:left="2326" w:leftChars="247" w:right="-319" w:rightChars="-152" w:hanging="1807" w:hangingChars="500"/>
        <w:rPr>
          <w:rFonts w:ascii="宋体" w:hAnsi="宋体" w:cs="宋体"/>
          <w:b/>
          <w:color w:val="auto"/>
          <w:sz w:val="36"/>
          <w:szCs w:val="36"/>
          <w:highlight w:val="none"/>
        </w:rPr>
      </w:pPr>
      <w:r>
        <w:rPr>
          <w:rFonts w:hint="eastAsia" w:ascii="宋体" w:hAnsi="宋体" w:cs="宋体"/>
          <w:b/>
          <w:color w:val="auto"/>
          <w:sz w:val="36"/>
          <w:szCs w:val="36"/>
          <w:highlight w:val="none"/>
        </w:rPr>
        <w:t>招标编号：QH2023</w:t>
      </w:r>
      <w:r>
        <w:rPr>
          <w:rFonts w:hint="eastAsia" w:ascii="宋体" w:hAnsi="宋体" w:cs="宋体"/>
          <w:b/>
          <w:color w:val="auto"/>
          <w:sz w:val="36"/>
          <w:szCs w:val="36"/>
          <w:highlight w:val="none"/>
          <w:lang w:val="en-US" w:eastAsia="zh-CN"/>
        </w:rPr>
        <w:t>057</w:t>
      </w:r>
    </w:p>
    <w:p>
      <w:pPr>
        <w:pStyle w:val="55"/>
        <w:ind w:firstLine="420"/>
        <w:rPr>
          <w:rFonts w:ascii="宋体" w:hAnsi="宋体" w:cs="宋体"/>
          <w:color w:val="auto"/>
          <w:highlight w:val="none"/>
        </w:rPr>
      </w:pPr>
    </w:p>
    <w:p>
      <w:pPr>
        <w:pStyle w:val="55"/>
        <w:ind w:firstLine="420"/>
        <w:rPr>
          <w:rFonts w:ascii="宋体" w:hAnsi="宋体" w:cs="宋体"/>
          <w:color w:val="auto"/>
          <w:highlight w:val="none"/>
        </w:rPr>
      </w:pPr>
    </w:p>
    <w:p>
      <w:pPr>
        <w:pStyle w:val="55"/>
        <w:ind w:firstLine="420"/>
        <w:rPr>
          <w:rFonts w:ascii="宋体" w:hAnsi="宋体" w:cs="宋体"/>
          <w:color w:val="auto"/>
          <w:highlight w:val="none"/>
        </w:rPr>
      </w:pPr>
    </w:p>
    <w:p>
      <w:pPr>
        <w:ind w:left="2326" w:leftChars="247" w:right="-319" w:rightChars="-152" w:hanging="1807" w:hangingChars="500"/>
        <w:rPr>
          <w:rFonts w:ascii="宋体" w:hAnsi="宋体" w:cs="宋体"/>
          <w:b/>
          <w:color w:val="auto"/>
          <w:sz w:val="36"/>
          <w:szCs w:val="36"/>
          <w:highlight w:val="none"/>
        </w:rPr>
      </w:pPr>
      <w:r>
        <w:rPr>
          <w:rFonts w:hint="eastAsia" w:ascii="宋体" w:hAnsi="宋体" w:cs="宋体"/>
          <w:b/>
          <w:color w:val="auto"/>
          <w:sz w:val="36"/>
          <w:szCs w:val="36"/>
          <w:highlight w:val="none"/>
        </w:rPr>
        <w:t>招标项目：2023年度“一带一路”法治地图运营维护更新项目</w:t>
      </w:r>
    </w:p>
    <w:p>
      <w:pPr>
        <w:ind w:firstLine="3264" w:firstLineChars="739"/>
        <w:rPr>
          <w:rFonts w:ascii="宋体" w:hAnsi="宋体" w:cs="宋体"/>
          <w:b/>
          <w:color w:val="auto"/>
          <w:sz w:val="44"/>
          <w:highlight w:val="none"/>
        </w:rPr>
      </w:pPr>
    </w:p>
    <w:p>
      <w:pPr>
        <w:ind w:left="1260" w:leftChars="600" w:firstLine="1855" w:firstLineChars="420"/>
        <w:rPr>
          <w:rFonts w:ascii="宋体" w:hAnsi="宋体" w:cs="宋体"/>
          <w:b/>
          <w:color w:val="auto"/>
          <w:sz w:val="44"/>
          <w:highlight w:val="none"/>
        </w:rPr>
      </w:pPr>
    </w:p>
    <w:p>
      <w:pPr>
        <w:rPr>
          <w:rFonts w:ascii="宋体" w:hAnsi="宋体" w:cs="宋体"/>
          <w:b/>
          <w:color w:val="auto"/>
          <w:sz w:val="44"/>
          <w:highlight w:val="none"/>
        </w:rPr>
      </w:pPr>
    </w:p>
    <w:p>
      <w:pPr>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深圳市前海深港现代服务业合作区管理局</w:t>
      </w: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2023年</w:t>
      </w:r>
      <w:r>
        <w:rPr>
          <w:rFonts w:hint="eastAsia" w:ascii="宋体" w:hAnsi="宋体" w:cs="宋体"/>
          <w:b/>
          <w:bCs/>
          <w:color w:val="auto"/>
          <w:sz w:val="36"/>
          <w:szCs w:val="36"/>
          <w:highlight w:val="none"/>
          <w:lang w:val="en-US" w:eastAsia="zh-CN"/>
        </w:rPr>
        <w:t>6</w:t>
      </w:r>
      <w:r>
        <w:rPr>
          <w:rFonts w:hint="eastAsia" w:ascii="宋体" w:hAnsi="宋体" w:cs="宋体"/>
          <w:b/>
          <w:bCs/>
          <w:color w:val="auto"/>
          <w:sz w:val="36"/>
          <w:szCs w:val="36"/>
          <w:highlight w:val="none"/>
        </w:rPr>
        <w:t>月</w:t>
      </w:r>
    </w:p>
    <w:p>
      <w:pPr>
        <w:autoSpaceDE w:val="0"/>
        <w:autoSpaceDN w:val="0"/>
        <w:adjustRightInd w:val="0"/>
        <w:spacing w:line="360" w:lineRule="auto"/>
        <w:jc w:val="center"/>
        <w:rPr>
          <w:rFonts w:ascii="宋体" w:hAnsi="宋体" w:cs="宋体"/>
          <w:b/>
          <w:bCs/>
          <w:color w:val="auto"/>
          <w:kern w:val="0"/>
          <w:sz w:val="36"/>
          <w:szCs w:val="36"/>
          <w:highlight w:val="none"/>
        </w:rPr>
      </w:pPr>
      <w:bookmarkStart w:id="0" w:name="_Toc12932"/>
      <w:r>
        <w:rPr>
          <w:rFonts w:ascii="宋体" w:hAnsi="宋体"/>
          <w:b/>
          <w:bCs/>
          <w:color w:val="auto"/>
          <w:sz w:val="32"/>
          <w:szCs w:val="40"/>
          <w:highlight w:val="none"/>
          <w:u w:val="single"/>
        </w:rPr>
        <w:br w:type="page"/>
      </w:r>
      <w:r>
        <w:rPr>
          <w:rFonts w:hint="eastAsia" w:ascii="宋体" w:hAnsi="宋体" w:cs="宋体"/>
          <w:b/>
          <w:bCs/>
          <w:color w:val="auto"/>
          <w:kern w:val="0"/>
          <w:sz w:val="36"/>
          <w:szCs w:val="36"/>
          <w:highlight w:val="none"/>
        </w:rPr>
        <w:t>特别警示条款</w:t>
      </w:r>
    </w:p>
    <w:p>
      <w:pPr>
        <w:pStyle w:val="9"/>
        <w:rPr>
          <w:color w:val="auto"/>
          <w:highlight w:val="none"/>
        </w:rPr>
      </w:pP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（一）在采购活动中应当回避而未回避的；</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（二）未按本条例规定签订、履行采购合同，造成严重后果的；</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（三）隐瞒真实情况，提供虚假资料的；</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（四）以非法手段排斥其他供应商参与竞争的；</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（五）与其他采购参加人串通投标的；</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（六）恶意投诉的；</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（七）向采购项目相关人行贿或者提供其他不当利益的；</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（八）阻碍、抗拒主管部门监督检查的；</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（九）其他违反本条例规定的行为。</w:t>
      </w:r>
    </w:p>
    <w:p>
      <w:pPr>
        <w:snapToGrid w:val="0"/>
        <w:spacing w:line="360" w:lineRule="auto"/>
        <w:ind w:firstLine="470" w:firstLineChars="196"/>
        <w:rPr>
          <w:rFonts w:ascii="宋体" w:hAnsi="宋体" w:cs="宋体"/>
          <w:color w:val="auto"/>
          <w:sz w:val="24"/>
          <w:highlight w:val="none"/>
        </w:rPr>
      </w:pP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二、《深圳经济特区政府采购条例实施细则》</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投标供应商不能提供项目负责人或者主要技术人员的劳动合同、社会保险等劳动关系证明材料的，视为存在前款第（三）项规定的情形。</w:t>
      </w:r>
    </w:p>
    <w:p>
      <w:pPr>
        <w:jc w:val="center"/>
        <w:outlineLvl w:val="0"/>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br w:type="page"/>
      </w:r>
      <w:bookmarkStart w:id="1" w:name="_Toc20808"/>
      <w:r>
        <w:rPr>
          <w:rFonts w:hint="eastAsia" w:ascii="宋体" w:hAnsi="宋体" w:cs="宋体"/>
          <w:b/>
          <w:bCs/>
          <w:color w:val="auto"/>
          <w:sz w:val="36"/>
          <w:szCs w:val="36"/>
          <w:highlight w:val="none"/>
          <w:lang w:val="zh-CN"/>
        </w:rPr>
        <w:t>目录</w:t>
      </w:r>
      <w:bookmarkEnd w:id="0"/>
      <w:bookmarkEnd w:id="1"/>
    </w:p>
    <w:p>
      <w:pPr>
        <w:pStyle w:val="16"/>
        <w:tabs>
          <w:tab w:val="right" w:leader="dot" w:pos="8306"/>
        </w:tabs>
        <w:spacing w:line="480" w:lineRule="auto"/>
        <w:rPr>
          <w:b/>
          <w:bCs/>
          <w:color w:val="auto"/>
          <w:sz w:val="24"/>
          <w:szCs w:val="32"/>
          <w:highlight w:val="none"/>
        </w:rPr>
      </w:pPr>
    </w:p>
    <w:p>
      <w:pPr>
        <w:pStyle w:val="16"/>
        <w:tabs>
          <w:tab w:val="right" w:leader="dot" w:pos="8306"/>
        </w:tabs>
        <w:spacing w:line="360" w:lineRule="auto"/>
        <w:rPr>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TOC \o "1-1" \h \u </w:instrText>
      </w:r>
      <w:r>
        <w:rPr>
          <w:rFonts w:hint="eastAsia" w:ascii="宋体" w:hAnsi="宋体" w:cs="宋体"/>
          <w:b/>
          <w:bCs/>
          <w:color w:val="auto"/>
          <w:sz w:val="24"/>
          <w:highlight w:val="none"/>
        </w:rPr>
        <w:fldChar w:fldCharType="separate"/>
      </w:r>
      <w:r>
        <w:rPr>
          <w:color w:val="auto"/>
          <w:highlight w:val="none"/>
        </w:rPr>
        <w:fldChar w:fldCharType="begin"/>
      </w:r>
      <w:r>
        <w:rPr>
          <w:color w:val="auto"/>
          <w:highlight w:val="none"/>
        </w:rPr>
        <w:instrText xml:space="preserve"> HYPERLINK \l "_Toc17273" </w:instrText>
      </w:r>
      <w:r>
        <w:rPr>
          <w:color w:val="auto"/>
          <w:highlight w:val="none"/>
        </w:rPr>
        <w:fldChar w:fldCharType="separate"/>
      </w:r>
      <w:r>
        <w:rPr>
          <w:rFonts w:hint="eastAsia" w:ascii="宋体" w:hAnsi="宋体" w:cs="宋体"/>
          <w:b/>
          <w:bCs/>
          <w:color w:val="auto"/>
          <w:sz w:val="24"/>
          <w:highlight w:val="none"/>
        </w:rPr>
        <w:t>第一章 招标邀请书（招标公告）</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_Toc17273 \h </w:instrText>
      </w:r>
      <w:r>
        <w:rPr>
          <w:b/>
          <w:bCs/>
          <w:color w:val="auto"/>
          <w:sz w:val="24"/>
          <w:highlight w:val="none"/>
        </w:rPr>
        <w:fldChar w:fldCharType="separate"/>
      </w:r>
      <w:r>
        <w:rPr>
          <w:b/>
          <w:bCs/>
          <w:color w:val="auto"/>
          <w:sz w:val="24"/>
          <w:highlight w:val="none"/>
        </w:rPr>
        <w:t>5</w:t>
      </w:r>
      <w:r>
        <w:rPr>
          <w:b/>
          <w:bCs/>
          <w:color w:val="auto"/>
          <w:sz w:val="24"/>
          <w:highlight w:val="none"/>
        </w:rPr>
        <w:fldChar w:fldCharType="end"/>
      </w:r>
      <w:r>
        <w:rPr>
          <w:b/>
          <w:bCs/>
          <w:color w:val="auto"/>
          <w:sz w:val="24"/>
          <w:highlight w:val="none"/>
        </w:rPr>
        <w:fldChar w:fldCharType="end"/>
      </w:r>
    </w:p>
    <w:p>
      <w:pPr>
        <w:pStyle w:val="16"/>
        <w:tabs>
          <w:tab w:val="right" w:leader="dot" w:pos="8306"/>
        </w:tabs>
        <w:spacing w:line="360" w:lineRule="auto"/>
        <w:rPr>
          <w:b/>
          <w:bCs/>
          <w:color w:val="auto"/>
          <w:sz w:val="24"/>
          <w:highlight w:val="none"/>
        </w:rPr>
      </w:pPr>
      <w:r>
        <w:rPr>
          <w:color w:val="auto"/>
          <w:highlight w:val="none"/>
        </w:rPr>
        <w:fldChar w:fldCharType="begin"/>
      </w:r>
      <w:r>
        <w:rPr>
          <w:color w:val="auto"/>
          <w:highlight w:val="none"/>
        </w:rPr>
        <w:instrText xml:space="preserve"> HYPERLINK \l "_Toc10214" </w:instrText>
      </w:r>
      <w:r>
        <w:rPr>
          <w:color w:val="auto"/>
          <w:highlight w:val="none"/>
        </w:rPr>
        <w:fldChar w:fldCharType="separate"/>
      </w:r>
      <w:r>
        <w:rPr>
          <w:rFonts w:hint="eastAsia" w:ascii="宋体" w:hAnsi="宋体" w:cs="宋体"/>
          <w:b/>
          <w:bCs/>
          <w:color w:val="auto"/>
          <w:sz w:val="24"/>
          <w:highlight w:val="none"/>
        </w:rPr>
        <w:t>第二章 投标须知</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_Toc10214 \h </w:instrText>
      </w:r>
      <w:r>
        <w:rPr>
          <w:b/>
          <w:bCs/>
          <w:color w:val="auto"/>
          <w:sz w:val="24"/>
          <w:highlight w:val="none"/>
        </w:rPr>
        <w:fldChar w:fldCharType="separate"/>
      </w:r>
      <w:r>
        <w:rPr>
          <w:b/>
          <w:bCs/>
          <w:color w:val="auto"/>
          <w:sz w:val="24"/>
          <w:highlight w:val="none"/>
        </w:rPr>
        <w:t>8</w:t>
      </w:r>
      <w:r>
        <w:rPr>
          <w:b/>
          <w:bCs/>
          <w:color w:val="auto"/>
          <w:sz w:val="24"/>
          <w:highlight w:val="none"/>
        </w:rPr>
        <w:fldChar w:fldCharType="end"/>
      </w:r>
      <w:r>
        <w:rPr>
          <w:b/>
          <w:bCs/>
          <w:color w:val="auto"/>
          <w:sz w:val="24"/>
          <w:highlight w:val="none"/>
        </w:rPr>
        <w:fldChar w:fldCharType="end"/>
      </w:r>
    </w:p>
    <w:p>
      <w:pPr>
        <w:pStyle w:val="16"/>
        <w:tabs>
          <w:tab w:val="right" w:leader="dot" w:pos="8306"/>
        </w:tabs>
        <w:spacing w:line="360" w:lineRule="auto"/>
        <w:rPr>
          <w:b/>
          <w:bCs/>
          <w:color w:val="auto"/>
          <w:sz w:val="24"/>
          <w:highlight w:val="none"/>
        </w:rPr>
      </w:pPr>
      <w:r>
        <w:rPr>
          <w:color w:val="auto"/>
          <w:highlight w:val="none"/>
        </w:rPr>
        <w:fldChar w:fldCharType="begin"/>
      </w:r>
      <w:r>
        <w:rPr>
          <w:color w:val="auto"/>
          <w:highlight w:val="none"/>
        </w:rPr>
        <w:instrText xml:space="preserve"> HYPERLINK \l "_Toc20176" </w:instrText>
      </w:r>
      <w:r>
        <w:rPr>
          <w:color w:val="auto"/>
          <w:highlight w:val="none"/>
        </w:rPr>
        <w:fldChar w:fldCharType="separate"/>
      </w:r>
      <w:r>
        <w:rPr>
          <w:rFonts w:hint="eastAsia" w:ascii="宋体" w:hAnsi="宋体" w:cs="宋体"/>
          <w:b/>
          <w:bCs/>
          <w:color w:val="auto"/>
          <w:sz w:val="24"/>
          <w:highlight w:val="none"/>
        </w:rPr>
        <w:t>第三章 评标程序</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_Toc20176 \h </w:instrText>
      </w:r>
      <w:r>
        <w:rPr>
          <w:b/>
          <w:bCs/>
          <w:color w:val="auto"/>
          <w:sz w:val="24"/>
          <w:highlight w:val="none"/>
        </w:rPr>
        <w:fldChar w:fldCharType="separate"/>
      </w:r>
      <w:r>
        <w:rPr>
          <w:b/>
          <w:bCs/>
          <w:color w:val="auto"/>
          <w:sz w:val="24"/>
          <w:highlight w:val="none"/>
        </w:rPr>
        <w:t>11</w:t>
      </w:r>
      <w:r>
        <w:rPr>
          <w:b/>
          <w:bCs/>
          <w:color w:val="auto"/>
          <w:sz w:val="24"/>
          <w:highlight w:val="none"/>
        </w:rPr>
        <w:fldChar w:fldCharType="end"/>
      </w:r>
      <w:r>
        <w:rPr>
          <w:b/>
          <w:bCs/>
          <w:color w:val="auto"/>
          <w:sz w:val="24"/>
          <w:highlight w:val="none"/>
        </w:rPr>
        <w:fldChar w:fldCharType="end"/>
      </w:r>
    </w:p>
    <w:p>
      <w:pPr>
        <w:pStyle w:val="16"/>
        <w:tabs>
          <w:tab w:val="right" w:leader="dot" w:pos="8306"/>
        </w:tabs>
        <w:spacing w:line="360" w:lineRule="auto"/>
        <w:rPr>
          <w:b/>
          <w:bCs/>
          <w:color w:val="auto"/>
          <w:sz w:val="24"/>
          <w:highlight w:val="none"/>
        </w:rPr>
      </w:pPr>
      <w:r>
        <w:rPr>
          <w:color w:val="auto"/>
          <w:highlight w:val="none"/>
        </w:rPr>
        <w:fldChar w:fldCharType="begin"/>
      </w:r>
      <w:r>
        <w:rPr>
          <w:color w:val="auto"/>
          <w:highlight w:val="none"/>
        </w:rPr>
        <w:instrText xml:space="preserve"> HYPERLINK \l "_Toc3567" </w:instrText>
      </w:r>
      <w:r>
        <w:rPr>
          <w:color w:val="auto"/>
          <w:highlight w:val="none"/>
        </w:rPr>
        <w:fldChar w:fldCharType="separate"/>
      </w:r>
      <w:r>
        <w:rPr>
          <w:rFonts w:hint="eastAsia" w:ascii="宋体" w:hAnsi="宋体" w:cs="宋体"/>
          <w:b/>
          <w:bCs/>
          <w:color w:val="auto"/>
          <w:sz w:val="24"/>
          <w:highlight w:val="none"/>
        </w:rPr>
        <w:t>第四章 合同格式及合同条款</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_Toc3567 \h </w:instrText>
      </w:r>
      <w:r>
        <w:rPr>
          <w:b/>
          <w:bCs/>
          <w:color w:val="auto"/>
          <w:sz w:val="24"/>
          <w:highlight w:val="none"/>
        </w:rPr>
        <w:fldChar w:fldCharType="separate"/>
      </w:r>
      <w:r>
        <w:rPr>
          <w:b/>
          <w:bCs/>
          <w:color w:val="auto"/>
          <w:sz w:val="24"/>
          <w:highlight w:val="none"/>
        </w:rPr>
        <w:t>13</w:t>
      </w:r>
      <w:r>
        <w:rPr>
          <w:b/>
          <w:bCs/>
          <w:color w:val="auto"/>
          <w:sz w:val="24"/>
          <w:highlight w:val="none"/>
        </w:rPr>
        <w:fldChar w:fldCharType="end"/>
      </w:r>
      <w:r>
        <w:rPr>
          <w:b/>
          <w:bCs/>
          <w:color w:val="auto"/>
          <w:sz w:val="24"/>
          <w:highlight w:val="none"/>
        </w:rPr>
        <w:fldChar w:fldCharType="end"/>
      </w:r>
    </w:p>
    <w:p>
      <w:pPr>
        <w:pStyle w:val="16"/>
        <w:tabs>
          <w:tab w:val="right" w:leader="dot" w:pos="8306"/>
        </w:tabs>
        <w:spacing w:line="360" w:lineRule="auto"/>
        <w:rPr>
          <w:b/>
          <w:bCs/>
          <w:color w:val="auto"/>
          <w:sz w:val="24"/>
          <w:highlight w:val="none"/>
        </w:rPr>
      </w:pPr>
      <w:r>
        <w:rPr>
          <w:color w:val="auto"/>
          <w:highlight w:val="none"/>
        </w:rPr>
        <w:fldChar w:fldCharType="begin"/>
      </w:r>
      <w:r>
        <w:rPr>
          <w:color w:val="auto"/>
          <w:highlight w:val="none"/>
        </w:rPr>
        <w:instrText xml:space="preserve"> HYPERLINK \l "_Toc25518" </w:instrText>
      </w:r>
      <w:r>
        <w:rPr>
          <w:color w:val="auto"/>
          <w:highlight w:val="none"/>
        </w:rPr>
        <w:fldChar w:fldCharType="separate"/>
      </w:r>
      <w:r>
        <w:rPr>
          <w:rFonts w:hint="eastAsia" w:ascii="宋体" w:hAnsi="宋体" w:cs="宋体"/>
          <w:b/>
          <w:bCs/>
          <w:color w:val="auto"/>
          <w:sz w:val="24"/>
          <w:highlight w:val="none"/>
        </w:rPr>
        <w:t>第五章 用户需求书</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_Toc25518 \h </w:instrText>
      </w:r>
      <w:r>
        <w:rPr>
          <w:b/>
          <w:bCs/>
          <w:color w:val="auto"/>
          <w:sz w:val="24"/>
          <w:highlight w:val="none"/>
        </w:rPr>
        <w:fldChar w:fldCharType="separate"/>
      </w:r>
      <w:r>
        <w:rPr>
          <w:b/>
          <w:bCs/>
          <w:color w:val="auto"/>
          <w:sz w:val="24"/>
          <w:highlight w:val="none"/>
        </w:rPr>
        <w:t>27</w:t>
      </w:r>
      <w:r>
        <w:rPr>
          <w:b/>
          <w:bCs/>
          <w:color w:val="auto"/>
          <w:sz w:val="24"/>
          <w:highlight w:val="none"/>
        </w:rPr>
        <w:fldChar w:fldCharType="end"/>
      </w:r>
      <w:r>
        <w:rPr>
          <w:b/>
          <w:bCs/>
          <w:color w:val="auto"/>
          <w:sz w:val="24"/>
          <w:highlight w:val="none"/>
        </w:rPr>
        <w:fldChar w:fldCharType="end"/>
      </w:r>
    </w:p>
    <w:p>
      <w:pPr>
        <w:pStyle w:val="16"/>
        <w:tabs>
          <w:tab w:val="right" w:leader="dot" w:pos="8306"/>
        </w:tabs>
        <w:spacing w:line="360" w:lineRule="auto"/>
        <w:rPr>
          <w:b/>
          <w:bCs/>
          <w:color w:val="auto"/>
          <w:sz w:val="24"/>
          <w:highlight w:val="none"/>
        </w:rPr>
      </w:pPr>
      <w:r>
        <w:rPr>
          <w:color w:val="auto"/>
          <w:highlight w:val="none"/>
        </w:rPr>
        <w:fldChar w:fldCharType="begin"/>
      </w:r>
      <w:r>
        <w:rPr>
          <w:color w:val="auto"/>
          <w:highlight w:val="none"/>
        </w:rPr>
        <w:instrText xml:space="preserve"> HYPERLINK \l "_Toc23822" </w:instrText>
      </w:r>
      <w:r>
        <w:rPr>
          <w:color w:val="auto"/>
          <w:highlight w:val="none"/>
        </w:rPr>
        <w:fldChar w:fldCharType="separate"/>
      </w:r>
      <w:r>
        <w:rPr>
          <w:rFonts w:hint="eastAsia" w:ascii="宋体" w:cs="宋体"/>
          <w:b/>
          <w:bCs/>
          <w:color w:val="auto"/>
          <w:sz w:val="24"/>
          <w:highlight w:val="none"/>
        </w:rPr>
        <w:t>第六章 投标文件初审及招标项目评分表</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_Toc23822 \h </w:instrText>
      </w:r>
      <w:r>
        <w:rPr>
          <w:b/>
          <w:bCs/>
          <w:color w:val="auto"/>
          <w:sz w:val="24"/>
          <w:highlight w:val="none"/>
        </w:rPr>
        <w:fldChar w:fldCharType="separate"/>
      </w:r>
      <w:r>
        <w:rPr>
          <w:b/>
          <w:bCs/>
          <w:color w:val="auto"/>
          <w:sz w:val="24"/>
          <w:highlight w:val="none"/>
        </w:rPr>
        <w:t>36</w:t>
      </w:r>
      <w:r>
        <w:rPr>
          <w:b/>
          <w:bCs/>
          <w:color w:val="auto"/>
          <w:sz w:val="24"/>
          <w:highlight w:val="none"/>
        </w:rPr>
        <w:fldChar w:fldCharType="end"/>
      </w:r>
      <w:r>
        <w:rPr>
          <w:b/>
          <w:bCs/>
          <w:color w:val="auto"/>
          <w:sz w:val="24"/>
          <w:highlight w:val="none"/>
        </w:rPr>
        <w:fldChar w:fldCharType="end"/>
      </w:r>
    </w:p>
    <w:p>
      <w:pPr>
        <w:pStyle w:val="16"/>
        <w:tabs>
          <w:tab w:val="right" w:leader="dot" w:pos="8306"/>
        </w:tabs>
        <w:spacing w:line="360" w:lineRule="auto"/>
        <w:rPr>
          <w:b/>
          <w:bCs/>
          <w:color w:val="auto"/>
          <w:sz w:val="24"/>
          <w:highlight w:val="none"/>
        </w:rPr>
      </w:pPr>
      <w:r>
        <w:rPr>
          <w:color w:val="auto"/>
          <w:highlight w:val="none"/>
        </w:rPr>
        <w:fldChar w:fldCharType="begin"/>
      </w:r>
      <w:r>
        <w:rPr>
          <w:color w:val="auto"/>
          <w:highlight w:val="none"/>
        </w:rPr>
        <w:instrText xml:space="preserve"> HYPERLINK \l "_Toc9548" </w:instrText>
      </w:r>
      <w:r>
        <w:rPr>
          <w:color w:val="auto"/>
          <w:highlight w:val="none"/>
        </w:rPr>
        <w:fldChar w:fldCharType="separate"/>
      </w:r>
      <w:r>
        <w:rPr>
          <w:rFonts w:hint="eastAsia" w:ascii="宋体" w:hAnsi="宋体" w:cs="宋体"/>
          <w:b/>
          <w:bCs/>
          <w:color w:val="auto"/>
          <w:sz w:val="24"/>
          <w:highlight w:val="none"/>
        </w:rPr>
        <w:t>第七章 附件（投标文件格式）</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_Toc9548 \h </w:instrText>
      </w:r>
      <w:r>
        <w:rPr>
          <w:b/>
          <w:bCs/>
          <w:color w:val="auto"/>
          <w:sz w:val="24"/>
          <w:highlight w:val="none"/>
        </w:rPr>
        <w:fldChar w:fldCharType="separate"/>
      </w:r>
      <w:r>
        <w:rPr>
          <w:b/>
          <w:bCs/>
          <w:color w:val="auto"/>
          <w:sz w:val="24"/>
          <w:highlight w:val="none"/>
        </w:rPr>
        <w:t>43</w:t>
      </w:r>
      <w:r>
        <w:rPr>
          <w:b/>
          <w:bCs/>
          <w:color w:val="auto"/>
          <w:sz w:val="24"/>
          <w:highlight w:val="none"/>
        </w:rPr>
        <w:fldChar w:fldCharType="end"/>
      </w:r>
      <w:r>
        <w:rPr>
          <w:b/>
          <w:bCs/>
          <w:color w:val="auto"/>
          <w:sz w:val="24"/>
          <w:highlight w:val="none"/>
        </w:rPr>
        <w:fldChar w:fldCharType="end"/>
      </w:r>
    </w:p>
    <w:p>
      <w:pPr>
        <w:pStyle w:val="16"/>
        <w:tabs>
          <w:tab w:val="right" w:leader="dot" w:pos="8306"/>
        </w:tabs>
        <w:spacing w:line="360" w:lineRule="auto"/>
        <w:rPr>
          <w:b/>
          <w:bCs/>
          <w:color w:val="auto"/>
          <w:sz w:val="24"/>
          <w:highlight w:val="none"/>
        </w:rPr>
      </w:pPr>
      <w:r>
        <w:rPr>
          <w:color w:val="auto"/>
          <w:highlight w:val="none"/>
        </w:rPr>
        <w:fldChar w:fldCharType="begin"/>
      </w:r>
      <w:r>
        <w:rPr>
          <w:color w:val="auto"/>
          <w:highlight w:val="none"/>
        </w:rPr>
        <w:instrText xml:space="preserve"> HYPERLINK \l "_Toc742" </w:instrText>
      </w:r>
      <w:r>
        <w:rPr>
          <w:color w:val="auto"/>
          <w:highlight w:val="none"/>
        </w:rPr>
        <w:fldChar w:fldCharType="separate"/>
      </w:r>
      <w:r>
        <w:rPr>
          <w:rFonts w:hint="eastAsia" w:ascii="宋体" w:hAnsi="宋体" w:cs="宋体"/>
          <w:b/>
          <w:bCs/>
          <w:color w:val="auto"/>
          <w:sz w:val="24"/>
          <w:highlight w:val="none"/>
        </w:rPr>
        <w:t>附件：相关政策</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_Toc742 \h </w:instrText>
      </w:r>
      <w:r>
        <w:rPr>
          <w:b/>
          <w:bCs/>
          <w:color w:val="auto"/>
          <w:sz w:val="24"/>
          <w:highlight w:val="none"/>
        </w:rPr>
        <w:fldChar w:fldCharType="separate"/>
      </w:r>
      <w:r>
        <w:rPr>
          <w:b/>
          <w:bCs/>
          <w:color w:val="auto"/>
          <w:sz w:val="24"/>
          <w:highlight w:val="none"/>
        </w:rPr>
        <w:t>62</w:t>
      </w:r>
      <w:r>
        <w:rPr>
          <w:b/>
          <w:bCs/>
          <w:color w:val="auto"/>
          <w:sz w:val="24"/>
          <w:highlight w:val="none"/>
        </w:rPr>
        <w:fldChar w:fldCharType="end"/>
      </w:r>
      <w:r>
        <w:rPr>
          <w:b/>
          <w:bCs/>
          <w:color w:val="auto"/>
          <w:sz w:val="24"/>
          <w:highlight w:val="none"/>
        </w:rPr>
        <w:fldChar w:fldCharType="end"/>
      </w:r>
    </w:p>
    <w:p>
      <w:pPr>
        <w:pStyle w:val="16"/>
        <w:tabs>
          <w:tab w:val="right" w:leader="dot" w:pos="8306"/>
        </w:tabs>
        <w:spacing w:line="360" w:lineRule="auto"/>
        <w:rPr>
          <w:rFonts w:ascii="宋体" w:hAnsi="宋体" w:cs="宋体"/>
          <w:b/>
          <w:color w:val="auto"/>
          <w:sz w:val="24"/>
          <w:highlight w:val="none"/>
        </w:rPr>
      </w:pPr>
      <w:r>
        <w:rPr>
          <w:rFonts w:hint="eastAsia" w:ascii="宋体" w:hAnsi="宋体" w:cs="宋体"/>
          <w:b/>
          <w:bCs/>
          <w:color w:val="auto"/>
          <w:sz w:val="24"/>
          <w:highlight w:val="none"/>
        </w:rPr>
        <w:fldChar w:fldCharType="end"/>
      </w:r>
    </w:p>
    <w:p>
      <w:pPr>
        <w:spacing w:line="360" w:lineRule="auto"/>
        <w:rPr>
          <w:color w:val="auto"/>
          <w:highlight w:val="none"/>
        </w:rPr>
      </w:pPr>
    </w:p>
    <w:p>
      <w:pPr>
        <w:numPr>
          <w:ilvl w:val="0"/>
          <w:numId w:val="1"/>
        </w:numPr>
        <w:spacing w:line="360" w:lineRule="auto"/>
        <w:jc w:val="center"/>
        <w:outlineLvl w:val="0"/>
        <w:rPr>
          <w:rFonts w:ascii="宋体" w:hAnsi="宋体" w:cs="宋体"/>
          <w:b/>
          <w:bCs/>
          <w:color w:val="auto"/>
          <w:sz w:val="24"/>
          <w:highlight w:val="none"/>
        </w:rPr>
      </w:pPr>
      <w:r>
        <w:rPr>
          <w:rFonts w:ascii="宋体"/>
          <w:b/>
          <w:bCs/>
          <w:color w:val="auto"/>
          <w:sz w:val="32"/>
          <w:szCs w:val="28"/>
          <w:highlight w:val="none"/>
        </w:rPr>
        <w:br w:type="page"/>
      </w:r>
      <w:r>
        <w:rPr>
          <w:rFonts w:hint="eastAsia" w:ascii="宋体"/>
          <w:b/>
          <w:bCs/>
          <w:color w:val="auto"/>
          <w:sz w:val="32"/>
          <w:szCs w:val="28"/>
          <w:highlight w:val="none"/>
        </w:rPr>
        <w:t xml:space="preserve"> </w:t>
      </w:r>
      <w:bookmarkStart w:id="2" w:name="_Toc17273"/>
      <w:r>
        <w:rPr>
          <w:rFonts w:hint="eastAsia" w:ascii="宋体" w:hAnsi="宋体" w:cs="宋体"/>
          <w:b/>
          <w:bCs/>
          <w:color w:val="auto"/>
          <w:sz w:val="24"/>
          <w:highlight w:val="none"/>
        </w:rPr>
        <w:t>招标邀请书（招标公告）</w:t>
      </w:r>
      <w:bookmarkEnd w:id="2"/>
    </w:p>
    <w:p>
      <w:pPr>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文件编码:0722-2023FE4164SZF-1</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中国远东国际招标有限公司（以下简称采购代理机构）受深圳市前海深港现代服务业合作区管理局委托就“</w:t>
      </w:r>
      <w:r>
        <w:rPr>
          <w:rFonts w:hint="eastAsia" w:ascii="宋体" w:hAnsi="宋体" w:cs="宋体"/>
          <w:color w:val="auto"/>
          <w:sz w:val="24"/>
          <w:highlight w:val="none"/>
          <w:u w:val="single"/>
        </w:rPr>
        <w:t>2023年度“一带一路”法治地图运营维护更新项目</w:t>
      </w:r>
      <w:r>
        <w:rPr>
          <w:rFonts w:hint="eastAsia" w:ascii="宋体" w:hAnsi="宋体" w:cs="宋体"/>
          <w:color w:val="auto"/>
          <w:sz w:val="24"/>
          <w:highlight w:val="none"/>
        </w:rPr>
        <w:t>（招标编号：</w:t>
      </w:r>
      <w:r>
        <w:rPr>
          <w:rFonts w:hint="eastAsia" w:ascii="宋体" w:hAnsi="宋体" w:cs="宋体"/>
          <w:color w:val="auto"/>
          <w:sz w:val="24"/>
          <w:highlight w:val="none"/>
          <w:u w:val="single"/>
        </w:rPr>
        <w:t>QH2023</w:t>
      </w:r>
      <w:r>
        <w:rPr>
          <w:rFonts w:hint="eastAsia" w:ascii="宋体" w:hAnsi="宋体" w:cs="宋体"/>
          <w:color w:val="auto"/>
          <w:sz w:val="24"/>
          <w:highlight w:val="none"/>
          <w:u w:val="single"/>
          <w:lang w:val="en-US" w:eastAsia="zh-CN"/>
        </w:rPr>
        <w:t>057</w:t>
      </w:r>
      <w:r>
        <w:rPr>
          <w:rFonts w:hint="eastAsia" w:ascii="宋体" w:hAnsi="宋体" w:cs="宋体"/>
          <w:color w:val="auto"/>
          <w:sz w:val="24"/>
          <w:highlight w:val="none"/>
        </w:rPr>
        <w:t>）”采用简易招标方式采购，欢迎符合投标人资格要求的专业供应商积极参加投标。</w:t>
      </w:r>
    </w:p>
    <w:tbl>
      <w:tblPr>
        <w:tblStyle w:val="22"/>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招标编号</w:t>
            </w:r>
          </w:p>
        </w:tc>
        <w:tc>
          <w:tcPr>
            <w:tcW w:w="7015"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QH2023</w:t>
            </w:r>
            <w:r>
              <w:rPr>
                <w:rFonts w:hint="eastAsia" w:ascii="宋体" w:hAnsi="宋体" w:cs="宋体"/>
                <w:color w:val="auto"/>
                <w:sz w:val="24"/>
                <w:highlight w:val="none"/>
                <w:lang w:val="en-US" w:eastAsia="zh-CN"/>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招标项目名称</w:t>
            </w:r>
          </w:p>
        </w:tc>
        <w:tc>
          <w:tcPr>
            <w:tcW w:w="7015"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2023年度“一带一路”法治地图运营维护更新项目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标的内容</w:t>
            </w:r>
          </w:p>
        </w:tc>
        <w:tc>
          <w:tcPr>
            <w:tcW w:w="7015" w:type="dxa"/>
            <w:vAlign w:val="center"/>
          </w:tcPr>
          <w:p>
            <w:pPr>
              <w:spacing w:line="360" w:lineRule="auto"/>
              <w:rPr>
                <w:color w:val="auto"/>
                <w:highlight w:val="none"/>
              </w:rPr>
            </w:pPr>
            <w:r>
              <w:rPr>
                <w:rFonts w:hint="eastAsia" w:ascii="宋体" w:hAnsi="宋体" w:cs="宋体"/>
                <w:color w:val="auto"/>
                <w:sz w:val="24"/>
                <w:highlight w:val="none"/>
              </w:rPr>
              <w:t>构建“一带一路”法治地图平台的主要方式为“一带一路”沿线国家的法律/判例查明、检索和翻译。保持平台内容的时效性、准确性、完整性，持续增加用户数量与用户粘度，对平台所承载的数据内容进行维护。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项目预算</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（最高限价）</w:t>
            </w:r>
          </w:p>
        </w:tc>
        <w:tc>
          <w:tcPr>
            <w:tcW w:w="7015"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918</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0.00（人民币玖拾壹万捌仟元整）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标书获得办法</w:t>
            </w:r>
          </w:p>
        </w:tc>
        <w:tc>
          <w:tcPr>
            <w:tcW w:w="7015" w:type="dxa"/>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本项目所属行业</w:t>
            </w:r>
          </w:p>
        </w:tc>
        <w:tc>
          <w:tcPr>
            <w:tcW w:w="7015" w:type="dxa"/>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u w:val="single"/>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报名方式</w:t>
            </w:r>
          </w:p>
        </w:tc>
        <w:tc>
          <w:tcPr>
            <w:tcW w:w="7015" w:type="dxa"/>
            <w:vAlign w:val="center"/>
          </w:tcPr>
          <w:p>
            <w:pPr>
              <w:adjustRightInd w:val="0"/>
              <w:snapToGrid w:val="0"/>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将投标文件密封并在</w:t>
            </w:r>
            <w:r>
              <w:rPr>
                <w:rFonts w:hint="eastAsia" w:ascii="宋体" w:hAnsi="宋体" w:cs="宋体"/>
                <w:b/>
                <w:bCs/>
                <w:color w:val="auto"/>
                <w:kern w:val="0"/>
                <w:sz w:val="24"/>
                <w:highlight w:val="none"/>
              </w:rPr>
              <w:t>2023年</w:t>
            </w:r>
            <w:r>
              <w:rPr>
                <w:rFonts w:hint="eastAsia" w:ascii="宋体" w:hAnsi="宋体" w:cs="宋体"/>
                <w:b/>
                <w:bCs/>
                <w:color w:val="auto"/>
                <w:kern w:val="0"/>
                <w:sz w:val="24"/>
                <w:highlight w:val="none"/>
                <w:lang w:val="en-US" w:eastAsia="zh-CN"/>
              </w:rPr>
              <w:t>6</w:t>
            </w:r>
            <w:r>
              <w:rPr>
                <w:rFonts w:hint="eastAsia" w:ascii="宋体" w:hAnsi="宋体" w:cs="宋体"/>
                <w:b/>
                <w:bCs/>
                <w:color w:val="auto"/>
                <w:kern w:val="0"/>
                <w:sz w:val="24"/>
                <w:highlight w:val="none"/>
              </w:rPr>
              <w:t>月</w:t>
            </w:r>
            <w:r>
              <w:rPr>
                <w:rFonts w:hint="eastAsia" w:ascii="宋体" w:hAnsi="宋体" w:cs="宋体"/>
                <w:b/>
                <w:bCs/>
                <w:color w:val="auto"/>
                <w:kern w:val="0"/>
                <w:sz w:val="24"/>
                <w:highlight w:val="none"/>
                <w:lang w:val="en-US" w:eastAsia="zh-CN"/>
              </w:rPr>
              <w:t>20</w:t>
            </w:r>
            <w:r>
              <w:rPr>
                <w:rFonts w:hint="eastAsia" w:ascii="宋体" w:hAnsi="宋体" w:cs="宋体"/>
                <w:b/>
                <w:bCs/>
                <w:color w:val="auto"/>
                <w:kern w:val="0"/>
                <w:sz w:val="24"/>
                <w:highlight w:val="none"/>
              </w:rPr>
              <w:t>日下午</w:t>
            </w:r>
            <w:r>
              <w:rPr>
                <w:rFonts w:hint="eastAsia" w:ascii="宋体" w:hAnsi="宋体" w:cs="宋体"/>
                <w:b/>
                <w:bCs/>
                <w:color w:val="auto"/>
                <w:kern w:val="0"/>
                <w:sz w:val="24"/>
                <w:highlight w:val="none"/>
                <w:lang w:val="en-US" w:eastAsia="zh-CN"/>
              </w:rPr>
              <w:t>14</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3</w:t>
            </w:r>
            <w:r>
              <w:rPr>
                <w:rFonts w:hint="eastAsia" w:ascii="宋体" w:hAnsi="宋体" w:cs="宋体"/>
                <w:b/>
                <w:bCs/>
                <w:color w:val="auto"/>
                <w:kern w:val="0"/>
                <w:sz w:val="24"/>
                <w:highlight w:val="none"/>
              </w:rPr>
              <w:t>0时（北京时间）前</w:t>
            </w:r>
            <w:r>
              <w:rPr>
                <w:rFonts w:hint="eastAsia" w:ascii="宋体" w:hAnsi="宋体" w:cs="宋体"/>
                <w:color w:val="auto"/>
                <w:kern w:val="0"/>
                <w:sz w:val="24"/>
                <w:highlight w:val="none"/>
              </w:rPr>
              <w:t>送达（现场递交或邮寄）至</w:t>
            </w:r>
            <w:r>
              <w:rPr>
                <w:rFonts w:hint="eastAsia" w:ascii="宋体" w:hAnsi="宋体" w:cs="宋体"/>
                <w:color w:val="auto"/>
                <w:kern w:val="0"/>
                <w:sz w:val="24"/>
                <w:highlight w:val="none"/>
                <w:u w:val="single"/>
              </w:rPr>
              <w:t xml:space="preserve">  深圳市南山区前海深港合作区桂湾五路123号前海大厦T1栋23-25层  </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联  系  人：张先生</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电      话：</w:t>
            </w:r>
            <w:r>
              <w:rPr>
                <w:rFonts w:ascii="宋体" w:hAnsi="宋体" w:cs="宋体"/>
                <w:color w:val="auto"/>
                <w:kern w:val="0"/>
                <w:sz w:val="24"/>
                <w:highlight w:val="none"/>
              </w:rPr>
              <w:t>0755-</w:t>
            </w:r>
            <w:r>
              <w:rPr>
                <w:rFonts w:hint="eastAsia" w:ascii="宋体" w:hAnsi="宋体" w:cs="宋体"/>
                <w:color w:val="auto"/>
                <w:kern w:val="0"/>
                <w:sz w:val="24"/>
                <w:highlight w:val="none"/>
              </w:rPr>
              <w:t>88105220</w:t>
            </w:r>
          </w:p>
          <w:p>
            <w:pPr>
              <w:adjustRightInd w:val="0"/>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注：如需现场谈判，投标人需在评标半小时内到达评标现场。若因疫情等特殊原因，可进行视频会议谈判。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投标人资格要求</w:t>
            </w:r>
          </w:p>
        </w:tc>
        <w:tc>
          <w:tcPr>
            <w:tcW w:w="7015" w:type="dxa"/>
            <w:vAlign w:val="center"/>
          </w:tcPr>
          <w:p>
            <w:pPr>
              <w:numPr>
                <w:ilvl w:val="0"/>
                <w:numId w:val="2"/>
              </w:numPr>
              <w:spacing w:line="360" w:lineRule="auto"/>
              <w:rPr>
                <w:rFonts w:ascii="宋体" w:hAnsi="宋体" w:cs="宋体"/>
                <w:b/>
                <w:bCs/>
                <w:color w:val="auto"/>
                <w:kern w:val="0"/>
                <w:sz w:val="24"/>
                <w:highlight w:val="none"/>
              </w:rPr>
            </w:pPr>
            <w:r>
              <w:rPr>
                <w:rFonts w:hint="eastAsia" w:ascii="宋体" w:hAnsi="宋体" w:cs="宋体"/>
                <w:color w:val="auto"/>
                <w:kern w:val="0"/>
                <w:sz w:val="24"/>
                <w:highlight w:val="none"/>
              </w:rPr>
              <w:t>在中华人民共和国境内注册的具有独立法人资格或具有独立承担民事责任能力的其它组织</w:t>
            </w:r>
            <w:r>
              <w:rPr>
                <w:rFonts w:hint="eastAsia" w:ascii="宋体" w:hAnsi="宋体" w:cs="宋体"/>
                <w:b/>
                <w:bCs/>
                <w:color w:val="auto"/>
                <w:kern w:val="0"/>
                <w:sz w:val="24"/>
                <w:highlight w:val="none"/>
              </w:rPr>
              <w:t>（提供营业执照或事业单位法人证</w:t>
            </w:r>
            <w:r>
              <w:rPr>
                <w:rFonts w:hint="eastAsia" w:ascii="宋体" w:hAnsi="宋体" w:cs="宋体"/>
                <w:b/>
                <w:bCs/>
                <w:color w:val="auto"/>
                <w:kern w:val="0"/>
                <w:sz w:val="24"/>
                <w:highlight w:val="none"/>
                <w:lang w:val="en-US" w:eastAsia="zh-CN"/>
              </w:rPr>
              <w:t>书</w:t>
            </w:r>
            <w:r>
              <w:rPr>
                <w:rFonts w:hint="eastAsia" w:ascii="宋体" w:hAnsi="宋体" w:cs="宋体"/>
                <w:b/>
                <w:bCs/>
                <w:color w:val="auto"/>
                <w:kern w:val="0"/>
                <w:sz w:val="24"/>
                <w:highlight w:val="none"/>
              </w:rPr>
              <w:t>等法人证明复印件加盖投标人公章</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原件备查</w:t>
            </w:r>
            <w:r>
              <w:rPr>
                <w:rFonts w:hint="eastAsia" w:ascii="宋体" w:hAnsi="宋体" w:cs="宋体"/>
                <w:b/>
                <w:bCs/>
                <w:color w:val="auto"/>
                <w:kern w:val="0"/>
                <w:sz w:val="24"/>
                <w:highlight w:val="none"/>
              </w:rPr>
              <w:t>）</w:t>
            </w:r>
            <w:r>
              <w:rPr>
                <w:rFonts w:hint="eastAsia" w:ascii="宋体" w:hAnsi="宋体" w:cs="宋体"/>
                <w:color w:val="auto"/>
                <w:kern w:val="0"/>
                <w:sz w:val="24"/>
                <w:highlight w:val="none"/>
              </w:rPr>
              <w:t>；</w:t>
            </w:r>
            <w:r>
              <w:rPr>
                <w:rFonts w:hint="eastAsia" w:ascii="宋体" w:hAnsi="宋体" w:cs="宋体"/>
                <w:b/>
                <w:bCs/>
                <w:color w:val="auto"/>
                <w:kern w:val="0"/>
                <w:sz w:val="24"/>
                <w:highlight w:val="none"/>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numPr>
                <w:ilvl w:val="0"/>
                <w:numId w:val="2"/>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参与政府采购项目投标的供应商近三年内</w:t>
            </w:r>
            <w:r>
              <w:rPr>
                <w:rFonts w:hint="eastAsia" w:ascii="宋体" w:hAnsi="宋体" w:cs="宋体"/>
                <w:color w:val="auto"/>
                <w:kern w:val="0"/>
                <w:sz w:val="24"/>
                <w:highlight w:val="none"/>
                <w:lang w:eastAsia="zh-CN"/>
              </w:rPr>
              <w:t>（投标人成立不足三年的可从成立之日起算）</w:t>
            </w:r>
            <w:r>
              <w:rPr>
                <w:rFonts w:hint="eastAsia" w:ascii="宋体" w:hAnsi="宋体" w:cs="宋体"/>
                <w:color w:val="auto"/>
                <w:kern w:val="0"/>
                <w:sz w:val="24"/>
                <w:highlight w:val="none"/>
              </w:rPr>
              <w:t>无行贿犯罪记录</w:t>
            </w:r>
            <w:r>
              <w:rPr>
                <w:rFonts w:hint="eastAsia" w:ascii="宋体" w:hAnsi="宋体" w:cs="宋体"/>
                <w:b/>
                <w:bCs/>
                <w:color w:val="auto"/>
                <w:kern w:val="0"/>
                <w:sz w:val="24"/>
                <w:highlight w:val="none"/>
              </w:rPr>
              <w:t>（由投标人在《政府投标及履约承诺函》中作出声明）</w:t>
            </w:r>
            <w:r>
              <w:rPr>
                <w:rFonts w:hint="eastAsia" w:ascii="宋体" w:hAnsi="宋体" w:cs="宋体"/>
                <w:color w:val="auto"/>
                <w:kern w:val="0"/>
                <w:sz w:val="24"/>
                <w:highlight w:val="none"/>
              </w:rPr>
              <w:t>；</w:t>
            </w:r>
          </w:p>
          <w:p>
            <w:pPr>
              <w:numPr>
                <w:ilvl w:val="0"/>
                <w:numId w:val="2"/>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参与本项目投标前三年内</w:t>
            </w:r>
            <w:r>
              <w:rPr>
                <w:rFonts w:hint="eastAsia" w:ascii="宋体" w:hAnsi="宋体" w:cs="宋体"/>
                <w:color w:val="auto"/>
                <w:kern w:val="0"/>
                <w:sz w:val="24"/>
                <w:highlight w:val="none"/>
                <w:lang w:eastAsia="zh-CN"/>
              </w:rPr>
              <w:t>（投标人成立不足三年的可从成立之日起算）</w:t>
            </w:r>
            <w:r>
              <w:rPr>
                <w:rFonts w:hint="eastAsia" w:ascii="宋体" w:hAnsi="宋体" w:cs="宋体"/>
                <w:color w:val="auto"/>
                <w:kern w:val="0"/>
                <w:sz w:val="24"/>
                <w:highlight w:val="none"/>
              </w:rPr>
              <w:t>，在经营活动中没有重大违法记录以及不存在被有关部门禁止参与政府采购活动且在有效期内的情况</w:t>
            </w:r>
            <w:r>
              <w:rPr>
                <w:rFonts w:hint="eastAsia" w:ascii="宋体" w:hAnsi="宋体" w:cs="宋体"/>
                <w:b/>
                <w:bCs/>
                <w:color w:val="auto"/>
                <w:kern w:val="0"/>
                <w:sz w:val="24"/>
                <w:highlight w:val="none"/>
              </w:rPr>
              <w:t>（由投标人在《政府投标及履约承诺函》中作出声明）</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【注：采购代理机构将通过“信用中国”中“信用服务”栏的“重大税收违法</w:t>
            </w:r>
            <w:r>
              <w:rPr>
                <w:rFonts w:hint="eastAsia" w:ascii="宋体" w:hAnsi="宋体" w:cs="宋体"/>
                <w:color w:val="auto"/>
                <w:kern w:val="0"/>
                <w:sz w:val="24"/>
                <w:highlight w:val="none"/>
                <w:lang w:val="en-US" w:eastAsia="zh-CN"/>
              </w:rPr>
              <w:t>失信主体</w:t>
            </w:r>
            <w:r>
              <w:rPr>
                <w:rFonts w:hint="eastAsia" w:ascii="宋体" w:hAnsi="宋体" w:cs="宋体"/>
                <w:color w:val="auto"/>
                <w:kern w:val="0"/>
                <w:sz w:val="24"/>
                <w:highlight w:val="none"/>
              </w:rPr>
              <w:t>”“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本项目</w:t>
            </w:r>
            <w:r>
              <w:rPr>
                <w:rFonts w:ascii="宋体" w:hAnsi="宋体" w:cs="宋体"/>
                <w:color w:val="auto"/>
                <w:kern w:val="0"/>
                <w:sz w:val="24"/>
                <w:highlight w:val="none"/>
              </w:rPr>
              <w:t>不</w:t>
            </w:r>
            <w:r>
              <w:rPr>
                <w:rFonts w:hint="eastAsia" w:ascii="宋体" w:hAnsi="宋体" w:cs="宋体"/>
                <w:color w:val="auto"/>
                <w:kern w:val="0"/>
                <w:sz w:val="24"/>
                <w:highlight w:val="none"/>
              </w:rPr>
              <w:t>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报价要求</w:t>
            </w:r>
          </w:p>
        </w:tc>
        <w:tc>
          <w:tcPr>
            <w:tcW w:w="7015" w:type="dxa"/>
            <w:vAlign w:val="center"/>
          </w:tcPr>
          <w:p>
            <w:pPr>
              <w:numPr>
                <w:ilvl w:val="0"/>
                <w:numId w:val="3"/>
              </w:numPr>
              <w:spacing w:line="360" w:lineRule="auto"/>
              <w:rPr>
                <w:rFonts w:ascii="宋体" w:hAnsi="宋体" w:cs="宋体"/>
                <w:color w:val="auto"/>
                <w:sz w:val="24"/>
                <w:highlight w:val="none"/>
              </w:rPr>
            </w:pPr>
            <w:r>
              <w:rPr>
                <w:rFonts w:hint="eastAsia" w:ascii="宋体" w:hAnsi="宋体" w:cs="宋体"/>
                <w:color w:val="auto"/>
                <w:sz w:val="24"/>
                <w:highlight w:val="none"/>
              </w:rPr>
              <w:t>本次投标为总价包干，投标报价总价作为中标人与采购人签定的合同金额。项目预算控制</w:t>
            </w:r>
            <w:r>
              <w:rPr>
                <w:rFonts w:hint="eastAsia" w:ascii="宋体" w:hAnsi="宋体" w:cs="宋体"/>
                <w:color w:val="auto"/>
                <w:sz w:val="24"/>
                <w:highlight w:val="none"/>
                <w:lang w:val="en-US" w:eastAsia="zh-CN"/>
              </w:rPr>
              <w:t>91.8</w:t>
            </w:r>
            <w:r>
              <w:rPr>
                <w:rFonts w:hint="eastAsia" w:ascii="宋体" w:hAnsi="宋体" w:cs="宋体"/>
                <w:color w:val="auto"/>
                <w:sz w:val="24"/>
                <w:highlight w:val="none"/>
              </w:rPr>
              <w:t>万元以内，投标人的报价不可高于预算（限价），否则投标人的投标文件视同无效。项目服务费包括调研费、中标服务费、资料费、税金、会议评审、差旅费、运营维护等所有费用，并提供合同要求的成果文件，以及其它相关服务的全部费用。</w:t>
            </w:r>
          </w:p>
          <w:p>
            <w:pPr>
              <w:numPr>
                <w:ilvl w:val="0"/>
                <w:numId w:val="3"/>
              </w:numPr>
              <w:spacing w:line="360" w:lineRule="auto"/>
              <w:rPr>
                <w:rFonts w:ascii="宋体" w:hAnsi="宋体" w:cs="宋体"/>
                <w:color w:val="auto"/>
                <w:sz w:val="24"/>
                <w:highlight w:val="none"/>
              </w:rPr>
            </w:pPr>
            <w:r>
              <w:rPr>
                <w:rFonts w:hint="eastAsia" w:ascii="宋体" w:hAnsi="宋体" w:cs="宋体"/>
                <w:color w:val="auto"/>
                <w:sz w:val="24"/>
                <w:highlight w:val="none"/>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ascii="宋体" w:hAnsi="宋体" w:cs="宋体"/>
                <w:color w:val="auto"/>
                <w:sz w:val="24"/>
                <w:highlight w:val="none"/>
              </w:rPr>
            </w:pPr>
            <w:r>
              <w:rPr>
                <w:rFonts w:hint="eastAsia" w:ascii="宋体" w:hAnsi="宋体" w:cs="宋体"/>
                <w:color w:val="auto"/>
                <w:sz w:val="24"/>
                <w:highlight w:val="none"/>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ascii="宋体" w:hAnsi="宋体" w:cs="宋体"/>
                <w:color w:val="auto"/>
                <w:sz w:val="24"/>
                <w:highlight w:val="none"/>
              </w:rPr>
            </w:pPr>
            <w:r>
              <w:rPr>
                <w:rFonts w:hint="eastAsia" w:ascii="宋体" w:hAnsi="宋体" w:cs="宋体"/>
                <w:color w:val="auto"/>
                <w:sz w:val="24"/>
                <w:highlight w:val="none"/>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ascii="宋体" w:hAnsi="宋体" w:cs="宋体"/>
                <w:color w:val="auto"/>
                <w:sz w:val="24"/>
                <w:highlight w:val="none"/>
              </w:rPr>
            </w:pPr>
            <w:r>
              <w:rPr>
                <w:rFonts w:hint="eastAsia" w:ascii="宋体" w:hAnsi="宋体" w:cs="宋体"/>
                <w:color w:val="auto"/>
                <w:sz w:val="24"/>
                <w:highlight w:val="none"/>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联系方式</w:t>
            </w:r>
          </w:p>
        </w:tc>
        <w:tc>
          <w:tcPr>
            <w:tcW w:w="7015" w:type="dxa"/>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采购人信息：</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名      称： 深圳市前海深港现代服务业合作区管理局</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联  系  人： 张先生</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电      话： </w:t>
            </w:r>
            <w:r>
              <w:rPr>
                <w:rFonts w:ascii="宋体" w:hAnsi="宋体" w:cs="宋体"/>
                <w:color w:val="auto"/>
                <w:kern w:val="0"/>
                <w:sz w:val="24"/>
                <w:highlight w:val="none"/>
              </w:rPr>
              <w:t>0755-</w:t>
            </w:r>
            <w:r>
              <w:rPr>
                <w:rFonts w:hint="eastAsia" w:ascii="宋体" w:hAnsi="宋体" w:cs="宋体"/>
                <w:color w:val="auto"/>
                <w:kern w:val="0"/>
                <w:sz w:val="24"/>
                <w:highlight w:val="none"/>
              </w:rPr>
              <w:t>88105220</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采购代理机构信息：</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名      称： 中国远东国际招标有限公司</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地      址： 深圳市福田区上步南路1001号锦峰大厦22楼</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联  系  人： 凌女士、伍先生</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电      话： 0755-82078919、82077364转110</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传      真： 0755-82077519、82078847 </w:t>
            </w:r>
          </w:p>
        </w:tc>
      </w:tr>
    </w:tbl>
    <w:p>
      <w:pPr>
        <w:adjustRightInd w:val="0"/>
        <w:snapToGrid w:val="0"/>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中国远东国际招标有限公司</w:t>
      </w:r>
    </w:p>
    <w:p>
      <w:pPr>
        <w:adjustRightInd w:val="0"/>
        <w:snapToGrid w:val="0"/>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2023年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日</w:t>
      </w:r>
    </w:p>
    <w:p>
      <w:pPr>
        <w:numPr>
          <w:ilvl w:val="0"/>
          <w:numId w:val="1"/>
        </w:num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 xml:space="preserve"> </w:t>
      </w:r>
      <w:bookmarkStart w:id="3" w:name="_Toc10214"/>
      <w:r>
        <w:rPr>
          <w:rFonts w:hint="eastAsia" w:ascii="宋体" w:hAnsi="宋体" w:cs="宋体"/>
          <w:b/>
          <w:bCs/>
          <w:color w:val="auto"/>
          <w:sz w:val="24"/>
          <w:highlight w:val="none"/>
        </w:rPr>
        <w:t>投标须知</w:t>
      </w:r>
      <w:bookmarkEnd w:id="3"/>
    </w:p>
    <w:p>
      <w:pPr>
        <w:spacing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t>1、本项目是深圳市前海深港现代服务业合作区管理局的《“一带一路”法治地图运营维护更新项目》。</w:t>
      </w:r>
    </w:p>
    <w:p>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2、本项目不属于深圳市2023-2024年集中采购目录，根据《中华人民共和国政府采购法》、</w:t>
      </w:r>
      <w:r>
        <w:rPr>
          <w:rFonts w:hint="eastAsia" w:ascii="宋体" w:hAnsi="宋体" w:cs="宋体"/>
          <w:b w:val="0"/>
          <w:bCs w:val="0"/>
          <w:color w:val="auto"/>
          <w:sz w:val="24"/>
          <w:highlight w:val="none"/>
          <w:lang w:eastAsia="zh-CN"/>
        </w:rPr>
        <w:t>《深圳经济特区政府采购条例》</w:t>
      </w:r>
      <w:r>
        <w:rPr>
          <w:rFonts w:hint="eastAsia" w:ascii="宋体" w:hAnsi="宋体" w:cs="宋体"/>
          <w:b w:val="0"/>
          <w:bCs w:val="0"/>
          <w:color w:val="auto"/>
          <w:sz w:val="24"/>
          <w:highlight w:val="none"/>
        </w:rPr>
        <w:t>的有关规定，中国远东国际招标有限公司受深圳市前海深港现代服务业合作区管理局委托组织采购，本次采购公开征集供应商，采用综合评分法的方式进行，投标截止后，因作出有效投标的供应商不足3家而致招标失败的，按以下流程执行：</w:t>
      </w:r>
    </w:p>
    <w:p>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a</w:t>
      </w:r>
      <w:r>
        <w:rPr>
          <w:rFonts w:hint="eastAsia" w:ascii="宋体" w:hAnsi="宋体" w:cs="宋体"/>
          <w:b w:val="0"/>
          <w:bCs w:val="0"/>
          <w:color w:val="auto"/>
          <w:sz w:val="24"/>
          <w:highlight w:val="none"/>
        </w:rPr>
        <w:t>.有效投标人为2家的，可在2家有效投标人中取得分最高者为中标供应商；</w:t>
      </w:r>
    </w:p>
    <w:p>
      <w:pPr>
        <w:spacing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b</w:t>
      </w:r>
      <w:r>
        <w:rPr>
          <w:rFonts w:hint="eastAsia" w:ascii="宋体" w:hAnsi="宋体" w:cs="宋体"/>
          <w:b w:val="0"/>
          <w:bCs w:val="0"/>
          <w:color w:val="auto"/>
          <w:sz w:val="24"/>
          <w:highlight w:val="none"/>
        </w:rPr>
        <w:t>.如参与投标且符合招标文件要求的供应商仅有</w:t>
      </w:r>
      <w:r>
        <w:rPr>
          <w:rFonts w:hint="eastAsia"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rPr>
        <w:t>家，评审委员会应与投标供应商进行谈判，原则上成交价应为最初报价的95%。</w:t>
      </w:r>
    </w:p>
    <w:p>
      <w:pPr>
        <w:spacing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t>3、本项目根据项目的实际情况，公开征集符合投标人资格的供应商。请各供应商根据本文件的要求，准备5套（1套正本，4套副本，1份电子文档）完备的资料进行投标。</w:t>
      </w:r>
    </w:p>
    <w:p>
      <w:pPr>
        <w:spacing w:line="360" w:lineRule="auto"/>
        <w:rPr>
          <w:rFonts w:ascii="宋体" w:hAnsi="宋体" w:cs="宋体"/>
          <w:color w:val="auto"/>
          <w:sz w:val="24"/>
          <w:highlight w:val="none"/>
        </w:rPr>
      </w:pPr>
      <w:r>
        <w:rPr>
          <w:rFonts w:hint="eastAsia" w:ascii="宋体" w:hAnsi="宋体" w:cs="宋体"/>
          <w:color w:val="auto"/>
          <w:sz w:val="24"/>
          <w:highlight w:val="none"/>
        </w:rPr>
        <w:t>4、本招标文件已对本次采购项目的商务条件和货物或服务的质量、技术要求、成果要求、交货要求、售后服务作出了明确的规定。</w:t>
      </w:r>
    </w:p>
    <w:p>
      <w:pPr>
        <w:snapToGrid w:val="0"/>
        <w:spacing w:after="78" w:afterLines="25" w:line="360" w:lineRule="auto"/>
        <w:rPr>
          <w:rFonts w:ascii="宋体" w:hAnsi="宋体" w:cs="宋体"/>
          <w:color w:val="auto"/>
          <w:sz w:val="24"/>
          <w:highlight w:val="none"/>
        </w:rPr>
      </w:pPr>
      <w:r>
        <w:rPr>
          <w:rFonts w:hint="eastAsia" w:ascii="宋体" w:hAnsi="宋体" w:cs="宋体"/>
          <w:color w:val="auto"/>
          <w:sz w:val="24"/>
          <w:highlight w:val="none"/>
        </w:rPr>
        <w:t>5、响应文件要包括如下内容：</w:t>
      </w:r>
    </w:p>
    <w:p>
      <w:pPr>
        <w:numPr>
          <w:ilvl w:val="0"/>
          <w:numId w:val="4"/>
        </w:numPr>
        <w:tabs>
          <w:tab w:val="clear" w:pos="-420"/>
        </w:tabs>
        <w:snapToGrid w:val="0"/>
        <w:spacing w:after="78" w:afterLines="25" w:line="360" w:lineRule="auto"/>
        <w:ind w:left="1050" w:hanging="420"/>
        <w:rPr>
          <w:rFonts w:ascii="宋体" w:hAnsi="宋体" w:cs="宋体"/>
          <w:color w:val="auto"/>
          <w:sz w:val="24"/>
          <w:highlight w:val="none"/>
        </w:rPr>
      </w:pPr>
      <w:r>
        <w:rPr>
          <w:rFonts w:hint="eastAsia" w:ascii="宋体" w:hAnsi="宋体" w:cs="宋体"/>
          <w:color w:val="auto"/>
          <w:sz w:val="24"/>
          <w:highlight w:val="none"/>
        </w:rPr>
        <w:t>价格部分；</w:t>
      </w:r>
    </w:p>
    <w:p>
      <w:pPr>
        <w:numPr>
          <w:ilvl w:val="0"/>
          <w:numId w:val="4"/>
        </w:numPr>
        <w:tabs>
          <w:tab w:val="clear" w:pos="-420"/>
        </w:tabs>
        <w:snapToGrid w:val="0"/>
        <w:spacing w:after="78" w:afterLines="25" w:line="360" w:lineRule="auto"/>
        <w:ind w:left="1050" w:hanging="420"/>
        <w:rPr>
          <w:rFonts w:ascii="宋体" w:hAnsi="宋体" w:cs="宋体"/>
          <w:color w:val="auto"/>
          <w:sz w:val="24"/>
          <w:highlight w:val="none"/>
        </w:rPr>
      </w:pPr>
      <w:r>
        <w:rPr>
          <w:rFonts w:hint="eastAsia" w:ascii="宋体" w:hAnsi="宋体" w:cs="宋体"/>
          <w:color w:val="auto"/>
          <w:sz w:val="24"/>
          <w:highlight w:val="none"/>
        </w:rPr>
        <w:t>商务部分；</w:t>
      </w:r>
    </w:p>
    <w:p>
      <w:pPr>
        <w:numPr>
          <w:ilvl w:val="0"/>
          <w:numId w:val="4"/>
        </w:numPr>
        <w:tabs>
          <w:tab w:val="clear" w:pos="-420"/>
        </w:tabs>
        <w:snapToGrid w:val="0"/>
        <w:spacing w:after="78" w:afterLines="25" w:line="360" w:lineRule="auto"/>
        <w:ind w:left="1050" w:hanging="420"/>
        <w:rPr>
          <w:rFonts w:ascii="宋体" w:hAnsi="宋体" w:cs="宋体"/>
          <w:color w:val="auto"/>
          <w:sz w:val="24"/>
          <w:highlight w:val="none"/>
        </w:rPr>
      </w:pPr>
      <w:r>
        <w:rPr>
          <w:rFonts w:hint="eastAsia" w:ascii="宋体" w:hAnsi="宋体" w:cs="宋体"/>
          <w:color w:val="auto"/>
          <w:sz w:val="24"/>
          <w:highlight w:val="none"/>
        </w:rPr>
        <w:t>技术部分。</w:t>
      </w:r>
    </w:p>
    <w:p>
      <w:pPr>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6、</w:t>
      </w:r>
      <w:r>
        <w:rPr>
          <w:rFonts w:hint="eastAsia" w:ascii="宋体" w:hAnsi="宋体" w:cs="宋体"/>
          <w:bCs/>
          <w:color w:val="auto"/>
          <w:sz w:val="24"/>
          <w:highlight w:val="none"/>
        </w:rPr>
        <w:t>采购人会对本次招标的项目确定一个最高限价，最终成交价格超出最高限价将会被当作投标无效处理。</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9、本次采购凡涉及知识产权问题，由项目供应商负责。</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10、采购人将组成评审委员会，评审工作由评审委员会独立负责。</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12、采用综合评分法的情况：评审委员会将分别对供应商递交的投标文件进行评审。</w:t>
      </w:r>
    </w:p>
    <w:p>
      <w:pPr>
        <w:pStyle w:val="55"/>
        <w:snapToGrid w:val="0"/>
        <w:spacing w:line="360" w:lineRule="auto"/>
        <w:ind w:firstLine="480"/>
        <w:rPr>
          <w:rFonts w:ascii="宋体" w:hAnsi="宋体" w:cs="宋体"/>
          <w:color w:val="auto"/>
          <w:kern w:val="2"/>
          <w:sz w:val="24"/>
          <w:szCs w:val="24"/>
          <w:highlight w:val="none"/>
        </w:rPr>
      </w:pPr>
      <w:r>
        <w:rPr>
          <w:rFonts w:hint="eastAsia" w:ascii="宋体" w:hAnsi="宋体" w:cs="宋体"/>
          <w:color w:val="auto"/>
          <w:kern w:val="2"/>
          <w:sz w:val="24"/>
          <w:szCs w:val="24"/>
          <w:highlight w:val="none"/>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color w:val="auto"/>
          <w:sz w:val="24"/>
          <w:szCs w:val="24"/>
          <w:highlight w:val="none"/>
        </w:rPr>
        <w:t>第一</w:t>
      </w:r>
      <w:r>
        <w:rPr>
          <w:rFonts w:hint="eastAsia" w:ascii="宋体" w:hAnsi="宋体" w:cs="宋体"/>
          <w:color w:val="auto"/>
          <w:kern w:val="2"/>
          <w:sz w:val="24"/>
          <w:szCs w:val="24"/>
          <w:highlight w:val="none"/>
        </w:rPr>
        <w:t>中标候选人。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（2）如果二个及以上供应商的综合评分相同时，取投标价格低者为第一中标候选人。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（3）如果二个及以上供应商的综合评分相同，且投标价格也相同时，取技术部分得分高者为第一中标候选人。</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13、采用谈判的情况：评审委员会将与投标供应商进行谈判。</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（1）供应商在谈判时由项目负责人与评审委员会进行谈判；</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（2）原则上成交价应为最初报价的95%。</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14、所有的评审/谈判内容都必须保密。</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15、招标代理服务收费：</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numPr>
          <w:ilvl w:val="0"/>
          <w:numId w:val="5"/>
        </w:numPr>
        <w:adjustRightInd w:val="0"/>
        <w:snapToGrid w:val="0"/>
        <w:spacing w:line="360" w:lineRule="auto"/>
        <w:ind w:right="26"/>
        <w:jc w:val="left"/>
        <w:rPr>
          <w:color w:val="auto"/>
          <w:highlight w:val="none"/>
        </w:rPr>
      </w:pPr>
      <w:r>
        <w:rPr>
          <w:rFonts w:hint="eastAsia" w:ascii="宋体" w:hAnsi="宋体" w:cs="宋体"/>
          <w:color w:val="auto"/>
          <w:sz w:val="24"/>
          <w:highlight w:val="none"/>
        </w:rPr>
        <w:t>具体计取费率标准如下表所示：</w:t>
      </w:r>
    </w:p>
    <w:p>
      <w:pPr>
        <w:pStyle w:val="9"/>
        <w:rPr>
          <w:color w:val="auto"/>
          <w:highlight w:val="none"/>
        </w:rPr>
      </w:pPr>
    </w:p>
    <w:tbl>
      <w:tblPr>
        <w:tblStyle w:val="22"/>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color w:val="auto"/>
                <w:sz w:val="24"/>
                <w:highlight w:val="none"/>
              </w:rPr>
            </w:pPr>
            <w:r>
              <w:rPr>
                <w:rFonts w:hint="eastAsia" w:ascii="宋体" w:hAnsi="宋体" w:cs="宋体"/>
                <w:b/>
                <w:bCs/>
                <w:color w:val="auto"/>
                <w:sz w:val="24"/>
                <w:highlight w:val="none"/>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color w:val="auto"/>
                <w:sz w:val="24"/>
                <w:highlight w:val="none"/>
              </w:rPr>
            </w:pPr>
            <w:r>
              <w:rPr>
                <w:rFonts w:hint="eastAsia" w:ascii="宋体" w:hAnsi="宋体" w:cs="宋体"/>
                <w:b/>
                <w:bCs/>
                <w:color w:val="auto"/>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color w:val="auto"/>
                <w:sz w:val="24"/>
                <w:highlight w:val="none"/>
              </w:rPr>
            </w:pPr>
          </w:p>
        </w:tc>
        <w:tc>
          <w:tcPr>
            <w:tcW w:w="1843" w:type="dxa"/>
            <w:shd w:val="clear" w:color="auto" w:fill="D7D7D7"/>
            <w:vAlign w:val="center"/>
          </w:tcPr>
          <w:p>
            <w:pPr>
              <w:adjustRightInd w:val="0"/>
              <w:snapToGrid w:val="0"/>
              <w:spacing w:line="360" w:lineRule="auto"/>
              <w:ind w:right="26"/>
              <w:jc w:val="center"/>
              <w:rPr>
                <w:rFonts w:ascii="宋体" w:hAnsi="宋体" w:cs="宋体"/>
                <w:b/>
                <w:bCs/>
                <w:color w:val="auto"/>
                <w:sz w:val="24"/>
                <w:highlight w:val="none"/>
              </w:rPr>
            </w:pPr>
            <w:r>
              <w:rPr>
                <w:rFonts w:hint="eastAsia" w:ascii="宋体" w:hAnsi="宋体" w:cs="宋体"/>
                <w:b/>
                <w:bCs/>
                <w:color w:val="auto"/>
                <w:sz w:val="24"/>
                <w:highlight w:val="none"/>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color w:val="auto"/>
                <w:sz w:val="24"/>
                <w:highlight w:val="none"/>
              </w:rPr>
            </w:pPr>
            <w:r>
              <w:rPr>
                <w:rFonts w:hint="eastAsia" w:ascii="宋体" w:hAnsi="宋体" w:cs="宋体"/>
                <w:b/>
                <w:bCs/>
                <w:color w:val="auto"/>
                <w:sz w:val="24"/>
                <w:highlight w:val="none"/>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color w:val="auto"/>
                <w:sz w:val="24"/>
                <w:highlight w:val="none"/>
              </w:rPr>
            </w:pPr>
            <w:r>
              <w:rPr>
                <w:rFonts w:hint="eastAsia" w:ascii="宋体" w:hAnsi="宋体" w:cs="宋体"/>
                <w:b/>
                <w:bCs/>
                <w:color w:val="auto"/>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100万元以下</w:t>
            </w:r>
          </w:p>
        </w:tc>
        <w:tc>
          <w:tcPr>
            <w:tcW w:w="1843" w:type="dxa"/>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1.5%</w:t>
            </w:r>
          </w:p>
        </w:tc>
        <w:tc>
          <w:tcPr>
            <w:tcW w:w="1755"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1.5%</w:t>
            </w:r>
          </w:p>
        </w:tc>
        <w:tc>
          <w:tcPr>
            <w:tcW w:w="1897"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100万元（含）-500万元</w:t>
            </w:r>
          </w:p>
        </w:tc>
        <w:tc>
          <w:tcPr>
            <w:tcW w:w="1843" w:type="dxa"/>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1.1%</w:t>
            </w:r>
          </w:p>
        </w:tc>
        <w:tc>
          <w:tcPr>
            <w:tcW w:w="1755"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0.8%</w:t>
            </w:r>
          </w:p>
        </w:tc>
        <w:tc>
          <w:tcPr>
            <w:tcW w:w="1897"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500万元（含）-1000万元</w:t>
            </w:r>
          </w:p>
        </w:tc>
        <w:tc>
          <w:tcPr>
            <w:tcW w:w="1843" w:type="dxa"/>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0.8%</w:t>
            </w:r>
          </w:p>
        </w:tc>
        <w:tc>
          <w:tcPr>
            <w:tcW w:w="1755"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0.45%</w:t>
            </w:r>
          </w:p>
        </w:tc>
        <w:tc>
          <w:tcPr>
            <w:tcW w:w="1897"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1000万元（含）-5000万元</w:t>
            </w:r>
          </w:p>
        </w:tc>
        <w:tc>
          <w:tcPr>
            <w:tcW w:w="1843" w:type="dxa"/>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0.5%</w:t>
            </w:r>
          </w:p>
        </w:tc>
        <w:tc>
          <w:tcPr>
            <w:tcW w:w="1755"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0.25%</w:t>
            </w:r>
          </w:p>
        </w:tc>
        <w:tc>
          <w:tcPr>
            <w:tcW w:w="1897"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5000万元（含）-1亿元</w:t>
            </w:r>
          </w:p>
        </w:tc>
        <w:tc>
          <w:tcPr>
            <w:tcW w:w="1843" w:type="dxa"/>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0.25%</w:t>
            </w:r>
          </w:p>
        </w:tc>
        <w:tc>
          <w:tcPr>
            <w:tcW w:w="1755"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0.1%</w:t>
            </w:r>
          </w:p>
        </w:tc>
        <w:tc>
          <w:tcPr>
            <w:tcW w:w="1897"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1亿元（含）-5亿元</w:t>
            </w:r>
          </w:p>
        </w:tc>
        <w:tc>
          <w:tcPr>
            <w:tcW w:w="1843" w:type="dxa"/>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0.05%</w:t>
            </w:r>
          </w:p>
        </w:tc>
        <w:tc>
          <w:tcPr>
            <w:tcW w:w="1755"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0.05%</w:t>
            </w:r>
          </w:p>
        </w:tc>
        <w:tc>
          <w:tcPr>
            <w:tcW w:w="1897"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5亿元（含）-10亿元</w:t>
            </w:r>
          </w:p>
        </w:tc>
        <w:tc>
          <w:tcPr>
            <w:tcW w:w="1843" w:type="dxa"/>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0.035%</w:t>
            </w:r>
          </w:p>
        </w:tc>
        <w:tc>
          <w:tcPr>
            <w:tcW w:w="1755"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0.035%</w:t>
            </w:r>
          </w:p>
        </w:tc>
        <w:tc>
          <w:tcPr>
            <w:tcW w:w="1897"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10亿元（含）-50亿元</w:t>
            </w:r>
          </w:p>
        </w:tc>
        <w:tc>
          <w:tcPr>
            <w:tcW w:w="1843" w:type="dxa"/>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0.008%</w:t>
            </w:r>
          </w:p>
        </w:tc>
        <w:tc>
          <w:tcPr>
            <w:tcW w:w="1755"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0.008%</w:t>
            </w:r>
          </w:p>
        </w:tc>
        <w:tc>
          <w:tcPr>
            <w:tcW w:w="1897"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50亿元（含）-100亿元</w:t>
            </w:r>
          </w:p>
        </w:tc>
        <w:tc>
          <w:tcPr>
            <w:tcW w:w="1843" w:type="dxa"/>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0.006%</w:t>
            </w:r>
          </w:p>
        </w:tc>
        <w:tc>
          <w:tcPr>
            <w:tcW w:w="1755"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0.006%</w:t>
            </w:r>
          </w:p>
        </w:tc>
        <w:tc>
          <w:tcPr>
            <w:tcW w:w="1897"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100亿元（含）以上</w:t>
            </w:r>
          </w:p>
        </w:tc>
        <w:tc>
          <w:tcPr>
            <w:tcW w:w="1843" w:type="dxa"/>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0.004%</w:t>
            </w:r>
          </w:p>
        </w:tc>
        <w:tc>
          <w:tcPr>
            <w:tcW w:w="1755"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0.004%</w:t>
            </w:r>
          </w:p>
        </w:tc>
        <w:tc>
          <w:tcPr>
            <w:tcW w:w="1897" w:type="dxa"/>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0.004%</w:t>
            </w:r>
          </w:p>
        </w:tc>
      </w:tr>
    </w:tbl>
    <w:p>
      <w:pPr>
        <w:spacing w:line="360" w:lineRule="auto"/>
        <w:rPr>
          <w:rFonts w:ascii="宋体" w:hAnsi="宋体" w:cs="宋体"/>
          <w:color w:val="auto"/>
          <w:sz w:val="24"/>
          <w:highlight w:val="none"/>
        </w:rPr>
      </w:pPr>
      <w:r>
        <w:rPr>
          <w:rFonts w:hint="eastAsia" w:ascii="宋体" w:hAnsi="宋体" w:cs="宋体"/>
          <w:color w:val="auto"/>
          <w:sz w:val="24"/>
          <w:highlight w:val="none"/>
        </w:rPr>
        <w:t>招标代理服务费缴纳至：</w:t>
      </w:r>
    </w:p>
    <w:p>
      <w:pPr>
        <w:spacing w:line="360" w:lineRule="auto"/>
        <w:rPr>
          <w:rFonts w:ascii="宋体" w:hAnsi="宋体" w:cs="宋体"/>
          <w:color w:val="auto"/>
          <w:sz w:val="24"/>
          <w:highlight w:val="none"/>
        </w:rPr>
      </w:pPr>
      <w:r>
        <w:rPr>
          <w:rFonts w:hint="eastAsia" w:ascii="宋体" w:hAnsi="宋体" w:cs="宋体"/>
          <w:color w:val="auto"/>
          <w:sz w:val="24"/>
          <w:highlight w:val="none"/>
        </w:rPr>
        <w:t>开户名称：中国远东国际招标有限公司深圳分公司</w:t>
      </w:r>
    </w:p>
    <w:p>
      <w:pPr>
        <w:spacing w:line="360" w:lineRule="auto"/>
        <w:rPr>
          <w:rFonts w:ascii="宋体" w:hAnsi="宋体" w:cs="宋体"/>
          <w:color w:val="auto"/>
          <w:sz w:val="24"/>
          <w:highlight w:val="none"/>
        </w:rPr>
      </w:pPr>
      <w:r>
        <w:rPr>
          <w:rFonts w:hint="eastAsia" w:ascii="宋体" w:hAnsi="宋体" w:cs="宋体"/>
          <w:color w:val="auto"/>
          <w:sz w:val="24"/>
          <w:highlight w:val="none"/>
        </w:rPr>
        <w:t>银行</w:t>
      </w:r>
      <w:r>
        <w:rPr>
          <w:rFonts w:hint="eastAsia" w:ascii="宋体" w:hAnsi="宋体" w:cs="宋体"/>
          <w:color w:val="auto"/>
          <w:sz w:val="24"/>
          <w:highlight w:val="none"/>
          <w:lang w:val="en-US" w:eastAsia="zh-CN"/>
        </w:rPr>
        <w:t>账号</w:t>
      </w:r>
      <w:bookmarkStart w:id="32" w:name="_GoBack"/>
      <w:bookmarkEnd w:id="32"/>
      <w:r>
        <w:rPr>
          <w:rFonts w:hint="eastAsia" w:ascii="宋体" w:hAnsi="宋体" w:cs="宋体"/>
          <w:color w:val="auto"/>
          <w:sz w:val="24"/>
          <w:highlight w:val="none"/>
        </w:rPr>
        <w:t>：11013651025501</w:t>
      </w:r>
    </w:p>
    <w:p>
      <w:pPr>
        <w:spacing w:line="360" w:lineRule="auto"/>
        <w:rPr>
          <w:rFonts w:ascii="宋体" w:hAnsi="宋体" w:cs="宋体"/>
          <w:b/>
          <w:bCs/>
          <w:color w:val="auto"/>
          <w:sz w:val="24"/>
          <w:highlight w:val="none"/>
        </w:rPr>
        <w:sectPr>
          <w:headerReference r:id="rId3" w:type="default"/>
          <w:footerReference r:id="rId5" w:type="default"/>
          <w:headerReference r:id="rId4" w:type="even"/>
          <w:footerReference r:id="rId6" w:type="even"/>
          <w:pgSz w:w="11906" w:h="16838"/>
          <w:pgMar w:top="1440" w:right="1800" w:bottom="1440" w:left="1800" w:header="851" w:footer="992" w:gutter="0"/>
          <w:cols w:space="720" w:num="1"/>
          <w:docGrid w:type="lines" w:linePitch="312" w:charSpace="0"/>
        </w:sectPr>
      </w:pPr>
      <w:r>
        <w:rPr>
          <w:rFonts w:hint="eastAsia" w:ascii="宋体" w:hAnsi="宋体" w:cs="宋体"/>
          <w:color w:val="auto"/>
          <w:sz w:val="24"/>
          <w:highlight w:val="none"/>
        </w:rPr>
        <w:t>开户银行：平安银行深圳中电支行</w:t>
      </w:r>
    </w:p>
    <w:p>
      <w:pPr>
        <w:numPr>
          <w:ilvl w:val="0"/>
          <w:numId w:val="1"/>
        </w:num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t xml:space="preserve"> </w:t>
      </w:r>
      <w:bookmarkStart w:id="4" w:name="_Toc20176"/>
      <w:r>
        <w:rPr>
          <w:rFonts w:hint="eastAsia" w:ascii="宋体" w:hAnsi="宋体" w:cs="宋体"/>
          <w:b/>
          <w:bCs/>
          <w:color w:val="auto"/>
          <w:sz w:val="24"/>
          <w:highlight w:val="none"/>
        </w:rPr>
        <w:t>评标程序</w:t>
      </w:r>
      <w:bookmarkEnd w:id="4"/>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依法成立评审委员会。在投标截止日前由前海管理局授权招标代理机构在深圳市政府采购评审专家库中抽取专家，组建不少于3人（单数）的评审委员会，其中专家人数为1人，其他专家由采购主办部门委派。审委员会在投标截止日前一天组成。</w:t>
      </w:r>
    </w:p>
    <w:p>
      <w:pPr>
        <w:spacing w:line="360" w:lineRule="auto"/>
        <w:rPr>
          <w:rFonts w:ascii="宋体" w:hAnsi="宋体" w:cs="宋体"/>
          <w:color w:val="auto"/>
          <w:sz w:val="24"/>
          <w:highlight w:val="none"/>
        </w:rPr>
      </w:pPr>
      <w:r>
        <w:rPr>
          <w:rFonts w:hint="eastAsia" w:ascii="宋体" w:hAnsi="宋体" w:cs="宋体"/>
          <w:color w:val="auto"/>
          <w:sz w:val="24"/>
          <w:highlight w:val="none"/>
        </w:rPr>
        <w:t>二、参加会议人员：投标人代表（如需）、项目负责代表、评审委员会成员、监督部门代表</w:t>
      </w:r>
      <w:r>
        <w:rPr>
          <w:rFonts w:hint="eastAsia" w:ascii="宋体" w:hAnsi="宋体" w:cs="宋体"/>
          <w:color w:val="auto"/>
          <w:sz w:val="24"/>
          <w:highlight w:val="none"/>
          <w:lang w:eastAsia="zh-CN"/>
        </w:rPr>
        <w:t>（如需）</w:t>
      </w:r>
      <w:r>
        <w:rPr>
          <w:rFonts w:hint="eastAsia" w:ascii="宋体" w:hAnsi="宋体" w:cs="宋体"/>
          <w:color w:val="auto"/>
          <w:sz w:val="24"/>
          <w:highlight w:val="none"/>
        </w:rPr>
        <w:t>、采购代理机构代表。</w:t>
      </w:r>
    </w:p>
    <w:p>
      <w:pPr>
        <w:spacing w:line="360" w:lineRule="auto"/>
        <w:rPr>
          <w:rFonts w:ascii="宋体" w:hAnsi="宋体" w:cs="宋体"/>
          <w:color w:val="auto"/>
          <w:sz w:val="24"/>
          <w:highlight w:val="none"/>
        </w:rPr>
      </w:pPr>
      <w:r>
        <w:rPr>
          <w:rFonts w:hint="eastAsia" w:ascii="宋体" w:hAnsi="宋体" w:cs="宋体"/>
          <w:color w:val="auto"/>
          <w:sz w:val="24"/>
          <w:highlight w:val="none"/>
        </w:rPr>
        <w:t>三、会议主持人：中国远东国际招标有限公司工作人员 。</w:t>
      </w:r>
    </w:p>
    <w:p>
      <w:pPr>
        <w:spacing w:line="360" w:lineRule="auto"/>
        <w:rPr>
          <w:rFonts w:ascii="宋体" w:hAnsi="宋体" w:cs="宋体"/>
          <w:color w:val="auto"/>
          <w:sz w:val="24"/>
          <w:highlight w:val="none"/>
        </w:rPr>
      </w:pPr>
      <w:r>
        <w:rPr>
          <w:rFonts w:hint="eastAsia" w:ascii="宋体" w:hAnsi="宋体" w:cs="宋体"/>
          <w:color w:val="auto"/>
          <w:sz w:val="24"/>
          <w:highlight w:val="none"/>
        </w:rPr>
        <w:t>四、开标时间：2023年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日下午14:30时（北京时间）。</w:t>
      </w:r>
    </w:p>
    <w:p>
      <w:pPr>
        <w:spacing w:line="360" w:lineRule="auto"/>
        <w:rPr>
          <w:rFonts w:ascii="宋体" w:hAnsi="宋体" w:cs="宋体"/>
          <w:color w:val="auto"/>
          <w:sz w:val="24"/>
          <w:highlight w:val="none"/>
        </w:rPr>
      </w:pPr>
      <w:r>
        <w:rPr>
          <w:rFonts w:hint="eastAsia" w:ascii="宋体" w:hAnsi="宋体" w:cs="宋体"/>
          <w:color w:val="auto"/>
          <w:sz w:val="24"/>
          <w:highlight w:val="none"/>
        </w:rPr>
        <w:t>五、会议开始：2023年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日下午14:30时（北京时间）由会议主持人宣布定标会议开始。</w:t>
      </w:r>
    </w:p>
    <w:p>
      <w:pPr>
        <w:spacing w:line="360" w:lineRule="auto"/>
        <w:rPr>
          <w:rFonts w:ascii="宋体" w:hAnsi="宋体" w:cs="宋体"/>
          <w:color w:val="auto"/>
          <w:sz w:val="24"/>
          <w:highlight w:val="none"/>
        </w:rPr>
      </w:pPr>
      <w:r>
        <w:rPr>
          <w:rFonts w:hint="eastAsia" w:ascii="宋体" w:hAnsi="宋体" w:cs="宋体"/>
          <w:color w:val="auto"/>
          <w:sz w:val="24"/>
          <w:highlight w:val="none"/>
        </w:rPr>
        <w:t>六、项目负责代表向采购代理机构代表送交投标文件，监督部门代表确认投标文件密封完整，未密封投标文件将作为投标无效处理。</w:t>
      </w:r>
    </w:p>
    <w:p>
      <w:pPr>
        <w:spacing w:line="360" w:lineRule="auto"/>
        <w:rPr>
          <w:rFonts w:ascii="宋体" w:hAnsi="宋体" w:cs="宋体"/>
          <w:color w:val="auto"/>
          <w:sz w:val="24"/>
          <w:highlight w:val="none"/>
        </w:rPr>
      </w:pPr>
      <w:r>
        <w:rPr>
          <w:rFonts w:hint="eastAsia" w:ascii="宋体" w:hAnsi="宋体" w:cs="宋体"/>
          <w:color w:val="auto"/>
          <w:sz w:val="24"/>
          <w:highlight w:val="none"/>
        </w:rPr>
        <w:t>七、由采购代理机构代表现场拆封投标文件，并分发给评审委员会成员。</w:t>
      </w:r>
    </w:p>
    <w:p>
      <w:pPr>
        <w:spacing w:line="360" w:lineRule="auto"/>
        <w:rPr>
          <w:rFonts w:ascii="宋体" w:hAnsi="宋体" w:cs="宋体"/>
          <w:color w:val="auto"/>
          <w:sz w:val="24"/>
          <w:highlight w:val="none"/>
        </w:rPr>
      </w:pPr>
      <w:r>
        <w:rPr>
          <w:rFonts w:hint="eastAsia" w:ascii="宋体" w:hAnsi="宋体" w:cs="宋体"/>
          <w:color w:val="auto"/>
          <w:sz w:val="24"/>
          <w:highlight w:val="none"/>
        </w:rPr>
        <w:t>八、评审委员会审查供应商的投标文件，工作人员记录审查的情况。</w:t>
      </w:r>
    </w:p>
    <w:p>
      <w:pPr>
        <w:spacing w:line="360" w:lineRule="auto"/>
        <w:rPr>
          <w:rFonts w:ascii="宋体" w:hAnsi="宋体" w:cs="宋体"/>
          <w:color w:val="auto"/>
          <w:sz w:val="24"/>
          <w:highlight w:val="none"/>
        </w:rPr>
      </w:pPr>
      <w:r>
        <w:rPr>
          <w:rFonts w:hint="eastAsia" w:ascii="宋体" w:hAnsi="宋体" w:cs="宋体"/>
          <w:color w:val="auto"/>
          <w:sz w:val="24"/>
          <w:highlight w:val="none"/>
        </w:rPr>
        <w:t>九、评审委员会按以下工作程序进行：</w:t>
      </w:r>
    </w:p>
    <w:p>
      <w:pPr>
        <w:spacing w:line="360" w:lineRule="auto"/>
        <w:rPr>
          <w:rFonts w:ascii="宋体" w:hAnsi="宋体" w:cs="宋体"/>
          <w:color w:val="auto"/>
          <w:sz w:val="24"/>
          <w:highlight w:val="none"/>
        </w:rPr>
      </w:pPr>
      <w:r>
        <w:rPr>
          <w:rFonts w:hint="eastAsia" w:ascii="宋体" w:hAnsi="宋体" w:cs="宋体"/>
          <w:color w:val="auto"/>
          <w:sz w:val="24"/>
          <w:highlight w:val="none"/>
        </w:rPr>
        <w:t>1、评标委员会对各供应商的投标文件进行初审，对未能通过初审的投标文件作投标无效处理。</w:t>
      </w:r>
    </w:p>
    <w:p>
      <w:pPr>
        <w:spacing w:line="360" w:lineRule="auto"/>
        <w:rPr>
          <w:rFonts w:ascii="宋体" w:hAnsi="宋体" w:cs="宋体"/>
          <w:color w:val="auto"/>
          <w:sz w:val="24"/>
          <w:highlight w:val="none"/>
        </w:rPr>
      </w:pPr>
      <w:r>
        <w:rPr>
          <w:rFonts w:hint="eastAsia" w:ascii="宋体" w:hAnsi="宋体" w:cs="宋体"/>
          <w:color w:val="auto"/>
          <w:sz w:val="24"/>
          <w:highlight w:val="none"/>
        </w:rPr>
        <w:t>2、对通过初审的供应商的投标文件进行详细的比较和评价。如需要，进行必要的澄清/说明工作。</w:t>
      </w:r>
    </w:p>
    <w:p>
      <w:pPr>
        <w:spacing w:line="360" w:lineRule="auto"/>
        <w:rPr>
          <w:rFonts w:ascii="宋体" w:hAnsi="宋体" w:cs="宋体"/>
          <w:color w:val="auto"/>
          <w:sz w:val="24"/>
          <w:highlight w:val="none"/>
        </w:rPr>
      </w:pPr>
      <w:r>
        <w:rPr>
          <w:rFonts w:hint="eastAsia" w:ascii="宋体" w:hAnsi="宋体" w:cs="宋体"/>
          <w:color w:val="auto"/>
          <w:sz w:val="24"/>
          <w:highlight w:val="none"/>
        </w:rPr>
        <w:t>3、根据参与投标且符合招标文件要求的供应商数量情况，确定本项目的评审方法。</w:t>
      </w:r>
    </w:p>
    <w:p>
      <w:pPr>
        <w:spacing w:line="360" w:lineRule="auto"/>
        <w:rPr>
          <w:rFonts w:ascii="宋体" w:hAnsi="宋体" w:cs="宋体"/>
          <w:color w:val="auto"/>
          <w:sz w:val="24"/>
          <w:highlight w:val="none"/>
        </w:rPr>
      </w:pPr>
      <w:r>
        <w:rPr>
          <w:rFonts w:hint="eastAsia" w:ascii="宋体" w:hAnsi="宋体" w:cs="宋体"/>
          <w:color w:val="auto"/>
          <w:sz w:val="24"/>
          <w:highlight w:val="none"/>
        </w:rPr>
        <w:t>4、采用综合评分法的情况：评审委员会将分别对供应商递交的投标文件进行评审。</w:t>
      </w:r>
    </w:p>
    <w:p>
      <w:pPr>
        <w:spacing w:line="360" w:lineRule="auto"/>
        <w:rPr>
          <w:rFonts w:ascii="宋体" w:hAnsi="宋体" w:cs="宋体"/>
          <w:color w:val="auto"/>
          <w:sz w:val="24"/>
          <w:highlight w:val="none"/>
        </w:rPr>
      </w:pPr>
      <w:r>
        <w:rPr>
          <w:rFonts w:hint="eastAsia" w:ascii="宋体" w:hAnsi="宋体" w:cs="宋体"/>
          <w:color w:val="auto"/>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ascii="宋体" w:hAnsi="宋体" w:cs="宋体"/>
          <w:color w:val="auto"/>
          <w:sz w:val="24"/>
          <w:highlight w:val="none"/>
        </w:rPr>
      </w:pPr>
      <w:r>
        <w:rPr>
          <w:rFonts w:hint="eastAsia" w:ascii="宋体" w:hAnsi="宋体" w:cs="宋体"/>
          <w:color w:val="auto"/>
          <w:sz w:val="24"/>
          <w:highlight w:val="none"/>
        </w:rPr>
        <w:t>4.2如果二个及以上供应商的综合评分相同时，取投标价格低者为第一中标候选人。</w:t>
      </w:r>
    </w:p>
    <w:p>
      <w:pPr>
        <w:spacing w:line="360" w:lineRule="auto"/>
        <w:rPr>
          <w:rFonts w:ascii="宋体" w:hAnsi="宋体" w:cs="宋体"/>
          <w:color w:val="auto"/>
          <w:sz w:val="24"/>
          <w:highlight w:val="none"/>
        </w:rPr>
      </w:pPr>
      <w:r>
        <w:rPr>
          <w:rFonts w:hint="eastAsia" w:ascii="宋体" w:hAnsi="宋体" w:cs="宋体"/>
          <w:color w:val="auto"/>
          <w:sz w:val="24"/>
          <w:highlight w:val="none"/>
        </w:rPr>
        <w:t>4.3如果二个及以上供应商的综合评分相同，且投标价格也相同时，取技术部分得分高者为第一中标候选人。</w:t>
      </w:r>
    </w:p>
    <w:p>
      <w:pPr>
        <w:numPr>
          <w:ilvl w:val="0"/>
          <w:numId w:val="6"/>
        </w:numPr>
        <w:spacing w:line="360" w:lineRule="auto"/>
        <w:rPr>
          <w:rFonts w:ascii="宋体" w:hAnsi="宋体" w:cs="宋体"/>
          <w:color w:val="auto"/>
          <w:sz w:val="24"/>
          <w:highlight w:val="none"/>
        </w:rPr>
      </w:pPr>
      <w:r>
        <w:rPr>
          <w:rFonts w:hint="eastAsia" w:ascii="宋体" w:hAnsi="宋体" w:cs="宋体"/>
          <w:color w:val="auto"/>
          <w:sz w:val="24"/>
          <w:highlight w:val="none"/>
        </w:rPr>
        <w:t>采用谈判的情况：评审委员会将与投标供应商进行谈判。</w:t>
      </w:r>
    </w:p>
    <w:p>
      <w:pPr>
        <w:spacing w:line="360" w:lineRule="auto"/>
        <w:rPr>
          <w:rFonts w:ascii="宋体" w:hAnsi="宋体" w:cs="宋体"/>
          <w:color w:val="auto"/>
          <w:sz w:val="24"/>
          <w:highlight w:val="none"/>
        </w:rPr>
      </w:pPr>
      <w:r>
        <w:rPr>
          <w:rFonts w:hint="eastAsia" w:ascii="宋体" w:hAnsi="宋体" w:cs="宋体"/>
          <w:color w:val="auto"/>
          <w:sz w:val="24"/>
          <w:highlight w:val="none"/>
        </w:rPr>
        <w:t>5.1 供应商在谈判时由项目负责人与评审委员会进行谈判；</w:t>
      </w:r>
    </w:p>
    <w:p>
      <w:pPr>
        <w:spacing w:line="360" w:lineRule="auto"/>
        <w:rPr>
          <w:rFonts w:ascii="宋体" w:hAnsi="宋体" w:cs="宋体"/>
          <w:color w:val="auto"/>
          <w:sz w:val="24"/>
          <w:highlight w:val="none"/>
        </w:rPr>
      </w:pPr>
      <w:r>
        <w:rPr>
          <w:rFonts w:hint="eastAsia" w:ascii="宋体" w:hAnsi="宋体" w:cs="宋体"/>
          <w:color w:val="auto"/>
          <w:sz w:val="24"/>
          <w:highlight w:val="none"/>
        </w:rPr>
        <w:t>5.2 原则上成交价应为最初报价的95%。</w:t>
      </w:r>
    </w:p>
    <w:p>
      <w:pPr>
        <w:spacing w:line="360" w:lineRule="auto"/>
        <w:rPr>
          <w:rFonts w:ascii="宋体" w:hAnsi="宋体" w:cs="宋体"/>
          <w:color w:val="auto"/>
          <w:sz w:val="24"/>
          <w:highlight w:val="none"/>
        </w:rPr>
      </w:pPr>
      <w:r>
        <w:rPr>
          <w:rFonts w:hint="eastAsia" w:ascii="宋体" w:hAnsi="宋体" w:cs="宋体"/>
          <w:color w:val="auto"/>
          <w:sz w:val="24"/>
          <w:highlight w:val="none"/>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color w:val="auto"/>
          <w:sz w:val="24"/>
          <w:highlight w:val="none"/>
        </w:rPr>
      </w:pPr>
      <w:r>
        <w:rPr>
          <w:rFonts w:hint="eastAsia" w:ascii="宋体" w:hAnsi="宋体" w:cs="宋体"/>
          <w:color w:val="auto"/>
          <w:sz w:val="24"/>
          <w:highlight w:val="none"/>
        </w:rPr>
        <w:t>6、评审委员会按照本项目招标文件中规定的评标方法确定中标供应商。</w:t>
      </w:r>
    </w:p>
    <w:p>
      <w:pPr>
        <w:spacing w:line="360" w:lineRule="auto"/>
        <w:rPr>
          <w:rFonts w:ascii="宋体" w:hAnsi="宋体" w:cs="宋体"/>
          <w:color w:val="auto"/>
          <w:sz w:val="24"/>
          <w:highlight w:val="none"/>
        </w:rPr>
      </w:pPr>
      <w:r>
        <w:rPr>
          <w:rFonts w:hint="eastAsia" w:ascii="宋体" w:hAnsi="宋体" w:cs="宋体"/>
          <w:color w:val="auto"/>
          <w:sz w:val="24"/>
          <w:highlight w:val="none"/>
        </w:rPr>
        <w:t>十、根据本次采购的结果，10个工作日内与中标供应商签订合同。</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pStyle w:val="9"/>
        <w:rPr>
          <w:rFonts w:ascii="宋体" w:hAnsi="宋体" w:cs="宋体"/>
          <w:color w:val="auto"/>
          <w:highlight w:val="none"/>
        </w:rPr>
      </w:pPr>
      <w:r>
        <w:rPr>
          <w:rFonts w:hint="eastAsia"/>
          <w:color w:val="auto"/>
          <w:highlight w:val="none"/>
        </w:rPr>
        <w:br w:type="page"/>
      </w:r>
    </w:p>
    <w:p>
      <w:pPr>
        <w:numPr>
          <w:ilvl w:val="0"/>
          <w:numId w:val="1"/>
        </w:num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t xml:space="preserve"> </w:t>
      </w:r>
      <w:bookmarkStart w:id="5" w:name="_Toc3567"/>
      <w:r>
        <w:rPr>
          <w:rFonts w:hint="eastAsia" w:ascii="宋体" w:hAnsi="宋体" w:cs="宋体"/>
          <w:b/>
          <w:bCs/>
          <w:color w:val="auto"/>
          <w:sz w:val="24"/>
          <w:highlight w:val="none"/>
        </w:rPr>
        <w:t>合同格式及合同条款</w:t>
      </w:r>
      <w:bookmarkEnd w:id="5"/>
    </w:p>
    <w:p>
      <w:pPr>
        <w:spacing w:line="360" w:lineRule="auto"/>
        <w:ind w:firstLine="470" w:firstLineChars="196"/>
        <w:jc w:val="center"/>
        <w:rPr>
          <w:rFonts w:ascii="宋体" w:hAnsi="宋体" w:cs="宋体"/>
          <w:color w:val="auto"/>
          <w:sz w:val="24"/>
          <w:highlight w:val="none"/>
        </w:rPr>
      </w:pPr>
      <w:bookmarkStart w:id="6" w:name="_Toc101074886"/>
      <w:bookmarkStart w:id="7" w:name="_Toc73518163"/>
      <w:bookmarkStart w:id="8" w:name="_Toc73517685"/>
      <w:bookmarkStart w:id="9" w:name="_Toc100052414"/>
      <w:bookmarkStart w:id="10" w:name="_Toc73521592"/>
      <w:bookmarkStart w:id="11" w:name="_Toc84303603"/>
      <w:bookmarkStart w:id="12" w:name="_Toc73521680"/>
    </w:p>
    <w:bookmarkEnd w:id="6"/>
    <w:bookmarkEnd w:id="7"/>
    <w:bookmarkEnd w:id="8"/>
    <w:bookmarkEnd w:id="9"/>
    <w:bookmarkEnd w:id="10"/>
    <w:bookmarkEnd w:id="11"/>
    <w:bookmarkEnd w:id="12"/>
    <w:p>
      <w:pPr>
        <w:pStyle w:val="55"/>
        <w:spacing w:line="360" w:lineRule="auto"/>
        <w:ind w:left="1470" w:right="1470" w:firstLine="482"/>
        <w:jc w:val="center"/>
        <w:rPr>
          <w:rFonts w:ascii="宋体" w:hAnsi="宋体" w:cs="宋体"/>
          <w:b/>
          <w:color w:val="auto"/>
          <w:sz w:val="24"/>
          <w:szCs w:val="24"/>
          <w:highlight w:val="none"/>
        </w:rPr>
      </w:pPr>
      <w:r>
        <w:rPr>
          <w:rFonts w:hint="eastAsia" w:ascii="宋体" w:hAnsi="宋体" w:cs="宋体"/>
          <w:b/>
          <w:color w:val="auto"/>
          <w:sz w:val="24"/>
          <w:szCs w:val="24"/>
          <w:highlight w:val="none"/>
        </w:rPr>
        <w:t xml:space="preserve">                        合同编号（甲方）：            </w:t>
      </w:r>
    </w:p>
    <w:p>
      <w:pPr>
        <w:pStyle w:val="55"/>
        <w:spacing w:line="360" w:lineRule="auto"/>
        <w:ind w:left="1470" w:right="1470" w:firstLine="482"/>
        <w:jc w:val="center"/>
        <w:rPr>
          <w:rFonts w:ascii="宋体" w:hAnsi="宋体" w:cs="宋体"/>
          <w:b/>
          <w:color w:val="auto"/>
          <w:sz w:val="24"/>
          <w:szCs w:val="24"/>
          <w:highlight w:val="none"/>
        </w:rPr>
      </w:pPr>
      <w:r>
        <w:rPr>
          <w:rFonts w:hint="eastAsia" w:ascii="宋体" w:hAnsi="宋体" w:cs="宋体"/>
          <w:b/>
          <w:color w:val="auto"/>
          <w:sz w:val="24"/>
          <w:szCs w:val="24"/>
          <w:highlight w:val="none"/>
        </w:rPr>
        <w:t xml:space="preserve">                        合同编号（乙方）：            </w:t>
      </w:r>
    </w:p>
    <w:p>
      <w:pPr>
        <w:pStyle w:val="55"/>
        <w:spacing w:line="360" w:lineRule="auto"/>
        <w:ind w:left="1470" w:right="1470" w:firstLine="482"/>
        <w:jc w:val="center"/>
        <w:rPr>
          <w:rFonts w:ascii="宋体" w:hAnsi="宋体" w:cs="宋体"/>
          <w:b/>
          <w:color w:val="auto"/>
          <w:sz w:val="24"/>
          <w:szCs w:val="24"/>
          <w:highlight w:val="none"/>
        </w:rPr>
      </w:pPr>
    </w:p>
    <w:p>
      <w:pPr>
        <w:pStyle w:val="55"/>
        <w:spacing w:line="360" w:lineRule="auto"/>
        <w:ind w:left="1470" w:right="1470" w:firstLine="482"/>
        <w:rPr>
          <w:rFonts w:ascii="宋体" w:hAnsi="宋体" w:cs="宋体"/>
          <w:b/>
          <w:color w:val="auto"/>
          <w:sz w:val="24"/>
          <w:szCs w:val="24"/>
          <w:highlight w:val="none"/>
        </w:rPr>
      </w:pPr>
      <w:r>
        <w:rPr>
          <w:rFonts w:hint="eastAsia" w:ascii="宋体" w:hAnsi="宋体" w:cs="宋体"/>
          <w:b/>
          <w:color w:val="auto"/>
          <w:sz w:val="24"/>
          <w:szCs w:val="24"/>
          <w:highlight w:val="none"/>
        </w:rPr>
        <w:t xml:space="preserve"> </w:t>
      </w:r>
    </w:p>
    <w:p>
      <w:pPr>
        <w:pStyle w:val="55"/>
        <w:spacing w:line="360" w:lineRule="auto"/>
        <w:ind w:left="1470" w:right="1470" w:firstLine="482"/>
        <w:rPr>
          <w:rFonts w:ascii="宋体" w:hAnsi="宋体" w:cs="宋体"/>
          <w:b/>
          <w:color w:val="auto"/>
          <w:sz w:val="24"/>
          <w:szCs w:val="24"/>
          <w:highlight w:val="none"/>
        </w:rPr>
      </w:pPr>
      <w:r>
        <w:rPr>
          <w:rFonts w:hint="eastAsia" w:ascii="宋体" w:hAnsi="宋体" w:cs="宋体"/>
          <w:b/>
          <w:color w:val="auto"/>
          <w:sz w:val="24"/>
          <w:szCs w:val="24"/>
          <w:highlight w:val="none"/>
        </w:rPr>
        <w:t xml:space="preserve"> </w:t>
      </w:r>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2023年度“一带一路”法治地图运营维护更新项目</w:t>
      </w:r>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委托合同</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pStyle w:val="55"/>
        <w:spacing w:line="360" w:lineRule="auto"/>
        <w:ind w:left="1470" w:right="1470"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pStyle w:val="55"/>
        <w:spacing w:line="360" w:lineRule="auto"/>
        <w:ind w:left="1470" w:right="1470"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  </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2023年度“一带一路”法治地图运营维护更新项目 </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委托方（甲方）：</w:t>
      </w:r>
      <w:r>
        <w:rPr>
          <w:rFonts w:hint="eastAsia" w:ascii="宋体" w:hAnsi="宋体" w:cs="宋体"/>
          <w:color w:val="auto"/>
          <w:sz w:val="24"/>
          <w:highlight w:val="none"/>
          <w:u w:val="single"/>
        </w:rPr>
        <w:t xml:space="preserve">  深圳市前海深港现代服务业合作区管理局  </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承接方（乙方）：</w:t>
      </w:r>
      <w:r>
        <w:rPr>
          <w:rFonts w:hint="eastAsia" w:ascii="宋体" w:hAnsi="宋体" w:cs="宋体"/>
          <w:color w:val="auto"/>
          <w:sz w:val="24"/>
          <w:highlight w:val="none"/>
          <w:u w:val="single"/>
        </w:rPr>
        <w:t xml:space="preserve">                                        </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 </w:t>
      </w: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二〇二三年  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本合同共    页（不含封面）</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 xml:space="preserve">甲方： </w:t>
      </w:r>
      <w:r>
        <w:rPr>
          <w:rFonts w:hint="eastAsia" w:ascii="宋体" w:hAnsi="宋体" w:cs="宋体"/>
          <w:color w:val="auto"/>
          <w:sz w:val="24"/>
          <w:highlight w:val="none"/>
          <w:u w:val="single"/>
        </w:rPr>
        <w:t>深圳市前海深港现代服务业合作区管理局</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地址： </w:t>
      </w:r>
      <w:r>
        <w:rPr>
          <w:rFonts w:hint="eastAsia" w:ascii="宋体" w:hAnsi="宋体" w:cs="宋体"/>
          <w:color w:val="auto"/>
          <w:sz w:val="24"/>
          <w:highlight w:val="none"/>
          <w:u w:val="single"/>
        </w:rPr>
        <w:t>深圳市南山区前海深港合作区桂湾五路123号前海大厦T1栋23-25层</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xml:space="preserve">法定代表人： </w:t>
      </w:r>
    </w:p>
    <w:p>
      <w:pPr>
        <w:spacing w:line="360" w:lineRule="auto"/>
        <w:rPr>
          <w:rFonts w:ascii="宋体" w:hAnsi="宋体" w:cs="宋体"/>
          <w:b/>
          <w:bCs/>
          <w:color w:val="auto"/>
          <w:sz w:val="24"/>
          <w:highlight w:val="none"/>
        </w:rPr>
      </w:pP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乙方：</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地址：</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法定代表人：</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以下甲方和乙方合称“双方”。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根据《中华人民共和国民法典》等法律、法规的相关规定和编号为【QH2023</w:t>
      </w:r>
      <w:r>
        <w:rPr>
          <w:rFonts w:hint="eastAsia" w:ascii="宋体" w:hAnsi="宋体" w:cs="宋体"/>
          <w:color w:val="auto"/>
          <w:sz w:val="24"/>
          <w:highlight w:val="none"/>
          <w:lang w:val="en-US" w:eastAsia="zh-CN"/>
        </w:rPr>
        <w:t>057</w:t>
      </w:r>
      <w:r>
        <w:rPr>
          <w:rFonts w:hint="eastAsia" w:ascii="宋体" w:hAnsi="宋体" w:cs="宋体"/>
          <w:color w:val="auto"/>
          <w:sz w:val="24"/>
          <w:highlight w:val="none"/>
        </w:rPr>
        <w:t>】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color w:val="auto"/>
          <w:sz w:val="24"/>
          <w:highlight w:val="none"/>
          <w:u w:val="single"/>
        </w:rPr>
        <w:t>乙方</w:t>
      </w:r>
      <w:r>
        <w:rPr>
          <w:rFonts w:hint="eastAsia" w:ascii="宋体" w:hAnsi="宋体" w:cs="宋体"/>
          <w:color w:val="auto"/>
          <w:sz w:val="24"/>
          <w:highlight w:val="none"/>
        </w:rPr>
        <w:t>承担</w:t>
      </w:r>
      <w:r>
        <w:rPr>
          <w:rFonts w:hint="eastAsia" w:ascii="宋体" w:hAnsi="宋体" w:cs="宋体"/>
          <w:b/>
          <w:bCs/>
          <w:color w:val="auto"/>
          <w:kern w:val="0"/>
          <w:sz w:val="24"/>
          <w:highlight w:val="none"/>
          <w:u w:val="single"/>
        </w:rPr>
        <w:t xml:space="preserve"> 2023年度</w:t>
      </w:r>
      <w:r>
        <w:rPr>
          <w:rFonts w:hint="eastAsia" w:ascii="宋体" w:hAnsi="宋体" w:cs="宋体"/>
          <w:color w:val="auto"/>
          <w:kern w:val="0"/>
          <w:sz w:val="24"/>
          <w:highlight w:val="none"/>
          <w:u w:val="single"/>
        </w:rPr>
        <w:t>《</w:t>
      </w:r>
      <w:r>
        <w:rPr>
          <w:rFonts w:hint="eastAsia" w:ascii="宋体" w:hAnsi="宋体" w:cs="宋体"/>
          <w:color w:val="auto"/>
          <w:sz w:val="24"/>
          <w:highlight w:val="none"/>
          <w:u w:val="single"/>
        </w:rPr>
        <w:t>“一带一路”法治地图运营维护更新项目</w:t>
      </w:r>
      <w:r>
        <w:rPr>
          <w:rFonts w:hint="eastAsia" w:ascii="宋体" w:hAnsi="宋体" w:cs="宋体"/>
          <w:color w:val="auto"/>
          <w:kern w:val="0"/>
          <w:sz w:val="24"/>
          <w:highlight w:val="none"/>
          <w:u w:val="single"/>
        </w:rPr>
        <w:t>》</w:t>
      </w:r>
      <w:r>
        <w:rPr>
          <w:rFonts w:hint="eastAsia" w:ascii="宋体" w:hAnsi="宋体" w:cs="宋体"/>
          <w:b/>
          <w:bCs/>
          <w:color w:val="auto"/>
          <w:kern w:val="0"/>
          <w:sz w:val="24"/>
          <w:highlight w:val="none"/>
          <w:u w:val="single"/>
        </w:rPr>
        <w:t>（以下简称本项目）</w:t>
      </w:r>
      <w:r>
        <w:rPr>
          <w:rFonts w:hint="eastAsia" w:ascii="宋体" w:hAnsi="宋体" w:cs="宋体"/>
          <w:b/>
          <w:bCs/>
          <w:color w:val="auto"/>
          <w:kern w:val="0"/>
          <w:sz w:val="24"/>
          <w:highlight w:val="none"/>
          <w:u w:val="single"/>
          <w:lang w:val="en-US" w:eastAsia="zh-CN"/>
        </w:rPr>
        <w:t>事宜</w:t>
      </w:r>
      <w:r>
        <w:rPr>
          <w:rFonts w:hint="eastAsia" w:ascii="宋体" w:hAnsi="宋体" w:cs="宋体"/>
          <w:color w:val="auto"/>
          <w:sz w:val="24"/>
          <w:highlight w:val="none"/>
        </w:rPr>
        <w:t>，达成以下合同条款：</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第一条 项目研究内容</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1.工作内容</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对“一带一路”法治地图微观平台已查明、检索、翻译的沿线等69个国家和地区的法律/判例、法规和政策及相关法律知识进行维护更新，为政府、企业、学术机构和个人提供有关“一带一路”贸易和投资领域的专业、及时的法律知识服务。</w:t>
      </w:r>
    </w:p>
    <w:p>
      <w:pPr>
        <w:spacing w:line="500" w:lineRule="exact"/>
        <w:ind w:left="479" w:leftChars="228"/>
        <w:rPr>
          <w:rFonts w:hint="eastAsia" w:ascii="宋体" w:hAnsi="宋体" w:eastAsia="宋体" w:cs="宋体"/>
          <w:color w:val="auto"/>
          <w:sz w:val="24"/>
          <w:highlight w:val="none"/>
          <w:lang w:eastAsia="zh-CN"/>
        </w:rPr>
      </w:pPr>
      <w:r>
        <w:rPr>
          <w:rFonts w:hint="eastAsia" w:ascii="宋体" w:hAnsi="宋体" w:cs="宋体"/>
          <w:color w:val="auto"/>
          <w:sz w:val="24"/>
          <w:highlight w:val="none"/>
        </w:rPr>
        <w:t>1.2.运营维护目标</w:t>
      </w:r>
    </w:p>
    <w:p>
      <w:pPr>
        <w:spacing w:line="500" w:lineRule="exact"/>
        <w:ind w:left="479" w:leftChars="228"/>
        <w:rPr>
          <w:rFonts w:ascii="宋体" w:hAnsi="宋体" w:cs="宋体"/>
          <w:color w:val="auto"/>
          <w:sz w:val="24"/>
          <w:highlight w:val="none"/>
        </w:rPr>
      </w:pPr>
      <w:r>
        <w:rPr>
          <w:rFonts w:hint="eastAsia" w:ascii="宋体" w:hAnsi="宋体" w:cs="宋体"/>
          <w:color w:val="auto"/>
          <w:sz w:val="24"/>
          <w:highlight w:val="none"/>
        </w:rPr>
        <w:t>1.2.1.内容运营维护目标</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跟随国家“一带一路”共商、共享、共建步伐，更新和完善法治地图平台的内容资源，在上一年度运营维护工作的基础上，参考商务部及对外投资主管部门公布的近年来我国企业对外投资数据，以及国际经济发展和商贸投资的新形势开展2023年度项目运营维护工作建设。</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参考2020年平台内容维护工作中，负责单位核查的内容数据更新率17%和变动国家数达85%的核查结果；2022年负责单位核查的内容数据更新率约为20%，变动国家数与2020年基本持平。2023年预估数据更新率将在10%-20%区间，涉及工作总量将达到100-200万外文字，预计覆盖50个国家和地区。</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参考沿线国家和地区法律/判例、法规和政策按照其适用范围的大小和法律位阶的高低对已修订、更新的法律资源进行详略区分，对主要国家和重点投资领域涉及的内容资源完成翻译校审和更新上线工作。同时推进宣传推广工作，增强项目产品的知名度和受众广度。</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（4）2023年度运营维护工作完成后，平台需实现内容资源整体基本完成年度时效性核验和对重点法律法规完成内容更新工作。</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1.2.2.技术运营维护目标</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2023年度技术运营维护工作将包括以下内容：</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（1）保证网站运行正常，出现问题紧急修复；</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（2）保证服务器和应用系统访问正常和运行安全，定期进行检查和问题修复，应用程序日志审计；</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（3）保证用户数据安全，定期全量备份，数据容灾；</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（4）根据安全要求完成程序代码等方面的漏洞修复。</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以上技术运营维护目标将通过以下方式实现：</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（1）线上远程服务；</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（2）提供网站技术支撑保障服务，提供的服务包括但不限于网站功能和栏目优化、网站功能例行检查等工作；</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（3）服务期内收到故障通知后30分钟故障响应，2小时提出解决方案和故障排除服务，发生紧急故障在1小时内解决；</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（4）提供每周7天*24小时的技术支持服务。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2.工作标准</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lang w:bidi="ar"/>
        </w:rPr>
        <w:t>2.1.总量</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lang w:bidi="ar"/>
        </w:rPr>
        <w:t>“一带一路”法治地图平台已搭载法律/判例、法规和政策内容体量约890万字，本合同服务期内修订、更新的内容体量应当不少于</w:t>
      </w:r>
      <w:r>
        <w:rPr>
          <w:rFonts w:hint="eastAsia" w:ascii="宋体" w:hAnsi="宋体" w:cs="宋体"/>
          <w:color w:val="auto"/>
          <w:kern w:val="0"/>
          <w:sz w:val="24"/>
          <w:highlight w:val="none"/>
          <w:lang w:val="en-US" w:eastAsia="zh-CN" w:bidi="ar"/>
        </w:rPr>
        <w:t>55</w:t>
      </w:r>
      <w:r>
        <w:rPr>
          <w:rFonts w:hint="eastAsia" w:ascii="宋体" w:hAnsi="宋体" w:cs="宋体"/>
          <w:color w:val="auto"/>
          <w:kern w:val="0"/>
          <w:sz w:val="24"/>
          <w:highlight w:val="none"/>
          <w:lang w:bidi="ar"/>
        </w:rPr>
        <w:t>万字（以外文计）。</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lang w:bidi="ar"/>
        </w:rPr>
        <w:t>2.2.内容</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lang w:bidi="ar"/>
        </w:rPr>
        <w:t>沿线国家和地区法律/判例、法规和政策按照其适用范围的大小和法律位阶的高低进行详略区分：</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lang w:bidi="ar"/>
        </w:rPr>
        <w:t>按法律渊源的正式性和非正式性进行分类，优先修订、更新具有正式法律渊源的，其他只具有引导性的政策和学术研究按其影响程度予以考虑是否修订、更新；</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lang w:bidi="ar"/>
        </w:rPr>
        <w:t>优先修订、更新国家立法机关制定的法律和具有普遍法律约束力的判例，其他地方立法机关和不具有普遍约束力的判例按其影响程度和重要性予以考虑是否修订、更新。</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lang w:bidi="ar"/>
        </w:rPr>
        <w:t>2.3.</w:t>
      </w:r>
      <w:r>
        <w:rPr>
          <w:rFonts w:hint="eastAsia" w:ascii="宋体" w:hAnsi="宋体" w:cs="宋体"/>
          <w:bCs/>
          <w:color w:val="auto"/>
          <w:sz w:val="24"/>
          <w:highlight w:val="none"/>
        </w:rPr>
        <w:t>建设原则</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lang w:bidi="ar"/>
        </w:rPr>
        <w:t>第一，专业性：微观法治地图所修订、更新的沿线国家和地区法律/判例、法规和政策应当以商事经贸类为主，并按照法律法规调整的具体领域分类修订、更新：</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lang w:bidi="ar"/>
        </w:rPr>
        <w:t>优先修订、更新该国与投资、贸易、金融和税收相关的法律法规及政策，并按其在司法活动中使用的频次和涉及范围的广度和对经贸活动影响的深度进行详略修订、更新；优先修订、更新与中国签订的并已生效的涉及国际经贸投资的双边、多边协定和条约；对和经贸联系密切的劳工保护、知识产权保护、人权保护等法律或规定也有所涉及。</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lang w:bidi="ar"/>
        </w:rPr>
        <w:t>第二，完整性：已确认修订、更新的国家和地区法律/判例、法规和政策应当内容完整。</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lang w:bidi="ar"/>
        </w:rPr>
        <w:t>第三，实用性：微观法治地图平台所涉法律/判例、法规、政策致力于规避法律风险和解决社会纠纷。</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lang w:bidi="ar"/>
        </w:rPr>
        <w:t>2.4.工作进度及阶段性成果要求</w:t>
      </w:r>
    </w:p>
    <w:tbl>
      <w:tblPr>
        <w:tblStyle w:val="22"/>
        <w:tblW w:w="83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354"/>
        <w:gridCol w:w="1905"/>
        <w:gridCol w:w="2408"/>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beforeAutospacing="1" w:afterAutospacing="1" w:line="276" w:lineRule="auto"/>
              <w:jc w:val="center"/>
              <w:rPr>
                <w:rFonts w:ascii="宋体" w:hAnsi="宋体" w:cs="宋体"/>
                <w:color w:val="auto"/>
                <w:sz w:val="24"/>
                <w:highlight w:val="none"/>
              </w:rPr>
            </w:pPr>
            <w:r>
              <w:rPr>
                <w:rFonts w:hint="eastAsia" w:ascii="宋体" w:hAnsi="宋体" w:cs="宋体"/>
                <w:color w:val="auto"/>
                <w:sz w:val="24"/>
                <w:highlight w:val="none"/>
                <w:lang w:bidi="ar"/>
              </w:rPr>
              <w:t>序号</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pacing w:beforeAutospacing="1" w:afterAutospacing="1" w:line="276" w:lineRule="auto"/>
              <w:jc w:val="center"/>
              <w:rPr>
                <w:rFonts w:ascii="宋体" w:hAnsi="宋体" w:cs="宋体"/>
                <w:color w:val="auto"/>
                <w:sz w:val="24"/>
                <w:highlight w:val="none"/>
              </w:rPr>
            </w:pPr>
            <w:r>
              <w:rPr>
                <w:rFonts w:hint="eastAsia" w:ascii="宋体" w:hAnsi="宋体" w:cs="宋体"/>
                <w:color w:val="auto"/>
                <w:sz w:val="24"/>
                <w:highlight w:val="none"/>
                <w:lang w:bidi="ar"/>
              </w:rPr>
              <w:t>工作阶段</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宋体" w:hAnsi="宋体" w:cs="宋体"/>
                <w:color w:val="auto"/>
                <w:sz w:val="24"/>
                <w:highlight w:val="none"/>
              </w:rPr>
            </w:pPr>
            <w:r>
              <w:rPr>
                <w:rFonts w:hint="eastAsia" w:ascii="宋体" w:hAnsi="宋体" w:cs="宋体"/>
                <w:color w:val="auto"/>
                <w:sz w:val="24"/>
                <w:highlight w:val="none"/>
                <w:lang w:bidi="ar"/>
              </w:rPr>
              <w:t>成果构成</w:t>
            </w:r>
          </w:p>
        </w:tc>
        <w:tc>
          <w:tcPr>
            <w:tcW w:w="2408" w:type="dxa"/>
            <w:tcBorders>
              <w:top w:val="single" w:color="000000" w:sz="4" w:space="0"/>
              <w:left w:val="single" w:color="000000" w:sz="4" w:space="0"/>
              <w:bottom w:val="single" w:color="000000" w:sz="4" w:space="0"/>
              <w:right w:val="single" w:color="000000" w:sz="4" w:space="0"/>
            </w:tcBorders>
            <w:vAlign w:val="center"/>
          </w:tcPr>
          <w:p>
            <w:pPr>
              <w:widowControl/>
              <w:spacing w:beforeAutospacing="1" w:afterAutospacing="1" w:line="276" w:lineRule="auto"/>
              <w:jc w:val="center"/>
              <w:rPr>
                <w:rFonts w:ascii="宋体" w:hAnsi="宋体" w:cs="宋体"/>
                <w:color w:val="auto"/>
                <w:sz w:val="24"/>
                <w:highlight w:val="none"/>
              </w:rPr>
            </w:pPr>
            <w:r>
              <w:rPr>
                <w:rFonts w:hint="eastAsia" w:ascii="宋体" w:hAnsi="宋体" w:cs="宋体"/>
                <w:color w:val="auto"/>
                <w:sz w:val="24"/>
                <w:highlight w:val="none"/>
                <w:lang w:bidi="ar"/>
              </w:rPr>
              <w:t>成果提交时间</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beforeAutospacing="1" w:afterAutospacing="1" w:line="276" w:lineRule="auto"/>
              <w:jc w:val="center"/>
              <w:rPr>
                <w:rFonts w:ascii="宋体" w:hAnsi="宋体" w:cs="宋体"/>
                <w:color w:val="auto"/>
                <w:sz w:val="24"/>
                <w:highlight w:val="none"/>
              </w:rPr>
            </w:pPr>
            <w:r>
              <w:rPr>
                <w:rFonts w:hint="eastAsia" w:ascii="宋体" w:hAnsi="宋体" w:cs="宋体"/>
                <w:color w:val="auto"/>
                <w:sz w:val="24"/>
                <w:highlight w:val="none"/>
                <w:lang w:bidi="ar"/>
              </w:rPr>
              <w:t>成果验收方式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beforeAutospacing="1" w:afterAutospacing="1" w:line="276" w:lineRule="auto"/>
              <w:jc w:val="center"/>
              <w:rPr>
                <w:rFonts w:ascii="宋体" w:hAnsi="宋体" w:cs="宋体"/>
                <w:color w:val="auto"/>
                <w:sz w:val="24"/>
                <w:highlight w:val="none"/>
              </w:rPr>
            </w:pPr>
            <w:r>
              <w:rPr>
                <w:rFonts w:hint="eastAsia" w:ascii="宋体" w:hAnsi="宋体" w:cs="宋体"/>
                <w:color w:val="auto"/>
                <w:sz w:val="24"/>
                <w:highlight w:val="none"/>
                <w:lang w:bidi="ar"/>
              </w:rPr>
              <w:t>一</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pacing w:beforeAutospacing="1" w:afterAutospacing="1" w:line="276" w:lineRule="auto"/>
              <w:jc w:val="center"/>
              <w:rPr>
                <w:rFonts w:ascii="宋体" w:hAnsi="宋体" w:cs="宋体"/>
                <w:color w:val="auto"/>
                <w:sz w:val="24"/>
                <w:highlight w:val="none"/>
              </w:rPr>
            </w:pPr>
            <w:r>
              <w:rPr>
                <w:rFonts w:hint="eastAsia" w:ascii="宋体" w:hAnsi="宋体" w:cs="宋体"/>
                <w:color w:val="auto"/>
                <w:sz w:val="24"/>
                <w:highlight w:val="none"/>
                <w:lang w:bidi="ar"/>
              </w:rPr>
              <w:t>中期成果</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提交中期《</w:t>
            </w:r>
            <w:r>
              <w:rPr>
                <w:rFonts w:hint="eastAsia" w:ascii="宋体" w:hAnsi="宋体" w:cs="宋体"/>
                <w:bCs/>
                <w:color w:val="auto"/>
                <w:sz w:val="24"/>
                <w:highlight w:val="none"/>
              </w:rPr>
              <w:t>“一带一路”法治地图运营维护更新项目完工报告</w:t>
            </w:r>
            <w:r>
              <w:rPr>
                <w:rFonts w:hint="eastAsia" w:ascii="宋体" w:hAnsi="宋体" w:cs="宋体"/>
                <w:color w:val="auto"/>
                <w:sz w:val="24"/>
                <w:highlight w:val="none"/>
                <w:lang w:bidi="ar"/>
              </w:rPr>
              <w:t>》</w:t>
            </w:r>
          </w:p>
        </w:tc>
        <w:tc>
          <w:tcPr>
            <w:tcW w:w="2408" w:type="dxa"/>
            <w:tcBorders>
              <w:top w:val="single" w:color="000000" w:sz="4" w:space="0"/>
              <w:left w:val="single" w:color="000000" w:sz="4" w:space="0"/>
              <w:bottom w:val="single" w:color="000000" w:sz="4" w:space="0"/>
              <w:right w:val="single" w:color="000000" w:sz="4" w:space="0"/>
            </w:tcBorders>
            <w:vAlign w:val="center"/>
          </w:tcPr>
          <w:p>
            <w:pPr>
              <w:widowControl/>
              <w:spacing w:beforeAutospacing="1" w:afterAutospacing="1" w:line="276" w:lineRule="auto"/>
              <w:jc w:val="center"/>
              <w:rPr>
                <w:rFonts w:ascii="宋体" w:hAnsi="宋体" w:cs="宋体"/>
                <w:color w:val="auto"/>
                <w:sz w:val="24"/>
                <w:highlight w:val="none"/>
              </w:rPr>
            </w:pPr>
            <w:r>
              <w:rPr>
                <w:rFonts w:hint="eastAsia" w:ascii="宋体" w:hAnsi="宋体" w:cs="宋体"/>
                <w:color w:val="auto"/>
                <w:sz w:val="24"/>
                <w:highlight w:val="none"/>
                <w:lang w:bidi="ar"/>
              </w:rPr>
              <w:t>合同签订后6个月内</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beforeAutospacing="1" w:afterAutospacing="1" w:line="276" w:lineRule="auto"/>
              <w:jc w:val="center"/>
              <w:rPr>
                <w:rFonts w:ascii="宋体" w:hAnsi="宋体" w:cs="宋体"/>
                <w:color w:val="auto"/>
                <w:sz w:val="24"/>
                <w:highlight w:val="none"/>
              </w:rPr>
            </w:pPr>
            <w:r>
              <w:rPr>
                <w:rFonts w:hint="eastAsia" w:ascii="宋体" w:hAnsi="宋体" w:cs="宋体"/>
                <w:color w:val="auto"/>
                <w:sz w:val="24"/>
                <w:highlight w:val="none"/>
                <w:lang w:bidi="ar"/>
              </w:rPr>
              <w:t>中期报告通过甲方审查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beforeAutospacing="1" w:afterAutospacing="1" w:line="276" w:lineRule="auto"/>
              <w:jc w:val="center"/>
              <w:rPr>
                <w:rFonts w:ascii="宋体" w:hAnsi="宋体" w:cs="宋体"/>
                <w:color w:val="auto"/>
                <w:sz w:val="24"/>
                <w:highlight w:val="none"/>
              </w:rPr>
            </w:pPr>
            <w:r>
              <w:rPr>
                <w:rFonts w:hint="eastAsia" w:ascii="宋体" w:hAnsi="宋体" w:cs="宋体"/>
                <w:color w:val="auto"/>
                <w:sz w:val="24"/>
                <w:highlight w:val="none"/>
                <w:lang w:bidi="ar"/>
              </w:rPr>
              <w:t>二</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pacing w:beforeAutospacing="1" w:afterAutospacing="1" w:line="276" w:lineRule="auto"/>
              <w:jc w:val="center"/>
              <w:rPr>
                <w:rFonts w:ascii="宋体" w:hAnsi="宋体" w:cs="宋体"/>
                <w:color w:val="auto"/>
                <w:sz w:val="24"/>
                <w:highlight w:val="none"/>
              </w:rPr>
            </w:pPr>
            <w:r>
              <w:rPr>
                <w:rFonts w:hint="eastAsia" w:ascii="宋体" w:hAnsi="宋体" w:cs="宋体"/>
                <w:color w:val="auto"/>
                <w:sz w:val="24"/>
                <w:highlight w:val="none"/>
                <w:lang w:bidi="ar"/>
              </w:rPr>
              <w:t>最终成果</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提交终期《</w:t>
            </w:r>
            <w:r>
              <w:rPr>
                <w:rFonts w:hint="eastAsia" w:ascii="宋体" w:hAnsi="宋体" w:cs="宋体"/>
                <w:bCs/>
                <w:color w:val="auto"/>
                <w:sz w:val="24"/>
                <w:highlight w:val="none"/>
              </w:rPr>
              <w:t>“一带一路”法治地图运营维护更新项目完工报告</w:t>
            </w:r>
            <w:r>
              <w:rPr>
                <w:rFonts w:hint="eastAsia" w:ascii="宋体" w:hAnsi="宋体" w:cs="宋体"/>
                <w:color w:val="auto"/>
                <w:sz w:val="24"/>
                <w:highlight w:val="none"/>
                <w:lang w:bidi="ar"/>
              </w:rPr>
              <w:t>》</w:t>
            </w:r>
          </w:p>
        </w:tc>
        <w:tc>
          <w:tcPr>
            <w:tcW w:w="2408" w:type="dxa"/>
            <w:tcBorders>
              <w:top w:val="single" w:color="000000" w:sz="4" w:space="0"/>
              <w:left w:val="single" w:color="000000" w:sz="4" w:space="0"/>
              <w:bottom w:val="single" w:color="000000" w:sz="4" w:space="0"/>
              <w:right w:val="single" w:color="000000" w:sz="4" w:space="0"/>
            </w:tcBorders>
            <w:vAlign w:val="center"/>
          </w:tcPr>
          <w:p>
            <w:pPr>
              <w:widowControl/>
              <w:spacing w:beforeAutospacing="1" w:afterAutospacing="1" w:line="276" w:lineRule="auto"/>
              <w:jc w:val="center"/>
              <w:rPr>
                <w:rFonts w:ascii="宋体" w:hAnsi="宋体" w:cs="宋体"/>
                <w:color w:val="auto"/>
                <w:sz w:val="24"/>
                <w:highlight w:val="none"/>
              </w:rPr>
            </w:pPr>
            <w:r>
              <w:rPr>
                <w:rFonts w:hint="eastAsia" w:ascii="宋体" w:hAnsi="宋体" w:cs="宋体"/>
                <w:color w:val="auto"/>
                <w:sz w:val="24"/>
                <w:highlight w:val="none"/>
                <w:lang w:bidi="ar"/>
              </w:rPr>
              <w:t>合同服务期限届满日之前</w:t>
            </w:r>
          </w:p>
        </w:tc>
        <w:tc>
          <w:tcPr>
            <w:tcW w:w="1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lang w:bidi="ar"/>
              </w:rPr>
              <w:t>终期报告通过甲方审查</w:t>
            </w:r>
          </w:p>
        </w:tc>
      </w:tr>
    </w:tbl>
    <w:p>
      <w:pPr>
        <w:pStyle w:val="19"/>
        <w:spacing w:before="0" w:beforeAutospacing="0" w:after="0" w:afterAutospacing="0" w:line="360" w:lineRule="auto"/>
        <w:ind w:firstLine="484" w:firstLineChars="202"/>
        <w:rPr>
          <w:color w:val="auto"/>
          <w:highlight w:val="none"/>
        </w:rPr>
      </w:pPr>
      <w:r>
        <w:rPr>
          <w:rFonts w:hint="eastAsia"/>
          <w:color w:val="auto"/>
          <w:highlight w:val="none"/>
        </w:rPr>
        <w:t>2.5.项目人员组成</w:t>
      </w:r>
    </w:p>
    <w:p>
      <w:pPr>
        <w:spacing w:line="360" w:lineRule="auto"/>
        <w:ind w:firstLine="480" w:firstLineChars="200"/>
        <w:rPr>
          <w:rFonts w:ascii="宋体" w:hAnsi="宋体" w:cs="宋体"/>
          <w:b/>
          <w:bCs/>
          <w:color w:val="auto"/>
          <w:sz w:val="24"/>
          <w:highlight w:val="none"/>
        </w:rPr>
      </w:pPr>
      <w:r>
        <w:rPr>
          <w:rFonts w:hint="eastAsia"/>
          <w:color w:val="auto"/>
          <w:sz w:val="24"/>
          <w:highlight w:val="none"/>
        </w:rPr>
        <w:t>乙方需根据项目内容组建专业团队负责本项目工作，包含内容策划团队、数据采集团队、翻译团队、技术保障团队</w:t>
      </w:r>
      <w:r>
        <w:rPr>
          <w:rFonts w:hint="eastAsia" w:ascii="宋体" w:hAnsi="宋体" w:cs="宋体"/>
          <w:bCs/>
          <w:color w:val="auto"/>
          <w:sz w:val="24"/>
          <w:highlight w:val="none"/>
        </w:rPr>
        <w:t>。</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第二条  服务期限</w:t>
      </w:r>
    </w:p>
    <w:p>
      <w:pPr>
        <w:widowControl/>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1.服务期</w:t>
      </w:r>
      <w:r>
        <w:rPr>
          <w:rFonts w:hint="eastAsia" w:ascii="宋体" w:hAnsi="宋体" w:eastAsia="宋体" w:cs="宋体"/>
          <w:color w:val="auto"/>
          <w:sz w:val="24"/>
          <w:highlight w:val="none"/>
        </w:rPr>
        <w:t>限：</w:t>
      </w:r>
      <w:r>
        <w:rPr>
          <w:rFonts w:hint="eastAsia" w:ascii="宋体" w:hAnsi="宋体" w:eastAsia="宋体" w:cs="宋体"/>
          <w:color w:val="auto"/>
          <w:sz w:val="24"/>
          <w:highlight w:val="none"/>
          <w:lang w:val="en-US" w:eastAsia="zh-CN"/>
        </w:rPr>
        <w:t>乙方应于</w:t>
      </w:r>
      <w:r>
        <w:rPr>
          <w:rFonts w:hint="eastAsia" w:ascii="宋体" w:hAnsi="宋体" w:cs="宋体"/>
          <w:color w:val="auto"/>
          <w:sz w:val="24"/>
          <w:highlight w:val="none"/>
        </w:rPr>
        <w:t>合同签订之日起一年</w:t>
      </w:r>
      <w:r>
        <w:rPr>
          <w:rFonts w:hint="eastAsia" w:ascii="宋体" w:hAnsi="宋体" w:cs="宋体"/>
          <w:color w:val="auto"/>
          <w:sz w:val="24"/>
          <w:highlight w:val="none"/>
          <w:lang w:val="en-US" w:eastAsia="zh-CN"/>
        </w:rPr>
        <w:t>内</w:t>
      </w:r>
      <w:r>
        <w:rPr>
          <w:rFonts w:hint="eastAsia" w:ascii="宋体" w:hAnsi="宋体" w:eastAsia="宋体" w:cs="宋体"/>
          <w:b w:val="0"/>
          <w:bCs w:val="0"/>
          <w:color w:val="auto"/>
          <w:sz w:val="24"/>
          <w:szCs w:val="24"/>
          <w:highlight w:val="none"/>
          <w:lang w:val="en-US" w:eastAsia="zh-CN"/>
        </w:rPr>
        <w:t>完成服务项目。</w:t>
      </w:r>
    </w:p>
    <w:p>
      <w:pPr>
        <w:spacing w:line="360" w:lineRule="auto"/>
        <w:ind w:firstLine="480" w:firstLineChars="200"/>
        <w:rPr>
          <w:color w:val="auto"/>
          <w:highlight w:val="none"/>
        </w:rPr>
      </w:pPr>
      <w:r>
        <w:rPr>
          <w:rFonts w:hint="eastAsia" w:ascii="Times New Roman" w:hAnsi="Times New Roman" w:eastAsia="宋体" w:cs="Times New Roman"/>
          <w:bCs w:val="0"/>
          <w:color w:val="auto"/>
          <w:sz w:val="24"/>
          <w:highlight w:val="none"/>
          <w:lang w:bidi="ar"/>
        </w:rPr>
        <w:t>本项目为长期服务项目，</w:t>
      </w:r>
      <w:r>
        <w:rPr>
          <w:rFonts w:hint="eastAsia" w:ascii="Times New Roman" w:hAnsi="Times New Roman" w:eastAsia="宋体" w:cs="Times New Roman"/>
          <w:color w:val="auto"/>
          <w:sz w:val="24"/>
          <w:szCs w:val="24"/>
          <w:highlight w:val="none"/>
        </w:rPr>
        <w:t>服务期满</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甲方可根据乙方履约情况（履约评价为优</w:t>
      </w:r>
      <w:r>
        <w:rPr>
          <w:rFonts w:hint="eastAsia" w:cs="Times New Roman"/>
          <w:color w:val="auto"/>
          <w:sz w:val="24"/>
          <w:szCs w:val="24"/>
          <w:highlight w:val="none"/>
          <w:lang w:val="en-US" w:eastAsia="zh-CN"/>
        </w:rPr>
        <w:t>秀</w:t>
      </w:r>
      <w:r>
        <w:rPr>
          <w:rFonts w:hint="eastAsia" w:ascii="Times New Roman" w:hAnsi="Times New Roman" w:eastAsia="宋体" w:cs="Times New Roman"/>
          <w:color w:val="auto"/>
          <w:sz w:val="24"/>
          <w:szCs w:val="24"/>
          <w:highlight w:val="none"/>
          <w:lang w:val="en-US" w:eastAsia="zh-CN"/>
        </w:rPr>
        <w:t>）再酌定予以续签，但续签时间最长不超过 24 个月，</w:t>
      </w:r>
      <w:r>
        <w:rPr>
          <w:rFonts w:hint="eastAsia" w:ascii="Times New Roman" w:hAnsi="Times New Roman" w:eastAsia="宋体" w:cs="Times New Roman"/>
          <w:i w:val="0"/>
          <w:caps w:val="0"/>
          <w:color w:val="auto"/>
          <w:spacing w:val="0"/>
          <w:sz w:val="24"/>
          <w:szCs w:val="24"/>
          <w:highlight w:val="none"/>
          <w:shd w:val="clear"/>
        </w:rPr>
        <w:t>续</w:t>
      </w:r>
      <w:r>
        <w:rPr>
          <w:rFonts w:hint="eastAsia" w:ascii="Times New Roman" w:hAnsi="Times New Roman" w:eastAsia="宋体" w:cs="Times New Roman"/>
          <w:i w:val="0"/>
          <w:caps w:val="0"/>
          <w:color w:val="auto"/>
          <w:spacing w:val="0"/>
          <w:sz w:val="24"/>
          <w:szCs w:val="24"/>
          <w:highlight w:val="none"/>
          <w:shd w:val="clear"/>
          <w:lang w:val="en-US" w:eastAsia="zh-CN"/>
        </w:rPr>
        <w:t>签</w:t>
      </w:r>
      <w:r>
        <w:rPr>
          <w:rFonts w:hint="eastAsia" w:ascii="Times New Roman" w:hAnsi="Times New Roman" w:eastAsia="宋体" w:cs="Times New Roman"/>
          <w:i w:val="0"/>
          <w:caps w:val="0"/>
          <w:color w:val="auto"/>
          <w:spacing w:val="0"/>
          <w:sz w:val="24"/>
          <w:szCs w:val="24"/>
          <w:highlight w:val="none"/>
          <w:shd w:val="clear"/>
        </w:rPr>
        <w:t>最多不超过两次</w:t>
      </w:r>
      <w:r>
        <w:rPr>
          <w:rFonts w:hint="eastAsia" w:ascii="Times New Roman" w:hAnsi="Times New Roman" w:eastAsia="宋体" w:cs="Times New Roman"/>
          <w:i w:val="0"/>
          <w:caps w:val="0"/>
          <w:color w:val="auto"/>
          <w:spacing w:val="0"/>
          <w:sz w:val="24"/>
          <w:szCs w:val="24"/>
          <w:highlight w:val="none"/>
          <w:shd w:val="clear"/>
          <w:lang w:eastAsia="zh-CN"/>
        </w:rPr>
        <w:t>，</w:t>
      </w:r>
      <w:r>
        <w:rPr>
          <w:rFonts w:hint="eastAsia" w:ascii="Times New Roman" w:hAnsi="Times New Roman" w:eastAsia="宋体" w:cs="Times New Roman"/>
          <w:i w:val="0"/>
          <w:caps w:val="0"/>
          <w:color w:val="auto"/>
          <w:spacing w:val="0"/>
          <w:sz w:val="24"/>
          <w:szCs w:val="24"/>
          <w:highlight w:val="none"/>
          <w:shd w:val="clear"/>
        </w:rPr>
        <w:t>续</w:t>
      </w:r>
      <w:r>
        <w:rPr>
          <w:rFonts w:hint="eastAsia" w:ascii="Times New Roman" w:hAnsi="Times New Roman" w:eastAsia="宋体" w:cs="Times New Roman"/>
          <w:i w:val="0"/>
          <w:caps w:val="0"/>
          <w:color w:val="auto"/>
          <w:spacing w:val="0"/>
          <w:sz w:val="24"/>
          <w:szCs w:val="24"/>
          <w:highlight w:val="none"/>
          <w:shd w:val="clear"/>
          <w:lang w:val="en-US" w:eastAsia="zh-CN"/>
        </w:rPr>
        <w:t>签</w:t>
      </w:r>
      <w:r>
        <w:rPr>
          <w:rFonts w:hint="eastAsia" w:ascii="Times New Roman" w:hAnsi="Times New Roman" w:eastAsia="宋体" w:cs="Times New Roman"/>
          <w:i w:val="0"/>
          <w:caps w:val="0"/>
          <w:color w:val="auto"/>
          <w:spacing w:val="0"/>
          <w:sz w:val="24"/>
          <w:szCs w:val="24"/>
          <w:highlight w:val="none"/>
          <w:shd w:val="clear"/>
        </w:rPr>
        <w:t>的合同实质性内容不变。</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第三条  项目资料归属</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1.所有提交给甲方的项目文件及相关资料的</w:t>
      </w:r>
      <w:r>
        <w:rPr>
          <w:rFonts w:ascii="宋体" w:hAnsi="宋体" w:cs="宋体"/>
          <w:color w:val="auto"/>
          <w:sz w:val="24"/>
          <w:highlight w:val="none"/>
        </w:rPr>
        <w:t>阶段性成果及</w:t>
      </w:r>
      <w:r>
        <w:rPr>
          <w:rFonts w:hint="eastAsia" w:ascii="宋体" w:hAnsi="宋体" w:cs="宋体"/>
          <w:color w:val="auto"/>
          <w:sz w:val="24"/>
          <w:highlight w:val="none"/>
        </w:rPr>
        <w:t>最后文本，包括为履行服务范围所编制的计划和证明资料等，都属于甲方</w:t>
      </w:r>
      <w:r>
        <w:rPr>
          <w:rFonts w:ascii="宋体" w:hAnsi="宋体" w:cs="宋体"/>
          <w:color w:val="auto"/>
          <w:sz w:val="24"/>
          <w:highlight w:val="none"/>
        </w:rPr>
        <w:t>所有</w:t>
      </w:r>
      <w:r>
        <w:rPr>
          <w:rFonts w:hint="eastAsia" w:ascii="宋体" w:hAnsi="宋体" w:cs="宋体"/>
          <w:color w:val="auto"/>
          <w:sz w:val="24"/>
          <w:highlight w:val="none"/>
        </w:rPr>
        <w:t>，乙方在提交给甲方之前应将上述资料进行整理归类和编制索引。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2.乙方未经甲方的书面同意，不得将上述资料用于与本项目之外的任何项目，也不得将其泄露或授权给第三方使用。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第四条  双方的权利义务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（一）甲方的权利义务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1.甲方有权向乙方询问项目工作进展及相关情况，并要求乙方在指定时间内做出答复。</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2.甲方有权对乙方制作的阶段性成果、最终成果等相关文件进行审核并提出修改意见。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3.如甲方确认乙方工作人员未按照本合同要求履行职责，甲方有权要求乙方限期更换人员，直至终止合同并要求乙方承担相应赔偿责任。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4.甲方对乙方在委托权限范围内完成委托事项有指导、监督权利。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5.如乙方制作的最终成果不符合本合同的要求，甲方有权要求乙方重新执行相应的工作服务，由此产生的全部费用由乙方自行承担，同时，甲方的付款时间相应顺延。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6.甲方有权要求乙方全面履行合同。甲方不接受部分履行，如本合同项下部分成果文件未能按时交付则视为整体延误。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7.甲方要求乙方比本合同约定时间提前交付成果时，须征得乙方同意。因此而增加工作量，经协商确认，甲方应向乙方支付必要的费用。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 甲方应将项目所需相关档案资料、信息数据等移交给乙方，并要求乙方签收甲方提供的材料清单。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9.甲方应按照本合同的约定向乙方支付服务费用。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10.甲方指定项目联系人：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姓名：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（二）乙方的权利义务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为保证项目成果的质量，乙方在合同履行期间，应按照本项目工作内容要求组织专业的团队</w:t>
      </w:r>
      <w:r>
        <w:rPr>
          <w:rFonts w:hint="eastAsia" w:ascii="宋体" w:hAnsi="宋体" w:cs="宋体"/>
          <w:color w:val="auto"/>
          <w:sz w:val="24"/>
          <w:highlight w:val="none"/>
          <w:lang w:eastAsia="zh-CN"/>
        </w:rPr>
        <w:t>，</w:t>
      </w:r>
      <w:r>
        <w:rPr>
          <w:rFonts w:hint="eastAsia" w:ascii="宋体" w:hAnsi="宋体" w:cs="宋体"/>
          <w:color w:val="auto"/>
          <w:sz w:val="24"/>
          <w:highlight w:val="none"/>
        </w:rPr>
        <w:t>团队名单详见第</w:t>
      </w:r>
      <w:r>
        <w:rPr>
          <w:rFonts w:hint="eastAsia" w:ascii="宋体" w:hAnsi="宋体" w:cs="宋体"/>
          <w:color w:val="auto"/>
          <w:sz w:val="24"/>
          <w:highlight w:val="none"/>
          <w:lang w:eastAsia="zh-CN"/>
        </w:rPr>
        <w:t>五</w:t>
      </w:r>
      <w:r>
        <w:rPr>
          <w:rFonts w:hint="eastAsia" w:ascii="宋体" w:hAnsi="宋体" w:cs="宋体"/>
          <w:color w:val="auto"/>
          <w:sz w:val="24"/>
          <w:highlight w:val="none"/>
        </w:rPr>
        <w:t>条。团队负责人负责对项目实施全过程进行组织和指导，并承担项目的实质性工作。负责人及相关工作人员名单在甲方确认后如需更换，乙方应事先征得甲方的书面同意，且接替的工作人员的职位、资历、资质应与原定工作人员相当。</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乙方在合同履行期间，应确保完成本合同期间所需的设备齐全、质量不存在任何缺陷。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乙方应接受甲方对工作进展的询问、监督和指导，严格按本合同约定的内容、标准和期限完成项目工作，并向甲方提交项目成果。项目工作完成后，乙方应按照甲方要求将完成本项目的工作总结和相关台帐资料交给甲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 乙方应采取必要措施配合甲方验收人员的工作,对于验收过程中发现的问题，乙方应在发现问题之日起3日内进行改正，以符合甲方的需要。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5.乙方有维护甲方声誉的义务，乙方不能以甲方名义从事与本项目无关的任何事务，否则甲方有权追究其相关责任。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6.乙方应独立完成本项目。未经甲方书面在先同意，乙方不得向任何第三方全部或部分转让本项目。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7.本合同期满或提前解除、终止后，乙方应将甲方的档案资料、信息数据等交还甲方，并应销毁或删除所有备份。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乙方应当全部偿还给甲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9.乙方在完成本项目过程中，不得损害其他任何第三方的知识产权等合法权益，否则由此造成的相关责任应当由乙方自行承担，与甲方无关。</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10.针对甲方就乙方提交的成果、工作报告等相关文件提出的修改意见，乙方应当在甲方指定的修改时间内完成修改。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11.乙方指定项目联系人：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联系方式：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乙</w:t>
      </w:r>
      <w:r>
        <w:rPr>
          <w:rFonts w:hint="eastAsia" w:ascii="宋体" w:hAnsi="宋体" w:eastAsia="宋体" w:cs="宋体"/>
          <w:color w:val="auto"/>
          <w:sz w:val="24"/>
          <w:szCs w:val="24"/>
          <w:highlight w:val="none"/>
        </w:rPr>
        <w:t>方变更项目联系人的，应当在5个工作日内以书面形式通知</w:t>
      </w:r>
      <w:r>
        <w:rPr>
          <w:rFonts w:hint="eastAsia" w:ascii="宋体" w:hAnsi="宋体" w:eastAsia="宋体" w:cs="宋体"/>
          <w:color w:val="auto"/>
          <w:sz w:val="24"/>
          <w:szCs w:val="24"/>
          <w:highlight w:val="none"/>
          <w:lang w:val="en-US" w:eastAsia="zh-CN"/>
        </w:rPr>
        <w:t>甲</w:t>
      </w:r>
      <w:r>
        <w:rPr>
          <w:rFonts w:hint="eastAsia" w:ascii="宋体" w:hAnsi="宋体" w:eastAsia="宋体" w:cs="宋体"/>
          <w:color w:val="auto"/>
          <w:sz w:val="24"/>
          <w:szCs w:val="24"/>
          <w:highlight w:val="none"/>
        </w:rPr>
        <w:t>方。未及时通知并影响本合同履行或造成损失的，应承担相应的责任。</w:t>
      </w:r>
      <w:r>
        <w:rPr>
          <w:rFonts w:hint="eastAsia" w:ascii="宋体" w:hAnsi="宋体" w:eastAsia="宋体" w:cs="宋体"/>
          <w:color w:val="auto"/>
          <w:sz w:val="24"/>
          <w:szCs w:val="24"/>
          <w:highlight w:val="none"/>
          <w:lang w:val="en-US" w:eastAsia="zh-CN"/>
        </w:rPr>
        <w:t>乙</w:t>
      </w:r>
      <w:r>
        <w:rPr>
          <w:rFonts w:hint="eastAsia" w:ascii="宋体" w:hAnsi="宋体" w:eastAsia="宋体" w:cs="宋体"/>
          <w:color w:val="auto"/>
          <w:sz w:val="24"/>
          <w:szCs w:val="24"/>
          <w:highlight w:val="none"/>
        </w:rPr>
        <w:t>方变更通讯地址或者联系方式，应及时将变更后的地址、联系方式通知</w:t>
      </w:r>
      <w:r>
        <w:rPr>
          <w:rFonts w:hint="eastAsia" w:ascii="宋体" w:hAnsi="宋体" w:eastAsia="宋体" w:cs="宋体"/>
          <w:color w:val="auto"/>
          <w:sz w:val="24"/>
          <w:szCs w:val="24"/>
          <w:highlight w:val="none"/>
          <w:lang w:val="en-US" w:eastAsia="zh-CN"/>
        </w:rPr>
        <w:t>甲</w:t>
      </w:r>
      <w:r>
        <w:rPr>
          <w:rFonts w:hint="eastAsia" w:ascii="宋体" w:hAnsi="宋体" w:eastAsia="宋体" w:cs="宋体"/>
          <w:color w:val="auto"/>
          <w:sz w:val="24"/>
          <w:szCs w:val="24"/>
          <w:highlight w:val="none"/>
        </w:rPr>
        <w:t>方，否则</w:t>
      </w:r>
      <w:r>
        <w:rPr>
          <w:rFonts w:hint="eastAsia" w:ascii="宋体" w:hAnsi="宋体" w:eastAsia="宋体" w:cs="宋体"/>
          <w:color w:val="auto"/>
          <w:sz w:val="24"/>
          <w:szCs w:val="24"/>
          <w:highlight w:val="none"/>
          <w:lang w:val="en-US" w:eastAsia="zh-CN"/>
        </w:rPr>
        <w:t>乙</w:t>
      </w:r>
      <w:r>
        <w:rPr>
          <w:rFonts w:hint="eastAsia" w:ascii="宋体" w:hAnsi="宋体" w:eastAsia="宋体" w:cs="宋体"/>
          <w:color w:val="auto"/>
          <w:sz w:val="24"/>
          <w:szCs w:val="24"/>
          <w:highlight w:val="none"/>
        </w:rPr>
        <w:t>方应对此造成的一切后果承担责任。</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第五条  人员要求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以下为本项目核心领导团队。</w:t>
      </w:r>
    </w:p>
    <w:tbl>
      <w:tblPr>
        <w:tblStyle w:val="22"/>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拟任</w:t>
            </w:r>
            <w:r>
              <w:rPr>
                <w:rFonts w:ascii="宋体" w:hAnsi="宋体" w:cs="宋体"/>
                <w:color w:val="auto"/>
                <w:sz w:val="24"/>
                <w:highlight w:val="none"/>
              </w:rPr>
              <w:t>团队</w:t>
            </w:r>
            <w:r>
              <w:rPr>
                <w:rFonts w:hint="eastAsia" w:ascii="宋体" w:hAnsi="宋体" w:cs="宋体"/>
                <w:color w:val="auto"/>
                <w:sz w:val="24"/>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1.参加本项目编制的人员配置若需调整需经甲方</w:t>
      </w:r>
      <w:r>
        <w:rPr>
          <w:rFonts w:ascii="宋体" w:hAnsi="宋体" w:cs="宋体"/>
          <w:color w:val="auto"/>
          <w:sz w:val="24"/>
          <w:highlight w:val="none"/>
        </w:rPr>
        <w:t>书面</w:t>
      </w:r>
      <w:r>
        <w:rPr>
          <w:rFonts w:hint="eastAsia" w:ascii="宋体" w:hAnsi="宋体" w:cs="宋体"/>
          <w:color w:val="auto"/>
          <w:sz w:val="24"/>
          <w:highlight w:val="none"/>
        </w:rPr>
        <w:t>同意后，方可变更。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2.必须以乙方直属人员</w:t>
      </w:r>
      <w:r>
        <w:rPr>
          <w:rFonts w:ascii="宋体" w:hAnsi="宋体" w:cs="宋体"/>
          <w:color w:val="auto"/>
          <w:sz w:val="24"/>
          <w:highlight w:val="none"/>
        </w:rPr>
        <w:t>（直属人员指</w:t>
      </w:r>
      <w:r>
        <w:rPr>
          <w:rFonts w:hint="eastAsia" w:ascii="宋体" w:hAnsi="宋体" w:cs="宋体"/>
          <w:color w:val="auto"/>
          <w:sz w:val="24"/>
          <w:highlight w:val="none"/>
        </w:rPr>
        <w:t>劳动合同、社会保险等劳动关系</w:t>
      </w:r>
      <w:r>
        <w:rPr>
          <w:rFonts w:ascii="宋体" w:hAnsi="宋体" w:cs="宋体"/>
          <w:color w:val="auto"/>
          <w:sz w:val="24"/>
          <w:highlight w:val="none"/>
        </w:rPr>
        <w:t>在乙方的人员）</w:t>
      </w:r>
      <w:r>
        <w:rPr>
          <w:rFonts w:hint="eastAsia" w:ascii="宋体" w:hAnsi="宋体" w:cs="宋体"/>
          <w:color w:val="auto"/>
          <w:sz w:val="24"/>
          <w:highlight w:val="none"/>
        </w:rPr>
        <w:t>参与本项目服务，不得使用挂靠队伍。</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第六条 成果权属与知识产权</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5.乙方完成本合同项目的研究开发人员享有在有关技术成果文件上写明技术成果完成者的权利和与甲方共同获得有关荣誉证书、奖励的权利。</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第七条  保密条款</w:t>
      </w:r>
    </w:p>
    <w:p>
      <w:pPr>
        <w:widowControl/>
        <w:spacing w:line="360" w:lineRule="auto"/>
        <w:ind w:firstLine="480" w:firstLineChars="200"/>
        <w:rPr>
          <w:rFonts w:ascii="宋体" w:hAnsi="宋体" w:cs="宋体"/>
          <w:color w:val="auto"/>
          <w:sz w:val="24"/>
          <w:highlight w:val="none"/>
        </w:rPr>
      </w:pPr>
      <w:bookmarkStart w:id="13" w:name="_Toc216520223"/>
      <w:r>
        <w:rPr>
          <w:rFonts w:hint="eastAsia" w:ascii="宋体" w:hAnsi="宋体" w:cs="宋体"/>
          <w:color w:val="auto"/>
          <w:sz w:val="24"/>
          <w:highlight w:val="none"/>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3"/>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乙方须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4.乙方实施项目的程序应符合国家安全、保密的有关规定和标准。</w:t>
      </w:r>
    </w:p>
    <w:p>
      <w:pPr>
        <w:widowControl/>
        <w:spacing w:line="360" w:lineRule="auto"/>
        <w:ind w:firstLine="480" w:firstLineChars="200"/>
        <w:rPr>
          <w:rFonts w:ascii="宋体" w:hAnsi="宋体" w:cs="宋体"/>
          <w:color w:val="auto"/>
          <w:sz w:val="24"/>
          <w:highlight w:val="none"/>
        </w:rPr>
      </w:pPr>
      <w:bookmarkStart w:id="14" w:name="_Toc216520224"/>
      <w:r>
        <w:rPr>
          <w:rFonts w:hint="eastAsia" w:ascii="宋体" w:hAnsi="宋体" w:cs="宋体"/>
          <w:color w:val="auto"/>
          <w:sz w:val="24"/>
          <w:highlight w:val="none"/>
        </w:rPr>
        <w:t>5</w:t>
      </w:r>
      <w:bookmarkEnd w:id="14"/>
      <w:bookmarkStart w:id="15" w:name="_Toc216520226"/>
      <w:r>
        <w:rPr>
          <w:rFonts w:hint="eastAsia" w:ascii="宋体" w:hAnsi="宋体" w:cs="宋体"/>
          <w:color w:val="auto"/>
          <w:sz w:val="24"/>
          <w:highlight w:val="none"/>
        </w:rPr>
        <w:t>.上述保密义务不适用以下情况：</w:t>
      </w:r>
      <w:bookmarkEnd w:id="15"/>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（1）获取的信息已被合法公开；</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（2）获得信息拥有方书面许可并在该许可范围内披露；</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（3）国家法律、法规规定的情形。</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第八条  项目最终成果</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验收</w:t>
      </w:r>
      <w:r>
        <w:rPr>
          <w:rFonts w:hint="eastAsia" w:ascii="宋体" w:hAnsi="宋体" w:cs="宋体"/>
          <w:b/>
          <w:bCs/>
          <w:color w:val="auto"/>
          <w:sz w:val="24"/>
          <w:highlight w:val="none"/>
          <w:lang w:eastAsia="zh-CN"/>
        </w:rPr>
        <w:t>及</w:t>
      </w:r>
      <w:r>
        <w:rPr>
          <w:rFonts w:hint="eastAsia" w:ascii="宋体" w:hAnsi="宋体" w:cs="宋体"/>
          <w:b/>
          <w:bCs/>
          <w:color w:val="auto"/>
          <w:sz w:val="24"/>
          <w:highlight w:val="none"/>
        </w:rPr>
        <w:t>后续服务期</w:t>
      </w:r>
    </w:p>
    <w:p>
      <w:pPr>
        <w:pStyle w:val="52"/>
        <w:tabs>
          <w:tab w:val="left" w:pos="720"/>
        </w:tabs>
        <w:autoSpaceDE w:val="0"/>
        <w:autoSpaceDN w:val="0"/>
        <w:adjustRightInd w:val="0"/>
        <w:spacing w:line="360" w:lineRule="auto"/>
        <w:ind w:right="17" w:firstLine="480"/>
        <w:jc w:val="left"/>
        <w:rPr>
          <w:rFonts w:ascii="宋体" w:hAnsi="宋体" w:cs="宋体"/>
          <w:color w:val="auto"/>
          <w:sz w:val="24"/>
          <w:highlight w:val="none"/>
        </w:rPr>
      </w:pPr>
      <w:r>
        <w:rPr>
          <w:rFonts w:hint="eastAsia" w:ascii="宋体" w:hAnsi="宋体" w:cs="宋体"/>
          <w:color w:val="auto"/>
          <w:sz w:val="24"/>
          <w:highlight w:val="none"/>
        </w:rPr>
        <w:t>1.项目成果</w:t>
      </w:r>
      <w:r>
        <w:rPr>
          <w:rFonts w:ascii="宋体" w:hAnsi="宋体" w:cs="宋体"/>
          <w:color w:val="auto"/>
          <w:sz w:val="24"/>
          <w:highlight w:val="none"/>
        </w:rPr>
        <w:t>：</w:t>
      </w:r>
    </w:p>
    <w:p>
      <w:pPr>
        <w:pStyle w:val="52"/>
        <w:tabs>
          <w:tab w:val="left" w:pos="720"/>
        </w:tabs>
        <w:autoSpaceDE w:val="0"/>
        <w:autoSpaceDN w:val="0"/>
        <w:adjustRightInd w:val="0"/>
        <w:spacing w:line="360" w:lineRule="auto"/>
        <w:ind w:right="17" w:firstLine="480"/>
        <w:jc w:val="left"/>
        <w:rPr>
          <w:rFonts w:ascii="宋体" w:hAnsi="宋体" w:cs="宋体"/>
          <w:bCs/>
          <w:color w:val="auto"/>
          <w:sz w:val="24"/>
          <w:highlight w:val="none"/>
        </w:rPr>
      </w:pPr>
      <w:r>
        <w:rPr>
          <w:rFonts w:hint="eastAsia" w:ascii="宋体" w:hAnsi="宋体" w:cs="宋体"/>
          <w:bCs/>
          <w:color w:val="auto"/>
          <w:sz w:val="24"/>
          <w:highlight w:val="none"/>
        </w:rPr>
        <w:t>《“一带一路”法治地图运营维护更新项目完工报告》。</w:t>
      </w:r>
    </w:p>
    <w:p>
      <w:pPr>
        <w:pStyle w:val="52"/>
        <w:tabs>
          <w:tab w:val="left" w:pos="720"/>
        </w:tabs>
        <w:autoSpaceDE w:val="0"/>
        <w:autoSpaceDN w:val="0"/>
        <w:adjustRightInd w:val="0"/>
        <w:spacing w:line="360" w:lineRule="auto"/>
        <w:ind w:right="17" w:firstLine="480"/>
        <w:jc w:val="left"/>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验收</w:t>
      </w:r>
      <w:r>
        <w:rPr>
          <w:rFonts w:hint="eastAsia" w:ascii="宋体" w:hAnsi="宋体" w:cs="宋体"/>
          <w:color w:val="auto"/>
          <w:sz w:val="24"/>
          <w:highlight w:val="none"/>
        </w:rPr>
        <w:t>方式</w:t>
      </w:r>
      <w:r>
        <w:rPr>
          <w:rFonts w:ascii="宋体" w:hAnsi="宋体" w:cs="宋体"/>
          <w:color w:val="auto"/>
          <w:sz w:val="24"/>
          <w:highlight w:val="none"/>
        </w:rPr>
        <w:t>：</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（1）甲方应在乙方提交项目总结报告后15个工作日内对总结报告进行验收。</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（2）最终成果验收合格的标志为甲方审查通过</w:t>
      </w:r>
      <w:r>
        <w:rPr>
          <w:rFonts w:ascii="宋体" w:hAnsi="宋体" w:cs="宋体"/>
          <w:color w:val="auto"/>
          <w:sz w:val="24"/>
          <w:highlight w:val="none"/>
        </w:rPr>
        <w:t>。</w:t>
      </w:r>
    </w:p>
    <w:p>
      <w:pPr>
        <w:widowControl/>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.后续服务期</w:t>
      </w:r>
      <w:r>
        <w:rPr>
          <w:rFonts w:hint="eastAsia" w:ascii="宋体" w:hAnsi="宋体" w:cs="宋体"/>
          <w:color w:val="auto"/>
          <w:sz w:val="24"/>
          <w:highlight w:val="none"/>
          <w:lang w:val="en-US" w:eastAsia="zh-CN"/>
        </w:rPr>
        <w:t>:</w:t>
      </w:r>
    </w:p>
    <w:p>
      <w:pPr>
        <w:widowControl/>
        <w:spacing w:line="360" w:lineRule="auto"/>
        <w:ind w:firstLine="480" w:firstLineChars="200"/>
        <w:rPr>
          <w:color w:val="auto"/>
          <w:highlight w:val="none"/>
        </w:rPr>
      </w:pPr>
      <w:r>
        <w:rPr>
          <w:rFonts w:hint="eastAsia" w:ascii="宋体" w:hAnsi="宋体" w:cs="宋体"/>
          <w:color w:val="auto"/>
          <w:sz w:val="24"/>
          <w:highlight w:val="none"/>
        </w:rPr>
        <w:t>乙方提交的本项目最终成果通过甲方审查验收之日起</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年为本合同后续服务期。服务期内乙方应向甲方提供后续的专业技术支持与咨询服务。</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第九条  项目服务费用及付款方式</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1.合同价款：合同总价为 </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（含税）。包括但不限于调研费、中标服务费、资料费、税费、差旅费、运营维护</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后续服务、</w:t>
      </w:r>
      <w:r>
        <w:rPr>
          <w:rFonts w:hint="eastAsia" w:ascii="宋体" w:hAnsi="宋体" w:cs="宋体"/>
          <w:color w:val="auto"/>
          <w:sz w:val="24"/>
          <w:highlight w:val="none"/>
        </w:rPr>
        <w:t>利润、提供合同要求的成果文件以及其它相关服务的所有费用</w:t>
      </w:r>
      <w:r>
        <w:rPr>
          <w:rFonts w:hint="eastAsia" w:ascii="宋体" w:hAnsi="宋体" w:cs="宋体"/>
          <w:color w:val="auto"/>
          <w:sz w:val="24"/>
          <w:highlight w:val="none"/>
          <w:lang w:val="zh-CN"/>
        </w:rPr>
        <w:t>。</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2.合同价款由甲方分2期支付至乙方指定银行账户：</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（1）第1期：自本合同签订之日起15个工作日内，根据乙方提出的付款申请，甲方向乙方支付总价款的</w:t>
      </w:r>
      <w:r>
        <w:rPr>
          <w:rFonts w:hint="eastAsia" w:ascii="宋体" w:hAnsi="宋体" w:cs="宋体"/>
          <w:color w:val="auto"/>
          <w:sz w:val="24"/>
          <w:highlight w:val="none"/>
          <w:lang w:val="en-US" w:eastAsia="zh-CN"/>
        </w:rPr>
        <w:t>43.5</w:t>
      </w:r>
      <w:r>
        <w:rPr>
          <w:rFonts w:hint="eastAsia" w:ascii="宋体" w:hAnsi="宋体" w:cs="宋体"/>
          <w:color w:val="auto"/>
          <w:sz w:val="24"/>
          <w:highlight w:val="none"/>
        </w:rPr>
        <w:t>%；即人民币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（2）第2期：乙方提交终期成果，经甲方审查通过后15个工作日内，根据乙方提出的付款申请，甲方向乙方支付总价款的</w:t>
      </w:r>
      <w:r>
        <w:rPr>
          <w:rFonts w:hint="eastAsia" w:ascii="宋体" w:hAnsi="宋体" w:cs="宋体"/>
          <w:color w:val="auto"/>
          <w:sz w:val="24"/>
          <w:highlight w:val="none"/>
          <w:lang w:val="en-US" w:eastAsia="zh-CN"/>
        </w:rPr>
        <w:t>56.5</w:t>
      </w:r>
      <w:r>
        <w:rPr>
          <w:rFonts w:hint="eastAsia" w:ascii="宋体" w:hAnsi="宋体" w:cs="宋体"/>
          <w:color w:val="auto"/>
          <w:sz w:val="24"/>
          <w:highlight w:val="none"/>
        </w:rPr>
        <w:t>%；即人民币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pStyle w:val="62"/>
        <w:spacing w:line="440" w:lineRule="exact"/>
        <w:ind w:firstLine="480"/>
        <w:rPr>
          <w:rFonts w:ascii="宋体" w:hAnsi="宋体" w:cs="宋体"/>
          <w:color w:val="auto"/>
          <w:sz w:val="24"/>
          <w:highlight w:val="none"/>
        </w:rPr>
      </w:pPr>
      <w:r>
        <w:rPr>
          <w:rFonts w:hint="eastAsia" w:ascii="宋体" w:hAnsi="宋体" w:cs="宋体"/>
          <w:color w:val="auto"/>
          <w:sz w:val="24"/>
          <w:highlight w:val="none"/>
        </w:rPr>
        <w:t>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w:t>
      </w:r>
      <w:r>
        <w:rPr>
          <w:rFonts w:hint="eastAsia" w:ascii="宋体" w:hAnsi="宋体" w:eastAsia="宋体" w:cs="宋体"/>
          <w:color w:val="auto"/>
          <w:sz w:val="24"/>
          <w:highlight w:val="none"/>
        </w:rPr>
        <w:t>此向甲方索赔。</w:t>
      </w:r>
      <w:r>
        <w:rPr>
          <w:rFonts w:hint="eastAsia" w:ascii="宋体" w:hAnsi="宋体" w:eastAsia="宋体" w:cs="宋体"/>
          <w:bCs w:val="0"/>
          <w:color w:val="auto"/>
          <w:kern w:val="2"/>
          <w:sz w:val="24"/>
          <w:szCs w:val="24"/>
          <w:highlight w:val="none"/>
        </w:rPr>
        <w:t>甲方有权在支付价款时扣除乙方按照本合同应承担的违约金和赔偿金。</w:t>
      </w:r>
    </w:p>
    <w:p>
      <w:pPr>
        <w:pStyle w:val="9"/>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3.乙方银行账户信息：</w:t>
      </w:r>
    </w:p>
    <w:p>
      <w:pPr>
        <w:pStyle w:val="9"/>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开户银行： </w:t>
      </w:r>
    </w:p>
    <w:p>
      <w:pPr>
        <w:pStyle w:val="9"/>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户名：</w:t>
      </w:r>
    </w:p>
    <w:p>
      <w:pPr>
        <w:pStyle w:val="9"/>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账号：</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第十条 合同提前终止</w:t>
      </w:r>
    </w:p>
    <w:p>
      <w:pPr>
        <w:pStyle w:val="5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（一）双方协商同意提前终止本合同的，按双方协商约定的方式进行清算执行。</w:t>
      </w:r>
    </w:p>
    <w:p>
      <w:pPr>
        <w:pStyle w:val="5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二）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5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（三）有下列情形之一的，本合同自甲方向乙方发出书面通知之日起终止：</w:t>
      </w:r>
    </w:p>
    <w:p>
      <w:pPr>
        <w:pStyle w:val="5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1.甲方的职能发生转变，不再具有委托职能。</w:t>
      </w:r>
    </w:p>
    <w:p>
      <w:pPr>
        <w:pStyle w:val="5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2.本合同签订时适用的法律法规或政策发生变化，且对本合同的继续履行造成重大影响。</w:t>
      </w:r>
    </w:p>
    <w:p>
      <w:pPr>
        <w:pStyle w:val="5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发生以上情形，甲方已向乙方支付的款项不退还，尚未支付的款项不再支付，同时乙方应向甲方提交在合同终止日前完成的所有项目文件和相关资料。</w:t>
      </w:r>
    </w:p>
    <w:p>
      <w:pPr>
        <w:pStyle w:val="5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（四）如发生不可抗力或其他超出合同双方控制的事件，致使一方无法履行合同，本合同解除。</w:t>
      </w:r>
    </w:p>
    <w:p>
      <w:pPr>
        <w:pStyle w:val="5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5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2.发生不可抗力，甲乙双方承担各自的损失。由于其中一方迟延履行合同义务后发生不可抗力的，其违约责任不能免除。</w:t>
      </w:r>
    </w:p>
    <w:p>
      <w:pPr>
        <w:pStyle w:val="5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第十一条  争议解决办法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因本合同的履行发生的或与本合同有关的争议或纠纷，由甲乙双方协商解决。协商不成的，任意一方有权向深圳前海合作区人民法院提起诉讼。</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第十二条 项目变更</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1.本合同履行过程中的需求变更和进度调整，以甲乙双方达成一致的书面文件为准。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2.乙方遇到不能按期完成工作的情况，应及时以书面形式将不能按期完成工作的理由、延误时间等通知甲方。甲方在收到乙方通知后，根据情况决定是否延长完成时间。如同意延长，则乙方责任期也相应延长。</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3.因非乙方责任造成项目进度推迟或延误，无法按照本合同约定的日期完成相应工作，双方经过协商可以进一步约定完成的日期，乙方的责任期也随之顺延。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4.在本项目进展过程中，经双方同意的维护更新内容体量等方面的增减，如所涉增加费用的金额不超过本合同项下服务费总金额的10%，由双方商定变更内容及具体价格后签订书面补充协议予以确认。</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第十三条 风险责任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乙方应完全地按照【QH2023</w:t>
      </w:r>
      <w:r>
        <w:rPr>
          <w:rFonts w:hint="eastAsia" w:ascii="宋体" w:hAnsi="宋体" w:cs="宋体"/>
          <w:color w:val="auto"/>
          <w:sz w:val="24"/>
          <w:highlight w:val="none"/>
          <w:lang w:val="en-US" w:eastAsia="zh-CN"/>
        </w:rPr>
        <w:t>057</w:t>
      </w:r>
      <w:r>
        <w:rPr>
          <w:rFonts w:hint="eastAsia" w:ascii="宋体" w:hAnsi="宋体" w:cs="宋体"/>
          <w:color w:val="auto"/>
          <w:sz w:val="24"/>
          <w:highlight w:val="none"/>
        </w:rPr>
        <w:t>】号招标文件的要求和乙方投标文件的承诺完成本项目，出于自身财务、技术、人力等原因导致项目失败的，应承担全部责任。</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第十四条  违约责任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2.本项目项下的工作内容不可分割，任一文件的迟延交付均视为整个项目的迟延交付。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（1）乙方未能按合同约定的日期(含协商延缓的日期)提交各阶段成果或最终成果，延误时间超过15个工作日；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（2）因乙方工作的错误或遗漏造成成果质量损失，</w:t>
      </w:r>
      <w:r>
        <w:rPr>
          <w:rFonts w:hint="eastAsia" w:ascii="宋体" w:hAnsi="宋体" w:cs="宋体"/>
          <w:color w:val="auto"/>
          <w:sz w:val="24"/>
          <w:highlight w:val="none"/>
          <w:lang w:val="zh-CN"/>
        </w:rPr>
        <w:t>工作成果质量低劣，不能满足甲方工作需要和要求</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（3）乙方虽如期提交最终成果，但连续二次未能通过甲方验收的；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（4）未经甲方书面在先同意，乙方擅自将本合同项目与任何第三方合作，或将本合同标的全部或部分擅自</w:t>
      </w:r>
      <w:r>
        <w:rPr>
          <w:rFonts w:hint="eastAsia" w:ascii="宋体" w:hAnsi="宋体" w:cs="宋体"/>
          <w:color w:val="auto"/>
          <w:sz w:val="24"/>
          <w:highlight w:val="none"/>
          <w:lang w:val="en-US" w:eastAsia="zh-CN"/>
        </w:rPr>
        <w:t>转委托</w:t>
      </w:r>
      <w:r>
        <w:rPr>
          <w:rFonts w:hint="eastAsia" w:ascii="宋体" w:hAnsi="宋体" w:cs="宋体"/>
          <w:color w:val="auto"/>
          <w:sz w:val="24"/>
          <w:highlight w:val="none"/>
        </w:rPr>
        <w:t>给任何第三方，且未按甲方的要求终止与第三方的合同的；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（5）项目负责人未承担本合同项目实质性工作，或未经甲方书面在先同意，乙方擅自更换项目负责人的；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（7）乙方明确表示或者以自己的行为表明不履行本合同的。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5.上述违约责任各自独立且可累加。本合同所约定的违约金如低于因违约行为所造成的损失，违约方应补偿上述不足部分的损失，包括但不限于上述索赔或责任所产生的诉讼费用、合理的律师费用、鉴定评估费用、调查费用、和解金额</w:t>
      </w:r>
      <w:r>
        <w:rPr>
          <w:rFonts w:hint="eastAsia" w:ascii="宋体" w:hAnsi="宋体" w:eastAsia="宋体" w:cs="宋体"/>
          <w:color w:val="auto"/>
          <w:sz w:val="24"/>
          <w:highlight w:val="none"/>
        </w:rPr>
        <w:t>或生效法律文书中规定的赔偿金额。</w:t>
      </w:r>
    </w:p>
    <w:p>
      <w:pPr>
        <w:spacing w:line="360" w:lineRule="auto"/>
        <w:ind w:firstLine="480" w:firstLineChars="200"/>
        <w:rPr>
          <w:rFonts w:hint="eastAsia" w:ascii="宋体" w:hAnsi="宋体" w:eastAsia="宋体" w:cs="宋体"/>
          <w:bCs w:val="0"/>
          <w:color w:val="auto"/>
          <w:sz w:val="24"/>
          <w:szCs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bCs w:val="0"/>
          <w:color w:val="auto"/>
          <w:sz w:val="24"/>
          <w:szCs w:val="24"/>
          <w:highlight w:val="none"/>
        </w:rPr>
        <w:t>乙方无正当理由解除合同的，应向甲方支付合同总额</w:t>
      </w:r>
      <w:r>
        <w:rPr>
          <w:rFonts w:hint="eastAsia" w:ascii="宋体" w:hAnsi="宋体" w:eastAsia="宋体" w:cs="宋体"/>
          <w:bCs w:val="0"/>
          <w:color w:val="auto"/>
          <w:sz w:val="24"/>
          <w:szCs w:val="24"/>
          <w:highlight w:val="none"/>
          <w:u w:val="none"/>
        </w:rPr>
        <w:t>20%</w:t>
      </w:r>
      <w:r>
        <w:rPr>
          <w:rFonts w:hint="eastAsia" w:ascii="宋体" w:hAnsi="宋体" w:eastAsia="宋体" w:cs="宋体"/>
          <w:bCs w:val="0"/>
          <w:color w:val="auto"/>
          <w:sz w:val="24"/>
          <w:szCs w:val="24"/>
          <w:highlight w:val="none"/>
        </w:rPr>
        <w:t>的违约金。</w:t>
      </w:r>
    </w:p>
    <w:p>
      <w:pPr>
        <w:spacing w:line="360" w:lineRule="auto"/>
        <w:ind w:firstLine="480" w:firstLineChars="200"/>
        <w:rPr>
          <w:color w:val="auto"/>
          <w:highlight w:val="none"/>
        </w:rPr>
      </w:pPr>
      <w:r>
        <w:rPr>
          <w:rFonts w:hint="eastAsia" w:ascii="宋体" w:hAnsi="宋体" w:eastAsia="宋体" w:cs="宋体"/>
          <w:bCs w:val="0"/>
          <w:color w:val="auto"/>
          <w:sz w:val="24"/>
          <w:szCs w:val="24"/>
          <w:highlight w:val="none"/>
          <w:lang w:val="en-US" w:eastAsia="zh-CN"/>
        </w:rPr>
        <w:t>7.</w:t>
      </w:r>
      <w:r>
        <w:rPr>
          <w:rFonts w:hint="eastAsia" w:ascii="宋体" w:hAnsi="宋体" w:eastAsia="宋体" w:cs="宋体"/>
          <w:bCs w:val="0"/>
          <w:color w:val="auto"/>
          <w:sz w:val="24"/>
          <w:szCs w:val="24"/>
          <w:highlight w:val="none"/>
        </w:rPr>
        <w:t>本合同未约定违约责任的，违约方应按照《中华人民共和国民法典》有关条款的规定承担违约责任。</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第十五条  其他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（1）合同书及补充协议；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（2）中标通知书；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（3）招标文件（编号：    ）及其澄清、补正公告；</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3.本合同各条标题仅为提示之用，应以条文内容确定各方的权利义务。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4.本合同未尽事宜，由双方协商签订补充协议进行约定。补充协议应以书面形式作成，经双方法定代表人或其授权代表签字、盖章后与本合同具有同等法律效力。</w:t>
      </w:r>
    </w:p>
    <w:p>
      <w:pPr>
        <w:pStyle w:val="5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5.本合同约定的权利和义务不因合同双方发生收购、兼并、重组、分立而发生变化。如果发生上述情形，则本合同约定的权利和义务随之转移至收购、兼并、重组或分立后成立的单位。</w:t>
      </w:r>
    </w:p>
    <w:p>
      <w:pPr>
        <w:pStyle w:val="5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6.本合同在国家法律、法规和规章规定的范围内执行。当国家法律、法规和规章发生变化导致本合同有关条款与之抵触时，双方协商变更或废止该条款，在此情况下，双方互不承担责任。</w:t>
      </w:r>
    </w:p>
    <w:p>
      <w:pPr>
        <w:pStyle w:val="5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7.如果本合同的任何条款在任何时候变成不合法、无效或不可强制执行而不从根本上影响本合同的效力时，本合同的其他条款不受影响。</w:t>
      </w:r>
    </w:p>
    <w:p>
      <w:pPr>
        <w:pStyle w:val="5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5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9.任何一方未经另一方同意不得向任何第三方透露本合同的签订及其内容。甲方向其关联公司透露前述内容的，不受此限。</w:t>
      </w:r>
    </w:p>
    <w:p>
      <w:pPr>
        <w:pStyle w:val="5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11.本合同自双方法定代表人或其授权代表签字、盖章之日起生效，有效期至本合同全部权利义务履行完毕之日止。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12.本合同一式六份，甲、乙方各执三份，均具有同等法律效力。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（以下无正文，为签章栏）</w:t>
      </w:r>
    </w:p>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（本页为签章页）</w:t>
      </w: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ind w:firstLine="200"/>
        <w:rPr>
          <w:rFonts w:ascii="宋体" w:hAnsi="宋体" w:cs="宋体"/>
          <w:color w:val="auto"/>
          <w:sz w:val="24"/>
          <w:highlight w:val="none"/>
        </w:rPr>
      </w:pPr>
    </w:p>
    <w:p>
      <w:pPr>
        <w:adjustRightInd w:val="0"/>
        <w:snapToGrid w:val="0"/>
        <w:spacing w:line="360" w:lineRule="auto"/>
        <w:ind w:left="8312" w:hanging="8312" w:hangingChars="3450"/>
        <w:rPr>
          <w:rFonts w:ascii="宋体" w:hAnsi="宋体" w:cs="宋体"/>
          <w:b/>
          <w:color w:val="auto"/>
          <w:sz w:val="24"/>
          <w:highlight w:val="none"/>
        </w:rPr>
      </w:pPr>
      <w:r>
        <w:rPr>
          <w:rFonts w:hint="eastAsia" w:ascii="宋体" w:hAnsi="宋体" w:cs="宋体"/>
          <w:b/>
          <w:color w:val="auto"/>
          <w:sz w:val="24"/>
          <w:highlight w:val="none"/>
        </w:rPr>
        <w:t>甲方名称：                                 乙方名称：</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深圳市前海深港现代服务业合作区管理局</w:t>
      </w:r>
      <w:r>
        <w:rPr>
          <w:rFonts w:hint="eastAsia" w:ascii="宋体" w:hAnsi="宋体" w:cs="宋体"/>
          <w:color w:val="auto"/>
          <w:sz w:val="24"/>
          <w:highlight w:val="none"/>
        </w:rPr>
        <w:tab/>
      </w:r>
      <w:r>
        <w:rPr>
          <w:rFonts w:hint="eastAsia" w:ascii="宋体" w:hAnsi="宋体" w:cs="宋体"/>
          <w:color w:val="auto"/>
          <w:sz w:val="24"/>
          <w:highlight w:val="none"/>
        </w:rPr>
        <w:t xml:space="preserve">     </w:t>
      </w:r>
    </w:p>
    <w:p>
      <w:pPr>
        <w:adjustRightInd w:val="0"/>
        <w:snapToGrid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（盖章）</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（盖章）</w:t>
      </w:r>
    </w:p>
    <w:p>
      <w:pPr>
        <w:adjustRightInd w:val="0"/>
        <w:snapToGrid w:val="0"/>
        <w:spacing w:line="360" w:lineRule="auto"/>
        <w:ind w:firstLine="200"/>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法定代表人或授权代表：（签字）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法定代表人或授权代表：（签字）</w:t>
      </w:r>
    </w:p>
    <w:p>
      <w:pPr>
        <w:widowControl/>
        <w:adjustRightInd w:val="0"/>
        <w:snapToGrid w:val="0"/>
        <w:spacing w:line="360" w:lineRule="auto"/>
        <w:ind w:firstLine="200"/>
        <w:jc w:val="left"/>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日期：                                       日期：</w:t>
      </w:r>
    </w:p>
    <w:p>
      <w:pPr>
        <w:adjustRightInd w:val="0"/>
        <w:snapToGrid w:val="0"/>
        <w:spacing w:line="360" w:lineRule="auto"/>
        <w:ind w:firstLine="720" w:firstLineChars="300"/>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注：本合同样本仅供参考，非实质性条款内容可由采购人和中标人协商确定。</w:t>
      </w:r>
    </w:p>
    <w:p>
      <w:pPr>
        <w:snapToGrid w:val="0"/>
        <w:spacing w:line="360" w:lineRule="auto"/>
        <w:rPr>
          <w:rFonts w:ascii="宋体" w:hAnsi="宋体" w:cs="宋体"/>
          <w:color w:val="auto"/>
          <w:sz w:val="24"/>
          <w:highlight w:val="none"/>
        </w:rPr>
      </w:pPr>
    </w:p>
    <w:p>
      <w:pPr>
        <w:numPr>
          <w:ilvl w:val="0"/>
          <w:numId w:val="1"/>
        </w:num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 xml:space="preserve"> </w:t>
      </w:r>
      <w:bookmarkStart w:id="16" w:name="_Toc25518"/>
      <w:r>
        <w:rPr>
          <w:rFonts w:hint="eastAsia" w:ascii="宋体" w:hAnsi="宋体" w:cs="宋体"/>
          <w:b/>
          <w:bCs/>
          <w:color w:val="auto"/>
          <w:sz w:val="24"/>
          <w:highlight w:val="none"/>
        </w:rPr>
        <w:t>用户需求书</w:t>
      </w:r>
      <w:bookmarkEnd w:id="16"/>
    </w:p>
    <w:p>
      <w:pPr>
        <w:pStyle w:val="52"/>
        <w:tabs>
          <w:tab w:val="left" w:pos="720"/>
        </w:tabs>
        <w:autoSpaceDE w:val="0"/>
        <w:autoSpaceDN w:val="0"/>
        <w:adjustRightInd w:val="0"/>
        <w:spacing w:line="360" w:lineRule="auto"/>
        <w:ind w:right="17" w:firstLine="482"/>
        <w:jc w:val="left"/>
        <w:outlineLvl w:val="1"/>
        <w:rPr>
          <w:rFonts w:ascii="宋体" w:hAnsi="宋体" w:cs="宋体"/>
          <w:b/>
          <w:color w:val="auto"/>
          <w:sz w:val="24"/>
          <w:highlight w:val="none"/>
        </w:rPr>
      </w:pPr>
      <w:bookmarkStart w:id="17" w:name="_Toc11045"/>
      <w:bookmarkStart w:id="18" w:name="_Toc23726"/>
      <w:r>
        <w:rPr>
          <w:rFonts w:hint="eastAsia" w:ascii="宋体" w:hAnsi="宋体" w:cs="宋体"/>
          <w:b/>
          <w:color w:val="auto"/>
          <w:sz w:val="24"/>
          <w:highlight w:val="none"/>
        </w:rPr>
        <w:t>一、</w:t>
      </w:r>
      <w:bookmarkEnd w:id="17"/>
      <w:bookmarkEnd w:id="18"/>
      <w:bookmarkStart w:id="19" w:name="_Toc51746099"/>
      <w:r>
        <w:rPr>
          <w:rFonts w:hint="eastAsia" w:ascii="宋体" w:hAnsi="宋体" w:cs="宋体"/>
          <w:b/>
          <w:color w:val="auto"/>
          <w:sz w:val="24"/>
          <w:highlight w:val="none"/>
          <w:lang w:val="zh-CN"/>
        </w:rPr>
        <w:t>项目</w:t>
      </w:r>
      <w:r>
        <w:rPr>
          <w:rFonts w:hint="eastAsia" w:ascii="宋体" w:hAnsi="宋体" w:cs="宋体"/>
          <w:b/>
          <w:color w:val="auto"/>
          <w:sz w:val="24"/>
          <w:highlight w:val="none"/>
        </w:rPr>
        <w:t>背景</w:t>
      </w:r>
    </w:p>
    <w:bookmarkEnd w:id="19"/>
    <w:p>
      <w:pPr>
        <w:pStyle w:val="9"/>
        <w:spacing w:after="0"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一）“一带一路”是以习近平同志为核心的党中央在统筹国内国际两个大局基础上做出的重大倡议和构想。六年多来，“一带一路”已成为当下中国改革开放实践的新篇章和进行时。习近平总书记多次强调“凡属重大改革都要于法有据”、“开放也是改革，要寓改革于开放之中”。中国企业参与“一带一路”建设，离不开“于法有据”。</w:t>
      </w:r>
    </w:p>
    <w:p>
      <w:pPr>
        <w:pStyle w:val="9"/>
        <w:spacing w:after="0" w:line="360" w:lineRule="auto"/>
        <w:ind w:firstLine="480" w:firstLineChars="200"/>
        <w:rPr>
          <w:rFonts w:hint="eastAsia" w:ascii="宋体" w:hAnsi="宋体" w:cs="宋体"/>
          <w:color w:val="auto"/>
          <w:szCs w:val="32"/>
          <w:highlight w:val="none"/>
          <w:lang w:val="en-US" w:eastAsia="zh-CN"/>
        </w:rPr>
      </w:pPr>
      <w:r>
        <w:rPr>
          <w:rFonts w:hint="eastAsia" w:ascii="宋体" w:hAnsi="宋体" w:cs="宋体"/>
          <w:color w:val="auto"/>
          <w:szCs w:val="32"/>
          <w:highlight w:val="none"/>
        </w:rPr>
        <w:t>（二）“一带一路”沿线国家和地区的政治和法制环境复杂多元，相关政策与法律还经常因外部经济、政治环境的变化而不断调整，中国企业和投资人</w:t>
      </w:r>
      <w:r>
        <w:rPr>
          <w:rFonts w:hint="eastAsia" w:ascii="宋体" w:hAnsi="宋体" w:cs="宋体"/>
          <w:color w:val="auto"/>
          <w:szCs w:val="32"/>
          <w:highlight w:val="none"/>
          <w:lang w:val="en-US" w:eastAsia="zh-CN"/>
        </w:rPr>
        <w:t>+</w:t>
      </w:r>
    </w:p>
    <w:p>
      <w:pPr>
        <w:pStyle w:val="9"/>
        <w:spacing w:after="0"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走出去”面临比较复杂的法律环境；此外，各国在地缘政治、民族宗教以及社情环境上也复杂多样，存在巨大差异。以上因素导致中国企业在对外贸易和投资时，难以精准把握和有效利用各种有利规则、难以及时发现和防控各种风险点。</w:t>
      </w:r>
    </w:p>
    <w:p>
      <w:pPr>
        <w:pStyle w:val="9"/>
        <w:spacing w:after="0"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三）深圳前海是国家唯一一个确定为“社会主义法治示范区”的自贸区，致力于运用深圳先行先试的优势，在运用数据信息提升法律服务方面探索可复制、可推广的新路径和新经验。“一带一路”法治地图，既有宏观地图的宏大命题，也有重点国家/地区这类集大成者，更有具体而微的微观地图。2015年9月，域外法律查明的“一中心两基地”落户前海，希望通过本项目的实施，建立建成一整套有标杆作用的（对国际规则和外国法）法律查明/查询机制，同时推进建设“一带一路”国家和地区法律资源库，从而帮助“一带一路”倡议背景下中国企业等主体更好地做到“于法有据”，为“一带一路”的参与主体提供保障。</w:t>
      </w:r>
    </w:p>
    <w:p>
      <w:pPr>
        <w:pStyle w:val="9"/>
        <w:spacing w:after="0"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（四）2016年底，深圳市前海深港现代服务业合作区管理局部署了全国首个服务于“一带一路”建设的大型中文法律公共数据库——“一带一路”法治地图项目。2019年9月底，法治地图项目初步建设完成。</w:t>
      </w:r>
    </w:p>
    <w:p>
      <w:pPr>
        <w:pStyle w:val="9"/>
        <w:spacing w:after="0"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（五）法治地图的建设引起了各方的关注，也得到了上级机关的认可，被写入多个政府文件：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2018年5月24日，国务院印发的《进一步深化中国（广东）自由贸易试验区改革开放方案》提到，推动成立服务“一带一路”建设的法律类社会组织，</w:t>
      </w:r>
      <w:r>
        <w:rPr>
          <w:rFonts w:hint="eastAsia" w:ascii="宋体" w:hAnsi="宋体" w:cs="宋体"/>
          <w:b/>
          <w:bCs/>
          <w:color w:val="auto"/>
          <w:sz w:val="24"/>
          <w:highlight w:val="none"/>
        </w:rPr>
        <w:t>加快推进“一带一路”法治地图建设</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2018年7月29日，广东省人民政府印发的《进一步深化中国（广东）自由贸易试验区改革开放分工方案》第十八点明确要求，携手港澳参与“一带一路”建设，推动成立服务“一带一路”建设的法律类社会组织，</w:t>
      </w:r>
      <w:r>
        <w:rPr>
          <w:rFonts w:hint="eastAsia" w:ascii="宋体" w:hAnsi="宋体" w:cs="宋体"/>
          <w:b/>
          <w:bCs/>
          <w:color w:val="auto"/>
          <w:sz w:val="24"/>
          <w:highlight w:val="none"/>
        </w:rPr>
        <w:t>加快推进“一带一路”法治地图建设</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2019年2月18日中共中央、国务院印发的《粤港澳大湾区发展规划纲要》提出在大湾区内加快发展现代服务业，提升深圳前海深港现代服务业合作区功能，加强法律服务业发展，</w:t>
      </w:r>
      <w:r>
        <w:rPr>
          <w:rFonts w:hint="eastAsia" w:ascii="宋体" w:hAnsi="宋体" w:cs="宋体"/>
          <w:b/>
          <w:bCs/>
          <w:color w:val="auto"/>
          <w:sz w:val="24"/>
          <w:highlight w:val="none"/>
        </w:rPr>
        <w:t>鼓励支持法律服务机构为“一带一路”建设和内地走出去提供服务</w:t>
      </w:r>
      <w:r>
        <w:rPr>
          <w:rFonts w:hint="eastAsia" w:ascii="宋体" w:hAnsi="宋体" w:cs="宋体"/>
          <w:color w:val="auto"/>
          <w:sz w:val="24"/>
          <w:highlight w:val="none"/>
        </w:rPr>
        <w:t>，充分发挥深圳前海在进一步深化改革、扩大开放、促进合作中的试验示范作用。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2019年7月5日，广东省推进粤港澳大湾区建设领导小组印发《广东省推进粤港澳大湾区建设三年行动计划（2018-2020年）》第七十四点要求，推动成立服务“一带一路”建设的法律类社会组织，</w:t>
      </w:r>
      <w:r>
        <w:rPr>
          <w:rFonts w:hint="eastAsia" w:ascii="宋体" w:hAnsi="宋体" w:cs="宋体"/>
          <w:b/>
          <w:bCs/>
          <w:color w:val="auto"/>
          <w:sz w:val="24"/>
          <w:highlight w:val="none"/>
        </w:rPr>
        <w:t>加快推进“一带一路”法治地图建设</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2019年7月10日，中共中央办公厅、国务院办公厅印发《关于加快推进公共法律服务体系建设的意见》，提出要建立健全法律查明机制，指出要“</w:t>
      </w:r>
      <w:r>
        <w:rPr>
          <w:rFonts w:hint="eastAsia" w:ascii="宋体" w:hAnsi="宋体" w:cs="宋体"/>
          <w:b/>
          <w:bCs/>
          <w:color w:val="auto"/>
          <w:sz w:val="24"/>
          <w:highlight w:val="none"/>
        </w:rPr>
        <w:t>通过建立国别法律信息数据库以及专家库等形式提供域外法律查明服务</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2020年12月14日，广东省</w:t>
      </w:r>
      <w:r>
        <w:rPr>
          <w:rFonts w:hint="eastAsia" w:ascii="宋体" w:hAnsi="宋体" w:cs="宋体"/>
          <w:color w:val="auto"/>
          <w:sz w:val="24"/>
          <w:highlight w:val="none"/>
          <w:lang w:eastAsia="zh-CN"/>
        </w:rPr>
        <w:t>“十四五”规划</w:t>
      </w:r>
      <w:r>
        <w:rPr>
          <w:rFonts w:hint="eastAsia" w:ascii="宋体" w:hAnsi="宋体" w:cs="宋体"/>
          <w:color w:val="auto"/>
          <w:sz w:val="24"/>
          <w:highlight w:val="none"/>
        </w:rPr>
        <w:t>和二〇三五年远景目标获得通过，目标中提到，</w:t>
      </w:r>
      <w:r>
        <w:rPr>
          <w:rFonts w:hint="eastAsia" w:ascii="宋体" w:hAnsi="宋体" w:cs="宋体"/>
          <w:b/>
          <w:bCs/>
          <w:color w:val="auto"/>
          <w:sz w:val="24"/>
          <w:highlight w:val="none"/>
        </w:rPr>
        <w:t>应进一步深度参与“一带一路”建设</w:t>
      </w:r>
      <w:r>
        <w:rPr>
          <w:rFonts w:hint="eastAsia" w:ascii="宋体" w:hAnsi="宋体" w:cs="宋体"/>
          <w:color w:val="auto"/>
          <w:sz w:val="24"/>
          <w:highlight w:val="none"/>
        </w:rPr>
        <w:t>，更好发挥广东在“一带一路”建设中的战略枢纽、经贸合作中心和重要引擎作用。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2021年1月10日，国务院新闻办公室发布《新时代的中国国际发展合作》白皮书，其中提到要</w:t>
      </w:r>
      <w:r>
        <w:rPr>
          <w:rFonts w:hint="eastAsia" w:ascii="宋体" w:hAnsi="宋体" w:cs="宋体"/>
          <w:b/>
          <w:bCs/>
          <w:color w:val="auto"/>
          <w:sz w:val="24"/>
          <w:highlight w:val="none"/>
        </w:rPr>
        <w:t>继续推进“一带一路”相关法律法规和制度建设，为国际发展合作提供法制保障</w:t>
      </w:r>
      <w:r>
        <w:rPr>
          <w:rFonts w:hint="eastAsia" w:ascii="宋体" w:hAnsi="宋体" w:cs="宋体"/>
          <w:color w:val="auto"/>
          <w:sz w:val="24"/>
          <w:highlight w:val="none"/>
        </w:rPr>
        <w:t>。</w:t>
      </w:r>
    </w:p>
    <w:p>
      <w:pPr>
        <w:pStyle w:val="9"/>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2022</w:t>
      </w:r>
      <w:r>
        <w:rPr>
          <w:rFonts w:hint="eastAsia" w:ascii="宋体" w:hAnsi="宋体" w:cs="宋体"/>
          <w:color w:val="auto"/>
          <w:highlight w:val="none"/>
          <w:lang w:eastAsia="zh-Hans"/>
        </w:rPr>
        <w:t>年3月16日，</w:t>
      </w:r>
      <w:r>
        <w:rPr>
          <w:rFonts w:hint="eastAsia" w:ascii="宋体" w:hAnsi="宋体" w:cs="宋体"/>
          <w:color w:val="auto"/>
          <w:kern w:val="0"/>
          <w:highlight w:val="none"/>
          <w:shd w:val="clear" w:color="auto" w:fill="FFFFFF"/>
          <w:lang w:bidi="ar"/>
        </w:rPr>
        <w:t>发展改革委</w:t>
      </w:r>
      <w:r>
        <w:rPr>
          <w:rFonts w:hint="eastAsia" w:ascii="宋体" w:hAnsi="宋体" w:cs="宋体"/>
          <w:color w:val="auto"/>
          <w:kern w:val="0"/>
          <w:highlight w:val="none"/>
          <w:shd w:val="clear" w:color="auto" w:fill="FFFFFF"/>
          <w:lang w:eastAsia="zh-Hans" w:bidi="ar"/>
        </w:rPr>
        <w:t>、</w:t>
      </w:r>
      <w:r>
        <w:rPr>
          <w:rFonts w:hint="eastAsia" w:ascii="宋体" w:hAnsi="宋体" w:cs="宋体"/>
          <w:color w:val="auto"/>
          <w:kern w:val="0"/>
          <w:highlight w:val="none"/>
          <w:shd w:val="clear" w:color="auto" w:fill="FFFFFF"/>
          <w:lang w:bidi="ar"/>
        </w:rPr>
        <w:t>外交部</w:t>
      </w:r>
      <w:r>
        <w:rPr>
          <w:rFonts w:hint="eastAsia" w:ascii="宋体" w:hAnsi="宋体" w:cs="宋体"/>
          <w:color w:val="auto"/>
          <w:kern w:val="0"/>
          <w:highlight w:val="none"/>
          <w:shd w:val="clear" w:color="auto" w:fill="FFFFFF"/>
          <w:lang w:eastAsia="zh-Hans" w:bidi="ar"/>
        </w:rPr>
        <w:t>、</w:t>
      </w:r>
      <w:r>
        <w:rPr>
          <w:rFonts w:hint="eastAsia" w:ascii="宋体" w:hAnsi="宋体" w:cs="宋体"/>
          <w:color w:val="auto"/>
          <w:kern w:val="0"/>
          <w:highlight w:val="none"/>
          <w:shd w:val="clear" w:color="auto" w:fill="FFFFFF"/>
          <w:lang w:bidi="ar"/>
        </w:rPr>
        <w:t>生态环境部</w:t>
      </w:r>
      <w:r>
        <w:rPr>
          <w:rFonts w:hint="eastAsia" w:ascii="宋体" w:hAnsi="宋体" w:cs="宋体"/>
          <w:color w:val="auto"/>
          <w:kern w:val="0"/>
          <w:highlight w:val="none"/>
          <w:shd w:val="clear" w:color="auto" w:fill="FFFFFF"/>
          <w:lang w:eastAsia="zh-Hans" w:bidi="ar"/>
        </w:rPr>
        <w:t>、</w:t>
      </w:r>
      <w:r>
        <w:rPr>
          <w:rFonts w:hint="eastAsia" w:ascii="宋体" w:hAnsi="宋体" w:cs="宋体"/>
          <w:color w:val="auto"/>
          <w:kern w:val="0"/>
          <w:highlight w:val="none"/>
          <w:shd w:val="clear" w:color="auto" w:fill="FFFFFF"/>
          <w:lang w:bidi="ar"/>
        </w:rPr>
        <w:t>商务部</w:t>
      </w:r>
      <w:r>
        <w:rPr>
          <w:rFonts w:hint="eastAsia" w:ascii="宋体" w:hAnsi="宋体" w:cs="宋体"/>
          <w:color w:val="auto"/>
          <w:kern w:val="0"/>
          <w:highlight w:val="none"/>
          <w:shd w:val="clear" w:color="auto" w:fill="FFFFFF"/>
          <w:lang w:eastAsia="zh-Hans" w:bidi="ar"/>
        </w:rPr>
        <w:t>联合发布《</w:t>
      </w:r>
      <w:r>
        <w:rPr>
          <w:rFonts w:hint="eastAsia" w:ascii="宋体" w:hAnsi="宋体" w:cs="宋体"/>
          <w:color w:val="auto"/>
          <w:highlight w:val="none"/>
          <w:lang w:eastAsia="zh-Hans"/>
        </w:rPr>
        <w:t>国家发展改革委等部门关于推进共建“一带一路”绿色发展的意见》（发改开放〔2022〕408号），其中提到要</w:t>
      </w:r>
      <w:r>
        <w:rPr>
          <w:rFonts w:hint="eastAsia" w:ascii="宋体" w:hAnsi="宋体" w:cs="宋体"/>
          <w:b/>
          <w:bCs/>
          <w:color w:val="auto"/>
          <w:highlight w:val="none"/>
          <w:lang w:eastAsia="zh-Hans"/>
        </w:rPr>
        <w:t>强化生态环保法律法规和国际通行规则研究</w:t>
      </w:r>
      <w:r>
        <w:rPr>
          <w:rFonts w:hint="eastAsia" w:ascii="宋体" w:hAnsi="宋体" w:cs="宋体"/>
          <w:color w:val="auto"/>
          <w:highlight w:val="none"/>
        </w:rPr>
        <w:t>。</w:t>
      </w:r>
    </w:p>
    <w:p>
      <w:pPr>
        <w:pStyle w:val="9"/>
        <w:spacing w:after="0"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（六）重要性及必要性</w:t>
      </w:r>
    </w:p>
    <w:p>
      <w:pPr>
        <w:pStyle w:val="9"/>
        <w:spacing w:after="0"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构建“一带一路”法治地图平台的主要方式为“一带一路”沿线国家的法律/判例查明、检索和翻译。为了保持平台内容的时效性、准确性、完整性，持续增加用户数量与用户粘度，需要对平台所承载的数据内容进行维护。</w:t>
      </w:r>
    </w:p>
    <w:p>
      <w:pPr>
        <w:pStyle w:val="52"/>
        <w:tabs>
          <w:tab w:val="left" w:pos="720"/>
        </w:tabs>
        <w:autoSpaceDE w:val="0"/>
        <w:autoSpaceDN w:val="0"/>
        <w:adjustRightInd w:val="0"/>
        <w:spacing w:line="360" w:lineRule="auto"/>
        <w:ind w:right="17" w:firstLine="482"/>
        <w:jc w:val="left"/>
        <w:outlineLvl w:val="1"/>
        <w:rPr>
          <w:rFonts w:ascii="宋体" w:hAnsi="宋体" w:cs="宋体"/>
          <w:b/>
          <w:color w:val="auto"/>
          <w:sz w:val="24"/>
          <w:highlight w:val="none"/>
        </w:rPr>
      </w:pPr>
      <w:r>
        <w:rPr>
          <w:rFonts w:hint="eastAsia" w:ascii="宋体" w:hAnsi="宋体" w:cs="宋体"/>
          <w:b/>
          <w:color w:val="auto"/>
          <w:sz w:val="24"/>
          <w:highlight w:val="none"/>
        </w:rPr>
        <w:t>二、工作内容</w:t>
      </w:r>
    </w:p>
    <w:p>
      <w:pPr>
        <w:spacing w:line="500" w:lineRule="exact"/>
        <w:ind w:firstLine="480" w:firstLineChars="200"/>
        <w:rPr>
          <w:rFonts w:ascii="宋体" w:hAnsi="宋体" w:cs="宋体"/>
          <w:color w:val="auto"/>
          <w:sz w:val="24"/>
          <w:highlight w:val="none"/>
        </w:rPr>
      </w:pPr>
      <w:r>
        <w:rPr>
          <w:rFonts w:hint="eastAsia" w:ascii="宋体" w:hAnsi="宋体" w:cs="宋体"/>
          <w:bCs/>
          <w:color w:val="auto"/>
          <w:sz w:val="24"/>
          <w:highlight w:val="none"/>
        </w:rPr>
        <w:t>（一）</w:t>
      </w:r>
      <w:r>
        <w:rPr>
          <w:rFonts w:hint="eastAsia" w:ascii="宋体" w:hAnsi="宋体" w:cs="宋体"/>
          <w:color w:val="auto"/>
          <w:sz w:val="24"/>
          <w:highlight w:val="none"/>
        </w:rPr>
        <w:t>对“一带一路”法治地图微观平台已查明、检索、翻译的沿线69个国家和地区的法律/判例、法规和政策及相关法律知识进行维护更新，为政府、企业、学术机构和个人提供有关“一带一路”贸易和投资领域的专业、及时的法律知识服务。</w:t>
      </w:r>
    </w:p>
    <w:p>
      <w:pPr>
        <w:spacing w:line="500" w:lineRule="exact"/>
        <w:ind w:firstLine="480" w:firstLineChars="200"/>
        <w:rPr>
          <w:rFonts w:ascii="宋体" w:hAnsi="宋体" w:cs="宋体"/>
          <w:color w:val="auto"/>
          <w:sz w:val="24"/>
          <w:highlight w:val="none"/>
        </w:rPr>
      </w:pPr>
      <w:r>
        <w:rPr>
          <w:rFonts w:hint="eastAsia" w:ascii="宋体" w:hAnsi="宋体" w:cs="宋体"/>
          <w:bCs/>
          <w:color w:val="auto"/>
          <w:sz w:val="24"/>
          <w:highlight w:val="none"/>
        </w:rPr>
        <w:t>（二）运营维护目标</w:t>
      </w:r>
    </w:p>
    <w:p>
      <w:pPr>
        <w:spacing w:line="500" w:lineRule="exact"/>
        <w:ind w:firstLine="480" w:firstLineChars="200"/>
        <w:rPr>
          <w:rFonts w:ascii="宋体" w:hAnsi="宋体" w:cs="宋体"/>
          <w:color w:val="auto"/>
          <w:sz w:val="24"/>
          <w:highlight w:val="none"/>
          <w:lang w:eastAsia="zh-Hans"/>
        </w:rPr>
      </w:pPr>
      <w:r>
        <w:rPr>
          <w:rFonts w:ascii="宋体" w:hAnsi="宋体" w:cs="宋体"/>
          <w:color w:val="auto"/>
          <w:sz w:val="24"/>
          <w:highlight w:val="none"/>
        </w:rPr>
        <w:t>1</w:t>
      </w:r>
      <w:r>
        <w:rPr>
          <w:rFonts w:hint="eastAsia" w:ascii="宋体" w:hAnsi="宋体" w:cs="宋体"/>
          <w:color w:val="auto"/>
          <w:sz w:val="24"/>
          <w:highlight w:val="none"/>
          <w:lang w:eastAsia="zh-Hans"/>
        </w:rPr>
        <w:t>.</w:t>
      </w:r>
      <w:r>
        <w:rPr>
          <w:rFonts w:ascii="宋体" w:hAnsi="宋体" w:cs="宋体"/>
          <w:color w:val="auto"/>
          <w:sz w:val="24"/>
          <w:highlight w:val="none"/>
          <w:lang w:eastAsia="zh-Hans"/>
        </w:rPr>
        <w:t xml:space="preserve"> </w:t>
      </w:r>
      <w:r>
        <w:rPr>
          <w:rFonts w:hint="eastAsia" w:ascii="宋体" w:hAnsi="宋体" w:cs="宋体"/>
          <w:color w:val="auto"/>
          <w:sz w:val="24"/>
          <w:highlight w:val="none"/>
          <w:lang w:eastAsia="zh-Hans"/>
        </w:rPr>
        <w:t>内容运营维护目标</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eastAsia="zh-Hans"/>
        </w:rPr>
        <w:t>（</w:t>
      </w:r>
      <w:r>
        <w:rPr>
          <w:rFonts w:ascii="宋体" w:hAnsi="宋体" w:cs="宋体"/>
          <w:color w:val="auto"/>
          <w:sz w:val="24"/>
          <w:highlight w:val="none"/>
          <w:lang w:eastAsia="zh-Hans"/>
        </w:rPr>
        <w:t>1</w:t>
      </w:r>
      <w:r>
        <w:rPr>
          <w:rFonts w:hint="eastAsia" w:ascii="宋体" w:hAnsi="宋体" w:cs="宋体"/>
          <w:color w:val="auto"/>
          <w:sz w:val="24"/>
          <w:highlight w:val="none"/>
          <w:lang w:eastAsia="zh-Hans"/>
        </w:rPr>
        <w:t>）</w:t>
      </w:r>
      <w:r>
        <w:rPr>
          <w:rFonts w:hint="eastAsia" w:ascii="宋体" w:hAnsi="宋体" w:cs="宋体"/>
          <w:color w:val="auto"/>
          <w:sz w:val="24"/>
          <w:highlight w:val="none"/>
        </w:rPr>
        <w:t>跟随国家“一带一路”共商、共享、共建步伐，更新和完善法治地图平台的内容资源，在上一年度运营维护工作的基础上，参考商务部及对外投资主管部门公布的近年来我国企业对外投资数据，以及国际经济发展和商贸投资的新形势开展202</w:t>
      </w:r>
      <w:r>
        <w:rPr>
          <w:rFonts w:ascii="宋体" w:hAnsi="宋体" w:cs="宋体"/>
          <w:color w:val="auto"/>
          <w:sz w:val="24"/>
          <w:highlight w:val="none"/>
        </w:rPr>
        <w:t>3</w:t>
      </w:r>
      <w:r>
        <w:rPr>
          <w:rFonts w:hint="eastAsia" w:ascii="宋体" w:hAnsi="宋体" w:cs="宋体"/>
          <w:color w:val="auto"/>
          <w:sz w:val="24"/>
          <w:highlight w:val="none"/>
        </w:rPr>
        <w:t>年度项目运营维护工作建设。</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eastAsia="zh-Hans"/>
        </w:rPr>
        <w:t>（</w:t>
      </w:r>
      <w:r>
        <w:rPr>
          <w:rFonts w:hint="eastAsia" w:ascii="宋体" w:hAnsi="宋体" w:cs="宋体"/>
          <w:color w:val="auto"/>
          <w:sz w:val="24"/>
          <w:highlight w:val="none"/>
        </w:rPr>
        <w:t>2</w:t>
      </w:r>
      <w:r>
        <w:rPr>
          <w:rFonts w:hint="eastAsia" w:ascii="宋体" w:hAnsi="宋体" w:cs="宋体"/>
          <w:color w:val="auto"/>
          <w:sz w:val="24"/>
          <w:highlight w:val="none"/>
          <w:lang w:eastAsia="zh-Hans"/>
        </w:rPr>
        <w:t>）</w:t>
      </w:r>
      <w:r>
        <w:rPr>
          <w:rFonts w:hint="eastAsia" w:ascii="宋体" w:hAnsi="宋体" w:cs="宋体"/>
          <w:color w:val="auto"/>
          <w:sz w:val="24"/>
          <w:highlight w:val="none"/>
        </w:rPr>
        <w:t>参考2020年平台内容维护工作中，负责单位核查的内容数据更新率17%和变动国家数达85%的核查结果</w:t>
      </w:r>
      <w:r>
        <w:rPr>
          <w:rFonts w:hint="eastAsia" w:ascii="宋体" w:hAnsi="宋体" w:cs="宋体"/>
          <w:color w:val="auto"/>
          <w:sz w:val="24"/>
          <w:highlight w:val="none"/>
          <w:lang w:eastAsia="zh-Hans"/>
        </w:rPr>
        <w:t>；</w:t>
      </w:r>
      <w:r>
        <w:rPr>
          <w:rFonts w:ascii="宋体" w:hAnsi="宋体" w:cs="宋体"/>
          <w:color w:val="auto"/>
          <w:sz w:val="24"/>
          <w:highlight w:val="none"/>
          <w:lang w:eastAsia="zh-Hans"/>
        </w:rPr>
        <w:t>2022</w:t>
      </w:r>
      <w:r>
        <w:rPr>
          <w:rFonts w:hint="eastAsia" w:ascii="宋体" w:hAnsi="宋体" w:cs="宋体"/>
          <w:color w:val="auto"/>
          <w:sz w:val="24"/>
          <w:highlight w:val="none"/>
          <w:lang w:eastAsia="zh-Hans"/>
        </w:rPr>
        <w:t>年负责单位核查的内容数据更新率约为</w:t>
      </w:r>
      <w:r>
        <w:rPr>
          <w:rFonts w:ascii="宋体" w:hAnsi="宋体" w:cs="宋体"/>
          <w:color w:val="auto"/>
          <w:sz w:val="24"/>
          <w:highlight w:val="none"/>
          <w:lang w:eastAsia="zh-Hans"/>
        </w:rPr>
        <w:t>20%</w:t>
      </w:r>
      <w:r>
        <w:rPr>
          <w:rFonts w:hint="eastAsia" w:ascii="宋体" w:hAnsi="宋体" w:cs="宋体"/>
          <w:color w:val="auto"/>
          <w:sz w:val="24"/>
          <w:highlight w:val="none"/>
          <w:lang w:eastAsia="zh-Hans"/>
        </w:rPr>
        <w:t>，变动国家数与</w:t>
      </w:r>
      <w:r>
        <w:rPr>
          <w:rFonts w:ascii="宋体" w:hAnsi="宋体" w:cs="宋体"/>
          <w:color w:val="auto"/>
          <w:sz w:val="24"/>
          <w:highlight w:val="none"/>
          <w:lang w:eastAsia="zh-Hans"/>
        </w:rPr>
        <w:t>2020</w:t>
      </w:r>
      <w:r>
        <w:rPr>
          <w:rFonts w:hint="eastAsia" w:ascii="宋体" w:hAnsi="宋体" w:cs="宋体"/>
          <w:color w:val="auto"/>
          <w:sz w:val="24"/>
          <w:highlight w:val="none"/>
          <w:lang w:eastAsia="zh-Hans"/>
        </w:rPr>
        <w:t>年基本持平。</w:t>
      </w:r>
      <w:r>
        <w:rPr>
          <w:rFonts w:hint="eastAsia" w:ascii="宋体" w:hAnsi="宋体" w:cs="宋体"/>
          <w:color w:val="auto"/>
          <w:sz w:val="24"/>
          <w:highlight w:val="none"/>
        </w:rPr>
        <w:t>202</w:t>
      </w:r>
      <w:r>
        <w:rPr>
          <w:rFonts w:ascii="宋体" w:hAnsi="宋体" w:cs="宋体"/>
          <w:color w:val="auto"/>
          <w:sz w:val="24"/>
          <w:highlight w:val="none"/>
        </w:rPr>
        <w:t>3</w:t>
      </w:r>
      <w:r>
        <w:rPr>
          <w:rFonts w:hint="eastAsia" w:ascii="宋体" w:hAnsi="宋体" w:cs="宋体"/>
          <w:color w:val="auto"/>
          <w:sz w:val="24"/>
          <w:highlight w:val="none"/>
        </w:rPr>
        <w:t>年预估数据更新率将在10%-</w:t>
      </w:r>
      <w:r>
        <w:rPr>
          <w:rFonts w:ascii="宋体" w:hAnsi="宋体" w:cs="宋体"/>
          <w:color w:val="auto"/>
          <w:sz w:val="24"/>
          <w:highlight w:val="none"/>
        </w:rPr>
        <w:t>20</w:t>
      </w:r>
      <w:r>
        <w:rPr>
          <w:rFonts w:hint="eastAsia" w:ascii="宋体" w:hAnsi="宋体" w:cs="宋体"/>
          <w:color w:val="auto"/>
          <w:sz w:val="24"/>
          <w:highlight w:val="none"/>
        </w:rPr>
        <w:t>%区间，涉及工作总量将达到100-</w:t>
      </w:r>
      <w:r>
        <w:rPr>
          <w:rFonts w:ascii="宋体" w:hAnsi="宋体" w:cs="宋体"/>
          <w:color w:val="auto"/>
          <w:sz w:val="24"/>
          <w:highlight w:val="none"/>
        </w:rPr>
        <w:t>20</w:t>
      </w:r>
      <w:r>
        <w:rPr>
          <w:rFonts w:hint="eastAsia" w:ascii="宋体" w:hAnsi="宋体" w:cs="宋体"/>
          <w:color w:val="auto"/>
          <w:sz w:val="24"/>
          <w:highlight w:val="none"/>
        </w:rPr>
        <w:t>0万外文字，</w:t>
      </w:r>
      <w:r>
        <w:rPr>
          <w:rFonts w:hint="eastAsia" w:ascii="宋体" w:hAnsi="宋体" w:cs="宋体"/>
          <w:color w:val="auto"/>
          <w:sz w:val="24"/>
          <w:highlight w:val="none"/>
          <w:lang w:eastAsia="zh-Hans"/>
        </w:rPr>
        <w:t>预计</w:t>
      </w:r>
      <w:r>
        <w:rPr>
          <w:rFonts w:hint="eastAsia" w:ascii="宋体" w:hAnsi="宋体" w:cs="宋体"/>
          <w:color w:val="auto"/>
          <w:sz w:val="24"/>
          <w:highlight w:val="none"/>
        </w:rPr>
        <w:t>覆盖50个国家和地区。</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eastAsia="zh-Hans"/>
        </w:rPr>
        <w:t>（</w:t>
      </w:r>
      <w:r>
        <w:rPr>
          <w:rFonts w:hint="eastAsia" w:ascii="宋体" w:hAnsi="宋体" w:cs="宋体"/>
          <w:color w:val="auto"/>
          <w:sz w:val="24"/>
          <w:highlight w:val="none"/>
        </w:rPr>
        <w:t>3</w:t>
      </w:r>
      <w:r>
        <w:rPr>
          <w:rFonts w:hint="eastAsia" w:ascii="宋体" w:hAnsi="宋体" w:cs="宋体"/>
          <w:color w:val="auto"/>
          <w:sz w:val="24"/>
          <w:highlight w:val="none"/>
          <w:lang w:eastAsia="zh-Hans"/>
        </w:rPr>
        <w:t>）</w:t>
      </w:r>
      <w:r>
        <w:rPr>
          <w:rFonts w:hint="eastAsia" w:ascii="宋体" w:hAnsi="宋体" w:cs="宋体"/>
          <w:color w:val="auto"/>
          <w:sz w:val="24"/>
          <w:highlight w:val="none"/>
        </w:rPr>
        <w:t>参考沿线国家和地区法律/判例、法规和政策按照其适用范围的大小和法律位阶的高低对已修订、更新的法律资源进行详略区分，对主要国家和重点投资领域涉及的内容资源完成翻译校审和更新上线工作。同时推进宣传推广工作，增强项目产品的知名度和受众广度。</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eastAsia="zh-Hans"/>
        </w:rPr>
        <w:t>（</w:t>
      </w:r>
      <w:r>
        <w:rPr>
          <w:rFonts w:hint="eastAsia" w:ascii="宋体" w:hAnsi="宋体" w:cs="宋体"/>
          <w:color w:val="auto"/>
          <w:sz w:val="24"/>
          <w:highlight w:val="none"/>
        </w:rPr>
        <w:t>4</w:t>
      </w:r>
      <w:r>
        <w:rPr>
          <w:rFonts w:hint="eastAsia" w:ascii="宋体" w:hAnsi="宋体" w:cs="宋体"/>
          <w:color w:val="auto"/>
          <w:sz w:val="24"/>
          <w:highlight w:val="none"/>
          <w:lang w:eastAsia="zh-Hans"/>
        </w:rPr>
        <w:t>）</w:t>
      </w:r>
      <w:r>
        <w:rPr>
          <w:rFonts w:hint="eastAsia" w:ascii="宋体" w:hAnsi="宋体" w:cs="宋体"/>
          <w:color w:val="auto"/>
          <w:sz w:val="24"/>
          <w:highlight w:val="none"/>
        </w:rPr>
        <w:t>202</w:t>
      </w:r>
      <w:r>
        <w:rPr>
          <w:rFonts w:ascii="宋体" w:hAnsi="宋体" w:cs="宋体"/>
          <w:color w:val="auto"/>
          <w:sz w:val="24"/>
          <w:highlight w:val="none"/>
        </w:rPr>
        <w:t>3</w:t>
      </w:r>
      <w:r>
        <w:rPr>
          <w:rFonts w:hint="eastAsia" w:ascii="宋体" w:hAnsi="宋体" w:cs="宋体"/>
          <w:color w:val="auto"/>
          <w:sz w:val="24"/>
          <w:highlight w:val="none"/>
        </w:rPr>
        <w:t>年度运营维护工作完成后，平台需实现内容资源整体基本完成年度时效性核验和对重点法律法规完成内容更新工作。</w:t>
      </w:r>
    </w:p>
    <w:p>
      <w:pPr>
        <w:spacing w:line="500" w:lineRule="exact"/>
        <w:ind w:firstLine="480" w:firstLineChars="200"/>
        <w:rPr>
          <w:rFonts w:ascii="宋体" w:hAnsi="宋体" w:cs="宋体"/>
          <w:color w:val="auto"/>
          <w:sz w:val="24"/>
          <w:highlight w:val="none"/>
          <w:lang w:eastAsia="zh-Hans"/>
        </w:rPr>
      </w:pPr>
      <w:r>
        <w:rPr>
          <w:rFonts w:ascii="宋体" w:hAnsi="宋体" w:cs="宋体"/>
          <w:color w:val="auto"/>
          <w:sz w:val="24"/>
          <w:highlight w:val="none"/>
        </w:rPr>
        <w:t xml:space="preserve">2. </w:t>
      </w:r>
      <w:r>
        <w:rPr>
          <w:rFonts w:hint="eastAsia" w:ascii="宋体" w:hAnsi="宋体" w:cs="宋体"/>
          <w:color w:val="auto"/>
          <w:sz w:val="24"/>
          <w:highlight w:val="none"/>
          <w:lang w:eastAsia="zh-Hans"/>
        </w:rPr>
        <w:t>技术运营维护目标</w:t>
      </w:r>
    </w:p>
    <w:p>
      <w:pPr>
        <w:spacing w:line="500" w:lineRule="exact"/>
        <w:ind w:firstLine="480" w:firstLineChars="200"/>
        <w:rPr>
          <w:rFonts w:ascii="宋体" w:hAnsi="宋体" w:cs="宋体"/>
          <w:color w:val="auto"/>
          <w:sz w:val="24"/>
          <w:highlight w:val="none"/>
          <w:lang w:eastAsia="zh-Hans"/>
        </w:rPr>
      </w:pPr>
      <w:r>
        <w:rPr>
          <w:rFonts w:ascii="宋体" w:hAnsi="宋体" w:cs="宋体"/>
          <w:color w:val="auto"/>
          <w:sz w:val="24"/>
          <w:highlight w:val="none"/>
          <w:lang w:eastAsia="zh-Hans"/>
        </w:rPr>
        <w:t>2023</w:t>
      </w:r>
      <w:r>
        <w:rPr>
          <w:rFonts w:hint="eastAsia" w:ascii="宋体" w:hAnsi="宋体" w:cs="宋体"/>
          <w:color w:val="auto"/>
          <w:sz w:val="24"/>
          <w:highlight w:val="none"/>
          <w:lang w:eastAsia="zh-Hans"/>
        </w:rPr>
        <w:t>年度</w:t>
      </w:r>
      <w:r>
        <w:rPr>
          <w:rFonts w:ascii="宋体" w:hAnsi="宋体" w:cs="宋体"/>
          <w:color w:val="auto"/>
          <w:sz w:val="24"/>
          <w:highlight w:val="none"/>
          <w:lang w:eastAsia="zh-Hans"/>
        </w:rPr>
        <w:t>技术</w:t>
      </w:r>
      <w:r>
        <w:rPr>
          <w:rFonts w:hint="eastAsia" w:ascii="宋体" w:hAnsi="宋体" w:cs="宋体"/>
          <w:color w:val="auto"/>
          <w:sz w:val="24"/>
          <w:highlight w:val="none"/>
          <w:lang w:eastAsia="zh-Hans"/>
        </w:rPr>
        <w:t>运营维护工作将包括以下内容</w:t>
      </w:r>
      <w:r>
        <w:rPr>
          <w:rFonts w:ascii="宋体" w:hAnsi="宋体" w:cs="宋体"/>
          <w:color w:val="auto"/>
          <w:sz w:val="24"/>
          <w:highlight w:val="none"/>
          <w:lang w:eastAsia="zh-Hans"/>
        </w:rPr>
        <w:t>：</w:t>
      </w:r>
    </w:p>
    <w:p>
      <w:pPr>
        <w:spacing w:line="500" w:lineRule="exact"/>
        <w:ind w:firstLine="480" w:firstLineChars="200"/>
        <w:rPr>
          <w:rFonts w:ascii="宋体" w:hAnsi="宋体" w:cs="宋体"/>
          <w:color w:val="auto"/>
          <w:sz w:val="24"/>
          <w:highlight w:val="none"/>
          <w:lang w:eastAsia="zh-Hans"/>
        </w:rPr>
      </w:pPr>
      <w:r>
        <w:rPr>
          <w:rFonts w:hint="eastAsia" w:ascii="宋体" w:hAnsi="宋体" w:cs="宋体"/>
          <w:color w:val="auto"/>
          <w:sz w:val="24"/>
          <w:highlight w:val="none"/>
          <w:lang w:eastAsia="zh-Hans"/>
        </w:rPr>
        <w:t>（</w:t>
      </w:r>
      <w:r>
        <w:rPr>
          <w:rFonts w:ascii="宋体" w:hAnsi="宋体" w:cs="宋体"/>
          <w:color w:val="auto"/>
          <w:sz w:val="24"/>
          <w:highlight w:val="none"/>
          <w:lang w:eastAsia="zh-Hans"/>
        </w:rPr>
        <w:t>1</w:t>
      </w:r>
      <w:r>
        <w:rPr>
          <w:rFonts w:hint="eastAsia" w:ascii="宋体" w:hAnsi="宋体" w:cs="宋体"/>
          <w:color w:val="auto"/>
          <w:sz w:val="24"/>
          <w:highlight w:val="none"/>
          <w:lang w:eastAsia="zh-Hans"/>
        </w:rPr>
        <w:t>）</w:t>
      </w:r>
      <w:r>
        <w:rPr>
          <w:rFonts w:ascii="宋体" w:hAnsi="宋体" w:cs="宋体"/>
          <w:color w:val="auto"/>
          <w:sz w:val="24"/>
          <w:highlight w:val="none"/>
          <w:lang w:eastAsia="zh-Hans"/>
        </w:rPr>
        <w:t>保证网站运行正常，出现问题紧急修复；</w:t>
      </w:r>
    </w:p>
    <w:p>
      <w:pPr>
        <w:spacing w:line="500" w:lineRule="exact"/>
        <w:ind w:firstLine="480" w:firstLineChars="200"/>
        <w:rPr>
          <w:rFonts w:ascii="宋体" w:hAnsi="宋体" w:cs="宋体"/>
          <w:color w:val="auto"/>
          <w:sz w:val="24"/>
          <w:highlight w:val="none"/>
          <w:lang w:eastAsia="zh-Hans"/>
        </w:rPr>
      </w:pPr>
      <w:r>
        <w:rPr>
          <w:rFonts w:hint="eastAsia" w:ascii="宋体" w:hAnsi="宋体" w:cs="宋体"/>
          <w:color w:val="auto"/>
          <w:sz w:val="24"/>
          <w:highlight w:val="none"/>
          <w:lang w:eastAsia="zh-Hans"/>
        </w:rPr>
        <w:t>（</w:t>
      </w:r>
      <w:r>
        <w:rPr>
          <w:rFonts w:ascii="宋体" w:hAnsi="宋体" w:cs="宋体"/>
          <w:color w:val="auto"/>
          <w:sz w:val="24"/>
          <w:highlight w:val="none"/>
          <w:lang w:eastAsia="zh-Hans"/>
        </w:rPr>
        <w:t>2</w:t>
      </w:r>
      <w:r>
        <w:rPr>
          <w:rFonts w:hint="eastAsia" w:ascii="宋体" w:hAnsi="宋体" w:cs="宋体"/>
          <w:color w:val="auto"/>
          <w:sz w:val="24"/>
          <w:highlight w:val="none"/>
          <w:lang w:eastAsia="zh-Hans"/>
        </w:rPr>
        <w:t>）</w:t>
      </w:r>
      <w:r>
        <w:rPr>
          <w:rFonts w:ascii="宋体" w:hAnsi="宋体" w:cs="宋体"/>
          <w:color w:val="auto"/>
          <w:sz w:val="24"/>
          <w:highlight w:val="none"/>
          <w:lang w:eastAsia="zh-Hans"/>
        </w:rPr>
        <w:t>保证服务器和应用系统访问正常和运行安全，定期进行检查和问题修复，应用程序日志审计；</w:t>
      </w:r>
    </w:p>
    <w:p>
      <w:pPr>
        <w:spacing w:line="500" w:lineRule="exact"/>
        <w:ind w:firstLine="480" w:firstLineChars="200"/>
        <w:rPr>
          <w:rFonts w:ascii="宋体" w:hAnsi="宋体" w:cs="宋体"/>
          <w:color w:val="auto"/>
          <w:sz w:val="24"/>
          <w:highlight w:val="none"/>
          <w:lang w:eastAsia="zh-Hans"/>
        </w:rPr>
      </w:pPr>
      <w:r>
        <w:rPr>
          <w:rFonts w:hint="eastAsia" w:ascii="宋体" w:hAnsi="宋体" w:cs="宋体"/>
          <w:color w:val="auto"/>
          <w:sz w:val="24"/>
          <w:highlight w:val="none"/>
          <w:lang w:eastAsia="zh-Hans"/>
        </w:rPr>
        <w:t>（</w:t>
      </w:r>
      <w:r>
        <w:rPr>
          <w:rFonts w:ascii="宋体" w:hAnsi="宋体" w:cs="宋体"/>
          <w:color w:val="auto"/>
          <w:sz w:val="24"/>
          <w:highlight w:val="none"/>
          <w:lang w:eastAsia="zh-Hans"/>
        </w:rPr>
        <w:t>3</w:t>
      </w:r>
      <w:r>
        <w:rPr>
          <w:rFonts w:hint="eastAsia" w:ascii="宋体" w:hAnsi="宋体" w:cs="宋体"/>
          <w:color w:val="auto"/>
          <w:sz w:val="24"/>
          <w:highlight w:val="none"/>
          <w:lang w:eastAsia="zh-Hans"/>
        </w:rPr>
        <w:t>）</w:t>
      </w:r>
      <w:r>
        <w:rPr>
          <w:rFonts w:ascii="宋体" w:hAnsi="宋体" w:cs="宋体"/>
          <w:color w:val="auto"/>
          <w:sz w:val="24"/>
          <w:highlight w:val="none"/>
          <w:lang w:eastAsia="zh-Hans"/>
        </w:rPr>
        <w:t>保证用户数据安全，定期全量备份，数据容灾；</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eastAsia="zh-Hans"/>
        </w:rPr>
        <w:t>（</w:t>
      </w:r>
      <w:r>
        <w:rPr>
          <w:rFonts w:ascii="宋体" w:hAnsi="宋体" w:cs="宋体"/>
          <w:color w:val="auto"/>
          <w:sz w:val="24"/>
          <w:highlight w:val="none"/>
          <w:lang w:eastAsia="zh-Hans"/>
        </w:rPr>
        <w:t>4</w:t>
      </w:r>
      <w:r>
        <w:rPr>
          <w:rFonts w:hint="eastAsia" w:ascii="宋体" w:hAnsi="宋体" w:cs="宋体"/>
          <w:color w:val="auto"/>
          <w:sz w:val="24"/>
          <w:highlight w:val="none"/>
          <w:lang w:eastAsia="zh-Hans"/>
        </w:rPr>
        <w:t>）</w:t>
      </w:r>
      <w:r>
        <w:rPr>
          <w:rFonts w:ascii="宋体" w:hAnsi="宋体" w:cs="宋体"/>
          <w:color w:val="auto"/>
          <w:sz w:val="24"/>
          <w:highlight w:val="none"/>
          <w:lang w:eastAsia="zh-Hans"/>
        </w:rPr>
        <w:t>根据安全要求完成程序代码等方面的漏洞修复</w:t>
      </w:r>
      <w:r>
        <w:rPr>
          <w:rFonts w:hint="eastAsia" w:ascii="宋体" w:hAnsi="宋体" w:cs="宋体"/>
          <w:color w:val="auto"/>
          <w:sz w:val="24"/>
          <w:highlight w:val="none"/>
        </w:rPr>
        <w:t>。</w:t>
      </w:r>
    </w:p>
    <w:p>
      <w:pPr>
        <w:spacing w:line="500" w:lineRule="exact"/>
        <w:ind w:firstLine="480" w:firstLineChars="200"/>
        <w:rPr>
          <w:rFonts w:ascii="宋体" w:hAnsi="宋体" w:cs="宋体"/>
          <w:color w:val="auto"/>
          <w:sz w:val="24"/>
          <w:highlight w:val="none"/>
          <w:lang w:eastAsia="zh-Hans"/>
        </w:rPr>
      </w:pPr>
      <w:r>
        <w:rPr>
          <w:rFonts w:hint="eastAsia" w:ascii="宋体" w:hAnsi="宋体" w:cs="宋体"/>
          <w:color w:val="auto"/>
          <w:sz w:val="24"/>
          <w:highlight w:val="none"/>
          <w:lang w:eastAsia="zh-Hans"/>
        </w:rPr>
        <w:t>以上技术运营维护目标将通过以下方式实现：</w:t>
      </w:r>
    </w:p>
    <w:p>
      <w:pPr>
        <w:spacing w:line="500" w:lineRule="exact"/>
        <w:ind w:firstLine="480" w:firstLineChars="200"/>
        <w:rPr>
          <w:rFonts w:ascii="宋体" w:hAnsi="宋体" w:cs="宋体"/>
          <w:color w:val="auto"/>
          <w:sz w:val="24"/>
          <w:highlight w:val="none"/>
          <w:lang w:eastAsia="zh-Hans"/>
        </w:rPr>
      </w:pPr>
      <w:r>
        <w:rPr>
          <w:rFonts w:hint="eastAsia" w:ascii="宋体" w:hAnsi="宋体" w:cs="宋体"/>
          <w:color w:val="auto"/>
          <w:sz w:val="24"/>
          <w:highlight w:val="none"/>
          <w:lang w:eastAsia="zh-Hans"/>
        </w:rPr>
        <w:t>（</w:t>
      </w:r>
      <w:r>
        <w:rPr>
          <w:rFonts w:ascii="宋体" w:hAnsi="宋体" w:cs="宋体"/>
          <w:color w:val="auto"/>
          <w:sz w:val="24"/>
          <w:highlight w:val="none"/>
          <w:lang w:eastAsia="zh-Hans"/>
        </w:rPr>
        <w:t>1</w:t>
      </w:r>
      <w:r>
        <w:rPr>
          <w:rFonts w:hint="eastAsia" w:ascii="宋体" w:hAnsi="宋体" w:cs="宋体"/>
          <w:color w:val="auto"/>
          <w:sz w:val="24"/>
          <w:highlight w:val="none"/>
          <w:lang w:eastAsia="zh-Hans"/>
        </w:rPr>
        <w:t>）线上远程服务；</w:t>
      </w:r>
    </w:p>
    <w:p>
      <w:pPr>
        <w:spacing w:line="500" w:lineRule="exact"/>
        <w:ind w:firstLine="480" w:firstLineChars="200"/>
        <w:rPr>
          <w:rFonts w:ascii="宋体" w:hAnsi="宋体" w:cs="宋体"/>
          <w:color w:val="auto"/>
          <w:sz w:val="24"/>
          <w:highlight w:val="none"/>
          <w:lang w:eastAsia="zh-Hans"/>
        </w:rPr>
      </w:pPr>
      <w:r>
        <w:rPr>
          <w:rFonts w:hint="eastAsia" w:ascii="宋体" w:hAnsi="宋体" w:cs="宋体"/>
          <w:color w:val="auto"/>
          <w:sz w:val="24"/>
          <w:highlight w:val="none"/>
          <w:lang w:eastAsia="zh-Hans"/>
        </w:rPr>
        <w:t>（</w:t>
      </w:r>
      <w:r>
        <w:rPr>
          <w:rFonts w:ascii="宋体" w:hAnsi="宋体" w:cs="宋体"/>
          <w:color w:val="auto"/>
          <w:sz w:val="24"/>
          <w:highlight w:val="none"/>
          <w:lang w:eastAsia="zh-Hans"/>
        </w:rPr>
        <w:t>2</w:t>
      </w:r>
      <w:r>
        <w:rPr>
          <w:rFonts w:hint="eastAsia" w:ascii="宋体" w:hAnsi="宋体" w:cs="宋体"/>
          <w:color w:val="auto"/>
          <w:sz w:val="24"/>
          <w:highlight w:val="none"/>
          <w:lang w:eastAsia="zh-Hans"/>
        </w:rPr>
        <w:t>）提供网站技术支撑保障服务，提供的服务包括但不限于网站功能和栏目优化、网站功能例行检查等工作；</w:t>
      </w:r>
    </w:p>
    <w:p>
      <w:pPr>
        <w:spacing w:line="500" w:lineRule="exact"/>
        <w:ind w:firstLine="480" w:firstLineChars="200"/>
        <w:rPr>
          <w:rFonts w:ascii="宋体" w:hAnsi="宋体" w:cs="宋体"/>
          <w:color w:val="auto"/>
          <w:sz w:val="24"/>
          <w:highlight w:val="none"/>
          <w:lang w:eastAsia="zh-Hans"/>
        </w:rPr>
      </w:pPr>
      <w:r>
        <w:rPr>
          <w:rFonts w:hint="eastAsia" w:ascii="宋体" w:hAnsi="宋体" w:cs="宋体"/>
          <w:color w:val="auto"/>
          <w:sz w:val="24"/>
          <w:highlight w:val="none"/>
          <w:lang w:eastAsia="zh-Hans"/>
        </w:rPr>
        <w:t>（</w:t>
      </w:r>
      <w:r>
        <w:rPr>
          <w:rFonts w:ascii="宋体" w:hAnsi="宋体" w:cs="宋体"/>
          <w:color w:val="auto"/>
          <w:sz w:val="24"/>
          <w:highlight w:val="none"/>
          <w:lang w:eastAsia="zh-Hans"/>
        </w:rPr>
        <w:t>3</w:t>
      </w:r>
      <w:r>
        <w:rPr>
          <w:rFonts w:hint="eastAsia" w:ascii="宋体" w:hAnsi="宋体" w:cs="宋体"/>
          <w:color w:val="auto"/>
          <w:sz w:val="24"/>
          <w:highlight w:val="none"/>
          <w:lang w:eastAsia="zh-Hans"/>
        </w:rPr>
        <w:t>）服务期内收到故障通知后30分钟故障响应，2小时提出解决方案和故障排除服务，发生紧急故障在1小时内解决；</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eastAsia="zh-Hans"/>
        </w:rPr>
        <w:t>（</w:t>
      </w:r>
      <w:r>
        <w:rPr>
          <w:rFonts w:ascii="宋体" w:hAnsi="宋体" w:cs="宋体"/>
          <w:color w:val="auto"/>
          <w:sz w:val="24"/>
          <w:highlight w:val="none"/>
          <w:lang w:eastAsia="zh-Hans"/>
        </w:rPr>
        <w:t>4</w:t>
      </w:r>
      <w:r>
        <w:rPr>
          <w:rFonts w:hint="eastAsia" w:ascii="宋体" w:hAnsi="宋体" w:cs="宋体"/>
          <w:color w:val="auto"/>
          <w:sz w:val="24"/>
          <w:highlight w:val="none"/>
          <w:lang w:eastAsia="zh-Hans"/>
        </w:rPr>
        <w:t>）提供每周7天*24小时的技术支持服务</w:t>
      </w:r>
      <w:r>
        <w:rPr>
          <w:rFonts w:hint="eastAsia" w:ascii="宋体" w:hAnsi="宋体" w:cs="宋体"/>
          <w:color w:val="auto"/>
          <w:sz w:val="24"/>
          <w:highlight w:val="none"/>
        </w:rPr>
        <w:t>。</w:t>
      </w:r>
    </w:p>
    <w:p>
      <w:pPr>
        <w:pStyle w:val="52"/>
        <w:tabs>
          <w:tab w:val="left" w:pos="720"/>
        </w:tabs>
        <w:autoSpaceDE w:val="0"/>
        <w:autoSpaceDN w:val="0"/>
        <w:adjustRightInd w:val="0"/>
        <w:spacing w:line="360" w:lineRule="auto"/>
        <w:ind w:right="17" w:firstLine="482"/>
        <w:jc w:val="left"/>
        <w:outlineLvl w:val="1"/>
        <w:rPr>
          <w:rFonts w:ascii="宋体" w:hAnsi="宋体" w:cs="宋体"/>
          <w:b/>
          <w:color w:val="auto"/>
          <w:sz w:val="24"/>
          <w:highlight w:val="none"/>
        </w:rPr>
      </w:pPr>
      <w:r>
        <w:rPr>
          <w:rFonts w:hint="eastAsia" w:ascii="宋体" w:hAnsi="宋体" w:cs="宋体"/>
          <w:b/>
          <w:color w:val="auto"/>
          <w:sz w:val="24"/>
          <w:highlight w:val="none"/>
        </w:rPr>
        <w:t>三、工作标准</w:t>
      </w:r>
    </w:p>
    <w:p>
      <w:pPr>
        <w:pStyle w:val="52"/>
        <w:tabs>
          <w:tab w:val="left" w:pos="720"/>
        </w:tabs>
        <w:autoSpaceDE w:val="0"/>
        <w:autoSpaceDN w:val="0"/>
        <w:adjustRightInd w:val="0"/>
        <w:spacing w:line="360" w:lineRule="auto"/>
        <w:ind w:right="17" w:firstLine="480"/>
        <w:jc w:val="left"/>
        <w:rPr>
          <w:rFonts w:ascii="宋体" w:hAnsi="宋体" w:cs="宋体"/>
          <w:bCs/>
          <w:color w:val="auto"/>
          <w:sz w:val="24"/>
          <w:highlight w:val="none"/>
        </w:rPr>
      </w:pPr>
      <w:r>
        <w:rPr>
          <w:rFonts w:hint="eastAsia" w:ascii="宋体" w:hAnsi="宋体" w:cs="宋体"/>
          <w:bCs/>
          <w:color w:val="auto"/>
          <w:sz w:val="24"/>
          <w:highlight w:val="none"/>
        </w:rPr>
        <w:t>（一）总量</w:t>
      </w:r>
    </w:p>
    <w:p>
      <w:pPr>
        <w:pStyle w:val="52"/>
        <w:tabs>
          <w:tab w:val="left" w:pos="720"/>
        </w:tabs>
        <w:autoSpaceDE w:val="0"/>
        <w:autoSpaceDN w:val="0"/>
        <w:adjustRightInd w:val="0"/>
        <w:spacing w:line="360" w:lineRule="auto"/>
        <w:ind w:right="17" w:firstLine="480"/>
        <w:jc w:val="left"/>
        <w:rPr>
          <w:rFonts w:ascii="宋体" w:hAnsi="宋体" w:cs="宋体"/>
          <w:bCs/>
          <w:color w:val="auto"/>
          <w:sz w:val="24"/>
          <w:highlight w:val="none"/>
        </w:rPr>
      </w:pPr>
      <w:r>
        <w:rPr>
          <w:rFonts w:hint="eastAsia" w:ascii="宋体" w:hAnsi="宋体" w:cs="宋体"/>
          <w:bCs/>
          <w:color w:val="auto"/>
          <w:sz w:val="24"/>
          <w:highlight w:val="none"/>
        </w:rPr>
        <w:t>“一带一路”法治地图平台已搭载法律/判例、法规和政策内容体量约890万字，按照年修订更新率4%-5%测算，全年修订、更新的内容体量应当不少于</w:t>
      </w:r>
      <w:r>
        <w:rPr>
          <w:rFonts w:hint="eastAsia" w:ascii="宋体" w:hAnsi="宋体" w:cs="宋体"/>
          <w:bCs/>
          <w:color w:val="auto"/>
          <w:sz w:val="24"/>
          <w:highlight w:val="none"/>
          <w:lang w:val="en-US" w:eastAsia="zh-CN"/>
        </w:rPr>
        <w:t>55</w:t>
      </w:r>
      <w:r>
        <w:rPr>
          <w:rFonts w:hint="eastAsia" w:ascii="宋体" w:hAnsi="宋体" w:cs="宋体"/>
          <w:bCs/>
          <w:color w:val="auto"/>
          <w:sz w:val="24"/>
          <w:highlight w:val="none"/>
        </w:rPr>
        <w:t>万字（以外文计）。</w:t>
      </w:r>
    </w:p>
    <w:p>
      <w:pPr>
        <w:pStyle w:val="52"/>
        <w:tabs>
          <w:tab w:val="left" w:pos="720"/>
        </w:tabs>
        <w:autoSpaceDE w:val="0"/>
        <w:autoSpaceDN w:val="0"/>
        <w:adjustRightInd w:val="0"/>
        <w:spacing w:line="360" w:lineRule="auto"/>
        <w:ind w:right="17" w:firstLine="480"/>
        <w:jc w:val="left"/>
        <w:rPr>
          <w:rFonts w:ascii="宋体" w:hAnsi="宋体" w:cs="宋体"/>
          <w:bCs/>
          <w:color w:val="auto"/>
          <w:sz w:val="24"/>
          <w:highlight w:val="none"/>
        </w:rPr>
      </w:pPr>
      <w:r>
        <w:rPr>
          <w:rFonts w:hint="eastAsia" w:ascii="宋体" w:hAnsi="宋体" w:cs="宋体"/>
          <w:bCs/>
          <w:color w:val="auto"/>
          <w:sz w:val="24"/>
          <w:highlight w:val="none"/>
        </w:rPr>
        <w:t>（二）内容</w:t>
      </w:r>
    </w:p>
    <w:p>
      <w:pPr>
        <w:pStyle w:val="52"/>
        <w:tabs>
          <w:tab w:val="left" w:pos="720"/>
        </w:tabs>
        <w:autoSpaceDE w:val="0"/>
        <w:autoSpaceDN w:val="0"/>
        <w:adjustRightInd w:val="0"/>
        <w:spacing w:line="360" w:lineRule="auto"/>
        <w:ind w:right="17" w:firstLine="480"/>
        <w:jc w:val="left"/>
        <w:rPr>
          <w:rFonts w:ascii="宋体" w:hAnsi="宋体" w:cs="宋体"/>
          <w:bCs/>
          <w:color w:val="auto"/>
          <w:sz w:val="24"/>
          <w:highlight w:val="none"/>
        </w:rPr>
      </w:pPr>
      <w:r>
        <w:rPr>
          <w:rFonts w:hint="eastAsia" w:ascii="宋体" w:hAnsi="宋体" w:cs="宋体"/>
          <w:bCs/>
          <w:color w:val="auto"/>
          <w:sz w:val="24"/>
          <w:highlight w:val="none"/>
        </w:rPr>
        <w:t>1.沿线国家和地区法律/判例、法规和政策按照其适用范围的大小和法律位阶的高低进行详略区分：</w:t>
      </w:r>
    </w:p>
    <w:p>
      <w:pPr>
        <w:pStyle w:val="52"/>
        <w:tabs>
          <w:tab w:val="left" w:pos="720"/>
        </w:tabs>
        <w:autoSpaceDE w:val="0"/>
        <w:autoSpaceDN w:val="0"/>
        <w:adjustRightInd w:val="0"/>
        <w:spacing w:line="360" w:lineRule="auto"/>
        <w:ind w:right="17" w:firstLine="480"/>
        <w:jc w:val="left"/>
        <w:rPr>
          <w:rFonts w:ascii="宋体" w:hAnsi="宋体" w:cs="宋体"/>
          <w:bCs/>
          <w:color w:val="auto"/>
          <w:sz w:val="24"/>
          <w:highlight w:val="none"/>
        </w:rPr>
      </w:pPr>
      <w:r>
        <w:rPr>
          <w:rFonts w:hint="eastAsia" w:ascii="宋体" w:hAnsi="宋体" w:cs="宋体"/>
          <w:bCs/>
          <w:color w:val="auto"/>
          <w:sz w:val="24"/>
          <w:highlight w:val="none"/>
        </w:rPr>
        <w:t>2.按法律渊源的正式性和非正式性进行分类，优先修订、更新具有正式法律渊源的，其他只具有引导性的政策和学术研究按其影响程度予以考虑是否修订、更新；</w:t>
      </w:r>
    </w:p>
    <w:p>
      <w:pPr>
        <w:pStyle w:val="52"/>
        <w:tabs>
          <w:tab w:val="left" w:pos="720"/>
        </w:tabs>
        <w:autoSpaceDE w:val="0"/>
        <w:autoSpaceDN w:val="0"/>
        <w:adjustRightInd w:val="0"/>
        <w:spacing w:line="360" w:lineRule="auto"/>
        <w:ind w:right="17" w:firstLine="480"/>
        <w:jc w:val="left"/>
        <w:rPr>
          <w:rFonts w:ascii="宋体" w:hAnsi="宋体" w:cs="宋体"/>
          <w:bCs/>
          <w:color w:val="auto"/>
          <w:sz w:val="24"/>
          <w:highlight w:val="none"/>
        </w:rPr>
      </w:pPr>
      <w:r>
        <w:rPr>
          <w:rFonts w:hint="eastAsia" w:ascii="宋体" w:hAnsi="宋体" w:cs="宋体"/>
          <w:bCs/>
          <w:color w:val="auto"/>
          <w:sz w:val="24"/>
          <w:highlight w:val="none"/>
        </w:rPr>
        <w:t>3.优先修订、更新国家立法机关制定的法律和具有普遍法律约束力的判例，其他地方立法机关和不具有普遍约束力的判例按其影响程度和重要性予以考虑是否修订、更新。</w:t>
      </w:r>
    </w:p>
    <w:p>
      <w:pPr>
        <w:pStyle w:val="52"/>
        <w:tabs>
          <w:tab w:val="left" w:pos="720"/>
        </w:tabs>
        <w:autoSpaceDE w:val="0"/>
        <w:autoSpaceDN w:val="0"/>
        <w:adjustRightInd w:val="0"/>
        <w:spacing w:line="360" w:lineRule="auto"/>
        <w:ind w:right="17" w:firstLine="480"/>
        <w:jc w:val="left"/>
        <w:rPr>
          <w:rFonts w:ascii="宋体" w:hAnsi="宋体" w:cs="宋体"/>
          <w:bCs/>
          <w:color w:val="auto"/>
          <w:sz w:val="24"/>
          <w:highlight w:val="none"/>
        </w:rPr>
      </w:pPr>
      <w:r>
        <w:rPr>
          <w:rFonts w:hint="eastAsia" w:ascii="宋体" w:hAnsi="宋体" w:cs="宋体"/>
          <w:bCs/>
          <w:color w:val="auto"/>
          <w:sz w:val="24"/>
          <w:highlight w:val="none"/>
        </w:rPr>
        <w:t>（三）建设原则</w:t>
      </w:r>
    </w:p>
    <w:p>
      <w:pPr>
        <w:pStyle w:val="52"/>
        <w:tabs>
          <w:tab w:val="left" w:pos="720"/>
        </w:tabs>
        <w:autoSpaceDE w:val="0"/>
        <w:autoSpaceDN w:val="0"/>
        <w:adjustRightInd w:val="0"/>
        <w:spacing w:line="360" w:lineRule="auto"/>
        <w:ind w:right="17" w:firstLine="480"/>
        <w:jc w:val="left"/>
        <w:rPr>
          <w:rFonts w:ascii="宋体" w:hAnsi="宋体" w:cs="宋体"/>
          <w:bCs/>
          <w:color w:val="auto"/>
          <w:sz w:val="24"/>
          <w:highlight w:val="none"/>
        </w:rPr>
      </w:pPr>
      <w:r>
        <w:rPr>
          <w:rFonts w:hint="eastAsia" w:ascii="宋体" w:hAnsi="宋体" w:cs="宋体"/>
          <w:bCs/>
          <w:color w:val="auto"/>
          <w:sz w:val="24"/>
          <w:highlight w:val="none"/>
        </w:rPr>
        <w:t>1.第一，专业性：微观法治地图所修订、更新的沿线国家和地区法律/判例、法规和政策应当以商事经贸类为主，并按照法律法规调整的具体领域分类修订、更新：</w:t>
      </w:r>
    </w:p>
    <w:p>
      <w:pPr>
        <w:pStyle w:val="52"/>
        <w:tabs>
          <w:tab w:val="left" w:pos="720"/>
        </w:tabs>
        <w:autoSpaceDE w:val="0"/>
        <w:autoSpaceDN w:val="0"/>
        <w:adjustRightInd w:val="0"/>
        <w:spacing w:line="360" w:lineRule="auto"/>
        <w:ind w:right="17" w:firstLine="480"/>
        <w:jc w:val="left"/>
        <w:rPr>
          <w:rFonts w:ascii="宋体" w:hAnsi="宋体" w:cs="宋体"/>
          <w:bCs/>
          <w:color w:val="auto"/>
          <w:sz w:val="24"/>
          <w:highlight w:val="none"/>
        </w:rPr>
      </w:pPr>
      <w:r>
        <w:rPr>
          <w:rFonts w:hint="eastAsia" w:ascii="宋体" w:hAnsi="宋体" w:cs="宋体"/>
          <w:bCs/>
          <w:color w:val="auto"/>
          <w:sz w:val="24"/>
          <w:highlight w:val="none"/>
        </w:rPr>
        <w:t>优先修订、更新该国与投资、贸易、金融和税收相关的法律法规及政策，并按其在司法活动中使用的频次和涉及范围的广度和对经贸活动影响的深度进行详略修订、更新；优先修订、更新与中国签订的并已生效的涉及国际经贸投资的双边、多边协定和条约；对和经贸联系密切的劳工保护、知识产权保护、人权保护等法律或规定也有所涉及。</w:t>
      </w:r>
    </w:p>
    <w:p>
      <w:pPr>
        <w:pStyle w:val="52"/>
        <w:tabs>
          <w:tab w:val="left" w:pos="720"/>
        </w:tabs>
        <w:autoSpaceDE w:val="0"/>
        <w:autoSpaceDN w:val="0"/>
        <w:adjustRightInd w:val="0"/>
        <w:spacing w:line="360" w:lineRule="auto"/>
        <w:ind w:right="17" w:firstLine="480"/>
        <w:jc w:val="left"/>
        <w:rPr>
          <w:rFonts w:ascii="宋体" w:hAnsi="宋体" w:cs="宋体"/>
          <w:bCs/>
          <w:color w:val="auto"/>
          <w:sz w:val="24"/>
          <w:highlight w:val="none"/>
        </w:rPr>
      </w:pPr>
      <w:r>
        <w:rPr>
          <w:rFonts w:hint="eastAsia" w:ascii="宋体" w:hAnsi="宋体" w:cs="宋体"/>
          <w:bCs/>
          <w:color w:val="auto"/>
          <w:sz w:val="24"/>
          <w:highlight w:val="none"/>
        </w:rPr>
        <w:t>2.第二，完整性：已确认修订、更新的国家和地区法律/判例、法规和政策应当内容完整。</w:t>
      </w:r>
    </w:p>
    <w:p>
      <w:pPr>
        <w:pStyle w:val="52"/>
        <w:tabs>
          <w:tab w:val="left" w:pos="720"/>
        </w:tabs>
        <w:autoSpaceDE w:val="0"/>
        <w:autoSpaceDN w:val="0"/>
        <w:adjustRightInd w:val="0"/>
        <w:spacing w:line="360" w:lineRule="auto"/>
        <w:ind w:right="17" w:firstLine="480"/>
        <w:jc w:val="left"/>
        <w:rPr>
          <w:rFonts w:ascii="宋体" w:hAnsi="宋体" w:cs="宋体"/>
          <w:bCs/>
          <w:color w:val="auto"/>
          <w:sz w:val="24"/>
          <w:highlight w:val="none"/>
        </w:rPr>
      </w:pPr>
      <w:r>
        <w:rPr>
          <w:rFonts w:hint="eastAsia" w:ascii="宋体" w:hAnsi="宋体" w:cs="宋体"/>
          <w:bCs/>
          <w:color w:val="auto"/>
          <w:sz w:val="24"/>
          <w:highlight w:val="none"/>
        </w:rPr>
        <w:t>3.第三，实用性：微观法治地图平台所涉法律/判例、法规、政策致力于规避法律风险和解决社会纠纷</w:t>
      </w:r>
    </w:p>
    <w:p>
      <w:pPr>
        <w:pStyle w:val="52"/>
        <w:tabs>
          <w:tab w:val="left" w:pos="720"/>
        </w:tabs>
        <w:autoSpaceDE w:val="0"/>
        <w:autoSpaceDN w:val="0"/>
        <w:adjustRightInd w:val="0"/>
        <w:spacing w:line="360" w:lineRule="auto"/>
        <w:ind w:right="17" w:firstLine="482"/>
        <w:jc w:val="left"/>
        <w:outlineLvl w:val="1"/>
        <w:rPr>
          <w:rFonts w:ascii="宋体" w:hAnsi="宋体" w:cs="宋体"/>
          <w:b/>
          <w:color w:val="auto"/>
          <w:sz w:val="24"/>
          <w:highlight w:val="none"/>
        </w:rPr>
      </w:pPr>
      <w:r>
        <w:rPr>
          <w:rFonts w:hint="eastAsia" w:ascii="宋体" w:hAnsi="宋体" w:cs="宋体"/>
          <w:b/>
          <w:color w:val="auto"/>
          <w:sz w:val="24"/>
          <w:highlight w:val="none"/>
        </w:rPr>
        <w:t>四、工作进度及阶段性成果要求</w:t>
      </w:r>
    </w:p>
    <w:tbl>
      <w:tblPr>
        <w:tblStyle w:val="22"/>
        <w:tblW w:w="83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318"/>
        <w:gridCol w:w="2497"/>
        <w:gridCol w:w="1852"/>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序号</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工作阶段</w:t>
            </w:r>
          </w:p>
        </w:tc>
        <w:tc>
          <w:tcPr>
            <w:tcW w:w="24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成果构成</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成果提交时间</w:t>
            </w:r>
          </w:p>
        </w:tc>
        <w:tc>
          <w:tcPr>
            <w:tcW w:w="1984"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成果验收方式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一</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中期成果</w:t>
            </w:r>
          </w:p>
        </w:tc>
        <w:tc>
          <w:tcPr>
            <w:tcW w:w="24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提交中期《</w:t>
            </w:r>
            <w:r>
              <w:rPr>
                <w:rFonts w:hint="eastAsia" w:ascii="宋体" w:hAnsi="宋体" w:cs="宋体"/>
                <w:bCs/>
                <w:color w:val="auto"/>
                <w:sz w:val="24"/>
                <w:highlight w:val="none"/>
              </w:rPr>
              <w:t>“一带一路”法治地图运营维护更新项目完工报告</w:t>
            </w:r>
            <w:r>
              <w:rPr>
                <w:rFonts w:hint="eastAsia" w:ascii="宋体" w:hAnsi="宋体" w:cs="宋体"/>
                <w:color w:val="auto"/>
                <w:sz w:val="24"/>
                <w:highlight w:val="none"/>
                <w:lang w:bidi="ar"/>
              </w:rPr>
              <w:t>》</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合同签订后6个月内</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中期报告通过前海管理局审查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二</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最终成果</w:t>
            </w:r>
          </w:p>
        </w:tc>
        <w:tc>
          <w:tcPr>
            <w:tcW w:w="24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提交终期《</w:t>
            </w:r>
            <w:r>
              <w:rPr>
                <w:rFonts w:hint="eastAsia" w:ascii="宋体" w:hAnsi="宋体" w:cs="宋体"/>
                <w:bCs/>
                <w:color w:val="auto"/>
                <w:sz w:val="24"/>
                <w:highlight w:val="none"/>
              </w:rPr>
              <w:t>“一带一路”法治地图运营维护更新项目完工报告</w:t>
            </w:r>
            <w:r>
              <w:rPr>
                <w:rFonts w:hint="eastAsia" w:ascii="宋体" w:hAnsi="宋体" w:cs="宋体"/>
                <w:color w:val="auto"/>
                <w:sz w:val="24"/>
                <w:highlight w:val="none"/>
                <w:lang w:bidi="ar"/>
              </w:rPr>
              <w:t>》</w:t>
            </w:r>
          </w:p>
        </w:tc>
        <w:tc>
          <w:tcPr>
            <w:tcW w:w="185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合同服务期限届满日之前</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终期报告通过前海管理局审查</w:t>
            </w:r>
          </w:p>
        </w:tc>
      </w:tr>
    </w:tbl>
    <w:p>
      <w:pPr>
        <w:pStyle w:val="52"/>
        <w:tabs>
          <w:tab w:val="left" w:pos="720"/>
        </w:tabs>
        <w:autoSpaceDE w:val="0"/>
        <w:autoSpaceDN w:val="0"/>
        <w:adjustRightInd w:val="0"/>
        <w:spacing w:line="360" w:lineRule="auto"/>
        <w:ind w:right="17" w:firstLine="482"/>
        <w:jc w:val="left"/>
        <w:outlineLvl w:val="1"/>
        <w:rPr>
          <w:rFonts w:ascii="宋体" w:hAnsi="宋体" w:cs="宋体"/>
          <w:b/>
          <w:bCs/>
          <w:color w:val="auto"/>
          <w:sz w:val="24"/>
          <w:highlight w:val="none"/>
        </w:rPr>
      </w:pPr>
      <w:r>
        <w:rPr>
          <w:rFonts w:hint="eastAsia" w:ascii="宋体" w:hAnsi="宋体" w:cs="宋体"/>
          <w:b/>
          <w:bCs/>
          <w:color w:val="auto"/>
          <w:sz w:val="24"/>
          <w:highlight w:val="none"/>
        </w:rPr>
        <w:t>五、验收方式</w:t>
      </w:r>
    </w:p>
    <w:p>
      <w:pPr>
        <w:pStyle w:val="52"/>
        <w:tabs>
          <w:tab w:val="left" w:pos="720"/>
        </w:tabs>
        <w:autoSpaceDE w:val="0"/>
        <w:autoSpaceDN w:val="0"/>
        <w:adjustRightInd w:val="0"/>
        <w:spacing w:line="360" w:lineRule="auto"/>
        <w:ind w:right="17" w:firstLine="480"/>
        <w:jc w:val="left"/>
        <w:outlineLvl w:val="1"/>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一</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采购人</w:t>
      </w:r>
      <w:r>
        <w:rPr>
          <w:rFonts w:hint="eastAsia" w:ascii="宋体" w:hAnsi="宋体" w:cs="宋体"/>
          <w:color w:val="auto"/>
          <w:sz w:val="24"/>
          <w:highlight w:val="none"/>
        </w:rPr>
        <w:t>应在</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提交项目总结报告后15个工作日内对总结报告进行验收</w:t>
      </w:r>
      <w:r>
        <w:rPr>
          <w:rFonts w:hint="eastAsia" w:ascii="宋体" w:hAnsi="宋体" w:cs="宋体"/>
          <w:color w:val="auto"/>
          <w:sz w:val="24"/>
          <w:highlight w:val="none"/>
          <w:lang w:eastAsia="zh-CN"/>
        </w:rPr>
        <w:t>；</w:t>
      </w:r>
    </w:p>
    <w:p>
      <w:pPr>
        <w:pStyle w:val="52"/>
        <w:tabs>
          <w:tab w:val="left" w:pos="720"/>
        </w:tabs>
        <w:autoSpaceDE w:val="0"/>
        <w:autoSpaceDN w:val="0"/>
        <w:adjustRightInd w:val="0"/>
        <w:spacing w:line="360" w:lineRule="auto"/>
        <w:ind w:right="17" w:firstLine="480"/>
        <w:jc w:val="left"/>
        <w:outlineLvl w:val="1"/>
        <w:rPr>
          <w:rFonts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二</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最终成果验收合格的标志为采购人审查通过。</w:t>
      </w:r>
    </w:p>
    <w:p>
      <w:pPr>
        <w:pStyle w:val="52"/>
        <w:tabs>
          <w:tab w:val="left" w:pos="720"/>
        </w:tabs>
        <w:autoSpaceDE w:val="0"/>
        <w:autoSpaceDN w:val="0"/>
        <w:adjustRightInd w:val="0"/>
        <w:spacing w:line="360" w:lineRule="auto"/>
        <w:ind w:right="17" w:firstLine="482"/>
        <w:jc w:val="left"/>
        <w:outlineLvl w:val="1"/>
        <w:rPr>
          <w:rFonts w:ascii="宋体" w:hAnsi="宋体" w:cs="宋体"/>
          <w:b/>
          <w:color w:val="auto"/>
          <w:sz w:val="24"/>
          <w:highlight w:val="none"/>
        </w:rPr>
      </w:pPr>
      <w:r>
        <w:rPr>
          <w:rFonts w:hint="eastAsia" w:ascii="宋体" w:hAnsi="宋体" w:cs="宋体"/>
          <w:b/>
          <w:color w:val="auto"/>
          <w:sz w:val="24"/>
          <w:highlight w:val="none"/>
        </w:rPr>
        <w:t>六、项目人员组成</w:t>
      </w:r>
    </w:p>
    <w:p>
      <w:pPr>
        <w:pStyle w:val="52"/>
        <w:tabs>
          <w:tab w:val="left" w:pos="720"/>
        </w:tabs>
        <w:autoSpaceDE w:val="0"/>
        <w:autoSpaceDN w:val="0"/>
        <w:adjustRightInd w:val="0"/>
        <w:spacing w:line="360" w:lineRule="auto"/>
        <w:ind w:right="17" w:firstLine="480"/>
        <w:jc w:val="left"/>
        <w:outlineLvl w:val="1"/>
        <w:rPr>
          <w:rFonts w:ascii="宋体" w:hAnsi="宋体" w:cs="宋体"/>
          <w:bCs/>
          <w:color w:val="auto"/>
          <w:sz w:val="24"/>
          <w:highlight w:val="none"/>
        </w:rPr>
      </w:pPr>
      <w:r>
        <w:rPr>
          <w:rFonts w:hint="eastAsia" w:ascii="宋体" w:hAnsi="宋体" w:cs="宋体"/>
          <w:bCs/>
          <w:color w:val="auto"/>
          <w:sz w:val="24"/>
          <w:highlight w:val="none"/>
        </w:rPr>
        <w:t>中标人需根据项目内容组建专业团队负责本项目工作，包含内容策划团队、数据采集团队、翻译团队、技术保障团队。</w:t>
      </w:r>
    </w:p>
    <w:p>
      <w:pPr>
        <w:pStyle w:val="52"/>
        <w:tabs>
          <w:tab w:val="left" w:pos="720"/>
        </w:tabs>
        <w:autoSpaceDE w:val="0"/>
        <w:autoSpaceDN w:val="0"/>
        <w:adjustRightInd w:val="0"/>
        <w:spacing w:line="360" w:lineRule="auto"/>
        <w:ind w:right="17" w:firstLine="482"/>
        <w:jc w:val="left"/>
        <w:outlineLvl w:val="1"/>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rPr>
        <w:t>七、后续服务</w:t>
      </w:r>
      <w:r>
        <w:rPr>
          <w:rFonts w:hint="eastAsia" w:ascii="宋体" w:hAnsi="宋体" w:cs="宋体"/>
          <w:b/>
          <w:color w:val="auto"/>
          <w:sz w:val="24"/>
          <w:highlight w:val="none"/>
          <w:lang w:val="en-US" w:eastAsia="zh-CN"/>
        </w:rPr>
        <w:t>期</w:t>
      </w:r>
    </w:p>
    <w:p>
      <w:pPr>
        <w:pStyle w:val="52"/>
        <w:tabs>
          <w:tab w:val="left" w:pos="720"/>
        </w:tabs>
        <w:autoSpaceDE w:val="0"/>
        <w:autoSpaceDN w:val="0"/>
        <w:adjustRightInd w:val="0"/>
        <w:spacing w:line="360" w:lineRule="auto"/>
        <w:ind w:right="17" w:firstLine="482"/>
        <w:jc w:val="left"/>
        <w:outlineLvl w:val="1"/>
        <w:rPr>
          <w:rFonts w:hint="eastAsia" w:ascii="宋体" w:hAnsi="宋体" w:eastAsia="宋体" w:cs="宋体"/>
          <w:b/>
          <w:color w:val="auto"/>
          <w:sz w:val="24"/>
          <w:highlight w:val="none"/>
          <w:lang w:eastAsia="zh-CN"/>
        </w:rPr>
      </w:pP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提交的本项目最终成果通过</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审查验收之日起</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年为本合同后续服务期。服务期内</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应向</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提供后续的专业技术支持与咨询服务</w:t>
      </w:r>
      <w:r>
        <w:rPr>
          <w:rFonts w:hint="eastAsia" w:ascii="宋体" w:hAnsi="宋体" w:cs="宋体"/>
          <w:color w:val="auto"/>
          <w:sz w:val="24"/>
          <w:highlight w:val="none"/>
          <w:lang w:eastAsia="zh-CN"/>
        </w:rPr>
        <w:t>。</w:t>
      </w:r>
    </w:p>
    <w:p>
      <w:pPr>
        <w:pStyle w:val="52"/>
        <w:tabs>
          <w:tab w:val="left" w:pos="720"/>
        </w:tabs>
        <w:autoSpaceDE w:val="0"/>
        <w:autoSpaceDN w:val="0"/>
        <w:adjustRightInd w:val="0"/>
        <w:spacing w:line="360" w:lineRule="auto"/>
        <w:ind w:right="17" w:firstLine="482"/>
        <w:jc w:val="left"/>
        <w:outlineLvl w:val="1"/>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商务要求</w:t>
      </w:r>
    </w:p>
    <w:p>
      <w:pPr>
        <w:tabs>
          <w:tab w:val="left" w:pos="720"/>
        </w:tabs>
        <w:autoSpaceDE w:val="0"/>
        <w:autoSpaceDN w:val="0"/>
        <w:adjustRightInd w:val="0"/>
        <w:spacing w:line="360" w:lineRule="auto"/>
        <w:ind w:right="17" w:firstLine="482" w:firstLineChars="200"/>
        <w:outlineLvl w:val="2"/>
        <w:rPr>
          <w:rFonts w:ascii="宋体" w:hAnsi="宋体" w:cs="宋体"/>
          <w:color w:val="auto"/>
          <w:sz w:val="24"/>
          <w:highlight w:val="none"/>
        </w:rPr>
      </w:pPr>
      <w:r>
        <w:rPr>
          <w:rFonts w:hint="eastAsia" w:ascii="宋体" w:hAnsi="宋体" w:cs="宋体"/>
          <w:b/>
          <w:bCs/>
          <w:color w:val="auto"/>
          <w:kern w:val="0"/>
          <w:sz w:val="24"/>
          <w:highlight w:val="none"/>
        </w:rPr>
        <w:t>（一）服务期限</w:t>
      </w:r>
    </w:p>
    <w:p>
      <w:pPr>
        <w:tabs>
          <w:tab w:val="left" w:pos="720"/>
        </w:tabs>
        <w:autoSpaceDE w:val="0"/>
        <w:autoSpaceDN w:val="0"/>
        <w:adjustRightInd w:val="0"/>
        <w:spacing w:line="360" w:lineRule="auto"/>
        <w:ind w:right="17" w:firstLine="480" w:firstLineChars="200"/>
        <w:outlineLvl w:val="2"/>
        <w:rPr>
          <w:rFonts w:hint="eastAsia" w:ascii="宋体" w:hAnsi="宋体" w:eastAsia="宋体" w:cs="宋体"/>
          <w:color w:val="auto"/>
          <w:sz w:val="24"/>
          <w:highlight w:val="none"/>
          <w:lang w:eastAsia="zh-CN"/>
        </w:rPr>
      </w:pPr>
      <w:r>
        <w:rPr>
          <w:rFonts w:hint="eastAsia" w:ascii="宋体" w:hAnsi="宋体" w:cs="宋体"/>
          <w:color w:val="auto"/>
          <w:sz w:val="24"/>
          <w:highlight w:val="none"/>
        </w:rPr>
        <w:t>自合同签订之日起一年。</w:t>
      </w:r>
      <w:r>
        <w:rPr>
          <w:rFonts w:hint="eastAsia" w:ascii="宋体" w:hAnsi="宋体" w:cs="宋体"/>
          <w:bCs/>
          <w:color w:val="auto"/>
          <w:sz w:val="24"/>
          <w:highlight w:val="none"/>
          <w:lang w:bidi="ar"/>
        </w:rPr>
        <w:t>合同期满后，</w:t>
      </w:r>
      <w:r>
        <w:rPr>
          <w:rFonts w:hint="eastAsia" w:ascii="宋体" w:hAnsi="宋体" w:cs="宋体"/>
          <w:bCs/>
          <w:color w:val="auto"/>
          <w:sz w:val="24"/>
          <w:highlight w:val="none"/>
          <w:lang w:val="en-US" w:eastAsia="zh-CN" w:bidi="ar"/>
        </w:rPr>
        <w:t>采购人</w:t>
      </w:r>
      <w:r>
        <w:rPr>
          <w:rFonts w:hint="eastAsia" w:ascii="宋体" w:hAnsi="宋体" w:cs="宋体"/>
          <w:bCs/>
          <w:color w:val="auto"/>
          <w:sz w:val="24"/>
          <w:highlight w:val="none"/>
          <w:lang w:eastAsia="zh-CN" w:bidi="ar"/>
        </w:rPr>
        <w:t>可</w:t>
      </w:r>
      <w:r>
        <w:rPr>
          <w:rFonts w:hint="eastAsia" w:ascii="宋体" w:hAnsi="宋体" w:cs="宋体"/>
          <w:bCs/>
          <w:color w:val="auto"/>
          <w:sz w:val="24"/>
          <w:highlight w:val="none"/>
          <w:lang w:bidi="ar"/>
        </w:rPr>
        <w:t>对</w:t>
      </w:r>
      <w:r>
        <w:rPr>
          <w:rFonts w:hint="eastAsia" w:ascii="宋体" w:hAnsi="宋体" w:cs="宋体"/>
          <w:bCs/>
          <w:color w:val="auto"/>
          <w:sz w:val="24"/>
          <w:highlight w:val="none"/>
          <w:lang w:val="en-US" w:eastAsia="zh-CN" w:bidi="ar"/>
        </w:rPr>
        <w:t>中标人</w:t>
      </w:r>
      <w:r>
        <w:rPr>
          <w:rFonts w:hint="eastAsia" w:ascii="宋体" w:hAnsi="宋体" w:cs="宋体"/>
          <w:bCs/>
          <w:color w:val="auto"/>
          <w:sz w:val="24"/>
          <w:highlight w:val="none"/>
          <w:lang w:bidi="ar"/>
        </w:rPr>
        <w:t>进行履约评价，评价</w:t>
      </w:r>
      <w:r>
        <w:rPr>
          <w:rFonts w:hint="eastAsia" w:ascii="宋体" w:hAnsi="宋体" w:cs="宋体"/>
          <w:bCs/>
          <w:color w:val="auto"/>
          <w:sz w:val="24"/>
          <w:highlight w:val="none"/>
          <w:lang w:eastAsia="zh-CN" w:bidi="ar"/>
        </w:rPr>
        <w:t>为</w:t>
      </w:r>
      <w:r>
        <w:rPr>
          <w:rFonts w:hint="eastAsia" w:ascii="宋体" w:hAnsi="宋体" w:cs="宋体"/>
          <w:bCs/>
          <w:color w:val="auto"/>
          <w:sz w:val="24"/>
          <w:highlight w:val="none"/>
          <w:lang w:bidi="ar"/>
        </w:rPr>
        <w:t>优秀的可进行合同续期，续期最多不超过两次。续期的合同实质性内容不变</w:t>
      </w:r>
      <w:r>
        <w:rPr>
          <w:rFonts w:hint="eastAsia" w:ascii="宋体" w:hAnsi="宋体" w:cs="宋体"/>
          <w:bCs/>
          <w:color w:val="auto"/>
          <w:sz w:val="24"/>
          <w:highlight w:val="none"/>
          <w:lang w:eastAsia="zh-CN" w:bidi="ar"/>
        </w:rPr>
        <w:t>。</w:t>
      </w:r>
    </w:p>
    <w:p>
      <w:pPr>
        <w:tabs>
          <w:tab w:val="left" w:pos="720"/>
        </w:tabs>
        <w:autoSpaceDE w:val="0"/>
        <w:autoSpaceDN w:val="0"/>
        <w:adjustRightInd w:val="0"/>
        <w:spacing w:line="360" w:lineRule="auto"/>
        <w:ind w:right="17" w:firstLine="482" w:firstLineChars="200"/>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（二）报价要求</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1.本次投标为总价包干，投标报价总价作为中标人与采购人签定的合同金额。项目预算控制</w:t>
      </w:r>
      <w:r>
        <w:rPr>
          <w:rFonts w:hint="eastAsia" w:ascii="宋体" w:hAnsi="宋体" w:cs="宋体"/>
          <w:color w:val="auto"/>
          <w:sz w:val="24"/>
          <w:highlight w:val="none"/>
          <w:lang w:val="en-US" w:eastAsia="zh-CN"/>
        </w:rPr>
        <w:t>91.8</w:t>
      </w:r>
      <w:r>
        <w:rPr>
          <w:rFonts w:hint="eastAsia" w:ascii="宋体" w:hAnsi="宋体" w:cs="宋体"/>
          <w:color w:val="auto"/>
          <w:sz w:val="24"/>
          <w:highlight w:val="none"/>
        </w:rPr>
        <w:t>万元以内，投标人的报价不可高于预算（限价），否则投标人的投标文件视同无效。项目服务费包括调研费、中标服务费、资料费、税金、差旅费、运营维护</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后续服务、</w:t>
      </w:r>
      <w:r>
        <w:rPr>
          <w:rFonts w:hint="eastAsia" w:ascii="宋体" w:hAnsi="宋体" w:cs="宋体"/>
          <w:color w:val="auto"/>
          <w:sz w:val="24"/>
          <w:highlight w:val="none"/>
        </w:rPr>
        <w:t>利润等所有费用，并提供合同要求的成果文件，以及其它相关服务的全部费用。</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ascii="宋体" w:hAnsi="宋体" w:cs="宋体"/>
          <w:b/>
          <w:bCs/>
          <w:color w:val="auto"/>
          <w:kern w:val="0"/>
          <w:sz w:val="24"/>
          <w:highlight w:val="none"/>
        </w:rPr>
      </w:pPr>
      <w:r>
        <w:rPr>
          <w:rFonts w:hint="eastAsia" w:ascii="宋体" w:hAnsi="宋体" w:cs="宋体"/>
          <w:color w:val="auto"/>
          <w:sz w:val="24"/>
          <w:highlight w:val="none"/>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（三）付款方式</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项目资金分2期支付至中标人指定银行账户：</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1.第1期：自本合同签订之日起15个工作日内，根据中标人提出的付款申请，采购人向中标人支付总价款的</w:t>
      </w:r>
      <w:r>
        <w:rPr>
          <w:rFonts w:hint="eastAsia" w:ascii="宋体" w:hAnsi="宋体" w:cs="宋体"/>
          <w:color w:val="auto"/>
          <w:sz w:val="24"/>
          <w:highlight w:val="none"/>
          <w:lang w:val="en-US" w:eastAsia="zh-CN"/>
        </w:rPr>
        <w:t>43.5</w:t>
      </w:r>
      <w:r>
        <w:rPr>
          <w:rFonts w:hint="eastAsia" w:ascii="宋体" w:hAnsi="宋体" w:cs="宋体"/>
          <w:color w:val="auto"/>
          <w:sz w:val="24"/>
          <w:highlight w:val="none"/>
        </w:rPr>
        <w:t>%；</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2.第2期：中标人提交终期成果，经采购人审查通过后15个工作日内，根据中标人提出的付款申请，采购人向中标人支付总价款的</w:t>
      </w:r>
      <w:r>
        <w:rPr>
          <w:rFonts w:hint="eastAsia" w:ascii="宋体" w:hAnsi="宋体" w:cs="宋体"/>
          <w:color w:val="auto"/>
          <w:sz w:val="24"/>
          <w:highlight w:val="none"/>
          <w:lang w:val="en-US" w:eastAsia="zh-CN"/>
        </w:rPr>
        <w:t>56.5</w:t>
      </w:r>
      <w:r>
        <w:rPr>
          <w:rFonts w:hint="eastAsia" w:ascii="宋体" w:hAnsi="宋体" w:cs="宋体"/>
          <w:color w:val="auto"/>
          <w:sz w:val="24"/>
          <w:highlight w:val="none"/>
        </w:rPr>
        <w:t>%。</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color w:val="auto"/>
          <w:sz w:val="24"/>
          <w:highlight w:val="none"/>
        </w:rPr>
        <w:t>采购人</w:t>
      </w:r>
      <w:r>
        <w:rPr>
          <w:rFonts w:hint="eastAsia" w:ascii="宋体" w:hAnsi="宋体" w:cs="宋体"/>
          <w:color w:val="auto"/>
          <w:sz w:val="24"/>
          <w:highlight w:val="none"/>
        </w:rPr>
        <w:t>付款审批影响支付进度，请</w:t>
      </w:r>
      <w:r>
        <w:rPr>
          <w:rFonts w:ascii="宋体" w:hAnsi="宋体" w:cs="宋体"/>
          <w:color w:val="auto"/>
          <w:sz w:val="24"/>
          <w:highlight w:val="none"/>
        </w:rPr>
        <w:t>中标人</w:t>
      </w:r>
      <w:r>
        <w:rPr>
          <w:rFonts w:hint="eastAsia" w:ascii="宋体" w:hAnsi="宋体" w:cs="宋体"/>
          <w:color w:val="auto"/>
          <w:sz w:val="24"/>
          <w:highlight w:val="none"/>
        </w:rPr>
        <w:t>予以谅解，并不得就此向</w:t>
      </w:r>
      <w:r>
        <w:rPr>
          <w:rFonts w:ascii="宋体" w:hAnsi="宋体" w:cs="宋体"/>
          <w:color w:val="auto"/>
          <w:sz w:val="24"/>
          <w:highlight w:val="none"/>
        </w:rPr>
        <w:t>采购人</w:t>
      </w:r>
      <w:r>
        <w:rPr>
          <w:rFonts w:hint="eastAsia" w:ascii="宋体" w:hAnsi="宋体" w:cs="宋体"/>
          <w:color w:val="auto"/>
          <w:sz w:val="24"/>
          <w:highlight w:val="none"/>
        </w:rPr>
        <w:t>索赔。</w:t>
      </w:r>
    </w:p>
    <w:p>
      <w:pPr>
        <w:tabs>
          <w:tab w:val="left" w:pos="720"/>
        </w:tabs>
        <w:autoSpaceDE w:val="0"/>
        <w:autoSpaceDN w:val="0"/>
        <w:adjustRightInd w:val="0"/>
        <w:spacing w:line="360" w:lineRule="auto"/>
        <w:ind w:right="17" w:firstLine="482" w:firstLineChars="200"/>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（四）成果权属与知识产权</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1.本项目全部阶段性成果和最终成果（包括为后续服务范围所编制的文件）的知识产权以及与之相关的所有权利归采购人所有；本合同签署前双方已经拥有的知识产权权利，仍归各自所有。</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双方确定，采购人有权对中标人按照合同约定提供的研究开发成果（如有），进行后续改进。由此产生的具有实质性或创造性技术进步特征的新的技术成果及其权利归属，全部由采购人享有。具体相关利益的分配办法如下：甲方100%。</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所提交的全部中间成果和最终成果文件及任何数据、资料、软件等不得侵犯任何第三方的知识产权或其他权利，由于使用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5.中标人完成本合同项目的研究人员享有在有关技术成果文件上署名的权利和与采购人共同获得有关荣誉证书、奖励的权利。</w:t>
      </w:r>
    </w:p>
    <w:p>
      <w:pPr>
        <w:widowControl/>
        <w:spacing w:line="360" w:lineRule="auto"/>
        <w:ind w:firstLine="482" w:firstLineChars="200"/>
        <w:outlineLvl w:val="2"/>
        <w:rPr>
          <w:rFonts w:ascii="宋体" w:hAnsi="宋体" w:cs="宋体"/>
          <w:b/>
          <w:bCs/>
          <w:color w:val="auto"/>
          <w:sz w:val="24"/>
          <w:highlight w:val="none"/>
        </w:rPr>
      </w:pPr>
      <w:r>
        <w:rPr>
          <w:rFonts w:hint="eastAsia" w:ascii="宋体" w:hAnsi="宋体" w:cs="宋体"/>
          <w:b/>
          <w:bCs/>
          <w:color w:val="auto"/>
          <w:kern w:val="0"/>
          <w:sz w:val="24"/>
          <w:highlight w:val="none"/>
        </w:rPr>
        <w:t>（五）</w:t>
      </w:r>
      <w:r>
        <w:rPr>
          <w:rFonts w:hint="eastAsia" w:ascii="宋体" w:hAnsi="宋体" w:cs="宋体"/>
          <w:b/>
          <w:bCs/>
          <w:color w:val="auto"/>
          <w:sz w:val="24"/>
          <w:highlight w:val="none"/>
        </w:rPr>
        <w:t>保密条款</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甲方内部数据资料。</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未经采购人书面在先同意，中标人不得向任何第三方透露与本项目有关的内容，或公开本项目任何中间成果或最终成果。</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4.中标人实施项目的程序应符合国家安全、保密的有关规定和标准。</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5.上述保密义务不适用以下情况：</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（1）获取的信息已被合法公开；</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（2）获得信息拥有方书面许可并在该许可范围内披露；</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（3）国家法律、法规规定的情形。</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ascii="宋体" w:hAnsi="宋体" w:cs="宋体"/>
          <w:b/>
          <w:bCs/>
          <w:color w:val="auto"/>
          <w:sz w:val="24"/>
          <w:highlight w:val="none"/>
        </w:rPr>
      </w:pPr>
      <w:r>
        <w:rPr>
          <w:rFonts w:hint="eastAsia" w:ascii="宋体" w:hAnsi="宋体" w:cs="宋体"/>
          <w:b/>
          <w:bCs/>
          <w:color w:val="auto"/>
          <w:kern w:val="0"/>
          <w:sz w:val="24"/>
          <w:highlight w:val="none"/>
        </w:rPr>
        <w:t>（六）</w:t>
      </w:r>
      <w:r>
        <w:rPr>
          <w:rFonts w:hint="eastAsia" w:ascii="宋体" w:hAnsi="宋体" w:cs="宋体"/>
          <w:b/>
          <w:bCs/>
          <w:color w:val="auto"/>
          <w:sz w:val="24"/>
          <w:highlight w:val="none"/>
        </w:rPr>
        <w:t>违约责任</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1.中标人未按照本合同约定的时间完成本项目各阶段工作，每延迟一日，采购人有权自尚未支付的合同款项中扣除本合同服务费总金额的1‰的逾期违约金。</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2.本合同项下的工作内容不可分割，任一文件的迟延交付均视为整个项目的迟延交付。</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（1）中标人未能按合同约定的日期(含协商延缓的日期)提交各阶段工作成果，延误时间超过15个工作日；</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（2）因中标人工作的错误或遗漏造成成果质量损失，工作成果质量低劣，不能满足采购人工作需要和要求；</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（3）中标人虽如期提交最终成果，但连续二次未能通过采购人验收的；</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（4）未经采购人书面在先同意，中标人擅自将本合同项目与任何第三方合作，或将本合同标的全部或部分擅自转包或分包给任何第三方，且未按采购人的要求终止与第三方的合同的；</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（5）项目负责人未承担本合同项目实质性工作，或未经采购人书面在先同意，中标人擅自更换项目负责人的；</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（7）中标人明确表示或者以自己的行为表明不履行本合同的。</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4.除因</w:t>
      </w:r>
      <w:r>
        <w:rPr>
          <w:rFonts w:hint="eastAsia" w:ascii="宋体" w:hAnsi="宋体" w:cs="宋体"/>
          <w:color w:val="auto"/>
          <w:kern w:val="0"/>
          <w:sz w:val="24"/>
          <w:highlight w:val="none"/>
        </w:rPr>
        <w:t>采购人付款审批影响支付进度的情况外，</w:t>
      </w:r>
      <w:r>
        <w:rPr>
          <w:rFonts w:hint="eastAsia" w:ascii="宋体" w:hAnsi="宋体" w:cs="宋体"/>
          <w:color w:val="auto"/>
          <w:sz w:val="24"/>
          <w:highlight w:val="none"/>
        </w:rPr>
        <w:t>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上述违约责任各自独立且可累加。本合同所约定的违约金如低于因违约行为所造成的损失，违约方应补偿上述不足部分的损失，包括但不限于上述索赔或责任所产生的诉讼费用、合理的律师费用、鉴定评估费用、调查费用、和解金额或生效法律文书中规定的赔偿金额。</w:t>
      </w:r>
    </w:p>
    <w:p>
      <w:pPr>
        <w:spacing w:line="360" w:lineRule="auto"/>
        <w:jc w:val="center"/>
        <w:outlineLvl w:val="0"/>
        <w:rPr>
          <w:rFonts w:ascii="宋体" w:cs="宋体"/>
          <w:b/>
          <w:bCs/>
          <w:color w:val="auto"/>
          <w:sz w:val="24"/>
          <w:highlight w:val="none"/>
        </w:rPr>
      </w:pPr>
      <w:r>
        <w:rPr>
          <w:rFonts w:hint="eastAsia" w:ascii="宋体" w:hAnsi="宋体" w:cs="宋体"/>
          <w:color w:val="auto"/>
          <w:sz w:val="24"/>
          <w:highlight w:val="none"/>
        </w:rPr>
        <w:br w:type="page"/>
      </w:r>
      <w:bookmarkStart w:id="20" w:name="_Toc23822"/>
      <w:r>
        <w:rPr>
          <w:rFonts w:hint="eastAsia" w:ascii="宋体" w:cs="宋体"/>
          <w:b/>
          <w:bCs/>
          <w:color w:val="auto"/>
          <w:sz w:val="24"/>
          <w:highlight w:val="none"/>
        </w:rPr>
        <w:t>第六章 投标文件初审及招标项目评分表</w:t>
      </w:r>
      <w:bookmarkEnd w:id="20"/>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投标文件初审表（不可偏离条款）</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（凡有下列情形之一的，投标文件无效，投标作废标处理）</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7108"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7108"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7108"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7108"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7108"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7108"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7108"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7108"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7108"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7108"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法律、法规规定的其他情形</w:t>
            </w:r>
          </w:p>
        </w:tc>
      </w:tr>
    </w:tbl>
    <w:p>
      <w:pPr>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招标项目评分表</w:t>
      </w:r>
    </w:p>
    <w:tbl>
      <w:tblPr>
        <w:tblStyle w:val="22"/>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946"/>
        <w:gridCol w:w="6457"/>
        <w:gridCol w:w="668"/>
        <w:gridCol w:w="9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color w:val="auto"/>
                <w:sz w:val="24"/>
                <w:highlight w:val="none"/>
                <w:lang w:val="zh-CN"/>
              </w:rPr>
            </w:pPr>
            <w:r>
              <w:rPr>
                <w:rFonts w:hint="eastAsia" w:ascii="宋体" w:hAnsi="宋体" w:cs="宋体"/>
                <w:b/>
                <w:color w:val="auto"/>
                <w:sz w:val="24"/>
                <w:highlight w:val="none"/>
                <w:lang w:val="zh-CN"/>
              </w:rPr>
              <w:t>一、价格部分（</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序号</w:t>
            </w:r>
          </w:p>
        </w:tc>
        <w:tc>
          <w:tcPr>
            <w:tcW w:w="946"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内容</w:t>
            </w:r>
          </w:p>
        </w:tc>
        <w:tc>
          <w:tcPr>
            <w:tcW w:w="6457"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评分规则</w:t>
            </w:r>
          </w:p>
        </w:tc>
        <w:tc>
          <w:tcPr>
            <w:tcW w:w="668"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权重</w:t>
            </w:r>
          </w:p>
        </w:tc>
        <w:tc>
          <w:tcPr>
            <w:tcW w:w="984"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1</w:t>
            </w:r>
          </w:p>
        </w:tc>
        <w:tc>
          <w:tcPr>
            <w:tcW w:w="946"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b/>
                <w:color w:val="auto"/>
                <w:sz w:val="24"/>
                <w:highlight w:val="none"/>
              </w:rPr>
              <w:t>投标报价</w:t>
            </w:r>
          </w:p>
        </w:tc>
        <w:tc>
          <w:tcPr>
            <w:tcW w:w="6457" w:type="dxa"/>
            <w:vAlign w:val="center"/>
          </w:tcPr>
          <w:p>
            <w:pPr>
              <w:pStyle w:val="8"/>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采用低价优先法计算，即满足招标文件要求且投标价格最低的投标报价为评标基准价，其价格分为满分。其他投标人的价格分统一按照下列公式计算：</w:t>
            </w:r>
          </w:p>
          <w:p>
            <w:pPr>
              <w:pStyle w:val="8"/>
              <w:spacing w:line="360" w:lineRule="auto"/>
              <w:rPr>
                <w:rFonts w:hint="default" w:ascii="宋体" w:hAnsi="宋体" w:eastAsia="宋体" w:cs="宋体"/>
                <w:color w:val="auto"/>
                <w:kern w:val="0"/>
                <w:sz w:val="24"/>
                <w:highlight w:val="none"/>
                <w:lang w:val="en-US" w:eastAsia="zh-CN"/>
              </w:rPr>
            </w:pPr>
            <w:r>
              <w:rPr>
                <w:rFonts w:hint="eastAsia" w:ascii="宋体" w:hAnsi="宋体" w:cs="宋体"/>
                <w:b/>
                <w:bCs/>
                <w:color w:val="auto"/>
                <w:kern w:val="0"/>
                <w:sz w:val="24"/>
                <w:highlight w:val="none"/>
              </w:rPr>
              <w:t>投标报价得分=(评标基准价／投标报价)×</w:t>
            </w:r>
            <w:r>
              <w:rPr>
                <w:rFonts w:hint="eastAsia" w:ascii="宋体" w:hAnsi="宋体" w:cs="宋体"/>
                <w:b/>
                <w:bCs/>
                <w:color w:val="auto"/>
                <w:kern w:val="0"/>
                <w:sz w:val="24"/>
                <w:highlight w:val="none"/>
                <w:lang w:val="en-US" w:eastAsia="zh-CN"/>
              </w:rPr>
              <w:t>10</w:t>
            </w:r>
          </w:p>
          <w:p>
            <w:pPr>
              <w:numPr>
                <w:ilvl w:val="0"/>
                <w:numId w:val="7"/>
              </w:numPr>
              <w:spacing w:line="360" w:lineRule="auto"/>
              <w:ind w:left="250" w:hanging="249" w:hangingChars="104"/>
              <w:jc w:val="left"/>
              <w:rPr>
                <w:rFonts w:ascii="宋体" w:hAnsi="宋体" w:cs="宋体"/>
                <w:bCs/>
                <w:color w:val="auto"/>
                <w:sz w:val="24"/>
                <w:highlight w:val="none"/>
              </w:rPr>
            </w:pPr>
            <w:r>
              <w:rPr>
                <w:rFonts w:hint="eastAsia" w:ascii="宋体" w:hAnsi="宋体" w:cs="宋体"/>
                <w:bCs/>
                <w:color w:val="auto"/>
                <w:sz w:val="24"/>
                <w:highlight w:val="none"/>
              </w:rPr>
              <w:t>价格评分仅限于有效投标人，</w:t>
            </w:r>
            <w:r>
              <w:rPr>
                <w:rFonts w:hint="eastAsia" w:ascii="宋体" w:hAnsi="宋体" w:cs="宋体"/>
                <w:color w:val="auto"/>
                <w:sz w:val="24"/>
                <w:highlight w:val="none"/>
              </w:rPr>
              <w:t>当价格分&lt;0时，取0。</w:t>
            </w:r>
          </w:p>
          <w:p>
            <w:pPr>
              <w:numPr>
                <w:ilvl w:val="0"/>
                <w:numId w:val="7"/>
              </w:numPr>
              <w:spacing w:line="360" w:lineRule="auto"/>
              <w:ind w:left="250" w:hanging="249" w:hangingChars="104"/>
              <w:jc w:val="left"/>
              <w:rPr>
                <w:rFonts w:ascii="宋体" w:hAnsi="宋体" w:cs="宋体"/>
                <w:bCs/>
                <w:color w:val="auto"/>
                <w:sz w:val="24"/>
                <w:highlight w:val="none"/>
              </w:rPr>
            </w:pPr>
            <w:r>
              <w:rPr>
                <w:rFonts w:hint="eastAsia" w:ascii="宋体" w:hAnsi="宋体" w:cs="宋体"/>
                <w:bCs/>
                <w:color w:val="auto"/>
                <w:sz w:val="24"/>
                <w:highlight w:val="none"/>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pStyle w:val="8"/>
              <w:spacing w:line="360" w:lineRule="auto"/>
              <w:ind w:left="216" w:leftChars="103"/>
              <w:rPr>
                <w:rFonts w:ascii="宋体" w:hAnsi="宋体" w:cs="宋体"/>
                <w:color w:val="auto"/>
                <w:kern w:val="0"/>
                <w:sz w:val="24"/>
                <w:highlight w:val="none"/>
              </w:rPr>
            </w:pPr>
            <w:r>
              <w:rPr>
                <w:rFonts w:hint="eastAsia" w:ascii="宋体" w:hAnsi="宋体" w:cs="宋体"/>
                <w:bCs/>
                <w:color w:val="auto"/>
                <w:sz w:val="24"/>
                <w:highlight w:val="none"/>
              </w:rPr>
              <w:t>监狱企业应当提供由省级以上监狱管理局、戒毒管理局（含新疆生产建设兵团）出具的属于监狱企业的证明文件，中小企业提供中小企业声明函，残疾人福利性企业提供残疾人福利性企业声明函。</w:t>
            </w:r>
          </w:p>
        </w:tc>
        <w:tc>
          <w:tcPr>
            <w:tcW w:w="668" w:type="dxa"/>
            <w:vAlign w:val="center"/>
          </w:tcPr>
          <w:p>
            <w:pPr>
              <w:autoSpaceDE w:val="0"/>
              <w:autoSpaceDN w:val="0"/>
              <w:adjustRightIn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984"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color w:val="auto"/>
                <w:sz w:val="24"/>
                <w:highlight w:val="none"/>
                <w:lang w:val="zh-CN"/>
              </w:rPr>
            </w:pPr>
            <w:r>
              <w:rPr>
                <w:rFonts w:hint="eastAsia" w:ascii="宋体" w:hAnsi="宋体" w:cs="宋体"/>
                <w:b/>
                <w:color w:val="auto"/>
                <w:sz w:val="24"/>
                <w:highlight w:val="none"/>
                <w:lang w:val="zh-CN"/>
              </w:rPr>
              <w:t>二、商务部分（</w:t>
            </w:r>
            <w:r>
              <w:rPr>
                <w:rFonts w:hint="eastAsia" w:ascii="宋体" w:hAnsi="宋体" w:cs="宋体"/>
                <w:b/>
                <w:color w:val="auto"/>
                <w:sz w:val="24"/>
                <w:highlight w:val="none"/>
                <w:lang w:val="en-US" w:eastAsia="zh-CN"/>
              </w:rPr>
              <w:t>60</w:t>
            </w:r>
            <w:r>
              <w:rPr>
                <w:rFonts w:hint="eastAsia" w:ascii="宋体" w:hAnsi="宋体" w:cs="宋体"/>
                <w:b/>
                <w:color w:val="auto"/>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序号</w:t>
            </w:r>
          </w:p>
        </w:tc>
        <w:tc>
          <w:tcPr>
            <w:tcW w:w="946"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内容</w:t>
            </w:r>
          </w:p>
        </w:tc>
        <w:tc>
          <w:tcPr>
            <w:tcW w:w="6457"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评分规则</w:t>
            </w:r>
          </w:p>
        </w:tc>
        <w:tc>
          <w:tcPr>
            <w:tcW w:w="668"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权重</w:t>
            </w:r>
          </w:p>
        </w:tc>
        <w:tc>
          <w:tcPr>
            <w:tcW w:w="984"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46"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项目负责人</w:t>
            </w:r>
          </w:p>
        </w:tc>
        <w:tc>
          <w:tcPr>
            <w:tcW w:w="6457" w:type="dxa"/>
            <w:vAlign w:val="center"/>
          </w:tcPr>
          <w:p>
            <w:pPr>
              <w:pStyle w:val="51"/>
              <w:widowControl/>
              <w:numPr>
                <w:ilvl w:val="0"/>
                <w:numId w:val="8"/>
              </w:numPr>
              <w:tabs>
                <w:tab w:val="left" w:pos="426"/>
              </w:tabs>
              <w:spacing w:line="360" w:lineRule="auto"/>
              <w:ind w:left="0" w:firstLine="0" w:firstLineChars="0"/>
              <w:rPr>
                <w:rFonts w:ascii="宋体" w:hAnsi="宋体" w:cs="宋体"/>
                <w:color w:val="auto"/>
                <w:sz w:val="24"/>
                <w:highlight w:val="none"/>
              </w:rPr>
            </w:pPr>
            <w:r>
              <w:rPr>
                <w:rFonts w:hint="eastAsia" w:ascii="宋体" w:hAnsi="宋体" w:cs="宋体"/>
                <w:color w:val="auto"/>
                <w:sz w:val="24"/>
                <w:highlight w:val="none"/>
              </w:rPr>
              <w:t>评分内容：拟安排本项目的项目负责人</w:t>
            </w:r>
            <w:r>
              <w:rPr>
                <w:rFonts w:hint="eastAsia" w:ascii="宋体" w:hAnsi="宋体" w:cs="宋体"/>
                <w:color w:val="auto"/>
                <w:sz w:val="24"/>
                <w:highlight w:val="none"/>
                <w:lang w:val="en-US" w:eastAsia="zh-CN"/>
              </w:rPr>
              <w:t>(仅一人)</w:t>
            </w:r>
            <w:r>
              <w:rPr>
                <w:rFonts w:hint="eastAsia" w:ascii="宋体" w:hAnsi="宋体" w:cs="宋体"/>
                <w:color w:val="auto"/>
                <w:sz w:val="24"/>
                <w:highlight w:val="none"/>
              </w:rPr>
              <w:t>具有法律实务经验得5分。具有</w:t>
            </w:r>
            <w:r>
              <w:rPr>
                <w:rFonts w:hint="eastAsia" w:ascii="宋体" w:hAnsi="宋体" w:cs="宋体"/>
                <w:color w:val="auto"/>
                <w:sz w:val="24"/>
                <w:highlight w:val="none"/>
                <w:lang w:eastAsia="zh-CN"/>
              </w:rPr>
              <w:t>境外</w:t>
            </w:r>
            <w:r>
              <w:rPr>
                <w:rFonts w:hint="eastAsia" w:ascii="宋体" w:hAnsi="宋体" w:cs="宋体"/>
                <w:color w:val="auto"/>
                <w:sz w:val="24"/>
                <w:highlight w:val="none"/>
              </w:rPr>
              <w:t>（含港澳台）本科</w:t>
            </w:r>
            <w:r>
              <w:rPr>
                <w:rFonts w:hint="eastAsia" w:ascii="宋体" w:hAnsi="宋体" w:cs="宋体"/>
                <w:color w:val="auto"/>
                <w:sz w:val="24"/>
                <w:highlight w:val="none"/>
                <w:lang w:eastAsia="zh-CN"/>
              </w:rPr>
              <w:t>或</w:t>
            </w:r>
            <w:r>
              <w:rPr>
                <w:rFonts w:hint="eastAsia" w:ascii="宋体" w:hAnsi="宋体" w:cs="宋体"/>
                <w:color w:val="auto"/>
                <w:sz w:val="24"/>
                <w:highlight w:val="none"/>
              </w:rPr>
              <w:t>以上学历的得5分，</w:t>
            </w:r>
            <w:r>
              <w:rPr>
                <w:rFonts w:hint="eastAsia" w:ascii="宋体" w:hAnsi="宋体" w:cs="宋体"/>
                <w:color w:val="auto"/>
                <w:sz w:val="24"/>
                <w:highlight w:val="none"/>
                <w:lang w:val="en-US" w:eastAsia="zh-CN"/>
              </w:rPr>
              <w:t>满分10分</w:t>
            </w:r>
            <w:r>
              <w:rPr>
                <w:rFonts w:hint="eastAsia" w:ascii="宋体" w:hAnsi="宋体" w:cs="宋体"/>
                <w:color w:val="auto"/>
                <w:sz w:val="24"/>
                <w:highlight w:val="none"/>
              </w:rPr>
              <w:t>。</w:t>
            </w:r>
          </w:p>
          <w:p>
            <w:pPr>
              <w:pStyle w:val="51"/>
              <w:widowControl/>
              <w:numPr>
                <w:ilvl w:val="0"/>
                <w:numId w:val="8"/>
              </w:numPr>
              <w:tabs>
                <w:tab w:val="left" w:pos="426"/>
              </w:tabs>
              <w:spacing w:line="360" w:lineRule="auto"/>
              <w:ind w:left="0" w:firstLine="0" w:firstLineChars="0"/>
              <w:rPr>
                <w:rFonts w:ascii="宋体" w:hAnsi="宋体" w:cs="宋体"/>
                <w:color w:val="auto"/>
                <w:sz w:val="24"/>
                <w:highlight w:val="none"/>
              </w:rPr>
            </w:pPr>
            <w:r>
              <w:rPr>
                <w:rFonts w:hint="eastAsia" w:ascii="宋体" w:hAnsi="宋体" w:cs="宋体"/>
                <w:color w:val="auto"/>
                <w:sz w:val="24"/>
                <w:highlight w:val="none"/>
              </w:rPr>
              <w:t>评分依据：</w:t>
            </w:r>
          </w:p>
          <w:p>
            <w:pPr>
              <w:pStyle w:val="51"/>
              <w:widowControl/>
              <w:tabs>
                <w:tab w:val="left" w:pos="426"/>
              </w:tabs>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1.法律实务经验：提供从事法律实务（包括但不限于律师、仲裁员）1年及以上的资格证书（律师执业资格证书，获仲裁机构认可的仲裁员执业资格证书或任命证书亦可）。</w:t>
            </w:r>
          </w:p>
          <w:p>
            <w:pPr>
              <w:pStyle w:val="51"/>
              <w:widowControl/>
              <w:tabs>
                <w:tab w:val="left" w:pos="426"/>
              </w:tabs>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境外</w:t>
            </w:r>
            <w:r>
              <w:rPr>
                <w:rFonts w:hint="eastAsia" w:ascii="宋体" w:hAnsi="宋体" w:cs="宋体"/>
                <w:color w:val="auto"/>
                <w:sz w:val="24"/>
                <w:highlight w:val="none"/>
              </w:rPr>
              <w:t>（含港澳台）本科及以上学历：以经国家教育主管部门认证的学历学位为准。学历以最高学历为准，需提供毕业证书或学位证书等证明材料作为可以得分的依据。</w:t>
            </w:r>
          </w:p>
          <w:p>
            <w:pPr>
              <w:pStyle w:val="51"/>
              <w:widowControl/>
              <w:tabs>
                <w:tab w:val="left" w:pos="426"/>
              </w:tabs>
              <w:spacing w:line="360" w:lineRule="auto"/>
              <w:ind w:firstLine="0" w:firstLineChars="0"/>
              <w:rPr>
                <w:rFonts w:ascii="宋体" w:hAnsi="宋体" w:cs="宋体"/>
                <w:color w:val="auto"/>
                <w:kern w:val="0"/>
                <w:sz w:val="24"/>
                <w:highlight w:val="none"/>
                <w:lang w:val="zh-CN"/>
              </w:rPr>
            </w:pPr>
            <w:r>
              <w:rPr>
                <w:rFonts w:hint="eastAsia" w:ascii="宋体" w:hAnsi="宋体" w:cs="宋体"/>
                <w:color w:val="auto"/>
                <w:sz w:val="24"/>
                <w:highlight w:val="none"/>
              </w:rPr>
              <w:t>3.投标人须提供上述人员近6个月内任意1个月社保证明（网页或窗口打印资料均可）或提供社保承诺书。所有资料均要求复印件加盖公章，原件备查。</w:t>
            </w:r>
          </w:p>
        </w:tc>
        <w:tc>
          <w:tcPr>
            <w:tcW w:w="668"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984"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22"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46"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项目团队实力（项目负责人除外）</w:t>
            </w:r>
          </w:p>
        </w:tc>
        <w:tc>
          <w:tcPr>
            <w:tcW w:w="6457" w:type="dxa"/>
            <w:vAlign w:val="center"/>
          </w:tcPr>
          <w:p>
            <w:pPr>
              <w:pStyle w:val="51"/>
              <w:widowControl/>
              <w:numPr>
                <w:ilvl w:val="0"/>
                <w:numId w:val="9"/>
              </w:numPr>
              <w:tabs>
                <w:tab w:val="left" w:pos="426"/>
              </w:tabs>
              <w:spacing w:line="360" w:lineRule="auto"/>
              <w:ind w:left="0" w:firstLine="0" w:firstLineChars="0"/>
              <w:rPr>
                <w:rFonts w:ascii="宋体" w:hAnsi="宋体" w:cs="宋体"/>
                <w:color w:val="auto"/>
                <w:sz w:val="24"/>
                <w:highlight w:val="none"/>
              </w:rPr>
            </w:pPr>
            <w:r>
              <w:rPr>
                <w:rFonts w:hint="eastAsia" w:ascii="宋体" w:hAnsi="宋体" w:cs="宋体"/>
                <w:color w:val="auto"/>
                <w:sz w:val="24"/>
                <w:highlight w:val="none"/>
              </w:rPr>
              <w:t>评分内容：</w:t>
            </w:r>
          </w:p>
          <w:p>
            <w:pPr>
              <w:pStyle w:val="51"/>
              <w:widowControl/>
              <w:tabs>
                <w:tab w:val="left" w:pos="426"/>
              </w:tabs>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1.拟安排本项目的团队成员人数在5人或以上的得2分，否则本项不得分（投标人提供承诺函作为证明材料，格式自拟）；</w:t>
            </w:r>
          </w:p>
          <w:p>
            <w:pPr>
              <w:pStyle w:val="51"/>
              <w:widowControl/>
              <w:tabs>
                <w:tab w:val="left" w:pos="426"/>
              </w:tabs>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2.拟安排本项目的团队成员每有1名法学（律）硕士研究生或以上学历的得1.5分，每有1名法学本科学历得1分，本项最高得6.5分；</w:t>
            </w:r>
          </w:p>
          <w:p>
            <w:pPr>
              <w:pStyle w:val="51"/>
              <w:widowControl/>
              <w:tabs>
                <w:tab w:val="left" w:pos="426"/>
              </w:tabs>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3.拟安排本项目的团队成员每有1人具有境外（含港澳台）学历或法律相关的就业经历（毕业证书或相关证明文件记载为准）得1.5分，本项最高得4.5分。</w:t>
            </w:r>
          </w:p>
          <w:p>
            <w:pPr>
              <w:pStyle w:val="51"/>
              <w:widowControl/>
              <w:numPr>
                <w:ilvl w:val="0"/>
                <w:numId w:val="9"/>
              </w:numPr>
              <w:tabs>
                <w:tab w:val="left" w:pos="426"/>
              </w:tabs>
              <w:spacing w:line="360" w:lineRule="auto"/>
              <w:ind w:left="0" w:firstLine="0" w:firstLineChars="0"/>
              <w:rPr>
                <w:rFonts w:ascii="宋体" w:hAnsi="宋体" w:cs="宋体"/>
                <w:color w:val="auto"/>
                <w:sz w:val="24"/>
                <w:highlight w:val="none"/>
              </w:rPr>
            </w:pPr>
            <w:r>
              <w:rPr>
                <w:rFonts w:hint="eastAsia" w:ascii="宋体" w:hAnsi="宋体" w:cs="宋体"/>
                <w:color w:val="auto"/>
                <w:sz w:val="24"/>
                <w:highlight w:val="none"/>
              </w:rPr>
              <w:t>评分依据：</w:t>
            </w:r>
          </w:p>
          <w:p>
            <w:pPr>
              <w:pStyle w:val="51"/>
              <w:widowControl/>
              <w:numPr>
                <w:ilvl w:val="0"/>
                <w:numId w:val="10"/>
              </w:numPr>
              <w:tabs>
                <w:tab w:val="left" w:pos="426"/>
                <w:tab w:val="clear" w:pos="312"/>
              </w:tabs>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投标人须提供上述人员近6个月内任意1个月社保证明（网页或窗口打印资料均可）或提供社保承诺书。所有资料均要求复印件加盖公章，原件备查；</w:t>
            </w:r>
          </w:p>
          <w:p>
            <w:pPr>
              <w:pStyle w:val="51"/>
              <w:widowControl/>
              <w:tabs>
                <w:tab w:val="left" w:pos="426"/>
              </w:tabs>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2.学历证明：学历证明需提供毕业证书复印件及学信网查询截图，原件备查。对于较早颁发的学历证书，学信网无法查询的，除要求提供证书扫描件，需要提供其他佐证材料（如毕业院校、人社部门等颁发机构或监管机构等单位出具的证明）作为可以得分的依据。（若为境外留学学历，无需提供学信网查询记录，需提供教育部留学服务中心出具的学历学位认证书）；</w:t>
            </w:r>
          </w:p>
          <w:p>
            <w:pPr>
              <w:pStyle w:val="51"/>
              <w:widowControl/>
              <w:tabs>
                <w:tab w:val="left" w:pos="426"/>
              </w:tabs>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3.同一团队成员的学历以最高学历计算得分，与境外（含港澳台）学历可分别计算得分。</w:t>
            </w:r>
          </w:p>
          <w:p>
            <w:pPr>
              <w:pStyle w:val="51"/>
              <w:widowControl/>
              <w:tabs>
                <w:tab w:val="left" w:pos="426"/>
              </w:tabs>
              <w:spacing w:line="360" w:lineRule="auto"/>
              <w:ind w:firstLine="0" w:firstLineChars="0"/>
              <w:rPr>
                <w:rFonts w:ascii="宋体" w:hAnsi="宋体" w:cs="宋体"/>
                <w:color w:val="auto"/>
                <w:sz w:val="24"/>
                <w:highlight w:val="none"/>
                <w:lang w:val="zh-CN"/>
              </w:rPr>
            </w:pPr>
            <w:r>
              <w:rPr>
                <w:rFonts w:hint="eastAsia" w:ascii="宋体" w:hAnsi="宋体" w:cs="宋体"/>
                <w:color w:val="auto"/>
                <w:sz w:val="24"/>
                <w:highlight w:val="none"/>
              </w:rPr>
              <w:t>4.评分中出现无证明资料或专家无法凭所提供资料判断是否得分的情况，一律作不得分处理。</w:t>
            </w:r>
          </w:p>
        </w:tc>
        <w:tc>
          <w:tcPr>
            <w:tcW w:w="668" w:type="dxa"/>
            <w:vAlign w:val="center"/>
          </w:tcPr>
          <w:p>
            <w:pPr>
              <w:autoSpaceDE w:val="0"/>
              <w:autoSpaceDN w:val="0"/>
              <w:adjustRightInd w:val="0"/>
              <w:spacing w:line="360" w:lineRule="auto"/>
              <w:jc w:val="center"/>
              <w:rPr>
                <w:color w:val="auto"/>
                <w:highlight w:val="none"/>
              </w:rPr>
            </w:pPr>
            <w:r>
              <w:rPr>
                <w:rFonts w:hint="eastAsia" w:ascii="宋体" w:hAnsi="宋体" w:cs="宋体"/>
                <w:color w:val="auto"/>
                <w:sz w:val="24"/>
                <w:highlight w:val="none"/>
              </w:rPr>
              <w:t>13</w:t>
            </w:r>
          </w:p>
        </w:tc>
        <w:tc>
          <w:tcPr>
            <w:tcW w:w="984"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46" w:type="dxa"/>
            <w:vAlign w:val="center"/>
          </w:tcPr>
          <w:p>
            <w:pPr>
              <w:autoSpaceDE w:val="0"/>
              <w:autoSpaceDN w:val="0"/>
              <w:adjustRightInd w:val="0"/>
              <w:spacing w:line="360" w:lineRule="auto"/>
              <w:jc w:val="center"/>
              <w:rPr>
                <w:rFonts w:ascii="宋体" w:hAnsi="宋体" w:cs="宋体"/>
                <w:color w:val="auto"/>
                <w:sz w:val="24"/>
                <w:highlight w:val="none"/>
                <w:lang w:val="sq-AL"/>
              </w:rPr>
            </w:pPr>
            <w:r>
              <w:rPr>
                <w:rFonts w:hint="eastAsia" w:ascii="宋体" w:hAnsi="宋体" w:cs="宋体"/>
                <w:color w:val="auto"/>
                <w:sz w:val="24"/>
                <w:highlight w:val="none"/>
              </w:rPr>
              <w:t>合作机构</w:t>
            </w:r>
          </w:p>
        </w:tc>
        <w:tc>
          <w:tcPr>
            <w:tcW w:w="6457" w:type="dxa"/>
            <w:vAlign w:val="center"/>
          </w:tcPr>
          <w:p>
            <w:pPr>
              <w:pStyle w:val="51"/>
              <w:widowControl/>
              <w:numPr>
                <w:ilvl w:val="0"/>
                <w:numId w:val="11"/>
              </w:numPr>
              <w:tabs>
                <w:tab w:val="left" w:pos="426"/>
              </w:tabs>
              <w:spacing w:line="360" w:lineRule="auto"/>
              <w:ind w:firstLine="0" w:firstLineChars="0"/>
              <w:jc w:val="left"/>
              <w:rPr>
                <w:rFonts w:ascii="宋体" w:hAnsi="宋体" w:cs="宋体"/>
                <w:color w:val="auto"/>
                <w:sz w:val="24"/>
                <w:highlight w:val="none"/>
              </w:rPr>
            </w:pPr>
            <w:r>
              <w:rPr>
                <w:rFonts w:hint="eastAsia" w:ascii="宋体" w:hAnsi="宋体" w:cs="宋体"/>
                <w:color w:val="auto"/>
                <w:sz w:val="24"/>
                <w:highlight w:val="none"/>
              </w:rPr>
              <w:t>评分内容：投标人与一流大学建设高校、一流学科建设高校、知名法学院校、法学研究机构合作情况。知名法学院校、法学研究机构是指被教育部认定为“涉外法律人才教育培养基地”的高校的法学院（《教育部办公厅 中央政法委员会办公室关于公布首批卓越法律人才教育培养基地名单的通知》教高厅函〔2012〕47号http://www.gov.cn/zwgk/2012-12/19/content_2293555.htm）。合作机构超过</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家或以上的，得6分；合作机构有3-5家的，得4分；合作机构为1-2家的，得2分；没有与符合以上知名机构标准合作的，本项不得分。</w:t>
            </w:r>
          </w:p>
          <w:p>
            <w:pPr>
              <w:pStyle w:val="51"/>
              <w:widowControl/>
              <w:tabs>
                <w:tab w:val="left" w:pos="426"/>
              </w:tabs>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（二）评分依据：</w:t>
            </w:r>
          </w:p>
          <w:p>
            <w:pPr>
              <w:pStyle w:val="51"/>
              <w:widowControl/>
              <w:tabs>
                <w:tab w:val="left" w:pos="426"/>
              </w:tabs>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1.须提供合作协议或相关证明材料的清晰原件复印件并加盖投标人公章（原件备查）作为得分依据；原件备查。</w:t>
            </w:r>
          </w:p>
          <w:p>
            <w:pPr>
              <w:pStyle w:val="51"/>
              <w:widowControl/>
              <w:tabs>
                <w:tab w:val="left" w:pos="426"/>
              </w:tabs>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2.评分中出现无证明资料或专家无法凭所提供资料判断是否得分的情况，一律做不得分处理。</w:t>
            </w:r>
          </w:p>
        </w:tc>
        <w:tc>
          <w:tcPr>
            <w:tcW w:w="668"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984"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946"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同类业绩情况</w:t>
            </w:r>
          </w:p>
        </w:tc>
        <w:tc>
          <w:tcPr>
            <w:tcW w:w="6457" w:type="dxa"/>
          </w:tcPr>
          <w:p>
            <w:pPr>
              <w:pStyle w:val="51"/>
              <w:widowControl/>
              <w:numPr>
                <w:ilvl w:val="0"/>
                <w:numId w:val="12"/>
              </w:numPr>
              <w:spacing w:line="360" w:lineRule="auto"/>
              <w:ind w:left="0" w:firstLine="0" w:firstLineChars="0"/>
              <w:rPr>
                <w:rFonts w:ascii="宋体" w:hAnsi="宋体" w:cs="宋体"/>
                <w:color w:val="auto"/>
                <w:sz w:val="24"/>
                <w:highlight w:val="none"/>
              </w:rPr>
            </w:pPr>
            <w:r>
              <w:rPr>
                <w:rFonts w:hint="eastAsia" w:ascii="宋体" w:hAnsi="宋体" w:cs="宋体"/>
                <w:color w:val="auto"/>
                <w:sz w:val="24"/>
                <w:highlight w:val="none"/>
              </w:rPr>
              <w:t>评分内容：投标人近五年（2018年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月1日至投标截止之日，以合同签订时间为准）有接受政府部门委托，进行涉外（含港澳地区）法律类网站、数据库内容建设、运营服务业绩案例，2个及以上的，得10分。有1个的，得4分。无则不得分。</w:t>
            </w:r>
          </w:p>
          <w:p>
            <w:pPr>
              <w:pStyle w:val="51"/>
              <w:widowControl/>
              <w:numPr>
                <w:ilvl w:val="0"/>
                <w:numId w:val="12"/>
              </w:numPr>
              <w:spacing w:line="360" w:lineRule="auto"/>
              <w:ind w:left="0" w:firstLine="0" w:firstLineChars="0"/>
              <w:rPr>
                <w:rFonts w:ascii="宋体" w:hAnsi="宋体" w:cs="宋体"/>
                <w:color w:val="auto"/>
                <w:sz w:val="24"/>
                <w:highlight w:val="none"/>
              </w:rPr>
            </w:pPr>
            <w:r>
              <w:rPr>
                <w:rFonts w:hint="eastAsia" w:ascii="宋体" w:hAnsi="宋体" w:cs="宋体"/>
                <w:color w:val="auto"/>
                <w:sz w:val="24"/>
                <w:highlight w:val="none"/>
              </w:rPr>
              <w:t>评分依据：须提供合同关键信息复印件加盖公章，原件备查。未提供或提供不齐全或无法分辨的不得分。</w:t>
            </w:r>
          </w:p>
        </w:tc>
        <w:tc>
          <w:tcPr>
            <w:tcW w:w="668"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984"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46"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域外法律查明实务经验</w:t>
            </w:r>
          </w:p>
        </w:tc>
        <w:tc>
          <w:tcPr>
            <w:tcW w:w="6457" w:type="dxa"/>
          </w:tcPr>
          <w:p>
            <w:pPr>
              <w:pStyle w:val="51"/>
              <w:widowControl/>
              <w:numPr>
                <w:ilvl w:val="0"/>
                <w:numId w:val="13"/>
              </w:numPr>
              <w:spacing w:line="360" w:lineRule="auto"/>
              <w:ind w:left="0" w:firstLine="0" w:firstLineChars="0"/>
              <w:rPr>
                <w:rFonts w:ascii="宋体" w:hAnsi="宋体" w:cs="宋体"/>
                <w:color w:val="auto"/>
                <w:sz w:val="24"/>
                <w:highlight w:val="none"/>
              </w:rPr>
            </w:pPr>
            <w:r>
              <w:rPr>
                <w:rFonts w:hint="eastAsia" w:ascii="宋体" w:hAnsi="宋体" w:cs="宋体"/>
                <w:color w:val="auto"/>
                <w:sz w:val="24"/>
                <w:highlight w:val="none"/>
              </w:rPr>
              <w:t>评分内容：投标人近五年（2018年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1日至投标截止之日，以合同签订时间或委托函时间为准）有涉及港澳或外国法律的服务业绩案例（法律类网站、数据库内容建设、运营服务业绩案例除外）。有20个（或以上）服务业绩案例的，得10分。有10个或以上</w:t>
            </w:r>
            <w:r>
              <w:rPr>
                <w:rFonts w:hint="eastAsia" w:ascii="宋体" w:hAnsi="宋体" w:cs="宋体"/>
                <w:color w:val="auto"/>
                <w:sz w:val="24"/>
                <w:highlight w:val="none"/>
                <w:lang w:eastAsia="zh-Hans"/>
              </w:rPr>
              <w:t>，20个以下</w:t>
            </w:r>
            <w:r>
              <w:rPr>
                <w:rFonts w:hint="eastAsia" w:ascii="宋体" w:hAnsi="宋体" w:cs="宋体"/>
                <w:color w:val="auto"/>
                <w:sz w:val="24"/>
                <w:highlight w:val="none"/>
              </w:rPr>
              <w:t>服务业绩案例的，得5分，其他情形本项不得分。</w:t>
            </w:r>
          </w:p>
          <w:p>
            <w:pPr>
              <w:pStyle w:val="51"/>
              <w:widowControl/>
              <w:numPr>
                <w:ilvl w:val="0"/>
                <w:numId w:val="13"/>
              </w:numPr>
              <w:spacing w:line="360" w:lineRule="auto"/>
              <w:ind w:left="0" w:firstLine="0" w:firstLineChars="0"/>
              <w:rPr>
                <w:rFonts w:ascii="宋体" w:hAnsi="宋体" w:cs="宋体"/>
                <w:color w:val="auto"/>
                <w:sz w:val="24"/>
                <w:highlight w:val="none"/>
              </w:rPr>
            </w:pPr>
            <w:r>
              <w:rPr>
                <w:rFonts w:hint="eastAsia" w:ascii="宋体" w:hAnsi="宋体" w:cs="宋体"/>
                <w:color w:val="auto"/>
                <w:sz w:val="24"/>
                <w:highlight w:val="none"/>
              </w:rPr>
              <w:t>评分依据：须提供合同关键信息或委托函复印件加盖公章，原件备查。未提供或提供不齐全或无法分辨的不得分。</w:t>
            </w:r>
          </w:p>
        </w:tc>
        <w:tc>
          <w:tcPr>
            <w:tcW w:w="668"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984"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946"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机构社会声誉</w:t>
            </w:r>
          </w:p>
        </w:tc>
        <w:tc>
          <w:tcPr>
            <w:tcW w:w="6457" w:type="dxa"/>
          </w:tcPr>
          <w:p>
            <w:pPr>
              <w:pStyle w:val="51"/>
              <w:widowControl/>
              <w:numPr>
                <w:ilvl w:val="0"/>
                <w:numId w:val="14"/>
              </w:numPr>
              <w:spacing w:line="360" w:lineRule="auto"/>
              <w:ind w:left="0" w:firstLine="0" w:firstLineChars="0"/>
              <w:rPr>
                <w:rFonts w:ascii="宋体" w:hAnsi="宋体" w:cs="宋体"/>
                <w:color w:val="auto"/>
                <w:sz w:val="24"/>
                <w:highlight w:val="none"/>
              </w:rPr>
            </w:pPr>
            <w:r>
              <w:rPr>
                <w:rFonts w:hint="eastAsia" w:ascii="宋体" w:hAnsi="宋体" w:cs="宋体"/>
                <w:color w:val="auto"/>
                <w:sz w:val="24"/>
                <w:highlight w:val="none"/>
              </w:rPr>
              <w:t>评分内容：投标人近五年（2018年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月1日至投标截止之日）所获地级市</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以上法律相关的荣誉情况。每个奖项得2分，满分6分。</w:t>
            </w:r>
          </w:p>
          <w:p>
            <w:pPr>
              <w:pStyle w:val="51"/>
              <w:widowControl/>
              <w:numPr>
                <w:ilvl w:val="0"/>
                <w:numId w:val="14"/>
              </w:numPr>
              <w:spacing w:line="360" w:lineRule="auto"/>
              <w:ind w:left="0" w:firstLine="0" w:firstLineChars="0"/>
              <w:rPr>
                <w:rFonts w:ascii="宋体" w:hAnsi="宋体" w:cs="宋体"/>
                <w:b/>
                <w:color w:val="auto"/>
                <w:kern w:val="0"/>
                <w:sz w:val="24"/>
                <w:highlight w:val="none"/>
              </w:rPr>
            </w:pPr>
            <w:r>
              <w:rPr>
                <w:rFonts w:hint="eastAsia" w:ascii="宋体" w:hAnsi="宋体" w:cs="宋体"/>
                <w:color w:val="auto"/>
                <w:sz w:val="24"/>
                <w:highlight w:val="none"/>
              </w:rPr>
              <w:t>评分依据：1.提供荣誉证明文件清晰的原件复印件并加盖投标人公章。2.评分中出现无证明材料或专家无法凭所提供资料判断是否得分的情况，一律做不得分处理。</w:t>
            </w:r>
          </w:p>
        </w:tc>
        <w:tc>
          <w:tcPr>
            <w:tcW w:w="668"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984"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946"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企业诚信</w:t>
            </w:r>
          </w:p>
        </w:tc>
        <w:tc>
          <w:tcPr>
            <w:tcW w:w="6457" w:type="dxa"/>
            <w:vAlign w:val="center"/>
          </w:tcPr>
          <w:p>
            <w:pPr>
              <w:wordWrap w:val="0"/>
              <w:spacing w:line="360" w:lineRule="auto"/>
              <w:rPr>
                <w:rFonts w:ascii="宋体" w:hAnsi="宋体" w:cs="宋体"/>
                <w:color w:val="auto"/>
                <w:kern w:val="0"/>
                <w:sz w:val="24"/>
                <w:highlight w:val="none"/>
                <w:lang w:val="zh-CN"/>
              </w:rPr>
            </w:pPr>
            <w:r>
              <w:rPr>
                <w:rFonts w:hint="eastAsia" w:ascii="宋体" w:hAnsi="宋体" w:cs="宋体"/>
                <w:color w:val="auto"/>
                <w:sz w:val="24"/>
                <w:highlight w:val="none"/>
              </w:rPr>
              <w:t>投标人在参与政府采购活动中存在诚信相关问题且在主管部门相关处理措施实施期限内的，本项不得分，否则得满分。投标人按招标文件格式要求提供《企业诚信声明与承诺》的得满分，其他不得分。</w:t>
            </w:r>
          </w:p>
        </w:tc>
        <w:tc>
          <w:tcPr>
            <w:tcW w:w="66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84" w:type="dxa"/>
            <w:vAlign w:val="center"/>
          </w:tcPr>
          <w:p>
            <w:pPr>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color w:val="auto"/>
                <w:sz w:val="24"/>
                <w:highlight w:val="none"/>
                <w:lang w:val="zh-CN"/>
              </w:rPr>
            </w:pPr>
            <w:r>
              <w:rPr>
                <w:rFonts w:hint="eastAsia" w:ascii="宋体" w:hAnsi="宋体" w:cs="宋体"/>
                <w:b/>
                <w:color w:val="auto"/>
                <w:sz w:val="24"/>
                <w:highlight w:val="none"/>
                <w:lang w:val="zh-CN"/>
              </w:rPr>
              <w:t>三、技术部分（</w:t>
            </w:r>
            <w:r>
              <w:rPr>
                <w:rFonts w:hint="eastAsia" w:ascii="宋体" w:hAnsi="宋体" w:cs="宋体"/>
                <w:b/>
                <w:color w:val="auto"/>
                <w:sz w:val="24"/>
                <w:highlight w:val="none"/>
              </w:rPr>
              <w:t>30</w:t>
            </w:r>
            <w:r>
              <w:rPr>
                <w:rFonts w:hint="eastAsia" w:ascii="宋体" w:hAnsi="宋体" w:cs="宋体"/>
                <w:b/>
                <w:color w:val="auto"/>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序号</w:t>
            </w:r>
          </w:p>
        </w:tc>
        <w:tc>
          <w:tcPr>
            <w:tcW w:w="946"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内容</w:t>
            </w:r>
          </w:p>
        </w:tc>
        <w:tc>
          <w:tcPr>
            <w:tcW w:w="6457"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评分规则</w:t>
            </w:r>
          </w:p>
        </w:tc>
        <w:tc>
          <w:tcPr>
            <w:tcW w:w="668"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权重</w:t>
            </w:r>
          </w:p>
        </w:tc>
        <w:tc>
          <w:tcPr>
            <w:tcW w:w="984"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1</w:t>
            </w:r>
          </w:p>
        </w:tc>
        <w:tc>
          <w:tcPr>
            <w:tcW w:w="946"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对项目需求的理解和响应</w:t>
            </w:r>
          </w:p>
        </w:tc>
        <w:tc>
          <w:tcPr>
            <w:tcW w:w="6457" w:type="dxa"/>
            <w:vAlign w:val="center"/>
          </w:tcPr>
          <w:p>
            <w:pPr>
              <w:pStyle w:val="51"/>
              <w:widowControl/>
              <w:spacing w:line="360" w:lineRule="auto"/>
              <w:ind w:firstLine="0" w:firstLineChars="0"/>
              <w:jc w:val="left"/>
              <w:rPr>
                <w:rFonts w:ascii="宋体" w:hAnsi="宋体" w:cs="宋体"/>
                <w:color w:val="auto"/>
                <w:sz w:val="24"/>
                <w:highlight w:val="none"/>
                <w:lang w:val="zh-CN"/>
              </w:rPr>
            </w:pPr>
            <w:r>
              <w:rPr>
                <w:rFonts w:hint="eastAsia" w:ascii="宋体" w:hAnsi="宋体" w:cs="宋体"/>
                <w:color w:val="auto"/>
                <w:sz w:val="24"/>
                <w:highlight w:val="none"/>
                <w:lang w:val="zh-CN"/>
              </w:rPr>
              <w:t>（一）评审内容：</w:t>
            </w:r>
          </w:p>
          <w:p>
            <w:pPr>
              <w:pStyle w:val="51"/>
              <w:widowControl/>
              <w:spacing w:line="360" w:lineRule="auto"/>
              <w:ind w:firstLine="0" w:firstLineChars="0"/>
              <w:jc w:val="left"/>
              <w:rPr>
                <w:rFonts w:ascii="宋体" w:hAnsi="宋体" w:cs="宋体"/>
                <w:color w:val="auto"/>
                <w:sz w:val="24"/>
                <w:highlight w:val="none"/>
                <w:lang w:val="zh-CN"/>
              </w:rPr>
            </w:pPr>
            <w:r>
              <w:rPr>
                <w:rFonts w:hint="eastAsia" w:ascii="宋体" w:hAnsi="宋体" w:cs="宋体"/>
                <w:color w:val="auto"/>
                <w:sz w:val="24"/>
                <w:highlight w:val="none"/>
                <w:lang w:val="zh-CN"/>
              </w:rPr>
              <w:t>根据投标文件里</w:t>
            </w:r>
            <w:r>
              <w:rPr>
                <w:rFonts w:hint="eastAsia" w:ascii="宋体" w:hAnsi="宋体" w:cs="宋体"/>
                <w:color w:val="auto"/>
                <w:sz w:val="24"/>
                <w:highlight w:val="none"/>
              </w:rPr>
              <w:t>分析</w:t>
            </w:r>
            <w:r>
              <w:rPr>
                <w:rFonts w:hint="eastAsia" w:ascii="宋体" w:hAnsi="宋体" w:cs="宋体"/>
                <w:color w:val="auto"/>
                <w:sz w:val="24"/>
                <w:highlight w:val="none"/>
                <w:lang w:val="zh-CN"/>
              </w:rPr>
              <w:t>方案的判断情况比较得分：</w:t>
            </w:r>
          </w:p>
          <w:p>
            <w:pPr>
              <w:pStyle w:val="51"/>
              <w:widowControl/>
              <w:spacing w:line="360" w:lineRule="auto"/>
              <w:ind w:firstLine="0" w:firstLineChars="0"/>
              <w:jc w:val="left"/>
              <w:rPr>
                <w:rFonts w:ascii="宋体" w:hAnsi="宋体" w:cs="宋体"/>
                <w:color w:val="auto"/>
                <w:sz w:val="24"/>
                <w:highlight w:val="none"/>
                <w:lang w:val="zh-CN"/>
              </w:rPr>
            </w:pPr>
            <w:r>
              <w:rPr>
                <w:rFonts w:hint="eastAsia" w:ascii="宋体" w:hAnsi="宋体" w:cs="宋体"/>
                <w:color w:val="auto"/>
                <w:sz w:val="24"/>
                <w:highlight w:val="none"/>
                <w:lang w:val="zh-CN"/>
              </w:rPr>
              <w:t>1.本项目服务工作内容的理解；</w:t>
            </w:r>
          </w:p>
          <w:p>
            <w:pPr>
              <w:pStyle w:val="51"/>
              <w:widowControl/>
              <w:spacing w:line="360" w:lineRule="auto"/>
              <w:ind w:firstLine="0" w:firstLineChars="0"/>
              <w:jc w:val="left"/>
              <w:rPr>
                <w:rFonts w:ascii="宋体" w:hAnsi="宋体" w:cs="宋体"/>
                <w:color w:val="auto"/>
                <w:sz w:val="24"/>
                <w:highlight w:val="none"/>
                <w:lang w:val="zh-CN"/>
              </w:rPr>
            </w:pPr>
            <w:r>
              <w:rPr>
                <w:rFonts w:hint="eastAsia" w:ascii="宋体" w:hAnsi="宋体" w:cs="宋体"/>
                <w:color w:val="auto"/>
                <w:sz w:val="24"/>
                <w:highlight w:val="none"/>
                <w:lang w:val="zh-CN"/>
              </w:rPr>
              <w:t>2.工作思路；</w:t>
            </w:r>
          </w:p>
          <w:p>
            <w:pPr>
              <w:pStyle w:val="51"/>
              <w:widowControl/>
              <w:spacing w:line="360" w:lineRule="auto"/>
              <w:ind w:firstLine="0" w:firstLineChars="0"/>
              <w:jc w:val="left"/>
              <w:rPr>
                <w:rFonts w:ascii="宋体" w:hAnsi="宋体" w:cs="宋体"/>
                <w:color w:val="auto"/>
                <w:sz w:val="24"/>
                <w:highlight w:val="none"/>
              </w:rPr>
            </w:pPr>
            <w:r>
              <w:rPr>
                <w:rFonts w:hint="eastAsia" w:ascii="宋体" w:hAnsi="宋体" w:cs="宋体"/>
                <w:color w:val="auto"/>
                <w:sz w:val="24"/>
                <w:highlight w:val="none"/>
                <w:lang w:val="zh-CN"/>
              </w:rPr>
              <w:t>3.相关配套措施</w:t>
            </w:r>
            <w:r>
              <w:rPr>
                <w:rFonts w:hint="eastAsia" w:ascii="宋体" w:hAnsi="宋体" w:cs="宋体"/>
                <w:color w:val="auto"/>
                <w:sz w:val="24"/>
                <w:highlight w:val="none"/>
              </w:rPr>
              <w:t>。</w:t>
            </w:r>
          </w:p>
          <w:p>
            <w:pPr>
              <w:pStyle w:val="51"/>
              <w:widowControl/>
              <w:spacing w:line="360" w:lineRule="auto"/>
              <w:ind w:firstLine="0" w:firstLineChars="0"/>
              <w:jc w:val="left"/>
              <w:rPr>
                <w:rFonts w:ascii="宋体" w:hAnsi="宋体" w:cs="宋体"/>
                <w:color w:val="auto"/>
                <w:sz w:val="24"/>
                <w:highlight w:val="none"/>
                <w:lang w:val="zh-CN"/>
              </w:rPr>
            </w:pPr>
            <w:r>
              <w:rPr>
                <w:rFonts w:hint="eastAsia" w:ascii="宋体" w:hAnsi="宋体" w:cs="宋体"/>
                <w:color w:val="auto"/>
                <w:sz w:val="24"/>
                <w:highlight w:val="none"/>
                <w:lang w:val="zh-CN"/>
              </w:rPr>
              <w:t>（二）评审标准：</w:t>
            </w:r>
          </w:p>
          <w:p>
            <w:pPr>
              <w:pStyle w:val="51"/>
              <w:widowControl/>
              <w:spacing w:line="360" w:lineRule="auto"/>
              <w:ind w:firstLine="0" w:firstLineChars="0"/>
              <w:jc w:val="left"/>
              <w:rPr>
                <w:rFonts w:ascii="宋体" w:hAnsi="宋体" w:cs="宋体"/>
                <w:color w:val="auto"/>
                <w:sz w:val="24"/>
                <w:highlight w:val="none"/>
                <w:lang w:val="zh-CN"/>
              </w:rPr>
            </w:pPr>
            <w:r>
              <w:rPr>
                <w:rFonts w:hint="eastAsia" w:ascii="宋体" w:hAnsi="宋体" w:cs="宋体"/>
                <w:color w:val="auto"/>
                <w:sz w:val="24"/>
                <w:highlight w:val="none"/>
                <w:lang w:val="zh-CN"/>
              </w:rPr>
              <w:t>满足</w:t>
            </w:r>
            <w:r>
              <w:rPr>
                <w:rFonts w:hint="eastAsia" w:ascii="宋体" w:hAnsi="宋体" w:cs="宋体"/>
                <w:color w:val="auto"/>
                <w:sz w:val="24"/>
                <w:highlight w:val="none"/>
              </w:rPr>
              <w:t>三</w:t>
            </w:r>
            <w:r>
              <w:rPr>
                <w:rFonts w:hint="eastAsia" w:ascii="宋体" w:hAnsi="宋体" w:cs="宋体"/>
                <w:color w:val="auto"/>
                <w:sz w:val="24"/>
                <w:highlight w:val="none"/>
                <w:lang w:val="zh-CN"/>
              </w:rPr>
              <w:t>点得</w:t>
            </w:r>
            <w:r>
              <w:rPr>
                <w:rFonts w:hint="eastAsia" w:ascii="宋体" w:hAnsi="宋体" w:cs="宋体"/>
                <w:color w:val="auto"/>
                <w:sz w:val="24"/>
                <w:highlight w:val="none"/>
              </w:rPr>
              <w:t>3</w:t>
            </w:r>
            <w:r>
              <w:rPr>
                <w:rFonts w:hint="eastAsia" w:ascii="宋体" w:hAnsi="宋体" w:cs="宋体"/>
                <w:color w:val="auto"/>
                <w:sz w:val="24"/>
                <w:highlight w:val="none"/>
                <w:lang w:val="zh-CN"/>
              </w:rPr>
              <w:t>分，满足任意一点得</w:t>
            </w:r>
            <w:r>
              <w:rPr>
                <w:rFonts w:hint="eastAsia" w:ascii="宋体" w:hAnsi="宋体" w:cs="宋体"/>
                <w:color w:val="auto"/>
                <w:sz w:val="24"/>
                <w:highlight w:val="none"/>
              </w:rPr>
              <w:t>1</w:t>
            </w:r>
            <w:r>
              <w:rPr>
                <w:rFonts w:hint="eastAsia" w:ascii="宋体" w:hAnsi="宋体" w:cs="宋体"/>
                <w:color w:val="auto"/>
                <w:sz w:val="24"/>
                <w:highlight w:val="none"/>
                <w:lang w:val="zh-CN"/>
              </w:rPr>
              <w:t>分，</w:t>
            </w:r>
            <w:r>
              <w:rPr>
                <w:rFonts w:ascii="宋体" w:hAnsi="宋体" w:cs="宋体"/>
                <w:color w:val="auto"/>
                <w:sz w:val="24"/>
                <w:highlight w:val="none"/>
              </w:rPr>
              <w:t>均</w:t>
            </w:r>
            <w:r>
              <w:rPr>
                <w:rFonts w:hint="eastAsia" w:ascii="宋体" w:hAnsi="宋体" w:cs="宋体"/>
                <w:color w:val="auto"/>
                <w:sz w:val="24"/>
                <w:highlight w:val="none"/>
                <w:lang w:val="zh-CN"/>
              </w:rPr>
              <w:t>未满足不得分。</w:t>
            </w:r>
          </w:p>
          <w:p>
            <w:pPr>
              <w:spacing w:line="360" w:lineRule="auto"/>
              <w:rPr>
                <w:rFonts w:ascii="宋体" w:hAnsi="宋体" w:cs="宋体"/>
                <w:color w:val="auto"/>
                <w:sz w:val="24"/>
                <w:highlight w:val="none"/>
              </w:rPr>
            </w:pPr>
            <w:r>
              <w:rPr>
                <w:rFonts w:hint="eastAsia" w:ascii="宋体" w:hAnsi="宋体" w:cs="宋体"/>
                <w:color w:val="auto"/>
                <w:sz w:val="24"/>
                <w:highlight w:val="none"/>
              </w:rPr>
              <w:t>在此基础上，专家根据各供应商的具体响应内容按照方案的完整性、规范性及内容的合理性进一步评审：</w:t>
            </w:r>
          </w:p>
          <w:p>
            <w:pPr>
              <w:spacing w:line="360" w:lineRule="auto"/>
              <w:rPr>
                <w:rFonts w:ascii="宋体" w:hAnsi="宋体" w:cs="宋体"/>
                <w:color w:val="auto"/>
                <w:sz w:val="24"/>
                <w:highlight w:val="none"/>
              </w:rPr>
            </w:pPr>
            <w:r>
              <w:rPr>
                <w:rFonts w:hint="eastAsia" w:ascii="宋体" w:hAnsi="宋体" w:cs="宋体"/>
                <w:color w:val="auto"/>
                <w:sz w:val="24"/>
                <w:highlight w:val="none"/>
              </w:rPr>
              <w:t>①投标文件响应内容全面；</w:t>
            </w:r>
          </w:p>
          <w:p>
            <w:pPr>
              <w:spacing w:line="360" w:lineRule="auto"/>
              <w:rPr>
                <w:rFonts w:ascii="宋体" w:hAnsi="宋体" w:cs="宋体"/>
                <w:color w:val="auto"/>
                <w:sz w:val="24"/>
                <w:highlight w:val="none"/>
              </w:rPr>
            </w:pPr>
            <w:r>
              <w:rPr>
                <w:rFonts w:hint="eastAsia" w:ascii="宋体" w:hAnsi="宋体" w:cs="宋体"/>
                <w:color w:val="auto"/>
                <w:sz w:val="24"/>
                <w:highlight w:val="none"/>
              </w:rPr>
              <w:t>②投标文件响应内容具体；</w:t>
            </w:r>
          </w:p>
          <w:p>
            <w:pPr>
              <w:spacing w:line="360" w:lineRule="auto"/>
              <w:rPr>
                <w:rFonts w:ascii="宋体" w:hAnsi="宋体" w:cs="宋体"/>
                <w:color w:val="auto"/>
                <w:sz w:val="24"/>
                <w:highlight w:val="none"/>
              </w:rPr>
            </w:pPr>
            <w:r>
              <w:rPr>
                <w:rFonts w:hint="eastAsia" w:ascii="宋体" w:hAnsi="宋体" w:cs="宋体"/>
                <w:color w:val="auto"/>
                <w:sz w:val="24"/>
                <w:highlight w:val="none"/>
              </w:rPr>
              <w:t>③投标文件响应内容针对性强；</w:t>
            </w:r>
          </w:p>
          <w:p>
            <w:pPr>
              <w:spacing w:line="360" w:lineRule="auto"/>
              <w:rPr>
                <w:rFonts w:ascii="宋体" w:hAnsi="宋体" w:cs="宋体"/>
                <w:color w:val="auto"/>
                <w:sz w:val="24"/>
                <w:highlight w:val="none"/>
              </w:rPr>
            </w:pPr>
            <w:r>
              <w:rPr>
                <w:rFonts w:hint="eastAsia" w:ascii="宋体" w:hAnsi="宋体" w:cs="宋体"/>
                <w:color w:val="auto"/>
                <w:sz w:val="24"/>
                <w:highlight w:val="none"/>
              </w:rPr>
              <w:t>④投标文件响应内容科学合理；</w:t>
            </w:r>
          </w:p>
          <w:p>
            <w:pPr>
              <w:spacing w:line="360" w:lineRule="auto"/>
              <w:rPr>
                <w:rFonts w:ascii="宋体" w:hAnsi="宋体" w:cs="宋体"/>
                <w:color w:val="auto"/>
                <w:sz w:val="24"/>
                <w:highlight w:val="none"/>
              </w:rPr>
            </w:pPr>
            <w:r>
              <w:rPr>
                <w:rFonts w:hint="eastAsia" w:ascii="宋体" w:hAnsi="宋体" w:cs="宋体"/>
                <w:color w:val="auto"/>
                <w:sz w:val="24"/>
                <w:highlight w:val="none"/>
              </w:rPr>
              <w:t>⑤投标文件响应内容可操作性强。</w:t>
            </w:r>
          </w:p>
          <w:p>
            <w:pPr>
              <w:pStyle w:val="51"/>
              <w:widowControl/>
              <w:spacing w:line="360" w:lineRule="auto"/>
              <w:ind w:firstLine="0" w:firstLineChars="0"/>
              <w:jc w:val="left"/>
              <w:rPr>
                <w:rFonts w:ascii="宋体" w:hAnsi="宋体" w:cs="宋体"/>
                <w:color w:val="auto"/>
                <w:sz w:val="24"/>
                <w:highlight w:val="none"/>
              </w:rPr>
            </w:pPr>
            <w:r>
              <w:rPr>
                <w:rFonts w:hint="eastAsia" w:ascii="宋体" w:hAnsi="宋体" w:cs="宋体"/>
                <w:color w:val="auto"/>
                <w:sz w:val="24"/>
                <w:highlight w:val="none"/>
              </w:rPr>
              <w:t>满足以上5项的评价为优加7分；满足以上4项的评价为良加4分；满足以上3项的评价为中加1分；其他情况评价为差不加分。</w:t>
            </w:r>
          </w:p>
        </w:tc>
        <w:tc>
          <w:tcPr>
            <w:tcW w:w="668"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984"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2</w:t>
            </w:r>
          </w:p>
        </w:tc>
        <w:tc>
          <w:tcPr>
            <w:tcW w:w="946"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工作安排科学性</w:t>
            </w:r>
          </w:p>
        </w:tc>
        <w:tc>
          <w:tcPr>
            <w:tcW w:w="6457" w:type="dxa"/>
            <w:vAlign w:val="center"/>
          </w:tcPr>
          <w:p>
            <w:pPr>
              <w:spacing w:line="360" w:lineRule="auto"/>
              <w:ind w:right="-107" w:rightChars="-51"/>
              <w:rPr>
                <w:rFonts w:ascii="宋体" w:hAnsi="宋体" w:cs="宋体"/>
                <w:color w:val="auto"/>
                <w:sz w:val="24"/>
                <w:highlight w:val="none"/>
              </w:rPr>
            </w:pPr>
            <w:r>
              <w:rPr>
                <w:rFonts w:hint="eastAsia" w:ascii="宋体" w:hAnsi="宋体" w:cs="宋体"/>
                <w:color w:val="auto"/>
                <w:sz w:val="24"/>
                <w:highlight w:val="none"/>
              </w:rPr>
              <w:t>（一）评分内容：</w:t>
            </w:r>
          </w:p>
          <w:p>
            <w:pPr>
              <w:spacing w:line="360" w:lineRule="auto"/>
              <w:ind w:right="-107" w:rightChars="-51"/>
              <w:rPr>
                <w:rFonts w:ascii="宋体" w:hAnsi="宋体" w:cs="宋体"/>
                <w:color w:val="auto"/>
                <w:sz w:val="24"/>
                <w:highlight w:val="none"/>
              </w:rPr>
            </w:pPr>
            <w:r>
              <w:rPr>
                <w:rFonts w:hint="eastAsia" w:ascii="宋体" w:hAnsi="宋体" w:cs="宋体"/>
                <w:color w:val="auto"/>
                <w:sz w:val="24"/>
                <w:highlight w:val="none"/>
              </w:rPr>
              <w:t>考察投标人针对本项目的实施方案，需包括但不仅限于以下内容：</w:t>
            </w:r>
          </w:p>
          <w:p>
            <w:pPr>
              <w:spacing w:line="360" w:lineRule="auto"/>
              <w:ind w:right="-107" w:rightChars="-51"/>
              <w:rPr>
                <w:rFonts w:ascii="宋体" w:hAnsi="宋体" w:cs="宋体"/>
                <w:color w:val="auto"/>
                <w:sz w:val="24"/>
                <w:highlight w:val="none"/>
              </w:rPr>
            </w:pPr>
            <w:r>
              <w:rPr>
                <w:rFonts w:hint="eastAsia" w:ascii="宋体" w:hAnsi="宋体" w:cs="宋体"/>
                <w:color w:val="auto"/>
                <w:sz w:val="24"/>
                <w:highlight w:val="none"/>
              </w:rPr>
              <w:t>1、项目管理方案(包括人员安排)；</w:t>
            </w:r>
          </w:p>
          <w:p>
            <w:pPr>
              <w:spacing w:line="360" w:lineRule="auto"/>
              <w:ind w:right="-107" w:rightChars="-51"/>
              <w:rPr>
                <w:rFonts w:ascii="宋体" w:hAnsi="宋体" w:cs="宋体"/>
                <w:color w:val="auto"/>
                <w:sz w:val="24"/>
                <w:highlight w:val="none"/>
              </w:rPr>
            </w:pPr>
            <w:r>
              <w:rPr>
                <w:rFonts w:hint="eastAsia" w:ascii="宋体" w:hAnsi="宋体" w:cs="宋体"/>
                <w:color w:val="auto"/>
                <w:sz w:val="24"/>
                <w:highlight w:val="none"/>
              </w:rPr>
              <w:t>2、年度工作实施计划；</w:t>
            </w:r>
          </w:p>
          <w:p>
            <w:pPr>
              <w:spacing w:line="360" w:lineRule="auto"/>
              <w:ind w:right="-107" w:rightChars="-51"/>
              <w:rPr>
                <w:rFonts w:ascii="宋体" w:hAnsi="宋体" w:cs="宋体"/>
                <w:color w:val="auto"/>
                <w:sz w:val="24"/>
                <w:highlight w:val="none"/>
              </w:rPr>
            </w:pPr>
            <w:r>
              <w:rPr>
                <w:rFonts w:hint="eastAsia" w:ascii="宋体" w:hAnsi="宋体" w:cs="宋体"/>
                <w:color w:val="auto"/>
                <w:sz w:val="24"/>
                <w:highlight w:val="none"/>
              </w:rPr>
              <w:t>3、保障措施。</w:t>
            </w:r>
          </w:p>
          <w:p>
            <w:pPr>
              <w:spacing w:line="360" w:lineRule="auto"/>
              <w:ind w:right="-107" w:rightChars="-51"/>
              <w:rPr>
                <w:rFonts w:ascii="宋体" w:hAnsi="宋体" w:cs="宋体"/>
                <w:color w:val="auto"/>
                <w:sz w:val="24"/>
                <w:highlight w:val="none"/>
              </w:rPr>
            </w:pPr>
            <w:r>
              <w:rPr>
                <w:rFonts w:hint="eastAsia" w:ascii="宋体" w:hAnsi="宋体" w:cs="宋体"/>
                <w:color w:val="auto"/>
                <w:sz w:val="24"/>
                <w:highlight w:val="none"/>
              </w:rPr>
              <w:t>（二）评分依据：</w:t>
            </w:r>
          </w:p>
          <w:p>
            <w:pPr>
              <w:spacing w:line="360" w:lineRule="auto"/>
              <w:ind w:right="-107" w:rightChars="-51"/>
              <w:rPr>
                <w:rFonts w:ascii="宋体" w:hAnsi="宋体" w:cs="宋体"/>
                <w:color w:val="auto"/>
                <w:sz w:val="24"/>
                <w:highlight w:val="none"/>
              </w:rPr>
            </w:pPr>
            <w:r>
              <w:rPr>
                <w:rFonts w:hint="eastAsia" w:ascii="宋体" w:hAnsi="宋体" w:cs="宋体"/>
                <w:color w:val="auto"/>
                <w:sz w:val="24"/>
                <w:highlight w:val="none"/>
              </w:rPr>
              <w:t>考察以上三点得3分，满足任意两点得2分，满足一点得1分，其他情况不得分。</w:t>
            </w:r>
          </w:p>
          <w:p>
            <w:pPr>
              <w:spacing w:line="360" w:lineRule="auto"/>
              <w:ind w:right="-107" w:rightChars="-51"/>
              <w:rPr>
                <w:rFonts w:ascii="宋体" w:hAnsi="宋体" w:cs="宋体"/>
                <w:color w:val="auto"/>
                <w:sz w:val="24"/>
                <w:highlight w:val="none"/>
              </w:rPr>
            </w:pPr>
            <w:r>
              <w:rPr>
                <w:rFonts w:hint="eastAsia" w:ascii="宋体" w:hAnsi="宋体" w:cs="宋体"/>
                <w:color w:val="auto"/>
                <w:sz w:val="24"/>
                <w:highlight w:val="none"/>
              </w:rPr>
              <w:t>在此基础上，根据各供应商的具体响应内容按照方案的完整性、规范性及内容的合理性进一步评审：</w:t>
            </w:r>
          </w:p>
          <w:p>
            <w:pPr>
              <w:spacing w:line="360" w:lineRule="auto"/>
              <w:ind w:right="-107" w:rightChars="-51"/>
              <w:rPr>
                <w:rFonts w:ascii="宋体" w:hAnsi="宋体" w:cs="宋体"/>
                <w:color w:val="auto"/>
                <w:sz w:val="24"/>
                <w:highlight w:val="none"/>
              </w:rPr>
            </w:pPr>
            <w:r>
              <w:rPr>
                <w:rFonts w:hint="eastAsia" w:ascii="宋体" w:hAnsi="宋体" w:cs="宋体"/>
                <w:color w:val="auto"/>
                <w:sz w:val="24"/>
                <w:highlight w:val="none"/>
              </w:rPr>
              <w:t>①投标文件响应内容全面；</w:t>
            </w:r>
          </w:p>
          <w:p>
            <w:pPr>
              <w:spacing w:line="360" w:lineRule="auto"/>
              <w:ind w:right="-107" w:rightChars="-51"/>
              <w:rPr>
                <w:rFonts w:ascii="宋体" w:hAnsi="宋体" w:cs="宋体"/>
                <w:color w:val="auto"/>
                <w:sz w:val="24"/>
                <w:highlight w:val="none"/>
              </w:rPr>
            </w:pPr>
            <w:r>
              <w:rPr>
                <w:rFonts w:hint="eastAsia" w:ascii="宋体" w:hAnsi="宋体" w:cs="宋体"/>
                <w:color w:val="auto"/>
                <w:sz w:val="24"/>
                <w:highlight w:val="none"/>
              </w:rPr>
              <w:t>②投标文件响应内容具体；</w:t>
            </w:r>
          </w:p>
          <w:p>
            <w:pPr>
              <w:spacing w:line="360" w:lineRule="auto"/>
              <w:ind w:right="-107" w:rightChars="-51"/>
              <w:rPr>
                <w:rFonts w:ascii="宋体" w:hAnsi="宋体" w:cs="宋体"/>
                <w:color w:val="auto"/>
                <w:sz w:val="24"/>
                <w:highlight w:val="none"/>
              </w:rPr>
            </w:pPr>
            <w:r>
              <w:rPr>
                <w:rFonts w:hint="eastAsia" w:ascii="宋体" w:hAnsi="宋体" w:cs="宋体"/>
                <w:color w:val="auto"/>
                <w:sz w:val="24"/>
                <w:highlight w:val="none"/>
              </w:rPr>
              <w:t>③投标文件响应内容针对性强；</w:t>
            </w:r>
          </w:p>
          <w:p>
            <w:pPr>
              <w:spacing w:line="360" w:lineRule="auto"/>
              <w:ind w:right="-107" w:rightChars="-51"/>
              <w:rPr>
                <w:rFonts w:ascii="宋体" w:hAnsi="宋体" w:cs="宋体"/>
                <w:color w:val="auto"/>
                <w:sz w:val="24"/>
                <w:highlight w:val="none"/>
              </w:rPr>
            </w:pPr>
            <w:r>
              <w:rPr>
                <w:rFonts w:hint="eastAsia" w:ascii="宋体" w:hAnsi="宋体" w:cs="宋体"/>
                <w:color w:val="auto"/>
                <w:sz w:val="24"/>
                <w:highlight w:val="none"/>
              </w:rPr>
              <w:t>④投标文件响应内容科学合理；</w:t>
            </w:r>
          </w:p>
          <w:p>
            <w:pPr>
              <w:spacing w:line="360" w:lineRule="auto"/>
              <w:ind w:right="-107" w:rightChars="-51"/>
              <w:rPr>
                <w:rFonts w:ascii="宋体" w:hAnsi="宋体" w:cs="宋体"/>
                <w:color w:val="auto"/>
                <w:sz w:val="24"/>
                <w:highlight w:val="none"/>
              </w:rPr>
            </w:pPr>
            <w:r>
              <w:rPr>
                <w:rFonts w:hint="eastAsia" w:ascii="宋体" w:hAnsi="宋体" w:cs="宋体"/>
                <w:color w:val="auto"/>
                <w:sz w:val="24"/>
                <w:highlight w:val="none"/>
              </w:rPr>
              <w:t>⑤投标文件响应内容可操作性强。</w:t>
            </w:r>
          </w:p>
          <w:p>
            <w:pPr>
              <w:pStyle w:val="51"/>
              <w:widowControl/>
              <w:spacing w:line="360" w:lineRule="auto"/>
              <w:ind w:firstLine="0" w:firstLineChars="0"/>
              <w:jc w:val="left"/>
              <w:rPr>
                <w:rFonts w:ascii="宋体" w:hAnsi="宋体" w:cs="宋体"/>
                <w:color w:val="auto"/>
                <w:sz w:val="24"/>
                <w:highlight w:val="none"/>
              </w:rPr>
            </w:pPr>
            <w:r>
              <w:rPr>
                <w:rFonts w:hint="eastAsia" w:ascii="宋体" w:hAnsi="宋体" w:cs="宋体"/>
                <w:color w:val="auto"/>
                <w:sz w:val="24"/>
                <w:highlight w:val="none"/>
              </w:rPr>
              <w:t>满足以上5项的评价为优加7分；满足以上4项的评价为良加4分；满足以上3项的评价为中加1分；其他情况评价为差不加分。</w:t>
            </w:r>
          </w:p>
        </w:tc>
        <w:tc>
          <w:tcPr>
            <w:tcW w:w="668"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984"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3</w:t>
            </w:r>
          </w:p>
        </w:tc>
        <w:tc>
          <w:tcPr>
            <w:tcW w:w="946"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合理化建议</w:t>
            </w:r>
          </w:p>
        </w:tc>
        <w:tc>
          <w:tcPr>
            <w:tcW w:w="6457" w:type="dxa"/>
            <w:vAlign w:val="center"/>
          </w:tcPr>
          <w:p>
            <w:pPr>
              <w:pStyle w:val="51"/>
              <w:widowControl/>
              <w:spacing w:line="360" w:lineRule="auto"/>
              <w:ind w:firstLine="0" w:firstLineChars="0"/>
              <w:jc w:val="left"/>
              <w:rPr>
                <w:rFonts w:ascii="宋体" w:hAnsi="宋体" w:cs="宋体"/>
                <w:color w:val="auto"/>
                <w:sz w:val="24"/>
                <w:highlight w:val="none"/>
                <w:lang w:val="zh-CN"/>
              </w:rPr>
            </w:pPr>
            <w:r>
              <w:rPr>
                <w:rFonts w:hint="eastAsia" w:ascii="宋体" w:hAnsi="宋体" w:cs="宋体"/>
                <w:color w:val="auto"/>
                <w:sz w:val="24"/>
                <w:highlight w:val="none"/>
                <w:lang w:val="zh-CN"/>
              </w:rPr>
              <w:t>（一）评审内容：</w:t>
            </w:r>
          </w:p>
          <w:p>
            <w:pPr>
              <w:pStyle w:val="51"/>
              <w:widowControl/>
              <w:spacing w:line="360" w:lineRule="auto"/>
              <w:ind w:firstLine="0" w:firstLineChars="0"/>
              <w:jc w:val="left"/>
              <w:rPr>
                <w:rFonts w:ascii="宋体" w:hAnsi="宋体" w:cs="宋体"/>
                <w:color w:val="auto"/>
                <w:sz w:val="24"/>
                <w:highlight w:val="none"/>
                <w:lang w:val="zh-CN"/>
              </w:rPr>
            </w:pPr>
            <w:r>
              <w:rPr>
                <w:rFonts w:hint="eastAsia" w:ascii="宋体" w:hAnsi="宋体" w:cs="宋体"/>
                <w:color w:val="auto"/>
                <w:sz w:val="24"/>
                <w:highlight w:val="none"/>
                <w:lang w:val="zh-CN"/>
              </w:rPr>
              <w:t>根据招标文件的需求和投标文件响应情况，编制项目重点难点分析、应对措施及相关的合理化建议。包含但不限于以下内容：</w:t>
            </w:r>
          </w:p>
          <w:p>
            <w:pPr>
              <w:pStyle w:val="51"/>
              <w:widowControl/>
              <w:spacing w:line="360" w:lineRule="auto"/>
              <w:ind w:firstLine="0" w:firstLineChars="0"/>
              <w:jc w:val="left"/>
              <w:rPr>
                <w:rFonts w:ascii="宋体" w:hAnsi="宋体" w:cs="宋体"/>
                <w:color w:val="auto"/>
                <w:sz w:val="24"/>
                <w:highlight w:val="none"/>
                <w:lang w:val="zh-CN"/>
              </w:rPr>
            </w:pPr>
            <w:r>
              <w:rPr>
                <w:rFonts w:hint="eastAsia" w:ascii="宋体" w:hAnsi="宋体" w:cs="宋体"/>
                <w:color w:val="auto"/>
                <w:sz w:val="24"/>
                <w:highlight w:val="none"/>
              </w:rPr>
              <w:t>1、对重点难点问题的把握与分析</w:t>
            </w:r>
            <w:r>
              <w:rPr>
                <w:rFonts w:hint="eastAsia" w:ascii="宋体" w:hAnsi="宋体" w:cs="宋体"/>
                <w:color w:val="auto"/>
                <w:sz w:val="24"/>
                <w:highlight w:val="none"/>
                <w:lang w:val="zh-CN"/>
              </w:rPr>
              <w:t>；</w:t>
            </w:r>
          </w:p>
          <w:p>
            <w:pPr>
              <w:pStyle w:val="51"/>
              <w:widowControl/>
              <w:spacing w:line="360" w:lineRule="auto"/>
              <w:ind w:firstLine="0" w:firstLineChars="0"/>
              <w:jc w:val="left"/>
              <w:rPr>
                <w:rFonts w:ascii="宋体" w:hAnsi="宋体" w:cs="宋体"/>
                <w:color w:val="auto"/>
                <w:sz w:val="24"/>
                <w:highlight w:val="none"/>
                <w:lang w:val="zh-CN"/>
              </w:rPr>
            </w:pPr>
            <w:r>
              <w:rPr>
                <w:rFonts w:hint="eastAsia" w:ascii="宋体" w:hAnsi="宋体" w:cs="宋体"/>
                <w:color w:val="auto"/>
                <w:sz w:val="24"/>
                <w:highlight w:val="none"/>
              </w:rPr>
              <w:t>2、对重点难点问题的应对措施和合理化建议</w:t>
            </w:r>
            <w:r>
              <w:rPr>
                <w:rFonts w:hint="eastAsia" w:ascii="宋体" w:hAnsi="宋体" w:cs="宋体"/>
                <w:color w:val="auto"/>
                <w:sz w:val="24"/>
                <w:highlight w:val="none"/>
                <w:lang w:val="zh-CN"/>
              </w:rPr>
              <w:t>。</w:t>
            </w:r>
          </w:p>
          <w:p>
            <w:pPr>
              <w:pStyle w:val="51"/>
              <w:widowControl/>
              <w:spacing w:line="360" w:lineRule="auto"/>
              <w:ind w:firstLine="0" w:firstLineChars="0"/>
              <w:jc w:val="left"/>
              <w:rPr>
                <w:rFonts w:ascii="宋体" w:hAnsi="宋体" w:cs="宋体"/>
                <w:color w:val="auto"/>
                <w:sz w:val="24"/>
                <w:highlight w:val="none"/>
                <w:lang w:val="zh-CN"/>
              </w:rPr>
            </w:pPr>
            <w:r>
              <w:rPr>
                <w:rFonts w:hint="eastAsia" w:ascii="宋体" w:hAnsi="宋体" w:cs="宋体"/>
                <w:color w:val="auto"/>
                <w:sz w:val="24"/>
                <w:highlight w:val="none"/>
                <w:lang w:val="zh-CN"/>
              </w:rPr>
              <w:t xml:space="preserve">（二）评分标准： </w:t>
            </w:r>
          </w:p>
          <w:p>
            <w:pPr>
              <w:pStyle w:val="51"/>
              <w:widowControl/>
              <w:spacing w:line="360" w:lineRule="auto"/>
              <w:ind w:firstLine="0" w:firstLineChars="0"/>
              <w:jc w:val="left"/>
              <w:rPr>
                <w:rFonts w:ascii="宋体" w:hAnsi="宋体" w:cs="宋体"/>
                <w:color w:val="auto"/>
                <w:sz w:val="24"/>
                <w:highlight w:val="none"/>
                <w:lang w:val="zh-CN"/>
              </w:rPr>
            </w:pPr>
            <w:r>
              <w:rPr>
                <w:rFonts w:hint="eastAsia" w:ascii="宋体" w:hAnsi="宋体" w:cs="宋体"/>
                <w:color w:val="auto"/>
                <w:sz w:val="24"/>
                <w:highlight w:val="none"/>
                <w:lang w:val="zh-CN"/>
              </w:rPr>
              <w:t>满足</w:t>
            </w:r>
            <w:r>
              <w:rPr>
                <w:rFonts w:hint="eastAsia" w:ascii="宋体" w:hAnsi="宋体" w:cs="宋体"/>
                <w:color w:val="auto"/>
                <w:sz w:val="24"/>
                <w:highlight w:val="none"/>
              </w:rPr>
              <w:t>两</w:t>
            </w:r>
            <w:r>
              <w:rPr>
                <w:rFonts w:hint="eastAsia" w:ascii="宋体" w:hAnsi="宋体" w:cs="宋体"/>
                <w:color w:val="auto"/>
                <w:sz w:val="24"/>
                <w:highlight w:val="none"/>
                <w:lang w:val="zh-CN"/>
              </w:rPr>
              <w:t>点得</w:t>
            </w:r>
            <w:r>
              <w:rPr>
                <w:rFonts w:hint="eastAsia" w:ascii="宋体" w:hAnsi="宋体" w:cs="宋体"/>
                <w:color w:val="auto"/>
                <w:sz w:val="24"/>
                <w:highlight w:val="none"/>
              </w:rPr>
              <w:t>3</w:t>
            </w:r>
            <w:r>
              <w:rPr>
                <w:rFonts w:hint="eastAsia" w:ascii="宋体" w:hAnsi="宋体" w:cs="宋体"/>
                <w:color w:val="auto"/>
                <w:sz w:val="24"/>
                <w:highlight w:val="none"/>
                <w:lang w:val="zh-CN"/>
              </w:rPr>
              <w:t>分，满足任意一点得1</w:t>
            </w:r>
            <w:r>
              <w:rPr>
                <w:rFonts w:hint="eastAsia" w:ascii="宋体" w:hAnsi="宋体" w:cs="宋体"/>
                <w:color w:val="auto"/>
                <w:sz w:val="24"/>
                <w:highlight w:val="none"/>
              </w:rPr>
              <w:t>.5</w:t>
            </w:r>
            <w:r>
              <w:rPr>
                <w:rFonts w:hint="eastAsia" w:ascii="宋体" w:hAnsi="宋体" w:cs="宋体"/>
                <w:color w:val="auto"/>
                <w:sz w:val="24"/>
                <w:highlight w:val="none"/>
                <w:lang w:val="zh-CN"/>
              </w:rPr>
              <w:t>分，</w:t>
            </w:r>
            <w:r>
              <w:rPr>
                <w:rFonts w:ascii="宋体" w:hAnsi="宋体" w:cs="宋体"/>
                <w:color w:val="auto"/>
                <w:sz w:val="24"/>
                <w:highlight w:val="none"/>
              </w:rPr>
              <w:t>均</w:t>
            </w:r>
            <w:r>
              <w:rPr>
                <w:rFonts w:hint="eastAsia" w:ascii="宋体" w:hAnsi="宋体" w:cs="宋体"/>
                <w:color w:val="auto"/>
                <w:sz w:val="24"/>
                <w:highlight w:val="none"/>
                <w:lang w:val="zh-CN"/>
              </w:rPr>
              <w:t xml:space="preserve">未满足不得分。 </w:t>
            </w:r>
          </w:p>
          <w:p>
            <w:pPr>
              <w:pStyle w:val="51"/>
              <w:widowControl/>
              <w:spacing w:line="360" w:lineRule="auto"/>
              <w:ind w:firstLine="0" w:firstLineChars="0"/>
              <w:jc w:val="left"/>
              <w:rPr>
                <w:rFonts w:ascii="宋体" w:hAnsi="宋体" w:cs="宋体"/>
                <w:color w:val="auto"/>
                <w:sz w:val="24"/>
                <w:highlight w:val="none"/>
                <w:lang w:val="zh-CN"/>
              </w:rPr>
            </w:pPr>
            <w:r>
              <w:rPr>
                <w:rFonts w:hint="eastAsia" w:ascii="宋体" w:hAnsi="宋体" w:cs="宋体"/>
                <w:color w:val="auto"/>
                <w:sz w:val="24"/>
                <w:highlight w:val="none"/>
                <w:lang w:val="zh-CN"/>
              </w:rPr>
              <w:t xml:space="preserve">在此基础上，专家根据各供应商的具体响应内容进一步评审： </w:t>
            </w:r>
          </w:p>
          <w:p>
            <w:pPr>
              <w:numPr>
                <w:ilvl w:val="0"/>
                <w:numId w:val="0"/>
              </w:numPr>
              <w:spacing w:line="360" w:lineRule="auto"/>
              <w:ind w:right="-107" w:rightChars="-51"/>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）找出2个及以上项目重点难点，并提出针对性强的解决方案，评价为优加7分；</w:t>
            </w:r>
          </w:p>
          <w:p>
            <w:pPr>
              <w:numPr>
                <w:ilvl w:val="0"/>
                <w:numId w:val="0"/>
              </w:numPr>
              <w:spacing w:line="360" w:lineRule="auto"/>
              <w:ind w:right="-107" w:rightChars="-51"/>
              <w:rPr>
                <w:rFonts w:hint="eastAsia" w:ascii="宋体" w:hAnsi="宋体" w:cs="宋体"/>
                <w:color w:val="auto"/>
                <w:sz w:val="24"/>
                <w:highlight w:val="none"/>
              </w:rPr>
            </w:pPr>
            <w:r>
              <w:rPr>
                <w:rFonts w:hint="eastAsia" w:ascii="宋体" w:hAnsi="宋体" w:cs="宋体"/>
                <w:color w:val="auto"/>
                <w:sz w:val="24"/>
                <w:highlight w:val="none"/>
              </w:rPr>
              <w:t>（2）找出1个项目重点难点，分析基本清楚、解决方案针对性较好的，评价为良加4分；</w:t>
            </w:r>
          </w:p>
          <w:p>
            <w:pPr>
              <w:numPr>
                <w:ilvl w:val="0"/>
                <w:numId w:val="0"/>
              </w:numPr>
              <w:spacing w:line="360" w:lineRule="auto"/>
              <w:ind w:right="-107" w:rightChars="-51"/>
              <w:rPr>
                <w:rFonts w:hint="eastAsia" w:ascii="宋体" w:hAnsi="宋体" w:cs="宋体"/>
                <w:color w:val="auto"/>
                <w:sz w:val="24"/>
                <w:highlight w:val="none"/>
              </w:rPr>
            </w:pPr>
            <w:r>
              <w:rPr>
                <w:rFonts w:hint="eastAsia" w:ascii="宋体" w:hAnsi="宋体" w:cs="宋体"/>
                <w:color w:val="auto"/>
                <w:sz w:val="24"/>
                <w:highlight w:val="none"/>
              </w:rPr>
              <w:t>（3）对项目重点难点分析仅做概括性描述的，评价为中加1分；</w:t>
            </w:r>
          </w:p>
          <w:p>
            <w:pPr>
              <w:numPr>
                <w:ilvl w:val="0"/>
                <w:numId w:val="0"/>
              </w:numPr>
              <w:spacing w:line="360" w:lineRule="auto"/>
              <w:ind w:right="-107" w:rightChars="-51"/>
              <w:rPr>
                <w:rFonts w:ascii="宋体" w:hAnsi="宋体" w:cs="宋体"/>
                <w:color w:val="auto"/>
                <w:sz w:val="24"/>
                <w:highlight w:val="none"/>
              </w:rPr>
            </w:pPr>
            <w:r>
              <w:rPr>
                <w:rFonts w:hint="eastAsia" w:ascii="宋体" w:hAnsi="宋体" w:cs="宋体"/>
                <w:color w:val="auto"/>
                <w:sz w:val="24"/>
                <w:highlight w:val="none"/>
              </w:rPr>
              <w:t>（4）对项目重点难点分析不全面、解决方案缺乏针对性的为差不加分。</w:t>
            </w:r>
          </w:p>
        </w:tc>
        <w:tc>
          <w:tcPr>
            <w:tcW w:w="668"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984"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bl>
    <w:p>
      <w:pPr>
        <w:rPr>
          <w:color w:val="auto"/>
          <w:highlight w:val="none"/>
        </w:rPr>
      </w:pPr>
    </w:p>
    <w:p>
      <w:pPr>
        <w:pStyle w:val="4"/>
        <w:jc w:val="both"/>
        <w:rPr>
          <w:rFonts w:ascii="宋体" w:eastAsia="宋体" w:cs="宋体"/>
          <w:b/>
          <w:bCs/>
          <w:color w:val="auto"/>
          <w:sz w:val="24"/>
          <w:szCs w:val="24"/>
          <w:highlight w:val="none"/>
        </w:rPr>
        <w:sectPr>
          <w:pgSz w:w="11906" w:h="16838"/>
          <w:pgMar w:top="1440" w:right="1800" w:bottom="1440" w:left="1800" w:header="851" w:footer="992" w:gutter="0"/>
          <w:cols w:space="720" w:num="1"/>
          <w:docGrid w:type="lines" w:linePitch="312" w:charSpace="0"/>
        </w:sectPr>
      </w:pPr>
    </w:p>
    <w:p>
      <w:pPr>
        <w:spacing w:line="360" w:lineRule="auto"/>
        <w:jc w:val="center"/>
        <w:outlineLvl w:val="0"/>
        <w:rPr>
          <w:rFonts w:ascii="宋体" w:hAnsi="宋体" w:cs="宋体"/>
          <w:b/>
          <w:bCs/>
          <w:color w:val="auto"/>
          <w:sz w:val="24"/>
          <w:highlight w:val="none"/>
        </w:rPr>
      </w:pPr>
      <w:bookmarkStart w:id="21" w:name="_Toc9548"/>
      <w:bookmarkStart w:id="22" w:name="_Hlk28269117"/>
      <w:r>
        <w:rPr>
          <w:rFonts w:hint="eastAsia" w:ascii="宋体" w:hAnsi="宋体" w:cs="宋体"/>
          <w:b/>
          <w:bCs/>
          <w:color w:val="auto"/>
          <w:sz w:val="24"/>
          <w:highlight w:val="none"/>
        </w:rPr>
        <w:t>第七章 附件（投标文件格式）</w:t>
      </w:r>
      <w:bookmarkEnd w:id="21"/>
    </w:p>
    <w:p>
      <w:pPr>
        <w:keepNext/>
        <w:keepLines/>
        <w:spacing w:before="260" w:after="260" w:line="440" w:lineRule="exact"/>
        <w:jc w:val="center"/>
        <w:outlineLvl w:val="1"/>
        <w:rPr>
          <w:rFonts w:ascii="宋体" w:hAnsi="宋体" w:cs="宋体"/>
          <w:b/>
          <w:bCs/>
          <w:color w:val="auto"/>
          <w:sz w:val="24"/>
          <w:highlight w:val="none"/>
        </w:rPr>
      </w:pPr>
      <w:bookmarkStart w:id="23" w:name="_Toc31827"/>
      <w:bookmarkStart w:id="24" w:name="_Toc6548"/>
      <w:bookmarkStart w:id="25" w:name="_Toc5116"/>
      <w:bookmarkStart w:id="26" w:name="_Toc19494"/>
      <w:r>
        <w:rPr>
          <w:rFonts w:hint="eastAsia" w:ascii="宋体" w:hAnsi="宋体" w:cs="宋体"/>
          <w:b/>
          <w:bCs/>
          <w:color w:val="auto"/>
          <w:sz w:val="24"/>
          <w:highlight w:val="none"/>
        </w:rPr>
        <w:t>1、投标文件密封袋/封面参考</w:t>
      </w:r>
      <w:bookmarkEnd w:id="23"/>
      <w:bookmarkEnd w:id="24"/>
      <w:bookmarkEnd w:id="25"/>
      <w:bookmarkEnd w:id="26"/>
    </w:p>
    <w:tbl>
      <w:tblPr>
        <w:tblStyle w:val="22"/>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9"/>
              <w:tabs>
                <w:tab w:val="left" w:pos="562"/>
                <w:tab w:val="left" w:pos="3372"/>
                <w:tab w:val="left" w:pos="3653"/>
              </w:tabs>
              <w:spacing w:line="360" w:lineRule="auto"/>
              <w:rPr>
                <w:rFonts w:ascii="仿宋_GB2312" w:eastAsia="仿宋_GB2312"/>
                <w:b/>
                <w:color w:val="auto"/>
                <w:sz w:val="32"/>
                <w:highlight w:val="none"/>
              </w:rPr>
            </w:pPr>
          </w:p>
          <w:p>
            <w:pPr>
              <w:pStyle w:val="9"/>
              <w:tabs>
                <w:tab w:val="left" w:pos="562"/>
                <w:tab w:val="left" w:pos="3372"/>
                <w:tab w:val="left" w:pos="3653"/>
              </w:tabs>
              <w:spacing w:line="360" w:lineRule="auto"/>
              <w:jc w:val="center"/>
              <w:rPr>
                <w:rFonts w:ascii="黑体" w:eastAsia="黑体"/>
                <w:b/>
                <w:color w:val="auto"/>
                <w:sz w:val="72"/>
                <w:szCs w:val="72"/>
                <w:highlight w:val="none"/>
              </w:rPr>
            </w:pPr>
          </w:p>
          <w:p>
            <w:pPr>
              <w:pStyle w:val="9"/>
              <w:tabs>
                <w:tab w:val="left" w:pos="562"/>
                <w:tab w:val="left" w:pos="3372"/>
                <w:tab w:val="left" w:pos="3653"/>
              </w:tabs>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pPr>
              <w:pStyle w:val="9"/>
              <w:tabs>
                <w:tab w:val="left" w:pos="562"/>
                <w:tab w:val="left" w:pos="3372"/>
                <w:tab w:val="left" w:pos="3653"/>
              </w:tabs>
              <w:spacing w:line="360" w:lineRule="auto"/>
              <w:jc w:val="center"/>
              <w:rPr>
                <w:rFonts w:ascii="黑体" w:eastAsia="黑体"/>
                <w:b/>
                <w:strike/>
                <w:color w:val="auto"/>
                <w:sz w:val="32"/>
                <w:highlight w:val="none"/>
              </w:rPr>
            </w:pPr>
          </w:p>
          <w:p>
            <w:pPr>
              <w:spacing w:after="120" w:line="360" w:lineRule="auto"/>
              <w:ind w:firstLine="3385" w:firstLineChars="651"/>
              <w:textAlignment w:val="baseline"/>
              <w:rPr>
                <w:rFonts w:ascii="黑体" w:eastAsia="黑体"/>
                <w:color w:val="auto"/>
                <w:sz w:val="32"/>
                <w:highlight w:val="none"/>
              </w:rPr>
            </w:pPr>
            <w:r>
              <w:rPr>
                <w:rFonts w:hint="eastAsia" w:ascii="黑体" w:eastAsia="黑体"/>
                <w:color w:val="auto"/>
                <w:sz w:val="52"/>
                <w:szCs w:val="52"/>
                <w:highlight w:val="none"/>
              </w:rPr>
              <w:t xml:space="preserve">口 </w:t>
            </w:r>
            <w:r>
              <w:rPr>
                <w:rFonts w:hint="eastAsia" w:ascii="黑体" w:eastAsia="黑体"/>
                <w:color w:val="auto"/>
                <w:sz w:val="32"/>
                <w:highlight w:val="none"/>
              </w:rPr>
              <w:t>正本</w:t>
            </w:r>
          </w:p>
          <w:p>
            <w:pPr>
              <w:spacing w:after="120" w:line="360" w:lineRule="auto"/>
              <w:ind w:firstLine="3385" w:firstLineChars="651"/>
              <w:textAlignment w:val="baseline"/>
              <w:rPr>
                <w:rFonts w:ascii="黑体" w:eastAsia="黑体"/>
                <w:color w:val="auto"/>
                <w:sz w:val="32"/>
                <w:highlight w:val="none"/>
              </w:rPr>
            </w:pPr>
            <w:r>
              <w:rPr>
                <w:rFonts w:hint="eastAsia" w:ascii="黑体" w:eastAsia="黑体"/>
                <w:color w:val="auto"/>
                <w:sz w:val="52"/>
                <w:szCs w:val="52"/>
                <w:highlight w:val="none"/>
              </w:rPr>
              <w:t xml:space="preserve">口 </w:t>
            </w:r>
            <w:r>
              <w:rPr>
                <w:rFonts w:hint="eastAsia" w:ascii="黑体" w:eastAsia="黑体"/>
                <w:color w:val="auto"/>
                <w:sz w:val="32"/>
                <w:highlight w:val="none"/>
              </w:rPr>
              <w:t>副本</w:t>
            </w:r>
          </w:p>
          <w:p>
            <w:pPr>
              <w:pStyle w:val="9"/>
              <w:tabs>
                <w:tab w:val="left" w:pos="562"/>
                <w:tab w:val="left" w:pos="3372"/>
                <w:tab w:val="left" w:pos="3653"/>
              </w:tabs>
              <w:spacing w:line="360" w:lineRule="auto"/>
              <w:rPr>
                <w:rFonts w:ascii="仿宋_GB2312" w:eastAsia="仿宋_GB2312"/>
                <w:b/>
                <w:color w:val="auto"/>
                <w:sz w:val="32"/>
                <w:highlight w:val="none"/>
              </w:rPr>
            </w:pPr>
          </w:p>
          <w:p>
            <w:pPr>
              <w:rPr>
                <w:color w:val="auto"/>
                <w:highlight w:val="none"/>
              </w:rPr>
            </w:pPr>
          </w:p>
          <w:p>
            <w:pPr>
              <w:pStyle w:val="9"/>
              <w:tabs>
                <w:tab w:val="left" w:pos="562"/>
                <w:tab w:val="left" w:pos="3372"/>
                <w:tab w:val="left" w:pos="3653"/>
              </w:tabs>
              <w:spacing w:line="400" w:lineRule="exact"/>
              <w:ind w:firstLine="900" w:firstLineChars="320"/>
              <w:rPr>
                <w:rFonts w:ascii="仿宋_GB2312" w:eastAsia="仿宋_GB2312"/>
                <w:b/>
                <w:color w:val="auto"/>
                <w:sz w:val="28"/>
                <w:szCs w:val="28"/>
                <w:highlight w:val="none"/>
              </w:rPr>
            </w:pPr>
          </w:p>
          <w:p>
            <w:pPr>
              <w:pStyle w:val="9"/>
              <w:tabs>
                <w:tab w:val="left" w:pos="562"/>
                <w:tab w:val="left" w:pos="3372"/>
                <w:tab w:val="left" w:pos="3653"/>
              </w:tabs>
              <w:spacing w:line="400" w:lineRule="exact"/>
              <w:ind w:firstLine="900" w:firstLineChars="320"/>
              <w:rPr>
                <w:rFonts w:ascii="宋体" w:hAnsi="宋体" w:cs="宋体"/>
                <w:b/>
                <w:color w:val="auto"/>
                <w:sz w:val="28"/>
                <w:szCs w:val="28"/>
                <w:highlight w:val="none"/>
              </w:rPr>
            </w:pPr>
            <w:r>
              <w:rPr>
                <w:rFonts w:hint="eastAsia" w:ascii="宋体" w:hAnsi="宋体" w:cs="宋体"/>
                <w:b/>
                <w:color w:val="auto"/>
                <w:sz w:val="28"/>
                <w:szCs w:val="28"/>
                <w:highlight w:val="none"/>
              </w:rPr>
              <w:t>项目编号：</w:t>
            </w:r>
            <w:r>
              <w:rPr>
                <w:rFonts w:hint="eastAsia" w:ascii="宋体" w:hAnsi="宋体" w:cs="Arial"/>
                <w:b/>
                <w:bCs/>
                <w:color w:val="auto"/>
                <w:sz w:val="28"/>
                <w:szCs w:val="28"/>
                <w:highlight w:val="none"/>
                <w:u w:val="single"/>
              </w:rPr>
              <w:t xml:space="preserve">                                   </w:t>
            </w:r>
          </w:p>
          <w:p>
            <w:pPr>
              <w:pStyle w:val="9"/>
              <w:tabs>
                <w:tab w:val="left" w:pos="562"/>
                <w:tab w:val="left" w:pos="3372"/>
                <w:tab w:val="left" w:pos="3653"/>
              </w:tabs>
              <w:spacing w:line="400" w:lineRule="exact"/>
              <w:ind w:firstLine="900" w:firstLineChars="320"/>
              <w:rPr>
                <w:rFonts w:ascii="宋体" w:hAnsi="宋体" w:cs="宋体"/>
                <w:b/>
                <w:color w:val="auto"/>
                <w:sz w:val="28"/>
                <w:szCs w:val="28"/>
                <w:highlight w:val="none"/>
              </w:rPr>
            </w:pPr>
            <w:r>
              <w:rPr>
                <w:rFonts w:hint="eastAsia" w:ascii="宋体" w:hAnsi="宋体" w:cs="宋体"/>
                <w:b/>
                <w:color w:val="auto"/>
                <w:sz w:val="28"/>
                <w:szCs w:val="28"/>
                <w:highlight w:val="none"/>
              </w:rPr>
              <w:t>项目名称：</w:t>
            </w:r>
            <w:r>
              <w:rPr>
                <w:rFonts w:hint="eastAsia" w:ascii="宋体" w:hAnsi="宋体" w:cs="Arial"/>
                <w:b/>
                <w:bCs/>
                <w:color w:val="auto"/>
                <w:sz w:val="28"/>
                <w:szCs w:val="28"/>
                <w:highlight w:val="none"/>
                <w:u w:val="single"/>
              </w:rPr>
              <w:t xml:space="preserve">                                   </w:t>
            </w:r>
          </w:p>
          <w:p>
            <w:pPr>
              <w:pStyle w:val="9"/>
              <w:tabs>
                <w:tab w:val="left" w:pos="562"/>
                <w:tab w:val="left" w:pos="3372"/>
                <w:tab w:val="left" w:pos="3653"/>
              </w:tabs>
              <w:spacing w:line="400" w:lineRule="exact"/>
              <w:ind w:firstLine="900" w:firstLineChars="320"/>
              <w:rPr>
                <w:rFonts w:ascii="宋体" w:hAnsi="宋体" w:cs="宋体"/>
                <w:b/>
                <w:color w:val="auto"/>
                <w:sz w:val="28"/>
                <w:szCs w:val="28"/>
                <w:highlight w:val="none"/>
              </w:rPr>
            </w:pPr>
            <w:r>
              <w:rPr>
                <w:rFonts w:hint="eastAsia" w:ascii="宋体" w:hAnsi="宋体" w:cs="宋体"/>
                <w:b/>
                <w:color w:val="auto"/>
                <w:sz w:val="28"/>
                <w:szCs w:val="28"/>
                <w:highlight w:val="none"/>
              </w:rPr>
              <w:t>投标人名称：</w:t>
            </w:r>
            <w:r>
              <w:rPr>
                <w:rFonts w:hint="eastAsia" w:ascii="宋体" w:hAnsi="宋体" w:cs="Arial"/>
                <w:b/>
                <w:bCs/>
                <w:color w:val="auto"/>
                <w:sz w:val="28"/>
                <w:szCs w:val="28"/>
                <w:highlight w:val="none"/>
                <w:u w:val="single"/>
              </w:rPr>
              <w:t xml:space="preserve">                     （加盖公章）</w:t>
            </w:r>
          </w:p>
          <w:p>
            <w:pPr>
              <w:pStyle w:val="9"/>
              <w:tabs>
                <w:tab w:val="left" w:pos="562"/>
                <w:tab w:val="left" w:pos="3372"/>
                <w:tab w:val="left" w:pos="3653"/>
              </w:tabs>
              <w:spacing w:line="400" w:lineRule="exact"/>
              <w:ind w:firstLine="900" w:firstLineChars="320"/>
              <w:rPr>
                <w:rFonts w:ascii="宋体" w:hAnsi="宋体" w:cs="Arial"/>
                <w:b/>
                <w:bCs/>
                <w:color w:val="auto"/>
                <w:sz w:val="28"/>
                <w:szCs w:val="28"/>
                <w:highlight w:val="none"/>
                <w:u w:val="single"/>
              </w:rPr>
            </w:pPr>
            <w:r>
              <w:rPr>
                <w:rFonts w:hint="eastAsia" w:ascii="宋体" w:hAnsi="宋体" w:cs="宋体"/>
                <w:b/>
                <w:color w:val="auto"/>
                <w:sz w:val="28"/>
                <w:szCs w:val="28"/>
                <w:highlight w:val="none"/>
              </w:rPr>
              <w:t>投标人地址：</w:t>
            </w:r>
            <w:r>
              <w:rPr>
                <w:rFonts w:hint="eastAsia" w:ascii="宋体" w:hAnsi="宋体" w:cs="Arial"/>
                <w:b/>
                <w:bCs/>
                <w:color w:val="auto"/>
                <w:sz w:val="28"/>
                <w:szCs w:val="28"/>
                <w:highlight w:val="none"/>
                <w:u w:val="single"/>
              </w:rPr>
              <w:t xml:space="preserve">                                 </w:t>
            </w:r>
          </w:p>
          <w:p>
            <w:pPr>
              <w:pStyle w:val="9"/>
              <w:tabs>
                <w:tab w:val="left" w:pos="562"/>
                <w:tab w:val="left" w:pos="3372"/>
                <w:tab w:val="left" w:pos="3653"/>
              </w:tabs>
              <w:spacing w:line="400" w:lineRule="exact"/>
              <w:ind w:firstLine="900" w:firstLineChars="320"/>
              <w:rPr>
                <w:rFonts w:ascii="宋体" w:hAnsi="宋体" w:cs="Arial"/>
                <w:b/>
                <w:bCs/>
                <w:color w:val="auto"/>
                <w:sz w:val="28"/>
                <w:szCs w:val="28"/>
                <w:highlight w:val="none"/>
                <w:u w:val="single"/>
              </w:rPr>
            </w:pPr>
            <w:r>
              <w:rPr>
                <w:rFonts w:hint="eastAsia" w:ascii="宋体" w:hAnsi="宋体" w:cs="Arial"/>
                <w:b/>
                <w:bCs/>
                <w:color w:val="auto"/>
                <w:sz w:val="28"/>
                <w:szCs w:val="28"/>
                <w:highlight w:val="none"/>
              </w:rPr>
              <w:t>法定代表人/被授权人：</w:t>
            </w:r>
            <w:r>
              <w:rPr>
                <w:rFonts w:hint="eastAsia" w:ascii="宋体" w:hAnsi="宋体" w:cs="Arial"/>
                <w:b/>
                <w:bCs/>
                <w:color w:val="auto"/>
                <w:sz w:val="28"/>
                <w:szCs w:val="28"/>
                <w:highlight w:val="none"/>
                <w:u w:val="single"/>
              </w:rPr>
              <w:t xml:space="preserve">                        </w:t>
            </w:r>
          </w:p>
          <w:p>
            <w:pPr>
              <w:pStyle w:val="9"/>
              <w:tabs>
                <w:tab w:val="left" w:pos="562"/>
                <w:tab w:val="left" w:pos="3372"/>
                <w:tab w:val="left" w:pos="3653"/>
              </w:tabs>
              <w:spacing w:line="400" w:lineRule="exact"/>
              <w:ind w:firstLine="900" w:firstLineChars="320"/>
              <w:rPr>
                <w:rFonts w:ascii="宋体" w:hAnsi="宋体" w:cs="宋体"/>
                <w:b/>
                <w:color w:val="auto"/>
                <w:sz w:val="28"/>
                <w:szCs w:val="28"/>
                <w:highlight w:val="none"/>
              </w:rPr>
            </w:pPr>
            <w:r>
              <w:rPr>
                <w:rFonts w:hint="eastAsia" w:ascii="宋体" w:hAnsi="宋体" w:cs="Arial"/>
                <w:b/>
                <w:bCs/>
                <w:color w:val="auto"/>
                <w:sz w:val="28"/>
                <w:szCs w:val="28"/>
                <w:highlight w:val="none"/>
              </w:rPr>
              <w:t>联系电话：</w:t>
            </w:r>
            <w:r>
              <w:rPr>
                <w:rFonts w:hint="eastAsia" w:ascii="宋体" w:hAnsi="宋体" w:cs="Arial"/>
                <w:b/>
                <w:bCs/>
                <w:color w:val="auto"/>
                <w:sz w:val="28"/>
                <w:szCs w:val="28"/>
                <w:highlight w:val="none"/>
                <w:u w:val="single"/>
              </w:rPr>
              <w:t xml:space="preserve">                                   </w:t>
            </w:r>
          </w:p>
          <w:p>
            <w:pPr>
              <w:spacing w:line="360" w:lineRule="auto"/>
              <w:jc w:val="center"/>
              <w:rPr>
                <w:rFonts w:ascii="宋体" w:hAnsi="宋体" w:cs="Arial"/>
                <w:b/>
                <w:bCs/>
                <w:color w:val="auto"/>
                <w:sz w:val="28"/>
                <w:szCs w:val="28"/>
                <w:highlight w:val="none"/>
              </w:rPr>
            </w:pPr>
          </w:p>
          <w:p>
            <w:pPr>
              <w:spacing w:line="360" w:lineRule="auto"/>
              <w:jc w:val="center"/>
              <w:rPr>
                <w:rFonts w:ascii="宋体" w:hAnsi="宋体" w:cs="Arial"/>
                <w:b/>
                <w:bCs/>
                <w:color w:val="auto"/>
                <w:sz w:val="28"/>
                <w:szCs w:val="28"/>
                <w:highlight w:val="none"/>
              </w:rPr>
            </w:pPr>
          </w:p>
          <w:p>
            <w:pPr>
              <w:spacing w:line="360" w:lineRule="auto"/>
              <w:jc w:val="center"/>
              <w:rPr>
                <w:rFonts w:ascii="仿宋_GB2312" w:eastAsia="仿宋_GB2312"/>
                <w:b/>
                <w:color w:val="auto"/>
                <w:sz w:val="32"/>
                <w:highlight w:val="none"/>
              </w:rPr>
            </w:pPr>
            <w:r>
              <w:rPr>
                <w:rFonts w:hint="eastAsia" w:ascii="宋体" w:hAnsi="宋体" w:cs="Arial"/>
                <w:b/>
                <w:bCs/>
                <w:color w:val="auto"/>
                <w:sz w:val="28"/>
                <w:szCs w:val="28"/>
                <w:highlight w:val="none"/>
              </w:rPr>
              <w:t>【年月日时分之前不得启封。】</w:t>
            </w:r>
          </w:p>
        </w:tc>
      </w:tr>
    </w:tbl>
    <w:p>
      <w:pPr>
        <w:spacing w:line="360" w:lineRule="auto"/>
        <w:jc w:val="center"/>
        <w:rPr>
          <w:rFonts w:ascii="宋体" w:hAnsi="宋体" w:cs="宋体"/>
          <w:b/>
          <w:bCs/>
          <w:color w:val="auto"/>
          <w:sz w:val="24"/>
          <w:highlight w:val="none"/>
        </w:rPr>
      </w:pPr>
    </w:p>
    <w:p>
      <w:pPr>
        <w:spacing w:before="100" w:beforeAutospacing="1" w:after="100" w:afterAutospacing="1"/>
        <w:jc w:val="center"/>
        <w:outlineLvl w:val="1"/>
        <w:rPr>
          <w:rFonts w:ascii="宋体" w:hAnsi="宋体" w:cs="宋体"/>
          <w:b/>
          <w:color w:val="auto"/>
          <w:sz w:val="24"/>
          <w:highlight w:val="none"/>
        </w:rPr>
      </w:pPr>
      <w:bookmarkStart w:id="27" w:name="_Toc16724"/>
      <w:r>
        <w:rPr>
          <w:rFonts w:hint="eastAsia" w:ascii="宋体" w:hAnsi="宋体" w:cs="宋体"/>
          <w:b/>
          <w:color w:val="auto"/>
          <w:sz w:val="24"/>
          <w:highlight w:val="none"/>
        </w:rPr>
        <w:t>2、投标文件—目录</w:t>
      </w:r>
      <w:bookmarkEnd w:id="27"/>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（一）</w:t>
      </w:r>
      <w:r>
        <w:rPr>
          <w:rFonts w:hint="eastAsia" w:ascii="宋体" w:hAnsi="宋体" w:cs="宋体"/>
          <w:b/>
          <w:bCs/>
          <w:color w:val="auto"/>
          <w:sz w:val="24"/>
          <w:highlight w:val="none"/>
          <w:lang w:val="zh-CN"/>
        </w:rPr>
        <w:t>价格部分</w:t>
      </w:r>
    </w:p>
    <w:p>
      <w:pPr>
        <w:numPr>
          <w:ilvl w:val="0"/>
          <w:numId w:val="15"/>
        </w:numPr>
        <w:tabs>
          <w:tab w:val="left" w:pos="640"/>
          <w:tab w:val="clear" w:pos="425"/>
        </w:tabs>
        <w:spacing w:line="360" w:lineRule="auto"/>
        <w:ind w:left="625" w:hanging="625"/>
        <w:rPr>
          <w:rFonts w:ascii="宋体" w:hAnsi="宋体" w:cs="宋体"/>
          <w:color w:val="auto"/>
          <w:sz w:val="24"/>
          <w:highlight w:val="none"/>
        </w:rPr>
      </w:pPr>
      <w:r>
        <w:rPr>
          <w:rFonts w:hint="eastAsia" w:ascii="宋体" w:hAnsi="宋体" w:cs="宋体"/>
          <w:color w:val="auto"/>
          <w:sz w:val="24"/>
          <w:highlight w:val="none"/>
        </w:rPr>
        <w:t>投标一览表；</w:t>
      </w:r>
    </w:p>
    <w:p>
      <w:pPr>
        <w:numPr>
          <w:ilvl w:val="0"/>
          <w:numId w:val="15"/>
        </w:numPr>
        <w:tabs>
          <w:tab w:val="left" w:pos="640"/>
          <w:tab w:val="clear" w:pos="425"/>
        </w:tabs>
        <w:spacing w:line="360" w:lineRule="auto"/>
        <w:ind w:left="625" w:hanging="625"/>
        <w:rPr>
          <w:rFonts w:ascii="宋体" w:hAnsi="宋体" w:cs="宋体"/>
          <w:color w:val="auto"/>
          <w:sz w:val="24"/>
          <w:highlight w:val="none"/>
        </w:rPr>
      </w:pPr>
      <w:r>
        <w:rPr>
          <w:rFonts w:hint="eastAsia" w:ascii="宋体" w:hAnsi="宋体" w:cs="宋体"/>
          <w:color w:val="auto"/>
          <w:sz w:val="24"/>
          <w:highlight w:val="none"/>
        </w:rPr>
        <w:t>分类报价明细表；</w:t>
      </w:r>
    </w:p>
    <w:p>
      <w:pPr>
        <w:spacing w:line="360" w:lineRule="auto"/>
        <w:rPr>
          <w:rFonts w:ascii="宋体" w:hAnsi="宋体" w:cs="宋体"/>
          <w:b/>
          <w:bCs/>
          <w:color w:val="auto"/>
          <w:sz w:val="24"/>
          <w:highlight w:val="none"/>
          <w:u w:val="wave"/>
        </w:rPr>
      </w:pPr>
      <w:r>
        <w:rPr>
          <w:rFonts w:hint="eastAsia" w:ascii="宋体" w:hAnsi="宋体" w:cs="宋体"/>
          <w:b/>
          <w:bCs/>
          <w:color w:val="auto"/>
          <w:sz w:val="24"/>
          <w:highlight w:val="none"/>
        </w:rPr>
        <w:t>（二）商务部分</w:t>
      </w:r>
    </w:p>
    <w:p>
      <w:pPr>
        <w:numPr>
          <w:ilvl w:val="0"/>
          <w:numId w:val="16"/>
        </w:numPr>
        <w:tabs>
          <w:tab w:val="left" w:pos="640"/>
          <w:tab w:val="left" w:pos="1260"/>
          <w:tab w:val="left" w:pos="1418"/>
        </w:tabs>
        <w:spacing w:line="360" w:lineRule="auto"/>
        <w:ind w:left="845" w:hanging="845"/>
        <w:rPr>
          <w:rFonts w:ascii="宋体" w:hAnsi="宋体" w:cs="宋体"/>
          <w:color w:val="auto"/>
          <w:sz w:val="24"/>
          <w:highlight w:val="none"/>
        </w:rPr>
      </w:pPr>
      <w:r>
        <w:rPr>
          <w:rFonts w:hint="eastAsia" w:ascii="宋体" w:hAnsi="宋体" w:cs="宋体"/>
          <w:color w:val="auto"/>
          <w:sz w:val="24"/>
          <w:highlight w:val="none"/>
        </w:rPr>
        <w:t>投标函；</w:t>
      </w:r>
    </w:p>
    <w:p>
      <w:pPr>
        <w:numPr>
          <w:ilvl w:val="0"/>
          <w:numId w:val="16"/>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ascii="宋体" w:hAnsi="宋体" w:cs="宋体"/>
          <w:color w:val="auto"/>
          <w:sz w:val="24"/>
          <w:highlight w:val="none"/>
          <w:lang w:val="fr-CH"/>
        </w:rPr>
        <w:t>营业执照【其他组织提供《事业单位法人证书》或《民办非企业单位登记证书》】及税务登记册证副本复印件(加盖投标人公章，若提供的营业执照为三证合一，则税务登记证可不单独提供)；</w:t>
      </w:r>
      <w:r>
        <w:rPr>
          <w:rFonts w:hint="eastAsia" w:ascii="宋体" w:hAnsi="宋体" w:cs="宋体"/>
          <w:b/>
          <w:bCs/>
          <w:color w:val="auto"/>
          <w:kern w:val="0"/>
          <w:sz w:val="24"/>
          <w:highlight w:val="none"/>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numPr>
          <w:ilvl w:val="0"/>
          <w:numId w:val="16"/>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ascii="宋体" w:hAnsi="宋体" w:cs="宋体"/>
          <w:color w:val="auto"/>
          <w:sz w:val="24"/>
          <w:highlight w:val="none"/>
          <w:lang w:val="fr-CH"/>
        </w:rPr>
        <w:t>政府采购投标及履约承诺函；</w:t>
      </w:r>
    </w:p>
    <w:p>
      <w:pPr>
        <w:numPr>
          <w:ilvl w:val="0"/>
          <w:numId w:val="16"/>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ascii="宋体" w:hAnsi="宋体" w:cs="宋体"/>
          <w:color w:val="auto"/>
          <w:sz w:val="24"/>
          <w:highlight w:val="none"/>
          <w:lang w:val="fr-CH"/>
        </w:rPr>
        <w:t>关于资格的声明函；</w:t>
      </w:r>
    </w:p>
    <w:p>
      <w:pPr>
        <w:numPr>
          <w:ilvl w:val="0"/>
          <w:numId w:val="16"/>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ascii="宋体" w:hAnsi="宋体" w:cs="宋体"/>
          <w:color w:val="auto"/>
          <w:sz w:val="24"/>
          <w:highlight w:val="none"/>
          <w:lang w:val="fr-CH"/>
        </w:rPr>
        <w:t>法人代表证明书及身份证明；</w:t>
      </w:r>
    </w:p>
    <w:p>
      <w:pPr>
        <w:numPr>
          <w:ilvl w:val="0"/>
          <w:numId w:val="16"/>
        </w:numPr>
        <w:tabs>
          <w:tab w:val="left" w:pos="6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t>法定代表人授权书及身份证明；</w:t>
      </w:r>
    </w:p>
    <w:p>
      <w:pPr>
        <w:numPr>
          <w:ilvl w:val="0"/>
          <w:numId w:val="16"/>
        </w:numPr>
        <w:tabs>
          <w:tab w:val="left" w:pos="6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t>招标代理服务费承诺书；</w:t>
      </w:r>
    </w:p>
    <w:p>
      <w:pPr>
        <w:numPr>
          <w:ilvl w:val="0"/>
          <w:numId w:val="16"/>
        </w:numPr>
        <w:tabs>
          <w:tab w:val="left" w:pos="6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t>投标人简介；</w:t>
      </w:r>
    </w:p>
    <w:p>
      <w:pPr>
        <w:numPr>
          <w:ilvl w:val="0"/>
          <w:numId w:val="16"/>
        </w:numPr>
        <w:tabs>
          <w:tab w:val="left" w:pos="640"/>
          <w:tab w:val="left" w:pos="8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t>项目负责人；</w:t>
      </w:r>
    </w:p>
    <w:p>
      <w:pPr>
        <w:numPr>
          <w:ilvl w:val="0"/>
          <w:numId w:val="16"/>
        </w:numPr>
        <w:tabs>
          <w:tab w:val="left" w:pos="640"/>
          <w:tab w:val="left" w:pos="8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t>项目团队实力（项目负责人除外）；</w:t>
      </w:r>
    </w:p>
    <w:p>
      <w:pPr>
        <w:numPr>
          <w:ilvl w:val="0"/>
          <w:numId w:val="16"/>
        </w:numPr>
        <w:tabs>
          <w:tab w:val="left" w:pos="640"/>
          <w:tab w:val="left" w:pos="8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t>合作机构；</w:t>
      </w:r>
    </w:p>
    <w:p>
      <w:pPr>
        <w:numPr>
          <w:ilvl w:val="0"/>
          <w:numId w:val="16"/>
        </w:numPr>
        <w:tabs>
          <w:tab w:val="left" w:pos="640"/>
          <w:tab w:val="left" w:pos="8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t>同类业绩情况；</w:t>
      </w:r>
    </w:p>
    <w:p>
      <w:pPr>
        <w:numPr>
          <w:ilvl w:val="0"/>
          <w:numId w:val="16"/>
        </w:numPr>
        <w:tabs>
          <w:tab w:val="left" w:pos="640"/>
          <w:tab w:val="left" w:pos="8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t>域外法律查明实务经验</w:t>
      </w:r>
    </w:p>
    <w:p>
      <w:pPr>
        <w:numPr>
          <w:ilvl w:val="0"/>
          <w:numId w:val="16"/>
        </w:numPr>
        <w:tabs>
          <w:tab w:val="left" w:pos="640"/>
          <w:tab w:val="left" w:pos="8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t>机构社会声誉；</w:t>
      </w:r>
    </w:p>
    <w:p>
      <w:pPr>
        <w:numPr>
          <w:ilvl w:val="0"/>
          <w:numId w:val="16"/>
        </w:numPr>
        <w:tabs>
          <w:tab w:val="left" w:pos="640"/>
          <w:tab w:val="left" w:pos="8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t>企业诚信；</w:t>
      </w:r>
    </w:p>
    <w:p>
      <w:pPr>
        <w:numPr>
          <w:ilvl w:val="0"/>
          <w:numId w:val="16"/>
        </w:numPr>
        <w:tabs>
          <w:tab w:val="left" w:pos="640"/>
          <w:tab w:val="left" w:pos="840"/>
          <w:tab w:val="left" w:pos="1260"/>
          <w:tab w:val="left" w:pos="1418"/>
        </w:tabs>
        <w:spacing w:line="360" w:lineRule="auto"/>
        <w:ind w:left="845" w:hanging="845"/>
        <w:rPr>
          <w:rFonts w:ascii="宋体" w:hAnsi="宋体" w:cs="宋体"/>
          <w:color w:val="auto"/>
          <w:sz w:val="24"/>
          <w:highlight w:val="none"/>
        </w:rPr>
      </w:pPr>
      <w:r>
        <w:rPr>
          <w:rFonts w:hint="eastAsia" w:ascii="宋体" w:hAnsi="宋体" w:cs="宋体"/>
          <w:color w:val="auto"/>
          <w:sz w:val="24"/>
          <w:highlight w:val="none"/>
        </w:rPr>
        <w:t>投标人认为有必要提供的其他材料。</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（三）技术部分</w:t>
      </w:r>
    </w:p>
    <w:p>
      <w:pPr>
        <w:numPr>
          <w:ilvl w:val="0"/>
          <w:numId w:val="17"/>
        </w:numPr>
        <w:tabs>
          <w:tab w:val="left" w:pos="640"/>
          <w:tab w:val="left" w:pos="1260"/>
          <w:tab w:val="left" w:pos="1418"/>
        </w:tabs>
        <w:spacing w:line="360" w:lineRule="auto"/>
        <w:ind w:left="640" w:right="-420" w:rightChars="-200" w:hanging="640"/>
        <w:rPr>
          <w:rFonts w:ascii="宋体" w:hAnsi="宋体" w:cs="宋体"/>
          <w:color w:val="auto"/>
          <w:sz w:val="24"/>
          <w:highlight w:val="none"/>
          <w:lang w:val="fr-CH"/>
        </w:rPr>
      </w:pPr>
      <w:r>
        <w:rPr>
          <w:rFonts w:hint="eastAsia" w:ascii="宋体" w:hAnsi="宋体" w:cs="宋体"/>
          <w:color w:val="auto"/>
          <w:sz w:val="24"/>
          <w:highlight w:val="none"/>
          <w:lang w:val="fr-CH"/>
        </w:rPr>
        <w:t>用户需求响应表；</w:t>
      </w:r>
    </w:p>
    <w:p>
      <w:pPr>
        <w:numPr>
          <w:ilvl w:val="0"/>
          <w:numId w:val="17"/>
        </w:numPr>
        <w:tabs>
          <w:tab w:val="left" w:pos="640"/>
          <w:tab w:val="left" w:pos="1260"/>
          <w:tab w:val="left" w:pos="1418"/>
        </w:tabs>
        <w:spacing w:line="360" w:lineRule="auto"/>
        <w:ind w:left="845" w:right="-420" w:rightChars="-200" w:hanging="845"/>
        <w:rPr>
          <w:rFonts w:ascii="宋体" w:hAnsi="宋体" w:cs="宋体"/>
          <w:color w:val="auto"/>
          <w:sz w:val="24"/>
          <w:highlight w:val="none"/>
          <w:lang w:val="fr-CH"/>
        </w:rPr>
      </w:pPr>
      <w:r>
        <w:rPr>
          <w:rFonts w:hint="eastAsia" w:ascii="宋体" w:hAnsi="宋体" w:cs="宋体"/>
          <w:color w:val="auto"/>
          <w:sz w:val="24"/>
          <w:highlight w:val="none"/>
          <w:lang w:val="fr-CH"/>
        </w:rPr>
        <w:t>对项目需求的理解和响应；</w:t>
      </w:r>
    </w:p>
    <w:p>
      <w:pPr>
        <w:numPr>
          <w:ilvl w:val="0"/>
          <w:numId w:val="17"/>
        </w:numPr>
        <w:tabs>
          <w:tab w:val="left" w:pos="640"/>
          <w:tab w:val="left" w:pos="1260"/>
          <w:tab w:val="left" w:pos="1418"/>
        </w:tabs>
        <w:spacing w:line="360" w:lineRule="auto"/>
        <w:ind w:left="845" w:right="-420" w:rightChars="-200" w:hanging="845"/>
        <w:rPr>
          <w:rFonts w:ascii="宋体" w:hAnsi="宋体" w:cs="宋体"/>
          <w:color w:val="auto"/>
          <w:sz w:val="24"/>
          <w:highlight w:val="none"/>
          <w:lang w:val="fr-CH"/>
        </w:rPr>
      </w:pPr>
      <w:r>
        <w:rPr>
          <w:rFonts w:hint="eastAsia" w:ascii="宋体" w:hAnsi="宋体" w:cs="宋体"/>
          <w:color w:val="auto"/>
          <w:sz w:val="24"/>
          <w:highlight w:val="none"/>
          <w:lang w:val="fr-CH"/>
        </w:rPr>
        <w:t>工作安排科学性；</w:t>
      </w:r>
    </w:p>
    <w:p>
      <w:pPr>
        <w:numPr>
          <w:ilvl w:val="0"/>
          <w:numId w:val="17"/>
        </w:numPr>
        <w:tabs>
          <w:tab w:val="left" w:pos="640"/>
          <w:tab w:val="left" w:pos="1260"/>
          <w:tab w:val="left" w:pos="1418"/>
        </w:tabs>
        <w:spacing w:line="360" w:lineRule="auto"/>
        <w:ind w:left="845" w:right="-420" w:rightChars="-200" w:hanging="845"/>
        <w:rPr>
          <w:rFonts w:ascii="宋体" w:hAnsi="宋体" w:cs="宋体"/>
          <w:color w:val="auto"/>
          <w:sz w:val="24"/>
          <w:highlight w:val="none"/>
          <w:lang w:val="fr-CH"/>
        </w:rPr>
      </w:pPr>
      <w:r>
        <w:rPr>
          <w:rFonts w:hint="eastAsia" w:ascii="宋体" w:hAnsi="宋体" w:cs="宋体"/>
          <w:color w:val="auto"/>
          <w:sz w:val="24"/>
          <w:highlight w:val="none"/>
          <w:lang w:val="fr-CH"/>
        </w:rPr>
        <w:t>合理化建议；</w:t>
      </w:r>
    </w:p>
    <w:p>
      <w:pPr>
        <w:numPr>
          <w:ilvl w:val="0"/>
          <w:numId w:val="17"/>
        </w:numPr>
        <w:tabs>
          <w:tab w:val="left" w:pos="640"/>
          <w:tab w:val="left" w:pos="1260"/>
          <w:tab w:val="left" w:pos="1418"/>
        </w:tabs>
        <w:spacing w:line="360" w:lineRule="auto"/>
        <w:ind w:left="845" w:right="-420" w:rightChars="-200" w:hanging="845"/>
        <w:rPr>
          <w:rFonts w:ascii="宋体" w:hAnsi="宋体" w:cs="宋体"/>
          <w:color w:val="auto"/>
          <w:sz w:val="24"/>
          <w:highlight w:val="none"/>
          <w:lang w:val="fr-CH"/>
        </w:rPr>
      </w:pPr>
      <w:r>
        <w:rPr>
          <w:rFonts w:hint="eastAsia" w:ascii="宋体" w:hAnsi="宋体" w:cs="宋体"/>
          <w:color w:val="auto"/>
          <w:sz w:val="24"/>
          <w:highlight w:val="none"/>
          <w:lang w:val="fr-CH"/>
        </w:rPr>
        <w:t>投标人认为有必要提供的其他材料。</w:t>
      </w:r>
    </w:p>
    <w:p>
      <w:pPr>
        <w:outlineLvl w:val="2"/>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（一）</w:t>
      </w:r>
      <w:r>
        <w:rPr>
          <w:rFonts w:hint="eastAsia" w:ascii="宋体" w:hAnsi="宋体" w:cs="宋体"/>
          <w:b/>
          <w:bCs/>
          <w:color w:val="auto"/>
          <w:sz w:val="24"/>
          <w:highlight w:val="none"/>
          <w:lang w:val="zh-CN"/>
        </w:rPr>
        <w:t>价格部分</w:t>
      </w:r>
    </w:p>
    <w:p>
      <w:pPr>
        <w:numPr>
          <w:ilvl w:val="0"/>
          <w:numId w:val="18"/>
        </w:numPr>
        <w:tabs>
          <w:tab w:val="left" w:pos="640"/>
          <w:tab w:val="clear" w:pos="425"/>
        </w:tabs>
        <w:ind w:left="625" w:hanging="625"/>
        <w:rPr>
          <w:rFonts w:ascii="宋体" w:hAnsi="宋体" w:cs="宋体"/>
          <w:color w:val="auto"/>
          <w:sz w:val="24"/>
          <w:highlight w:val="none"/>
        </w:rPr>
      </w:pPr>
      <w:r>
        <w:rPr>
          <w:rFonts w:hint="eastAsia" w:ascii="宋体" w:hAnsi="宋体" w:cs="宋体"/>
          <w:color w:val="auto"/>
          <w:sz w:val="24"/>
          <w:highlight w:val="none"/>
        </w:rPr>
        <w:t>投标一览表；</w:t>
      </w:r>
    </w:p>
    <w:p>
      <w:pPr>
        <w:spacing w:line="360" w:lineRule="auto"/>
        <w:rPr>
          <w:rFonts w:ascii="宋体" w:hAnsi="宋体" w:cs="宋体"/>
          <w:color w:val="auto"/>
          <w:sz w:val="24"/>
          <w:highlight w:val="none"/>
        </w:rPr>
      </w:pP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投标一览表</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tbl>
      <w:tblPr>
        <w:tblStyle w:val="22"/>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vAlign w:val="center"/>
          </w:tcPr>
          <w:p>
            <w:pPr>
              <w:spacing w:after="60"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2896" w:type="dxa"/>
            <w:vAlign w:val="center"/>
          </w:tcPr>
          <w:p>
            <w:pPr>
              <w:spacing w:after="60" w:line="360" w:lineRule="auto"/>
              <w:jc w:val="center"/>
              <w:rPr>
                <w:rFonts w:ascii="宋体" w:hAnsi="宋体" w:cs="宋体"/>
                <w:color w:val="auto"/>
                <w:sz w:val="24"/>
                <w:highlight w:val="none"/>
              </w:rPr>
            </w:pPr>
            <w:r>
              <w:rPr>
                <w:rFonts w:hint="eastAsia" w:ascii="宋体" w:hAnsi="宋体" w:cs="宋体"/>
                <w:color w:val="auto"/>
                <w:sz w:val="24"/>
                <w:highlight w:val="none"/>
              </w:rPr>
              <w:t>投标价</w:t>
            </w:r>
          </w:p>
          <w:p>
            <w:pPr>
              <w:spacing w:after="60" w:line="360" w:lineRule="auto"/>
              <w:jc w:val="center"/>
              <w:rPr>
                <w:rFonts w:ascii="宋体" w:hAnsi="宋体" w:cs="宋体"/>
                <w:color w:val="auto"/>
                <w:sz w:val="24"/>
                <w:highlight w:val="none"/>
              </w:rPr>
            </w:pPr>
            <w:r>
              <w:rPr>
                <w:rFonts w:hint="eastAsia" w:ascii="宋体" w:hAnsi="宋体" w:cs="宋体"/>
                <w:color w:val="auto"/>
                <w:sz w:val="24"/>
                <w:highlight w:val="none"/>
              </w:rPr>
              <w:t>（人民币）</w:t>
            </w:r>
          </w:p>
        </w:tc>
        <w:tc>
          <w:tcPr>
            <w:tcW w:w="1318" w:type="dxa"/>
            <w:vAlign w:val="center"/>
          </w:tcPr>
          <w:p>
            <w:pPr>
              <w:spacing w:after="60"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pPr>
              <w:spacing w:line="360" w:lineRule="auto"/>
              <w:jc w:val="center"/>
              <w:rPr>
                <w:rFonts w:ascii="宋体" w:hAnsi="宋体" w:cs="宋体"/>
                <w:color w:val="auto"/>
                <w:sz w:val="24"/>
                <w:highlight w:val="none"/>
                <w:u w:val="single"/>
              </w:rPr>
            </w:pPr>
          </w:p>
        </w:tc>
        <w:tc>
          <w:tcPr>
            <w:tcW w:w="2896" w:type="dxa"/>
            <w:vAlign w:val="center"/>
          </w:tcPr>
          <w:p>
            <w:pPr>
              <w:spacing w:line="360" w:lineRule="auto"/>
              <w:jc w:val="center"/>
              <w:rPr>
                <w:rFonts w:ascii="宋体" w:hAnsi="宋体" w:cs="宋体"/>
                <w:color w:val="auto"/>
                <w:sz w:val="24"/>
                <w:highlight w:val="none"/>
                <w:u w:val="single"/>
              </w:rPr>
            </w:pPr>
          </w:p>
        </w:tc>
        <w:tc>
          <w:tcPr>
            <w:tcW w:w="1318" w:type="dxa"/>
            <w:vAlign w:val="center"/>
          </w:tcPr>
          <w:p>
            <w:pPr>
              <w:spacing w:line="360" w:lineRule="auto"/>
              <w:jc w:val="center"/>
              <w:rPr>
                <w:rFonts w:ascii="宋体" w:hAnsi="宋体" w:cs="宋体"/>
                <w:color w:val="auto"/>
                <w:sz w:val="24"/>
                <w:highlight w:val="none"/>
                <w:u w:val="single"/>
              </w:rPr>
            </w:pPr>
          </w:p>
        </w:tc>
      </w:tr>
    </w:tbl>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pStyle w:val="9"/>
        <w:rPr>
          <w:color w:val="auto"/>
          <w:highlight w:val="none"/>
        </w:rPr>
      </w:pPr>
    </w:p>
    <w:p>
      <w:pPr>
        <w:numPr>
          <w:ilvl w:val="0"/>
          <w:numId w:val="18"/>
        </w:numPr>
        <w:tabs>
          <w:tab w:val="left" w:pos="640"/>
          <w:tab w:val="clear" w:pos="425"/>
        </w:tabs>
        <w:ind w:left="625" w:hanging="625"/>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分项报价清单；</w:t>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分项报价清单</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p>
    <w:tbl>
      <w:tblPr>
        <w:tblStyle w:val="2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pStyle w:val="11"/>
              <w:spacing w:line="360" w:lineRule="auto"/>
              <w:jc w:val="center"/>
              <w:rPr>
                <w:rFonts w:hAnsi="宋体" w:cs="宋体"/>
                <w:color w:val="auto"/>
                <w:sz w:val="24"/>
                <w:highlight w:val="none"/>
              </w:rPr>
            </w:pPr>
            <w:r>
              <w:rPr>
                <w:rFonts w:hint="eastAsia" w:hAnsi="宋体" w:cs="宋体"/>
                <w:color w:val="auto"/>
                <w:sz w:val="24"/>
                <w:highlight w:val="none"/>
              </w:rPr>
              <w:t>序号</w:t>
            </w:r>
          </w:p>
        </w:tc>
        <w:tc>
          <w:tcPr>
            <w:tcW w:w="2212" w:type="dxa"/>
            <w:vAlign w:val="center"/>
          </w:tcPr>
          <w:p>
            <w:pPr>
              <w:pStyle w:val="11"/>
              <w:spacing w:line="360" w:lineRule="auto"/>
              <w:jc w:val="center"/>
              <w:rPr>
                <w:rFonts w:hAnsi="宋体" w:cs="宋体"/>
                <w:color w:val="auto"/>
                <w:sz w:val="24"/>
                <w:highlight w:val="none"/>
              </w:rPr>
            </w:pPr>
            <w:r>
              <w:rPr>
                <w:rFonts w:hint="eastAsia" w:hAnsi="宋体" w:cs="宋体"/>
                <w:color w:val="auto"/>
                <w:sz w:val="24"/>
                <w:highlight w:val="none"/>
              </w:rPr>
              <w:t>项目名称、内容</w:t>
            </w:r>
          </w:p>
        </w:tc>
        <w:tc>
          <w:tcPr>
            <w:tcW w:w="720" w:type="dxa"/>
            <w:vAlign w:val="center"/>
          </w:tcPr>
          <w:p>
            <w:pPr>
              <w:pStyle w:val="11"/>
              <w:spacing w:line="360" w:lineRule="auto"/>
              <w:jc w:val="center"/>
              <w:rPr>
                <w:rFonts w:hAnsi="宋体" w:cs="宋体"/>
                <w:color w:val="auto"/>
                <w:sz w:val="24"/>
                <w:highlight w:val="none"/>
              </w:rPr>
            </w:pPr>
            <w:r>
              <w:rPr>
                <w:rFonts w:hint="eastAsia" w:hAnsi="宋体" w:cs="宋体"/>
                <w:color w:val="auto"/>
                <w:sz w:val="24"/>
                <w:highlight w:val="none"/>
              </w:rPr>
              <w:t>单位</w:t>
            </w:r>
          </w:p>
        </w:tc>
        <w:tc>
          <w:tcPr>
            <w:tcW w:w="1800" w:type="dxa"/>
            <w:vAlign w:val="center"/>
          </w:tcPr>
          <w:p>
            <w:pPr>
              <w:pStyle w:val="11"/>
              <w:spacing w:line="360" w:lineRule="auto"/>
              <w:jc w:val="center"/>
              <w:rPr>
                <w:rFonts w:hAnsi="宋体" w:cs="宋体"/>
                <w:color w:val="auto"/>
                <w:sz w:val="24"/>
                <w:highlight w:val="none"/>
              </w:rPr>
            </w:pPr>
            <w:r>
              <w:rPr>
                <w:rFonts w:hint="eastAsia" w:hAnsi="宋体" w:cs="宋体"/>
                <w:color w:val="auto"/>
                <w:sz w:val="24"/>
                <w:highlight w:val="none"/>
              </w:rPr>
              <w:t>数量（工作量）</w:t>
            </w:r>
          </w:p>
        </w:tc>
        <w:tc>
          <w:tcPr>
            <w:tcW w:w="1620" w:type="dxa"/>
            <w:vAlign w:val="center"/>
          </w:tcPr>
          <w:p>
            <w:pPr>
              <w:pStyle w:val="11"/>
              <w:spacing w:line="360" w:lineRule="auto"/>
              <w:jc w:val="center"/>
              <w:rPr>
                <w:rFonts w:hAnsi="宋体" w:cs="宋体"/>
                <w:color w:val="auto"/>
                <w:sz w:val="24"/>
                <w:highlight w:val="none"/>
              </w:rPr>
            </w:pPr>
            <w:r>
              <w:rPr>
                <w:rFonts w:hint="eastAsia" w:hAnsi="宋体" w:cs="宋体"/>
                <w:color w:val="auto"/>
                <w:sz w:val="24"/>
                <w:highlight w:val="none"/>
              </w:rPr>
              <w:t>单价</w:t>
            </w:r>
          </w:p>
        </w:tc>
        <w:tc>
          <w:tcPr>
            <w:tcW w:w="1620" w:type="dxa"/>
            <w:vAlign w:val="center"/>
          </w:tcPr>
          <w:p>
            <w:pPr>
              <w:pStyle w:val="11"/>
              <w:spacing w:line="360" w:lineRule="auto"/>
              <w:jc w:val="center"/>
              <w:rPr>
                <w:rFonts w:hAnsi="宋体" w:cs="宋体"/>
                <w:color w:val="auto"/>
                <w:sz w:val="24"/>
                <w:highlight w:val="none"/>
              </w:rPr>
            </w:pPr>
            <w:r>
              <w:rPr>
                <w:rFonts w:hint="eastAsia" w:hAnsi="宋体" w:cs="宋体"/>
                <w:color w:val="auto"/>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11"/>
              <w:spacing w:line="360" w:lineRule="auto"/>
              <w:jc w:val="center"/>
              <w:rPr>
                <w:rFonts w:hAnsi="宋体" w:cs="宋体"/>
                <w:color w:val="auto"/>
                <w:sz w:val="24"/>
                <w:highlight w:val="none"/>
              </w:rPr>
            </w:pPr>
            <w:r>
              <w:rPr>
                <w:rFonts w:hint="eastAsia" w:hAnsi="宋体" w:cs="宋体"/>
                <w:color w:val="auto"/>
                <w:sz w:val="24"/>
                <w:highlight w:val="none"/>
              </w:rPr>
              <w:t>1</w:t>
            </w:r>
          </w:p>
        </w:tc>
        <w:tc>
          <w:tcPr>
            <w:tcW w:w="2212" w:type="dxa"/>
            <w:vAlign w:val="center"/>
          </w:tcPr>
          <w:p>
            <w:pPr>
              <w:pStyle w:val="11"/>
              <w:spacing w:line="360" w:lineRule="auto"/>
              <w:jc w:val="center"/>
              <w:rPr>
                <w:rFonts w:hAnsi="宋体" w:cs="宋体"/>
                <w:color w:val="auto"/>
                <w:sz w:val="24"/>
                <w:highlight w:val="none"/>
              </w:rPr>
            </w:pPr>
          </w:p>
        </w:tc>
        <w:tc>
          <w:tcPr>
            <w:tcW w:w="720" w:type="dxa"/>
            <w:vAlign w:val="center"/>
          </w:tcPr>
          <w:p>
            <w:pPr>
              <w:pStyle w:val="11"/>
              <w:spacing w:line="360" w:lineRule="auto"/>
              <w:jc w:val="center"/>
              <w:rPr>
                <w:rFonts w:hAnsi="宋体" w:cs="宋体"/>
                <w:color w:val="auto"/>
                <w:sz w:val="24"/>
                <w:highlight w:val="none"/>
              </w:rPr>
            </w:pPr>
          </w:p>
        </w:tc>
        <w:tc>
          <w:tcPr>
            <w:tcW w:w="1800" w:type="dxa"/>
            <w:vAlign w:val="center"/>
          </w:tcPr>
          <w:p>
            <w:pPr>
              <w:pStyle w:val="11"/>
              <w:spacing w:line="360" w:lineRule="auto"/>
              <w:jc w:val="center"/>
              <w:rPr>
                <w:rFonts w:hAnsi="宋体" w:cs="宋体"/>
                <w:color w:val="auto"/>
                <w:sz w:val="24"/>
                <w:highlight w:val="none"/>
              </w:rPr>
            </w:pPr>
          </w:p>
        </w:tc>
        <w:tc>
          <w:tcPr>
            <w:tcW w:w="1620" w:type="dxa"/>
            <w:vAlign w:val="center"/>
          </w:tcPr>
          <w:p>
            <w:pPr>
              <w:pStyle w:val="11"/>
              <w:spacing w:line="360" w:lineRule="auto"/>
              <w:jc w:val="center"/>
              <w:rPr>
                <w:rFonts w:hAnsi="宋体" w:cs="宋体"/>
                <w:color w:val="auto"/>
                <w:sz w:val="24"/>
                <w:highlight w:val="none"/>
              </w:rPr>
            </w:pPr>
          </w:p>
        </w:tc>
        <w:tc>
          <w:tcPr>
            <w:tcW w:w="1620" w:type="dxa"/>
            <w:vAlign w:val="center"/>
          </w:tcPr>
          <w:p>
            <w:pPr>
              <w:pStyle w:val="11"/>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11"/>
              <w:spacing w:line="360" w:lineRule="auto"/>
              <w:jc w:val="center"/>
              <w:rPr>
                <w:rFonts w:hAnsi="宋体" w:cs="宋体"/>
                <w:color w:val="auto"/>
                <w:sz w:val="24"/>
                <w:highlight w:val="none"/>
              </w:rPr>
            </w:pPr>
            <w:r>
              <w:rPr>
                <w:rFonts w:hint="eastAsia" w:hAnsi="宋体" w:cs="宋体"/>
                <w:color w:val="auto"/>
                <w:sz w:val="24"/>
                <w:highlight w:val="none"/>
              </w:rPr>
              <w:t>2</w:t>
            </w:r>
          </w:p>
        </w:tc>
        <w:tc>
          <w:tcPr>
            <w:tcW w:w="2212" w:type="dxa"/>
            <w:vAlign w:val="center"/>
          </w:tcPr>
          <w:p>
            <w:pPr>
              <w:autoSpaceDE w:val="0"/>
              <w:autoSpaceDN w:val="0"/>
              <w:adjustRightInd w:val="0"/>
              <w:spacing w:line="360" w:lineRule="auto"/>
              <w:jc w:val="center"/>
              <w:rPr>
                <w:rFonts w:ascii="宋体" w:hAnsi="宋体" w:cs="宋体"/>
                <w:color w:val="auto"/>
                <w:sz w:val="24"/>
                <w:highlight w:val="none"/>
              </w:rPr>
            </w:pPr>
          </w:p>
        </w:tc>
        <w:tc>
          <w:tcPr>
            <w:tcW w:w="720" w:type="dxa"/>
            <w:vAlign w:val="center"/>
          </w:tcPr>
          <w:p>
            <w:pPr>
              <w:pStyle w:val="11"/>
              <w:spacing w:line="360" w:lineRule="auto"/>
              <w:jc w:val="center"/>
              <w:rPr>
                <w:rFonts w:hAnsi="宋体" w:cs="宋体"/>
                <w:color w:val="auto"/>
                <w:sz w:val="24"/>
                <w:highlight w:val="none"/>
              </w:rPr>
            </w:pPr>
          </w:p>
        </w:tc>
        <w:tc>
          <w:tcPr>
            <w:tcW w:w="1800" w:type="dxa"/>
            <w:vAlign w:val="center"/>
          </w:tcPr>
          <w:p>
            <w:pPr>
              <w:pStyle w:val="11"/>
              <w:spacing w:line="360" w:lineRule="auto"/>
              <w:jc w:val="center"/>
              <w:rPr>
                <w:rFonts w:hAnsi="宋体" w:cs="宋体"/>
                <w:color w:val="auto"/>
                <w:sz w:val="24"/>
                <w:highlight w:val="none"/>
              </w:rPr>
            </w:pPr>
          </w:p>
        </w:tc>
        <w:tc>
          <w:tcPr>
            <w:tcW w:w="1620" w:type="dxa"/>
            <w:vAlign w:val="center"/>
          </w:tcPr>
          <w:p>
            <w:pPr>
              <w:pStyle w:val="11"/>
              <w:spacing w:line="360" w:lineRule="auto"/>
              <w:jc w:val="center"/>
              <w:rPr>
                <w:rFonts w:hAnsi="宋体" w:cs="宋体"/>
                <w:color w:val="auto"/>
                <w:sz w:val="24"/>
                <w:highlight w:val="none"/>
              </w:rPr>
            </w:pPr>
          </w:p>
        </w:tc>
        <w:tc>
          <w:tcPr>
            <w:tcW w:w="1620" w:type="dxa"/>
            <w:vAlign w:val="center"/>
          </w:tcPr>
          <w:p>
            <w:pPr>
              <w:pStyle w:val="11"/>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11"/>
              <w:spacing w:line="360" w:lineRule="auto"/>
              <w:jc w:val="center"/>
              <w:rPr>
                <w:rFonts w:hAnsi="宋体" w:cs="宋体"/>
                <w:color w:val="auto"/>
                <w:sz w:val="24"/>
                <w:highlight w:val="none"/>
              </w:rPr>
            </w:pPr>
            <w:r>
              <w:rPr>
                <w:rFonts w:hint="eastAsia" w:hAnsi="宋体" w:cs="宋体"/>
                <w:color w:val="auto"/>
                <w:sz w:val="24"/>
                <w:highlight w:val="none"/>
              </w:rPr>
              <w:t>3</w:t>
            </w:r>
          </w:p>
        </w:tc>
        <w:tc>
          <w:tcPr>
            <w:tcW w:w="2212" w:type="dxa"/>
            <w:vAlign w:val="center"/>
          </w:tcPr>
          <w:p>
            <w:pPr>
              <w:autoSpaceDE w:val="0"/>
              <w:autoSpaceDN w:val="0"/>
              <w:adjustRightInd w:val="0"/>
              <w:spacing w:line="360" w:lineRule="auto"/>
              <w:jc w:val="center"/>
              <w:rPr>
                <w:rFonts w:ascii="宋体" w:hAnsi="宋体" w:cs="宋体"/>
                <w:color w:val="auto"/>
                <w:sz w:val="24"/>
                <w:highlight w:val="none"/>
              </w:rPr>
            </w:pPr>
          </w:p>
        </w:tc>
        <w:tc>
          <w:tcPr>
            <w:tcW w:w="720" w:type="dxa"/>
            <w:vAlign w:val="center"/>
          </w:tcPr>
          <w:p>
            <w:pPr>
              <w:pStyle w:val="11"/>
              <w:spacing w:line="360" w:lineRule="auto"/>
              <w:jc w:val="center"/>
              <w:rPr>
                <w:rFonts w:hAnsi="宋体" w:cs="宋体"/>
                <w:color w:val="auto"/>
                <w:sz w:val="24"/>
                <w:highlight w:val="none"/>
              </w:rPr>
            </w:pPr>
          </w:p>
        </w:tc>
        <w:tc>
          <w:tcPr>
            <w:tcW w:w="1800" w:type="dxa"/>
            <w:vAlign w:val="center"/>
          </w:tcPr>
          <w:p>
            <w:pPr>
              <w:pStyle w:val="11"/>
              <w:spacing w:line="360" w:lineRule="auto"/>
              <w:jc w:val="center"/>
              <w:rPr>
                <w:rFonts w:hAnsi="宋体" w:cs="宋体"/>
                <w:color w:val="auto"/>
                <w:sz w:val="24"/>
                <w:highlight w:val="none"/>
              </w:rPr>
            </w:pPr>
          </w:p>
        </w:tc>
        <w:tc>
          <w:tcPr>
            <w:tcW w:w="1620" w:type="dxa"/>
            <w:vAlign w:val="center"/>
          </w:tcPr>
          <w:p>
            <w:pPr>
              <w:pStyle w:val="11"/>
              <w:spacing w:line="360" w:lineRule="auto"/>
              <w:jc w:val="center"/>
              <w:rPr>
                <w:rFonts w:hAnsi="宋体" w:cs="宋体"/>
                <w:color w:val="auto"/>
                <w:sz w:val="24"/>
                <w:highlight w:val="none"/>
              </w:rPr>
            </w:pPr>
          </w:p>
        </w:tc>
        <w:tc>
          <w:tcPr>
            <w:tcW w:w="1620" w:type="dxa"/>
            <w:vAlign w:val="center"/>
          </w:tcPr>
          <w:p>
            <w:pPr>
              <w:pStyle w:val="11"/>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11"/>
              <w:spacing w:line="360" w:lineRule="auto"/>
              <w:jc w:val="center"/>
              <w:rPr>
                <w:rFonts w:hAnsi="宋体" w:cs="宋体"/>
                <w:color w:val="auto"/>
                <w:sz w:val="24"/>
                <w:highlight w:val="none"/>
              </w:rPr>
            </w:pPr>
            <w:r>
              <w:rPr>
                <w:rFonts w:hint="eastAsia" w:hAnsi="宋体" w:cs="宋体"/>
                <w:color w:val="auto"/>
                <w:sz w:val="24"/>
                <w:highlight w:val="none"/>
              </w:rPr>
              <w:t>4</w:t>
            </w:r>
          </w:p>
        </w:tc>
        <w:tc>
          <w:tcPr>
            <w:tcW w:w="2212" w:type="dxa"/>
            <w:vAlign w:val="center"/>
          </w:tcPr>
          <w:p>
            <w:pPr>
              <w:autoSpaceDE w:val="0"/>
              <w:autoSpaceDN w:val="0"/>
              <w:adjustRightInd w:val="0"/>
              <w:spacing w:line="360" w:lineRule="auto"/>
              <w:jc w:val="center"/>
              <w:rPr>
                <w:rFonts w:ascii="宋体" w:hAnsi="宋体" w:cs="宋体"/>
                <w:color w:val="auto"/>
                <w:sz w:val="24"/>
                <w:highlight w:val="none"/>
              </w:rPr>
            </w:pPr>
          </w:p>
        </w:tc>
        <w:tc>
          <w:tcPr>
            <w:tcW w:w="720" w:type="dxa"/>
            <w:vAlign w:val="center"/>
          </w:tcPr>
          <w:p>
            <w:pPr>
              <w:pStyle w:val="11"/>
              <w:spacing w:line="360" w:lineRule="auto"/>
              <w:jc w:val="center"/>
              <w:rPr>
                <w:rFonts w:hAnsi="宋体" w:cs="宋体"/>
                <w:color w:val="auto"/>
                <w:sz w:val="24"/>
                <w:highlight w:val="none"/>
              </w:rPr>
            </w:pPr>
          </w:p>
        </w:tc>
        <w:tc>
          <w:tcPr>
            <w:tcW w:w="1800" w:type="dxa"/>
            <w:vAlign w:val="center"/>
          </w:tcPr>
          <w:p>
            <w:pPr>
              <w:pStyle w:val="11"/>
              <w:spacing w:line="360" w:lineRule="auto"/>
              <w:jc w:val="center"/>
              <w:rPr>
                <w:rFonts w:hAnsi="宋体" w:cs="宋体"/>
                <w:color w:val="auto"/>
                <w:sz w:val="24"/>
                <w:highlight w:val="none"/>
              </w:rPr>
            </w:pPr>
          </w:p>
        </w:tc>
        <w:tc>
          <w:tcPr>
            <w:tcW w:w="1620" w:type="dxa"/>
            <w:vAlign w:val="center"/>
          </w:tcPr>
          <w:p>
            <w:pPr>
              <w:pStyle w:val="11"/>
              <w:spacing w:line="360" w:lineRule="auto"/>
              <w:jc w:val="center"/>
              <w:rPr>
                <w:rFonts w:hAnsi="宋体" w:cs="宋体"/>
                <w:color w:val="auto"/>
                <w:sz w:val="24"/>
                <w:highlight w:val="none"/>
              </w:rPr>
            </w:pPr>
          </w:p>
        </w:tc>
        <w:tc>
          <w:tcPr>
            <w:tcW w:w="1620" w:type="dxa"/>
            <w:vAlign w:val="center"/>
          </w:tcPr>
          <w:p>
            <w:pPr>
              <w:pStyle w:val="11"/>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1"/>
              <w:spacing w:line="360" w:lineRule="auto"/>
              <w:jc w:val="center"/>
              <w:rPr>
                <w:rFonts w:hAnsi="宋体" w:cs="宋体"/>
                <w:color w:val="auto"/>
                <w:sz w:val="24"/>
                <w:highlight w:val="none"/>
              </w:rPr>
            </w:pPr>
            <w:r>
              <w:rPr>
                <w:rFonts w:hint="eastAsia" w:hAnsi="宋体" w:cs="宋体"/>
                <w:color w:val="auto"/>
                <w:sz w:val="24"/>
                <w:highlight w:val="none"/>
              </w:rPr>
              <w:t>5</w:t>
            </w:r>
          </w:p>
        </w:tc>
        <w:tc>
          <w:tcPr>
            <w:tcW w:w="2212" w:type="dxa"/>
            <w:vAlign w:val="center"/>
          </w:tcPr>
          <w:p>
            <w:pPr>
              <w:autoSpaceDE w:val="0"/>
              <w:autoSpaceDN w:val="0"/>
              <w:adjustRightInd w:val="0"/>
              <w:spacing w:line="360" w:lineRule="auto"/>
              <w:jc w:val="center"/>
              <w:rPr>
                <w:rFonts w:ascii="宋体" w:hAnsi="宋体" w:cs="宋体"/>
                <w:color w:val="auto"/>
                <w:sz w:val="24"/>
                <w:highlight w:val="none"/>
              </w:rPr>
            </w:pPr>
          </w:p>
        </w:tc>
        <w:tc>
          <w:tcPr>
            <w:tcW w:w="720" w:type="dxa"/>
            <w:vAlign w:val="center"/>
          </w:tcPr>
          <w:p>
            <w:pPr>
              <w:pStyle w:val="11"/>
              <w:spacing w:line="360" w:lineRule="auto"/>
              <w:jc w:val="center"/>
              <w:rPr>
                <w:rFonts w:hAnsi="宋体" w:cs="宋体"/>
                <w:color w:val="auto"/>
                <w:sz w:val="24"/>
                <w:highlight w:val="none"/>
              </w:rPr>
            </w:pPr>
          </w:p>
        </w:tc>
        <w:tc>
          <w:tcPr>
            <w:tcW w:w="1800" w:type="dxa"/>
            <w:vAlign w:val="center"/>
          </w:tcPr>
          <w:p>
            <w:pPr>
              <w:pStyle w:val="11"/>
              <w:spacing w:line="360" w:lineRule="auto"/>
              <w:jc w:val="center"/>
              <w:rPr>
                <w:rFonts w:hAnsi="宋体" w:cs="宋体"/>
                <w:color w:val="auto"/>
                <w:sz w:val="24"/>
                <w:highlight w:val="none"/>
              </w:rPr>
            </w:pPr>
          </w:p>
        </w:tc>
        <w:tc>
          <w:tcPr>
            <w:tcW w:w="1620" w:type="dxa"/>
            <w:vAlign w:val="center"/>
          </w:tcPr>
          <w:p>
            <w:pPr>
              <w:pStyle w:val="11"/>
              <w:spacing w:line="360" w:lineRule="auto"/>
              <w:jc w:val="center"/>
              <w:rPr>
                <w:rFonts w:hAnsi="宋体" w:cs="宋体"/>
                <w:color w:val="auto"/>
                <w:sz w:val="24"/>
                <w:highlight w:val="none"/>
              </w:rPr>
            </w:pPr>
          </w:p>
        </w:tc>
        <w:tc>
          <w:tcPr>
            <w:tcW w:w="1620" w:type="dxa"/>
            <w:vAlign w:val="center"/>
          </w:tcPr>
          <w:p>
            <w:pPr>
              <w:pStyle w:val="11"/>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1"/>
              <w:spacing w:line="360" w:lineRule="auto"/>
              <w:jc w:val="center"/>
              <w:rPr>
                <w:rFonts w:hAnsi="宋体" w:cs="宋体"/>
                <w:color w:val="auto"/>
                <w:sz w:val="24"/>
                <w:highlight w:val="none"/>
              </w:rPr>
            </w:pPr>
            <w:r>
              <w:rPr>
                <w:rFonts w:hint="eastAsia" w:hAnsi="宋体" w:cs="宋体"/>
                <w:color w:val="auto"/>
                <w:sz w:val="24"/>
                <w:highlight w:val="none"/>
              </w:rPr>
              <w:t>6</w:t>
            </w:r>
          </w:p>
        </w:tc>
        <w:tc>
          <w:tcPr>
            <w:tcW w:w="2212" w:type="dxa"/>
            <w:vAlign w:val="center"/>
          </w:tcPr>
          <w:p>
            <w:pPr>
              <w:autoSpaceDE w:val="0"/>
              <w:autoSpaceDN w:val="0"/>
              <w:adjustRightInd w:val="0"/>
              <w:spacing w:line="360" w:lineRule="auto"/>
              <w:jc w:val="center"/>
              <w:rPr>
                <w:rFonts w:ascii="宋体" w:hAnsi="宋体" w:cs="宋体"/>
                <w:color w:val="auto"/>
                <w:sz w:val="24"/>
                <w:highlight w:val="none"/>
              </w:rPr>
            </w:pPr>
          </w:p>
        </w:tc>
        <w:tc>
          <w:tcPr>
            <w:tcW w:w="720" w:type="dxa"/>
            <w:vAlign w:val="center"/>
          </w:tcPr>
          <w:p>
            <w:pPr>
              <w:pStyle w:val="11"/>
              <w:spacing w:line="360" w:lineRule="auto"/>
              <w:jc w:val="center"/>
              <w:rPr>
                <w:rFonts w:hAnsi="宋体" w:cs="宋体"/>
                <w:color w:val="auto"/>
                <w:sz w:val="24"/>
                <w:highlight w:val="none"/>
              </w:rPr>
            </w:pPr>
          </w:p>
        </w:tc>
        <w:tc>
          <w:tcPr>
            <w:tcW w:w="1800" w:type="dxa"/>
            <w:vAlign w:val="center"/>
          </w:tcPr>
          <w:p>
            <w:pPr>
              <w:pStyle w:val="11"/>
              <w:spacing w:line="360" w:lineRule="auto"/>
              <w:jc w:val="center"/>
              <w:rPr>
                <w:rFonts w:hAnsi="宋体" w:cs="宋体"/>
                <w:color w:val="auto"/>
                <w:sz w:val="24"/>
                <w:highlight w:val="none"/>
              </w:rPr>
            </w:pPr>
          </w:p>
        </w:tc>
        <w:tc>
          <w:tcPr>
            <w:tcW w:w="1620" w:type="dxa"/>
            <w:vAlign w:val="center"/>
          </w:tcPr>
          <w:p>
            <w:pPr>
              <w:pStyle w:val="11"/>
              <w:spacing w:line="360" w:lineRule="auto"/>
              <w:jc w:val="center"/>
              <w:rPr>
                <w:rFonts w:hAnsi="宋体" w:cs="宋体"/>
                <w:color w:val="auto"/>
                <w:sz w:val="24"/>
                <w:highlight w:val="none"/>
              </w:rPr>
            </w:pPr>
          </w:p>
        </w:tc>
        <w:tc>
          <w:tcPr>
            <w:tcW w:w="1620" w:type="dxa"/>
            <w:vAlign w:val="center"/>
          </w:tcPr>
          <w:p>
            <w:pPr>
              <w:pStyle w:val="11"/>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1"/>
              <w:spacing w:line="360" w:lineRule="auto"/>
              <w:jc w:val="center"/>
              <w:rPr>
                <w:rFonts w:hAnsi="宋体" w:cs="宋体"/>
                <w:color w:val="auto"/>
                <w:sz w:val="24"/>
                <w:highlight w:val="none"/>
              </w:rPr>
            </w:pPr>
            <w:r>
              <w:rPr>
                <w:rFonts w:hint="eastAsia" w:hAnsi="宋体" w:cs="宋体"/>
                <w:color w:val="auto"/>
                <w:sz w:val="24"/>
                <w:highlight w:val="none"/>
              </w:rPr>
              <w:t>7</w:t>
            </w:r>
          </w:p>
        </w:tc>
        <w:tc>
          <w:tcPr>
            <w:tcW w:w="2212" w:type="dxa"/>
            <w:vAlign w:val="center"/>
          </w:tcPr>
          <w:p>
            <w:pPr>
              <w:autoSpaceDE w:val="0"/>
              <w:autoSpaceDN w:val="0"/>
              <w:adjustRightInd w:val="0"/>
              <w:spacing w:line="360" w:lineRule="auto"/>
              <w:jc w:val="center"/>
              <w:rPr>
                <w:rFonts w:ascii="宋体" w:hAnsi="宋体" w:cs="宋体"/>
                <w:color w:val="auto"/>
                <w:sz w:val="24"/>
                <w:highlight w:val="none"/>
              </w:rPr>
            </w:pPr>
          </w:p>
        </w:tc>
        <w:tc>
          <w:tcPr>
            <w:tcW w:w="720" w:type="dxa"/>
            <w:vAlign w:val="center"/>
          </w:tcPr>
          <w:p>
            <w:pPr>
              <w:pStyle w:val="11"/>
              <w:spacing w:line="360" w:lineRule="auto"/>
              <w:jc w:val="center"/>
              <w:rPr>
                <w:rFonts w:hAnsi="宋体" w:cs="宋体"/>
                <w:color w:val="auto"/>
                <w:sz w:val="24"/>
                <w:highlight w:val="none"/>
              </w:rPr>
            </w:pPr>
          </w:p>
        </w:tc>
        <w:tc>
          <w:tcPr>
            <w:tcW w:w="1800" w:type="dxa"/>
            <w:vAlign w:val="center"/>
          </w:tcPr>
          <w:p>
            <w:pPr>
              <w:pStyle w:val="11"/>
              <w:spacing w:line="360" w:lineRule="auto"/>
              <w:jc w:val="center"/>
              <w:rPr>
                <w:rFonts w:hAnsi="宋体" w:cs="宋体"/>
                <w:color w:val="auto"/>
                <w:sz w:val="24"/>
                <w:highlight w:val="none"/>
              </w:rPr>
            </w:pPr>
          </w:p>
        </w:tc>
        <w:tc>
          <w:tcPr>
            <w:tcW w:w="1620" w:type="dxa"/>
            <w:vAlign w:val="center"/>
          </w:tcPr>
          <w:p>
            <w:pPr>
              <w:pStyle w:val="11"/>
              <w:spacing w:line="360" w:lineRule="auto"/>
              <w:jc w:val="center"/>
              <w:rPr>
                <w:rFonts w:hAnsi="宋体" w:cs="宋体"/>
                <w:color w:val="auto"/>
                <w:sz w:val="24"/>
                <w:highlight w:val="none"/>
              </w:rPr>
            </w:pPr>
          </w:p>
        </w:tc>
        <w:tc>
          <w:tcPr>
            <w:tcW w:w="1620" w:type="dxa"/>
            <w:vAlign w:val="center"/>
          </w:tcPr>
          <w:p>
            <w:pPr>
              <w:pStyle w:val="11"/>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1"/>
              <w:spacing w:line="360" w:lineRule="auto"/>
              <w:jc w:val="center"/>
              <w:rPr>
                <w:rFonts w:hAnsi="宋体" w:cs="宋体"/>
                <w:color w:val="auto"/>
                <w:sz w:val="24"/>
                <w:highlight w:val="none"/>
              </w:rPr>
            </w:pPr>
            <w:r>
              <w:rPr>
                <w:rFonts w:hint="eastAsia" w:hAnsi="宋体" w:cs="宋体"/>
                <w:color w:val="auto"/>
                <w:sz w:val="24"/>
                <w:highlight w:val="none"/>
              </w:rPr>
              <w:t>8</w:t>
            </w:r>
          </w:p>
        </w:tc>
        <w:tc>
          <w:tcPr>
            <w:tcW w:w="2212" w:type="dxa"/>
            <w:vAlign w:val="center"/>
          </w:tcPr>
          <w:p>
            <w:pPr>
              <w:autoSpaceDE w:val="0"/>
              <w:autoSpaceDN w:val="0"/>
              <w:adjustRightInd w:val="0"/>
              <w:spacing w:line="360" w:lineRule="auto"/>
              <w:jc w:val="center"/>
              <w:rPr>
                <w:rFonts w:ascii="宋体" w:hAnsi="宋体" w:cs="宋体"/>
                <w:color w:val="auto"/>
                <w:sz w:val="24"/>
                <w:highlight w:val="none"/>
              </w:rPr>
            </w:pPr>
          </w:p>
        </w:tc>
        <w:tc>
          <w:tcPr>
            <w:tcW w:w="720" w:type="dxa"/>
            <w:vAlign w:val="center"/>
          </w:tcPr>
          <w:p>
            <w:pPr>
              <w:pStyle w:val="11"/>
              <w:spacing w:line="360" w:lineRule="auto"/>
              <w:jc w:val="center"/>
              <w:rPr>
                <w:rFonts w:hAnsi="宋体" w:cs="宋体"/>
                <w:color w:val="auto"/>
                <w:sz w:val="24"/>
                <w:highlight w:val="none"/>
              </w:rPr>
            </w:pPr>
          </w:p>
        </w:tc>
        <w:tc>
          <w:tcPr>
            <w:tcW w:w="1800" w:type="dxa"/>
            <w:vAlign w:val="center"/>
          </w:tcPr>
          <w:p>
            <w:pPr>
              <w:pStyle w:val="11"/>
              <w:spacing w:line="360" w:lineRule="auto"/>
              <w:jc w:val="center"/>
              <w:rPr>
                <w:rFonts w:hAnsi="宋体" w:cs="宋体"/>
                <w:color w:val="auto"/>
                <w:sz w:val="24"/>
                <w:highlight w:val="none"/>
              </w:rPr>
            </w:pPr>
          </w:p>
        </w:tc>
        <w:tc>
          <w:tcPr>
            <w:tcW w:w="1620" w:type="dxa"/>
            <w:vAlign w:val="center"/>
          </w:tcPr>
          <w:p>
            <w:pPr>
              <w:pStyle w:val="11"/>
              <w:spacing w:line="360" w:lineRule="auto"/>
              <w:jc w:val="center"/>
              <w:rPr>
                <w:rFonts w:hAnsi="宋体" w:cs="宋体"/>
                <w:color w:val="auto"/>
                <w:sz w:val="24"/>
                <w:highlight w:val="none"/>
              </w:rPr>
            </w:pPr>
          </w:p>
        </w:tc>
        <w:tc>
          <w:tcPr>
            <w:tcW w:w="1620" w:type="dxa"/>
            <w:vAlign w:val="center"/>
          </w:tcPr>
          <w:p>
            <w:pPr>
              <w:pStyle w:val="11"/>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1"/>
              <w:spacing w:line="360" w:lineRule="auto"/>
              <w:jc w:val="center"/>
              <w:rPr>
                <w:rFonts w:hAnsi="宋体" w:cs="宋体"/>
                <w:color w:val="auto"/>
                <w:sz w:val="24"/>
                <w:highlight w:val="none"/>
              </w:rPr>
            </w:pPr>
            <w:r>
              <w:rPr>
                <w:rFonts w:hint="eastAsia" w:hAnsi="宋体" w:cs="宋体"/>
                <w:color w:val="auto"/>
                <w:sz w:val="24"/>
                <w:highlight w:val="none"/>
              </w:rPr>
              <w:t>9</w:t>
            </w:r>
          </w:p>
        </w:tc>
        <w:tc>
          <w:tcPr>
            <w:tcW w:w="2212" w:type="dxa"/>
            <w:vAlign w:val="center"/>
          </w:tcPr>
          <w:p>
            <w:pPr>
              <w:autoSpaceDE w:val="0"/>
              <w:autoSpaceDN w:val="0"/>
              <w:adjustRightInd w:val="0"/>
              <w:spacing w:line="360" w:lineRule="auto"/>
              <w:jc w:val="center"/>
              <w:rPr>
                <w:rFonts w:ascii="宋体" w:hAnsi="宋体" w:cs="宋体"/>
                <w:color w:val="auto"/>
                <w:sz w:val="24"/>
                <w:highlight w:val="none"/>
              </w:rPr>
            </w:pPr>
          </w:p>
        </w:tc>
        <w:tc>
          <w:tcPr>
            <w:tcW w:w="720" w:type="dxa"/>
            <w:vAlign w:val="center"/>
          </w:tcPr>
          <w:p>
            <w:pPr>
              <w:pStyle w:val="11"/>
              <w:spacing w:line="360" w:lineRule="auto"/>
              <w:jc w:val="center"/>
              <w:rPr>
                <w:rFonts w:hAnsi="宋体" w:cs="宋体"/>
                <w:color w:val="auto"/>
                <w:sz w:val="24"/>
                <w:highlight w:val="none"/>
              </w:rPr>
            </w:pPr>
          </w:p>
        </w:tc>
        <w:tc>
          <w:tcPr>
            <w:tcW w:w="1800" w:type="dxa"/>
            <w:vAlign w:val="center"/>
          </w:tcPr>
          <w:p>
            <w:pPr>
              <w:pStyle w:val="11"/>
              <w:spacing w:line="360" w:lineRule="auto"/>
              <w:jc w:val="center"/>
              <w:rPr>
                <w:rFonts w:hAnsi="宋体" w:cs="宋体"/>
                <w:color w:val="auto"/>
                <w:sz w:val="24"/>
                <w:highlight w:val="none"/>
              </w:rPr>
            </w:pPr>
          </w:p>
        </w:tc>
        <w:tc>
          <w:tcPr>
            <w:tcW w:w="1620" w:type="dxa"/>
            <w:vAlign w:val="center"/>
          </w:tcPr>
          <w:p>
            <w:pPr>
              <w:pStyle w:val="11"/>
              <w:spacing w:line="360" w:lineRule="auto"/>
              <w:jc w:val="center"/>
              <w:rPr>
                <w:rFonts w:hAnsi="宋体" w:cs="宋体"/>
                <w:color w:val="auto"/>
                <w:sz w:val="24"/>
                <w:highlight w:val="none"/>
              </w:rPr>
            </w:pPr>
          </w:p>
        </w:tc>
        <w:tc>
          <w:tcPr>
            <w:tcW w:w="1620" w:type="dxa"/>
            <w:vAlign w:val="center"/>
          </w:tcPr>
          <w:p>
            <w:pPr>
              <w:pStyle w:val="11"/>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1"/>
              <w:spacing w:line="360" w:lineRule="auto"/>
              <w:jc w:val="center"/>
              <w:rPr>
                <w:rFonts w:hAnsi="宋体" w:cs="宋体"/>
                <w:color w:val="auto"/>
                <w:sz w:val="24"/>
                <w:highlight w:val="none"/>
              </w:rPr>
            </w:pPr>
            <w:r>
              <w:rPr>
                <w:rFonts w:hint="eastAsia" w:hAnsi="宋体" w:cs="宋体"/>
                <w:color w:val="auto"/>
                <w:sz w:val="24"/>
                <w:highlight w:val="none"/>
              </w:rPr>
              <w:t>…</w:t>
            </w:r>
          </w:p>
        </w:tc>
        <w:tc>
          <w:tcPr>
            <w:tcW w:w="2212" w:type="dxa"/>
            <w:vAlign w:val="center"/>
          </w:tcPr>
          <w:p>
            <w:pPr>
              <w:pStyle w:val="11"/>
              <w:spacing w:line="360" w:lineRule="auto"/>
              <w:jc w:val="center"/>
              <w:rPr>
                <w:rFonts w:hAnsi="宋体" w:cs="宋体"/>
                <w:color w:val="auto"/>
                <w:sz w:val="24"/>
                <w:highlight w:val="none"/>
              </w:rPr>
            </w:pPr>
            <w:r>
              <w:rPr>
                <w:rFonts w:hint="eastAsia" w:hAnsi="宋体" w:cs="宋体"/>
                <w:color w:val="auto"/>
                <w:sz w:val="24"/>
                <w:highlight w:val="none"/>
              </w:rPr>
              <w:t>…</w:t>
            </w:r>
          </w:p>
        </w:tc>
        <w:tc>
          <w:tcPr>
            <w:tcW w:w="720" w:type="dxa"/>
            <w:vAlign w:val="center"/>
          </w:tcPr>
          <w:p>
            <w:pPr>
              <w:pStyle w:val="11"/>
              <w:spacing w:line="360" w:lineRule="auto"/>
              <w:jc w:val="center"/>
              <w:rPr>
                <w:rFonts w:hAnsi="宋体" w:cs="宋体"/>
                <w:color w:val="auto"/>
                <w:sz w:val="24"/>
                <w:highlight w:val="none"/>
              </w:rPr>
            </w:pPr>
          </w:p>
        </w:tc>
        <w:tc>
          <w:tcPr>
            <w:tcW w:w="1800" w:type="dxa"/>
            <w:vAlign w:val="center"/>
          </w:tcPr>
          <w:p>
            <w:pPr>
              <w:pStyle w:val="11"/>
              <w:spacing w:line="360" w:lineRule="auto"/>
              <w:jc w:val="center"/>
              <w:rPr>
                <w:rFonts w:hAnsi="宋体" w:cs="宋体"/>
                <w:color w:val="auto"/>
                <w:sz w:val="24"/>
                <w:highlight w:val="none"/>
              </w:rPr>
            </w:pPr>
          </w:p>
        </w:tc>
        <w:tc>
          <w:tcPr>
            <w:tcW w:w="1620" w:type="dxa"/>
            <w:vAlign w:val="center"/>
          </w:tcPr>
          <w:p>
            <w:pPr>
              <w:pStyle w:val="11"/>
              <w:spacing w:line="360" w:lineRule="auto"/>
              <w:jc w:val="center"/>
              <w:rPr>
                <w:rFonts w:hAnsi="宋体" w:cs="宋体"/>
                <w:color w:val="auto"/>
                <w:sz w:val="24"/>
                <w:highlight w:val="none"/>
              </w:rPr>
            </w:pPr>
          </w:p>
        </w:tc>
        <w:tc>
          <w:tcPr>
            <w:tcW w:w="1620" w:type="dxa"/>
            <w:vAlign w:val="center"/>
          </w:tcPr>
          <w:p>
            <w:pPr>
              <w:pStyle w:val="11"/>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11"/>
              <w:spacing w:line="360" w:lineRule="auto"/>
              <w:rPr>
                <w:rFonts w:hAnsi="宋体" w:cs="宋体"/>
                <w:color w:val="auto"/>
                <w:sz w:val="24"/>
                <w:highlight w:val="none"/>
              </w:rPr>
            </w:pPr>
            <w:r>
              <w:rPr>
                <w:rFonts w:hint="eastAsia" w:hAnsi="宋体" w:cs="宋体"/>
                <w:color w:val="auto"/>
                <w:sz w:val="24"/>
                <w:highlight w:val="none"/>
              </w:rPr>
              <w:t>报价合计</w:t>
            </w:r>
          </w:p>
        </w:tc>
      </w:tr>
    </w:tbl>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投标供应商授权代表： ________________________</w:t>
      </w:r>
    </w:p>
    <w:p>
      <w:pPr>
        <w:spacing w:line="360" w:lineRule="auto"/>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spacing w:line="360" w:lineRule="auto"/>
        <w:outlineLvl w:val="2"/>
        <w:rPr>
          <w:rFonts w:ascii="宋体" w:hAnsi="宋体" w:cs="宋体"/>
          <w:b/>
          <w:bCs/>
          <w:color w:val="auto"/>
          <w:sz w:val="24"/>
          <w:highlight w:val="none"/>
          <w:u w:val="wav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（二）商务部分</w:t>
      </w:r>
    </w:p>
    <w:p>
      <w:pPr>
        <w:numPr>
          <w:ilvl w:val="0"/>
          <w:numId w:val="19"/>
        </w:numPr>
        <w:tabs>
          <w:tab w:val="left" w:pos="640"/>
          <w:tab w:val="left" w:pos="1260"/>
          <w:tab w:val="left" w:pos="1418"/>
        </w:tabs>
        <w:spacing w:line="360" w:lineRule="auto"/>
        <w:ind w:left="845" w:hanging="845"/>
        <w:rPr>
          <w:rFonts w:ascii="宋体" w:hAnsi="宋体" w:cs="宋体"/>
          <w:color w:val="auto"/>
          <w:sz w:val="24"/>
          <w:highlight w:val="none"/>
        </w:rPr>
      </w:pPr>
      <w:r>
        <w:rPr>
          <w:rFonts w:hint="eastAsia" w:ascii="宋体" w:hAnsi="宋体" w:cs="宋体"/>
          <w:color w:val="auto"/>
          <w:sz w:val="24"/>
          <w:highlight w:val="none"/>
        </w:rPr>
        <w:t>投标响应书；</w:t>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投标响应书</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p>
    <w:p>
      <w:pPr>
        <w:spacing w:line="360" w:lineRule="auto"/>
        <w:ind w:firstLine="494" w:firstLineChars="206"/>
        <w:rPr>
          <w:rFonts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项目采购的邀请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（招标文件编号         ），签字代表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（全名、职务）经正式授权并代表供应商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（供应商方名称、地址）提交</w:t>
      </w:r>
      <w:r>
        <w:rPr>
          <w:rFonts w:hint="eastAsia" w:ascii="宋体" w:hAnsi="宋体" w:cs="宋体"/>
          <w:b/>
          <w:color w:val="auto"/>
          <w:sz w:val="24"/>
          <w:highlight w:val="none"/>
        </w:rPr>
        <w:t>一份正本四份副本以及1份电子文档的</w:t>
      </w:r>
      <w:r>
        <w:rPr>
          <w:rFonts w:hint="eastAsia" w:ascii="宋体" w:hAnsi="宋体" w:cs="宋体"/>
          <w:color w:val="auto"/>
          <w:sz w:val="24"/>
          <w:highlight w:val="none"/>
        </w:rPr>
        <w:t>投标文件。</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据此函，签字代表宣布同意如下：</w:t>
      </w:r>
    </w:p>
    <w:p>
      <w:pPr>
        <w:spacing w:line="360" w:lineRule="auto"/>
        <w:rPr>
          <w:rFonts w:ascii="宋体" w:hAnsi="宋体" w:cs="宋体"/>
          <w:color w:val="auto"/>
          <w:sz w:val="24"/>
          <w:highlight w:val="none"/>
        </w:rPr>
      </w:pPr>
      <w:r>
        <w:rPr>
          <w:rFonts w:hint="eastAsia" w:ascii="宋体" w:hAnsi="宋体" w:cs="宋体"/>
          <w:color w:val="auto"/>
          <w:sz w:val="24"/>
          <w:highlight w:val="none"/>
        </w:rPr>
        <w:t>1、供应商方将按招标文件的规定履行合同责任和义务。</w:t>
      </w:r>
    </w:p>
    <w:p>
      <w:pPr>
        <w:spacing w:line="360" w:lineRule="auto"/>
        <w:rPr>
          <w:rFonts w:ascii="宋体" w:hAnsi="宋体" w:cs="宋体"/>
          <w:color w:val="auto"/>
          <w:sz w:val="24"/>
          <w:highlight w:val="none"/>
        </w:rPr>
      </w:pPr>
      <w:r>
        <w:rPr>
          <w:rFonts w:hint="eastAsia" w:ascii="宋体" w:hAnsi="宋体" w:cs="宋体"/>
          <w:color w:val="auto"/>
          <w:sz w:val="24"/>
          <w:highlight w:val="none"/>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color w:val="auto"/>
          <w:sz w:val="24"/>
          <w:highlight w:val="none"/>
        </w:rPr>
      </w:pPr>
      <w:r>
        <w:rPr>
          <w:rFonts w:hint="eastAsia" w:ascii="宋体" w:hAnsi="宋体" w:cs="宋体"/>
          <w:color w:val="auto"/>
          <w:sz w:val="24"/>
          <w:highlight w:val="none"/>
        </w:rPr>
        <w:t>3、与本投标项目有关的一切正式往来通讯请寄：</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邮编：</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传真：</w:t>
      </w:r>
      <w:r>
        <w:rPr>
          <w:rFonts w:hint="eastAsia" w:ascii="宋体" w:hAnsi="宋体" w:cs="宋体"/>
          <w:color w:val="auto"/>
          <w:sz w:val="24"/>
          <w:highlight w:val="none"/>
          <w:u w:val="single"/>
        </w:rPr>
        <w:t xml:space="preserve">                      </w:t>
      </w:r>
    </w:p>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邮箱：</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投标供应商授权代表、职务（印刷体）：</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投标供应商名称：</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（公  章）：</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rPr>
          <w:rFonts w:ascii="宋体" w:hAnsi="宋体" w:cs="宋体"/>
          <w:b/>
          <w:bCs/>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pStyle w:val="9"/>
        <w:rPr>
          <w:color w:val="auto"/>
          <w:highlight w:val="none"/>
        </w:rPr>
      </w:pPr>
    </w:p>
    <w:p>
      <w:pPr>
        <w:numPr>
          <w:ilvl w:val="0"/>
          <w:numId w:val="19"/>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营业执照【其他组织提供《事业单位法人证书》或《民办非企业单位登记证书》】及税务登记册证副本复印件(加盖投标人公章，若提供的营业执照为三证合一，则税务登记证可不单独提供)；</w:t>
      </w:r>
      <w:r>
        <w:rPr>
          <w:rFonts w:hint="eastAsia" w:ascii="宋体" w:hAnsi="宋体" w:cs="宋体"/>
          <w:b/>
          <w:bCs/>
          <w:color w:val="auto"/>
          <w:kern w:val="0"/>
          <w:sz w:val="24"/>
          <w:highlight w:val="none"/>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numPr>
          <w:ilvl w:val="0"/>
          <w:numId w:val="19"/>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政府采购投标及履约承诺函；</w:t>
      </w:r>
    </w:p>
    <w:p>
      <w:pPr>
        <w:spacing w:line="360" w:lineRule="auto"/>
        <w:jc w:val="center"/>
        <w:rPr>
          <w:rFonts w:ascii="宋体" w:hAnsi="宋体" w:cs="宋体"/>
          <w:b/>
          <w:bCs/>
          <w:color w:val="auto"/>
          <w:sz w:val="24"/>
          <w:highlight w:val="none"/>
          <w:lang w:val="fr-CH"/>
        </w:rPr>
      </w:pPr>
      <w:r>
        <w:rPr>
          <w:rFonts w:hint="eastAsia" w:ascii="宋体" w:hAnsi="宋体" w:cs="宋体"/>
          <w:b/>
          <w:bCs/>
          <w:color w:val="auto"/>
          <w:sz w:val="24"/>
          <w:highlight w:val="none"/>
          <w:lang w:val="fr-CH"/>
        </w:rPr>
        <w:t>政府采购投标及履约承诺函</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（采购单位名称/代理机构名称）：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我单位深知本项目对贵局的重要性和紧迫性，亦了解贵局对廉政建设的相关要求，因此我单位承诺如下：</w:t>
      </w:r>
    </w:p>
    <w:p>
      <w:pPr>
        <w:numPr>
          <w:ilvl w:val="0"/>
          <w:numId w:val="2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我单位本招标项目所提供的货物或服务未侵犯知识产权。</w:t>
      </w:r>
    </w:p>
    <w:p>
      <w:pPr>
        <w:widowControl/>
        <w:numPr>
          <w:ilvl w:val="0"/>
          <w:numId w:val="20"/>
        </w:numPr>
        <w:shd w:val="clear" w:color="auto" w:fill="FFFFFF"/>
        <w:spacing w:line="360" w:lineRule="auto"/>
        <w:ind w:right="-4"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我单位</w:t>
      </w:r>
      <w:r>
        <w:rPr>
          <w:rFonts w:hint="eastAsia" w:ascii="宋体" w:hAnsi="宋体" w:cs="宋体"/>
          <w:color w:val="auto"/>
          <w:kern w:val="0"/>
          <w:sz w:val="24"/>
          <w:highlight w:val="none"/>
        </w:rPr>
        <w:t>及其法定代表人参与政府采购项目投标近三年内（投标人成立不足三年的可从成立之日起算）在经营活动中没有重大违法记录；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20"/>
        </w:numPr>
        <w:shd w:val="clear" w:color="auto" w:fill="FFFFFF"/>
        <w:spacing w:line="360" w:lineRule="auto"/>
        <w:ind w:right="-4"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我单位</w:t>
      </w:r>
      <w:r>
        <w:rPr>
          <w:rFonts w:hint="eastAsia" w:ascii="宋体" w:hAnsi="宋体" w:cs="宋体"/>
          <w:color w:val="auto"/>
          <w:kern w:val="0"/>
          <w:sz w:val="24"/>
          <w:highlight w:val="none"/>
        </w:rPr>
        <w:t>及其法定代表人近三年内（投标人成立不足三年的可从成立之日起算）无行贿犯罪记录；</w:t>
      </w:r>
    </w:p>
    <w:p>
      <w:pPr>
        <w:numPr>
          <w:ilvl w:val="0"/>
          <w:numId w:val="2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我单位具备《中华人民共和国政府采购法》第二十二条第一款的条件。</w:t>
      </w:r>
    </w:p>
    <w:p>
      <w:pPr>
        <w:numPr>
          <w:ilvl w:val="0"/>
          <w:numId w:val="20"/>
        </w:num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bidi="ar"/>
        </w:rPr>
        <w:t>符合财政部和深圳市财政局关于诚信管理的要求，</w:t>
      </w:r>
      <w:r>
        <w:rPr>
          <w:rFonts w:hint="eastAsia" w:ascii="宋体" w:hAnsi="宋体" w:cs="宋体"/>
          <w:color w:val="auto"/>
          <w:kern w:val="0"/>
          <w:sz w:val="24"/>
          <w:highlight w:val="none"/>
        </w:rPr>
        <w:t>至投标截止时间，我单位未有在“信用中国”网（www.creditchina.gov.cn）、中国政府采购网（www.ccgp.gov.cn）、深圳市政府采购监督管理网（zfcg.sz.gov.cn）和“国家企业信用信息公示系统（www.gsxt.gov.cn）等5个官网中列入“失信被执行人、重大税收违法</w:t>
      </w:r>
      <w:r>
        <w:rPr>
          <w:rFonts w:hint="eastAsia" w:ascii="宋体" w:hAnsi="宋体" w:cs="宋体"/>
          <w:color w:val="auto"/>
          <w:kern w:val="0"/>
          <w:sz w:val="24"/>
          <w:highlight w:val="none"/>
          <w:lang w:eastAsia="zh-CN"/>
        </w:rPr>
        <w:t>失信主体</w:t>
      </w:r>
      <w:r>
        <w:rPr>
          <w:rFonts w:hint="eastAsia" w:ascii="宋体" w:hAnsi="宋体" w:cs="宋体"/>
          <w:color w:val="auto"/>
          <w:kern w:val="0"/>
          <w:sz w:val="24"/>
          <w:highlight w:val="none"/>
        </w:rPr>
        <w:t>、政府采购严重违法失信行为记录名单”</w:t>
      </w:r>
      <w:r>
        <w:rPr>
          <w:rFonts w:hint="eastAsia" w:ascii="宋体" w:hAnsi="宋体" w:cs="宋体"/>
          <w:color w:val="auto"/>
          <w:sz w:val="24"/>
          <w:highlight w:val="none"/>
        </w:rPr>
        <w:t>。</w:t>
      </w:r>
    </w:p>
    <w:p>
      <w:pPr>
        <w:numPr>
          <w:ilvl w:val="0"/>
          <w:numId w:val="2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2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2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我单位如果中标，做到诚实守信，依照本项目招标文件需求内容、签署的采购合同及本单位在投标中所作的一切承诺履约；不非法转包、分包。</w:t>
      </w:r>
    </w:p>
    <w:p>
      <w:pPr>
        <w:numPr>
          <w:ilvl w:val="0"/>
          <w:numId w:val="2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2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2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我单位承诺未参与本项目的采购需求、技术指标、商务指标等内容的设定，不存在对其他投标单位不公平的行为。</w:t>
      </w:r>
    </w:p>
    <w:p>
      <w:pPr>
        <w:numPr>
          <w:ilvl w:val="0"/>
          <w:numId w:val="2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以上承诺，如有违反，愿依照国家相关法律处理，并承担由此给采购人带来的损失。</w:t>
      </w:r>
    </w:p>
    <w:p>
      <w:pPr>
        <w:spacing w:line="360" w:lineRule="auto"/>
        <w:ind w:firstLine="480" w:firstLineChars="200"/>
        <w:rPr>
          <w:rFonts w:ascii="宋体" w:hAnsi="宋体" w:cs="宋体"/>
          <w:color w:val="auto"/>
          <w:sz w:val="24"/>
          <w:highlight w:val="none"/>
        </w:rPr>
      </w:pPr>
    </w:p>
    <w:p>
      <w:pPr>
        <w:tabs>
          <w:tab w:val="left" w:pos="4860"/>
        </w:tabs>
        <w:adjustRightInd w:val="0"/>
        <w:snapToGrid w:val="0"/>
        <w:spacing w:line="360" w:lineRule="auto"/>
        <w:ind w:right="105" w:rightChars="50" w:firstLine="240" w:firstLineChars="100"/>
        <w:rPr>
          <w:rFonts w:ascii="宋体" w:hAnsi="宋体" w:cs="宋体"/>
          <w:color w:val="auto"/>
          <w:sz w:val="24"/>
          <w:highlight w:val="none"/>
        </w:rPr>
      </w:pPr>
      <w:r>
        <w:rPr>
          <w:rFonts w:hint="eastAsia" w:ascii="宋体" w:hAnsi="宋体" w:cs="宋体"/>
          <w:color w:val="auto"/>
          <w:sz w:val="24"/>
          <w:highlight w:val="none"/>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4860"/>
        </w:tabs>
        <w:adjustRightInd w:val="0"/>
        <w:snapToGrid w:val="0"/>
        <w:spacing w:line="360" w:lineRule="auto"/>
        <w:ind w:right="105" w:rightChars="50" w:firstLine="240" w:firstLineChars="100"/>
        <w:rPr>
          <w:rFonts w:ascii="宋体" w:hAnsi="宋体" w:cs="宋体"/>
          <w:color w:val="auto"/>
          <w:sz w:val="24"/>
          <w:highlight w:val="none"/>
        </w:rPr>
      </w:pPr>
      <w:r>
        <w:rPr>
          <w:rFonts w:hint="eastAsia" w:ascii="宋体" w:hAnsi="宋体" w:cs="宋体"/>
          <w:color w:val="auto"/>
          <w:sz w:val="24"/>
          <w:highlight w:val="none"/>
        </w:rPr>
        <w:t>日期：   年  月   日</w:t>
      </w:r>
    </w:p>
    <w:p>
      <w:pPr>
        <w:numPr>
          <w:ilvl w:val="0"/>
          <w:numId w:val="19"/>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hAnsi="宋体" w:cs="宋体"/>
          <w:color w:val="auto"/>
          <w:highlight w:val="none"/>
        </w:rPr>
        <w:br w:type="page"/>
      </w:r>
      <w:r>
        <w:rPr>
          <w:rFonts w:hint="eastAsia" w:ascii="宋体" w:hAnsi="宋体" w:cs="宋体"/>
          <w:color w:val="auto"/>
          <w:sz w:val="24"/>
          <w:highlight w:val="none"/>
        </w:rPr>
        <w:t>关于资格的声明函；</w:t>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关于资格的声明函</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（采购单位名称/代理机构名称）：</w:t>
      </w:r>
    </w:p>
    <w:p>
      <w:pPr>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u w:val="single"/>
        </w:rPr>
        <w:t xml:space="preserve"> （ 投标人名称）    </w:t>
      </w:r>
      <w:r>
        <w:rPr>
          <w:rFonts w:hint="eastAsia" w:ascii="宋体" w:hAnsi="宋体" w:cs="宋体"/>
          <w:color w:val="auto"/>
          <w:sz w:val="24"/>
          <w:highlight w:val="none"/>
        </w:rPr>
        <w:t xml:space="preserve"> 参与了</w:t>
      </w:r>
      <w:r>
        <w:rPr>
          <w:rFonts w:hint="eastAsia" w:ascii="宋体" w:hAnsi="宋体" w:cs="宋体"/>
          <w:color w:val="auto"/>
          <w:sz w:val="24"/>
          <w:highlight w:val="none"/>
          <w:u w:val="single"/>
        </w:rPr>
        <w:t xml:space="preserve"> （项目名称 、招标编号） </w:t>
      </w:r>
      <w:r>
        <w:rPr>
          <w:rFonts w:hint="eastAsia" w:ascii="宋体" w:hAnsi="宋体" w:cs="宋体"/>
          <w:color w:val="auto"/>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color w:val="auto"/>
          <w:sz w:val="24"/>
          <w:highlight w:val="none"/>
        </w:rPr>
      </w:pPr>
      <w:r>
        <w:rPr>
          <w:rFonts w:hint="eastAsia" w:ascii="宋体" w:hAnsi="宋体" w:cs="宋体"/>
          <w:color w:val="auto"/>
          <w:sz w:val="24"/>
          <w:highlight w:val="none"/>
        </w:rPr>
        <w:t>特此承诺！</w:t>
      </w:r>
    </w:p>
    <w:p>
      <w:pPr>
        <w:spacing w:line="360" w:lineRule="auto"/>
        <w:ind w:left="420"/>
        <w:rPr>
          <w:rFonts w:ascii="宋体" w:hAnsi="宋体" w:cs="宋体"/>
          <w:color w:val="auto"/>
          <w:sz w:val="24"/>
          <w:highlight w:val="none"/>
        </w:rPr>
      </w:pPr>
    </w:p>
    <w:p>
      <w:pPr>
        <w:tabs>
          <w:tab w:val="left" w:pos="4860"/>
        </w:tabs>
        <w:adjustRightInd w:val="0"/>
        <w:snapToGrid w:val="0"/>
        <w:spacing w:line="360" w:lineRule="auto"/>
        <w:ind w:right="105" w:rightChars="50"/>
        <w:rPr>
          <w:rFonts w:ascii="宋体" w:hAnsi="宋体" w:cs="宋体"/>
          <w:color w:val="auto"/>
          <w:sz w:val="24"/>
          <w:highlight w:val="none"/>
        </w:rPr>
      </w:pPr>
      <w:r>
        <w:rPr>
          <w:rFonts w:hint="eastAsia" w:ascii="宋体" w:hAnsi="宋体" w:cs="宋体"/>
          <w:color w:val="auto"/>
          <w:sz w:val="24"/>
          <w:highlight w:val="none"/>
        </w:rPr>
        <w:t>投标供应商名称（盖章）：</w:t>
      </w:r>
    </w:p>
    <w:p>
      <w:pPr>
        <w:spacing w:line="360" w:lineRule="auto"/>
        <w:rPr>
          <w:rFonts w:ascii="宋体" w:hAnsi="宋体" w:cs="宋体"/>
          <w:color w:val="auto"/>
          <w:kern w:val="0"/>
          <w:sz w:val="24"/>
          <w:highlight w:val="none"/>
        </w:rPr>
      </w:pPr>
      <w:r>
        <w:rPr>
          <w:rFonts w:hint="eastAsia" w:ascii="宋体" w:hAnsi="宋体" w:cs="宋体"/>
          <w:color w:val="auto"/>
          <w:sz w:val="24"/>
          <w:highlight w:val="none"/>
        </w:rPr>
        <w:t>日期：   年     月     日</w:t>
      </w:r>
    </w:p>
    <w:p>
      <w:pPr>
        <w:numPr>
          <w:ilvl w:val="0"/>
          <w:numId w:val="19"/>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法</w:t>
      </w:r>
      <w:r>
        <w:rPr>
          <w:rFonts w:ascii="宋体" w:hAnsi="宋体" w:cs="宋体"/>
          <w:color w:val="auto"/>
          <w:sz w:val="24"/>
          <w:highlight w:val="none"/>
        </w:rPr>
        <w:t>定代表</w:t>
      </w:r>
      <w:r>
        <w:rPr>
          <w:rFonts w:hint="eastAsia" w:ascii="宋体" w:hAnsi="宋体" w:cs="宋体"/>
          <w:color w:val="auto"/>
          <w:sz w:val="24"/>
          <w:highlight w:val="none"/>
          <w:lang w:val="fr-CH"/>
        </w:rPr>
        <w:t>人证明书及身份证明；</w:t>
      </w:r>
    </w:p>
    <w:p>
      <w:pPr>
        <w:spacing w:before="120" w:after="120" w:line="360" w:lineRule="auto"/>
        <w:jc w:val="center"/>
        <w:rPr>
          <w:rFonts w:ascii="宋体" w:hAnsi="宋体" w:cs="宋体"/>
          <w:b/>
          <w:color w:val="auto"/>
          <w:sz w:val="24"/>
          <w:highlight w:val="none"/>
        </w:rPr>
      </w:pPr>
    </w:p>
    <w:p>
      <w:pPr>
        <w:spacing w:before="120" w:after="120" w:line="360" w:lineRule="auto"/>
        <w:jc w:val="center"/>
        <w:rPr>
          <w:rFonts w:ascii="宋体" w:hAnsi="宋体" w:cs="宋体"/>
          <w:color w:val="auto"/>
          <w:sz w:val="24"/>
          <w:highlight w:val="none"/>
          <w:u w:val="single"/>
        </w:rPr>
      </w:pPr>
      <w:r>
        <w:rPr>
          <w:rFonts w:hint="eastAsia" w:ascii="宋体" w:hAnsi="宋体" w:cs="宋体"/>
          <w:b/>
          <w:color w:val="auto"/>
          <w:sz w:val="24"/>
          <w:highlight w:val="none"/>
        </w:rPr>
        <w:t>法定代表人证明书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同志，现任我单位职务，为法定代表人，特此证明。</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签发日期：             有效日期：         单位：              </w:t>
      </w:r>
    </w:p>
    <w:p>
      <w:pPr>
        <w:spacing w:line="360" w:lineRule="auto"/>
        <w:rPr>
          <w:rFonts w:ascii="宋体" w:hAnsi="宋体" w:cs="宋体"/>
          <w:color w:val="auto"/>
          <w:sz w:val="24"/>
          <w:highlight w:val="none"/>
        </w:rPr>
      </w:pPr>
      <w:r>
        <w:rPr>
          <w:rFonts w:hint="eastAsia" w:ascii="宋体" w:hAnsi="宋体" w:cs="宋体"/>
          <w:color w:val="auto"/>
          <w:sz w:val="24"/>
          <w:highlight w:val="none"/>
        </w:rPr>
        <w:t>附：代表人性别：   年龄：      身份证号码：</w:t>
      </w:r>
    </w:p>
    <w:p>
      <w:pPr>
        <w:spacing w:line="360" w:lineRule="auto"/>
        <w:rPr>
          <w:rFonts w:ascii="宋体" w:hAnsi="宋体" w:cs="宋体"/>
          <w:color w:val="auto"/>
          <w:sz w:val="24"/>
          <w:highlight w:val="none"/>
        </w:rPr>
      </w:pPr>
      <w:r>
        <w:rPr>
          <w:rFonts w:hint="eastAsia" w:ascii="宋体" w:hAnsi="宋体" w:cs="宋体"/>
          <w:color w:val="auto"/>
          <w:sz w:val="24"/>
          <w:highlight w:val="none"/>
        </w:rPr>
        <w:t>营业执照号码：                 经济性质：</w:t>
      </w:r>
    </w:p>
    <w:p>
      <w:pPr>
        <w:spacing w:line="360" w:lineRule="auto"/>
        <w:rPr>
          <w:rFonts w:ascii="宋体" w:hAnsi="宋体" w:cs="宋体"/>
          <w:color w:val="auto"/>
          <w:sz w:val="24"/>
          <w:highlight w:val="none"/>
        </w:rPr>
      </w:pPr>
      <w:r>
        <w:rPr>
          <w:rFonts w:hint="eastAsia" w:ascii="宋体" w:hAnsi="宋体" w:cs="宋体"/>
          <w:color w:val="auto"/>
          <w:sz w:val="24"/>
          <w:highlight w:val="none"/>
        </w:rPr>
        <w:t>主营（产）：</w:t>
      </w:r>
    </w:p>
    <w:p>
      <w:pPr>
        <w:spacing w:line="360" w:lineRule="auto"/>
        <w:rPr>
          <w:rFonts w:ascii="宋体" w:hAnsi="宋体" w:cs="宋体"/>
          <w:color w:val="auto"/>
          <w:sz w:val="24"/>
          <w:highlight w:val="none"/>
        </w:rPr>
      </w:pPr>
      <w:r>
        <w:rPr>
          <w:rFonts w:hint="eastAsia" w:ascii="宋体" w:hAnsi="宋体" w:cs="宋体"/>
          <w:color w:val="auto"/>
          <w:sz w:val="24"/>
          <w:highlight w:val="none"/>
        </w:rPr>
        <w:t>兼营（产）：</w:t>
      </w:r>
    </w:p>
    <w:p>
      <w:pPr>
        <w:spacing w:line="360" w:lineRule="auto"/>
        <w:rPr>
          <w:rFonts w:ascii="宋体" w:hAnsi="宋体" w:cs="宋体"/>
          <w:color w:val="auto"/>
          <w:sz w:val="24"/>
          <w:highlight w:val="none"/>
        </w:rPr>
      </w:pPr>
      <w:r>
        <w:rPr>
          <w:rFonts w:hint="eastAsia" w:ascii="宋体" w:hAnsi="宋体" w:cs="宋体"/>
          <w:color w:val="auto"/>
          <w:sz w:val="24"/>
          <w:highlight w:val="none"/>
        </w:rPr>
        <w:t>进口物品经营许可证号码：</w:t>
      </w:r>
    </w:p>
    <w:p>
      <w:pPr>
        <w:spacing w:line="360" w:lineRule="auto"/>
        <w:rPr>
          <w:rFonts w:ascii="宋体" w:hAnsi="宋体" w:cs="宋体"/>
          <w:color w:val="auto"/>
          <w:sz w:val="24"/>
          <w:highlight w:val="none"/>
        </w:rPr>
      </w:pPr>
      <w:r>
        <w:rPr>
          <w:rFonts w:hint="eastAsia" w:ascii="宋体" w:hAnsi="宋体" w:cs="宋体"/>
          <w:color w:val="auto"/>
          <w:sz w:val="24"/>
          <w:highlight w:val="none"/>
        </w:rPr>
        <w:t>主营：</w:t>
      </w:r>
    </w:p>
    <w:p>
      <w:pPr>
        <w:spacing w:line="360" w:lineRule="auto"/>
        <w:rPr>
          <w:rFonts w:ascii="宋体" w:hAnsi="宋体" w:cs="宋体"/>
          <w:color w:val="auto"/>
          <w:sz w:val="24"/>
          <w:highlight w:val="none"/>
        </w:rPr>
      </w:pPr>
      <w:r>
        <w:rPr>
          <w:rFonts w:hint="eastAsia" w:ascii="宋体" w:hAnsi="宋体" w:cs="宋体"/>
          <w:color w:val="auto"/>
          <w:sz w:val="24"/>
          <w:highlight w:val="none"/>
        </w:rPr>
        <w:t>兼营：</w:t>
      </w:r>
    </w:p>
    <w:p>
      <w:pPr>
        <w:spacing w:line="360" w:lineRule="auto"/>
        <w:rPr>
          <w:rFonts w:ascii="宋体" w:hAnsi="宋体" w:cs="宋体"/>
          <w:color w:val="auto"/>
          <w:sz w:val="24"/>
          <w:highlight w:val="none"/>
        </w:rPr>
      </w:pPr>
      <w:r>
        <w:rPr>
          <w:rFonts w:hint="eastAsia" w:ascii="宋体" w:hAnsi="宋体" w:cs="宋体"/>
          <w:color w:val="auto"/>
          <w:sz w:val="24"/>
          <w:highlight w:val="none"/>
        </w:rPr>
        <w:t>说明：1、法定代表人为企业事业单位、国家机关、社会团体的主要行政负责人。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2、内容必须填写真实、清楚，涂改无效，不得转让、买卖.</w:t>
      </w:r>
    </w:p>
    <w:p>
      <w:pPr>
        <w:tabs>
          <w:tab w:val="left" w:pos="3780"/>
        </w:tabs>
        <w:spacing w:line="360" w:lineRule="auto"/>
        <w:rPr>
          <w:rFonts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rPr>
          <w:rFonts w:ascii="宋体" w:hAnsi="宋体" w:cs="宋体"/>
          <w:color w:val="auto"/>
          <w:sz w:val="24"/>
          <w:highlight w:val="none"/>
        </w:rPr>
      </w:pPr>
      <w:r>
        <w:rPr>
          <w:rFonts w:hint="eastAsia" w:ascii="宋体" w:hAnsi="宋体" w:cs="宋体"/>
          <w:color w:val="auto"/>
          <w:sz w:val="24"/>
          <w:highlight w:val="none"/>
        </w:rPr>
        <w:t>法定代表人（签字或签章）：</w:t>
      </w:r>
    </w:p>
    <w:p>
      <w:pPr>
        <w:spacing w:before="120" w:after="120"/>
        <w:jc w:val="left"/>
        <w:rPr>
          <w:rFonts w:ascii="宋体" w:hAnsi="宋体" w:cs="宋体"/>
          <w:color w:val="auto"/>
          <w:szCs w:val="21"/>
          <w:highlight w:val="none"/>
        </w:rPr>
      </w:pPr>
    </w:p>
    <w:p>
      <w:pPr>
        <w:spacing w:before="120" w:after="120" w:line="360" w:lineRule="auto"/>
        <w:jc w:val="left"/>
        <w:rPr>
          <w:rFonts w:ascii="宋体" w:hAnsi="宋体" w:cs="宋体"/>
          <w:b/>
          <w:color w:val="auto"/>
          <w:sz w:val="24"/>
          <w:highlight w:val="none"/>
        </w:rPr>
      </w:pPr>
      <w:r>
        <w:rPr>
          <w:rFonts w:hint="eastAsia" w:ascii="宋体" w:hAnsi="宋体" w:cs="宋体"/>
          <w:b/>
          <w:color w:val="auto"/>
          <w:sz w:val="24"/>
          <w:highlight w:val="none"/>
        </w:rPr>
        <w:t>附身份证正反面</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11"/>
              <w:spacing w:line="360" w:lineRule="auto"/>
              <w:rPr>
                <w:rFonts w:ascii="Arial Narrow" w:hAnsi="Arial Narrow"/>
                <w:b/>
                <w:bCs/>
                <w:color w:val="auto"/>
                <w:szCs w:val="21"/>
                <w:highlight w:val="none"/>
              </w:rPr>
            </w:pPr>
          </w:p>
        </w:tc>
        <w:tc>
          <w:tcPr>
            <w:tcW w:w="4240" w:type="dxa"/>
          </w:tcPr>
          <w:p>
            <w:pPr>
              <w:pStyle w:val="11"/>
              <w:spacing w:line="360" w:lineRule="auto"/>
              <w:rPr>
                <w:rFonts w:ascii="Arial Narrow" w:hAnsi="Arial Narrow"/>
                <w:b/>
                <w:bCs/>
                <w:color w:val="auto"/>
                <w:szCs w:val="21"/>
                <w:highlight w:val="none"/>
              </w:rPr>
            </w:pPr>
          </w:p>
        </w:tc>
      </w:tr>
    </w:tbl>
    <w:p>
      <w:pPr>
        <w:pStyle w:val="9"/>
        <w:rPr>
          <w:color w:val="auto"/>
          <w:highlight w:val="none"/>
          <w:lang w:val="fr-CH"/>
        </w:rPr>
      </w:pPr>
    </w:p>
    <w:p>
      <w:pPr>
        <w:numPr>
          <w:ilvl w:val="0"/>
          <w:numId w:val="19"/>
        </w:numPr>
        <w:tabs>
          <w:tab w:val="left" w:pos="6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法定代表人授权书及身份证明；</w:t>
      </w:r>
    </w:p>
    <w:p>
      <w:pPr>
        <w:pStyle w:val="11"/>
        <w:spacing w:line="360" w:lineRule="auto"/>
        <w:jc w:val="center"/>
        <w:rPr>
          <w:rFonts w:hAnsi="宋体" w:cs="宋体"/>
          <w:b/>
          <w:color w:val="auto"/>
          <w:sz w:val="24"/>
          <w:highlight w:val="none"/>
        </w:rPr>
      </w:pPr>
    </w:p>
    <w:p>
      <w:pPr>
        <w:pStyle w:val="11"/>
        <w:spacing w:line="360" w:lineRule="auto"/>
        <w:jc w:val="center"/>
        <w:rPr>
          <w:rFonts w:hAnsi="宋体" w:cs="宋体"/>
          <w:b/>
          <w:color w:val="auto"/>
          <w:sz w:val="24"/>
          <w:highlight w:val="none"/>
        </w:rPr>
      </w:pPr>
      <w:r>
        <w:rPr>
          <w:rFonts w:hint="eastAsia" w:hAnsi="宋体" w:cs="宋体"/>
          <w:b/>
          <w:color w:val="auto"/>
          <w:sz w:val="24"/>
          <w:highlight w:val="none"/>
        </w:rPr>
        <w:t>法定代表人授权书</w:t>
      </w:r>
    </w:p>
    <w:p>
      <w:pPr>
        <w:pStyle w:val="11"/>
        <w:spacing w:line="360" w:lineRule="auto"/>
        <w:rPr>
          <w:rFonts w:hAnsi="宋体" w:cs="宋体"/>
          <w:color w:val="auto"/>
          <w:sz w:val="24"/>
          <w:highlight w:val="none"/>
        </w:rPr>
      </w:pPr>
    </w:p>
    <w:p>
      <w:pPr>
        <w:pStyle w:val="11"/>
        <w:spacing w:line="360" w:lineRule="auto"/>
        <w:rPr>
          <w:rFonts w:hAnsi="宋体" w:cs="宋体"/>
          <w:color w:val="auto"/>
          <w:sz w:val="24"/>
          <w:highlight w:val="none"/>
        </w:rPr>
      </w:pPr>
      <w:r>
        <w:rPr>
          <w:rFonts w:hint="eastAsia" w:hAnsi="宋体" w:cs="宋体"/>
          <w:b/>
          <w:color w:val="auto"/>
          <w:sz w:val="24"/>
          <w:highlight w:val="none"/>
        </w:rPr>
        <w:t>深圳市前海深港现代服务业合作区管理局：</w:t>
      </w:r>
    </w:p>
    <w:p>
      <w:pPr>
        <w:pStyle w:val="11"/>
        <w:spacing w:line="360" w:lineRule="auto"/>
        <w:ind w:firstLine="420"/>
        <w:rPr>
          <w:rFonts w:hAnsi="宋体" w:cs="宋体"/>
          <w:color w:val="auto"/>
          <w:sz w:val="24"/>
          <w:highlight w:val="none"/>
        </w:rPr>
      </w:pPr>
      <w:r>
        <w:rPr>
          <w:rFonts w:hint="eastAsia" w:hAnsi="宋体" w:cs="宋体"/>
          <w:color w:val="auto"/>
          <w:sz w:val="24"/>
          <w:highlight w:val="none"/>
        </w:rPr>
        <w:t>本授权书声明：注册于</w:t>
      </w:r>
      <w:r>
        <w:rPr>
          <w:rFonts w:hint="eastAsia" w:hAnsi="宋体" w:cs="宋体"/>
          <w:color w:val="auto"/>
          <w:sz w:val="24"/>
          <w:highlight w:val="none"/>
          <w:u w:val="single"/>
        </w:rPr>
        <w:t xml:space="preserve">     </w:t>
      </w:r>
      <w:r>
        <w:rPr>
          <w:rFonts w:hint="eastAsia" w:hAnsi="宋体" w:cs="宋体"/>
          <w:color w:val="auto"/>
          <w:sz w:val="24"/>
          <w:highlight w:val="none"/>
        </w:rPr>
        <w:t>（国家或地区）的</w:t>
      </w:r>
      <w:r>
        <w:rPr>
          <w:rFonts w:hint="eastAsia" w:hAnsi="宋体" w:cs="宋体"/>
          <w:color w:val="auto"/>
          <w:sz w:val="24"/>
          <w:highlight w:val="none"/>
          <w:u w:val="single"/>
        </w:rPr>
        <w:t xml:space="preserve">     </w:t>
      </w:r>
      <w:r>
        <w:rPr>
          <w:rFonts w:hint="eastAsia" w:hAnsi="宋体" w:cs="宋体"/>
          <w:color w:val="auto"/>
          <w:sz w:val="24"/>
          <w:highlight w:val="none"/>
        </w:rPr>
        <w:t>（投标人名称）的在下面签字的</w:t>
      </w:r>
      <w:r>
        <w:rPr>
          <w:rFonts w:hint="eastAsia" w:hAnsi="宋体" w:cs="宋体"/>
          <w:color w:val="auto"/>
          <w:sz w:val="24"/>
          <w:highlight w:val="none"/>
          <w:u w:val="single"/>
        </w:rPr>
        <w:t xml:space="preserve">     </w:t>
      </w:r>
      <w:r>
        <w:rPr>
          <w:rFonts w:hint="eastAsia" w:hAnsi="宋体" w:cs="宋体"/>
          <w:color w:val="auto"/>
          <w:sz w:val="24"/>
          <w:highlight w:val="none"/>
        </w:rPr>
        <w:t xml:space="preserve"> （法定代表人姓名、职务）代表本公司授权在下面签字的</w:t>
      </w:r>
      <w:r>
        <w:rPr>
          <w:rFonts w:hint="eastAsia" w:hAnsi="宋体" w:cs="宋体"/>
          <w:color w:val="auto"/>
          <w:sz w:val="24"/>
          <w:highlight w:val="none"/>
          <w:u w:val="single"/>
        </w:rPr>
        <w:t xml:space="preserve">     </w:t>
      </w:r>
      <w:r>
        <w:rPr>
          <w:rFonts w:hint="eastAsia" w:hAnsi="宋体" w:cs="宋体"/>
          <w:color w:val="auto"/>
          <w:sz w:val="24"/>
          <w:highlight w:val="none"/>
        </w:rPr>
        <w:t>（被授权人的姓名、职务）为本公司的合法代表人，就</w:t>
      </w:r>
      <w:r>
        <w:rPr>
          <w:rFonts w:hint="eastAsia" w:hAnsi="宋体" w:cs="宋体"/>
          <w:color w:val="auto"/>
          <w:sz w:val="24"/>
          <w:highlight w:val="none"/>
          <w:u w:val="single"/>
        </w:rPr>
        <w:t xml:space="preserve">       </w:t>
      </w:r>
      <w:r>
        <w:rPr>
          <w:rFonts w:hint="eastAsia" w:hAnsi="宋体" w:cs="宋体"/>
          <w:color w:val="auto"/>
          <w:sz w:val="24"/>
          <w:highlight w:val="none"/>
        </w:rPr>
        <w:t>[招标编号为：</w:t>
      </w:r>
      <w:r>
        <w:rPr>
          <w:rFonts w:hint="eastAsia" w:hAnsi="宋体" w:cs="宋体"/>
          <w:color w:val="auto"/>
          <w:sz w:val="24"/>
          <w:highlight w:val="none"/>
          <w:u w:val="single"/>
        </w:rPr>
        <w:t xml:space="preserve">     </w:t>
      </w:r>
      <w:r>
        <w:rPr>
          <w:rFonts w:hint="eastAsia" w:hAnsi="宋体" w:cs="宋体"/>
          <w:color w:val="auto"/>
          <w:sz w:val="24"/>
          <w:highlight w:val="none"/>
        </w:rPr>
        <w:t>]的投标和合同执行，以我方的名义处理一切与之有关的事宜。</w:t>
      </w:r>
    </w:p>
    <w:p>
      <w:pPr>
        <w:pStyle w:val="11"/>
        <w:spacing w:line="360" w:lineRule="auto"/>
        <w:rPr>
          <w:rFonts w:hAnsi="宋体" w:cs="宋体"/>
          <w:color w:val="auto"/>
          <w:sz w:val="24"/>
          <w:highlight w:val="none"/>
        </w:rPr>
      </w:pPr>
    </w:p>
    <w:p>
      <w:pPr>
        <w:spacing w:line="360" w:lineRule="auto"/>
        <w:ind w:firstLine="570"/>
        <w:rPr>
          <w:rFonts w:ascii="宋体" w:hAnsi="宋体" w:cs="宋体"/>
          <w:color w:val="auto"/>
          <w:sz w:val="24"/>
          <w:highlight w:val="none"/>
        </w:rPr>
      </w:pPr>
      <w:r>
        <w:rPr>
          <w:rFonts w:hint="eastAsia" w:ascii="宋体" w:hAnsi="宋体" w:cs="宋体"/>
          <w:color w:val="auto"/>
          <w:sz w:val="24"/>
          <w:highlight w:val="none"/>
        </w:rPr>
        <w:t>本授权书于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日签字生效，特此声明。</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法定代表人（签字或签章）：</w:t>
      </w:r>
    </w:p>
    <w:p>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被授权人代表（签字或签章）：</w:t>
      </w:r>
    </w:p>
    <w:p>
      <w:pPr>
        <w:tabs>
          <w:tab w:val="left" w:pos="640"/>
          <w:tab w:val="left" w:pos="1260"/>
          <w:tab w:val="left" w:pos="1418"/>
        </w:tabs>
        <w:spacing w:line="360" w:lineRule="auto"/>
        <w:rPr>
          <w:rFonts w:ascii="宋体" w:hAnsi="宋体" w:cs="宋体"/>
          <w:b/>
          <w:color w:val="auto"/>
          <w:sz w:val="24"/>
          <w:highlight w:val="none"/>
        </w:rPr>
      </w:pPr>
    </w:p>
    <w:p>
      <w:pPr>
        <w:tabs>
          <w:tab w:val="left" w:pos="640"/>
          <w:tab w:val="left" w:pos="1260"/>
          <w:tab w:val="left" w:pos="1418"/>
        </w:tabs>
        <w:spacing w:line="360" w:lineRule="auto"/>
        <w:rPr>
          <w:rFonts w:ascii="宋体" w:hAnsi="宋体" w:cs="宋体"/>
          <w:b/>
          <w:color w:val="auto"/>
          <w:sz w:val="24"/>
          <w:highlight w:val="none"/>
        </w:rPr>
      </w:pPr>
      <w:r>
        <w:rPr>
          <w:rFonts w:hint="eastAsia" w:ascii="宋体" w:hAnsi="宋体" w:cs="宋体"/>
          <w:b/>
          <w:color w:val="auto"/>
          <w:sz w:val="24"/>
          <w:highlight w:val="none"/>
        </w:rPr>
        <w:t>附身份证正反面</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1"/>
              <w:spacing w:line="360" w:lineRule="auto"/>
              <w:rPr>
                <w:rFonts w:ascii="Arial Narrow" w:hAnsi="Arial Narrow"/>
                <w:b/>
                <w:bCs/>
                <w:color w:val="auto"/>
                <w:szCs w:val="21"/>
                <w:highlight w:val="none"/>
              </w:rPr>
            </w:pPr>
          </w:p>
        </w:tc>
        <w:tc>
          <w:tcPr>
            <w:tcW w:w="4677" w:type="dxa"/>
          </w:tcPr>
          <w:p>
            <w:pPr>
              <w:pStyle w:val="11"/>
              <w:spacing w:line="360" w:lineRule="auto"/>
              <w:rPr>
                <w:rFonts w:ascii="Arial Narrow" w:hAnsi="Arial Narrow"/>
                <w:b/>
                <w:bCs/>
                <w:color w:val="auto"/>
                <w:szCs w:val="21"/>
                <w:highlight w:val="none"/>
              </w:rPr>
            </w:pPr>
          </w:p>
        </w:tc>
      </w:tr>
    </w:tbl>
    <w:p>
      <w:pPr>
        <w:tabs>
          <w:tab w:val="left" w:pos="640"/>
          <w:tab w:val="left" w:pos="1260"/>
          <w:tab w:val="left" w:pos="1418"/>
        </w:tabs>
        <w:spacing w:line="360" w:lineRule="auto"/>
        <w:rPr>
          <w:rFonts w:ascii="宋体" w:hAnsi="宋体" w:cs="宋体"/>
          <w:color w:val="auto"/>
          <w:sz w:val="24"/>
          <w:highlight w:val="none"/>
          <w:lang w:val="fr-CH"/>
        </w:rPr>
      </w:pPr>
      <w:r>
        <w:rPr>
          <w:rFonts w:hint="eastAsia" w:ascii="宋体" w:hAnsi="宋体" w:cs="宋体"/>
          <w:color w:val="auto"/>
          <w:sz w:val="24"/>
          <w:highlight w:val="none"/>
          <w:lang w:val="fr-CH"/>
        </w:rPr>
        <w:br w:type="page"/>
      </w:r>
    </w:p>
    <w:p>
      <w:pPr>
        <w:numPr>
          <w:ilvl w:val="0"/>
          <w:numId w:val="19"/>
        </w:numPr>
        <w:tabs>
          <w:tab w:val="left" w:pos="640"/>
          <w:tab w:val="left" w:pos="1260"/>
          <w:tab w:val="left" w:pos="1418"/>
        </w:tabs>
        <w:spacing w:line="360" w:lineRule="auto"/>
        <w:ind w:left="640" w:hanging="640"/>
        <w:rPr>
          <w:rFonts w:ascii="宋体" w:hAnsi="宋体" w:cs="宋体"/>
          <w:color w:val="auto"/>
          <w:sz w:val="24"/>
          <w:highlight w:val="none"/>
          <w:lang w:val="fr-CH"/>
        </w:rPr>
      </w:pPr>
      <w:r>
        <w:rPr>
          <w:rFonts w:hint="eastAsia" w:ascii="宋体" w:hAnsi="宋体" w:cs="宋体"/>
          <w:color w:val="auto"/>
          <w:sz w:val="24"/>
          <w:highlight w:val="none"/>
          <w:lang w:val="fr-CH"/>
        </w:rPr>
        <w:t>招标代理服务费承诺书；</w:t>
      </w:r>
    </w:p>
    <w:p>
      <w:pPr>
        <w:widowControl/>
        <w:autoSpaceDE w:val="0"/>
        <w:autoSpaceDN w:val="0"/>
        <w:spacing w:line="360" w:lineRule="auto"/>
        <w:ind w:left="359" w:right="26" w:hanging="357"/>
        <w:jc w:val="center"/>
        <w:textAlignment w:val="bottom"/>
        <w:rPr>
          <w:rFonts w:ascii="宋体" w:hAnsi="宋体" w:cs="宋体"/>
          <w:b/>
          <w:bCs/>
          <w:color w:val="auto"/>
          <w:sz w:val="24"/>
          <w:highlight w:val="none"/>
          <w:lang w:val="fr-CH"/>
        </w:rPr>
      </w:pPr>
    </w:p>
    <w:p>
      <w:pPr>
        <w:widowControl/>
        <w:autoSpaceDE w:val="0"/>
        <w:autoSpaceDN w:val="0"/>
        <w:spacing w:line="360" w:lineRule="auto"/>
        <w:ind w:left="359" w:right="26" w:hanging="357"/>
        <w:jc w:val="center"/>
        <w:textAlignment w:val="bottom"/>
        <w:rPr>
          <w:rFonts w:ascii="宋体" w:hAnsi="宋体" w:cs="宋体"/>
          <w:b/>
          <w:bCs/>
          <w:color w:val="auto"/>
          <w:sz w:val="24"/>
          <w:highlight w:val="none"/>
          <w:lang w:val="fr-CH"/>
        </w:rPr>
      </w:pPr>
      <w:r>
        <w:rPr>
          <w:rFonts w:hint="eastAsia" w:ascii="宋体" w:hAnsi="宋体" w:cs="宋体"/>
          <w:b/>
          <w:bCs/>
          <w:color w:val="auto"/>
          <w:sz w:val="24"/>
          <w:highlight w:val="none"/>
          <w:lang w:val="fr-CH"/>
        </w:rPr>
        <w:t>招标代理服务费承诺书</w:t>
      </w:r>
    </w:p>
    <w:p>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致：中国远东国际招标有限公司</w:t>
      </w:r>
    </w:p>
    <w:p>
      <w:pPr>
        <w:widowControl/>
        <w:autoSpaceDE w:val="0"/>
        <w:autoSpaceDN w:val="0"/>
        <w:spacing w:line="360" w:lineRule="auto"/>
        <w:ind w:right="26" w:firstLine="540"/>
        <w:textAlignment w:val="bottom"/>
        <w:rPr>
          <w:rFonts w:ascii="宋体" w:hAnsi="宋体" w:cs="宋体"/>
          <w:color w:val="auto"/>
          <w:sz w:val="24"/>
          <w:highlight w:val="none"/>
        </w:rPr>
      </w:pPr>
      <w:r>
        <w:rPr>
          <w:rFonts w:hint="eastAsia" w:ascii="宋体" w:hAnsi="宋体" w:cs="宋体"/>
          <w:color w:val="auto"/>
          <w:sz w:val="24"/>
          <w:highlight w:val="none"/>
        </w:rPr>
        <w:t>我们在贵司代理的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项目（招标编号：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color w:val="auto"/>
          <w:sz w:val="24"/>
          <w:highlight w:val="none"/>
          <w:u w:val="single"/>
        </w:rPr>
        <w:t>招标文件中的规定</w:t>
      </w:r>
      <w:r>
        <w:rPr>
          <w:rFonts w:hint="eastAsia" w:ascii="宋体" w:hAnsi="宋体" w:cs="宋体"/>
          <w:color w:val="auto"/>
          <w:sz w:val="24"/>
          <w:highlight w:val="none"/>
        </w:rPr>
        <w:t>计算。</w:t>
      </w:r>
    </w:p>
    <w:p>
      <w:pPr>
        <w:widowControl/>
        <w:autoSpaceDE w:val="0"/>
        <w:autoSpaceDN w:val="0"/>
        <w:spacing w:line="360" w:lineRule="auto"/>
        <w:ind w:right="26" w:firstLine="540"/>
        <w:textAlignment w:val="bottom"/>
        <w:rPr>
          <w:rFonts w:ascii="宋体" w:hAnsi="宋体" w:cs="宋体"/>
          <w:color w:val="auto"/>
          <w:sz w:val="24"/>
          <w:highlight w:val="none"/>
        </w:rPr>
      </w:pPr>
      <w:r>
        <w:rPr>
          <w:rFonts w:hint="eastAsia" w:ascii="宋体" w:hAnsi="宋体" w:cs="宋体"/>
          <w:color w:val="auto"/>
          <w:sz w:val="24"/>
          <w:highlight w:val="none"/>
        </w:rPr>
        <w:t>特此承诺。</w:t>
      </w:r>
    </w:p>
    <w:p>
      <w:pPr>
        <w:tabs>
          <w:tab w:val="left" w:pos="3780"/>
        </w:tabs>
        <w:spacing w:line="360" w:lineRule="auto"/>
        <w:jc w:val="left"/>
        <w:rPr>
          <w:rFonts w:ascii="宋体" w:hAnsi="宋体" w:cs="宋体"/>
          <w:color w:val="auto"/>
          <w:sz w:val="24"/>
          <w:highlight w:val="none"/>
        </w:rPr>
      </w:pPr>
    </w:p>
    <w:p>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投标供应商名称（盖章）：</w:t>
      </w:r>
    </w:p>
    <w:p>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投标供应商地址：</w:t>
      </w:r>
    </w:p>
    <w:p>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 xml:space="preserve">电话：         </w:t>
      </w:r>
    </w:p>
    <w:p>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传真：</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日期：   年     月     日</w:t>
      </w:r>
    </w:p>
    <w:p>
      <w:pPr>
        <w:pStyle w:val="9"/>
        <w:rPr>
          <w:color w:val="auto"/>
          <w:highlight w:val="none"/>
          <w:lang w:val="fr-CH"/>
        </w:rPr>
      </w:pPr>
    </w:p>
    <w:p>
      <w:pPr>
        <w:tabs>
          <w:tab w:val="left" w:pos="640"/>
          <w:tab w:val="left" w:pos="1260"/>
          <w:tab w:val="left" w:pos="1418"/>
        </w:tabs>
        <w:spacing w:line="360" w:lineRule="auto"/>
        <w:rPr>
          <w:rFonts w:ascii="宋体" w:hAnsi="宋体" w:cs="宋体"/>
          <w:color w:val="auto"/>
          <w:sz w:val="24"/>
          <w:highlight w:val="none"/>
          <w:lang w:val="fr-CH"/>
        </w:rPr>
      </w:pPr>
    </w:p>
    <w:p>
      <w:pPr>
        <w:numPr>
          <w:ilvl w:val="0"/>
          <w:numId w:val="19"/>
        </w:numPr>
        <w:tabs>
          <w:tab w:val="left" w:pos="6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rPr>
        <w:t>供应商</w:t>
      </w:r>
      <w:r>
        <w:rPr>
          <w:rFonts w:hint="eastAsia" w:ascii="宋体" w:hAnsi="宋体" w:cs="宋体"/>
          <w:color w:val="auto"/>
          <w:sz w:val="24"/>
          <w:highlight w:val="none"/>
          <w:lang w:val="fr-CH"/>
        </w:rPr>
        <w:t>简介；</w:t>
      </w:r>
    </w:p>
    <w:p>
      <w:pPr>
        <w:pStyle w:val="11"/>
        <w:spacing w:line="360" w:lineRule="auto"/>
        <w:jc w:val="center"/>
        <w:rPr>
          <w:rFonts w:hAnsi="宋体" w:cs="宋体"/>
          <w:b/>
          <w:bCs/>
          <w:color w:val="auto"/>
          <w:sz w:val="24"/>
          <w:highlight w:val="none"/>
        </w:rPr>
      </w:pPr>
      <w:r>
        <w:rPr>
          <w:rFonts w:hint="eastAsia" w:hAnsi="宋体" w:cs="宋体"/>
          <w:b/>
          <w:bCs/>
          <w:color w:val="auto"/>
          <w:sz w:val="24"/>
          <w:highlight w:val="none"/>
        </w:rPr>
        <w:t>供应商基本情况一览表</w:t>
      </w:r>
    </w:p>
    <w:p>
      <w:pPr>
        <w:pStyle w:val="11"/>
        <w:spacing w:line="360" w:lineRule="auto"/>
        <w:ind w:firstLine="420"/>
        <w:rPr>
          <w:rFonts w:hAnsi="宋体" w:cs="宋体"/>
          <w:color w:val="auto"/>
          <w:sz w:val="24"/>
          <w:highlight w:val="none"/>
        </w:rPr>
      </w:pPr>
      <w:r>
        <w:rPr>
          <w:rFonts w:hint="eastAsia" w:hAnsi="宋体" w:cs="宋体"/>
          <w:color w:val="auto"/>
          <w:sz w:val="24"/>
          <w:highlight w:val="none"/>
        </w:rPr>
        <w:t>1．名称及概况：</w:t>
      </w:r>
    </w:p>
    <w:p>
      <w:pPr>
        <w:pStyle w:val="11"/>
        <w:spacing w:line="360" w:lineRule="auto"/>
        <w:ind w:firstLine="420"/>
        <w:rPr>
          <w:rFonts w:hAnsi="宋体" w:cs="宋体"/>
          <w:color w:val="auto"/>
          <w:sz w:val="24"/>
          <w:highlight w:val="none"/>
        </w:rPr>
      </w:pPr>
      <w:r>
        <w:rPr>
          <w:rFonts w:hint="eastAsia" w:hAnsi="宋体" w:cs="宋体"/>
          <w:color w:val="auto"/>
          <w:sz w:val="24"/>
          <w:highlight w:val="none"/>
        </w:rPr>
        <w:t>（1）供应商名称：_______________________________________</w:t>
      </w:r>
    </w:p>
    <w:p>
      <w:pPr>
        <w:pStyle w:val="11"/>
        <w:spacing w:line="360" w:lineRule="auto"/>
        <w:ind w:firstLine="420"/>
        <w:rPr>
          <w:rFonts w:hAnsi="宋体" w:cs="宋体"/>
          <w:color w:val="auto"/>
          <w:sz w:val="24"/>
          <w:highlight w:val="none"/>
        </w:rPr>
      </w:pPr>
      <w:r>
        <w:rPr>
          <w:rFonts w:hint="eastAsia" w:hAnsi="宋体" w:cs="宋体"/>
          <w:color w:val="auto"/>
          <w:sz w:val="24"/>
          <w:highlight w:val="none"/>
        </w:rPr>
        <w:t>（2）地址：______________________________________________</w:t>
      </w:r>
    </w:p>
    <w:p>
      <w:pPr>
        <w:pStyle w:val="11"/>
        <w:spacing w:line="360" w:lineRule="auto"/>
        <w:ind w:firstLine="660" w:firstLineChars="275"/>
        <w:rPr>
          <w:rFonts w:hAnsi="宋体" w:cs="宋体"/>
          <w:color w:val="auto"/>
          <w:sz w:val="24"/>
          <w:highlight w:val="none"/>
        </w:rPr>
      </w:pPr>
      <w:r>
        <w:rPr>
          <w:rFonts w:hint="eastAsia" w:hAnsi="宋体" w:cs="宋体"/>
          <w:color w:val="auto"/>
          <w:sz w:val="24"/>
          <w:highlight w:val="none"/>
        </w:rPr>
        <w:t xml:space="preserve">   邮政编码：___________________________________________</w:t>
      </w:r>
    </w:p>
    <w:p>
      <w:pPr>
        <w:pStyle w:val="11"/>
        <w:spacing w:line="360" w:lineRule="auto"/>
        <w:ind w:firstLine="420"/>
        <w:rPr>
          <w:rFonts w:hAnsi="宋体" w:cs="宋体"/>
          <w:color w:val="auto"/>
          <w:sz w:val="24"/>
          <w:highlight w:val="none"/>
        </w:rPr>
      </w:pPr>
      <w:r>
        <w:rPr>
          <w:rFonts w:hint="eastAsia" w:hAnsi="宋体" w:cs="宋体"/>
          <w:color w:val="auto"/>
          <w:sz w:val="24"/>
          <w:highlight w:val="none"/>
        </w:rPr>
        <w:t xml:space="preserve">     电话号码：___________________________________________ </w:t>
      </w:r>
    </w:p>
    <w:p>
      <w:pPr>
        <w:pStyle w:val="11"/>
        <w:spacing w:line="360" w:lineRule="auto"/>
        <w:ind w:firstLine="420"/>
        <w:rPr>
          <w:rFonts w:hAnsi="宋体" w:cs="宋体"/>
          <w:color w:val="auto"/>
          <w:sz w:val="24"/>
          <w:highlight w:val="none"/>
        </w:rPr>
      </w:pPr>
      <w:r>
        <w:rPr>
          <w:rFonts w:hint="eastAsia" w:hAnsi="宋体" w:cs="宋体"/>
          <w:color w:val="auto"/>
          <w:sz w:val="24"/>
          <w:highlight w:val="none"/>
        </w:rPr>
        <w:t xml:space="preserve">     传真号码：___________________________________________ </w:t>
      </w:r>
    </w:p>
    <w:p>
      <w:pPr>
        <w:pStyle w:val="11"/>
        <w:spacing w:line="360" w:lineRule="auto"/>
        <w:ind w:firstLine="420"/>
        <w:rPr>
          <w:rFonts w:hAnsi="宋体" w:cs="宋体"/>
          <w:color w:val="auto"/>
          <w:sz w:val="24"/>
          <w:highlight w:val="none"/>
        </w:rPr>
      </w:pPr>
      <w:r>
        <w:rPr>
          <w:rFonts w:hint="eastAsia" w:hAnsi="宋体" w:cs="宋体"/>
          <w:color w:val="auto"/>
          <w:sz w:val="24"/>
          <w:highlight w:val="none"/>
        </w:rPr>
        <w:t>（3）成立和／或注册日期：_________________________________</w:t>
      </w:r>
    </w:p>
    <w:p>
      <w:pPr>
        <w:pStyle w:val="11"/>
        <w:spacing w:line="360" w:lineRule="auto"/>
        <w:ind w:firstLine="420"/>
        <w:rPr>
          <w:rFonts w:hAnsi="宋体" w:cs="宋体"/>
          <w:color w:val="auto"/>
          <w:sz w:val="24"/>
          <w:highlight w:val="none"/>
        </w:rPr>
      </w:pPr>
      <w:r>
        <w:rPr>
          <w:rFonts w:hint="eastAsia" w:hAnsi="宋体" w:cs="宋体"/>
          <w:color w:val="auto"/>
          <w:sz w:val="24"/>
          <w:highlight w:val="none"/>
        </w:rPr>
        <w:t>（4）法人代表：___________________________________________</w:t>
      </w:r>
    </w:p>
    <w:p>
      <w:pPr>
        <w:pStyle w:val="11"/>
        <w:spacing w:line="360" w:lineRule="auto"/>
        <w:ind w:firstLine="420"/>
        <w:rPr>
          <w:rFonts w:hAnsi="宋体" w:cs="宋体"/>
          <w:color w:val="auto"/>
          <w:sz w:val="24"/>
          <w:highlight w:val="none"/>
        </w:rPr>
      </w:pPr>
      <w:r>
        <w:rPr>
          <w:rFonts w:hint="eastAsia" w:hAnsi="宋体" w:cs="宋体"/>
          <w:color w:val="auto"/>
          <w:sz w:val="24"/>
          <w:highlight w:val="none"/>
        </w:rPr>
        <w:t>（5）开户银行：___________________________________________</w:t>
      </w:r>
    </w:p>
    <w:p>
      <w:pPr>
        <w:pStyle w:val="11"/>
        <w:spacing w:line="360" w:lineRule="auto"/>
        <w:ind w:firstLine="420"/>
        <w:rPr>
          <w:rFonts w:hAnsi="宋体" w:cs="宋体"/>
          <w:color w:val="auto"/>
          <w:sz w:val="24"/>
          <w:highlight w:val="none"/>
        </w:rPr>
      </w:pPr>
      <w:r>
        <w:rPr>
          <w:rFonts w:hint="eastAsia" w:hAnsi="宋体" w:cs="宋体"/>
          <w:color w:val="auto"/>
          <w:sz w:val="24"/>
          <w:highlight w:val="none"/>
        </w:rPr>
        <w:t>（6）开户帐号：___________________________________________</w:t>
      </w:r>
    </w:p>
    <w:p>
      <w:pPr>
        <w:pStyle w:val="11"/>
        <w:spacing w:line="360" w:lineRule="auto"/>
        <w:ind w:firstLine="420"/>
        <w:rPr>
          <w:rFonts w:hAnsi="宋体" w:cs="宋体"/>
          <w:color w:val="auto"/>
          <w:sz w:val="24"/>
          <w:highlight w:val="none"/>
        </w:rPr>
      </w:pPr>
      <w:r>
        <w:rPr>
          <w:rFonts w:hint="eastAsia" w:hAnsi="宋体" w:cs="宋体"/>
          <w:color w:val="auto"/>
          <w:sz w:val="24"/>
          <w:highlight w:val="none"/>
        </w:rPr>
        <w:t>（7）注册资金：___________________________________________</w:t>
      </w:r>
    </w:p>
    <w:p>
      <w:pPr>
        <w:pStyle w:val="11"/>
        <w:spacing w:line="360" w:lineRule="auto"/>
        <w:ind w:firstLine="420"/>
        <w:rPr>
          <w:rFonts w:hAnsi="宋体" w:cs="宋体"/>
          <w:color w:val="auto"/>
          <w:sz w:val="24"/>
          <w:highlight w:val="none"/>
        </w:rPr>
      </w:pPr>
      <w:r>
        <w:rPr>
          <w:rFonts w:hint="eastAsia" w:hAnsi="宋体" w:cs="宋体"/>
          <w:color w:val="auto"/>
          <w:sz w:val="24"/>
          <w:highlight w:val="none"/>
        </w:rPr>
        <w:t>（8）近两年财务基本情况</w:t>
      </w:r>
    </w:p>
    <w:p>
      <w:pPr>
        <w:pStyle w:val="11"/>
        <w:spacing w:line="360" w:lineRule="auto"/>
        <w:ind w:firstLine="420"/>
        <w:rPr>
          <w:rFonts w:hAnsi="宋体" w:cs="宋体"/>
          <w:color w:val="auto"/>
          <w:sz w:val="24"/>
          <w:highlight w:val="none"/>
        </w:rPr>
      </w:pPr>
      <w:r>
        <w:rPr>
          <w:rFonts w:hint="eastAsia" w:hAnsi="宋体" w:cs="宋体"/>
          <w:color w:val="auto"/>
          <w:sz w:val="24"/>
          <w:highlight w:val="none"/>
        </w:rPr>
        <w:t xml:space="preserve">    ①货币资金期末数：_____________________________________</w:t>
      </w:r>
    </w:p>
    <w:p>
      <w:pPr>
        <w:pStyle w:val="11"/>
        <w:spacing w:line="360" w:lineRule="auto"/>
        <w:ind w:firstLine="420"/>
        <w:rPr>
          <w:rFonts w:hAnsi="宋体" w:cs="宋体"/>
          <w:color w:val="auto"/>
          <w:sz w:val="24"/>
          <w:highlight w:val="none"/>
        </w:rPr>
      </w:pPr>
      <w:r>
        <w:rPr>
          <w:rFonts w:hint="eastAsia" w:hAnsi="宋体" w:cs="宋体"/>
          <w:color w:val="auto"/>
          <w:sz w:val="24"/>
          <w:highlight w:val="none"/>
        </w:rPr>
        <w:t xml:space="preserve">    ③年营业总额（值）：___________________________________</w:t>
      </w:r>
    </w:p>
    <w:p>
      <w:pPr>
        <w:pStyle w:val="11"/>
        <w:spacing w:line="360" w:lineRule="auto"/>
        <w:ind w:firstLine="420"/>
        <w:rPr>
          <w:rFonts w:hAnsi="宋体" w:cs="宋体"/>
          <w:color w:val="auto"/>
          <w:sz w:val="24"/>
          <w:highlight w:val="none"/>
        </w:rPr>
      </w:pPr>
      <w:r>
        <w:rPr>
          <w:rFonts w:hint="eastAsia" w:hAnsi="宋体" w:cs="宋体"/>
          <w:color w:val="auto"/>
          <w:sz w:val="24"/>
          <w:highlight w:val="none"/>
        </w:rPr>
        <w:t xml:space="preserve">    ③资产负债率：_________________________________________</w:t>
      </w:r>
    </w:p>
    <w:p>
      <w:pPr>
        <w:pStyle w:val="11"/>
        <w:spacing w:line="360" w:lineRule="auto"/>
        <w:ind w:firstLine="420"/>
        <w:rPr>
          <w:rFonts w:hAnsi="宋体" w:cs="宋体"/>
          <w:color w:val="auto"/>
          <w:sz w:val="24"/>
          <w:highlight w:val="none"/>
        </w:rPr>
      </w:pPr>
      <w:r>
        <w:rPr>
          <w:rFonts w:hint="eastAsia" w:hAnsi="宋体" w:cs="宋体"/>
          <w:color w:val="auto"/>
          <w:sz w:val="24"/>
          <w:highlight w:val="none"/>
        </w:rPr>
        <w:t xml:space="preserve">    ④销售利润率：_________________________________________</w:t>
      </w:r>
    </w:p>
    <w:p>
      <w:pPr>
        <w:pStyle w:val="11"/>
        <w:spacing w:line="360" w:lineRule="auto"/>
        <w:ind w:firstLine="420"/>
        <w:rPr>
          <w:rFonts w:hAnsi="宋体" w:cs="宋体"/>
          <w:color w:val="auto"/>
          <w:sz w:val="24"/>
          <w:highlight w:val="none"/>
        </w:rPr>
      </w:pPr>
      <w:r>
        <w:rPr>
          <w:rFonts w:hint="eastAsia" w:hAnsi="宋体" w:cs="宋体"/>
          <w:color w:val="auto"/>
          <w:sz w:val="24"/>
          <w:highlight w:val="none"/>
        </w:rPr>
        <w:t xml:space="preserve">    ⑤资本收益率：_________________________________________</w:t>
      </w:r>
    </w:p>
    <w:p>
      <w:pPr>
        <w:pStyle w:val="11"/>
        <w:spacing w:line="360" w:lineRule="auto"/>
        <w:ind w:firstLine="420"/>
        <w:rPr>
          <w:rFonts w:hAnsi="宋体" w:cs="宋体"/>
          <w:color w:val="auto"/>
          <w:sz w:val="24"/>
          <w:highlight w:val="none"/>
        </w:rPr>
      </w:pPr>
      <w:r>
        <w:rPr>
          <w:rFonts w:hint="eastAsia" w:hAnsi="宋体" w:cs="宋体"/>
          <w:color w:val="auto"/>
          <w:sz w:val="24"/>
          <w:highlight w:val="none"/>
        </w:rPr>
        <w:t>（9）项目主要联系人（姓名、职务、通讯）：</w:t>
      </w:r>
    </w:p>
    <w:p>
      <w:pPr>
        <w:pStyle w:val="11"/>
        <w:spacing w:line="360" w:lineRule="auto"/>
        <w:rPr>
          <w:rFonts w:hAnsi="宋体" w:cs="宋体"/>
          <w:color w:val="auto"/>
          <w:sz w:val="24"/>
          <w:highlight w:val="none"/>
        </w:rPr>
      </w:pPr>
      <w:r>
        <w:rPr>
          <w:rFonts w:hint="eastAsia" w:hAnsi="宋体" w:cs="宋体"/>
          <w:color w:val="auto"/>
          <w:sz w:val="24"/>
          <w:highlight w:val="none"/>
        </w:rPr>
        <w:t>_____________________________________________________________________</w:t>
      </w:r>
    </w:p>
    <w:p>
      <w:pPr>
        <w:pStyle w:val="11"/>
        <w:spacing w:line="360" w:lineRule="auto"/>
        <w:ind w:firstLine="420"/>
        <w:rPr>
          <w:rFonts w:hAnsi="宋体" w:cs="宋体"/>
          <w:color w:val="auto"/>
          <w:sz w:val="24"/>
          <w:highlight w:val="none"/>
        </w:rPr>
      </w:pPr>
      <w:r>
        <w:rPr>
          <w:rFonts w:hint="eastAsia" w:hAnsi="宋体" w:cs="宋体"/>
          <w:color w:val="auto"/>
          <w:sz w:val="24"/>
          <w:highlight w:val="none"/>
        </w:rPr>
        <w:t>（10）公司概况；</w:t>
      </w:r>
    </w:p>
    <w:p>
      <w:pPr>
        <w:pStyle w:val="11"/>
        <w:spacing w:line="360" w:lineRule="auto"/>
        <w:ind w:firstLine="420"/>
        <w:rPr>
          <w:rFonts w:hAnsi="宋体" w:cs="宋体"/>
          <w:color w:val="auto"/>
          <w:sz w:val="24"/>
          <w:highlight w:val="none"/>
        </w:rPr>
      </w:pPr>
      <w:r>
        <w:rPr>
          <w:rFonts w:hint="eastAsia" w:hAnsi="宋体" w:cs="宋体"/>
          <w:color w:val="auto"/>
          <w:sz w:val="24"/>
          <w:highlight w:val="none"/>
        </w:rPr>
        <w:t>（11）公司组织机构；</w:t>
      </w:r>
    </w:p>
    <w:p>
      <w:pPr>
        <w:pStyle w:val="11"/>
        <w:spacing w:line="360" w:lineRule="auto"/>
        <w:ind w:firstLine="420"/>
        <w:rPr>
          <w:rFonts w:hAnsi="宋体" w:cs="宋体"/>
          <w:color w:val="auto"/>
          <w:sz w:val="24"/>
          <w:highlight w:val="none"/>
        </w:rPr>
      </w:pPr>
      <w:r>
        <w:rPr>
          <w:rFonts w:hint="eastAsia" w:hAnsi="宋体" w:cs="宋体"/>
          <w:color w:val="auto"/>
          <w:sz w:val="24"/>
          <w:highlight w:val="none"/>
        </w:rPr>
        <w:t>兹证明上述说明是真实、正确的，并提供了全部能提供的资料和数据，我们同意遵照贵方要求出示有关证明文件。</w:t>
      </w:r>
    </w:p>
    <w:p>
      <w:pPr>
        <w:tabs>
          <w:tab w:val="left" w:pos="3780"/>
        </w:tabs>
        <w:spacing w:line="360" w:lineRule="auto"/>
        <w:jc w:val="left"/>
        <w:rPr>
          <w:rFonts w:ascii="宋体" w:hAnsi="宋体" w:cs="宋体"/>
          <w:color w:val="auto"/>
          <w:sz w:val="24"/>
          <w:highlight w:val="none"/>
        </w:rPr>
      </w:pPr>
    </w:p>
    <w:p>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日期：  年  月   日</w:t>
      </w:r>
    </w:p>
    <w:p>
      <w:pPr>
        <w:pStyle w:val="9"/>
        <w:rPr>
          <w:color w:val="auto"/>
          <w:highlight w:val="none"/>
          <w:lang w:val="fr-CH"/>
        </w:rPr>
      </w:pPr>
    </w:p>
    <w:p>
      <w:pPr>
        <w:numPr>
          <w:ilvl w:val="0"/>
          <w:numId w:val="19"/>
        </w:numPr>
        <w:tabs>
          <w:tab w:val="left" w:pos="640"/>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项目负责人</w:t>
      </w:r>
      <w:r>
        <w:rPr>
          <w:rFonts w:hint="eastAsia" w:ascii="宋体" w:hAnsi="宋体" w:cs="宋体"/>
          <w:color w:val="auto"/>
          <w:sz w:val="24"/>
          <w:highlight w:val="none"/>
        </w:rPr>
        <w:t>；</w:t>
      </w:r>
    </w:p>
    <w:p>
      <w:pPr>
        <w:numPr>
          <w:ilvl w:val="0"/>
          <w:numId w:val="19"/>
        </w:numPr>
        <w:tabs>
          <w:tab w:val="left" w:pos="640"/>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t>项目团队实力（项目负责人除外）</w:t>
      </w:r>
      <w:r>
        <w:rPr>
          <w:rFonts w:hint="eastAsia" w:ascii="宋体" w:hAnsi="宋体" w:cs="宋体"/>
          <w:color w:val="auto"/>
          <w:sz w:val="24"/>
          <w:highlight w:val="none"/>
        </w:rPr>
        <w:t>；</w:t>
      </w:r>
    </w:p>
    <w:p>
      <w:pPr>
        <w:numPr>
          <w:ilvl w:val="0"/>
          <w:numId w:val="19"/>
        </w:numPr>
        <w:tabs>
          <w:tab w:val="left" w:pos="640"/>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t>合作机构</w:t>
      </w:r>
      <w:r>
        <w:rPr>
          <w:rFonts w:hint="eastAsia" w:ascii="宋体" w:hAnsi="宋体" w:cs="宋体"/>
          <w:color w:val="auto"/>
          <w:sz w:val="24"/>
          <w:highlight w:val="none"/>
        </w:rPr>
        <w:t>；</w:t>
      </w:r>
    </w:p>
    <w:p>
      <w:pPr>
        <w:numPr>
          <w:ilvl w:val="0"/>
          <w:numId w:val="19"/>
        </w:numPr>
        <w:tabs>
          <w:tab w:val="left" w:pos="640"/>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t>同类业绩情况</w:t>
      </w:r>
      <w:r>
        <w:rPr>
          <w:rFonts w:hint="eastAsia" w:ascii="宋体" w:hAnsi="宋体" w:cs="宋体"/>
          <w:color w:val="auto"/>
          <w:sz w:val="24"/>
          <w:highlight w:val="none"/>
        </w:rPr>
        <w:t>；</w:t>
      </w:r>
    </w:p>
    <w:p>
      <w:pPr>
        <w:numPr>
          <w:ilvl w:val="0"/>
          <w:numId w:val="19"/>
        </w:numPr>
        <w:tabs>
          <w:tab w:val="left" w:pos="640"/>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t>域外法律查明实务经验</w:t>
      </w:r>
      <w:r>
        <w:rPr>
          <w:rFonts w:hint="eastAsia" w:ascii="宋体" w:hAnsi="宋体" w:cs="宋体"/>
          <w:color w:val="auto"/>
          <w:sz w:val="24"/>
          <w:highlight w:val="none"/>
        </w:rPr>
        <w:t>；</w:t>
      </w:r>
    </w:p>
    <w:p>
      <w:pPr>
        <w:numPr>
          <w:ilvl w:val="0"/>
          <w:numId w:val="19"/>
        </w:numPr>
        <w:tabs>
          <w:tab w:val="left" w:pos="640"/>
        </w:tabs>
        <w:spacing w:line="360" w:lineRule="auto"/>
        <w:ind w:left="845" w:hanging="845"/>
        <w:rPr>
          <w:rFonts w:ascii="宋体" w:hAnsi="宋体" w:cs="宋体"/>
          <w:color w:val="auto"/>
          <w:sz w:val="24"/>
          <w:highlight w:val="none"/>
        </w:rPr>
      </w:pPr>
      <w:r>
        <w:rPr>
          <w:rFonts w:hint="eastAsia" w:ascii="宋体" w:hAnsi="宋体" w:cs="宋体"/>
          <w:color w:val="auto"/>
          <w:sz w:val="24"/>
          <w:highlight w:val="none"/>
          <w:lang w:val="fr-CH"/>
        </w:rPr>
        <w:t>机构社会声誉</w:t>
      </w:r>
      <w:r>
        <w:rPr>
          <w:rFonts w:hint="eastAsia" w:ascii="宋体" w:hAnsi="宋体" w:cs="宋体"/>
          <w:color w:val="auto"/>
          <w:sz w:val="24"/>
          <w:highlight w:val="none"/>
        </w:rPr>
        <w:t>；</w:t>
      </w:r>
    </w:p>
    <w:p>
      <w:pPr>
        <w:tabs>
          <w:tab w:val="left" w:pos="640"/>
          <w:tab w:val="left" w:pos="1260"/>
          <w:tab w:val="left" w:pos="1418"/>
        </w:tabs>
        <w:jc w:val="center"/>
        <w:rPr>
          <w:rFonts w:ascii="宋体" w:hAnsi="宋体" w:cs="宋体"/>
          <w:b/>
          <w:bCs/>
          <w:color w:val="auto"/>
          <w:szCs w:val="21"/>
          <w:highlight w:val="none"/>
        </w:rPr>
      </w:pPr>
    </w:p>
    <w:p>
      <w:pPr>
        <w:tabs>
          <w:tab w:val="left" w:pos="640"/>
          <w:tab w:val="left" w:pos="1260"/>
          <w:tab w:val="left" w:pos="1418"/>
        </w:tabs>
        <w:jc w:val="center"/>
        <w:rPr>
          <w:rFonts w:ascii="宋体" w:hAnsi="宋体" w:cs="宋体"/>
          <w:b/>
          <w:bCs/>
          <w:color w:val="auto"/>
          <w:sz w:val="24"/>
          <w:highlight w:val="none"/>
        </w:rPr>
      </w:pPr>
      <w:r>
        <w:rPr>
          <w:rFonts w:hint="eastAsia" w:ascii="宋体" w:hAnsi="宋体" w:cs="宋体"/>
          <w:b/>
          <w:bCs/>
          <w:color w:val="auto"/>
          <w:sz w:val="24"/>
          <w:highlight w:val="none"/>
        </w:rPr>
        <w:t>注：以上各项请根据“招标项目评分表”中的要求自行填写并提供相应的证明材料。</w:t>
      </w:r>
    </w:p>
    <w:p>
      <w:pPr>
        <w:numPr>
          <w:ilvl w:val="0"/>
          <w:numId w:val="19"/>
        </w:numPr>
        <w:tabs>
          <w:tab w:val="left" w:pos="640"/>
          <w:tab w:val="left" w:pos="8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b/>
          <w:bCs/>
          <w:color w:val="auto"/>
          <w:sz w:val="24"/>
          <w:highlight w:val="none"/>
          <w:lang w:val="fr-CH"/>
        </w:rPr>
        <w:t>企业诚信；</w:t>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企业诚信声明与承诺</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中国远东国际招标有限公司：</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  我公司参与贵代理机构组织的项目（项目编号：）投标，现就企业诚信作如下声明与承诺：</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我司对上述内容的真实性负责。如有虚假，将依法承担相应责任。</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特此声明与承诺！</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p>
    <w:p>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日期：  年  月   日</w:t>
      </w:r>
    </w:p>
    <w:p>
      <w:pPr>
        <w:pStyle w:val="11"/>
        <w:spacing w:line="360" w:lineRule="auto"/>
        <w:jc w:val="left"/>
        <w:rPr>
          <w:rFonts w:hAnsi="宋体" w:cs="宋体"/>
          <w:color w:val="auto"/>
          <w:sz w:val="24"/>
          <w:highlight w:val="none"/>
        </w:rPr>
      </w:pPr>
    </w:p>
    <w:p>
      <w:pPr>
        <w:pStyle w:val="11"/>
        <w:spacing w:line="360" w:lineRule="auto"/>
        <w:jc w:val="left"/>
        <w:rPr>
          <w:rFonts w:hAnsi="宋体" w:cs="宋体"/>
          <w:color w:val="auto"/>
          <w:sz w:val="24"/>
          <w:highlight w:val="none"/>
        </w:rPr>
      </w:pPr>
    </w:p>
    <w:p>
      <w:pPr>
        <w:spacing w:before="100" w:beforeAutospacing="1" w:after="100" w:afterAutospacing="1" w:line="360" w:lineRule="auto"/>
        <w:rPr>
          <w:rFonts w:ascii="宋体" w:hAnsi="宋体" w:cs="宋体"/>
          <w:b/>
          <w:bCs/>
          <w:color w:val="auto"/>
          <w:sz w:val="24"/>
          <w:highlight w:val="none"/>
        </w:rPr>
      </w:pPr>
      <w:r>
        <w:rPr>
          <w:rFonts w:hint="eastAsia" w:ascii="宋体" w:hAnsi="宋体" w:cs="宋体"/>
          <w:b/>
          <w:bCs/>
          <w:color w:val="auto"/>
          <w:sz w:val="24"/>
          <w:highlight w:val="none"/>
        </w:rPr>
        <w:t>注：近三年内，如投标人有任何违法违规、受惩罚和禁止、不良信用等记录，必须列明记载，并附网络截图（加盖公章）。</w:t>
      </w:r>
    </w:p>
    <w:p>
      <w:pPr>
        <w:pStyle w:val="9"/>
        <w:rPr>
          <w:color w:val="auto"/>
          <w:highlight w:val="none"/>
          <w:lang w:val="fr-CH"/>
        </w:rPr>
      </w:pPr>
    </w:p>
    <w:p>
      <w:pPr>
        <w:numPr>
          <w:ilvl w:val="0"/>
          <w:numId w:val="19"/>
        </w:numPr>
        <w:tabs>
          <w:tab w:val="left" w:pos="640"/>
          <w:tab w:val="left" w:pos="840"/>
          <w:tab w:val="left" w:pos="1260"/>
          <w:tab w:val="left" w:pos="1418"/>
        </w:tabs>
        <w:spacing w:line="360" w:lineRule="auto"/>
        <w:ind w:left="845" w:hanging="845"/>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投标人认为有必要提供的其他材料。</w:t>
      </w:r>
    </w:p>
    <w:p>
      <w:pPr>
        <w:spacing w:line="360" w:lineRule="auto"/>
        <w:rPr>
          <w:rFonts w:ascii="宋体" w:hAnsi="宋体" w:cs="宋体"/>
          <w:color w:val="auto"/>
          <w:sz w:val="24"/>
          <w:highlight w:val="none"/>
        </w:rPr>
      </w:pPr>
    </w:p>
    <w:p>
      <w:pPr>
        <w:spacing w:line="360" w:lineRule="auto"/>
        <w:outlineLvl w:val="2"/>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（三）技术部分</w:t>
      </w:r>
    </w:p>
    <w:p>
      <w:pPr>
        <w:numPr>
          <w:ilvl w:val="0"/>
          <w:numId w:val="21"/>
        </w:numPr>
        <w:tabs>
          <w:tab w:val="left" w:pos="640"/>
          <w:tab w:val="left" w:pos="1260"/>
          <w:tab w:val="left" w:pos="1418"/>
        </w:tabs>
        <w:spacing w:line="360" w:lineRule="auto"/>
        <w:ind w:left="640" w:right="-420" w:rightChars="-200" w:hanging="640"/>
        <w:rPr>
          <w:rFonts w:ascii="宋体" w:hAnsi="宋体" w:cs="宋体"/>
          <w:color w:val="auto"/>
          <w:sz w:val="24"/>
          <w:highlight w:val="none"/>
          <w:lang w:val="fr-CH"/>
        </w:rPr>
      </w:pPr>
      <w:r>
        <w:rPr>
          <w:rFonts w:hint="eastAsia" w:ascii="宋体" w:hAnsi="宋体" w:cs="宋体"/>
          <w:color w:val="auto"/>
          <w:sz w:val="24"/>
          <w:highlight w:val="none"/>
          <w:lang w:val="fr-CH"/>
        </w:rPr>
        <w:t>用户需求响应表；</w:t>
      </w:r>
    </w:p>
    <w:p>
      <w:pPr>
        <w:spacing w:after="78" w:line="360" w:lineRule="auto"/>
        <w:jc w:val="center"/>
        <w:rPr>
          <w:rFonts w:ascii="宋体" w:hAnsi="宋体" w:cs="宋体"/>
          <w:b/>
          <w:bCs/>
          <w:color w:val="auto"/>
          <w:sz w:val="24"/>
          <w:highlight w:val="none"/>
          <w:lang w:val="fr-CH"/>
        </w:rPr>
      </w:pPr>
      <w:r>
        <w:rPr>
          <w:rFonts w:hint="eastAsia" w:ascii="宋体" w:hAnsi="宋体" w:cs="宋体"/>
          <w:b/>
          <w:bCs/>
          <w:color w:val="auto"/>
          <w:sz w:val="24"/>
          <w:highlight w:val="none"/>
          <w:lang w:val="fr-CH"/>
        </w:rPr>
        <w:t>用户需求响应表</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p>
      <w:pPr>
        <w:spacing w:after="78" w:line="360" w:lineRule="auto"/>
        <w:rPr>
          <w:rFonts w:ascii="宋体" w:hAnsi="宋体" w:cs="宋体"/>
          <w:bCs/>
          <w:color w:val="auto"/>
          <w:sz w:val="24"/>
          <w:highlight w:val="none"/>
        </w:rPr>
      </w:pPr>
      <w:r>
        <w:rPr>
          <w:rFonts w:hint="eastAsia" w:ascii="宋体" w:hAnsi="宋体" w:cs="宋体"/>
          <w:bCs/>
          <w:color w:val="auto"/>
          <w:sz w:val="24"/>
          <w:highlight w:val="none"/>
        </w:rPr>
        <w:t>据招标文件要求，我公司承诺响应如下：</w:t>
      </w:r>
    </w:p>
    <w:tbl>
      <w:tblPr>
        <w:tblStyle w:val="22"/>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3507"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招标文件要求</w:t>
            </w:r>
          </w:p>
        </w:tc>
        <w:tc>
          <w:tcPr>
            <w:tcW w:w="3241"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投标文件响应</w:t>
            </w:r>
          </w:p>
        </w:tc>
        <w:tc>
          <w:tcPr>
            <w:tcW w:w="1917"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color w:val="auto"/>
                <w:sz w:val="24"/>
                <w:highlight w:val="none"/>
              </w:rPr>
            </w:pPr>
            <w:r>
              <w:rPr>
                <w:rFonts w:hint="eastAsia" w:ascii="宋体" w:hAnsi="宋体" w:cs="宋体"/>
                <w:bCs/>
                <w:color w:val="auto"/>
                <w:sz w:val="24"/>
                <w:highlight w:val="none"/>
              </w:rPr>
              <w:t>1</w:t>
            </w:r>
          </w:p>
        </w:tc>
        <w:tc>
          <w:tcPr>
            <w:tcW w:w="3507" w:type="dxa"/>
            <w:vAlign w:val="center"/>
          </w:tcPr>
          <w:p>
            <w:pPr>
              <w:spacing w:after="78" w:line="360" w:lineRule="auto"/>
              <w:rPr>
                <w:rFonts w:ascii="宋体" w:hAnsi="宋体" w:cs="宋体"/>
                <w:bCs/>
                <w:color w:val="auto"/>
                <w:sz w:val="24"/>
                <w:highlight w:val="none"/>
              </w:rPr>
            </w:pPr>
            <w:r>
              <w:rPr>
                <w:rFonts w:hint="eastAsia" w:ascii="宋体" w:hAnsi="宋体" w:cs="宋体"/>
                <w:bCs/>
                <w:color w:val="auto"/>
                <w:sz w:val="24"/>
                <w:highlight w:val="none"/>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无需另行编制填写内容。</w:t>
            </w:r>
          </w:p>
        </w:tc>
        <w:tc>
          <w:tcPr>
            <w:tcW w:w="1917" w:type="dxa"/>
            <w:vAlign w:val="center"/>
          </w:tcPr>
          <w:p>
            <w:pPr>
              <w:spacing w:line="360" w:lineRule="auto"/>
              <w:jc w:val="center"/>
              <w:rPr>
                <w:rFonts w:ascii="宋体" w:hAnsi="宋体" w:cs="宋体"/>
                <w:bCs/>
                <w:color w:val="auto"/>
                <w:sz w:val="24"/>
                <w:highlight w:val="none"/>
              </w:rPr>
            </w:pPr>
          </w:p>
        </w:tc>
      </w:tr>
    </w:tbl>
    <w:p>
      <w:pPr>
        <w:spacing w:after="78" w:line="360" w:lineRule="auto"/>
        <w:rPr>
          <w:rFonts w:ascii="宋体" w:hAnsi="宋体" w:cs="宋体"/>
          <w:bCs/>
          <w:color w:val="auto"/>
          <w:sz w:val="24"/>
          <w:highlight w:val="none"/>
        </w:rPr>
      </w:pPr>
    </w:p>
    <w:p>
      <w:pPr>
        <w:spacing w:after="78" w:line="360" w:lineRule="auto"/>
        <w:rPr>
          <w:rFonts w:ascii="宋体" w:hAnsi="宋体" w:cs="宋体"/>
          <w:bCs/>
          <w:color w:val="auto"/>
          <w:sz w:val="24"/>
          <w:highlight w:val="none"/>
        </w:rPr>
      </w:pPr>
      <w:r>
        <w:rPr>
          <w:rFonts w:hint="eastAsia" w:ascii="宋体" w:hAnsi="宋体" w:cs="宋体"/>
          <w:bCs/>
          <w:color w:val="auto"/>
          <w:sz w:val="24"/>
          <w:highlight w:val="none"/>
        </w:rPr>
        <w:t>若响应情况优于招标要求，应作详细说明；“偏离情况”栏中根据响应情况填写，没有达到要求的填“负偏离”，达到要求的填“符合”，优于要求的填“正偏离”。</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pStyle w:val="9"/>
        <w:spacing w:line="360" w:lineRule="auto"/>
        <w:rPr>
          <w:color w:val="auto"/>
          <w:highlight w:val="none"/>
          <w:lang w:val="fr-CH"/>
        </w:rPr>
      </w:pPr>
    </w:p>
    <w:p>
      <w:pPr>
        <w:numPr>
          <w:ilvl w:val="0"/>
          <w:numId w:val="21"/>
        </w:numPr>
        <w:tabs>
          <w:tab w:val="left" w:pos="640"/>
          <w:tab w:val="left" w:pos="1260"/>
          <w:tab w:val="left" w:pos="1418"/>
        </w:tabs>
        <w:spacing w:line="360" w:lineRule="auto"/>
        <w:ind w:left="845" w:right="-420" w:rightChars="-200" w:hanging="845"/>
        <w:rPr>
          <w:rFonts w:ascii="宋体" w:hAnsi="宋体" w:cs="宋体"/>
          <w:color w:val="auto"/>
          <w:sz w:val="24"/>
          <w:highlight w:val="none"/>
          <w:lang w:val="sq-AL"/>
        </w:rPr>
      </w:pPr>
      <w:r>
        <w:rPr>
          <w:rFonts w:hint="eastAsia" w:ascii="宋体" w:hAnsi="宋体" w:cs="宋体"/>
          <w:color w:val="auto"/>
          <w:sz w:val="24"/>
          <w:highlight w:val="none"/>
          <w:lang w:val="sq-AL"/>
        </w:rPr>
        <w:br w:type="page"/>
      </w:r>
      <w:r>
        <w:rPr>
          <w:rFonts w:hint="eastAsia" w:ascii="宋体" w:hAnsi="宋体" w:cs="宋体"/>
          <w:color w:val="auto"/>
          <w:sz w:val="24"/>
          <w:highlight w:val="none"/>
          <w:lang w:val="sq-AL"/>
        </w:rPr>
        <w:t>对项目需求的理解和响应；</w:t>
      </w:r>
    </w:p>
    <w:p>
      <w:pPr>
        <w:numPr>
          <w:ilvl w:val="0"/>
          <w:numId w:val="21"/>
        </w:numPr>
        <w:tabs>
          <w:tab w:val="left" w:pos="640"/>
          <w:tab w:val="left" w:pos="1260"/>
          <w:tab w:val="left" w:pos="1418"/>
        </w:tabs>
        <w:spacing w:line="360" w:lineRule="auto"/>
        <w:ind w:left="845" w:right="-420" w:rightChars="-200" w:hanging="845"/>
        <w:rPr>
          <w:rFonts w:ascii="宋体" w:hAnsi="宋体" w:cs="宋体"/>
          <w:color w:val="auto"/>
          <w:sz w:val="24"/>
          <w:highlight w:val="none"/>
          <w:lang w:val="sq-AL"/>
        </w:rPr>
      </w:pPr>
      <w:r>
        <w:rPr>
          <w:rFonts w:hint="eastAsia" w:ascii="宋体" w:hAnsi="宋体" w:cs="宋体"/>
          <w:color w:val="auto"/>
          <w:sz w:val="24"/>
          <w:highlight w:val="none"/>
          <w:lang w:val="sq-AL"/>
        </w:rPr>
        <w:t>工作安排科学性；</w:t>
      </w:r>
    </w:p>
    <w:p>
      <w:pPr>
        <w:numPr>
          <w:ilvl w:val="0"/>
          <w:numId w:val="21"/>
        </w:numPr>
        <w:tabs>
          <w:tab w:val="left" w:pos="640"/>
          <w:tab w:val="left" w:pos="1260"/>
          <w:tab w:val="left" w:pos="1418"/>
        </w:tabs>
        <w:spacing w:line="360" w:lineRule="auto"/>
        <w:ind w:left="845" w:right="-420" w:rightChars="-200" w:hanging="845"/>
        <w:rPr>
          <w:rFonts w:ascii="宋体" w:hAnsi="宋体" w:cs="宋体"/>
          <w:color w:val="auto"/>
          <w:sz w:val="24"/>
          <w:highlight w:val="none"/>
          <w:lang w:val="sq-AL"/>
        </w:rPr>
      </w:pPr>
      <w:r>
        <w:rPr>
          <w:rFonts w:hint="eastAsia" w:ascii="宋体" w:hAnsi="宋体" w:cs="宋体"/>
          <w:color w:val="auto"/>
          <w:sz w:val="24"/>
          <w:highlight w:val="none"/>
          <w:lang w:val="sq-AL"/>
        </w:rPr>
        <w:t>合理化建议；</w:t>
      </w:r>
    </w:p>
    <w:p>
      <w:pPr>
        <w:tabs>
          <w:tab w:val="left" w:pos="640"/>
          <w:tab w:val="left" w:pos="1260"/>
          <w:tab w:val="left" w:pos="1418"/>
        </w:tabs>
        <w:jc w:val="center"/>
        <w:rPr>
          <w:rFonts w:ascii="宋体" w:hAnsi="宋体" w:cs="宋体"/>
          <w:b/>
          <w:bCs/>
          <w:color w:val="auto"/>
          <w:sz w:val="24"/>
          <w:highlight w:val="none"/>
        </w:rPr>
      </w:pPr>
    </w:p>
    <w:p>
      <w:pPr>
        <w:tabs>
          <w:tab w:val="left" w:pos="640"/>
          <w:tab w:val="left" w:pos="1260"/>
          <w:tab w:val="left" w:pos="1418"/>
        </w:tabs>
        <w:jc w:val="center"/>
        <w:rPr>
          <w:rFonts w:ascii="宋体" w:hAnsi="宋体" w:cs="宋体"/>
          <w:b/>
          <w:bCs/>
          <w:color w:val="auto"/>
          <w:sz w:val="24"/>
          <w:highlight w:val="none"/>
        </w:rPr>
      </w:pPr>
    </w:p>
    <w:p>
      <w:pPr>
        <w:tabs>
          <w:tab w:val="left" w:pos="640"/>
          <w:tab w:val="left" w:pos="1260"/>
          <w:tab w:val="left" w:pos="1418"/>
        </w:tabs>
        <w:jc w:val="center"/>
        <w:rPr>
          <w:rFonts w:ascii="宋体" w:hAnsi="宋体" w:cs="宋体"/>
          <w:b/>
          <w:bCs/>
          <w:color w:val="auto"/>
          <w:sz w:val="24"/>
          <w:highlight w:val="none"/>
        </w:rPr>
      </w:pPr>
      <w:r>
        <w:rPr>
          <w:rFonts w:hint="eastAsia" w:ascii="宋体" w:hAnsi="宋体" w:cs="宋体"/>
          <w:b/>
          <w:bCs/>
          <w:color w:val="auto"/>
          <w:sz w:val="24"/>
          <w:highlight w:val="none"/>
        </w:rPr>
        <w:t>注：以上各项请根据“招标项目评分表”中的要求自行填写并提供相应的证明材料。</w:t>
      </w:r>
    </w:p>
    <w:p>
      <w:pPr>
        <w:numPr>
          <w:ilvl w:val="0"/>
          <w:numId w:val="21"/>
        </w:numPr>
        <w:tabs>
          <w:tab w:val="left" w:pos="640"/>
          <w:tab w:val="left" w:pos="1260"/>
          <w:tab w:val="left" w:pos="1418"/>
        </w:tabs>
        <w:spacing w:line="360" w:lineRule="auto"/>
        <w:ind w:left="845" w:right="-420" w:rightChars="-200" w:hanging="845"/>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投标人认为有必要提供的其他材料。</w:t>
      </w:r>
      <w:bookmarkEnd w:id="22"/>
    </w:p>
    <w:p>
      <w:pPr>
        <w:tabs>
          <w:tab w:val="left" w:pos="360"/>
        </w:tabs>
        <w:spacing w:line="300" w:lineRule="auto"/>
        <w:outlineLvl w:val="0"/>
        <w:rPr>
          <w:rFonts w:ascii="宋体" w:hAnsi="宋体" w:cs="宋体"/>
          <w:b/>
          <w:bCs/>
          <w:color w:val="auto"/>
          <w:sz w:val="24"/>
          <w:highlight w:val="none"/>
        </w:rPr>
      </w:pPr>
      <w:r>
        <w:rPr>
          <w:rFonts w:hint="eastAsia" w:ascii="宋体" w:hAnsi="宋体" w:cs="宋体"/>
          <w:color w:val="auto"/>
          <w:sz w:val="24"/>
          <w:highlight w:val="none"/>
          <w:lang w:val="fr-CH"/>
        </w:rPr>
        <w:br w:type="page"/>
      </w:r>
      <w:bookmarkStart w:id="28" w:name="_Toc742"/>
      <w:bookmarkStart w:id="29" w:name="_Toc6251"/>
      <w:r>
        <w:rPr>
          <w:rFonts w:hint="eastAsia" w:ascii="宋体" w:hAnsi="宋体" w:cs="宋体"/>
          <w:b/>
          <w:bCs/>
          <w:color w:val="auto"/>
          <w:sz w:val="24"/>
          <w:highlight w:val="none"/>
        </w:rPr>
        <w:t>附件：相关政策</w:t>
      </w:r>
      <w:bookmarkEnd w:id="28"/>
      <w:bookmarkEnd w:id="29"/>
    </w:p>
    <w:p>
      <w:pPr>
        <w:tabs>
          <w:tab w:val="left" w:pos="360"/>
        </w:tabs>
        <w:outlineLvl w:val="1"/>
        <w:rPr>
          <w:rFonts w:ascii="宋体" w:hAnsi="宋体" w:cs="宋体"/>
          <w:b/>
          <w:bCs/>
          <w:color w:val="auto"/>
          <w:sz w:val="24"/>
          <w:highlight w:val="none"/>
        </w:rPr>
      </w:pPr>
      <w:r>
        <w:rPr>
          <w:rFonts w:hint="eastAsia" w:ascii="宋体" w:hAnsi="宋体" w:cs="宋体"/>
          <w:b/>
          <w:bCs/>
          <w:color w:val="auto"/>
          <w:sz w:val="24"/>
          <w:highlight w:val="none"/>
        </w:rPr>
        <w:t>1、财政部、工业和信息化部《关于印发〈政府采购促进中小企业发展管理办法〉的通知》（财库〔2020〕46 号）</w:t>
      </w:r>
    </w:p>
    <w:p>
      <w:pPr>
        <w:pStyle w:val="9"/>
        <w:tabs>
          <w:tab w:val="left" w:pos="562"/>
          <w:tab w:val="left" w:pos="3372"/>
          <w:tab w:val="left" w:pos="3653"/>
        </w:tabs>
        <w:rPr>
          <w:rFonts w:ascii="宋体" w:hAnsi="宋体" w:cs="宋体"/>
          <w:color w:val="auto"/>
          <w:highlight w:val="none"/>
        </w:rPr>
      </w:pPr>
    </w:p>
    <w:p>
      <w:pPr>
        <w:widowControl/>
        <w:shd w:val="clear" w:color="auto" w:fill="FFFFFF"/>
        <w:jc w:val="center"/>
        <w:rPr>
          <w:rFonts w:ascii="宋体" w:hAnsi="宋体" w:cs="宋体"/>
          <w:color w:val="auto"/>
          <w:kern w:val="0"/>
          <w:sz w:val="24"/>
          <w:highlight w:val="none"/>
        </w:rPr>
      </w:pPr>
      <w:r>
        <w:rPr>
          <w:rFonts w:hint="eastAsia" w:ascii="宋体" w:hAnsi="宋体" w:cs="宋体"/>
          <w:color w:val="auto"/>
          <w:kern w:val="0"/>
          <w:sz w:val="24"/>
          <w:highlight w:val="none"/>
        </w:rPr>
        <w:t>关于印发《政府采购促进中小企业发展管理办法》的通知</w:t>
      </w:r>
    </w:p>
    <w:p>
      <w:pPr>
        <w:widowControl/>
        <w:shd w:val="clear" w:color="auto" w:fill="FFFFFF"/>
        <w:spacing w:after="240"/>
        <w:jc w:val="center"/>
        <w:rPr>
          <w:rFonts w:ascii="宋体" w:hAnsi="宋体" w:cs="宋体"/>
          <w:color w:val="auto"/>
          <w:kern w:val="0"/>
          <w:sz w:val="24"/>
          <w:highlight w:val="none"/>
        </w:rPr>
      </w:pPr>
      <w:r>
        <w:rPr>
          <w:rFonts w:hint="eastAsia" w:ascii="宋体" w:hAnsi="宋体" w:cs="宋体"/>
          <w:color w:val="auto"/>
          <w:kern w:val="0"/>
          <w:sz w:val="24"/>
          <w:highlight w:val="none"/>
        </w:rPr>
        <w:t>财库〔2020〕46号</w:t>
      </w:r>
    </w:p>
    <w:p>
      <w:pPr>
        <w:widowControl/>
        <w:shd w:val="clear" w:color="auto" w:fill="FFFFFF"/>
        <w:spacing w:after="240"/>
        <w:jc w:val="left"/>
        <w:rPr>
          <w:rFonts w:ascii="宋体" w:hAnsi="宋体" w:cs="宋体"/>
          <w:color w:val="auto"/>
          <w:kern w:val="0"/>
          <w:sz w:val="24"/>
          <w:highlight w:val="none"/>
        </w:rPr>
      </w:pPr>
      <w:r>
        <w:rPr>
          <w:rFonts w:hint="eastAsia" w:ascii="宋体" w:hAnsi="宋体" w:cs="宋体"/>
          <w:color w:val="auto"/>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附件：政府采购促进中小企业发展管理办法</w:t>
      </w:r>
    </w:p>
    <w:p>
      <w:pPr>
        <w:widowControl/>
        <w:shd w:val="clear" w:color="auto" w:fill="FFFFFF"/>
        <w:jc w:val="right"/>
        <w:rPr>
          <w:rFonts w:ascii="宋体" w:hAnsi="宋体" w:cs="宋体"/>
          <w:color w:val="auto"/>
          <w:kern w:val="0"/>
          <w:sz w:val="24"/>
          <w:highlight w:val="none"/>
        </w:rPr>
      </w:pPr>
      <w:r>
        <w:rPr>
          <w:rFonts w:hint="eastAsia" w:ascii="宋体" w:hAnsi="宋体" w:cs="宋体"/>
          <w:color w:val="auto"/>
          <w:kern w:val="0"/>
          <w:sz w:val="24"/>
          <w:highlight w:val="none"/>
        </w:rPr>
        <w:t>财  政  部</w:t>
      </w:r>
    </w:p>
    <w:p>
      <w:pPr>
        <w:widowControl/>
        <w:shd w:val="clear" w:color="auto" w:fill="FFFFFF"/>
        <w:jc w:val="right"/>
        <w:rPr>
          <w:rFonts w:ascii="宋体" w:hAnsi="宋体" w:cs="宋体"/>
          <w:color w:val="auto"/>
          <w:kern w:val="0"/>
          <w:sz w:val="24"/>
          <w:highlight w:val="none"/>
        </w:rPr>
      </w:pPr>
      <w:r>
        <w:rPr>
          <w:rFonts w:hint="eastAsia" w:ascii="宋体" w:hAnsi="宋体" w:cs="宋体"/>
          <w:color w:val="auto"/>
          <w:kern w:val="0"/>
          <w:sz w:val="24"/>
          <w:highlight w:val="none"/>
        </w:rPr>
        <w:t>工业和信息化部</w:t>
      </w:r>
    </w:p>
    <w:p>
      <w:pPr>
        <w:widowControl/>
        <w:shd w:val="clear" w:color="auto" w:fill="FFFFFF"/>
        <w:jc w:val="right"/>
        <w:rPr>
          <w:rFonts w:ascii="宋体" w:hAnsi="宋体" w:cs="宋体"/>
          <w:color w:val="auto"/>
          <w:kern w:val="0"/>
          <w:sz w:val="24"/>
          <w:highlight w:val="none"/>
        </w:rPr>
      </w:pPr>
      <w:r>
        <w:rPr>
          <w:rFonts w:hint="eastAsia" w:ascii="宋体" w:hAnsi="宋体" w:cs="宋体"/>
          <w:color w:val="auto"/>
          <w:kern w:val="0"/>
          <w:sz w:val="24"/>
          <w:highlight w:val="none"/>
        </w:rPr>
        <w:t>2020年12月18日</w:t>
      </w:r>
    </w:p>
    <w:p>
      <w:pPr>
        <w:autoSpaceDE w:val="0"/>
        <w:autoSpaceDN w:val="0"/>
        <w:adjustRightInd w:val="0"/>
        <w:jc w:val="left"/>
        <w:rPr>
          <w:rFonts w:ascii="宋体" w:hAnsi="宋体" w:cs="宋体"/>
          <w:color w:val="auto"/>
          <w:kern w:val="0"/>
          <w:sz w:val="24"/>
          <w:highlight w:val="none"/>
        </w:rPr>
      </w:pPr>
    </w:p>
    <w:p>
      <w:pPr>
        <w:jc w:val="center"/>
        <w:rPr>
          <w:rFonts w:ascii="宋体" w:hAnsi="宋体" w:cs="宋体"/>
          <w:b/>
          <w:bCs/>
          <w:color w:val="auto"/>
          <w:sz w:val="24"/>
          <w:highlight w:val="none"/>
        </w:rPr>
      </w:pPr>
      <w:r>
        <w:rPr>
          <w:rFonts w:hint="eastAsia" w:ascii="宋体" w:hAnsi="宋体" w:cs="宋体"/>
          <w:b/>
          <w:bCs/>
          <w:color w:val="auto"/>
          <w:sz w:val="24"/>
          <w:highlight w:val="none"/>
        </w:rPr>
        <w:t>政府采购促进中小企业发展管理办法</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第一条 为了发挥政府采购的政策功能，促进中小企业健康发展，根据《中华人民共和国政府采购法》、《中华人民共和国中小企业促进法》等有关法律法规，制定本办法。</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第三条 采购人在政府采购活动中应当通过加强采购需求管理，落实预留采购份额、价格评审优惠、优先采购等 措施，提高中小企业在政府采购中的份额，支持中小企业发展。</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第四条 在政府采购活动中，供应商提供的货物、工程或者服务符合下列情形的，享受本办法规定的中小企业扶持政策：</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（一）在货物采购项目中，货物由中小企业制造，即货 物由中小企业生产且使用该中小企业商号或者注册商标；</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（二）在工程采购项目中，工程由中小企业承建，即工 程施工单位为中小企业；</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（三）在服务采购项目中，服务由中小企业承接，即提供服务的人员为中小企业依照《中华人民共和国劳动合同法》订立劳动合同的从业人员。</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在货物采购项目中，供应商提供的货物既有中小企业制造货物，也有大型企业制造货物的，不享受本办法规定的中小企业扶持政策。</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以联合体形式参加政府采购活动，联合体各方均为中小企业的，联合体视同中小企业。其中，联合体各方均为小微企业的，联合体视同小微企业。</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9"/>
        <w:tabs>
          <w:tab w:val="left" w:pos="562"/>
          <w:tab w:val="left" w:pos="3372"/>
          <w:tab w:val="left" w:pos="3653"/>
        </w:tabs>
        <w:ind w:firstLine="480" w:firstLineChars="200"/>
        <w:rPr>
          <w:rFonts w:ascii="宋体" w:hAnsi="宋体" w:cs="宋体"/>
          <w:color w:val="auto"/>
          <w:highlight w:val="none"/>
        </w:rPr>
      </w:pPr>
      <w:r>
        <w:rPr>
          <w:rFonts w:hint="eastAsia" w:ascii="宋体" w:hAnsi="宋体" w:cs="宋体"/>
          <w:color w:val="auto"/>
          <w:kern w:val="0"/>
          <w:highlight w:val="none"/>
        </w:rPr>
        <w:t>符合下列情形之一的，可不专门面向中小企业预留采购</w:t>
      </w:r>
      <w:r>
        <w:rPr>
          <w:rFonts w:hint="eastAsia" w:ascii="宋体" w:hAnsi="宋体" w:cs="宋体"/>
          <w:color w:val="auto"/>
          <w:highlight w:val="none"/>
        </w:rPr>
        <w:t>份额：</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（一）法律法规和国家有关政策明确规定优先或者应当面向事业单位、社会组织等非企业主体采购的；</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（二）因确需使用不可替代的专利、专有技术，基础设施限制，或者提供特定公共服务等原因，只能从中小企业之外的供应商处采购的；</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（三）按照本办法规定预留采购份额无法确保充分供应、充分竞争，或者存在可能影响政府采购目标实现的情形；</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（四）框架协议采购项目；</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（五）省级以上人民政府财政部门规定的其他情形。 除上述情形外，其他均为适宜由中小企业提供的情形。</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第七条采购限额标准以上，200万元以下的货物和服务采购项目、400 万元以下的工程采购项目，适宜由中小企业提供的，采购人应当专门面向中小企业采购。</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（一）将采购项目整体或者设置采购包专门面向中小企业采购；</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（二）要求供应商以联合体形式参加采购活动，且联合体中中小企业承担的部分达到一定比例；</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（三）要求获得采购合同的供应商将采购项目中的一定比例分包给一家或者多家中小企业。</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组成联合体或者接受分包合同的中小企业与联合体内 其他企业、分包企业之间不得存在直接控股、管理关系。</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第十二条 采购项目涉及中小企业采购的，采购文件应当明确以下内容：</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（一）预留份额的采购项目或者采购包，明确该项目或相关采购包专门面向中小企业采购，以及相关标的及预算金额；</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（二）要求以联合体形式参加或者合同分包的，明确联合协议或者分包意向协议中中小企业合同金额应当达到的 比例，并作为供应商资格条件；</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（三）非预留份额的采购项目或者采购包，明确有关价格扣除比例或者价格分加分比例；</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（四）规定依据本办法规定享受扶持政策获得政府采购合同的，小微企业不得将合同分包给大中型企业，中型企业不得将合同分包给大型企业；</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（五）采购人认为具备相关条件的，明确对中小企业在资金支付期限、预付款比例等方面的优惠措施；</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（六）明确采购标的对应的中小企业划分标准所属行业；</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（七）法律法规和省级以上人民政府财政部门规定的其他事项。</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第十三条 中标、成交供应商享受本办法规定的中小企业扶持政策的，采购人、采购代理机构应当随中标、成交结果公开中标、成交供应商的《中小企业声明函》。</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适用招标投标法的政府采购工程建设项目，应当在公示中标候选人时公开中标候选人的《中小企业声明函》。</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中小企业主管部门应当在收到财政部门或者有关招标 投标行政监督部门关于协助开展中小企业认定函后 10 个工作日内做出书面答复。</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第二十条 供应商按照本办法规定提供声明函内容不实的，属于提供虚假材料谋取中标、成交，依照《中华人民共和国政府采购法》等国家有关规定追究相应责任。</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第二十二条 对外援助项目、国家相关资格或者资质管理制度另有规定的项目，不适用本办法。</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第二十三条 关于视同中小企业的其他主体的政府采购扶持政策，由财政部会同有关部门另行规定。</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第二十四条 省级财政部门可以会同中小企业主管部门根据本办法的规定制定具体实施办法。</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第二十五条 本办法自 2021 年 1 月 1 日起施行。《财政部 工业和信息化部关于印发〈政府采购促进中小企业发展暂行办法〉的通知》（财库﹝2011﹞181 号）同时废止。</w:t>
      </w:r>
    </w:p>
    <w:p>
      <w:pPr>
        <w:pStyle w:val="9"/>
        <w:tabs>
          <w:tab w:val="left" w:pos="562"/>
          <w:tab w:val="left" w:pos="3372"/>
          <w:tab w:val="left" w:pos="3653"/>
        </w:tabs>
        <w:spacing w:before="5"/>
        <w:rPr>
          <w:rFonts w:ascii="宋体" w:hAnsi="宋体" w:cs="宋体"/>
          <w:color w:val="auto"/>
          <w:highlight w:val="none"/>
        </w:rPr>
      </w:pP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附：1.中小企业声明函</w:t>
      </w:r>
    </w:p>
    <w:p>
      <w:pPr>
        <w:pStyle w:val="9"/>
        <w:tabs>
          <w:tab w:val="left" w:pos="562"/>
          <w:tab w:val="left" w:pos="3372"/>
          <w:tab w:val="left" w:pos="3653"/>
        </w:tabs>
        <w:ind w:firstLine="960" w:firstLineChars="400"/>
        <w:rPr>
          <w:rFonts w:ascii="宋体" w:hAnsi="宋体" w:cs="宋体"/>
          <w:color w:val="auto"/>
          <w:kern w:val="0"/>
          <w:highlight w:val="none"/>
        </w:rPr>
      </w:pPr>
      <w:r>
        <w:rPr>
          <w:rFonts w:hint="eastAsia" w:ascii="宋体" w:hAnsi="宋体" w:cs="宋体"/>
          <w:color w:val="auto"/>
          <w:kern w:val="0"/>
          <w:highlight w:val="none"/>
        </w:rPr>
        <w:t>2.面向中小企业预留项目执行情况公告</w:t>
      </w:r>
    </w:p>
    <w:p>
      <w:pPr>
        <w:pStyle w:val="9"/>
        <w:tabs>
          <w:tab w:val="left" w:pos="562"/>
          <w:tab w:val="left" w:pos="3372"/>
          <w:tab w:val="left" w:pos="3653"/>
        </w:tabs>
        <w:spacing w:before="30"/>
        <w:rPr>
          <w:rFonts w:ascii="宋体" w:hAnsi="宋体" w:cs="宋体"/>
          <w:b/>
          <w:bCs/>
          <w:color w:val="auto"/>
          <w:highlight w:val="none"/>
        </w:rPr>
      </w:pPr>
      <w:r>
        <w:rPr>
          <w:rFonts w:hint="eastAsia" w:ascii="宋体" w:hAnsi="宋体" w:cs="宋体"/>
          <w:b/>
          <w:bCs/>
          <w:color w:val="auto"/>
          <w:highlight w:val="none"/>
        </w:rPr>
        <w:br w:type="page"/>
      </w:r>
      <w:r>
        <w:rPr>
          <w:rFonts w:hint="eastAsia" w:ascii="宋体" w:hAnsi="宋体" w:cs="宋体"/>
          <w:b/>
          <w:bCs/>
          <w:color w:val="auto"/>
          <w:highlight w:val="none"/>
        </w:rPr>
        <w:t>附 1</w:t>
      </w:r>
    </w:p>
    <w:p>
      <w:pPr>
        <w:spacing w:after="319" w:afterLines="100"/>
        <w:jc w:val="center"/>
        <w:rPr>
          <w:rFonts w:ascii="宋体" w:hAnsi="宋体" w:cs="宋体"/>
          <w:color w:val="auto"/>
          <w:sz w:val="24"/>
          <w:highlight w:val="none"/>
        </w:rPr>
      </w:pPr>
      <w:r>
        <w:rPr>
          <w:rFonts w:hint="eastAsia" w:ascii="宋体" w:hAnsi="宋体" w:cs="宋体"/>
          <w:color w:val="auto"/>
          <w:sz w:val="24"/>
          <w:highlight w:val="none"/>
        </w:rPr>
        <w:t>中小企业声明函（货物）</w:t>
      </w:r>
    </w:p>
    <w:p>
      <w:pPr>
        <w:pStyle w:val="9"/>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本公司（联合体）郑重声明，根据《政府采购促进中小企业发展管理办法》（财库﹝2020﹞46 号）的规定，本公司（联合体）参加（</w:t>
      </w:r>
      <w:r>
        <w:rPr>
          <w:rFonts w:hint="eastAsia" w:ascii="宋体" w:hAnsi="宋体" w:cs="宋体"/>
          <w:color w:val="auto"/>
          <w:spacing w:val="-2"/>
          <w:highlight w:val="none"/>
          <w:u w:val="single"/>
        </w:rPr>
        <w:t>单位名称</w:t>
      </w:r>
      <w:r>
        <w:rPr>
          <w:rFonts w:hint="eastAsia" w:ascii="宋体" w:hAnsi="宋体" w:cs="宋体"/>
          <w:color w:val="auto"/>
          <w:spacing w:val="-2"/>
          <w:highlight w:val="none"/>
        </w:rPr>
        <w:t>）的（</w:t>
      </w:r>
      <w:r>
        <w:rPr>
          <w:rFonts w:hint="eastAsia" w:ascii="宋体" w:hAnsi="宋体" w:cs="宋体"/>
          <w:color w:val="auto"/>
          <w:spacing w:val="-2"/>
          <w:highlight w:val="none"/>
          <w:u w:val="single"/>
        </w:rPr>
        <w:t>项目名称</w:t>
      </w:r>
      <w:r>
        <w:rPr>
          <w:rFonts w:hint="eastAsia" w:ascii="宋体" w:hAnsi="宋体" w:cs="宋体"/>
          <w:color w:val="auto"/>
          <w:spacing w:val="-2"/>
          <w:highlight w:val="none"/>
        </w:rPr>
        <w:t>）采购活动，提供的货物全部由符合政策要求的中小企业制造。相关企业（含联合体中的中小企业、签订分包意向协议的中小企业） 的具体情况如下：</w:t>
      </w:r>
    </w:p>
    <w:p>
      <w:pPr>
        <w:pStyle w:val="9"/>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u w:val="single"/>
        </w:rPr>
        <w:t>标的名称</w:t>
      </w:r>
      <w:r>
        <w:rPr>
          <w:rFonts w:hint="eastAsia" w:ascii="宋体" w:hAnsi="宋体" w:cs="宋体"/>
          <w:color w:val="auto"/>
          <w:kern w:val="0"/>
          <w:highlight w:val="none"/>
        </w:rPr>
        <w:t>），属于（</w:t>
      </w:r>
      <w:r>
        <w:rPr>
          <w:rFonts w:hint="eastAsia" w:ascii="宋体" w:hAnsi="宋体" w:cs="宋体"/>
          <w:color w:val="auto"/>
          <w:kern w:val="0"/>
          <w:highlight w:val="none"/>
          <w:u w:val="single"/>
        </w:rPr>
        <w:t>采购文件中明确的所属行业</w:t>
      </w:r>
      <w:r>
        <w:rPr>
          <w:rFonts w:hint="eastAsia" w:ascii="宋体" w:hAnsi="宋体" w:cs="宋体"/>
          <w:color w:val="auto"/>
          <w:kern w:val="0"/>
          <w:highlight w:val="none"/>
        </w:rPr>
        <w:t>）；制造商为（</w:t>
      </w:r>
      <w:r>
        <w:rPr>
          <w:rFonts w:hint="eastAsia" w:ascii="宋体" w:hAnsi="宋体" w:cs="宋体"/>
          <w:color w:val="auto"/>
          <w:kern w:val="0"/>
          <w:highlight w:val="none"/>
          <w:u w:val="single"/>
        </w:rPr>
        <w:t>企业名称</w:t>
      </w:r>
      <w:r>
        <w:rPr>
          <w:rFonts w:hint="eastAsia" w:ascii="宋体" w:hAnsi="宋体" w:cs="宋体"/>
          <w:color w:val="auto"/>
          <w:kern w:val="0"/>
          <w:highlight w:val="none"/>
        </w:rPr>
        <w:t>），从业人员</w:t>
      </w:r>
      <w:r>
        <w:rPr>
          <w:rFonts w:hint="eastAsia" w:ascii="宋体" w:hAnsi="宋体" w:cs="宋体"/>
          <w:color w:val="auto"/>
          <w:kern w:val="0"/>
          <w:highlight w:val="none"/>
          <w:u w:val="single"/>
        </w:rPr>
        <w:tab/>
      </w:r>
      <w:r>
        <w:rPr>
          <w:rFonts w:hint="eastAsia" w:ascii="宋体" w:hAnsi="宋体" w:cs="宋体"/>
          <w:color w:val="auto"/>
          <w:kern w:val="0"/>
          <w:highlight w:val="none"/>
        </w:rPr>
        <w:t xml:space="preserve">人，营业收入为 </w:t>
      </w:r>
      <w:r>
        <w:rPr>
          <w:rFonts w:hint="eastAsia" w:ascii="宋体" w:hAnsi="宋体" w:cs="宋体"/>
          <w:color w:val="auto"/>
          <w:kern w:val="0"/>
          <w:highlight w:val="none"/>
          <w:u w:val="single"/>
        </w:rPr>
        <w:tab/>
      </w:r>
      <w:r>
        <w:rPr>
          <w:rFonts w:hint="eastAsia" w:ascii="宋体" w:hAnsi="宋体" w:cs="宋体"/>
          <w:color w:val="auto"/>
          <w:kern w:val="0"/>
          <w:highlight w:val="none"/>
        </w:rPr>
        <w:t>万元，资产总额为</w:t>
      </w:r>
      <w:r>
        <w:rPr>
          <w:rFonts w:hint="eastAsia" w:ascii="宋体" w:hAnsi="宋体" w:cs="宋体"/>
          <w:color w:val="auto"/>
          <w:kern w:val="0"/>
          <w:highlight w:val="none"/>
          <w:u w:val="single"/>
        </w:rPr>
        <w:tab/>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万元，属于（</w:t>
      </w:r>
      <w:r>
        <w:rPr>
          <w:rFonts w:hint="eastAsia" w:ascii="宋体" w:hAnsi="宋体" w:cs="宋体"/>
          <w:color w:val="auto"/>
          <w:kern w:val="0"/>
          <w:highlight w:val="none"/>
          <w:u w:val="single"/>
        </w:rPr>
        <w:t>中型企业、小型企业、微型企业</w:t>
      </w:r>
      <w:r>
        <w:rPr>
          <w:rFonts w:hint="eastAsia" w:ascii="宋体" w:hAnsi="宋体" w:cs="宋体"/>
          <w:color w:val="auto"/>
          <w:kern w:val="0"/>
          <w:highlight w:val="none"/>
        </w:rPr>
        <w:t>）；</w:t>
      </w:r>
    </w:p>
    <w:p>
      <w:pPr>
        <w:pStyle w:val="9"/>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2、（</w:t>
      </w:r>
      <w:r>
        <w:rPr>
          <w:rFonts w:hint="eastAsia" w:ascii="宋体" w:hAnsi="宋体" w:cs="宋体"/>
          <w:color w:val="auto"/>
          <w:spacing w:val="-2"/>
          <w:highlight w:val="none"/>
          <w:u w:val="single"/>
        </w:rPr>
        <w:t>标的名称</w:t>
      </w:r>
      <w:r>
        <w:rPr>
          <w:rFonts w:hint="eastAsia" w:ascii="宋体" w:hAnsi="宋体" w:cs="宋体"/>
          <w:color w:val="auto"/>
          <w:spacing w:val="-2"/>
          <w:highlight w:val="none"/>
        </w:rPr>
        <w:t>），属于（</w:t>
      </w:r>
      <w:r>
        <w:rPr>
          <w:rFonts w:hint="eastAsia" w:ascii="宋体" w:hAnsi="宋体" w:cs="宋体"/>
          <w:color w:val="auto"/>
          <w:spacing w:val="-2"/>
          <w:highlight w:val="none"/>
          <w:u w:val="single"/>
        </w:rPr>
        <w:t>采购文件中明确的所属行业</w:t>
      </w:r>
      <w:r>
        <w:rPr>
          <w:rFonts w:hint="eastAsia" w:ascii="宋体" w:hAnsi="宋体" w:cs="宋体"/>
          <w:color w:val="auto"/>
          <w:spacing w:val="-2"/>
          <w:highlight w:val="none"/>
        </w:rPr>
        <w:t>）；制造商为（</w:t>
      </w:r>
      <w:r>
        <w:rPr>
          <w:rFonts w:hint="eastAsia" w:ascii="宋体" w:hAnsi="宋体" w:cs="宋体"/>
          <w:color w:val="auto"/>
          <w:spacing w:val="-2"/>
          <w:highlight w:val="none"/>
          <w:u w:val="single"/>
        </w:rPr>
        <w:t>企业名称</w:t>
      </w:r>
      <w:r>
        <w:rPr>
          <w:rFonts w:hint="eastAsia" w:ascii="宋体" w:hAnsi="宋体" w:cs="宋体"/>
          <w:color w:val="auto"/>
          <w:spacing w:val="-2"/>
          <w:highlight w:val="none"/>
        </w:rPr>
        <w:t>），从业人员</w:t>
      </w:r>
      <w:r>
        <w:rPr>
          <w:rFonts w:hint="eastAsia" w:ascii="宋体" w:hAnsi="宋体" w:cs="宋体"/>
          <w:color w:val="auto"/>
          <w:spacing w:val="-2"/>
          <w:highlight w:val="none"/>
          <w:u w:val="single"/>
        </w:rPr>
        <w:t xml:space="preserve">    </w:t>
      </w:r>
      <w:r>
        <w:rPr>
          <w:rFonts w:hint="eastAsia" w:ascii="宋体" w:hAnsi="宋体" w:cs="宋体"/>
          <w:color w:val="auto"/>
          <w:spacing w:val="-2"/>
          <w:highlight w:val="none"/>
        </w:rPr>
        <w:t>人，营业收入为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万元，资产总额为</w:t>
      </w:r>
      <w:r>
        <w:rPr>
          <w:rFonts w:hint="eastAsia" w:ascii="宋体" w:hAnsi="宋体" w:cs="宋体"/>
          <w:color w:val="auto"/>
          <w:spacing w:val="-2"/>
          <w:highlight w:val="none"/>
          <w:u w:val="single"/>
        </w:rPr>
        <w:t xml:space="preserve">   </w:t>
      </w:r>
      <w:r>
        <w:rPr>
          <w:rFonts w:hint="eastAsia" w:ascii="宋体" w:hAnsi="宋体" w:cs="宋体"/>
          <w:color w:val="auto"/>
          <w:spacing w:val="-2"/>
          <w:highlight w:val="none"/>
        </w:rPr>
        <w:t>万元，属于（</w:t>
      </w:r>
      <w:r>
        <w:rPr>
          <w:rFonts w:hint="eastAsia" w:ascii="宋体" w:hAnsi="宋体" w:cs="宋体"/>
          <w:color w:val="auto"/>
          <w:spacing w:val="-2"/>
          <w:highlight w:val="none"/>
          <w:u w:val="single"/>
        </w:rPr>
        <w:t>中型企业、小型企业、微型企业</w:t>
      </w:r>
      <w:r>
        <w:rPr>
          <w:rFonts w:hint="eastAsia" w:ascii="宋体" w:hAnsi="宋体" w:cs="宋体"/>
          <w:color w:val="auto"/>
          <w:spacing w:val="-2"/>
          <w:highlight w:val="none"/>
        </w:rPr>
        <w:t>）；</w:t>
      </w:r>
    </w:p>
    <w:p>
      <w:pPr>
        <w:pStyle w:val="9"/>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w:t>
      </w:r>
    </w:p>
    <w:p>
      <w:pPr>
        <w:pStyle w:val="9"/>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以上企业，不属于大企业的分支机构，不存在控股股东为大企业的情形，也不存在与大企业的负责人为同一人的情形。</w:t>
      </w:r>
    </w:p>
    <w:p>
      <w:pPr>
        <w:pStyle w:val="9"/>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本企业对上述声明内容的真实性负责。如有虚假，将依法承担相应责任。</w:t>
      </w:r>
    </w:p>
    <w:p>
      <w:pPr>
        <w:pStyle w:val="9"/>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w:t>
      </w:r>
      <w:r>
        <w:rPr>
          <w:rFonts w:hint="eastAsia" w:ascii="宋体" w:hAnsi="宋体" w:cs="宋体"/>
          <w:color w:val="auto"/>
          <w:spacing w:val="-2"/>
          <w:highlight w:val="none"/>
          <w:lang w:eastAsia="zh-CN"/>
        </w:rPr>
        <w:t>《中华人民共和国政府采购法》</w:t>
      </w:r>
      <w:r>
        <w:rPr>
          <w:rFonts w:hint="eastAsia" w:ascii="宋体" w:hAnsi="宋体" w:cs="宋体"/>
          <w:color w:val="auto"/>
          <w:spacing w:val="-2"/>
          <w:highlight w:val="none"/>
        </w:rPr>
        <w:t>等政府采购有关法律法规规定追究相应责任。</w:t>
      </w:r>
    </w:p>
    <w:p>
      <w:pPr>
        <w:pStyle w:val="9"/>
        <w:tabs>
          <w:tab w:val="left" w:pos="562"/>
          <w:tab w:val="left" w:pos="3372"/>
          <w:tab w:val="left" w:pos="3653"/>
        </w:tabs>
        <w:ind w:left="4200" w:leftChars="2000"/>
        <w:rPr>
          <w:rFonts w:ascii="宋体" w:hAnsi="宋体" w:cs="宋体"/>
          <w:color w:val="auto"/>
          <w:highlight w:val="none"/>
        </w:rPr>
      </w:pPr>
      <w:r>
        <w:rPr>
          <w:rFonts w:hint="eastAsia" w:ascii="宋体" w:hAnsi="宋体" w:cs="宋体"/>
          <w:color w:val="auto"/>
          <w:spacing w:val="-2"/>
          <w:highlight w:val="none"/>
        </w:rPr>
        <w:t>企业名称（盖章）日期：</w:t>
      </w:r>
    </w:p>
    <w:p>
      <w:pPr>
        <w:pStyle w:val="9"/>
        <w:tabs>
          <w:tab w:val="left" w:pos="562"/>
          <w:tab w:val="left" w:pos="3372"/>
          <w:tab w:val="left" w:pos="3653"/>
        </w:tabs>
        <w:jc w:val="center"/>
        <w:rPr>
          <w:rFonts w:ascii="宋体" w:hAnsi="宋体" w:cs="宋体"/>
          <w:color w:val="auto"/>
          <w:spacing w:val="-2"/>
          <w:highlight w:val="none"/>
        </w:rPr>
      </w:pPr>
      <w:r>
        <w:rPr>
          <w:rFonts w:hint="eastAsia" w:ascii="宋体" w:hAnsi="宋体" w:cs="宋体"/>
          <w:color w:val="auto"/>
          <w:spacing w:val="-2"/>
          <w:highlight w:val="none"/>
        </w:rPr>
        <w:t>从业人员、营业收入、资产总额填报上一年度数据，无上一年度数据的新成立企业可不填报。</w:t>
      </w:r>
    </w:p>
    <w:p>
      <w:pPr>
        <w:spacing w:after="319" w:afterLines="100"/>
        <w:jc w:val="center"/>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中小企业声明函（工程、服务）</w:t>
      </w:r>
    </w:p>
    <w:p>
      <w:pPr>
        <w:pStyle w:val="9"/>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本公司（联合体）郑重声明，根据《政府采购促进中小企业发展管理办法》（财库﹝2020﹞46 号）的规定，本公司（联合体）参加（</w:t>
      </w:r>
      <w:r>
        <w:rPr>
          <w:rFonts w:hint="eastAsia" w:ascii="宋体" w:hAnsi="宋体" w:cs="宋体"/>
          <w:color w:val="auto"/>
          <w:spacing w:val="-2"/>
          <w:highlight w:val="none"/>
          <w:u w:val="single"/>
        </w:rPr>
        <w:t>单位名称</w:t>
      </w:r>
      <w:r>
        <w:rPr>
          <w:rFonts w:hint="eastAsia" w:ascii="宋体" w:hAnsi="宋体" w:cs="宋体"/>
          <w:color w:val="auto"/>
          <w:spacing w:val="-2"/>
          <w:highlight w:val="none"/>
        </w:rPr>
        <w:t>）的（</w:t>
      </w:r>
      <w:r>
        <w:rPr>
          <w:rFonts w:hint="eastAsia" w:ascii="宋体" w:hAnsi="宋体" w:cs="宋体"/>
          <w:color w:val="auto"/>
          <w:spacing w:val="-2"/>
          <w:highlight w:val="none"/>
          <w:u w:val="single"/>
        </w:rPr>
        <w:t>项目名称</w:t>
      </w:r>
      <w:r>
        <w:rPr>
          <w:rFonts w:hint="eastAsia" w:ascii="宋体" w:hAnsi="宋体" w:cs="宋体"/>
          <w:color w:val="auto"/>
          <w:spacing w:val="-2"/>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9"/>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1、（</w:t>
      </w:r>
      <w:r>
        <w:rPr>
          <w:rFonts w:hint="eastAsia" w:ascii="宋体" w:hAnsi="宋体" w:cs="宋体"/>
          <w:color w:val="auto"/>
          <w:spacing w:val="-2"/>
          <w:highlight w:val="none"/>
          <w:u w:val="single"/>
        </w:rPr>
        <w:t>标的名称</w:t>
      </w:r>
      <w:r>
        <w:rPr>
          <w:rFonts w:hint="eastAsia" w:ascii="宋体" w:hAnsi="宋体" w:cs="宋体"/>
          <w:color w:val="auto"/>
          <w:spacing w:val="-2"/>
          <w:highlight w:val="none"/>
        </w:rPr>
        <w:t>），属于（</w:t>
      </w:r>
      <w:r>
        <w:rPr>
          <w:rFonts w:hint="eastAsia" w:ascii="宋体" w:hAnsi="宋体" w:cs="宋体"/>
          <w:color w:val="auto"/>
          <w:spacing w:val="-2"/>
          <w:highlight w:val="none"/>
          <w:u w:val="single"/>
        </w:rPr>
        <w:t>采购文件中明确的所属行业</w:t>
      </w:r>
      <w:r>
        <w:rPr>
          <w:rFonts w:hint="eastAsia" w:ascii="宋体" w:hAnsi="宋体" w:cs="宋体"/>
          <w:color w:val="auto"/>
          <w:spacing w:val="-2"/>
          <w:highlight w:val="none"/>
        </w:rPr>
        <w:t>）；承建（承接）企业为（</w:t>
      </w:r>
      <w:r>
        <w:rPr>
          <w:rFonts w:hint="eastAsia" w:ascii="宋体" w:hAnsi="宋体" w:cs="宋体"/>
          <w:color w:val="auto"/>
          <w:spacing w:val="-2"/>
          <w:highlight w:val="none"/>
          <w:u w:val="single"/>
        </w:rPr>
        <w:t>企业名称</w:t>
      </w:r>
      <w:r>
        <w:rPr>
          <w:rFonts w:hint="eastAsia" w:ascii="宋体" w:hAnsi="宋体" w:cs="宋体"/>
          <w:color w:val="auto"/>
          <w:spacing w:val="-2"/>
          <w:highlight w:val="none"/>
        </w:rPr>
        <w:t>），从业人员</w:t>
      </w:r>
      <w:r>
        <w:rPr>
          <w:rFonts w:hint="eastAsia" w:ascii="宋体" w:hAnsi="宋体" w:cs="宋体"/>
          <w:color w:val="auto"/>
          <w:spacing w:val="-2"/>
          <w:highlight w:val="none"/>
          <w:u w:val="single"/>
        </w:rPr>
        <w:tab/>
      </w:r>
      <w:r>
        <w:rPr>
          <w:rFonts w:hint="eastAsia" w:ascii="宋体" w:hAnsi="宋体" w:cs="宋体"/>
          <w:color w:val="auto"/>
          <w:spacing w:val="-2"/>
          <w:highlight w:val="none"/>
        </w:rPr>
        <w:t>人，营业收入为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万元，资产总额为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万元，属于（</w:t>
      </w:r>
      <w:r>
        <w:rPr>
          <w:rFonts w:hint="eastAsia" w:ascii="宋体" w:hAnsi="宋体" w:cs="宋体"/>
          <w:color w:val="auto"/>
          <w:spacing w:val="-2"/>
          <w:highlight w:val="none"/>
          <w:u w:val="single"/>
        </w:rPr>
        <w:t>中型企业、小型企业、微型企业</w:t>
      </w:r>
      <w:r>
        <w:rPr>
          <w:rFonts w:hint="eastAsia" w:ascii="宋体" w:hAnsi="宋体" w:cs="宋体"/>
          <w:color w:val="auto"/>
          <w:spacing w:val="-2"/>
          <w:highlight w:val="none"/>
        </w:rPr>
        <w:t>）。</w:t>
      </w:r>
    </w:p>
    <w:p>
      <w:pPr>
        <w:pStyle w:val="9"/>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2、（</w:t>
      </w:r>
      <w:r>
        <w:rPr>
          <w:rFonts w:hint="eastAsia" w:ascii="宋体" w:hAnsi="宋体" w:cs="宋体"/>
          <w:color w:val="auto"/>
          <w:spacing w:val="-2"/>
          <w:highlight w:val="none"/>
          <w:u w:val="single"/>
        </w:rPr>
        <w:t>标的名称</w:t>
      </w:r>
      <w:r>
        <w:rPr>
          <w:rFonts w:hint="eastAsia" w:ascii="宋体" w:hAnsi="宋体" w:cs="宋体"/>
          <w:color w:val="auto"/>
          <w:spacing w:val="-2"/>
          <w:highlight w:val="none"/>
        </w:rPr>
        <w:t>），属于（</w:t>
      </w:r>
      <w:r>
        <w:rPr>
          <w:rFonts w:hint="eastAsia" w:ascii="宋体" w:hAnsi="宋体" w:cs="宋体"/>
          <w:color w:val="auto"/>
          <w:spacing w:val="-2"/>
          <w:highlight w:val="none"/>
          <w:u w:val="single"/>
        </w:rPr>
        <w:t>采购文件中明确的所属行业</w:t>
      </w:r>
      <w:r>
        <w:rPr>
          <w:rFonts w:hint="eastAsia" w:ascii="宋体" w:hAnsi="宋体" w:cs="宋体"/>
          <w:color w:val="auto"/>
          <w:spacing w:val="-2"/>
          <w:highlight w:val="none"/>
        </w:rPr>
        <w:t>） ；承建（承接）企业为（</w:t>
      </w:r>
      <w:r>
        <w:rPr>
          <w:rFonts w:hint="eastAsia" w:ascii="宋体" w:hAnsi="宋体" w:cs="宋体"/>
          <w:color w:val="auto"/>
          <w:spacing w:val="-2"/>
          <w:highlight w:val="none"/>
          <w:u w:val="single"/>
        </w:rPr>
        <w:t>企业名称</w:t>
      </w:r>
      <w:r>
        <w:rPr>
          <w:rFonts w:hint="eastAsia" w:ascii="宋体" w:hAnsi="宋体" w:cs="宋体"/>
          <w:color w:val="auto"/>
          <w:spacing w:val="-2"/>
          <w:highlight w:val="none"/>
        </w:rPr>
        <w:t>），从业人员</w:t>
      </w:r>
      <w:r>
        <w:rPr>
          <w:rFonts w:hint="eastAsia" w:ascii="宋体" w:hAnsi="宋体" w:cs="宋体"/>
          <w:color w:val="auto"/>
          <w:spacing w:val="-2"/>
          <w:highlight w:val="none"/>
          <w:u w:val="single"/>
        </w:rPr>
        <w:tab/>
      </w:r>
      <w:r>
        <w:rPr>
          <w:rFonts w:hint="eastAsia" w:ascii="宋体" w:hAnsi="宋体" w:cs="宋体"/>
          <w:color w:val="auto"/>
          <w:spacing w:val="-2"/>
          <w:highlight w:val="none"/>
        </w:rPr>
        <w:t>人，营业收入为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万元，资产总额为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万元，属于（</w:t>
      </w:r>
      <w:r>
        <w:rPr>
          <w:rFonts w:hint="eastAsia" w:ascii="宋体" w:hAnsi="宋体" w:cs="宋体"/>
          <w:color w:val="auto"/>
          <w:spacing w:val="-2"/>
          <w:highlight w:val="none"/>
          <w:u w:val="single"/>
        </w:rPr>
        <w:t>中型企业、小型企业、微型企业</w:t>
      </w:r>
      <w:r>
        <w:rPr>
          <w:rFonts w:hint="eastAsia" w:ascii="宋体" w:hAnsi="宋体" w:cs="宋体"/>
          <w:color w:val="auto"/>
          <w:spacing w:val="-2"/>
          <w:highlight w:val="none"/>
        </w:rPr>
        <w:t>）；</w:t>
      </w:r>
    </w:p>
    <w:p>
      <w:pPr>
        <w:pStyle w:val="9"/>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w:t>
      </w:r>
    </w:p>
    <w:p>
      <w:pPr>
        <w:pStyle w:val="9"/>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以上企业，不属于大企业的分支机构，不存在控股股东为大企业的情形，也不存在与大企业的负责人为同一人的情形。</w:t>
      </w:r>
    </w:p>
    <w:p>
      <w:pPr>
        <w:pStyle w:val="9"/>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本企业对上述声明内容的真实性负责。如有虚假，将依法承担相应责任。</w:t>
      </w:r>
    </w:p>
    <w:p>
      <w:pPr>
        <w:pStyle w:val="9"/>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w:t>
      </w:r>
      <w:r>
        <w:rPr>
          <w:rFonts w:hint="eastAsia" w:ascii="宋体" w:hAnsi="宋体" w:cs="宋体"/>
          <w:color w:val="auto"/>
          <w:spacing w:val="-2"/>
          <w:highlight w:val="none"/>
          <w:lang w:eastAsia="zh-CN"/>
        </w:rPr>
        <w:t>《中华人民共和国政府采购法》</w:t>
      </w:r>
      <w:r>
        <w:rPr>
          <w:rFonts w:hint="eastAsia" w:ascii="宋体" w:hAnsi="宋体" w:cs="宋体"/>
          <w:color w:val="auto"/>
          <w:spacing w:val="-2"/>
          <w:highlight w:val="none"/>
        </w:rPr>
        <w:t>等政府采购有关法律法规规定追究相应责任。</w:t>
      </w:r>
    </w:p>
    <w:p>
      <w:pPr>
        <w:pStyle w:val="9"/>
        <w:tabs>
          <w:tab w:val="left" w:pos="562"/>
          <w:tab w:val="left" w:pos="3372"/>
          <w:tab w:val="left" w:pos="3653"/>
        </w:tabs>
        <w:ind w:left="4200" w:leftChars="2000"/>
        <w:rPr>
          <w:rFonts w:ascii="宋体" w:hAnsi="宋体" w:cs="宋体"/>
          <w:color w:val="auto"/>
          <w:spacing w:val="-2"/>
          <w:highlight w:val="none"/>
        </w:rPr>
      </w:pPr>
    </w:p>
    <w:p>
      <w:pPr>
        <w:pStyle w:val="9"/>
        <w:tabs>
          <w:tab w:val="left" w:pos="562"/>
          <w:tab w:val="left" w:pos="3372"/>
          <w:tab w:val="left" w:pos="3653"/>
        </w:tabs>
        <w:ind w:left="4200" w:leftChars="2000"/>
        <w:rPr>
          <w:rFonts w:ascii="宋体" w:hAnsi="宋体" w:cs="宋体"/>
          <w:color w:val="auto"/>
          <w:spacing w:val="-2"/>
          <w:highlight w:val="none"/>
        </w:rPr>
      </w:pPr>
      <w:r>
        <w:rPr>
          <w:rFonts w:hint="eastAsia" w:ascii="宋体" w:hAnsi="宋体" w:cs="宋体"/>
          <w:color w:val="auto"/>
          <w:spacing w:val="-2"/>
          <w:highlight w:val="none"/>
        </w:rPr>
        <w:t>企业名称（盖章）日期：</w:t>
      </w:r>
    </w:p>
    <w:p>
      <w:pPr>
        <w:pStyle w:val="9"/>
        <w:tabs>
          <w:tab w:val="left" w:pos="562"/>
          <w:tab w:val="left" w:pos="3372"/>
          <w:tab w:val="left" w:pos="3653"/>
        </w:tabs>
        <w:rPr>
          <w:rFonts w:ascii="宋体" w:hAnsi="宋体" w:cs="宋体"/>
          <w:color w:val="auto"/>
          <w:spacing w:val="-2"/>
          <w:highlight w:val="none"/>
        </w:rPr>
      </w:pPr>
    </w:p>
    <w:p>
      <w:pPr>
        <w:pStyle w:val="9"/>
        <w:tabs>
          <w:tab w:val="left" w:pos="562"/>
          <w:tab w:val="left" w:pos="3372"/>
          <w:tab w:val="left" w:pos="3653"/>
        </w:tabs>
        <w:spacing w:before="30"/>
        <w:rPr>
          <w:rFonts w:ascii="宋体" w:hAnsi="宋体" w:cs="宋体"/>
          <w:color w:val="auto"/>
          <w:highlight w:val="none"/>
        </w:rPr>
      </w:pPr>
      <w:r>
        <w:rPr>
          <w:rFonts w:hint="eastAsia" w:ascii="宋体" w:hAnsi="宋体" w:cs="宋体"/>
          <w:color w:val="auto"/>
          <w:spacing w:val="-2"/>
          <w:highlight w:val="none"/>
        </w:rPr>
        <w:t>从业人员、营业收入、资产总额填报上一年度数据，无上一年度数据的新成立企业可不填报。</w:t>
      </w:r>
      <w:r>
        <w:rPr>
          <w:rFonts w:hint="eastAsia" w:ascii="宋体" w:hAnsi="宋体" w:cs="宋体"/>
          <w:color w:val="auto"/>
          <w:highlight w:val="none"/>
        </w:rPr>
        <w:br w:type="page"/>
      </w:r>
      <w:r>
        <w:rPr>
          <w:rFonts w:hint="eastAsia" w:ascii="宋体" w:hAnsi="宋体" w:cs="宋体"/>
          <w:b/>
          <w:bCs/>
          <w:color w:val="auto"/>
          <w:highlight w:val="none"/>
        </w:rPr>
        <w:t>附 2</w:t>
      </w:r>
    </w:p>
    <w:p>
      <w:pPr>
        <w:jc w:val="center"/>
        <w:rPr>
          <w:rFonts w:ascii="宋体" w:hAnsi="宋体" w:cs="宋体"/>
          <w:b/>
          <w:color w:val="auto"/>
          <w:sz w:val="24"/>
          <w:highlight w:val="none"/>
        </w:rPr>
      </w:pPr>
      <w:r>
        <w:rPr>
          <w:rFonts w:hint="eastAsia" w:ascii="宋体" w:hAnsi="宋体" w:cs="宋体"/>
          <w:color w:val="auto"/>
          <w:spacing w:val="-3"/>
          <w:sz w:val="24"/>
          <w:highlight w:val="none"/>
          <w:u w:val="single" w:color="000000"/>
        </w:rPr>
        <w:t>（单位名称）</w:t>
      </w:r>
      <w:r>
        <w:rPr>
          <w:rFonts w:hint="eastAsia" w:ascii="宋体" w:hAnsi="宋体" w:cs="宋体"/>
          <w:color w:val="auto"/>
          <w:spacing w:val="-29"/>
          <w:sz w:val="24"/>
          <w:highlight w:val="none"/>
        </w:rPr>
        <w:t>××</w:t>
      </w:r>
      <w:r>
        <w:rPr>
          <w:rFonts w:hint="eastAsia" w:ascii="宋体" w:hAnsi="宋体" w:cs="宋体"/>
          <w:b/>
          <w:color w:val="auto"/>
          <w:sz w:val="24"/>
          <w:highlight w:val="none"/>
        </w:rPr>
        <w:t>年面向中小企业预留项目执行情况公告</w:t>
      </w:r>
    </w:p>
    <w:p>
      <w:pPr>
        <w:pStyle w:val="9"/>
        <w:tabs>
          <w:tab w:val="left" w:pos="562"/>
          <w:tab w:val="left" w:pos="3372"/>
          <w:tab w:val="left" w:pos="3653"/>
        </w:tabs>
        <w:ind w:firstLine="480" w:firstLineChars="200"/>
        <w:rPr>
          <w:rFonts w:ascii="宋体" w:hAnsi="宋体" w:cs="宋体"/>
          <w:color w:val="auto"/>
          <w:highlight w:val="none"/>
        </w:rPr>
      </w:pPr>
      <w:r>
        <w:rPr>
          <w:rFonts w:hint="eastAsia" w:ascii="宋体" w:hAnsi="宋体" w:cs="宋体"/>
          <w:color w:val="auto"/>
          <w:highlight w:val="none"/>
        </w:rPr>
        <w:t>根据《政府采购促进中小企业发展管理办法》（财库﹝2020﹞46</w:t>
      </w:r>
      <w:r>
        <w:rPr>
          <w:rFonts w:hint="eastAsia" w:ascii="宋体" w:hAnsi="宋体" w:cs="宋体"/>
          <w:color w:val="auto"/>
          <w:spacing w:val="-47"/>
          <w:highlight w:val="none"/>
        </w:rPr>
        <w:t xml:space="preserve"> 号</w:t>
      </w:r>
      <w:r>
        <w:rPr>
          <w:rFonts w:hint="eastAsia" w:ascii="宋体" w:hAnsi="宋体" w:cs="宋体"/>
          <w:color w:val="auto"/>
          <w:spacing w:val="-22"/>
          <w:highlight w:val="none"/>
        </w:rPr>
        <w:t>）</w:t>
      </w:r>
      <w:r>
        <w:rPr>
          <w:rFonts w:hint="eastAsia" w:ascii="宋体" w:hAnsi="宋体" w:cs="宋体"/>
          <w:color w:val="auto"/>
          <w:spacing w:val="-7"/>
          <w:highlight w:val="none"/>
        </w:rPr>
        <w:t>要求，现对本部门</w:t>
      </w:r>
      <w:r>
        <w:rPr>
          <w:rFonts w:hint="eastAsia" w:ascii="宋体" w:hAnsi="宋体" w:cs="宋体"/>
          <w:color w:val="auto"/>
          <w:spacing w:val="-3"/>
          <w:highlight w:val="none"/>
        </w:rPr>
        <w:t>（</w:t>
      </w:r>
      <w:r>
        <w:rPr>
          <w:rFonts w:hint="eastAsia" w:ascii="宋体" w:hAnsi="宋体" w:cs="宋体"/>
          <w:color w:val="auto"/>
          <w:highlight w:val="none"/>
        </w:rPr>
        <w:t>单位</w:t>
      </w:r>
      <w:r>
        <w:rPr>
          <w:rFonts w:hint="eastAsia" w:ascii="宋体" w:hAnsi="宋体" w:cs="宋体"/>
          <w:color w:val="auto"/>
          <w:spacing w:val="-7"/>
          <w:highlight w:val="none"/>
        </w:rPr>
        <w:t>）</w:t>
      </w:r>
      <w:r>
        <w:rPr>
          <w:rFonts w:hint="eastAsia" w:ascii="宋体" w:hAnsi="宋体" w:cs="宋体"/>
          <w:color w:val="auto"/>
          <w:spacing w:val="-4"/>
          <w:highlight w:val="none"/>
        </w:rPr>
        <w:t>××年面向中小企业预留项目执行情况公告如下：</w:t>
      </w:r>
    </w:p>
    <w:p>
      <w:pPr>
        <w:pStyle w:val="9"/>
        <w:tabs>
          <w:tab w:val="left" w:pos="562"/>
          <w:tab w:val="left" w:pos="3372"/>
          <w:tab w:val="left" w:pos="3653"/>
        </w:tabs>
        <w:ind w:firstLine="480" w:firstLineChars="200"/>
        <w:rPr>
          <w:rFonts w:ascii="宋体" w:hAnsi="宋体" w:cs="宋体"/>
          <w:color w:val="auto"/>
          <w:highlight w:val="none"/>
        </w:rPr>
      </w:pPr>
      <w:r>
        <w:rPr>
          <w:rFonts w:hint="eastAsia" w:ascii="宋体" w:hAnsi="宋体" w:cs="宋体"/>
          <w:color w:val="auto"/>
          <w:highlight w:val="none"/>
        </w:rPr>
        <w:t>本部门（单位）××年预留项目面向中小企业采购共计××万元，其中，面向小微企业采购××万元，占××%。</w:t>
      </w:r>
    </w:p>
    <w:p>
      <w:pPr>
        <w:pStyle w:val="9"/>
        <w:tabs>
          <w:tab w:val="left" w:pos="562"/>
          <w:tab w:val="left" w:pos="3372"/>
          <w:tab w:val="left" w:pos="3653"/>
        </w:tabs>
        <w:jc w:val="center"/>
        <w:rPr>
          <w:rFonts w:ascii="宋体" w:hAnsi="宋体" w:cs="宋体"/>
          <w:b/>
          <w:bCs/>
          <w:color w:val="auto"/>
          <w:highlight w:val="none"/>
        </w:rPr>
      </w:pPr>
      <w:r>
        <w:rPr>
          <w:rFonts w:hint="eastAsia" w:ascii="宋体" w:hAnsi="宋体" w:cs="宋体"/>
          <w:b/>
          <w:bCs/>
          <w:color w:val="auto"/>
          <w:highlight w:val="none"/>
        </w:rPr>
        <w:t>面向中小企业预留项目明细</w:t>
      </w:r>
    </w:p>
    <w:tbl>
      <w:tblPr>
        <w:tblStyle w:val="22"/>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6"/>
              <w:jc w:val="center"/>
              <w:rPr>
                <w:b/>
                <w:color w:val="auto"/>
                <w:sz w:val="24"/>
                <w:szCs w:val="24"/>
                <w:highlight w:val="none"/>
              </w:rPr>
            </w:pPr>
            <w:r>
              <w:rPr>
                <w:rFonts w:hint="eastAsia"/>
                <w:b/>
                <w:color w:val="auto"/>
                <w:sz w:val="24"/>
                <w:szCs w:val="24"/>
                <w:highlight w:val="none"/>
              </w:rPr>
              <w:t>序号</w:t>
            </w:r>
          </w:p>
        </w:tc>
        <w:tc>
          <w:tcPr>
            <w:tcW w:w="1866" w:type="dxa"/>
            <w:vAlign w:val="center"/>
          </w:tcPr>
          <w:p>
            <w:pPr>
              <w:pStyle w:val="56"/>
              <w:jc w:val="center"/>
              <w:rPr>
                <w:b/>
                <w:color w:val="auto"/>
                <w:sz w:val="24"/>
                <w:szCs w:val="24"/>
                <w:highlight w:val="none"/>
              </w:rPr>
            </w:pPr>
            <w:r>
              <w:rPr>
                <w:rFonts w:hint="eastAsia"/>
                <w:b/>
                <w:color w:val="auto"/>
                <w:sz w:val="24"/>
                <w:szCs w:val="24"/>
                <w:highlight w:val="none"/>
              </w:rPr>
              <w:t>项目名称</w:t>
            </w:r>
          </w:p>
        </w:tc>
        <w:tc>
          <w:tcPr>
            <w:tcW w:w="2010" w:type="dxa"/>
            <w:vAlign w:val="center"/>
          </w:tcPr>
          <w:p>
            <w:pPr>
              <w:pStyle w:val="56"/>
              <w:jc w:val="center"/>
              <w:rPr>
                <w:b/>
                <w:color w:val="auto"/>
                <w:sz w:val="24"/>
                <w:szCs w:val="24"/>
                <w:highlight w:val="none"/>
              </w:rPr>
            </w:pPr>
            <w:r>
              <w:rPr>
                <w:rFonts w:hint="eastAsia"/>
                <w:b/>
                <w:color w:val="auto"/>
                <w:sz w:val="24"/>
                <w:szCs w:val="24"/>
                <w:highlight w:val="none"/>
              </w:rPr>
              <w:t>预留选项</w:t>
            </w:r>
          </w:p>
        </w:tc>
        <w:tc>
          <w:tcPr>
            <w:tcW w:w="2296" w:type="dxa"/>
            <w:vAlign w:val="center"/>
          </w:tcPr>
          <w:p>
            <w:pPr>
              <w:pStyle w:val="56"/>
              <w:jc w:val="center"/>
              <w:rPr>
                <w:b/>
                <w:color w:val="auto"/>
                <w:sz w:val="24"/>
                <w:szCs w:val="24"/>
                <w:highlight w:val="none"/>
              </w:rPr>
            </w:pPr>
            <w:r>
              <w:rPr>
                <w:rFonts w:hint="eastAsia"/>
                <w:b/>
                <w:color w:val="auto"/>
                <w:sz w:val="24"/>
                <w:szCs w:val="24"/>
                <w:highlight w:val="none"/>
              </w:rPr>
              <w:t>面向中小企业采购金额</w:t>
            </w:r>
          </w:p>
        </w:tc>
        <w:tc>
          <w:tcPr>
            <w:tcW w:w="1784" w:type="dxa"/>
            <w:vAlign w:val="center"/>
          </w:tcPr>
          <w:p>
            <w:pPr>
              <w:pStyle w:val="56"/>
              <w:jc w:val="center"/>
              <w:rPr>
                <w:b/>
                <w:color w:val="auto"/>
                <w:sz w:val="24"/>
                <w:szCs w:val="24"/>
                <w:highlight w:val="none"/>
              </w:rPr>
            </w:pPr>
            <w:r>
              <w:rPr>
                <w:rFonts w:hint="eastAsia"/>
                <w:b/>
                <w:color w:val="auto"/>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56"/>
              <w:jc w:val="center"/>
              <w:rPr>
                <w:color w:val="auto"/>
                <w:sz w:val="24"/>
                <w:szCs w:val="24"/>
                <w:highlight w:val="none"/>
              </w:rPr>
            </w:pPr>
          </w:p>
        </w:tc>
        <w:tc>
          <w:tcPr>
            <w:tcW w:w="1866" w:type="dxa"/>
            <w:tcBorders>
              <w:bottom w:val="nil"/>
            </w:tcBorders>
            <w:vAlign w:val="center"/>
          </w:tcPr>
          <w:p>
            <w:pPr>
              <w:pStyle w:val="56"/>
              <w:jc w:val="center"/>
              <w:rPr>
                <w:color w:val="auto"/>
                <w:sz w:val="24"/>
                <w:szCs w:val="24"/>
                <w:highlight w:val="none"/>
              </w:rPr>
            </w:pPr>
          </w:p>
        </w:tc>
        <w:tc>
          <w:tcPr>
            <w:tcW w:w="2010" w:type="dxa"/>
            <w:tcBorders>
              <w:bottom w:val="nil"/>
            </w:tcBorders>
            <w:vAlign w:val="center"/>
          </w:tcPr>
          <w:p>
            <w:pPr>
              <w:pStyle w:val="56"/>
              <w:jc w:val="center"/>
              <w:rPr>
                <w:color w:val="auto"/>
                <w:sz w:val="24"/>
                <w:szCs w:val="24"/>
                <w:highlight w:val="none"/>
              </w:rPr>
            </w:pPr>
            <w:r>
              <w:rPr>
                <w:rFonts w:hint="eastAsia"/>
                <w:color w:val="auto"/>
                <w:sz w:val="24"/>
                <w:szCs w:val="24"/>
                <w:highlight w:val="none"/>
              </w:rPr>
              <w:t>（填写“采购项</w:t>
            </w:r>
          </w:p>
        </w:tc>
        <w:tc>
          <w:tcPr>
            <w:tcW w:w="2296" w:type="dxa"/>
            <w:tcBorders>
              <w:bottom w:val="nil"/>
            </w:tcBorders>
            <w:vAlign w:val="center"/>
          </w:tcPr>
          <w:p>
            <w:pPr>
              <w:pStyle w:val="56"/>
              <w:jc w:val="center"/>
              <w:rPr>
                <w:color w:val="auto"/>
                <w:sz w:val="24"/>
                <w:szCs w:val="24"/>
                <w:highlight w:val="none"/>
              </w:rPr>
            </w:pPr>
          </w:p>
        </w:tc>
        <w:tc>
          <w:tcPr>
            <w:tcW w:w="1784" w:type="dxa"/>
            <w:vMerge w:val="restart"/>
            <w:vAlign w:val="center"/>
          </w:tcPr>
          <w:p>
            <w:pPr>
              <w:pStyle w:val="56"/>
              <w:jc w:val="center"/>
              <w:rPr>
                <w:color w:val="auto"/>
                <w:sz w:val="24"/>
                <w:szCs w:val="24"/>
                <w:highlight w:val="none"/>
              </w:rPr>
            </w:pPr>
          </w:p>
          <w:p>
            <w:pPr>
              <w:pStyle w:val="56"/>
              <w:jc w:val="center"/>
              <w:rPr>
                <w:color w:val="auto"/>
                <w:sz w:val="24"/>
                <w:szCs w:val="24"/>
                <w:highlight w:val="none"/>
              </w:rPr>
            </w:pPr>
          </w:p>
          <w:p>
            <w:pPr>
              <w:pStyle w:val="56"/>
              <w:jc w:val="center"/>
              <w:rPr>
                <w:color w:val="auto"/>
                <w:sz w:val="24"/>
                <w:szCs w:val="24"/>
                <w:highlight w:val="none"/>
              </w:rPr>
            </w:pPr>
            <w:r>
              <w:rPr>
                <w:rFonts w:hint="eastAsia"/>
                <w:color w:val="auto"/>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auto"/>
                <w:sz w:val="24"/>
                <w:highlight w:val="none"/>
              </w:rPr>
            </w:pPr>
          </w:p>
        </w:tc>
        <w:tc>
          <w:tcPr>
            <w:tcW w:w="1866" w:type="dxa"/>
            <w:tcBorders>
              <w:top w:val="nil"/>
              <w:bottom w:val="nil"/>
            </w:tcBorders>
            <w:vAlign w:val="center"/>
          </w:tcPr>
          <w:p>
            <w:pPr>
              <w:pStyle w:val="56"/>
              <w:jc w:val="center"/>
              <w:rPr>
                <w:color w:val="auto"/>
                <w:sz w:val="24"/>
                <w:szCs w:val="24"/>
                <w:highlight w:val="none"/>
              </w:rPr>
            </w:pPr>
          </w:p>
        </w:tc>
        <w:tc>
          <w:tcPr>
            <w:tcW w:w="2010" w:type="dxa"/>
            <w:tcBorders>
              <w:top w:val="nil"/>
              <w:bottom w:val="nil"/>
            </w:tcBorders>
            <w:vAlign w:val="center"/>
          </w:tcPr>
          <w:p>
            <w:pPr>
              <w:pStyle w:val="56"/>
              <w:jc w:val="center"/>
              <w:rPr>
                <w:color w:val="auto"/>
                <w:sz w:val="24"/>
                <w:szCs w:val="24"/>
                <w:highlight w:val="none"/>
              </w:rPr>
            </w:pPr>
            <w:r>
              <w:rPr>
                <w:rFonts w:hint="eastAsia"/>
                <w:color w:val="auto"/>
                <w:sz w:val="24"/>
                <w:szCs w:val="24"/>
                <w:highlight w:val="none"/>
              </w:rPr>
              <w:t>目整体预留”、</w:t>
            </w:r>
          </w:p>
        </w:tc>
        <w:tc>
          <w:tcPr>
            <w:tcW w:w="2296" w:type="dxa"/>
            <w:tcBorders>
              <w:top w:val="nil"/>
              <w:bottom w:val="nil"/>
            </w:tcBorders>
            <w:vAlign w:val="center"/>
          </w:tcPr>
          <w:p>
            <w:pPr>
              <w:pStyle w:val="56"/>
              <w:jc w:val="center"/>
              <w:rPr>
                <w:color w:val="auto"/>
                <w:sz w:val="24"/>
                <w:szCs w:val="24"/>
                <w:highlight w:val="none"/>
              </w:rPr>
            </w:pPr>
          </w:p>
        </w:tc>
        <w:tc>
          <w:tcPr>
            <w:tcW w:w="1784" w:type="dxa"/>
            <w:vMerge w:val="continue"/>
            <w:tcBorders>
              <w:top w:val="nil"/>
            </w:tcBorders>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auto"/>
                <w:sz w:val="24"/>
                <w:highlight w:val="none"/>
              </w:rPr>
            </w:pPr>
          </w:p>
        </w:tc>
        <w:tc>
          <w:tcPr>
            <w:tcW w:w="1866" w:type="dxa"/>
            <w:tcBorders>
              <w:top w:val="nil"/>
              <w:bottom w:val="nil"/>
            </w:tcBorders>
            <w:vAlign w:val="center"/>
          </w:tcPr>
          <w:p>
            <w:pPr>
              <w:pStyle w:val="56"/>
              <w:jc w:val="center"/>
              <w:rPr>
                <w:color w:val="auto"/>
                <w:sz w:val="24"/>
                <w:szCs w:val="24"/>
                <w:highlight w:val="none"/>
              </w:rPr>
            </w:pPr>
          </w:p>
        </w:tc>
        <w:tc>
          <w:tcPr>
            <w:tcW w:w="2010" w:type="dxa"/>
            <w:tcBorders>
              <w:top w:val="nil"/>
              <w:bottom w:val="nil"/>
            </w:tcBorders>
            <w:vAlign w:val="center"/>
          </w:tcPr>
          <w:p>
            <w:pPr>
              <w:pStyle w:val="56"/>
              <w:jc w:val="center"/>
              <w:rPr>
                <w:color w:val="auto"/>
                <w:sz w:val="24"/>
                <w:szCs w:val="24"/>
                <w:highlight w:val="none"/>
              </w:rPr>
            </w:pPr>
            <w:r>
              <w:rPr>
                <w:rFonts w:hint="eastAsia"/>
                <w:color w:val="auto"/>
                <w:sz w:val="24"/>
                <w:szCs w:val="24"/>
                <w:highlight w:val="none"/>
              </w:rPr>
              <w:t>“设置专门采购</w:t>
            </w:r>
          </w:p>
        </w:tc>
        <w:tc>
          <w:tcPr>
            <w:tcW w:w="2296" w:type="dxa"/>
            <w:tcBorders>
              <w:top w:val="nil"/>
              <w:bottom w:val="nil"/>
            </w:tcBorders>
            <w:vAlign w:val="center"/>
          </w:tcPr>
          <w:p>
            <w:pPr>
              <w:pStyle w:val="56"/>
              <w:jc w:val="center"/>
              <w:rPr>
                <w:color w:val="auto"/>
                <w:sz w:val="24"/>
                <w:szCs w:val="24"/>
                <w:highlight w:val="none"/>
              </w:rPr>
            </w:pPr>
          </w:p>
        </w:tc>
        <w:tc>
          <w:tcPr>
            <w:tcW w:w="1784" w:type="dxa"/>
            <w:vMerge w:val="continue"/>
            <w:tcBorders>
              <w:top w:val="nil"/>
            </w:tcBorders>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auto"/>
                <w:sz w:val="24"/>
                <w:highlight w:val="none"/>
              </w:rPr>
            </w:pPr>
          </w:p>
        </w:tc>
        <w:tc>
          <w:tcPr>
            <w:tcW w:w="1866" w:type="dxa"/>
            <w:tcBorders>
              <w:top w:val="nil"/>
              <w:bottom w:val="nil"/>
            </w:tcBorders>
            <w:vAlign w:val="center"/>
          </w:tcPr>
          <w:p>
            <w:pPr>
              <w:pStyle w:val="56"/>
              <w:jc w:val="center"/>
              <w:rPr>
                <w:color w:val="auto"/>
                <w:sz w:val="24"/>
                <w:szCs w:val="24"/>
                <w:highlight w:val="none"/>
              </w:rPr>
            </w:pPr>
            <w:r>
              <w:rPr>
                <w:rFonts w:hint="eastAsia"/>
                <w:color w:val="auto"/>
                <w:sz w:val="24"/>
                <w:szCs w:val="24"/>
                <w:highlight w:val="none"/>
              </w:rPr>
              <w:t>（填写集中采</w:t>
            </w:r>
          </w:p>
        </w:tc>
        <w:tc>
          <w:tcPr>
            <w:tcW w:w="2010" w:type="dxa"/>
            <w:tcBorders>
              <w:top w:val="nil"/>
              <w:bottom w:val="nil"/>
            </w:tcBorders>
            <w:vAlign w:val="center"/>
          </w:tcPr>
          <w:p>
            <w:pPr>
              <w:pStyle w:val="56"/>
              <w:jc w:val="center"/>
              <w:rPr>
                <w:color w:val="auto"/>
                <w:sz w:val="24"/>
                <w:szCs w:val="24"/>
                <w:highlight w:val="none"/>
              </w:rPr>
            </w:pPr>
            <w:r>
              <w:rPr>
                <w:rFonts w:hint="eastAsia"/>
                <w:color w:val="auto"/>
                <w:sz w:val="24"/>
                <w:szCs w:val="24"/>
                <w:highlight w:val="none"/>
              </w:rPr>
              <w:t>包”、“要求以</w:t>
            </w:r>
          </w:p>
        </w:tc>
        <w:tc>
          <w:tcPr>
            <w:tcW w:w="2296" w:type="dxa"/>
            <w:tcBorders>
              <w:top w:val="nil"/>
              <w:bottom w:val="nil"/>
            </w:tcBorders>
            <w:vAlign w:val="center"/>
          </w:tcPr>
          <w:p>
            <w:pPr>
              <w:pStyle w:val="56"/>
              <w:jc w:val="center"/>
              <w:rPr>
                <w:color w:val="auto"/>
                <w:sz w:val="24"/>
                <w:szCs w:val="24"/>
                <w:highlight w:val="none"/>
              </w:rPr>
            </w:pPr>
          </w:p>
        </w:tc>
        <w:tc>
          <w:tcPr>
            <w:tcW w:w="1784" w:type="dxa"/>
            <w:vMerge w:val="continue"/>
            <w:tcBorders>
              <w:top w:val="nil"/>
            </w:tcBorders>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auto"/>
                <w:sz w:val="24"/>
                <w:highlight w:val="none"/>
              </w:rPr>
            </w:pPr>
          </w:p>
        </w:tc>
        <w:tc>
          <w:tcPr>
            <w:tcW w:w="1866" w:type="dxa"/>
            <w:tcBorders>
              <w:top w:val="nil"/>
              <w:bottom w:val="nil"/>
            </w:tcBorders>
            <w:vAlign w:val="center"/>
          </w:tcPr>
          <w:p>
            <w:pPr>
              <w:pStyle w:val="56"/>
              <w:jc w:val="center"/>
              <w:rPr>
                <w:color w:val="auto"/>
                <w:sz w:val="24"/>
                <w:szCs w:val="24"/>
                <w:highlight w:val="none"/>
              </w:rPr>
            </w:pPr>
            <w:r>
              <w:rPr>
                <w:rFonts w:hint="eastAsia"/>
                <w:color w:val="auto"/>
                <w:sz w:val="24"/>
                <w:szCs w:val="24"/>
                <w:highlight w:val="none"/>
              </w:rPr>
              <w:t>购目录以内或</w:t>
            </w:r>
          </w:p>
        </w:tc>
        <w:tc>
          <w:tcPr>
            <w:tcW w:w="2010" w:type="dxa"/>
            <w:tcBorders>
              <w:top w:val="nil"/>
              <w:bottom w:val="nil"/>
            </w:tcBorders>
            <w:vAlign w:val="center"/>
          </w:tcPr>
          <w:p>
            <w:pPr>
              <w:pStyle w:val="56"/>
              <w:jc w:val="center"/>
              <w:rPr>
                <w:color w:val="auto"/>
                <w:sz w:val="24"/>
                <w:szCs w:val="24"/>
                <w:highlight w:val="none"/>
              </w:rPr>
            </w:pPr>
            <w:r>
              <w:rPr>
                <w:rFonts w:hint="eastAsia"/>
                <w:color w:val="auto"/>
                <w:sz w:val="24"/>
                <w:szCs w:val="24"/>
                <w:highlight w:val="none"/>
              </w:rPr>
              <w:t>联合体形式参</w:t>
            </w:r>
          </w:p>
        </w:tc>
        <w:tc>
          <w:tcPr>
            <w:tcW w:w="2296" w:type="dxa"/>
            <w:tcBorders>
              <w:top w:val="nil"/>
              <w:bottom w:val="nil"/>
            </w:tcBorders>
            <w:vAlign w:val="center"/>
          </w:tcPr>
          <w:p>
            <w:pPr>
              <w:pStyle w:val="56"/>
              <w:jc w:val="center"/>
              <w:rPr>
                <w:color w:val="auto"/>
                <w:sz w:val="24"/>
                <w:szCs w:val="24"/>
                <w:highlight w:val="none"/>
              </w:rPr>
            </w:pPr>
            <w:r>
              <w:rPr>
                <w:rFonts w:hint="eastAsia"/>
                <w:color w:val="auto"/>
                <w:sz w:val="24"/>
                <w:szCs w:val="24"/>
                <w:highlight w:val="none"/>
              </w:rPr>
              <w:t>（精确到万元）</w:t>
            </w:r>
          </w:p>
        </w:tc>
        <w:tc>
          <w:tcPr>
            <w:tcW w:w="1784" w:type="dxa"/>
            <w:vMerge w:val="continue"/>
            <w:tcBorders>
              <w:top w:val="nil"/>
            </w:tcBorders>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auto"/>
                <w:sz w:val="24"/>
                <w:highlight w:val="none"/>
              </w:rPr>
            </w:pPr>
          </w:p>
        </w:tc>
        <w:tc>
          <w:tcPr>
            <w:tcW w:w="1866" w:type="dxa"/>
            <w:tcBorders>
              <w:top w:val="nil"/>
              <w:bottom w:val="nil"/>
            </w:tcBorders>
            <w:vAlign w:val="center"/>
          </w:tcPr>
          <w:p>
            <w:pPr>
              <w:pStyle w:val="56"/>
              <w:jc w:val="center"/>
              <w:rPr>
                <w:color w:val="auto"/>
                <w:sz w:val="24"/>
                <w:szCs w:val="24"/>
                <w:highlight w:val="none"/>
              </w:rPr>
            </w:pPr>
            <w:r>
              <w:rPr>
                <w:rFonts w:hint="eastAsia"/>
                <w:color w:val="auto"/>
                <w:sz w:val="24"/>
                <w:szCs w:val="24"/>
                <w:highlight w:val="none"/>
              </w:rPr>
              <w:t>者采购限额标</w:t>
            </w:r>
          </w:p>
        </w:tc>
        <w:tc>
          <w:tcPr>
            <w:tcW w:w="2010" w:type="dxa"/>
            <w:tcBorders>
              <w:top w:val="nil"/>
              <w:bottom w:val="nil"/>
            </w:tcBorders>
            <w:vAlign w:val="center"/>
          </w:tcPr>
          <w:p>
            <w:pPr>
              <w:pStyle w:val="56"/>
              <w:jc w:val="center"/>
              <w:rPr>
                <w:color w:val="auto"/>
                <w:sz w:val="24"/>
                <w:szCs w:val="24"/>
                <w:highlight w:val="none"/>
              </w:rPr>
            </w:pPr>
            <w:r>
              <w:rPr>
                <w:rFonts w:hint="eastAsia"/>
                <w:color w:val="auto"/>
                <w:sz w:val="24"/>
                <w:szCs w:val="24"/>
                <w:highlight w:val="none"/>
              </w:rPr>
              <w:t>加”或者“要求</w:t>
            </w:r>
          </w:p>
        </w:tc>
        <w:tc>
          <w:tcPr>
            <w:tcW w:w="2296" w:type="dxa"/>
            <w:tcBorders>
              <w:top w:val="nil"/>
              <w:bottom w:val="nil"/>
            </w:tcBorders>
            <w:vAlign w:val="center"/>
          </w:tcPr>
          <w:p>
            <w:pPr>
              <w:pStyle w:val="56"/>
              <w:jc w:val="center"/>
              <w:rPr>
                <w:color w:val="auto"/>
                <w:sz w:val="24"/>
                <w:szCs w:val="24"/>
                <w:highlight w:val="none"/>
              </w:rPr>
            </w:pPr>
          </w:p>
        </w:tc>
        <w:tc>
          <w:tcPr>
            <w:tcW w:w="1784" w:type="dxa"/>
            <w:vMerge w:val="continue"/>
            <w:tcBorders>
              <w:top w:val="nil"/>
            </w:tcBorders>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auto"/>
                <w:sz w:val="24"/>
                <w:highlight w:val="none"/>
              </w:rPr>
            </w:pPr>
          </w:p>
        </w:tc>
        <w:tc>
          <w:tcPr>
            <w:tcW w:w="1866" w:type="dxa"/>
            <w:tcBorders>
              <w:top w:val="nil"/>
              <w:bottom w:val="nil"/>
            </w:tcBorders>
            <w:vAlign w:val="center"/>
          </w:tcPr>
          <w:p>
            <w:pPr>
              <w:pStyle w:val="56"/>
              <w:jc w:val="center"/>
              <w:rPr>
                <w:color w:val="auto"/>
                <w:sz w:val="24"/>
                <w:szCs w:val="24"/>
                <w:highlight w:val="none"/>
              </w:rPr>
            </w:pPr>
            <w:r>
              <w:rPr>
                <w:rFonts w:hint="eastAsia"/>
                <w:color w:val="auto"/>
                <w:sz w:val="24"/>
                <w:szCs w:val="24"/>
                <w:highlight w:val="none"/>
              </w:rPr>
              <w:t>准以上的采购项目</w:t>
            </w:r>
          </w:p>
        </w:tc>
        <w:tc>
          <w:tcPr>
            <w:tcW w:w="2010" w:type="dxa"/>
            <w:tcBorders>
              <w:top w:val="nil"/>
              <w:bottom w:val="nil"/>
            </w:tcBorders>
            <w:vAlign w:val="center"/>
          </w:tcPr>
          <w:p>
            <w:pPr>
              <w:pStyle w:val="56"/>
              <w:jc w:val="center"/>
              <w:rPr>
                <w:color w:val="auto"/>
                <w:sz w:val="24"/>
                <w:szCs w:val="24"/>
                <w:highlight w:val="none"/>
              </w:rPr>
            </w:pPr>
            <w:r>
              <w:rPr>
                <w:rFonts w:hint="eastAsia"/>
                <w:color w:val="auto"/>
                <w:sz w:val="24"/>
                <w:szCs w:val="24"/>
                <w:highlight w:val="none"/>
              </w:rPr>
              <w:t>合同分包”，除</w:t>
            </w:r>
          </w:p>
        </w:tc>
        <w:tc>
          <w:tcPr>
            <w:tcW w:w="2296" w:type="dxa"/>
            <w:tcBorders>
              <w:top w:val="nil"/>
              <w:bottom w:val="nil"/>
            </w:tcBorders>
            <w:vAlign w:val="center"/>
          </w:tcPr>
          <w:p>
            <w:pPr>
              <w:pStyle w:val="56"/>
              <w:jc w:val="center"/>
              <w:rPr>
                <w:color w:val="auto"/>
                <w:sz w:val="24"/>
                <w:szCs w:val="24"/>
                <w:highlight w:val="none"/>
              </w:rPr>
            </w:pPr>
          </w:p>
        </w:tc>
        <w:tc>
          <w:tcPr>
            <w:tcW w:w="1784" w:type="dxa"/>
            <w:vMerge w:val="continue"/>
            <w:tcBorders>
              <w:top w:val="nil"/>
            </w:tcBorders>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auto"/>
                <w:sz w:val="24"/>
                <w:highlight w:val="none"/>
              </w:rPr>
            </w:pPr>
          </w:p>
        </w:tc>
        <w:tc>
          <w:tcPr>
            <w:tcW w:w="1866" w:type="dxa"/>
            <w:tcBorders>
              <w:top w:val="nil"/>
              <w:bottom w:val="nil"/>
            </w:tcBorders>
            <w:vAlign w:val="center"/>
          </w:tcPr>
          <w:p>
            <w:pPr>
              <w:pStyle w:val="56"/>
              <w:jc w:val="center"/>
              <w:rPr>
                <w:color w:val="auto"/>
                <w:sz w:val="24"/>
                <w:szCs w:val="24"/>
                <w:highlight w:val="none"/>
              </w:rPr>
            </w:pPr>
          </w:p>
        </w:tc>
        <w:tc>
          <w:tcPr>
            <w:tcW w:w="2010" w:type="dxa"/>
            <w:tcBorders>
              <w:top w:val="nil"/>
              <w:bottom w:val="nil"/>
            </w:tcBorders>
            <w:vAlign w:val="center"/>
          </w:tcPr>
          <w:p>
            <w:pPr>
              <w:pStyle w:val="56"/>
              <w:jc w:val="center"/>
              <w:rPr>
                <w:color w:val="auto"/>
                <w:sz w:val="24"/>
                <w:szCs w:val="24"/>
                <w:highlight w:val="none"/>
              </w:rPr>
            </w:pPr>
            <w:r>
              <w:rPr>
                <w:rFonts w:hint="eastAsia"/>
                <w:color w:val="auto"/>
                <w:sz w:val="24"/>
                <w:szCs w:val="24"/>
                <w:highlight w:val="none"/>
              </w:rPr>
              <w:t>“采购项目全部</w:t>
            </w:r>
          </w:p>
        </w:tc>
        <w:tc>
          <w:tcPr>
            <w:tcW w:w="2296" w:type="dxa"/>
            <w:tcBorders>
              <w:top w:val="nil"/>
              <w:bottom w:val="nil"/>
            </w:tcBorders>
            <w:vAlign w:val="center"/>
          </w:tcPr>
          <w:p>
            <w:pPr>
              <w:pStyle w:val="56"/>
              <w:jc w:val="center"/>
              <w:rPr>
                <w:color w:val="auto"/>
                <w:sz w:val="24"/>
                <w:szCs w:val="24"/>
                <w:highlight w:val="none"/>
              </w:rPr>
            </w:pPr>
          </w:p>
        </w:tc>
        <w:tc>
          <w:tcPr>
            <w:tcW w:w="1784" w:type="dxa"/>
            <w:vMerge w:val="continue"/>
            <w:tcBorders>
              <w:top w:val="nil"/>
            </w:tcBorders>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auto"/>
                <w:sz w:val="24"/>
                <w:highlight w:val="none"/>
              </w:rPr>
            </w:pPr>
          </w:p>
        </w:tc>
        <w:tc>
          <w:tcPr>
            <w:tcW w:w="1866" w:type="dxa"/>
            <w:tcBorders>
              <w:top w:val="nil"/>
              <w:bottom w:val="nil"/>
            </w:tcBorders>
            <w:vAlign w:val="center"/>
          </w:tcPr>
          <w:p>
            <w:pPr>
              <w:pStyle w:val="56"/>
              <w:jc w:val="center"/>
              <w:rPr>
                <w:color w:val="auto"/>
                <w:sz w:val="24"/>
                <w:szCs w:val="24"/>
                <w:highlight w:val="none"/>
              </w:rPr>
            </w:pPr>
          </w:p>
        </w:tc>
        <w:tc>
          <w:tcPr>
            <w:tcW w:w="2010" w:type="dxa"/>
            <w:tcBorders>
              <w:top w:val="nil"/>
              <w:bottom w:val="nil"/>
            </w:tcBorders>
            <w:vAlign w:val="center"/>
          </w:tcPr>
          <w:p>
            <w:pPr>
              <w:pStyle w:val="56"/>
              <w:jc w:val="center"/>
              <w:rPr>
                <w:color w:val="auto"/>
                <w:sz w:val="24"/>
                <w:szCs w:val="24"/>
                <w:highlight w:val="none"/>
              </w:rPr>
            </w:pPr>
            <w:r>
              <w:rPr>
                <w:rFonts w:hint="eastAsia"/>
                <w:color w:val="auto"/>
                <w:sz w:val="24"/>
                <w:szCs w:val="24"/>
                <w:highlight w:val="none"/>
              </w:rPr>
              <w:t>预留”外，还应</w:t>
            </w:r>
          </w:p>
        </w:tc>
        <w:tc>
          <w:tcPr>
            <w:tcW w:w="2296" w:type="dxa"/>
            <w:tcBorders>
              <w:top w:val="nil"/>
              <w:bottom w:val="nil"/>
            </w:tcBorders>
            <w:vAlign w:val="center"/>
          </w:tcPr>
          <w:p>
            <w:pPr>
              <w:pStyle w:val="56"/>
              <w:jc w:val="center"/>
              <w:rPr>
                <w:color w:val="auto"/>
                <w:sz w:val="24"/>
                <w:szCs w:val="24"/>
                <w:highlight w:val="none"/>
              </w:rPr>
            </w:pPr>
          </w:p>
        </w:tc>
        <w:tc>
          <w:tcPr>
            <w:tcW w:w="1784" w:type="dxa"/>
            <w:vMerge w:val="continue"/>
            <w:tcBorders>
              <w:top w:val="nil"/>
            </w:tcBorders>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auto"/>
                <w:sz w:val="24"/>
                <w:highlight w:val="none"/>
              </w:rPr>
            </w:pPr>
          </w:p>
        </w:tc>
        <w:tc>
          <w:tcPr>
            <w:tcW w:w="1866" w:type="dxa"/>
            <w:tcBorders>
              <w:top w:val="nil"/>
              <w:bottom w:val="nil"/>
            </w:tcBorders>
            <w:vAlign w:val="center"/>
          </w:tcPr>
          <w:p>
            <w:pPr>
              <w:pStyle w:val="56"/>
              <w:jc w:val="center"/>
              <w:rPr>
                <w:color w:val="auto"/>
                <w:sz w:val="24"/>
                <w:szCs w:val="24"/>
                <w:highlight w:val="none"/>
              </w:rPr>
            </w:pPr>
          </w:p>
        </w:tc>
        <w:tc>
          <w:tcPr>
            <w:tcW w:w="2010" w:type="dxa"/>
            <w:tcBorders>
              <w:top w:val="nil"/>
              <w:bottom w:val="nil"/>
            </w:tcBorders>
            <w:vAlign w:val="center"/>
          </w:tcPr>
          <w:p>
            <w:pPr>
              <w:pStyle w:val="56"/>
              <w:jc w:val="center"/>
              <w:rPr>
                <w:color w:val="auto"/>
                <w:sz w:val="24"/>
                <w:szCs w:val="24"/>
                <w:highlight w:val="none"/>
              </w:rPr>
            </w:pPr>
            <w:r>
              <w:rPr>
                <w:rFonts w:hint="eastAsia"/>
                <w:color w:val="auto"/>
                <w:sz w:val="24"/>
                <w:szCs w:val="24"/>
                <w:highlight w:val="none"/>
              </w:rPr>
              <w:t>当填写预留给中</w:t>
            </w:r>
          </w:p>
        </w:tc>
        <w:tc>
          <w:tcPr>
            <w:tcW w:w="2296" w:type="dxa"/>
            <w:tcBorders>
              <w:top w:val="nil"/>
              <w:bottom w:val="nil"/>
            </w:tcBorders>
            <w:vAlign w:val="center"/>
          </w:tcPr>
          <w:p>
            <w:pPr>
              <w:pStyle w:val="56"/>
              <w:jc w:val="center"/>
              <w:rPr>
                <w:color w:val="auto"/>
                <w:sz w:val="24"/>
                <w:szCs w:val="24"/>
                <w:highlight w:val="none"/>
              </w:rPr>
            </w:pPr>
          </w:p>
        </w:tc>
        <w:tc>
          <w:tcPr>
            <w:tcW w:w="1784" w:type="dxa"/>
            <w:vMerge w:val="continue"/>
            <w:tcBorders>
              <w:top w:val="nil"/>
            </w:tcBorders>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auto"/>
                <w:sz w:val="24"/>
                <w:highlight w:val="none"/>
              </w:rPr>
            </w:pPr>
          </w:p>
        </w:tc>
        <w:tc>
          <w:tcPr>
            <w:tcW w:w="1866" w:type="dxa"/>
            <w:tcBorders>
              <w:top w:val="nil"/>
            </w:tcBorders>
            <w:vAlign w:val="center"/>
          </w:tcPr>
          <w:p>
            <w:pPr>
              <w:pStyle w:val="56"/>
              <w:jc w:val="center"/>
              <w:rPr>
                <w:color w:val="auto"/>
                <w:sz w:val="24"/>
                <w:szCs w:val="24"/>
                <w:highlight w:val="none"/>
              </w:rPr>
            </w:pPr>
          </w:p>
        </w:tc>
        <w:tc>
          <w:tcPr>
            <w:tcW w:w="2010" w:type="dxa"/>
            <w:tcBorders>
              <w:top w:val="nil"/>
            </w:tcBorders>
            <w:vAlign w:val="center"/>
          </w:tcPr>
          <w:p>
            <w:pPr>
              <w:pStyle w:val="56"/>
              <w:jc w:val="center"/>
              <w:rPr>
                <w:color w:val="auto"/>
                <w:sz w:val="24"/>
                <w:szCs w:val="24"/>
                <w:highlight w:val="none"/>
              </w:rPr>
            </w:pPr>
            <w:r>
              <w:rPr>
                <w:rFonts w:hint="eastAsia"/>
                <w:color w:val="auto"/>
                <w:sz w:val="24"/>
                <w:szCs w:val="24"/>
                <w:highlight w:val="none"/>
              </w:rPr>
              <w:t>小企业的比例）</w:t>
            </w:r>
          </w:p>
        </w:tc>
        <w:tc>
          <w:tcPr>
            <w:tcW w:w="2296" w:type="dxa"/>
            <w:tcBorders>
              <w:top w:val="nil"/>
            </w:tcBorders>
            <w:vAlign w:val="center"/>
          </w:tcPr>
          <w:p>
            <w:pPr>
              <w:pStyle w:val="56"/>
              <w:jc w:val="center"/>
              <w:rPr>
                <w:color w:val="auto"/>
                <w:sz w:val="24"/>
                <w:szCs w:val="24"/>
                <w:highlight w:val="none"/>
              </w:rPr>
            </w:pPr>
          </w:p>
        </w:tc>
        <w:tc>
          <w:tcPr>
            <w:tcW w:w="1784" w:type="dxa"/>
            <w:vMerge w:val="continue"/>
            <w:tcBorders>
              <w:top w:val="nil"/>
            </w:tcBorders>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6"/>
              <w:jc w:val="center"/>
              <w:rPr>
                <w:color w:val="auto"/>
                <w:sz w:val="24"/>
                <w:szCs w:val="24"/>
                <w:highlight w:val="none"/>
              </w:rPr>
            </w:pPr>
            <w:r>
              <w:rPr>
                <w:rFonts w:hint="eastAsia"/>
                <w:color w:val="auto"/>
                <w:sz w:val="24"/>
                <w:szCs w:val="24"/>
                <w:highlight w:val="none"/>
              </w:rPr>
              <w:t>……</w:t>
            </w:r>
          </w:p>
        </w:tc>
        <w:tc>
          <w:tcPr>
            <w:tcW w:w="1866" w:type="dxa"/>
            <w:vAlign w:val="center"/>
          </w:tcPr>
          <w:p>
            <w:pPr>
              <w:pStyle w:val="56"/>
              <w:jc w:val="center"/>
              <w:rPr>
                <w:color w:val="auto"/>
                <w:sz w:val="24"/>
                <w:szCs w:val="24"/>
                <w:highlight w:val="none"/>
              </w:rPr>
            </w:pPr>
            <w:r>
              <w:rPr>
                <w:rFonts w:hint="eastAsia"/>
                <w:color w:val="auto"/>
                <w:sz w:val="24"/>
                <w:szCs w:val="24"/>
                <w:highlight w:val="none"/>
              </w:rPr>
              <w:t>……</w:t>
            </w:r>
          </w:p>
        </w:tc>
        <w:tc>
          <w:tcPr>
            <w:tcW w:w="2010" w:type="dxa"/>
            <w:vAlign w:val="center"/>
          </w:tcPr>
          <w:p>
            <w:pPr>
              <w:pStyle w:val="56"/>
              <w:jc w:val="center"/>
              <w:rPr>
                <w:color w:val="auto"/>
                <w:sz w:val="24"/>
                <w:szCs w:val="24"/>
                <w:highlight w:val="none"/>
              </w:rPr>
            </w:pPr>
            <w:r>
              <w:rPr>
                <w:rFonts w:hint="eastAsia"/>
                <w:color w:val="auto"/>
                <w:sz w:val="24"/>
                <w:szCs w:val="24"/>
                <w:highlight w:val="none"/>
              </w:rPr>
              <w:t>……</w:t>
            </w:r>
          </w:p>
        </w:tc>
        <w:tc>
          <w:tcPr>
            <w:tcW w:w="2296" w:type="dxa"/>
            <w:vAlign w:val="center"/>
          </w:tcPr>
          <w:p>
            <w:pPr>
              <w:pStyle w:val="56"/>
              <w:jc w:val="center"/>
              <w:rPr>
                <w:color w:val="auto"/>
                <w:sz w:val="24"/>
                <w:szCs w:val="24"/>
                <w:highlight w:val="none"/>
              </w:rPr>
            </w:pPr>
            <w:r>
              <w:rPr>
                <w:rFonts w:hint="eastAsia"/>
                <w:color w:val="auto"/>
                <w:sz w:val="24"/>
                <w:szCs w:val="24"/>
                <w:highlight w:val="none"/>
              </w:rPr>
              <w:t>……</w:t>
            </w:r>
          </w:p>
        </w:tc>
        <w:tc>
          <w:tcPr>
            <w:tcW w:w="1784" w:type="dxa"/>
            <w:vAlign w:val="center"/>
          </w:tcPr>
          <w:p>
            <w:pPr>
              <w:pStyle w:val="56"/>
              <w:jc w:val="center"/>
              <w:rPr>
                <w:color w:val="auto"/>
                <w:sz w:val="24"/>
                <w:szCs w:val="24"/>
                <w:highlight w:val="none"/>
              </w:rPr>
            </w:pPr>
            <w:r>
              <w:rPr>
                <w:rFonts w:hint="eastAsia"/>
                <w:color w:val="auto"/>
                <w:sz w:val="24"/>
                <w:szCs w:val="24"/>
                <w:highlight w:val="none"/>
              </w:rPr>
              <w:t>……</w:t>
            </w:r>
          </w:p>
        </w:tc>
      </w:tr>
    </w:tbl>
    <w:p>
      <w:pPr>
        <w:pStyle w:val="9"/>
        <w:tabs>
          <w:tab w:val="left" w:pos="562"/>
          <w:tab w:val="left" w:pos="3372"/>
          <w:tab w:val="left" w:pos="3653"/>
        </w:tabs>
        <w:spacing w:before="128"/>
        <w:ind w:left="4220" w:right="1843"/>
        <w:rPr>
          <w:rFonts w:ascii="宋体" w:hAnsi="宋体" w:cs="宋体"/>
          <w:color w:val="auto"/>
          <w:highlight w:val="none"/>
        </w:rPr>
      </w:pPr>
      <w:r>
        <w:rPr>
          <w:rFonts w:hint="eastAsia" w:ascii="宋体" w:hAnsi="宋体" w:cs="宋体"/>
          <w:color w:val="auto"/>
          <w:highlight w:val="none"/>
        </w:rPr>
        <w:t>部门（单位）名称： 日期：</w:t>
      </w:r>
    </w:p>
    <w:p>
      <w:pPr>
        <w:pStyle w:val="9"/>
        <w:tabs>
          <w:tab w:val="left" w:pos="562"/>
          <w:tab w:val="left" w:pos="3372"/>
          <w:tab w:val="left" w:pos="3653"/>
        </w:tabs>
        <w:rPr>
          <w:rFonts w:ascii="宋体" w:hAnsi="宋体" w:cs="宋体"/>
          <w:color w:val="auto"/>
          <w:highlight w:val="none"/>
        </w:rPr>
      </w:pPr>
    </w:p>
    <w:p>
      <w:pPr>
        <w:pStyle w:val="20"/>
        <w:jc w:val="both"/>
        <w:outlineLvl w:val="9"/>
        <w:rPr>
          <w:rFonts w:ascii="宋体" w:hAnsi="宋体" w:eastAsia="宋体" w:cs="宋体"/>
          <w:color w:val="auto"/>
          <w:sz w:val="24"/>
          <w:szCs w:val="24"/>
          <w:highlight w:val="none"/>
        </w:rPr>
      </w:pPr>
    </w:p>
    <w:p>
      <w:pPr>
        <w:tabs>
          <w:tab w:val="left" w:pos="360"/>
        </w:tabs>
        <w:outlineLvl w:val="1"/>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2、工业和信息化部、国家统计局、国家发展和改革委员会、财政部《关于印发〈中小企业划型标准规定〉的通知》（工信部联企〔2011〕300 号）</w:t>
      </w:r>
    </w:p>
    <w:p>
      <w:pPr>
        <w:pStyle w:val="9"/>
        <w:tabs>
          <w:tab w:val="left" w:pos="562"/>
          <w:tab w:val="left" w:pos="3372"/>
          <w:tab w:val="left" w:pos="3653"/>
        </w:tabs>
        <w:rPr>
          <w:rFonts w:ascii="宋体" w:hAnsi="宋体" w:cs="宋体"/>
          <w:color w:val="auto"/>
          <w:highlight w:val="none"/>
        </w:rPr>
      </w:pPr>
    </w:p>
    <w:p>
      <w:pPr>
        <w:jc w:val="center"/>
        <w:rPr>
          <w:rFonts w:ascii="宋体" w:hAnsi="宋体" w:cs="宋体"/>
          <w:b/>
          <w:bCs/>
          <w:color w:val="auto"/>
          <w:sz w:val="24"/>
          <w:highlight w:val="none"/>
        </w:rPr>
      </w:pPr>
      <w:r>
        <w:rPr>
          <w:rFonts w:hint="eastAsia" w:ascii="宋体" w:hAnsi="宋体" w:cs="宋体"/>
          <w:b/>
          <w:bCs/>
          <w:color w:val="auto"/>
          <w:sz w:val="24"/>
          <w:highlight w:val="none"/>
        </w:rPr>
        <w:t>关于印发中小企业划型标准规定的通知</w:t>
      </w:r>
    </w:p>
    <w:p>
      <w:pPr>
        <w:jc w:val="center"/>
        <w:rPr>
          <w:rFonts w:ascii="宋体" w:hAnsi="宋体" w:cs="宋体"/>
          <w:color w:val="auto"/>
          <w:sz w:val="24"/>
          <w:highlight w:val="none"/>
        </w:rPr>
      </w:pPr>
      <w:r>
        <w:rPr>
          <w:rFonts w:hint="eastAsia" w:ascii="宋体" w:hAnsi="宋体" w:cs="宋体"/>
          <w:color w:val="auto"/>
          <w:sz w:val="24"/>
          <w:highlight w:val="none"/>
        </w:rPr>
        <w:t>工信部联企业〔2011〕300号</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各省、自治区、直辖市人民政府，国务院各部委、各直属机构及有关单位：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ascii="宋体" w:hAnsi="宋体" w:cs="宋体"/>
          <w:color w:val="auto"/>
          <w:sz w:val="24"/>
          <w:highlight w:val="none"/>
        </w:rPr>
      </w:pPr>
      <w:r>
        <w:rPr>
          <w:rFonts w:hint="eastAsia" w:ascii="宋体" w:hAnsi="宋体" w:cs="宋体"/>
          <w:color w:val="auto"/>
          <w:sz w:val="24"/>
          <w:highlight w:val="none"/>
        </w:rPr>
        <w:t>工业和信息化部 国家统计局</w:t>
      </w:r>
    </w:p>
    <w:p>
      <w:pPr>
        <w:ind w:firstLine="480" w:firstLineChars="200"/>
        <w:jc w:val="right"/>
        <w:rPr>
          <w:rFonts w:ascii="宋体" w:hAnsi="宋体" w:cs="宋体"/>
          <w:color w:val="auto"/>
          <w:sz w:val="24"/>
          <w:highlight w:val="none"/>
        </w:rPr>
      </w:pPr>
      <w:r>
        <w:rPr>
          <w:rFonts w:hint="eastAsia" w:ascii="宋体" w:hAnsi="宋体" w:cs="宋体"/>
          <w:color w:val="auto"/>
          <w:sz w:val="24"/>
          <w:highlight w:val="none"/>
        </w:rPr>
        <w:t>国家发展和改革委员会 财政部</w:t>
      </w:r>
    </w:p>
    <w:p>
      <w:pPr>
        <w:ind w:firstLine="480" w:firstLineChars="200"/>
        <w:jc w:val="right"/>
        <w:rPr>
          <w:rFonts w:ascii="宋体" w:hAnsi="宋体" w:cs="宋体"/>
          <w:color w:val="auto"/>
          <w:sz w:val="24"/>
          <w:highlight w:val="none"/>
        </w:rPr>
      </w:pPr>
      <w:r>
        <w:rPr>
          <w:rFonts w:hint="eastAsia" w:ascii="宋体" w:hAnsi="宋体" w:cs="宋体"/>
          <w:color w:val="auto"/>
          <w:sz w:val="24"/>
          <w:highlight w:val="none"/>
        </w:rPr>
        <w:t>二○一一年六月十八日</w:t>
      </w:r>
    </w:p>
    <w:p>
      <w:pPr>
        <w:ind w:firstLine="480" w:firstLineChars="200"/>
        <w:rPr>
          <w:rFonts w:ascii="宋体" w:hAnsi="宋体" w:cs="宋体"/>
          <w:color w:val="auto"/>
          <w:sz w:val="24"/>
          <w:highlight w:val="none"/>
        </w:rPr>
      </w:pPr>
    </w:p>
    <w:p>
      <w:pPr>
        <w:ind w:firstLine="480" w:firstLineChars="200"/>
        <w:rPr>
          <w:rFonts w:ascii="宋体" w:hAnsi="宋体" w:cs="宋体"/>
          <w:color w:val="auto"/>
          <w:sz w:val="24"/>
          <w:highlight w:val="none"/>
        </w:rPr>
      </w:pPr>
    </w:p>
    <w:p>
      <w:pPr>
        <w:ind w:firstLine="480" w:firstLineChars="200"/>
        <w:rPr>
          <w:rFonts w:ascii="宋体" w:hAnsi="宋体" w:cs="宋体"/>
          <w:color w:val="auto"/>
          <w:sz w:val="24"/>
          <w:highlight w:val="none"/>
        </w:rPr>
      </w:pPr>
    </w:p>
    <w:p>
      <w:pPr>
        <w:jc w:val="center"/>
        <w:rPr>
          <w:rFonts w:ascii="宋体" w:hAnsi="宋体" w:cs="宋体"/>
          <w:b/>
          <w:bCs/>
          <w:color w:val="auto"/>
          <w:sz w:val="24"/>
          <w:highlight w:val="none"/>
        </w:rPr>
      </w:pPr>
      <w:r>
        <w:rPr>
          <w:rFonts w:hint="eastAsia" w:ascii="宋体" w:hAnsi="宋体" w:cs="宋体"/>
          <w:b/>
          <w:bCs/>
          <w:color w:val="auto"/>
          <w:sz w:val="24"/>
          <w:highlight w:val="none"/>
        </w:rPr>
        <w:t xml:space="preserve">中小企业划型标准规定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一、根据《中华人民共和国中小企业促进法》和《国务院关于进一步促进中小企业发展的若干意见》(国发〔2009〕36号)，制定本规定。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二、中小企业划分为中型、小型、微型三种类型，具体标准根据企业从业人员、营业收入、资产总额等指标，结合行业特点制定。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四、各行业划型标准为：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五、企业类型的划分以统计部门的统计数据为依据。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八、本规定由工业和信息化部、国家统计局会同有关部门根据《国民经济行业分类》修订情况和企业发展变化情况适时修订。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九、本规定由工业和信息化部、国家统计局会同有关部门负责解释。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十、本规定自发布之日起执行，原国家经贸委、原国家计委、财政部和国家统计局2003年颁布的《中小企业标准暂行规定》同时废止。</w:t>
      </w:r>
    </w:p>
    <w:p>
      <w:pPr>
        <w:ind w:firstLine="480" w:firstLineChars="200"/>
        <w:rPr>
          <w:rFonts w:ascii="宋体" w:hAnsi="宋体" w:cs="宋体"/>
          <w:color w:val="auto"/>
          <w:sz w:val="24"/>
          <w:highlight w:val="none"/>
        </w:rPr>
      </w:pPr>
    </w:p>
    <w:p>
      <w:pPr>
        <w:pStyle w:val="20"/>
        <w:jc w:val="both"/>
        <w:outlineLvl w:val="9"/>
        <w:rPr>
          <w:rFonts w:ascii="宋体" w:hAnsi="宋体" w:eastAsia="宋体" w:cs="宋体"/>
          <w:color w:val="auto"/>
          <w:sz w:val="24"/>
          <w:szCs w:val="24"/>
          <w:highlight w:val="none"/>
        </w:rPr>
      </w:pPr>
    </w:p>
    <w:p>
      <w:pPr>
        <w:pStyle w:val="20"/>
        <w:jc w:val="both"/>
        <w:outlineLvl w:val="9"/>
        <w:rPr>
          <w:rFonts w:ascii="宋体" w:hAnsi="宋体" w:eastAsia="宋体" w:cs="宋体"/>
          <w:color w:val="auto"/>
          <w:sz w:val="24"/>
          <w:szCs w:val="24"/>
          <w:highlight w:val="none"/>
        </w:rPr>
      </w:pPr>
    </w:p>
    <w:p>
      <w:pPr>
        <w:tabs>
          <w:tab w:val="left" w:pos="360"/>
        </w:tabs>
        <w:outlineLvl w:val="1"/>
        <w:rPr>
          <w:rFonts w:ascii="宋体" w:hAnsi="宋体" w:cs="宋体"/>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3、国家统计局《关于印发〈统计上大中小微型企业划分办法（2017）〉的通知》</w:t>
      </w:r>
    </w:p>
    <w:p>
      <w:pPr>
        <w:widowControl/>
        <w:shd w:val="clear" w:color="auto" w:fill="FFFFFF"/>
        <w:jc w:val="center"/>
        <w:rPr>
          <w:rFonts w:ascii="宋体" w:hAnsi="宋体" w:cs="宋体"/>
          <w:b/>
          <w:bCs/>
          <w:color w:val="auto"/>
          <w:kern w:val="0"/>
          <w:sz w:val="24"/>
          <w:highlight w:val="none"/>
        </w:rPr>
      </w:pPr>
    </w:p>
    <w:p>
      <w:pPr>
        <w:widowControl/>
        <w:shd w:val="clear" w:color="auto" w:fill="FFFFFF"/>
        <w:jc w:val="center"/>
        <w:rPr>
          <w:rFonts w:ascii="宋体" w:hAnsi="宋体" w:cs="宋体"/>
          <w:b/>
          <w:color w:val="auto"/>
          <w:kern w:val="0"/>
          <w:sz w:val="24"/>
          <w:highlight w:val="none"/>
        </w:rPr>
      </w:pPr>
      <w:r>
        <w:rPr>
          <w:rFonts w:hint="eastAsia" w:ascii="宋体" w:hAnsi="宋体" w:cs="宋体"/>
          <w:b/>
          <w:bCs/>
          <w:color w:val="auto"/>
          <w:kern w:val="0"/>
          <w:sz w:val="24"/>
          <w:highlight w:val="none"/>
        </w:rPr>
        <w:t>国家统计局关于印发《统计上大中小微型企业划分办法（2017）》的通知</w:t>
      </w:r>
    </w:p>
    <w:p>
      <w:pPr>
        <w:widowControl/>
        <w:shd w:val="clear" w:color="auto" w:fill="FFFFFF"/>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各省、自治区、直辖市统计局，新疆生产建设兵团统计局，国务院各有关部门，国家统计局各调查总队：</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附件：《统计上大中小微型企业划分办法（2017）》修订说明</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right"/>
        <w:rPr>
          <w:rFonts w:ascii="宋体" w:hAnsi="宋体" w:cs="宋体"/>
          <w:color w:val="auto"/>
          <w:kern w:val="0"/>
          <w:sz w:val="24"/>
          <w:highlight w:val="none"/>
        </w:rPr>
      </w:pPr>
      <w:r>
        <w:rPr>
          <w:rFonts w:hint="eastAsia" w:ascii="宋体" w:hAnsi="宋体" w:cs="宋体"/>
          <w:color w:val="auto"/>
          <w:kern w:val="0"/>
          <w:sz w:val="24"/>
          <w:highlight w:val="none"/>
        </w:rPr>
        <w:t>国家统计局</w:t>
      </w:r>
    </w:p>
    <w:p>
      <w:pPr>
        <w:widowControl/>
        <w:shd w:val="clear" w:color="auto" w:fill="FFFFFF"/>
        <w:ind w:firstLine="480" w:firstLineChars="200"/>
        <w:jc w:val="right"/>
        <w:rPr>
          <w:rFonts w:ascii="宋体" w:hAnsi="宋体" w:cs="宋体"/>
          <w:color w:val="auto"/>
          <w:kern w:val="0"/>
          <w:sz w:val="24"/>
          <w:highlight w:val="none"/>
        </w:rPr>
      </w:pPr>
      <w:r>
        <w:rPr>
          <w:rFonts w:hint="eastAsia" w:ascii="宋体" w:hAnsi="宋体" w:cs="宋体"/>
          <w:color w:val="auto"/>
          <w:kern w:val="0"/>
          <w:sz w:val="24"/>
          <w:highlight w:val="none"/>
        </w:rPr>
        <w:t>2017年12月28日</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统计上大中小微型企业划分办法（2017）</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五、企业划分由政府综合统计部门根据统计年报每年确定一次，定报统计原则上不进行调整。</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附表：统计上大中小微型企业划分标准</w:t>
      </w:r>
    </w:p>
    <w:p>
      <w:pPr>
        <w:widowControl/>
        <w:jc w:val="left"/>
        <w:rPr>
          <w:rFonts w:ascii="宋体" w:hAnsi="宋体" w:cs="宋体"/>
          <w:color w:val="auto"/>
          <w:kern w:val="0"/>
          <w:sz w:val="24"/>
          <w:highlight w:val="none"/>
        </w:rPr>
      </w:pPr>
    </w:p>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附表：</w:t>
      </w:r>
    </w:p>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统计上大中小微型企业划分标准</w:t>
      </w:r>
    </w:p>
    <w:tbl>
      <w:tblPr>
        <w:tblStyle w:val="2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行业名称</w:t>
            </w: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指标名称</w:t>
            </w:r>
          </w:p>
        </w:tc>
        <w:tc>
          <w:tcPr>
            <w:tcW w:w="727" w:type="dxa"/>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计量</w:t>
            </w:r>
          </w:p>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单位</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大型</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中型</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小型</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农、林、牧、渔业</w:t>
            </w: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Y≥20000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500≤Y＜20000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50≤Y＜500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工业 *</w:t>
            </w: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highlight w:val="none"/>
              </w:rPr>
            </w:pP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Y≥40000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2000≤Y＜40000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300≤Y＜2000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建筑业</w:t>
            </w: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Y≥80000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6000≤Y＜80000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300≤Y＜6000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highlight w:val="none"/>
              </w:rPr>
            </w:pP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Z≥80000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5000≤Z＜80000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300≤Z＜5000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批发业</w:t>
            </w: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20≤X＜200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5≤X＜20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highlight w:val="none"/>
              </w:rPr>
            </w:pP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Y≥40000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5000≤Y＜40000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1000≤Y＜5000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零售业</w:t>
            </w: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50≤X＜300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10≤X＜50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highlight w:val="none"/>
              </w:rPr>
            </w:pP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Y≥20000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500≤Y＜20000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100≤Y＜500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交通运输业 *</w:t>
            </w: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highlight w:val="none"/>
              </w:rPr>
            </w:pP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3000≤Y＜30000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200≤Y＜3000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仓储业*</w:t>
            </w: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100≤X＜200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20≤X＜100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highlight w:val="none"/>
              </w:rPr>
            </w:pP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1000≤Y＜30000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邮政业</w:t>
            </w: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highlight w:val="none"/>
              </w:rPr>
            </w:pP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2000≤Y＜30000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住宿业</w:t>
            </w: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highlight w:val="none"/>
              </w:rPr>
            </w:pP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2000≤Y＜10000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餐饮业</w:t>
            </w: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highlight w:val="none"/>
              </w:rPr>
            </w:pP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2000≤Y＜10000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信息传输业 *</w:t>
            </w: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100≤X＜2000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highlight w:val="none"/>
              </w:rPr>
            </w:pP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1000≤Y＜100000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软件和信息技术服务业</w:t>
            </w: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highlight w:val="none"/>
              </w:rPr>
            </w:pP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1000≤Y＜10000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50≤Y＜1000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房地产开发经营</w:t>
            </w: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Y≥200000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1000≤Y＜200000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highlight w:val="none"/>
              </w:rPr>
            </w:pP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Z≥10000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5000≤Z＜10000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2000≤Z＜5000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物业管理</w:t>
            </w: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100≤X＜300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highlight w:val="none"/>
              </w:rPr>
            </w:pP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Y≥5000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1000≤Y＜5000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500≤Y＜1000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租赁和商务服务业</w:t>
            </w: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highlight w:val="none"/>
              </w:rPr>
            </w:pP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Z≥120000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8000≤Z＜120000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100≤Z＜8000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其他未列明行业 *</w:t>
            </w:r>
          </w:p>
        </w:tc>
        <w:tc>
          <w:tcPr>
            <w:tcW w:w="1462"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bl>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说明：</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1.大型、中型和小型企业须同时满足所列指标的下限，否则下划一档；微型企业只须满足所列指标中的一项即可。</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9"/>
        <w:tabs>
          <w:tab w:val="left" w:pos="562"/>
          <w:tab w:val="left" w:pos="3372"/>
          <w:tab w:val="left" w:pos="3653"/>
        </w:tabs>
        <w:rPr>
          <w:rFonts w:ascii="宋体" w:hAnsi="宋体" w:cs="宋体"/>
          <w:color w:val="auto"/>
          <w:highlight w:val="none"/>
        </w:rPr>
      </w:pPr>
    </w:p>
    <w:p>
      <w:pPr>
        <w:pStyle w:val="20"/>
        <w:outlineLvl w:val="9"/>
        <w:rPr>
          <w:rFonts w:ascii="宋体" w:hAnsi="宋体" w:eastAsia="宋体" w:cs="宋体"/>
          <w:color w:val="auto"/>
          <w:sz w:val="24"/>
          <w:szCs w:val="24"/>
          <w:highlight w:val="none"/>
        </w:rPr>
      </w:pPr>
    </w:p>
    <w:p>
      <w:pPr>
        <w:tabs>
          <w:tab w:val="left" w:pos="360"/>
        </w:tabs>
        <w:outlineLvl w:val="1"/>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4、财政部、民政部、中国残联《关于促进残疾人就业政府采购政策的通知》（财库〔2017〕141 号）</w:t>
      </w:r>
    </w:p>
    <w:p>
      <w:pPr>
        <w:shd w:val="clear" w:color="auto" w:fill="FFFFFF"/>
        <w:rPr>
          <w:rFonts w:ascii="宋体" w:hAnsi="宋体" w:cs="宋体"/>
          <w:bCs/>
          <w:color w:val="auto"/>
          <w:sz w:val="24"/>
          <w:highlight w:val="none"/>
        </w:rPr>
      </w:pPr>
    </w:p>
    <w:p>
      <w:pPr>
        <w:shd w:val="clear" w:color="auto" w:fill="FFFFFF"/>
        <w:rPr>
          <w:rFonts w:ascii="宋体" w:hAnsi="宋体" w:cs="宋体"/>
          <w:bCs/>
          <w:color w:val="auto"/>
          <w:sz w:val="24"/>
          <w:highlight w:val="none"/>
        </w:rPr>
      </w:pPr>
      <w:r>
        <w:rPr>
          <w:rFonts w:hint="eastAsia" w:ascii="宋体" w:hAnsi="宋体" w:cs="宋体"/>
          <w:bCs/>
          <w:color w:val="auto"/>
          <w:sz w:val="24"/>
          <w:highlight w:val="none"/>
        </w:rPr>
        <w:t>关于促进残疾人就业政府采购政策的通知</w:t>
      </w:r>
    </w:p>
    <w:p>
      <w:pPr>
        <w:pStyle w:val="19"/>
        <w:shd w:val="clear" w:color="auto" w:fill="FFFFFF"/>
        <w:spacing w:before="0" w:beforeAutospacing="0" w:after="0" w:afterAutospacing="0"/>
        <w:jc w:val="center"/>
        <w:rPr>
          <w:color w:val="auto"/>
          <w:highlight w:val="none"/>
        </w:rPr>
      </w:pPr>
      <w:r>
        <w:rPr>
          <w:rFonts w:hint="eastAsia"/>
          <w:color w:val="auto"/>
          <w:highlight w:val="none"/>
        </w:rPr>
        <w:t>　　</w:t>
      </w:r>
      <w:bookmarkStart w:id="30" w:name="sendNo"/>
      <w:r>
        <w:rPr>
          <w:rFonts w:hint="eastAsia"/>
          <w:color w:val="auto"/>
          <w:highlight w:val="none"/>
        </w:rPr>
        <w:t>财库〔</w:t>
      </w:r>
      <w:bookmarkEnd w:id="30"/>
      <w:r>
        <w:rPr>
          <w:rFonts w:hint="eastAsia"/>
          <w:color w:val="auto"/>
          <w:highlight w:val="none"/>
        </w:rPr>
        <w:t>2017〕141号</w:t>
      </w:r>
    </w:p>
    <w:p>
      <w:pPr>
        <w:pStyle w:val="19"/>
        <w:shd w:val="clear" w:color="auto" w:fill="FFFFFF"/>
        <w:spacing w:before="0" w:beforeAutospacing="0" w:after="0" w:afterAutospacing="0"/>
        <w:ind w:firstLine="480" w:firstLineChars="200"/>
        <w:rPr>
          <w:color w:val="auto"/>
          <w:highlight w:val="none"/>
        </w:rPr>
      </w:pPr>
      <w:bookmarkStart w:id="31" w:name="toDeptId"/>
      <w:r>
        <w:rPr>
          <w:rFonts w:hint="eastAsia"/>
          <w:color w:val="auto"/>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1"/>
      <w:r>
        <w:rPr>
          <w:rFonts w:hint="eastAsia"/>
          <w:color w:val="auto"/>
          <w:highlight w:val="none"/>
        </w:rPr>
        <w:t>：</w:t>
      </w:r>
    </w:p>
    <w:p>
      <w:pPr>
        <w:pStyle w:val="19"/>
        <w:shd w:val="clear" w:color="auto" w:fill="FFFFFF"/>
        <w:spacing w:before="0" w:beforeAutospacing="0" w:after="0" w:afterAutospacing="0"/>
        <w:ind w:firstLine="480" w:firstLineChars="200"/>
        <w:rPr>
          <w:color w:val="auto"/>
          <w:highlight w:val="none"/>
        </w:rPr>
      </w:pPr>
      <w:r>
        <w:rPr>
          <w:rFonts w:hint="eastAsia"/>
          <w:color w:val="auto"/>
          <w:highlight w:val="none"/>
        </w:rPr>
        <w:t>为了发挥政府采购促进残疾人就业的作用，进一步保障残疾人权益，依照</w:t>
      </w:r>
      <w:r>
        <w:rPr>
          <w:rFonts w:hint="eastAsia"/>
          <w:color w:val="auto"/>
          <w:highlight w:val="none"/>
          <w:lang w:eastAsia="zh-CN"/>
        </w:rPr>
        <w:t>《中华人民共和国政府采购法》</w:t>
      </w:r>
      <w:r>
        <w:rPr>
          <w:rFonts w:hint="eastAsia"/>
          <w:color w:val="auto"/>
          <w:highlight w:val="none"/>
        </w:rPr>
        <w:t>、《残疾人保障法》等法律法规及相关规定，现就促进残疾人就业政府采购政策通知如下：</w:t>
      </w:r>
    </w:p>
    <w:p>
      <w:pPr>
        <w:pStyle w:val="19"/>
        <w:shd w:val="clear" w:color="auto" w:fill="FFFFFF"/>
        <w:spacing w:before="0" w:beforeAutospacing="0" w:after="0" w:afterAutospacing="0"/>
        <w:ind w:firstLine="480" w:firstLineChars="200"/>
        <w:rPr>
          <w:color w:val="auto"/>
          <w:highlight w:val="none"/>
        </w:rPr>
      </w:pPr>
      <w:r>
        <w:rPr>
          <w:rFonts w:hint="eastAsia"/>
          <w:color w:val="auto"/>
          <w:highlight w:val="none"/>
        </w:rPr>
        <w:t>一、享受政府采购支持政策的残疾人福利性单位应当同时满足以下条件：</w:t>
      </w:r>
    </w:p>
    <w:p>
      <w:pPr>
        <w:pStyle w:val="19"/>
        <w:shd w:val="clear" w:color="auto" w:fill="FFFFFF"/>
        <w:spacing w:before="0" w:beforeAutospacing="0" w:after="0" w:afterAutospacing="0"/>
        <w:ind w:firstLine="480" w:firstLineChars="200"/>
        <w:rPr>
          <w:color w:val="auto"/>
          <w:highlight w:val="none"/>
        </w:rPr>
      </w:pPr>
      <w:r>
        <w:rPr>
          <w:rFonts w:hint="eastAsia"/>
          <w:color w:val="auto"/>
          <w:highlight w:val="none"/>
        </w:rPr>
        <w:t>（一）安置的残疾人占本单位在职职工人数的比例不低于25%（含25%），并且安置的残疾人人数不少于10人（含10人）；</w:t>
      </w:r>
    </w:p>
    <w:p>
      <w:pPr>
        <w:pStyle w:val="19"/>
        <w:shd w:val="clear" w:color="auto" w:fill="FFFFFF"/>
        <w:spacing w:before="0" w:beforeAutospacing="0" w:after="0" w:afterAutospacing="0"/>
        <w:ind w:firstLine="480" w:firstLineChars="200"/>
        <w:rPr>
          <w:color w:val="auto"/>
          <w:highlight w:val="none"/>
        </w:rPr>
      </w:pPr>
      <w:r>
        <w:rPr>
          <w:rFonts w:hint="eastAsia"/>
          <w:color w:val="auto"/>
          <w:highlight w:val="none"/>
        </w:rPr>
        <w:t>（二）依法与安置的每位残疾人签订了一年以上（含一年）的劳动合同或服务协议；</w:t>
      </w:r>
    </w:p>
    <w:p>
      <w:pPr>
        <w:pStyle w:val="19"/>
        <w:shd w:val="clear" w:color="auto" w:fill="FFFFFF"/>
        <w:spacing w:before="0" w:beforeAutospacing="0" w:after="0" w:afterAutospacing="0"/>
        <w:ind w:firstLine="480" w:firstLineChars="200"/>
        <w:rPr>
          <w:color w:val="auto"/>
          <w:highlight w:val="none"/>
        </w:rPr>
      </w:pPr>
      <w:r>
        <w:rPr>
          <w:rFonts w:hint="eastAsia"/>
          <w:color w:val="auto"/>
          <w:highlight w:val="none"/>
        </w:rPr>
        <w:t>（三）为安置的每位残疾人按月足额缴纳了基本养老保险、基本医疗保险、失业保险、工伤保险和生育保险等社会保险费；</w:t>
      </w:r>
    </w:p>
    <w:p>
      <w:pPr>
        <w:pStyle w:val="19"/>
        <w:shd w:val="clear" w:color="auto" w:fill="FFFFFF"/>
        <w:spacing w:before="0" w:beforeAutospacing="0" w:after="0" w:afterAutospacing="0"/>
        <w:ind w:firstLine="480" w:firstLineChars="200"/>
        <w:rPr>
          <w:color w:val="auto"/>
          <w:highlight w:val="none"/>
        </w:rPr>
      </w:pPr>
      <w:r>
        <w:rPr>
          <w:rFonts w:hint="eastAsia"/>
          <w:color w:val="auto"/>
          <w:highlight w:val="none"/>
        </w:rPr>
        <w:t>（四）通过银行等金融机构向安置的每位残疾人，按月支付了不低于单位所在区县适用的经省级人民政府批准的月最低工资标准的工资；</w:t>
      </w:r>
    </w:p>
    <w:p>
      <w:pPr>
        <w:pStyle w:val="19"/>
        <w:shd w:val="clear" w:color="auto" w:fill="FFFFFF"/>
        <w:spacing w:before="0" w:beforeAutospacing="0" w:after="0" w:afterAutospacing="0"/>
        <w:ind w:firstLine="480" w:firstLineChars="200"/>
        <w:rPr>
          <w:color w:val="auto"/>
          <w:highlight w:val="none"/>
        </w:rPr>
      </w:pPr>
      <w:r>
        <w:rPr>
          <w:rFonts w:hint="eastAsia"/>
          <w:color w:val="auto"/>
          <w:highlight w:val="none"/>
        </w:rPr>
        <w:t>（五）提供本单位制造的货物、承担的工程或者服务（以下简称产品），或者提供其他残疾人福利性单位制造的货物（不包括使用非残疾人福利性单位注册商标的货物）。</w:t>
      </w:r>
    </w:p>
    <w:p>
      <w:pPr>
        <w:pStyle w:val="19"/>
        <w:shd w:val="clear" w:color="auto" w:fill="FFFFFF"/>
        <w:spacing w:before="0" w:beforeAutospacing="0" w:after="0" w:afterAutospacing="0"/>
        <w:ind w:firstLine="480" w:firstLineChars="200"/>
        <w:rPr>
          <w:color w:val="auto"/>
          <w:highlight w:val="none"/>
        </w:rPr>
      </w:pPr>
      <w:r>
        <w:rPr>
          <w:rFonts w:hint="eastAsia"/>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9"/>
        <w:shd w:val="clear" w:color="auto" w:fill="FFFFFF"/>
        <w:spacing w:before="0" w:beforeAutospacing="0" w:after="0" w:afterAutospacing="0"/>
        <w:ind w:firstLine="480" w:firstLineChars="200"/>
        <w:rPr>
          <w:color w:val="auto"/>
          <w:highlight w:val="none"/>
        </w:rPr>
      </w:pPr>
      <w:r>
        <w:rPr>
          <w:rFonts w:hint="eastAsia"/>
          <w:color w:val="auto"/>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9"/>
        <w:shd w:val="clear" w:color="auto" w:fill="FFFFFF"/>
        <w:spacing w:before="0" w:beforeAutospacing="0" w:after="0" w:afterAutospacing="0"/>
        <w:ind w:firstLine="480" w:firstLineChars="200"/>
        <w:rPr>
          <w:color w:val="auto"/>
          <w:highlight w:val="none"/>
        </w:rPr>
      </w:pPr>
      <w:r>
        <w:rPr>
          <w:rFonts w:hint="eastAsia"/>
          <w:color w:val="auto"/>
          <w:highlight w:val="none"/>
        </w:rPr>
        <w:t>中标、成交供应商为残疾人福利性单位的，采购人或者其委托的采购代理机构应当随中标、成交结果同时公告其《残疾人福利性单位声明函》，接受社会监督。</w:t>
      </w:r>
    </w:p>
    <w:p>
      <w:pPr>
        <w:pStyle w:val="19"/>
        <w:shd w:val="clear" w:color="auto" w:fill="FFFFFF"/>
        <w:spacing w:before="0" w:beforeAutospacing="0" w:after="0" w:afterAutospacing="0"/>
        <w:ind w:firstLine="480" w:firstLineChars="200"/>
        <w:rPr>
          <w:color w:val="auto"/>
          <w:highlight w:val="none"/>
        </w:rPr>
      </w:pPr>
      <w:r>
        <w:rPr>
          <w:rFonts w:hint="eastAsia"/>
          <w:color w:val="auto"/>
          <w:highlight w:val="none"/>
        </w:rPr>
        <w:t>供应商提供的《残疾人福利性单位声明函》与事实不符的，依照</w:t>
      </w:r>
      <w:r>
        <w:rPr>
          <w:rFonts w:hint="eastAsia"/>
          <w:color w:val="auto"/>
          <w:highlight w:val="none"/>
          <w:lang w:eastAsia="zh-CN"/>
        </w:rPr>
        <w:t>《中华人民共和国政府采购法》</w:t>
      </w:r>
      <w:r>
        <w:rPr>
          <w:rFonts w:hint="eastAsia"/>
          <w:color w:val="auto"/>
          <w:highlight w:val="none"/>
        </w:rPr>
        <w:t>第七十七条第一款的规定追究法律责任。</w:t>
      </w:r>
    </w:p>
    <w:p>
      <w:pPr>
        <w:pStyle w:val="19"/>
        <w:shd w:val="clear" w:color="auto" w:fill="FFFFFF"/>
        <w:spacing w:before="0" w:beforeAutospacing="0" w:after="0" w:afterAutospacing="0"/>
        <w:ind w:firstLine="480" w:firstLineChars="200"/>
        <w:rPr>
          <w:color w:val="auto"/>
          <w:highlight w:val="none"/>
        </w:rPr>
      </w:pPr>
      <w:r>
        <w:rPr>
          <w:rFonts w:hint="eastAsia"/>
          <w:color w:val="auto"/>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9"/>
        <w:shd w:val="clear" w:color="auto" w:fill="FFFFFF"/>
        <w:spacing w:before="0" w:beforeAutospacing="0" w:after="0" w:afterAutospacing="0"/>
        <w:ind w:firstLine="480" w:firstLineChars="200"/>
        <w:rPr>
          <w:color w:val="auto"/>
          <w:highlight w:val="none"/>
        </w:rPr>
      </w:pPr>
      <w:r>
        <w:rPr>
          <w:rFonts w:hint="eastAsia"/>
          <w:color w:val="auto"/>
          <w:highlight w:val="none"/>
        </w:rPr>
        <w:t>四、采购人采购公开招标数额标准以上的货物或者服务，因落实促进残疾人就业政策的需要，依法履行有关报批程序后，可采用公开招标以外的采购方式。</w:t>
      </w:r>
    </w:p>
    <w:p>
      <w:pPr>
        <w:pStyle w:val="19"/>
        <w:shd w:val="clear" w:color="auto" w:fill="FFFFFF"/>
        <w:spacing w:before="0" w:beforeAutospacing="0" w:after="0" w:afterAutospacing="0" w:line="560" w:lineRule="exact"/>
        <w:ind w:firstLine="480" w:firstLineChars="200"/>
        <w:rPr>
          <w:color w:val="auto"/>
          <w:highlight w:val="none"/>
        </w:rPr>
      </w:pPr>
      <w:r>
        <w:rPr>
          <w:rFonts w:hint="eastAsia"/>
          <w:color w:val="auto"/>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9"/>
        <w:shd w:val="clear" w:color="auto" w:fill="FFFFFF"/>
        <w:spacing w:before="0" w:beforeAutospacing="0" w:after="0" w:afterAutospacing="0" w:line="560" w:lineRule="exact"/>
        <w:ind w:firstLine="480" w:firstLineChars="200"/>
        <w:rPr>
          <w:color w:val="auto"/>
          <w:highlight w:val="none"/>
        </w:rPr>
      </w:pPr>
      <w:r>
        <w:rPr>
          <w:rFonts w:hint="eastAsia"/>
          <w:color w:val="auto"/>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9"/>
        <w:shd w:val="clear" w:color="auto" w:fill="FFFFFF"/>
        <w:spacing w:before="0" w:beforeAutospacing="0" w:after="0" w:afterAutospacing="0" w:line="560" w:lineRule="exact"/>
        <w:ind w:firstLine="480" w:firstLineChars="200"/>
        <w:rPr>
          <w:color w:val="auto"/>
          <w:highlight w:val="none"/>
        </w:rPr>
      </w:pPr>
      <w:r>
        <w:rPr>
          <w:rFonts w:hint="eastAsia"/>
          <w:color w:val="auto"/>
          <w:highlight w:val="none"/>
        </w:rPr>
        <w:t>七、本通知自2017年10月1日起执行。</w:t>
      </w:r>
    </w:p>
    <w:p>
      <w:pPr>
        <w:pStyle w:val="19"/>
        <w:shd w:val="clear" w:color="auto" w:fill="FFFFFF"/>
        <w:spacing w:before="0" w:beforeAutospacing="0" w:after="0" w:afterAutospacing="0" w:line="560" w:lineRule="exact"/>
        <w:ind w:firstLine="480" w:firstLineChars="200"/>
        <w:jc w:val="right"/>
        <w:rPr>
          <w:color w:val="auto"/>
          <w:highlight w:val="none"/>
        </w:rPr>
      </w:pPr>
      <w:r>
        <w:rPr>
          <w:rFonts w:hint="eastAsia"/>
          <w:color w:val="auto"/>
          <w:highlight w:val="none"/>
        </w:rPr>
        <w:t>财政部 民政部 中国残疾人联合会</w:t>
      </w:r>
    </w:p>
    <w:p>
      <w:pPr>
        <w:pStyle w:val="19"/>
        <w:shd w:val="clear" w:color="auto" w:fill="FFFFFF"/>
        <w:spacing w:before="0" w:beforeAutospacing="0" w:after="0" w:afterAutospacing="0" w:line="560" w:lineRule="exact"/>
        <w:ind w:firstLine="480" w:firstLineChars="200"/>
        <w:jc w:val="right"/>
        <w:rPr>
          <w:color w:val="auto"/>
          <w:highlight w:val="none"/>
        </w:rPr>
      </w:pPr>
      <w:r>
        <w:rPr>
          <w:rFonts w:hint="eastAsia"/>
          <w:color w:val="auto"/>
          <w:highlight w:val="none"/>
        </w:rPr>
        <w:t>2017年8月22日</w:t>
      </w:r>
    </w:p>
    <w:p>
      <w:pPr>
        <w:pStyle w:val="57"/>
        <w:shd w:val="clear" w:color="auto" w:fill="FFFFFF"/>
        <w:spacing w:before="0" w:beforeAutospacing="0" w:after="0" w:afterAutospacing="0" w:line="560" w:lineRule="exact"/>
        <w:jc w:val="both"/>
        <w:rPr>
          <w:color w:val="auto"/>
          <w:highlight w:val="none"/>
        </w:rPr>
      </w:pPr>
      <w:r>
        <w:rPr>
          <w:rFonts w:hint="eastAsia"/>
          <w:color w:val="auto"/>
          <w:highlight w:val="none"/>
        </w:rPr>
        <w:t>附件：</w:t>
      </w:r>
    </w:p>
    <w:p>
      <w:pPr>
        <w:pStyle w:val="57"/>
        <w:shd w:val="clear" w:color="auto" w:fill="FFFFFF"/>
        <w:spacing w:before="0" w:beforeAutospacing="0" w:after="0" w:afterAutospacing="0" w:line="560" w:lineRule="exact"/>
        <w:ind w:firstLine="482" w:firstLineChars="200"/>
        <w:jc w:val="center"/>
        <w:rPr>
          <w:color w:val="auto"/>
          <w:highlight w:val="none"/>
        </w:rPr>
      </w:pPr>
      <w:r>
        <w:rPr>
          <w:rStyle w:val="39"/>
          <w:rFonts w:hint="eastAsia"/>
          <w:b/>
          <w:bCs/>
          <w:color w:val="auto"/>
          <w:highlight w:val="none"/>
        </w:rPr>
        <w:t>残疾人福利性单位声明函</w:t>
      </w:r>
    </w:p>
    <w:p>
      <w:pPr>
        <w:pStyle w:val="57"/>
        <w:shd w:val="clear" w:color="auto" w:fill="FFFFFF"/>
        <w:spacing w:before="0" w:beforeAutospacing="0" w:after="0" w:afterAutospacing="0" w:line="560" w:lineRule="exact"/>
        <w:ind w:firstLine="480" w:firstLineChars="200"/>
        <w:jc w:val="both"/>
        <w:rPr>
          <w:color w:val="auto"/>
          <w:highlight w:val="none"/>
        </w:rPr>
      </w:pPr>
      <w:r>
        <w:rPr>
          <w:rStyle w:val="39"/>
          <w:rFonts w:hint="eastAsia"/>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7"/>
        <w:shd w:val="clear" w:color="auto" w:fill="FFFFFF"/>
        <w:spacing w:before="0" w:beforeAutospacing="0" w:after="0" w:afterAutospacing="0" w:line="560" w:lineRule="exact"/>
        <w:ind w:firstLine="480" w:firstLineChars="200"/>
        <w:jc w:val="both"/>
        <w:rPr>
          <w:color w:val="auto"/>
          <w:highlight w:val="none"/>
        </w:rPr>
      </w:pPr>
      <w:r>
        <w:rPr>
          <w:rStyle w:val="39"/>
          <w:rFonts w:hint="eastAsia"/>
          <w:color w:val="auto"/>
          <w:highlight w:val="none"/>
        </w:rPr>
        <w:t>本单位对上述声明的真实性负责。如有虚假，将依法承担相应责任。</w:t>
      </w:r>
    </w:p>
    <w:p>
      <w:pPr>
        <w:pStyle w:val="57"/>
        <w:shd w:val="clear" w:color="auto" w:fill="FFFFFF"/>
        <w:spacing w:before="0" w:beforeAutospacing="0" w:after="0" w:afterAutospacing="0" w:line="560" w:lineRule="exact"/>
        <w:ind w:firstLine="480" w:firstLineChars="200"/>
        <w:jc w:val="both"/>
        <w:rPr>
          <w:color w:val="auto"/>
          <w:highlight w:val="none"/>
        </w:rPr>
      </w:pPr>
      <w:r>
        <w:rPr>
          <w:rFonts w:hint="eastAsia"/>
          <w:color w:val="auto"/>
          <w:highlight w:val="none"/>
        </w:rPr>
        <w:t>投标人已知悉《关于促进残疾人就业政府采购政策的通知》（财库〔2017〕141 号）的规定，承诺提供的声明函内容是真实的，如提供声明函内容不实，则依法追究相关法律责任。</w:t>
      </w:r>
    </w:p>
    <w:p>
      <w:pPr>
        <w:pStyle w:val="57"/>
        <w:shd w:val="clear" w:color="auto" w:fill="FFFFFF"/>
        <w:spacing w:before="0" w:beforeAutospacing="0" w:after="0" w:afterAutospacing="0" w:line="560" w:lineRule="exact"/>
        <w:ind w:right="2100" w:rightChars="1000"/>
        <w:jc w:val="right"/>
        <w:rPr>
          <w:color w:val="auto"/>
          <w:highlight w:val="none"/>
        </w:rPr>
      </w:pPr>
      <w:r>
        <w:rPr>
          <w:rStyle w:val="39"/>
          <w:rFonts w:hint="eastAsia"/>
          <w:color w:val="auto"/>
          <w:highlight w:val="none"/>
        </w:rPr>
        <w:t>单位名称（盖章）：</w:t>
      </w:r>
    </w:p>
    <w:p>
      <w:pPr>
        <w:pStyle w:val="57"/>
        <w:shd w:val="clear" w:color="auto" w:fill="FFFFFF"/>
        <w:spacing w:before="0" w:beforeAutospacing="0" w:after="0" w:afterAutospacing="0" w:line="560" w:lineRule="exact"/>
        <w:ind w:right="2100" w:rightChars="1000"/>
        <w:jc w:val="right"/>
        <w:rPr>
          <w:color w:val="auto"/>
          <w:highlight w:val="none"/>
          <w:lang w:val="fr-CH"/>
        </w:rPr>
      </w:pPr>
      <w:r>
        <w:rPr>
          <w:rStyle w:val="39"/>
          <w:rFonts w:hint="eastAsia"/>
          <w:color w:val="auto"/>
          <w:highlight w:val="none"/>
        </w:rPr>
        <w:t>日 期：</w:t>
      </w:r>
    </w:p>
    <w:p>
      <w:pPr>
        <w:tabs>
          <w:tab w:val="left" w:pos="640"/>
          <w:tab w:val="left" w:pos="1260"/>
          <w:tab w:val="left" w:pos="1418"/>
        </w:tabs>
        <w:spacing w:line="360" w:lineRule="auto"/>
        <w:ind w:right="-420" w:rightChars="-200"/>
        <w:rPr>
          <w:rFonts w:ascii="宋体" w:hAnsi="宋体" w:cs="宋体"/>
          <w:color w:val="auto"/>
          <w:sz w:val="24"/>
          <w:highlight w:val="none"/>
          <w:lang w:val="fr-CH"/>
        </w:rPr>
      </w:pPr>
    </w:p>
    <w:sectPr>
      <w:headerReference r:id="rId9" w:type="first"/>
      <w:headerReference r:id="rId7" w:type="default"/>
      <w:headerReference r:id="rId8"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29</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28</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9" o:spid="_x0000_s4099"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张衡20230612"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BFFEB4E7"/>
    <w:multiLevelType w:val="singleLevel"/>
    <w:tmpl w:val="BFFEB4E7"/>
    <w:lvl w:ilvl="0" w:tentative="0">
      <w:start w:val="1"/>
      <w:numFmt w:val="decimal"/>
      <w:suff w:val="nothing"/>
      <w:lvlText w:val="（%1）"/>
      <w:lvlJc w:val="left"/>
      <w:pPr>
        <w:ind w:left="480" w:firstLine="0"/>
      </w:pPr>
    </w:lvl>
  </w:abstractNum>
  <w:abstractNum w:abstractNumId="6">
    <w:nsid w:val="CBCC1AFC"/>
    <w:multiLevelType w:val="singleLevel"/>
    <w:tmpl w:val="CBCC1AFC"/>
    <w:lvl w:ilvl="0" w:tentative="0">
      <w:start w:val="5"/>
      <w:numFmt w:val="decimal"/>
      <w:suff w:val="nothing"/>
      <w:lvlText w:val="%1、"/>
      <w:lvlJc w:val="left"/>
    </w:lvl>
  </w:abstractNum>
  <w:abstractNum w:abstractNumId="7">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8">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9">
    <w:nsid w:val="1C9E6DAA"/>
    <w:multiLevelType w:val="multilevel"/>
    <w:tmpl w:val="1C9E6DAA"/>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88CA0B"/>
    <w:multiLevelType w:val="singleLevel"/>
    <w:tmpl w:val="3F88CA0B"/>
    <w:lvl w:ilvl="0" w:tentative="0">
      <w:start w:val="1"/>
      <w:numFmt w:val="chineseCounting"/>
      <w:suff w:val="nothing"/>
      <w:lvlText w:val="（%1）"/>
      <w:lvlJc w:val="left"/>
      <w:rPr>
        <w:rFonts w:hint="eastAsia"/>
      </w:rPr>
    </w:lvl>
  </w:abstractNum>
  <w:abstractNum w:abstractNumId="11">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2">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3">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4">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5">
    <w:nsid w:val="5EE37B1E"/>
    <w:multiLevelType w:val="multilevel"/>
    <w:tmpl w:val="5EE37B1E"/>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6ECFD46"/>
    <w:multiLevelType w:val="multilevel"/>
    <w:tmpl w:val="66ECFD46"/>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EE5BA3A"/>
    <w:multiLevelType w:val="singleLevel"/>
    <w:tmpl w:val="6EE5BA3A"/>
    <w:lvl w:ilvl="0" w:tentative="0">
      <w:start w:val="1"/>
      <w:numFmt w:val="decimal"/>
      <w:lvlText w:val="%1."/>
      <w:lvlJc w:val="left"/>
      <w:pPr>
        <w:tabs>
          <w:tab w:val="left" w:pos="312"/>
        </w:tabs>
      </w:pPr>
    </w:lvl>
  </w:abstractNum>
  <w:abstractNum w:abstractNumId="18">
    <w:nsid w:val="7083731C"/>
    <w:multiLevelType w:val="multilevel"/>
    <w:tmpl w:val="7083731C"/>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ACA9400"/>
    <w:multiLevelType w:val="multilevel"/>
    <w:tmpl w:val="7ACA9400"/>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20"/>
  </w:num>
  <w:num w:numId="2">
    <w:abstractNumId w:val="4"/>
  </w:num>
  <w:num w:numId="3">
    <w:abstractNumId w:val="2"/>
  </w:num>
  <w:num w:numId="4">
    <w:abstractNumId w:val="11"/>
  </w:num>
  <w:num w:numId="5">
    <w:abstractNumId w:val="5"/>
  </w:num>
  <w:num w:numId="6">
    <w:abstractNumId w:val="6"/>
  </w:num>
  <w:num w:numId="7">
    <w:abstractNumId w:val="12"/>
  </w:num>
  <w:num w:numId="8">
    <w:abstractNumId w:val="19"/>
  </w:num>
  <w:num w:numId="9">
    <w:abstractNumId w:val="16"/>
  </w:num>
  <w:num w:numId="10">
    <w:abstractNumId w:val="17"/>
  </w:num>
  <w:num w:numId="11">
    <w:abstractNumId w:val="10"/>
  </w:num>
  <w:num w:numId="12">
    <w:abstractNumId w:val="9"/>
  </w:num>
  <w:num w:numId="13">
    <w:abstractNumId w:val="18"/>
  </w:num>
  <w:num w:numId="14">
    <w:abstractNumId w:val="15"/>
  </w:num>
  <w:num w:numId="15">
    <w:abstractNumId w:val="3"/>
  </w:num>
  <w:num w:numId="16">
    <w:abstractNumId w:val="7"/>
  </w:num>
  <w:num w:numId="17">
    <w:abstractNumId w:val="1"/>
  </w:num>
  <w:num w:numId="18">
    <w:abstractNumId w:val="0"/>
  </w:num>
  <w:num w:numId="19">
    <w:abstractNumId w:val="8"/>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iMWE3MTVkODBjNDk2ODkyNzFiYzZmZGRmMDcyNDEifQ=="/>
  </w:docVars>
  <w:rsids>
    <w:rsidRoot w:val="009019AF"/>
    <w:rsid w:val="00000AB9"/>
    <w:rsid w:val="00001264"/>
    <w:rsid w:val="00002550"/>
    <w:rsid w:val="000025BB"/>
    <w:rsid w:val="00005408"/>
    <w:rsid w:val="00005C84"/>
    <w:rsid w:val="00005EDA"/>
    <w:rsid w:val="00007106"/>
    <w:rsid w:val="00007BA7"/>
    <w:rsid w:val="00010227"/>
    <w:rsid w:val="00010B3B"/>
    <w:rsid w:val="00011688"/>
    <w:rsid w:val="00012E5F"/>
    <w:rsid w:val="000137FE"/>
    <w:rsid w:val="00015F20"/>
    <w:rsid w:val="0001601F"/>
    <w:rsid w:val="00016E7F"/>
    <w:rsid w:val="00017572"/>
    <w:rsid w:val="000202B7"/>
    <w:rsid w:val="00020BFC"/>
    <w:rsid w:val="0002117A"/>
    <w:rsid w:val="00023DBE"/>
    <w:rsid w:val="00023F1B"/>
    <w:rsid w:val="00023F96"/>
    <w:rsid w:val="00025386"/>
    <w:rsid w:val="000310A0"/>
    <w:rsid w:val="00031A87"/>
    <w:rsid w:val="00032953"/>
    <w:rsid w:val="000362D8"/>
    <w:rsid w:val="00037AD7"/>
    <w:rsid w:val="0004035A"/>
    <w:rsid w:val="000448BB"/>
    <w:rsid w:val="0004493F"/>
    <w:rsid w:val="00045D2D"/>
    <w:rsid w:val="00046AA0"/>
    <w:rsid w:val="000504B2"/>
    <w:rsid w:val="0005157D"/>
    <w:rsid w:val="00053D50"/>
    <w:rsid w:val="00056078"/>
    <w:rsid w:val="00061AD3"/>
    <w:rsid w:val="000654B8"/>
    <w:rsid w:val="000658CA"/>
    <w:rsid w:val="00067C19"/>
    <w:rsid w:val="00070BB4"/>
    <w:rsid w:val="00073E2D"/>
    <w:rsid w:val="00074F8A"/>
    <w:rsid w:val="00077143"/>
    <w:rsid w:val="0007743F"/>
    <w:rsid w:val="000775E5"/>
    <w:rsid w:val="0007776A"/>
    <w:rsid w:val="000804FB"/>
    <w:rsid w:val="00083B7F"/>
    <w:rsid w:val="00084902"/>
    <w:rsid w:val="00084D07"/>
    <w:rsid w:val="000860DA"/>
    <w:rsid w:val="00091357"/>
    <w:rsid w:val="000939C6"/>
    <w:rsid w:val="00094929"/>
    <w:rsid w:val="00094CB9"/>
    <w:rsid w:val="00096DB5"/>
    <w:rsid w:val="000979A8"/>
    <w:rsid w:val="00097D08"/>
    <w:rsid w:val="00097F95"/>
    <w:rsid w:val="000A0205"/>
    <w:rsid w:val="000A0961"/>
    <w:rsid w:val="000A0BAB"/>
    <w:rsid w:val="000A168F"/>
    <w:rsid w:val="000A2248"/>
    <w:rsid w:val="000A340B"/>
    <w:rsid w:val="000A4229"/>
    <w:rsid w:val="000A5290"/>
    <w:rsid w:val="000A6360"/>
    <w:rsid w:val="000A7018"/>
    <w:rsid w:val="000A7483"/>
    <w:rsid w:val="000A7DFB"/>
    <w:rsid w:val="000B04DD"/>
    <w:rsid w:val="000B0670"/>
    <w:rsid w:val="000B07DA"/>
    <w:rsid w:val="000B1893"/>
    <w:rsid w:val="000B34A3"/>
    <w:rsid w:val="000B5397"/>
    <w:rsid w:val="000B67BF"/>
    <w:rsid w:val="000B67CE"/>
    <w:rsid w:val="000B68C5"/>
    <w:rsid w:val="000B6B36"/>
    <w:rsid w:val="000C2B9F"/>
    <w:rsid w:val="000C33BE"/>
    <w:rsid w:val="000C38EE"/>
    <w:rsid w:val="000C39EF"/>
    <w:rsid w:val="000C3B3B"/>
    <w:rsid w:val="000C3F21"/>
    <w:rsid w:val="000C60A6"/>
    <w:rsid w:val="000C668D"/>
    <w:rsid w:val="000D1981"/>
    <w:rsid w:val="000D3B08"/>
    <w:rsid w:val="000D5728"/>
    <w:rsid w:val="000D679A"/>
    <w:rsid w:val="000D6A66"/>
    <w:rsid w:val="000E1BD4"/>
    <w:rsid w:val="000E25BB"/>
    <w:rsid w:val="000E2706"/>
    <w:rsid w:val="000E41A2"/>
    <w:rsid w:val="000E4DED"/>
    <w:rsid w:val="000E6950"/>
    <w:rsid w:val="000F02CF"/>
    <w:rsid w:val="000F10A0"/>
    <w:rsid w:val="000F31DA"/>
    <w:rsid w:val="000F3EAB"/>
    <w:rsid w:val="000F4212"/>
    <w:rsid w:val="000F4A45"/>
    <w:rsid w:val="000F5BC7"/>
    <w:rsid w:val="000F65F2"/>
    <w:rsid w:val="0010340E"/>
    <w:rsid w:val="00104880"/>
    <w:rsid w:val="001052B0"/>
    <w:rsid w:val="001055A6"/>
    <w:rsid w:val="00105C01"/>
    <w:rsid w:val="001060A6"/>
    <w:rsid w:val="00107F5D"/>
    <w:rsid w:val="001104FB"/>
    <w:rsid w:val="00113B46"/>
    <w:rsid w:val="00115349"/>
    <w:rsid w:val="001167AD"/>
    <w:rsid w:val="001170A0"/>
    <w:rsid w:val="00120C0F"/>
    <w:rsid w:val="001219F1"/>
    <w:rsid w:val="00122CC4"/>
    <w:rsid w:val="00126551"/>
    <w:rsid w:val="0012710C"/>
    <w:rsid w:val="001275D1"/>
    <w:rsid w:val="00130AF0"/>
    <w:rsid w:val="00132F8C"/>
    <w:rsid w:val="001332D0"/>
    <w:rsid w:val="00133771"/>
    <w:rsid w:val="00133C62"/>
    <w:rsid w:val="001346D2"/>
    <w:rsid w:val="00136645"/>
    <w:rsid w:val="001406F7"/>
    <w:rsid w:val="0014088D"/>
    <w:rsid w:val="00140C84"/>
    <w:rsid w:val="00140EDA"/>
    <w:rsid w:val="00141099"/>
    <w:rsid w:val="00143555"/>
    <w:rsid w:val="001436F3"/>
    <w:rsid w:val="0014556B"/>
    <w:rsid w:val="00146167"/>
    <w:rsid w:val="001514CE"/>
    <w:rsid w:val="0015317C"/>
    <w:rsid w:val="00153705"/>
    <w:rsid w:val="001538BF"/>
    <w:rsid w:val="00154411"/>
    <w:rsid w:val="00154906"/>
    <w:rsid w:val="00154B7E"/>
    <w:rsid w:val="0016036A"/>
    <w:rsid w:val="001623FD"/>
    <w:rsid w:val="00163506"/>
    <w:rsid w:val="00163757"/>
    <w:rsid w:val="00163F61"/>
    <w:rsid w:val="001646EE"/>
    <w:rsid w:val="00164AAE"/>
    <w:rsid w:val="001650A6"/>
    <w:rsid w:val="00165F2A"/>
    <w:rsid w:val="00166C2F"/>
    <w:rsid w:val="0017292D"/>
    <w:rsid w:val="00172EFE"/>
    <w:rsid w:val="00173067"/>
    <w:rsid w:val="001747B5"/>
    <w:rsid w:val="00174DDD"/>
    <w:rsid w:val="00175536"/>
    <w:rsid w:val="001755DC"/>
    <w:rsid w:val="00175AC4"/>
    <w:rsid w:val="00175CB9"/>
    <w:rsid w:val="00176A4E"/>
    <w:rsid w:val="00181D99"/>
    <w:rsid w:val="00182CEB"/>
    <w:rsid w:val="00184339"/>
    <w:rsid w:val="00184E1A"/>
    <w:rsid w:val="00185C7A"/>
    <w:rsid w:val="00185EB3"/>
    <w:rsid w:val="00185EB5"/>
    <w:rsid w:val="00187AD2"/>
    <w:rsid w:val="00191C47"/>
    <w:rsid w:val="00192FA6"/>
    <w:rsid w:val="001930D7"/>
    <w:rsid w:val="00194363"/>
    <w:rsid w:val="00195176"/>
    <w:rsid w:val="00195F80"/>
    <w:rsid w:val="00197DD1"/>
    <w:rsid w:val="00197F0E"/>
    <w:rsid w:val="001A26B0"/>
    <w:rsid w:val="001A34B5"/>
    <w:rsid w:val="001A3A21"/>
    <w:rsid w:val="001A3AB3"/>
    <w:rsid w:val="001A4166"/>
    <w:rsid w:val="001A4902"/>
    <w:rsid w:val="001A5E2C"/>
    <w:rsid w:val="001A6191"/>
    <w:rsid w:val="001A735B"/>
    <w:rsid w:val="001A7F19"/>
    <w:rsid w:val="001B032C"/>
    <w:rsid w:val="001B0E4F"/>
    <w:rsid w:val="001B1679"/>
    <w:rsid w:val="001B1BA1"/>
    <w:rsid w:val="001B20B9"/>
    <w:rsid w:val="001B322C"/>
    <w:rsid w:val="001B3959"/>
    <w:rsid w:val="001B4492"/>
    <w:rsid w:val="001B492B"/>
    <w:rsid w:val="001B4D18"/>
    <w:rsid w:val="001B4EC8"/>
    <w:rsid w:val="001B5226"/>
    <w:rsid w:val="001B533A"/>
    <w:rsid w:val="001B5DC3"/>
    <w:rsid w:val="001B6945"/>
    <w:rsid w:val="001B6B74"/>
    <w:rsid w:val="001B7A9B"/>
    <w:rsid w:val="001C0B90"/>
    <w:rsid w:val="001C0F97"/>
    <w:rsid w:val="001C1163"/>
    <w:rsid w:val="001C1D76"/>
    <w:rsid w:val="001C2A1C"/>
    <w:rsid w:val="001C422F"/>
    <w:rsid w:val="001C4886"/>
    <w:rsid w:val="001C4B48"/>
    <w:rsid w:val="001C7739"/>
    <w:rsid w:val="001D3F68"/>
    <w:rsid w:val="001D4877"/>
    <w:rsid w:val="001D68D1"/>
    <w:rsid w:val="001D7866"/>
    <w:rsid w:val="001D7F42"/>
    <w:rsid w:val="001E00E7"/>
    <w:rsid w:val="001E0B5F"/>
    <w:rsid w:val="001E101D"/>
    <w:rsid w:val="001E40D9"/>
    <w:rsid w:val="001E527B"/>
    <w:rsid w:val="001E53DF"/>
    <w:rsid w:val="001E5476"/>
    <w:rsid w:val="001E5A95"/>
    <w:rsid w:val="001E6133"/>
    <w:rsid w:val="001E6B9F"/>
    <w:rsid w:val="001E7114"/>
    <w:rsid w:val="001E71AB"/>
    <w:rsid w:val="001F0AEF"/>
    <w:rsid w:val="001F16D2"/>
    <w:rsid w:val="001F26FA"/>
    <w:rsid w:val="001F3DBB"/>
    <w:rsid w:val="001F4CB7"/>
    <w:rsid w:val="001F5459"/>
    <w:rsid w:val="001F5AD9"/>
    <w:rsid w:val="001F6823"/>
    <w:rsid w:val="002001DF"/>
    <w:rsid w:val="0020025D"/>
    <w:rsid w:val="002012B5"/>
    <w:rsid w:val="002012E8"/>
    <w:rsid w:val="002019EE"/>
    <w:rsid w:val="00201E40"/>
    <w:rsid w:val="002029F8"/>
    <w:rsid w:val="002041D2"/>
    <w:rsid w:val="00204ADB"/>
    <w:rsid w:val="002051FD"/>
    <w:rsid w:val="00205610"/>
    <w:rsid w:val="002056F2"/>
    <w:rsid w:val="002067F8"/>
    <w:rsid w:val="0021051A"/>
    <w:rsid w:val="00210653"/>
    <w:rsid w:val="002118A2"/>
    <w:rsid w:val="00214671"/>
    <w:rsid w:val="00214FF9"/>
    <w:rsid w:val="00215020"/>
    <w:rsid w:val="002154C8"/>
    <w:rsid w:val="00215812"/>
    <w:rsid w:val="002158BC"/>
    <w:rsid w:val="00215C54"/>
    <w:rsid w:val="00216003"/>
    <w:rsid w:val="002176BA"/>
    <w:rsid w:val="00217FA7"/>
    <w:rsid w:val="00220D4C"/>
    <w:rsid w:val="0022150B"/>
    <w:rsid w:val="00221777"/>
    <w:rsid w:val="00221AE4"/>
    <w:rsid w:val="00221D29"/>
    <w:rsid w:val="0022369F"/>
    <w:rsid w:val="002236AC"/>
    <w:rsid w:val="00226910"/>
    <w:rsid w:val="00227013"/>
    <w:rsid w:val="00227611"/>
    <w:rsid w:val="00230164"/>
    <w:rsid w:val="0023084A"/>
    <w:rsid w:val="00231F8E"/>
    <w:rsid w:val="002329DD"/>
    <w:rsid w:val="0023484D"/>
    <w:rsid w:val="00235A6F"/>
    <w:rsid w:val="00236028"/>
    <w:rsid w:val="002360BE"/>
    <w:rsid w:val="0023643C"/>
    <w:rsid w:val="00237B9C"/>
    <w:rsid w:val="00237F85"/>
    <w:rsid w:val="00240328"/>
    <w:rsid w:val="002419B0"/>
    <w:rsid w:val="00242DEC"/>
    <w:rsid w:val="00243266"/>
    <w:rsid w:val="00243A7A"/>
    <w:rsid w:val="00245B4F"/>
    <w:rsid w:val="00245E6B"/>
    <w:rsid w:val="00246289"/>
    <w:rsid w:val="00251C48"/>
    <w:rsid w:val="00254A7A"/>
    <w:rsid w:val="002558DB"/>
    <w:rsid w:val="00256D4B"/>
    <w:rsid w:val="002617B3"/>
    <w:rsid w:val="002625C9"/>
    <w:rsid w:val="00265059"/>
    <w:rsid w:val="00265BA1"/>
    <w:rsid w:val="00266382"/>
    <w:rsid w:val="00267B4D"/>
    <w:rsid w:val="00270F9D"/>
    <w:rsid w:val="002716C3"/>
    <w:rsid w:val="002729B1"/>
    <w:rsid w:val="002752B7"/>
    <w:rsid w:val="00275862"/>
    <w:rsid w:val="0028095D"/>
    <w:rsid w:val="00281CA3"/>
    <w:rsid w:val="00284507"/>
    <w:rsid w:val="00284818"/>
    <w:rsid w:val="002906BF"/>
    <w:rsid w:val="0029121A"/>
    <w:rsid w:val="00293014"/>
    <w:rsid w:val="002951D6"/>
    <w:rsid w:val="00296CD4"/>
    <w:rsid w:val="0029735A"/>
    <w:rsid w:val="002A0627"/>
    <w:rsid w:val="002A1DEC"/>
    <w:rsid w:val="002A3BBF"/>
    <w:rsid w:val="002A3F2E"/>
    <w:rsid w:val="002A4C47"/>
    <w:rsid w:val="002A70BF"/>
    <w:rsid w:val="002B0925"/>
    <w:rsid w:val="002B127C"/>
    <w:rsid w:val="002B3118"/>
    <w:rsid w:val="002B31C6"/>
    <w:rsid w:val="002B3FB9"/>
    <w:rsid w:val="002B6BC2"/>
    <w:rsid w:val="002B72CA"/>
    <w:rsid w:val="002C0C27"/>
    <w:rsid w:val="002C12DB"/>
    <w:rsid w:val="002C2855"/>
    <w:rsid w:val="002C2F38"/>
    <w:rsid w:val="002C3E37"/>
    <w:rsid w:val="002C3E46"/>
    <w:rsid w:val="002C61F2"/>
    <w:rsid w:val="002C655B"/>
    <w:rsid w:val="002C6770"/>
    <w:rsid w:val="002C67E4"/>
    <w:rsid w:val="002C7417"/>
    <w:rsid w:val="002D0152"/>
    <w:rsid w:val="002D1B44"/>
    <w:rsid w:val="002D1E66"/>
    <w:rsid w:val="002D2E09"/>
    <w:rsid w:val="002D332B"/>
    <w:rsid w:val="002D39E4"/>
    <w:rsid w:val="002D4508"/>
    <w:rsid w:val="002D7186"/>
    <w:rsid w:val="002D79FE"/>
    <w:rsid w:val="002E0CA6"/>
    <w:rsid w:val="002E2577"/>
    <w:rsid w:val="002E4545"/>
    <w:rsid w:val="002E5238"/>
    <w:rsid w:val="002E54A2"/>
    <w:rsid w:val="002E5F35"/>
    <w:rsid w:val="002E712D"/>
    <w:rsid w:val="002F02F7"/>
    <w:rsid w:val="002F1552"/>
    <w:rsid w:val="002F182B"/>
    <w:rsid w:val="002F3722"/>
    <w:rsid w:val="002F3AF0"/>
    <w:rsid w:val="002F4C97"/>
    <w:rsid w:val="002F6CC3"/>
    <w:rsid w:val="00301EEF"/>
    <w:rsid w:val="00303034"/>
    <w:rsid w:val="003041FC"/>
    <w:rsid w:val="003066FF"/>
    <w:rsid w:val="00310559"/>
    <w:rsid w:val="003129D4"/>
    <w:rsid w:val="00313F91"/>
    <w:rsid w:val="003140E6"/>
    <w:rsid w:val="00314801"/>
    <w:rsid w:val="0031517D"/>
    <w:rsid w:val="00316584"/>
    <w:rsid w:val="00316D21"/>
    <w:rsid w:val="003176DD"/>
    <w:rsid w:val="00317D70"/>
    <w:rsid w:val="0032001E"/>
    <w:rsid w:val="0032071D"/>
    <w:rsid w:val="0032073D"/>
    <w:rsid w:val="00320929"/>
    <w:rsid w:val="00321B52"/>
    <w:rsid w:val="00322EB1"/>
    <w:rsid w:val="0032338E"/>
    <w:rsid w:val="00323D75"/>
    <w:rsid w:val="00324A70"/>
    <w:rsid w:val="003263A9"/>
    <w:rsid w:val="00326998"/>
    <w:rsid w:val="00327704"/>
    <w:rsid w:val="003279E6"/>
    <w:rsid w:val="00330A53"/>
    <w:rsid w:val="00331A81"/>
    <w:rsid w:val="0033214B"/>
    <w:rsid w:val="0033248A"/>
    <w:rsid w:val="00332FAF"/>
    <w:rsid w:val="003350AD"/>
    <w:rsid w:val="003351C0"/>
    <w:rsid w:val="00337499"/>
    <w:rsid w:val="00340293"/>
    <w:rsid w:val="00341688"/>
    <w:rsid w:val="00342C53"/>
    <w:rsid w:val="003447B9"/>
    <w:rsid w:val="003451ED"/>
    <w:rsid w:val="00347226"/>
    <w:rsid w:val="00347B54"/>
    <w:rsid w:val="00350137"/>
    <w:rsid w:val="003511B8"/>
    <w:rsid w:val="003522BD"/>
    <w:rsid w:val="00352347"/>
    <w:rsid w:val="003530B6"/>
    <w:rsid w:val="003548BF"/>
    <w:rsid w:val="00355BFF"/>
    <w:rsid w:val="0035792A"/>
    <w:rsid w:val="00357E1F"/>
    <w:rsid w:val="00357EF5"/>
    <w:rsid w:val="00361E90"/>
    <w:rsid w:val="003625B2"/>
    <w:rsid w:val="003629FA"/>
    <w:rsid w:val="00362FCD"/>
    <w:rsid w:val="00363B28"/>
    <w:rsid w:val="00364778"/>
    <w:rsid w:val="0036525F"/>
    <w:rsid w:val="00365824"/>
    <w:rsid w:val="00365943"/>
    <w:rsid w:val="00365BD9"/>
    <w:rsid w:val="0036636F"/>
    <w:rsid w:val="00366B0E"/>
    <w:rsid w:val="0037011B"/>
    <w:rsid w:val="00370895"/>
    <w:rsid w:val="003709A3"/>
    <w:rsid w:val="003712C9"/>
    <w:rsid w:val="0037224D"/>
    <w:rsid w:val="00372277"/>
    <w:rsid w:val="00373AEE"/>
    <w:rsid w:val="003743AE"/>
    <w:rsid w:val="00376445"/>
    <w:rsid w:val="003769E0"/>
    <w:rsid w:val="0037735E"/>
    <w:rsid w:val="00377E2C"/>
    <w:rsid w:val="00377EB2"/>
    <w:rsid w:val="00380A7E"/>
    <w:rsid w:val="00382B6F"/>
    <w:rsid w:val="0038598C"/>
    <w:rsid w:val="00386310"/>
    <w:rsid w:val="00391432"/>
    <w:rsid w:val="003926C5"/>
    <w:rsid w:val="00392ADA"/>
    <w:rsid w:val="00393068"/>
    <w:rsid w:val="0039462A"/>
    <w:rsid w:val="00394D4E"/>
    <w:rsid w:val="00394FF6"/>
    <w:rsid w:val="003956CB"/>
    <w:rsid w:val="00395F1A"/>
    <w:rsid w:val="003968B3"/>
    <w:rsid w:val="003A00A1"/>
    <w:rsid w:val="003A1168"/>
    <w:rsid w:val="003A264F"/>
    <w:rsid w:val="003A36E1"/>
    <w:rsid w:val="003A509E"/>
    <w:rsid w:val="003A5F60"/>
    <w:rsid w:val="003A6D29"/>
    <w:rsid w:val="003A730A"/>
    <w:rsid w:val="003B09B8"/>
    <w:rsid w:val="003B1AC0"/>
    <w:rsid w:val="003B3EBA"/>
    <w:rsid w:val="003B4350"/>
    <w:rsid w:val="003B5DDA"/>
    <w:rsid w:val="003B772F"/>
    <w:rsid w:val="003B7C7D"/>
    <w:rsid w:val="003C0CCB"/>
    <w:rsid w:val="003C4528"/>
    <w:rsid w:val="003C4C91"/>
    <w:rsid w:val="003C546C"/>
    <w:rsid w:val="003C5CF6"/>
    <w:rsid w:val="003C6297"/>
    <w:rsid w:val="003C69C0"/>
    <w:rsid w:val="003C7D6E"/>
    <w:rsid w:val="003D069B"/>
    <w:rsid w:val="003D0B98"/>
    <w:rsid w:val="003D10AA"/>
    <w:rsid w:val="003D147B"/>
    <w:rsid w:val="003D1CA0"/>
    <w:rsid w:val="003D2E6E"/>
    <w:rsid w:val="003D51E5"/>
    <w:rsid w:val="003D6A2A"/>
    <w:rsid w:val="003E0FDF"/>
    <w:rsid w:val="003E1455"/>
    <w:rsid w:val="003E179D"/>
    <w:rsid w:val="003E348C"/>
    <w:rsid w:val="003E3ACC"/>
    <w:rsid w:val="003E4F88"/>
    <w:rsid w:val="003E514A"/>
    <w:rsid w:val="003E58FF"/>
    <w:rsid w:val="003E5B3A"/>
    <w:rsid w:val="003E7589"/>
    <w:rsid w:val="003E7D86"/>
    <w:rsid w:val="003F04FC"/>
    <w:rsid w:val="003F111C"/>
    <w:rsid w:val="003F1120"/>
    <w:rsid w:val="003F1818"/>
    <w:rsid w:val="003F2EEC"/>
    <w:rsid w:val="003F4AE2"/>
    <w:rsid w:val="003F4B45"/>
    <w:rsid w:val="003F6229"/>
    <w:rsid w:val="003F6838"/>
    <w:rsid w:val="003F6D31"/>
    <w:rsid w:val="003F7480"/>
    <w:rsid w:val="00400EC6"/>
    <w:rsid w:val="00401B1E"/>
    <w:rsid w:val="00401F77"/>
    <w:rsid w:val="00402623"/>
    <w:rsid w:val="004031FD"/>
    <w:rsid w:val="004034B6"/>
    <w:rsid w:val="00403EF1"/>
    <w:rsid w:val="004046FC"/>
    <w:rsid w:val="00404D76"/>
    <w:rsid w:val="00405AC8"/>
    <w:rsid w:val="0040689F"/>
    <w:rsid w:val="00412D52"/>
    <w:rsid w:val="0041373D"/>
    <w:rsid w:val="00413E34"/>
    <w:rsid w:val="00414EF7"/>
    <w:rsid w:val="004150C5"/>
    <w:rsid w:val="004155E0"/>
    <w:rsid w:val="0041589D"/>
    <w:rsid w:val="00416022"/>
    <w:rsid w:val="004168D6"/>
    <w:rsid w:val="0041725B"/>
    <w:rsid w:val="00417958"/>
    <w:rsid w:val="0042262D"/>
    <w:rsid w:val="00422715"/>
    <w:rsid w:val="00423C6D"/>
    <w:rsid w:val="004241F6"/>
    <w:rsid w:val="004247AC"/>
    <w:rsid w:val="004253E1"/>
    <w:rsid w:val="00425BF8"/>
    <w:rsid w:val="00425C1D"/>
    <w:rsid w:val="004261AF"/>
    <w:rsid w:val="00427484"/>
    <w:rsid w:val="004277AD"/>
    <w:rsid w:val="00427B0C"/>
    <w:rsid w:val="00431A8F"/>
    <w:rsid w:val="0043255B"/>
    <w:rsid w:val="0043281C"/>
    <w:rsid w:val="00432942"/>
    <w:rsid w:val="00432E2B"/>
    <w:rsid w:val="00433715"/>
    <w:rsid w:val="0043428F"/>
    <w:rsid w:val="00436384"/>
    <w:rsid w:val="00436974"/>
    <w:rsid w:val="004404BE"/>
    <w:rsid w:val="00441097"/>
    <w:rsid w:val="004415B2"/>
    <w:rsid w:val="004423D8"/>
    <w:rsid w:val="00443C41"/>
    <w:rsid w:val="0044409E"/>
    <w:rsid w:val="00444FB9"/>
    <w:rsid w:val="004460A3"/>
    <w:rsid w:val="00446A78"/>
    <w:rsid w:val="00447BF8"/>
    <w:rsid w:val="00447E2A"/>
    <w:rsid w:val="0045026A"/>
    <w:rsid w:val="004522B9"/>
    <w:rsid w:val="00454536"/>
    <w:rsid w:val="00454BAD"/>
    <w:rsid w:val="00454F67"/>
    <w:rsid w:val="004552CE"/>
    <w:rsid w:val="0045577C"/>
    <w:rsid w:val="00456B6E"/>
    <w:rsid w:val="00457D87"/>
    <w:rsid w:val="00457DC2"/>
    <w:rsid w:val="004603DC"/>
    <w:rsid w:val="00460CB4"/>
    <w:rsid w:val="00461CBD"/>
    <w:rsid w:val="00461FD4"/>
    <w:rsid w:val="00463217"/>
    <w:rsid w:val="00464CDA"/>
    <w:rsid w:val="00465972"/>
    <w:rsid w:val="00470679"/>
    <w:rsid w:val="00470E0F"/>
    <w:rsid w:val="0047141F"/>
    <w:rsid w:val="00472505"/>
    <w:rsid w:val="00473A5A"/>
    <w:rsid w:val="00474A3B"/>
    <w:rsid w:val="00475DBB"/>
    <w:rsid w:val="00476E2E"/>
    <w:rsid w:val="004816F9"/>
    <w:rsid w:val="00482E09"/>
    <w:rsid w:val="004832E4"/>
    <w:rsid w:val="00484F92"/>
    <w:rsid w:val="004852A1"/>
    <w:rsid w:val="00485C04"/>
    <w:rsid w:val="00490EC1"/>
    <w:rsid w:val="00491106"/>
    <w:rsid w:val="00491CAC"/>
    <w:rsid w:val="004926D4"/>
    <w:rsid w:val="00495CC5"/>
    <w:rsid w:val="00496591"/>
    <w:rsid w:val="00497EE3"/>
    <w:rsid w:val="004A0808"/>
    <w:rsid w:val="004A18E0"/>
    <w:rsid w:val="004A1D38"/>
    <w:rsid w:val="004A254F"/>
    <w:rsid w:val="004A32D1"/>
    <w:rsid w:val="004A4322"/>
    <w:rsid w:val="004A6A09"/>
    <w:rsid w:val="004A6F30"/>
    <w:rsid w:val="004A7037"/>
    <w:rsid w:val="004A79FF"/>
    <w:rsid w:val="004A7F98"/>
    <w:rsid w:val="004B2E36"/>
    <w:rsid w:val="004B310E"/>
    <w:rsid w:val="004B3B9E"/>
    <w:rsid w:val="004B46E8"/>
    <w:rsid w:val="004B4C6C"/>
    <w:rsid w:val="004B5399"/>
    <w:rsid w:val="004B59E1"/>
    <w:rsid w:val="004B7DF3"/>
    <w:rsid w:val="004C1025"/>
    <w:rsid w:val="004C1784"/>
    <w:rsid w:val="004C3F4F"/>
    <w:rsid w:val="004C5A34"/>
    <w:rsid w:val="004C7C5F"/>
    <w:rsid w:val="004D10CA"/>
    <w:rsid w:val="004D3681"/>
    <w:rsid w:val="004D38BC"/>
    <w:rsid w:val="004D4EB2"/>
    <w:rsid w:val="004D520C"/>
    <w:rsid w:val="004D54A7"/>
    <w:rsid w:val="004D6154"/>
    <w:rsid w:val="004D68D4"/>
    <w:rsid w:val="004D6BFD"/>
    <w:rsid w:val="004D6F37"/>
    <w:rsid w:val="004D7D47"/>
    <w:rsid w:val="004D7EE5"/>
    <w:rsid w:val="004E1F6A"/>
    <w:rsid w:val="004E28C5"/>
    <w:rsid w:val="004E3CEB"/>
    <w:rsid w:val="004E3D12"/>
    <w:rsid w:val="004E46C3"/>
    <w:rsid w:val="004E4A84"/>
    <w:rsid w:val="004E4FF3"/>
    <w:rsid w:val="004E5BE8"/>
    <w:rsid w:val="004F0AE7"/>
    <w:rsid w:val="004F11DC"/>
    <w:rsid w:val="004F4159"/>
    <w:rsid w:val="004F54E5"/>
    <w:rsid w:val="004F5DA0"/>
    <w:rsid w:val="004F66E8"/>
    <w:rsid w:val="004F7492"/>
    <w:rsid w:val="0050033D"/>
    <w:rsid w:val="0050367C"/>
    <w:rsid w:val="0050483E"/>
    <w:rsid w:val="00506058"/>
    <w:rsid w:val="00506CF5"/>
    <w:rsid w:val="00507D63"/>
    <w:rsid w:val="00510529"/>
    <w:rsid w:val="00510DF7"/>
    <w:rsid w:val="005115EE"/>
    <w:rsid w:val="00513F00"/>
    <w:rsid w:val="00517584"/>
    <w:rsid w:val="00521016"/>
    <w:rsid w:val="00521059"/>
    <w:rsid w:val="00522356"/>
    <w:rsid w:val="0052301E"/>
    <w:rsid w:val="00523446"/>
    <w:rsid w:val="005245DD"/>
    <w:rsid w:val="00524CA4"/>
    <w:rsid w:val="005258E6"/>
    <w:rsid w:val="0052679B"/>
    <w:rsid w:val="005272F0"/>
    <w:rsid w:val="00527665"/>
    <w:rsid w:val="00531A71"/>
    <w:rsid w:val="00531B43"/>
    <w:rsid w:val="00533EB1"/>
    <w:rsid w:val="00535FF6"/>
    <w:rsid w:val="0053650C"/>
    <w:rsid w:val="00536F68"/>
    <w:rsid w:val="00540557"/>
    <w:rsid w:val="005408BD"/>
    <w:rsid w:val="00540989"/>
    <w:rsid w:val="00541D8D"/>
    <w:rsid w:val="0054268B"/>
    <w:rsid w:val="00543889"/>
    <w:rsid w:val="005438FE"/>
    <w:rsid w:val="0054760C"/>
    <w:rsid w:val="00547BD2"/>
    <w:rsid w:val="00550E46"/>
    <w:rsid w:val="00551835"/>
    <w:rsid w:val="005521FC"/>
    <w:rsid w:val="00553350"/>
    <w:rsid w:val="00553843"/>
    <w:rsid w:val="0055551E"/>
    <w:rsid w:val="005569A9"/>
    <w:rsid w:val="00557A73"/>
    <w:rsid w:val="005604EA"/>
    <w:rsid w:val="005614AD"/>
    <w:rsid w:val="0056151C"/>
    <w:rsid w:val="00561AE0"/>
    <w:rsid w:val="00563809"/>
    <w:rsid w:val="0056789B"/>
    <w:rsid w:val="005708D1"/>
    <w:rsid w:val="00570C23"/>
    <w:rsid w:val="00571438"/>
    <w:rsid w:val="00573019"/>
    <w:rsid w:val="00574F87"/>
    <w:rsid w:val="00575746"/>
    <w:rsid w:val="00576722"/>
    <w:rsid w:val="005775FA"/>
    <w:rsid w:val="00580066"/>
    <w:rsid w:val="00581B5E"/>
    <w:rsid w:val="00582B1E"/>
    <w:rsid w:val="00582D3C"/>
    <w:rsid w:val="00583067"/>
    <w:rsid w:val="00585082"/>
    <w:rsid w:val="005859B9"/>
    <w:rsid w:val="00585F90"/>
    <w:rsid w:val="005865A3"/>
    <w:rsid w:val="00590CBC"/>
    <w:rsid w:val="005914EE"/>
    <w:rsid w:val="00592323"/>
    <w:rsid w:val="00595255"/>
    <w:rsid w:val="00596B3D"/>
    <w:rsid w:val="005A019F"/>
    <w:rsid w:val="005A0E9A"/>
    <w:rsid w:val="005A1A5C"/>
    <w:rsid w:val="005A2514"/>
    <w:rsid w:val="005A264A"/>
    <w:rsid w:val="005A35EF"/>
    <w:rsid w:val="005A46F4"/>
    <w:rsid w:val="005A4A89"/>
    <w:rsid w:val="005A5777"/>
    <w:rsid w:val="005A5E2C"/>
    <w:rsid w:val="005A6556"/>
    <w:rsid w:val="005A7424"/>
    <w:rsid w:val="005A7B05"/>
    <w:rsid w:val="005B1FA3"/>
    <w:rsid w:val="005B22B6"/>
    <w:rsid w:val="005B25F6"/>
    <w:rsid w:val="005B2EB2"/>
    <w:rsid w:val="005B302C"/>
    <w:rsid w:val="005B70FC"/>
    <w:rsid w:val="005B71AC"/>
    <w:rsid w:val="005B735E"/>
    <w:rsid w:val="005B7414"/>
    <w:rsid w:val="005C0689"/>
    <w:rsid w:val="005C088A"/>
    <w:rsid w:val="005C0AB0"/>
    <w:rsid w:val="005C0F37"/>
    <w:rsid w:val="005C2900"/>
    <w:rsid w:val="005C331C"/>
    <w:rsid w:val="005C6884"/>
    <w:rsid w:val="005C7A34"/>
    <w:rsid w:val="005C7B6F"/>
    <w:rsid w:val="005D123B"/>
    <w:rsid w:val="005D23B1"/>
    <w:rsid w:val="005D2572"/>
    <w:rsid w:val="005D4603"/>
    <w:rsid w:val="005D479F"/>
    <w:rsid w:val="005D59F7"/>
    <w:rsid w:val="005D66A2"/>
    <w:rsid w:val="005D7F57"/>
    <w:rsid w:val="005E04AE"/>
    <w:rsid w:val="005E05B2"/>
    <w:rsid w:val="005E0A8B"/>
    <w:rsid w:val="005E0E75"/>
    <w:rsid w:val="005E241E"/>
    <w:rsid w:val="005E3EC7"/>
    <w:rsid w:val="005E3F87"/>
    <w:rsid w:val="005E4BA3"/>
    <w:rsid w:val="005E4E75"/>
    <w:rsid w:val="005E5ADE"/>
    <w:rsid w:val="005E608E"/>
    <w:rsid w:val="005E719A"/>
    <w:rsid w:val="005E74F7"/>
    <w:rsid w:val="005F14A6"/>
    <w:rsid w:val="005F1A60"/>
    <w:rsid w:val="005F33FF"/>
    <w:rsid w:val="005F3BD4"/>
    <w:rsid w:val="005F4019"/>
    <w:rsid w:val="005F6E17"/>
    <w:rsid w:val="005F7129"/>
    <w:rsid w:val="005F7F22"/>
    <w:rsid w:val="006018C2"/>
    <w:rsid w:val="00602D1D"/>
    <w:rsid w:val="00605007"/>
    <w:rsid w:val="00606052"/>
    <w:rsid w:val="00606D23"/>
    <w:rsid w:val="0060749F"/>
    <w:rsid w:val="006076CA"/>
    <w:rsid w:val="00611A45"/>
    <w:rsid w:val="0061254A"/>
    <w:rsid w:val="00616285"/>
    <w:rsid w:val="00616685"/>
    <w:rsid w:val="00617C68"/>
    <w:rsid w:val="006221C2"/>
    <w:rsid w:val="0062254C"/>
    <w:rsid w:val="00623021"/>
    <w:rsid w:val="00623290"/>
    <w:rsid w:val="0062433E"/>
    <w:rsid w:val="006244F3"/>
    <w:rsid w:val="00624F85"/>
    <w:rsid w:val="006254F0"/>
    <w:rsid w:val="0062555D"/>
    <w:rsid w:val="0062799C"/>
    <w:rsid w:val="0063478F"/>
    <w:rsid w:val="0063610A"/>
    <w:rsid w:val="00636453"/>
    <w:rsid w:val="0064169B"/>
    <w:rsid w:val="00641978"/>
    <w:rsid w:val="00645991"/>
    <w:rsid w:val="00646856"/>
    <w:rsid w:val="00647099"/>
    <w:rsid w:val="00647844"/>
    <w:rsid w:val="00647AAF"/>
    <w:rsid w:val="00647B3C"/>
    <w:rsid w:val="006500AE"/>
    <w:rsid w:val="00652A93"/>
    <w:rsid w:val="00653506"/>
    <w:rsid w:val="006559D8"/>
    <w:rsid w:val="00657D0C"/>
    <w:rsid w:val="006608AE"/>
    <w:rsid w:val="006609A2"/>
    <w:rsid w:val="00661FB3"/>
    <w:rsid w:val="0066269E"/>
    <w:rsid w:val="00662740"/>
    <w:rsid w:val="0066274D"/>
    <w:rsid w:val="00663A41"/>
    <w:rsid w:val="006652F6"/>
    <w:rsid w:val="006723E0"/>
    <w:rsid w:val="006725A4"/>
    <w:rsid w:val="00673A0D"/>
    <w:rsid w:val="006773E9"/>
    <w:rsid w:val="0068015D"/>
    <w:rsid w:val="00680904"/>
    <w:rsid w:val="00680988"/>
    <w:rsid w:val="00682FB8"/>
    <w:rsid w:val="006832C3"/>
    <w:rsid w:val="006835FE"/>
    <w:rsid w:val="00683C06"/>
    <w:rsid w:val="0068442F"/>
    <w:rsid w:val="00684C24"/>
    <w:rsid w:val="00684CFC"/>
    <w:rsid w:val="00685491"/>
    <w:rsid w:val="00685746"/>
    <w:rsid w:val="006859DA"/>
    <w:rsid w:val="006874FB"/>
    <w:rsid w:val="00687E55"/>
    <w:rsid w:val="006904A7"/>
    <w:rsid w:val="0069146B"/>
    <w:rsid w:val="006916EF"/>
    <w:rsid w:val="00691F3F"/>
    <w:rsid w:val="006922DF"/>
    <w:rsid w:val="006957A3"/>
    <w:rsid w:val="00696D86"/>
    <w:rsid w:val="006971D9"/>
    <w:rsid w:val="0069786E"/>
    <w:rsid w:val="00697E65"/>
    <w:rsid w:val="006A02AE"/>
    <w:rsid w:val="006A048E"/>
    <w:rsid w:val="006A20CC"/>
    <w:rsid w:val="006A397B"/>
    <w:rsid w:val="006A45BF"/>
    <w:rsid w:val="006A512C"/>
    <w:rsid w:val="006A5B09"/>
    <w:rsid w:val="006B14C8"/>
    <w:rsid w:val="006B18E5"/>
    <w:rsid w:val="006B25F9"/>
    <w:rsid w:val="006B27FA"/>
    <w:rsid w:val="006B2B70"/>
    <w:rsid w:val="006B5448"/>
    <w:rsid w:val="006B7369"/>
    <w:rsid w:val="006B79E6"/>
    <w:rsid w:val="006B7C20"/>
    <w:rsid w:val="006C063A"/>
    <w:rsid w:val="006C0BAB"/>
    <w:rsid w:val="006C2C9A"/>
    <w:rsid w:val="006C2E25"/>
    <w:rsid w:val="006C34D9"/>
    <w:rsid w:val="006C3E2E"/>
    <w:rsid w:val="006C4808"/>
    <w:rsid w:val="006C4929"/>
    <w:rsid w:val="006C5D8C"/>
    <w:rsid w:val="006D1AB6"/>
    <w:rsid w:val="006D2509"/>
    <w:rsid w:val="006D2C2C"/>
    <w:rsid w:val="006D30F4"/>
    <w:rsid w:val="006D5BA3"/>
    <w:rsid w:val="006D5C6C"/>
    <w:rsid w:val="006D60CD"/>
    <w:rsid w:val="006D6447"/>
    <w:rsid w:val="006D6AE4"/>
    <w:rsid w:val="006D7E24"/>
    <w:rsid w:val="006D7F35"/>
    <w:rsid w:val="006D7FD0"/>
    <w:rsid w:val="006E0256"/>
    <w:rsid w:val="006E0D91"/>
    <w:rsid w:val="006E0FBB"/>
    <w:rsid w:val="006E24DC"/>
    <w:rsid w:val="006E2BC4"/>
    <w:rsid w:val="006E5D3D"/>
    <w:rsid w:val="006E64BB"/>
    <w:rsid w:val="006E67E5"/>
    <w:rsid w:val="006F2D59"/>
    <w:rsid w:val="006F35BA"/>
    <w:rsid w:val="006F37F7"/>
    <w:rsid w:val="006F3D3C"/>
    <w:rsid w:val="00700137"/>
    <w:rsid w:val="007014FE"/>
    <w:rsid w:val="007015D2"/>
    <w:rsid w:val="00702F24"/>
    <w:rsid w:val="0070431F"/>
    <w:rsid w:val="00704921"/>
    <w:rsid w:val="00704A89"/>
    <w:rsid w:val="00704F92"/>
    <w:rsid w:val="00705668"/>
    <w:rsid w:val="007064E2"/>
    <w:rsid w:val="00707690"/>
    <w:rsid w:val="00707820"/>
    <w:rsid w:val="00707957"/>
    <w:rsid w:val="007107AD"/>
    <w:rsid w:val="007118A5"/>
    <w:rsid w:val="007121BF"/>
    <w:rsid w:val="00715260"/>
    <w:rsid w:val="00715C45"/>
    <w:rsid w:val="00715DFB"/>
    <w:rsid w:val="00715E52"/>
    <w:rsid w:val="007171CE"/>
    <w:rsid w:val="00717D90"/>
    <w:rsid w:val="00717E6D"/>
    <w:rsid w:val="007214E0"/>
    <w:rsid w:val="00721A3A"/>
    <w:rsid w:val="007224FA"/>
    <w:rsid w:val="00722D1B"/>
    <w:rsid w:val="00723846"/>
    <w:rsid w:val="0072397F"/>
    <w:rsid w:val="00724D59"/>
    <w:rsid w:val="007250E6"/>
    <w:rsid w:val="00727BA4"/>
    <w:rsid w:val="007308B5"/>
    <w:rsid w:val="007314BA"/>
    <w:rsid w:val="007337B2"/>
    <w:rsid w:val="00734AEA"/>
    <w:rsid w:val="00735921"/>
    <w:rsid w:val="00735E0C"/>
    <w:rsid w:val="00743E60"/>
    <w:rsid w:val="00745CE5"/>
    <w:rsid w:val="00746F9B"/>
    <w:rsid w:val="0074716C"/>
    <w:rsid w:val="007516F1"/>
    <w:rsid w:val="007531A8"/>
    <w:rsid w:val="00754C20"/>
    <w:rsid w:val="00755463"/>
    <w:rsid w:val="00756A27"/>
    <w:rsid w:val="00756CD3"/>
    <w:rsid w:val="007572AD"/>
    <w:rsid w:val="007573B6"/>
    <w:rsid w:val="00762138"/>
    <w:rsid w:val="007621BD"/>
    <w:rsid w:val="00762B98"/>
    <w:rsid w:val="0076356C"/>
    <w:rsid w:val="0076373B"/>
    <w:rsid w:val="00763BAA"/>
    <w:rsid w:val="00763F0C"/>
    <w:rsid w:val="00767AFF"/>
    <w:rsid w:val="00767FBB"/>
    <w:rsid w:val="00770015"/>
    <w:rsid w:val="00772439"/>
    <w:rsid w:val="00772C0B"/>
    <w:rsid w:val="00772C69"/>
    <w:rsid w:val="00772FC4"/>
    <w:rsid w:val="0077420D"/>
    <w:rsid w:val="00774D03"/>
    <w:rsid w:val="0077562A"/>
    <w:rsid w:val="00776611"/>
    <w:rsid w:val="00776DD5"/>
    <w:rsid w:val="007828E8"/>
    <w:rsid w:val="00783F27"/>
    <w:rsid w:val="00784F4B"/>
    <w:rsid w:val="007857B0"/>
    <w:rsid w:val="0078672C"/>
    <w:rsid w:val="00786733"/>
    <w:rsid w:val="0078701B"/>
    <w:rsid w:val="007878EF"/>
    <w:rsid w:val="00787D89"/>
    <w:rsid w:val="00790B82"/>
    <w:rsid w:val="0079171A"/>
    <w:rsid w:val="0079232E"/>
    <w:rsid w:val="00792C81"/>
    <w:rsid w:val="00793EA1"/>
    <w:rsid w:val="007A0FA6"/>
    <w:rsid w:val="007A266A"/>
    <w:rsid w:val="007A321A"/>
    <w:rsid w:val="007A41A5"/>
    <w:rsid w:val="007A43CF"/>
    <w:rsid w:val="007A4CA6"/>
    <w:rsid w:val="007A606F"/>
    <w:rsid w:val="007A717B"/>
    <w:rsid w:val="007A79B1"/>
    <w:rsid w:val="007B03F7"/>
    <w:rsid w:val="007B06E5"/>
    <w:rsid w:val="007B3ADF"/>
    <w:rsid w:val="007B53E6"/>
    <w:rsid w:val="007B54D9"/>
    <w:rsid w:val="007B6F5E"/>
    <w:rsid w:val="007B780C"/>
    <w:rsid w:val="007C017E"/>
    <w:rsid w:val="007C0D0A"/>
    <w:rsid w:val="007C223C"/>
    <w:rsid w:val="007C25C7"/>
    <w:rsid w:val="007C2B4F"/>
    <w:rsid w:val="007C2E58"/>
    <w:rsid w:val="007C48C7"/>
    <w:rsid w:val="007C5533"/>
    <w:rsid w:val="007C6ACC"/>
    <w:rsid w:val="007D0379"/>
    <w:rsid w:val="007D0A9A"/>
    <w:rsid w:val="007D36EF"/>
    <w:rsid w:val="007D37EC"/>
    <w:rsid w:val="007D4E17"/>
    <w:rsid w:val="007D6020"/>
    <w:rsid w:val="007D7134"/>
    <w:rsid w:val="007D7173"/>
    <w:rsid w:val="007D742B"/>
    <w:rsid w:val="007E16C2"/>
    <w:rsid w:val="007E21A9"/>
    <w:rsid w:val="007E25CF"/>
    <w:rsid w:val="007E2B5F"/>
    <w:rsid w:val="007E2D66"/>
    <w:rsid w:val="007E3170"/>
    <w:rsid w:val="007E4121"/>
    <w:rsid w:val="007E5089"/>
    <w:rsid w:val="007E5767"/>
    <w:rsid w:val="007E65D3"/>
    <w:rsid w:val="007E6842"/>
    <w:rsid w:val="007F00C9"/>
    <w:rsid w:val="007F0797"/>
    <w:rsid w:val="007F1820"/>
    <w:rsid w:val="007F2F33"/>
    <w:rsid w:val="007F2F58"/>
    <w:rsid w:val="007F3687"/>
    <w:rsid w:val="007F4B8C"/>
    <w:rsid w:val="007F4BEA"/>
    <w:rsid w:val="007F636A"/>
    <w:rsid w:val="008006A4"/>
    <w:rsid w:val="008008CF"/>
    <w:rsid w:val="00803D4C"/>
    <w:rsid w:val="00805F72"/>
    <w:rsid w:val="00807C0B"/>
    <w:rsid w:val="00811327"/>
    <w:rsid w:val="0081276F"/>
    <w:rsid w:val="00815165"/>
    <w:rsid w:val="008160F8"/>
    <w:rsid w:val="00816E37"/>
    <w:rsid w:val="00823A16"/>
    <w:rsid w:val="00824DF1"/>
    <w:rsid w:val="00825BEF"/>
    <w:rsid w:val="00825ED9"/>
    <w:rsid w:val="00830E7F"/>
    <w:rsid w:val="008311A1"/>
    <w:rsid w:val="00831619"/>
    <w:rsid w:val="00832487"/>
    <w:rsid w:val="008335B2"/>
    <w:rsid w:val="00833911"/>
    <w:rsid w:val="0084124D"/>
    <w:rsid w:val="00841879"/>
    <w:rsid w:val="00843C71"/>
    <w:rsid w:val="008454A4"/>
    <w:rsid w:val="00846DAF"/>
    <w:rsid w:val="0085003F"/>
    <w:rsid w:val="0085018B"/>
    <w:rsid w:val="0085028C"/>
    <w:rsid w:val="008510F6"/>
    <w:rsid w:val="008522CA"/>
    <w:rsid w:val="00852B92"/>
    <w:rsid w:val="0085585B"/>
    <w:rsid w:val="00856803"/>
    <w:rsid w:val="00857AE3"/>
    <w:rsid w:val="00860053"/>
    <w:rsid w:val="0086107D"/>
    <w:rsid w:val="0086298F"/>
    <w:rsid w:val="00863873"/>
    <w:rsid w:val="008639FD"/>
    <w:rsid w:val="00864B0F"/>
    <w:rsid w:val="00867FFD"/>
    <w:rsid w:val="00870539"/>
    <w:rsid w:val="00874CEA"/>
    <w:rsid w:val="00874DF3"/>
    <w:rsid w:val="00875A6C"/>
    <w:rsid w:val="00875B45"/>
    <w:rsid w:val="008770C5"/>
    <w:rsid w:val="0088056E"/>
    <w:rsid w:val="008830A8"/>
    <w:rsid w:val="00883BB6"/>
    <w:rsid w:val="008842F3"/>
    <w:rsid w:val="0088478C"/>
    <w:rsid w:val="00887721"/>
    <w:rsid w:val="008907CD"/>
    <w:rsid w:val="00890ECE"/>
    <w:rsid w:val="0089198E"/>
    <w:rsid w:val="00891D55"/>
    <w:rsid w:val="00891FA1"/>
    <w:rsid w:val="008954D2"/>
    <w:rsid w:val="00895C37"/>
    <w:rsid w:val="00897D53"/>
    <w:rsid w:val="008A03AD"/>
    <w:rsid w:val="008A07BF"/>
    <w:rsid w:val="008A0D98"/>
    <w:rsid w:val="008A1C3D"/>
    <w:rsid w:val="008A420B"/>
    <w:rsid w:val="008A452F"/>
    <w:rsid w:val="008A5692"/>
    <w:rsid w:val="008A57AB"/>
    <w:rsid w:val="008A5ED4"/>
    <w:rsid w:val="008A5FEB"/>
    <w:rsid w:val="008A7737"/>
    <w:rsid w:val="008B0460"/>
    <w:rsid w:val="008B04C1"/>
    <w:rsid w:val="008B0AC3"/>
    <w:rsid w:val="008B2373"/>
    <w:rsid w:val="008B24D6"/>
    <w:rsid w:val="008B257C"/>
    <w:rsid w:val="008B417B"/>
    <w:rsid w:val="008B5164"/>
    <w:rsid w:val="008B7BE7"/>
    <w:rsid w:val="008C1179"/>
    <w:rsid w:val="008C1F30"/>
    <w:rsid w:val="008C3828"/>
    <w:rsid w:val="008C55BF"/>
    <w:rsid w:val="008C5AD2"/>
    <w:rsid w:val="008C605F"/>
    <w:rsid w:val="008C64E7"/>
    <w:rsid w:val="008D143C"/>
    <w:rsid w:val="008D2B9C"/>
    <w:rsid w:val="008D2DE9"/>
    <w:rsid w:val="008D3C44"/>
    <w:rsid w:val="008D3DBB"/>
    <w:rsid w:val="008D4284"/>
    <w:rsid w:val="008D42E1"/>
    <w:rsid w:val="008D4543"/>
    <w:rsid w:val="008D65DE"/>
    <w:rsid w:val="008D73A4"/>
    <w:rsid w:val="008D7D51"/>
    <w:rsid w:val="008E1F00"/>
    <w:rsid w:val="008E255D"/>
    <w:rsid w:val="008E3C2C"/>
    <w:rsid w:val="008E490B"/>
    <w:rsid w:val="008E50ED"/>
    <w:rsid w:val="008E593B"/>
    <w:rsid w:val="008E7526"/>
    <w:rsid w:val="008F0DB8"/>
    <w:rsid w:val="008F11FB"/>
    <w:rsid w:val="008F1C94"/>
    <w:rsid w:val="008F20AB"/>
    <w:rsid w:val="008F2319"/>
    <w:rsid w:val="008F283B"/>
    <w:rsid w:val="008F3AA4"/>
    <w:rsid w:val="008F46BB"/>
    <w:rsid w:val="008F4F60"/>
    <w:rsid w:val="008F5818"/>
    <w:rsid w:val="008F6574"/>
    <w:rsid w:val="0090038C"/>
    <w:rsid w:val="009014E5"/>
    <w:rsid w:val="009015FB"/>
    <w:rsid w:val="0090196C"/>
    <w:rsid w:val="009019AF"/>
    <w:rsid w:val="00902119"/>
    <w:rsid w:val="00902547"/>
    <w:rsid w:val="009027FD"/>
    <w:rsid w:val="00903840"/>
    <w:rsid w:val="00904653"/>
    <w:rsid w:val="00904690"/>
    <w:rsid w:val="00904ACD"/>
    <w:rsid w:val="009065AA"/>
    <w:rsid w:val="00910308"/>
    <w:rsid w:val="00910581"/>
    <w:rsid w:val="00911BC5"/>
    <w:rsid w:val="009130A5"/>
    <w:rsid w:val="00913484"/>
    <w:rsid w:val="00913B03"/>
    <w:rsid w:val="00914141"/>
    <w:rsid w:val="00915DBF"/>
    <w:rsid w:val="00916D95"/>
    <w:rsid w:val="00917855"/>
    <w:rsid w:val="00917A49"/>
    <w:rsid w:val="00917EF9"/>
    <w:rsid w:val="0092083F"/>
    <w:rsid w:val="00920CE3"/>
    <w:rsid w:val="00921016"/>
    <w:rsid w:val="00922E3B"/>
    <w:rsid w:val="0092374B"/>
    <w:rsid w:val="00923762"/>
    <w:rsid w:val="00924802"/>
    <w:rsid w:val="0092491C"/>
    <w:rsid w:val="0093017A"/>
    <w:rsid w:val="009306DD"/>
    <w:rsid w:val="0093145B"/>
    <w:rsid w:val="00932BAE"/>
    <w:rsid w:val="00933418"/>
    <w:rsid w:val="0093513C"/>
    <w:rsid w:val="00936276"/>
    <w:rsid w:val="0094127A"/>
    <w:rsid w:val="00945D87"/>
    <w:rsid w:val="0094755C"/>
    <w:rsid w:val="0095029C"/>
    <w:rsid w:val="009522C3"/>
    <w:rsid w:val="00952C04"/>
    <w:rsid w:val="00953701"/>
    <w:rsid w:val="009543BB"/>
    <w:rsid w:val="00954A4A"/>
    <w:rsid w:val="00955AA4"/>
    <w:rsid w:val="00956170"/>
    <w:rsid w:val="009562AA"/>
    <w:rsid w:val="00956353"/>
    <w:rsid w:val="00956FD7"/>
    <w:rsid w:val="00957C9E"/>
    <w:rsid w:val="00963565"/>
    <w:rsid w:val="00964584"/>
    <w:rsid w:val="00966B98"/>
    <w:rsid w:val="009708B0"/>
    <w:rsid w:val="00971CE3"/>
    <w:rsid w:val="00972009"/>
    <w:rsid w:val="00972C03"/>
    <w:rsid w:val="009731EA"/>
    <w:rsid w:val="00973B60"/>
    <w:rsid w:val="009747EF"/>
    <w:rsid w:val="009753C9"/>
    <w:rsid w:val="00977D80"/>
    <w:rsid w:val="00980829"/>
    <w:rsid w:val="00981121"/>
    <w:rsid w:val="00981AB2"/>
    <w:rsid w:val="009825F1"/>
    <w:rsid w:val="0098388D"/>
    <w:rsid w:val="00983C1E"/>
    <w:rsid w:val="00983CFD"/>
    <w:rsid w:val="00984D8C"/>
    <w:rsid w:val="009859E0"/>
    <w:rsid w:val="00985CFE"/>
    <w:rsid w:val="00985F01"/>
    <w:rsid w:val="00987DB1"/>
    <w:rsid w:val="00990CD2"/>
    <w:rsid w:val="009914D0"/>
    <w:rsid w:val="00991EA0"/>
    <w:rsid w:val="00992CBC"/>
    <w:rsid w:val="00992FBE"/>
    <w:rsid w:val="00993A5F"/>
    <w:rsid w:val="00994772"/>
    <w:rsid w:val="009952E0"/>
    <w:rsid w:val="00995523"/>
    <w:rsid w:val="0099614B"/>
    <w:rsid w:val="009964E9"/>
    <w:rsid w:val="00996A8A"/>
    <w:rsid w:val="00997C5E"/>
    <w:rsid w:val="00997D36"/>
    <w:rsid w:val="00997F36"/>
    <w:rsid w:val="009A176C"/>
    <w:rsid w:val="009A3C00"/>
    <w:rsid w:val="009A47FB"/>
    <w:rsid w:val="009B01BE"/>
    <w:rsid w:val="009B1469"/>
    <w:rsid w:val="009B1912"/>
    <w:rsid w:val="009B1C1A"/>
    <w:rsid w:val="009B287E"/>
    <w:rsid w:val="009B37D7"/>
    <w:rsid w:val="009B4689"/>
    <w:rsid w:val="009B5049"/>
    <w:rsid w:val="009B5D3B"/>
    <w:rsid w:val="009B7FFA"/>
    <w:rsid w:val="009C01CF"/>
    <w:rsid w:val="009C4972"/>
    <w:rsid w:val="009C49B9"/>
    <w:rsid w:val="009C761C"/>
    <w:rsid w:val="009D23A1"/>
    <w:rsid w:val="009D2F23"/>
    <w:rsid w:val="009D3072"/>
    <w:rsid w:val="009D34A7"/>
    <w:rsid w:val="009D36C0"/>
    <w:rsid w:val="009D4C56"/>
    <w:rsid w:val="009D61B2"/>
    <w:rsid w:val="009D79F2"/>
    <w:rsid w:val="009E1C55"/>
    <w:rsid w:val="009E1F85"/>
    <w:rsid w:val="009E3C42"/>
    <w:rsid w:val="009E4FAB"/>
    <w:rsid w:val="009E54B4"/>
    <w:rsid w:val="009E5683"/>
    <w:rsid w:val="009E5D80"/>
    <w:rsid w:val="009E5F21"/>
    <w:rsid w:val="009E647D"/>
    <w:rsid w:val="009F07C0"/>
    <w:rsid w:val="009F6F90"/>
    <w:rsid w:val="00A010BF"/>
    <w:rsid w:val="00A013D1"/>
    <w:rsid w:val="00A029A2"/>
    <w:rsid w:val="00A02C70"/>
    <w:rsid w:val="00A033FF"/>
    <w:rsid w:val="00A03665"/>
    <w:rsid w:val="00A05064"/>
    <w:rsid w:val="00A0638E"/>
    <w:rsid w:val="00A114F5"/>
    <w:rsid w:val="00A141EA"/>
    <w:rsid w:val="00A15110"/>
    <w:rsid w:val="00A17654"/>
    <w:rsid w:val="00A2021A"/>
    <w:rsid w:val="00A204DE"/>
    <w:rsid w:val="00A2122E"/>
    <w:rsid w:val="00A21AD4"/>
    <w:rsid w:val="00A23789"/>
    <w:rsid w:val="00A24A0C"/>
    <w:rsid w:val="00A31873"/>
    <w:rsid w:val="00A318EE"/>
    <w:rsid w:val="00A321E1"/>
    <w:rsid w:val="00A33B72"/>
    <w:rsid w:val="00A33FA7"/>
    <w:rsid w:val="00A34EDB"/>
    <w:rsid w:val="00A35026"/>
    <w:rsid w:val="00A41160"/>
    <w:rsid w:val="00A41E8D"/>
    <w:rsid w:val="00A43142"/>
    <w:rsid w:val="00A43BA9"/>
    <w:rsid w:val="00A43F3C"/>
    <w:rsid w:val="00A44296"/>
    <w:rsid w:val="00A447E9"/>
    <w:rsid w:val="00A448BA"/>
    <w:rsid w:val="00A44B90"/>
    <w:rsid w:val="00A45CD7"/>
    <w:rsid w:val="00A46022"/>
    <w:rsid w:val="00A4670B"/>
    <w:rsid w:val="00A46BC3"/>
    <w:rsid w:val="00A473D7"/>
    <w:rsid w:val="00A50017"/>
    <w:rsid w:val="00A5075F"/>
    <w:rsid w:val="00A53E85"/>
    <w:rsid w:val="00A54C89"/>
    <w:rsid w:val="00A553C7"/>
    <w:rsid w:val="00A55E7E"/>
    <w:rsid w:val="00A60516"/>
    <w:rsid w:val="00A61A7E"/>
    <w:rsid w:val="00A61BEA"/>
    <w:rsid w:val="00A62103"/>
    <w:rsid w:val="00A635FA"/>
    <w:rsid w:val="00A6558C"/>
    <w:rsid w:val="00A65C98"/>
    <w:rsid w:val="00A65F63"/>
    <w:rsid w:val="00A668B1"/>
    <w:rsid w:val="00A67399"/>
    <w:rsid w:val="00A67513"/>
    <w:rsid w:val="00A70085"/>
    <w:rsid w:val="00A71E9D"/>
    <w:rsid w:val="00A720BC"/>
    <w:rsid w:val="00A72171"/>
    <w:rsid w:val="00A72C11"/>
    <w:rsid w:val="00A73E7D"/>
    <w:rsid w:val="00A740DF"/>
    <w:rsid w:val="00A75211"/>
    <w:rsid w:val="00A77D9B"/>
    <w:rsid w:val="00A806B8"/>
    <w:rsid w:val="00A819E7"/>
    <w:rsid w:val="00A81A8C"/>
    <w:rsid w:val="00A81D22"/>
    <w:rsid w:val="00A81E94"/>
    <w:rsid w:val="00A821E5"/>
    <w:rsid w:val="00A82D0F"/>
    <w:rsid w:val="00A83125"/>
    <w:rsid w:val="00A83787"/>
    <w:rsid w:val="00A83A73"/>
    <w:rsid w:val="00A83CB1"/>
    <w:rsid w:val="00A841F6"/>
    <w:rsid w:val="00A86001"/>
    <w:rsid w:val="00A87731"/>
    <w:rsid w:val="00A87E27"/>
    <w:rsid w:val="00A87F47"/>
    <w:rsid w:val="00A90F32"/>
    <w:rsid w:val="00A91101"/>
    <w:rsid w:val="00A9156A"/>
    <w:rsid w:val="00A91699"/>
    <w:rsid w:val="00A942ED"/>
    <w:rsid w:val="00A95162"/>
    <w:rsid w:val="00A96265"/>
    <w:rsid w:val="00A97964"/>
    <w:rsid w:val="00A97CA8"/>
    <w:rsid w:val="00AA14D7"/>
    <w:rsid w:val="00AA1843"/>
    <w:rsid w:val="00AA1AEA"/>
    <w:rsid w:val="00AA231C"/>
    <w:rsid w:val="00AA63EC"/>
    <w:rsid w:val="00AA6BFC"/>
    <w:rsid w:val="00AA7A44"/>
    <w:rsid w:val="00AB198F"/>
    <w:rsid w:val="00AB20A8"/>
    <w:rsid w:val="00AB20E3"/>
    <w:rsid w:val="00AB25D7"/>
    <w:rsid w:val="00AB25F5"/>
    <w:rsid w:val="00AB5498"/>
    <w:rsid w:val="00AB6932"/>
    <w:rsid w:val="00AB789C"/>
    <w:rsid w:val="00AB7BD4"/>
    <w:rsid w:val="00AC24D1"/>
    <w:rsid w:val="00AC35BF"/>
    <w:rsid w:val="00AC42E2"/>
    <w:rsid w:val="00AC67C8"/>
    <w:rsid w:val="00AD3476"/>
    <w:rsid w:val="00AD34E1"/>
    <w:rsid w:val="00AD3978"/>
    <w:rsid w:val="00AD4360"/>
    <w:rsid w:val="00AD4A13"/>
    <w:rsid w:val="00AD4A66"/>
    <w:rsid w:val="00AD5B16"/>
    <w:rsid w:val="00AD6EE2"/>
    <w:rsid w:val="00AD7338"/>
    <w:rsid w:val="00AD7373"/>
    <w:rsid w:val="00AD7CE1"/>
    <w:rsid w:val="00AE0231"/>
    <w:rsid w:val="00AE04AC"/>
    <w:rsid w:val="00AE1073"/>
    <w:rsid w:val="00AE26F2"/>
    <w:rsid w:val="00AE3C9B"/>
    <w:rsid w:val="00AE4199"/>
    <w:rsid w:val="00AE4396"/>
    <w:rsid w:val="00AE561D"/>
    <w:rsid w:val="00AE6FC5"/>
    <w:rsid w:val="00AE7E12"/>
    <w:rsid w:val="00AF0140"/>
    <w:rsid w:val="00AF01EA"/>
    <w:rsid w:val="00AF1748"/>
    <w:rsid w:val="00AF3620"/>
    <w:rsid w:val="00AF45E4"/>
    <w:rsid w:val="00AF4C7F"/>
    <w:rsid w:val="00AF54B1"/>
    <w:rsid w:val="00AF5718"/>
    <w:rsid w:val="00AF6D81"/>
    <w:rsid w:val="00AF7085"/>
    <w:rsid w:val="00AF717C"/>
    <w:rsid w:val="00B01635"/>
    <w:rsid w:val="00B03247"/>
    <w:rsid w:val="00B03299"/>
    <w:rsid w:val="00B03D4C"/>
    <w:rsid w:val="00B04452"/>
    <w:rsid w:val="00B0619C"/>
    <w:rsid w:val="00B06393"/>
    <w:rsid w:val="00B1145F"/>
    <w:rsid w:val="00B11AD1"/>
    <w:rsid w:val="00B12008"/>
    <w:rsid w:val="00B12EE2"/>
    <w:rsid w:val="00B1325D"/>
    <w:rsid w:val="00B140BC"/>
    <w:rsid w:val="00B16540"/>
    <w:rsid w:val="00B16F18"/>
    <w:rsid w:val="00B17A6D"/>
    <w:rsid w:val="00B2057C"/>
    <w:rsid w:val="00B209B6"/>
    <w:rsid w:val="00B20DC1"/>
    <w:rsid w:val="00B2106B"/>
    <w:rsid w:val="00B23964"/>
    <w:rsid w:val="00B24499"/>
    <w:rsid w:val="00B2725F"/>
    <w:rsid w:val="00B27F7C"/>
    <w:rsid w:val="00B303AC"/>
    <w:rsid w:val="00B304E7"/>
    <w:rsid w:val="00B30ECE"/>
    <w:rsid w:val="00B3110A"/>
    <w:rsid w:val="00B32592"/>
    <w:rsid w:val="00B325EA"/>
    <w:rsid w:val="00B34A8D"/>
    <w:rsid w:val="00B3626C"/>
    <w:rsid w:val="00B41E4F"/>
    <w:rsid w:val="00B4244F"/>
    <w:rsid w:val="00B43342"/>
    <w:rsid w:val="00B43B3E"/>
    <w:rsid w:val="00B44E2F"/>
    <w:rsid w:val="00B4541B"/>
    <w:rsid w:val="00B456C9"/>
    <w:rsid w:val="00B45A6C"/>
    <w:rsid w:val="00B46FBD"/>
    <w:rsid w:val="00B50133"/>
    <w:rsid w:val="00B519E5"/>
    <w:rsid w:val="00B54842"/>
    <w:rsid w:val="00B56B48"/>
    <w:rsid w:val="00B60226"/>
    <w:rsid w:val="00B64AC5"/>
    <w:rsid w:val="00B6539D"/>
    <w:rsid w:val="00B65CE0"/>
    <w:rsid w:val="00B66D2B"/>
    <w:rsid w:val="00B67326"/>
    <w:rsid w:val="00B676F1"/>
    <w:rsid w:val="00B71F5A"/>
    <w:rsid w:val="00B77E54"/>
    <w:rsid w:val="00B81A44"/>
    <w:rsid w:val="00B81B95"/>
    <w:rsid w:val="00B82799"/>
    <w:rsid w:val="00B8290E"/>
    <w:rsid w:val="00B831F2"/>
    <w:rsid w:val="00B84B26"/>
    <w:rsid w:val="00B86CF4"/>
    <w:rsid w:val="00B875E4"/>
    <w:rsid w:val="00B87754"/>
    <w:rsid w:val="00B87DFC"/>
    <w:rsid w:val="00B908AA"/>
    <w:rsid w:val="00B9196F"/>
    <w:rsid w:val="00B93814"/>
    <w:rsid w:val="00B93C4A"/>
    <w:rsid w:val="00B93D52"/>
    <w:rsid w:val="00B94333"/>
    <w:rsid w:val="00B94519"/>
    <w:rsid w:val="00B9466E"/>
    <w:rsid w:val="00B94815"/>
    <w:rsid w:val="00B95936"/>
    <w:rsid w:val="00B97FC3"/>
    <w:rsid w:val="00BA0F66"/>
    <w:rsid w:val="00BA2963"/>
    <w:rsid w:val="00BA350F"/>
    <w:rsid w:val="00BA3EBD"/>
    <w:rsid w:val="00BA41CF"/>
    <w:rsid w:val="00BA4E64"/>
    <w:rsid w:val="00BA68EA"/>
    <w:rsid w:val="00BA6E25"/>
    <w:rsid w:val="00BA7C35"/>
    <w:rsid w:val="00BB1BF0"/>
    <w:rsid w:val="00BB1C2D"/>
    <w:rsid w:val="00BB2402"/>
    <w:rsid w:val="00BB394B"/>
    <w:rsid w:val="00BB46C4"/>
    <w:rsid w:val="00BB4D3B"/>
    <w:rsid w:val="00BB6AAA"/>
    <w:rsid w:val="00BB744B"/>
    <w:rsid w:val="00BC078C"/>
    <w:rsid w:val="00BC12C4"/>
    <w:rsid w:val="00BC1781"/>
    <w:rsid w:val="00BC3A38"/>
    <w:rsid w:val="00BC3AC9"/>
    <w:rsid w:val="00BC3C81"/>
    <w:rsid w:val="00BC49D7"/>
    <w:rsid w:val="00BC6172"/>
    <w:rsid w:val="00BD257B"/>
    <w:rsid w:val="00BD2676"/>
    <w:rsid w:val="00BD5047"/>
    <w:rsid w:val="00BD666F"/>
    <w:rsid w:val="00BE0A33"/>
    <w:rsid w:val="00BE2294"/>
    <w:rsid w:val="00BE36E8"/>
    <w:rsid w:val="00BE5D8E"/>
    <w:rsid w:val="00BE66DC"/>
    <w:rsid w:val="00BE7CAA"/>
    <w:rsid w:val="00BF183C"/>
    <w:rsid w:val="00BF1CC9"/>
    <w:rsid w:val="00BF21A6"/>
    <w:rsid w:val="00BF31A9"/>
    <w:rsid w:val="00BF3F04"/>
    <w:rsid w:val="00BF4D00"/>
    <w:rsid w:val="00BF4D72"/>
    <w:rsid w:val="00BF5CD6"/>
    <w:rsid w:val="00BF7953"/>
    <w:rsid w:val="00BF7ECF"/>
    <w:rsid w:val="00C00471"/>
    <w:rsid w:val="00C00D50"/>
    <w:rsid w:val="00C01730"/>
    <w:rsid w:val="00C01B8C"/>
    <w:rsid w:val="00C01E1A"/>
    <w:rsid w:val="00C0269D"/>
    <w:rsid w:val="00C02BB4"/>
    <w:rsid w:val="00C03A55"/>
    <w:rsid w:val="00C04B0B"/>
    <w:rsid w:val="00C05DFB"/>
    <w:rsid w:val="00C06BC5"/>
    <w:rsid w:val="00C06CCD"/>
    <w:rsid w:val="00C079BA"/>
    <w:rsid w:val="00C07E0A"/>
    <w:rsid w:val="00C1081C"/>
    <w:rsid w:val="00C10ABD"/>
    <w:rsid w:val="00C11E0E"/>
    <w:rsid w:val="00C13802"/>
    <w:rsid w:val="00C15378"/>
    <w:rsid w:val="00C15B08"/>
    <w:rsid w:val="00C174FA"/>
    <w:rsid w:val="00C177DE"/>
    <w:rsid w:val="00C17CEA"/>
    <w:rsid w:val="00C2003A"/>
    <w:rsid w:val="00C2077C"/>
    <w:rsid w:val="00C21801"/>
    <w:rsid w:val="00C21DE7"/>
    <w:rsid w:val="00C228B2"/>
    <w:rsid w:val="00C22A32"/>
    <w:rsid w:val="00C22C8E"/>
    <w:rsid w:val="00C22DC5"/>
    <w:rsid w:val="00C2366D"/>
    <w:rsid w:val="00C243B6"/>
    <w:rsid w:val="00C246C7"/>
    <w:rsid w:val="00C24E3D"/>
    <w:rsid w:val="00C25B20"/>
    <w:rsid w:val="00C25DDE"/>
    <w:rsid w:val="00C265EF"/>
    <w:rsid w:val="00C30930"/>
    <w:rsid w:val="00C348DD"/>
    <w:rsid w:val="00C35676"/>
    <w:rsid w:val="00C3634F"/>
    <w:rsid w:val="00C364BB"/>
    <w:rsid w:val="00C36EE2"/>
    <w:rsid w:val="00C37581"/>
    <w:rsid w:val="00C37F78"/>
    <w:rsid w:val="00C41592"/>
    <w:rsid w:val="00C4176B"/>
    <w:rsid w:val="00C4186D"/>
    <w:rsid w:val="00C41978"/>
    <w:rsid w:val="00C420E0"/>
    <w:rsid w:val="00C4253E"/>
    <w:rsid w:val="00C43D79"/>
    <w:rsid w:val="00C44C0A"/>
    <w:rsid w:val="00C453FF"/>
    <w:rsid w:val="00C477D9"/>
    <w:rsid w:val="00C50273"/>
    <w:rsid w:val="00C509C7"/>
    <w:rsid w:val="00C50E50"/>
    <w:rsid w:val="00C50F8B"/>
    <w:rsid w:val="00C5172E"/>
    <w:rsid w:val="00C53676"/>
    <w:rsid w:val="00C54BE1"/>
    <w:rsid w:val="00C54EEA"/>
    <w:rsid w:val="00C55DEB"/>
    <w:rsid w:val="00C56091"/>
    <w:rsid w:val="00C561FF"/>
    <w:rsid w:val="00C604F8"/>
    <w:rsid w:val="00C61C49"/>
    <w:rsid w:val="00C62EA6"/>
    <w:rsid w:val="00C63078"/>
    <w:rsid w:val="00C65219"/>
    <w:rsid w:val="00C65CB5"/>
    <w:rsid w:val="00C65D33"/>
    <w:rsid w:val="00C66C9D"/>
    <w:rsid w:val="00C676BC"/>
    <w:rsid w:val="00C67CFC"/>
    <w:rsid w:val="00C67F77"/>
    <w:rsid w:val="00C7066F"/>
    <w:rsid w:val="00C70F5D"/>
    <w:rsid w:val="00C724A5"/>
    <w:rsid w:val="00C738EB"/>
    <w:rsid w:val="00C74637"/>
    <w:rsid w:val="00C74CDA"/>
    <w:rsid w:val="00C765C5"/>
    <w:rsid w:val="00C80705"/>
    <w:rsid w:val="00C80A5D"/>
    <w:rsid w:val="00C85AAA"/>
    <w:rsid w:val="00C86E8C"/>
    <w:rsid w:val="00C873B2"/>
    <w:rsid w:val="00C90FA7"/>
    <w:rsid w:val="00C91C98"/>
    <w:rsid w:val="00C93A49"/>
    <w:rsid w:val="00C94E46"/>
    <w:rsid w:val="00C96730"/>
    <w:rsid w:val="00C96EB4"/>
    <w:rsid w:val="00C97851"/>
    <w:rsid w:val="00CA012C"/>
    <w:rsid w:val="00CA1F34"/>
    <w:rsid w:val="00CA210F"/>
    <w:rsid w:val="00CA2355"/>
    <w:rsid w:val="00CA24FD"/>
    <w:rsid w:val="00CA764D"/>
    <w:rsid w:val="00CA7FB2"/>
    <w:rsid w:val="00CB1D02"/>
    <w:rsid w:val="00CB3945"/>
    <w:rsid w:val="00CB4098"/>
    <w:rsid w:val="00CB42F5"/>
    <w:rsid w:val="00CB45CD"/>
    <w:rsid w:val="00CB4EA5"/>
    <w:rsid w:val="00CB56DA"/>
    <w:rsid w:val="00CB7977"/>
    <w:rsid w:val="00CC135E"/>
    <w:rsid w:val="00CC36A8"/>
    <w:rsid w:val="00CC36F7"/>
    <w:rsid w:val="00CC37D4"/>
    <w:rsid w:val="00CC44BD"/>
    <w:rsid w:val="00CC58FC"/>
    <w:rsid w:val="00CC671B"/>
    <w:rsid w:val="00CC6986"/>
    <w:rsid w:val="00CC725C"/>
    <w:rsid w:val="00CC74B7"/>
    <w:rsid w:val="00CD0DA5"/>
    <w:rsid w:val="00CD28B9"/>
    <w:rsid w:val="00CD30F0"/>
    <w:rsid w:val="00CD3CFB"/>
    <w:rsid w:val="00CD3F6B"/>
    <w:rsid w:val="00CD4BC2"/>
    <w:rsid w:val="00CE0537"/>
    <w:rsid w:val="00CE06D6"/>
    <w:rsid w:val="00CE416F"/>
    <w:rsid w:val="00CE41BF"/>
    <w:rsid w:val="00CE563E"/>
    <w:rsid w:val="00CE6026"/>
    <w:rsid w:val="00CE6246"/>
    <w:rsid w:val="00CE66DD"/>
    <w:rsid w:val="00CE67A1"/>
    <w:rsid w:val="00CE7494"/>
    <w:rsid w:val="00CE78A5"/>
    <w:rsid w:val="00CE7A1F"/>
    <w:rsid w:val="00CF1443"/>
    <w:rsid w:val="00CF2CF5"/>
    <w:rsid w:val="00CF7361"/>
    <w:rsid w:val="00CF7567"/>
    <w:rsid w:val="00D019BA"/>
    <w:rsid w:val="00D02C0B"/>
    <w:rsid w:val="00D033B6"/>
    <w:rsid w:val="00D045BE"/>
    <w:rsid w:val="00D05911"/>
    <w:rsid w:val="00D0706A"/>
    <w:rsid w:val="00D07E85"/>
    <w:rsid w:val="00D12E71"/>
    <w:rsid w:val="00D13480"/>
    <w:rsid w:val="00D17977"/>
    <w:rsid w:val="00D242EE"/>
    <w:rsid w:val="00D24FF0"/>
    <w:rsid w:val="00D25810"/>
    <w:rsid w:val="00D259E5"/>
    <w:rsid w:val="00D26400"/>
    <w:rsid w:val="00D266C4"/>
    <w:rsid w:val="00D3092D"/>
    <w:rsid w:val="00D31115"/>
    <w:rsid w:val="00D3275C"/>
    <w:rsid w:val="00D33134"/>
    <w:rsid w:val="00D34BBF"/>
    <w:rsid w:val="00D35F95"/>
    <w:rsid w:val="00D37565"/>
    <w:rsid w:val="00D37F3E"/>
    <w:rsid w:val="00D40D6D"/>
    <w:rsid w:val="00D427CE"/>
    <w:rsid w:val="00D4293C"/>
    <w:rsid w:val="00D4311B"/>
    <w:rsid w:val="00D4367A"/>
    <w:rsid w:val="00D4377E"/>
    <w:rsid w:val="00D4386A"/>
    <w:rsid w:val="00D4567B"/>
    <w:rsid w:val="00D45DF8"/>
    <w:rsid w:val="00D45FB0"/>
    <w:rsid w:val="00D500EB"/>
    <w:rsid w:val="00D507D5"/>
    <w:rsid w:val="00D51EE8"/>
    <w:rsid w:val="00D52120"/>
    <w:rsid w:val="00D521DF"/>
    <w:rsid w:val="00D55A8D"/>
    <w:rsid w:val="00D567A2"/>
    <w:rsid w:val="00D56AD3"/>
    <w:rsid w:val="00D57810"/>
    <w:rsid w:val="00D60FE1"/>
    <w:rsid w:val="00D62A8C"/>
    <w:rsid w:val="00D65614"/>
    <w:rsid w:val="00D65DDC"/>
    <w:rsid w:val="00D70244"/>
    <w:rsid w:val="00D702A6"/>
    <w:rsid w:val="00D70E60"/>
    <w:rsid w:val="00D72580"/>
    <w:rsid w:val="00D725FF"/>
    <w:rsid w:val="00D7278A"/>
    <w:rsid w:val="00D72DAB"/>
    <w:rsid w:val="00D73274"/>
    <w:rsid w:val="00D74C9F"/>
    <w:rsid w:val="00D75092"/>
    <w:rsid w:val="00D750B4"/>
    <w:rsid w:val="00D77F60"/>
    <w:rsid w:val="00D81882"/>
    <w:rsid w:val="00D83EBD"/>
    <w:rsid w:val="00D84775"/>
    <w:rsid w:val="00D87381"/>
    <w:rsid w:val="00D87892"/>
    <w:rsid w:val="00D904EC"/>
    <w:rsid w:val="00D90F53"/>
    <w:rsid w:val="00D94DE0"/>
    <w:rsid w:val="00D9506F"/>
    <w:rsid w:val="00D969B5"/>
    <w:rsid w:val="00D9706B"/>
    <w:rsid w:val="00D97378"/>
    <w:rsid w:val="00D975E6"/>
    <w:rsid w:val="00DA16FC"/>
    <w:rsid w:val="00DA415B"/>
    <w:rsid w:val="00DA5CCE"/>
    <w:rsid w:val="00DA71ED"/>
    <w:rsid w:val="00DB0540"/>
    <w:rsid w:val="00DB59F2"/>
    <w:rsid w:val="00DB63F7"/>
    <w:rsid w:val="00DB77DA"/>
    <w:rsid w:val="00DC1B05"/>
    <w:rsid w:val="00DC3756"/>
    <w:rsid w:val="00DC3945"/>
    <w:rsid w:val="00DC3D67"/>
    <w:rsid w:val="00DC4130"/>
    <w:rsid w:val="00DC7798"/>
    <w:rsid w:val="00DD0126"/>
    <w:rsid w:val="00DD1D8A"/>
    <w:rsid w:val="00DD2EF7"/>
    <w:rsid w:val="00DD306B"/>
    <w:rsid w:val="00DD349D"/>
    <w:rsid w:val="00DD3993"/>
    <w:rsid w:val="00DD5592"/>
    <w:rsid w:val="00DD76FA"/>
    <w:rsid w:val="00DE0839"/>
    <w:rsid w:val="00DE1A5B"/>
    <w:rsid w:val="00DE2B94"/>
    <w:rsid w:val="00DE3158"/>
    <w:rsid w:val="00DE4F3C"/>
    <w:rsid w:val="00DE5C61"/>
    <w:rsid w:val="00DE5DBB"/>
    <w:rsid w:val="00DE6ED5"/>
    <w:rsid w:val="00DE7F4A"/>
    <w:rsid w:val="00DF156F"/>
    <w:rsid w:val="00DF1B2A"/>
    <w:rsid w:val="00DF1D85"/>
    <w:rsid w:val="00DF2B9D"/>
    <w:rsid w:val="00DF3736"/>
    <w:rsid w:val="00DF3979"/>
    <w:rsid w:val="00DF3C0C"/>
    <w:rsid w:val="00DF446A"/>
    <w:rsid w:val="00DF51E2"/>
    <w:rsid w:val="00DF7F2D"/>
    <w:rsid w:val="00E002C7"/>
    <w:rsid w:val="00E0245B"/>
    <w:rsid w:val="00E04D87"/>
    <w:rsid w:val="00E0543E"/>
    <w:rsid w:val="00E05D96"/>
    <w:rsid w:val="00E05E2B"/>
    <w:rsid w:val="00E0603F"/>
    <w:rsid w:val="00E060DA"/>
    <w:rsid w:val="00E078F2"/>
    <w:rsid w:val="00E13396"/>
    <w:rsid w:val="00E13486"/>
    <w:rsid w:val="00E15BC0"/>
    <w:rsid w:val="00E160F5"/>
    <w:rsid w:val="00E16544"/>
    <w:rsid w:val="00E17356"/>
    <w:rsid w:val="00E176A3"/>
    <w:rsid w:val="00E179D8"/>
    <w:rsid w:val="00E21228"/>
    <w:rsid w:val="00E21EDB"/>
    <w:rsid w:val="00E229E0"/>
    <w:rsid w:val="00E237DA"/>
    <w:rsid w:val="00E243B2"/>
    <w:rsid w:val="00E2517F"/>
    <w:rsid w:val="00E259A3"/>
    <w:rsid w:val="00E25B63"/>
    <w:rsid w:val="00E2638A"/>
    <w:rsid w:val="00E266D9"/>
    <w:rsid w:val="00E27236"/>
    <w:rsid w:val="00E27F20"/>
    <w:rsid w:val="00E3129A"/>
    <w:rsid w:val="00E320DA"/>
    <w:rsid w:val="00E33E6D"/>
    <w:rsid w:val="00E34E39"/>
    <w:rsid w:val="00E35463"/>
    <w:rsid w:val="00E354DF"/>
    <w:rsid w:val="00E35FD3"/>
    <w:rsid w:val="00E360C2"/>
    <w:rsid w:val="00E36237"/>
    <w:rsid w:val="00E408DD"/>
    <w:rsid w:val="00E424E1"/>
    <w:rsid w:val="00E426ED"/>
    <w:rsid w:val="00E438FE"/>
    <w:rsid w:val="00E45D42"/>
    <w:rsid w:val="00E4655E"/>
    <w:rsid w:val="00E465DE"/>
    <w:rsid w:val="00E4665A"/>
    <w:rsid w:val="00E46F79"/>
    <w:rsid w:val="00E472DF"/>
    <w:rsid w:val="00E50AED"/>
    <w:rsid w:val="00E51CF3"/>
    <w:rsid w:val="00E530C5"/>
    <w:rsid w:val="00E54D24"/>
    <w:rsid w:val="00E554EB"/>
    <w:rsid w:val="00E555A7"/>
    <w:rsid w:val="00E612B3"/>
    <w:rsid w:val="00E62424"/>
    <w:rsid w:val="00E62826"/>
    <w:rsid w:val="00E62C53"/>
    <w:rsid w:val="00E63009"/>
    <w:rsid w:val="00E63C5C"/>
    <w:rsid w:val="00E64D81"/>
    <w:rsid w:val="00E66DDF"/>
    <w:rsid w:val="00E70373"/>
    <w:rsid w:val="00E721AF"/>
    <w:rsid w:val="00E736DE"/>
    <w:rsid w:val="00E740E2"/>
    <w:rsid w:val="00E761A9"/>
    <w:rsid w:val="00E76AEC"/>
    <w:rsid w:val="00E776B0"/>
    <w:rsid w:val="00E776E3"/>
    <w:rsid w:val="00E800B6"/>
    <w:rsid w:val="00E80AF8"/>
    <w:rsid w:val="00E84088"/>
    <w:rsid w:val="00E853D6"/>
    <w:rsid w:val="00E8651A"/>
    <w:rsid w:val="00E87BD0"/>
    <w:rsid w:val="00E903DB"/>
    <w:rsid w:val="00E91133"/>
    <w:rsid w:val="00E94072"/>
    <w:rsid w:val="00E949B0"/>
    <w:rsid w:val="00E95793"/>
    <w:rsid w:val="00E96AD0"/>
    <w:rsid w:val="00E974A1"/>
    <w:rsid w:val="00EA0CE5"/>
    <w:rsid w:val="00EA2A95"/>
    <w:rsid w:val="00EA5246"/>
    <w:rsid w:val="00EA5792"/>
    <w:rsid w:val="00EB03F2"/>
    <w:rsid w:val="00EB0AF1"/>
    <w:rsid w:val="00EB103B"/>
    <w:rsid w:val="00EB175F"/>
    <w:rsid w:val="00EB262A"/>
    <w:rsid w:val="00EB291D"/>
    <w:rsid w:val="00EB4563"/>
    <w:rsid w:val="00EB4E4E"/>
    <w:rsid w:val="00EB514A"/>
    <w:rsid w:val="00EB6783"/>
    <w:rsid w:val="00EB6D97"/>
    <w:rsid w:val="00EB71F9"/>
    <w:rsid w:val="00EC0790"/>
    <w:rsid w:val="00EC23E9"/>
    <w:rsid w:val="00EC37F6"/>
    <w:rsid w:val="00EC442D"/>
    <w:rsid w:val="00EC58F1"/>
    <w:rsid w:val="00EC71B7"/>
    <w:rsid w:val="00EC79E2"/>
    <w:rsid w:val="00ED050D"/>
    <w:rsid w:val="00ED1167"/>
    <w:rsid w:val="00ED1F66"/>
    <w:rsid w:val="00ED1FAB"/>
    <w:rsid w:val="00ED3385"/>
    <w:rsid w:val="00ED4A13"/>
    <w:rsid w:val="00ED5F0C"/>
    <w:rsid w:val="00ED6444"/>
    <w:rsid w:val="00ED7C1A"/>
    <w:rsid w:val="00EE025F"/>
    <w:rsid w:val="00EE0880"/>
    <w:rsid w:val="00EE0C82"/>
    <w:rsid w:val="00EE0F64"/>
    <w:rsid w:val="00EE231E"/>
    <w:rsid w:val="00EE237E"/>
    <w:rsid w:val="00EE2E40"/>
    <w:rsid w:val="00EE39F0"/>
    <w:rsid w:val="00EE3FC3"/>
    <w:rsid w:val="00EE65E5"/>
    <w:rsid w:val="00EE73CE"/>
    <w:rsid w:val="00EF030F"/>
    <w:rsid w:val="00EF07E0"/>
    <w:rsid w:val="00EF12F1"/>
    <w:rsid w:val="00EF5E0C"/>
    <w:rsid w:val="00EF62C8"/>
    <w:rsid w:val="00EF63DA"/>
    <w:rsid w:val="00EF6749"/>
    <w:rsid w:val="00EF7281"/>
    <w:rsid w:val="00F00B2D"/>
    <w:rsid w:val="00F03392"/>
    <w:rsid w:val="00F039BB"/>
    <w:rsid w:val="00F05449"/>
    <w:rsid w:val="00F05E72"/>
    <w:rsid w:val="00F06773"/>
    <w:rsid w:val="00F06809"/>
    <w:rsid w:val="00F070BF"/>
    <w:rsid w:val="00F07170"/>
    <w:rsid w:val="00F07B6B"/>
    <w:rsid w:val="00F101B4"/>
    <w:rsid w:val="00F1021C"/>
    <w:rsid w:val="00F1191B"/>
    <w:rsid w:val="00F12630"/>
    <w:rsid w:val="00F16DD0"/>
    <w:rsid w:val="00F178AD"/>
    <w:rsid w:val="00F17977"/>
    <w:rsid w:val="00F2010B"/>
    <w:rsid w:val="00F21B49"/>
    <w:rsid w:val="00F24179"/>
    <w:rsid w:val="00F24280"/>
    <w:rsid w:val="00F246AF"/>
    <w:rsid w:val="00F2537D"/>
    <w:rsid w:val="00F264C5"/>
    <w:rsid w:val="00F26BF9"/>
    <w:rsid w:val="00F3076F"/>
    <w:rsid w:val="00F30A79"/>
    <w:rsid w:val="00F314B2"/>
    <w:rsid w:val="00F317EA"/>
    <w:rsid w:val="00F319EB"/>
    <w:rsid w:val="00F339E4"/>
    <w:rsid w:val="00F34857"/>
    <w:rsid w:val="00F34B2B"/>
    <w:rsid w:val="00F359E8"/>
    <w:rsid w:val="00F36E67"/>
    <w:rsid w:val="00F37AA9"/>
    <w:rsid w:val="00F37C1A"/>
    <w:rsid w:val="00F43636"/>
    <w:rsid w:val="00F43F37"/>
    <w:rsid w:val="00F44427"/>
    <w:rsid w:val="00F4461A"/>
    <w:rsid w:val="00F4550B"/>
    <w:rsid w:val="00F51E96"/>
    <w:rsid w:val="00F52181"/>
    <w:rsid w:val="00F521A8"/>
    <w:rsid w:val="00F52990"/>
    <w:rsid w:val="00F52B9C"/>
    <w:rsid w:val="00F52D34"/>
    <w:rsid w:val="00F5304E"/>
    <w:rsid w:val="00F53463"/>
    <w:rsid w:val="00F5453F"/>
    <w:rsid w:val="00F54C27"/>
    <w:rsid w:val="00F55281"/>
    <w:rsid w:val="00F5543F"/>
    <w:rsid w:val="00F5595A"/>
    <w:rsid w:val="00F568CA"/>
    <w:rsid w:val="00F624AA"/>
    <w:rsid w:val="00F6395A"/>
    <w:rsid w:val="00F63A2A"/>
    <w:rsid w:val="00F63C76"/>
    <w:rsid w:val="00F64762"/>
    <w:rsid w:val="00F64832"/>
    <w:rsid w:val="00F65D26"/>
    <w:rsid w:val="00F6660E"/>
    <w:rsid w:val="00F666DE"/>
    <w:rsid w:val="00F72170"/>
    <w:rsid w:val="00F72369"/>
    <w:rsid w:val="00F74B70"/>
    <w:rsid w:val="00F74BC9"/>
    <w:rsid w:val="00F74BCF"/>
    <w:rsid w:val="00F757F7"/>
    <w:rsid w:val="00F77E9D"/>
    <w:rsid w:val="00F81018"/>
    <w:rsid w:val="00F8139D"/>
    <w:rsid w:val="00F826D7"/>
    <w:rsid w:val="00F82F7B"/>
    <w:rsid w:val="00F84594"/>
    <w:rsid w:val="00F845E6"/>
    <w:rsid w:val="00F8462D"/>
    <w:rsid w:val="00F851D1"/>
    <w:rsid w:val="00F867CE"/>
    <w:rsid w:val="00F87CB1"/>
    <w:rsid w:val="00F9097E"/>
    <w:rsid w:val="00F916B7"/>
    <w:rsid w:val="00F92205"/>
    <w:rsid w:val="00F941DA"/>
    <w:rsid w:val="00F94D9C"/>
    <w:rsid w:val="00F95A16"/>
    <w:rsid w:val="00F960F6"/>
    <w:rsid w:val="00F97E1D"/>
    <w:rsid w:val="00FA02B0"/>
    <w:rsid w:val="00FA09C6"/>
    <w:rsid w:val="00FA0F01"/>
    <w:rsid w:val="00FA35AC"/>
    <w:rsid w:val="00FA3F2B"/>
    <w:rsid w:val="00FA5B33"/>
    <w:rsid w:val="00FA5BDB"/>
    <w:rsid w:val="00FA74A6"/>
    <w:rsid w:val="00FB1490"/>
    <w:rsid w:val="00FB1CE5"/>
    <w:rsid w:val="00FB2180"/>
    <w:rsid w:val="00FB223B"/>
    <w:rsid w:val="00FB2CAD"/>
    <w:rsid w:val="00FB4520"/>
    <w:rsid w:val="00FB4EE1"/>
    <w:rsid w:val="00FB6698"/>
    <w:rsid w:val="00FB70BC"/>
    <w:rsid w:val="00FB7732"/>
    <w:rsid w:val="00FC0E05"/>
    <w:rsid w:val="00FC1225"/>
    <w:rsid w:val="00FC1D02"/>
    <w:rsid w:val="00FC21FD"/>
    <w:rsid w:val="00FC2323"/>
    <w:rsid w:val="00FC30EE"/>
    <w:rsid w:val="00FC4BC0"/>
    <w:rsid w:val="00FC5860"/>
    <w:rsid w:val="00FC74F3"/>
    <w:rsid w:val="00FC7659"/>
    <w:rsid w:val="00FC76A9"/>
    <w:rsid w:val="00FC7BB0"/>
    <w:rsid w:val="00FD494E"/>
    <w:rsid w:val="00FD4BAE"/>
    <w:rsid w:val="00FD4D05"/>
    <w:rsid w:val="00FD4D50"/>
    <w:rsid w:val="00FD5232"/>
    <w:rsid w:val="00FD6626"/>
    <w:rsid w:val="00FE038F"/>
    <w:rsid w:val="00FE1123"/>
    <w:rsid w:val="00FE1297"/>
    <w:rsid w:val="00FE1D7D"/>
    <w:rsid w:val="00FE34E4"/>
    <w:rsid w:val="00FE3797"/>
    <w:rsid w:val="00FE38C0"/>
    <w:rsid w:val="00FE445C"/>
    <w:rsid w:val="00FE4EE5"/>
    <w:rsid w:val="00FE5DED"/>
    <w:rsid w:val="00FE7892"/>
    <w:rsid w:val="00FE7E8C"/>
    <w:rsid w:val="00FF0FE1"/>
    <w:rsid w:val="00FF13EE"/>
    <w:rsid w:val="00FF1CE5"/>
    <w:rsid w:val="00FF2AF5"/>
    <w:rsid w:val="00FF3628"/>
    <w:rsid w:val="00FF4190"/>
    <w:rsid w:val="0102240C"/>
    <w:rsid w:val="0123584C"/>
    <w:rsid w:val="012A4725"/>
    <w:rsid w:val="012D4559"/>
    <w:rsid w:val="013211C4"/>
    <w:rsid w:val="01347A59"/>
    <w:rsid w:val="014A2DD9"/>
    <w:rsid w:val="014F5D55"/>
    <w:rsid w:val="015058DD"/>
    <w:rsid w:val="01522FB1"/>
    <w:rsid w:val="01527EDF"/>
    <w:rsid w:val="015737CF"/>
    <w:rsid w:val="016C0FA1"/>
    <w:rsid w:val="01714809"/>
    <w:rsid w:val="01763BCE"/>
    <w:rsid w:val="01806B0D"/>
    <w:rsid w:val="018A58CB"/>
    <w:rsid w:val="018F4C90"/>
    <w:rsid w:val="019B1992"/>
    <w:rsid w:val="019C5D81"/>
    <w:rsid w:val="01A3073B"/>
    <w:rsid w:val="01AC5AA6"/>
    <w:rsid w:val="01AF0E8E"/>
    <w:rsid w:val="01C964EE"/>
    <w:rsid w:val="01CF7782"/>
    <w:rsid w:val="01E42829"/>
    <w:rsid w:val="01EA2E81"/>
    <w:rsid w:val="01EB45BC"/>
    <w:rsid w:val="01FC3894"/>
    <w:rsid w:val="02074908"/>
    <w:rsid w:val="020E6899"/>
    <w:rsid w:val="020F139A"/>
    <w:rsid w:val="02140610"/>
    <w:rsid w:val="02167022"/>
    <w:rsid w:val="02191E33"/>
    <w:rsid w:val="02247ACE"/>
    <w:rsid w:val="022767E5"/>
    <w:rsid w:val="022A2E24"/>
    <w:rsid w:val="02300221"/>
    <w:rsid w:val="023870D5"/>
    <w:rsid w:val="023F0464"/>
    <w:rsid w:val="024431A9"/>
    <w:rsid w:val="024905F4"/>
    <w:rsid w:val="026B1259"/>
    <w:rsid w:val="02706B88"/>
    <w:rsid w:val="027951DA"/>
    <w:rsid w:val="027B0CF6"/>
    <w:rsid w:val="0281282A"/>
    <w:rsid w:val="02851E3F"/>
    <w:rsid w:val="028E13EB"/>
    <w:rsid w:val="02A243E6"/>
    <w:rsid w:val="02B349AE"/>
    <w:rsid w:val="02B62046"/>
    <w:rsid w:val="02C62933"/>
    <w:rsid w:val="02D05560"/>
    <w:rsid w:val="02DB5691"/>
    <w:rsid w:val="02E64D83"/>
    <w:rsid w:val="02ED7EC0"/>
    <w:rsid w:val="02F27FB9"/>
    <w:rsid w:val="02FC6355"/>
    <w:rsid w:val="03056415"/>
    <w:rsid w:val="0320423A"/>
    <w:rsid w:val="033318F7"/>
    <w:rsid w:val="03355182"/>
    <w:rsid w:val="03510C1F"/>
    <w:rsid w:val="0364676B"/>
    <w:rsid w:val="03661A20"/>
    <w:rsid w:val="037A0B0F"/>
    <w:rsid w:val="03810BB8"/>
    <w:rsid w:val="03830824"/>
    <w:rsid w:val="03885E3A"/>
    <w:rsid w:val="038F291E"/>
    <w:rsid w:val="03914CEF"/>
    <w:rsid w:val="039E2A89"/>
    <w:rsid w:val="03A8554E"/>
    <w:rsid w:val="03BD1015"/>
    <w:rsid w:val="03C065C7"/>
    <w:rsid w:val="03C52BEB"/>
    <w:rsid w:val="03C94890"/>
    <w:rsid w:val="03E05C76"/>
    <w:rsid w:val="03F84D6E"/>
    <w:rsid w:val="03FB03BA"/>
    <w:rsid w:val="040E58BE"/>
    <w:rsid w:val="040F20B8"/>
    <w:rsid w:val="04131BA8"/>
    <w:rsid w:val="041A21CD"/>
    <w:rsid w:val="041F7AEB"/>
    <w:rsid w:val="04206073"/>
    <w:rsid w:val="042B32BF"/>
    <w:rsid w:val="042C4A18"/>
    <w:rsid w:val="043A4DFA"/>
    <w:rsid w:val="043B10FF"/>
    <w:rsid w:val="043B420D"/>
    <w:rsid w:val="043F299D"/>
    <w:rsid w:val="04525154"/>
    <w:rsid w:val="045B3AF8"/>
    <w:rsid w:val="045B52FD"/>
    <w:rsid w:val="046240FB"/>
    <w:rsid w:val="0463143E"/>
    <w:rsid w:val="046501D7"/>
    <w:rsid w:val="046A5C17"/>
    <w:rsid w:val="046B2C26"/>
    <w:rsid w:val="046E0E27"/>
    <w:rsid w:val="0482414B"/>
    <w:rsid w:val="049C7DEF"/>
    <w:rsid w:val="04A31AD1"/>
    <w:rsid w:val="04A71B2E"/>
    <w:rsid w:val="04AB071E"/>
    <w:rsid w:val="04AF022F"/>
    <w:rsid w:val="04BE29F4"/>
    <w:rsid w:val="04BF5DD5"/>
    <w:rsid w:val="04CB5867"/>
    <w:rsid w:val="04DA12DA"/>
    <w:rsid w:val="04E83035"/>
    <w:rsid w:val="04E86B91"/>
    <w:rsid w:val="04F46F7F"/>
    <w:rsid w:val="04F5670C"/>
    <w:rsid w:val="051450D4"/>
    <w:rsid w:val="05343214"/>
    <w:rsid w:val="0541624E"/>
    <w:rsid w:val="054305F2"/>
    <w:rsid w:val="05432A54"/>
    <w:rsid w:val="0552282F"/>
    <w:rsid w:val="055A54B2"/>
    <w:rsid w:val="056703FD"/>
    <w:rsid w:val="05724329"/>
    <w:rsid w:val="057448C8"/>
    <w:rsid w:val="05764199"/>
    <w:rsid w:val="0599432F"/>
    <w:rsid w:val="05A54DF4"/>
    <w:rsid w:val="05B747B5"/>
    <w:rsid w:val="05C60A49"/>
    <w:rsid w:val="05D259BD"/>
    <w:rsid w:val="05DF451F"/>
    <w:rsid w:val="05E70379"/>
    <w:rsid w:val="05F250AD"/>
    <w:rsid w:val="05F32667"/>
    <w:rsid w:val="05F45A09"/>
    <w:rsid w:val="060A6FDB"/>
    <w:rsid w:val="06113EC5"/>
    <w:rsid w:val="061630C5"/>
    <w:rsid w:val="06257970"/>
    <w:rsid w:val="063302DF"/>
    <w:rsid w:val="063D4CBA"/>
    <w:rsid w:val="063D4E23"/>
    <w:rsid w:val="064A387B"/>
    <w:rsid w:val="06672975"/>
    <w:rsid w:val="066A5EA1"/>
    <w:rsid w:val="066F086A"/>
    <w:rsid w:val="06710E08"/>
    <w:rsid w:val="0673692E"/>
    <w:rsid w:val="06760C3A"/>
    <w:rsid w:val="06772778"/>
    <w:rsid w:val="067B1C86"/>
    <w:rsid w:val="067C0D63"/>
    <w:rsid w:val="06890016"/>
    <w:rsid w:val="06940436"/>
    <w:rsid w:val="06A84A1D"/>
    <w:rsid w:val="06AE3F68"/>
    <w:rsid w:val="06B6252E"/>
    <w:rsid w:val="06BE5725"/>
    <w:rsid w:val="06C273F9"/>
    <w:rsid w:val="06DC1E81"/>
    <w:rsid w:val="06E25862"/>
    <w:rsid w:val="06E54D66"/>
    <w:rsid w:val="06E86E4E"/>
    <w:rsid w:val="06EB6E0C"/>
    <w:rsid w:val="06F537E7"/>
    <w:rsid w:val="06FF56BD"/>
    <w:rsid w:val="07030E3E"/>
    <w:rsid w:val="070B283F"/>
    <w:rsid w:val="07126147"/>
    <w:rsid w:val="072B545A"/>
    <w:rsid w:val="07510B6E"/>
    <w:rsid w:val="07530B23"/>
    <w:rsid w:val="07577FFE"/>
    <w:rsid w:val="076369A2"/>
    <w:rsid w:val="07725C7E"/>
    <w:rsid w:val="07743C52"/>
    <w:rsid w:val="07782CCB"/>
    <w:rsid w:val="077961C6"/>
    <w:rsid w:val="077B2B23"/>
    <w:rsid w:val="07887094"/>
    <w:rsid w:val="079E7F01"/>
    <w:rsid w:val="07A34FF1"/>
    <w:rsid w:val="07AA03DF"/>
    <w:rsid w:val="07B92E8A"/>
    <w:rsid w:val="07CA0317"/>
    <w:rsid w:val="07CC279A"/>
    <w:rsid w:val="07E6312F"/>
    <w:rsid w:val="07EC2E3C"/>
    <w:rsid w:val="07ED5C07"/>
    <w:rsid w:val="07F92694"/>
    <w:rsid w:val="08027EA4"/>
    <w:rsid w:val="08041448"/>
    <w:rsid w:val="08086F7D"/>
    <w:rsid w:val="080F3625"/>
    <w:rsid w:val="08141242"/>
    <w:rsid w:val="081E32D0"/>
    <w:rsid w:val="081F40B1"/>
    <w:rsid w:val="083B791F"/>
    <w:rsid w:val="084555EB"/>
    <w:rsid w:val="08495703"/>
    <w:rsid w:val="084B4ABC"/>
    <w:rsid w:val="08533184"/>
    <w:rsid w:val="08573C15"/>
    <w:rsid w:val="085F5FF9"/>
    <w:rsid w:val="086C7AD9"/>
    <w:rsid w:val="086E3851"/>
    <w:rsid w:val="087846CF"/>
    <w:rsid w:val="087A2048"/>
    <w:rsid w:val="087D3A94"/>
    <w:rsid w:val="087F16D6"/>
    <w:rsid w:val="088237F5"/>
    <w:rsid w:val="088376DE"/>
    <w:rsid w:val="089704AA"/>
    <w:rsid w:val="08AB663F"/>
    <w:rsid w:val="08DA0EE6"/>
    <w:rsid w:val="08E44D97"/>
    <w:rsid w:val="08E9364C"/>
    <w:rsid w:val="08FC124B"/>
    <w:rsid w:val="08FC3E83"/>
    <w:rsid w:val="08FD305C"/>
    <w:rsid w:val="08FE4A83"/>
    <w:rsid w:val="090F2831"/>
    <w:rsid w:val="09171F73"/>
    <w:rsid w:val="091C6C5B"/>
    <w:rsid w:val="091F2D9D"/>
    <w:rsid w:val="092117BF"/>
    <w:rsid w:val="09250409"/>
    <w:rsid w:val="0925775D"/>
    <w:rsid w:val="092951A8"/>
    <w:rsid w:val="092C2F19"/>
    <w:rsid w:val="09336431"/>
    <w:rsid w:val="0934067B"/>
    <w:rsid w:val="09385C0D"/>
    <w:rsid w:val="093B4BC3"/>
    <w:rsid w:val="094265A7"/>
    <w:rsid w:val="094268E2"/>
    <w:rsid w:val="09455F12"/>
    <w:rsid w:val="09531E1A"/>
    <w:rsid w:val="095B4482"/>
    <w:rsid w:val="095C2F24"/>
    <w:rsid w:val="0971207B"/>
    <w:rsid w:val="097E7AC3"/>
    <w:rsid w:val="098F597B"/>
    <w:rsid w:val="09953F16"/>
    <w:rsid w:val="099C619C"/>
    <w:rsid w:val="09AC6C98"/>
    <w:rsid w:val="09BE2422"/>
    <w:rsid w:val="09C27C64"/>
    <w:rsid w:val="09C37BCC"/>
    <w:rsid w:val="09DE1964"/>
    <w:rsid w:val="09E11E76"/>
    <w:rsid w:val="09E85885"/>
    <w:rsid w:val="09E9348C"/>
    <w:rsid w:val="09FE0C04"/>
    <w:rsid w:val="0A053D41"/>
    <w:rsid w:val="0A08663A"/>
    <w:rsid w:val="0A0A3A20"/>
    <w:rsid w:val="0A0A73CC"/>
    <w:rsid w:val="0A1239D7"/>
    <w:rsid w:val="0A3B7763"/>
    <w:rsid w:val="0A3F5F36"/>
    <w:rsid w:val="0A440B24"/>
    <w:rsid w:val="0A5243CC"/>
    <w:rsid w:val="0A60422D"/>
    <w:rsid w:val="0A636CB9"/>
    <w:rsid w:val="0A6767AA"/>
    <w:rsid w:val="0A693D18"/>
    <w:rsid w:val="0A6E1714"/>
    <w:rsid w:val="0A736290"/>
    <w:rsid w:val="0A7703FB"/>
    <w:rsid w:val="0A8376D2"/>
    <w:rsid w:val="0A856C30"/>
    <w:rsid w:val="0A905A1A"/>
    <w:rsid w:val="0A9A6B7F"/>
    <w:rsid w:val="0AA572D2"/>
    <w:rsid w:val="0AAA3C19"/>
    <w:rsid w:val="0AAC60CF"/>
    <w:rsid w:val="0ABB6AF5"/>
    <w:rsid w:val="0ABF3657"/>
    <w:rsid w:val="0AD10DFC"/>
    <w:rsid w:val="0AE0655C"/>
    <w:rsid w:val="0AE620BB"/>
    <w:rsid w:val="0AE75B3C"/>
    <w:rsid w:val="0AF10F8A"/>
    <w:rsid w:val="0AF47E99"/>
    <w:rsid w:val="0B057D70"/>
    <w:rsid w:val="0B076817"/>
    <w:rsid w:val="0B093D05"/>
    <w:rsid w:val="0B103F50"/>
    <w:rsid w:val="0B153BFE"/>
    <w:rsid w:val="0B237538"/>
    <w:rsid w:val="0B27202A"/>
    <w:rsid w:val="0B2B5A29"/>
    <w:rsid w:val="0B2F1915"/>
    <w:rsid w:val="0B301291"/>
    <w:rsid w:val="0B381EF4"/>
    <w:rsid w:val="0B384A74"/>
    <w:rsid w:val="0B3D4596"/>
    <w:rsid w:val="0B52270F"/>
    <w:rsid w:val="0B5A4560"/>
    <w:rsid w:val="0B5C2086"/>
    <w:rsid w:val="0B616DDD"/>
    <w:rsid w:val="0B6231AD"/>
    <w:rsid w:val="0B642CE9"/>
    <w:rsid w:val="0B696551"/>
    <w:rsid w:val="0B785F4F"/>
    <w:rsid w:val="0B787A86"/>
    <w:rsid w:val="0B792C38"/>
    <w:rsid w:val="0B7A16C2"/>
    <w:rsid w:val="0B7B7D63"/>
    <w:rsid w:val="0B7D1301"/>
    <w:rsid w:val="0B8709D7"/>
    <w:rsid w:val="0B9335CE"/>
    <w:rsid w:val="0B9730BE"/>
    <w:rsid w:val="0B9B4AEA"/>
    <w:rsid w:val="0BAA1044"/>
    <w:rsid w:val="0BC226BA"/>
    <w:rsid w:val="0BC55E7E"/>
    <w:rsid w:val="0BC639A4"/>
    <w:rsid w:val="0BC71D84"/>
    <w:rsid w:val="0BCB24B5"/>
    <w:rsid w:val="0BCD2653"/>
    <w:rsid w:val="0BD33C9A"/>
    <w:rsid w:val="0BDA220A"/>
    <w:rsid w:val="0BE1258C"/>
    <w:rsid w:val="0BE50E63"/>
    <w:rsid w:val="0C00427B"/>
    <w:rsid w:val="0C105DFF"/>
    <w:rsid w:val="0C14470F"/>
    <w:rsid w:val="0C1A784C"/>
    <w:rsid w:val="0C1E733C"/>
    <w:rsid w:val="0C22507E"/>
    <w:rsid w:val="0C2A5CE1"/>
    <w:rsid w:val="0C475927"/>
    <w:rsid w:val="0C4B7A88"/>
    <w:rsid w:val="0C5D6F3F"/>
    <w:rsid w:val="0C654075"/>
    <w:rsid w:val="0C670CE3"/>
    <w:rsid w:val="0C687599"/>
    <w:rsid w:val="0C752B67"/>
    <w:rsid w:val="0C7D0506"/>
    <w:rsid w:val="0C7D1D22"/>
    <w:rsid w:val="0C811679"/>
    <w:rsid w:val="0C8B0F2D"/>
    <w:rsid w:val="0C8F1FF8"/>
    <w:rsid w:val="0C99751F"/>
    <w:rsid w:val="0C9D317F"/>
    <w:rsid w:val="0CA05FA3"/>
    <w:rsid w:val="0CA17F2D"/>
    <w:rsid w:val="0CBF0B1F"/>
    <w:rsid w:val="0CC872A8"/>
    <w:rsid w:val="0CCA1272"/>
    <w:rsid w:val="0CD46CDB"/>
    <w:rsid w:val="0CE40585"/>
    <w:rsid w:val="0CE74940"/>
    <w:rsid w:val="0CEC743A"/>
    <w:rsid w:val="0CEE4F60"/>
    <w:rsid w:val="0CF12CA2"/>
    <w:rsid w:val="0CF30FD7"/>
    <w:rsid w:val="0CF84540"/>
    <w:rsid w:val="0CFA3905"/>
    <w:rsid w:val="0CFC121B"/>
    <w:rsid w:val="0CFE6747"/>
    <w:rsid w:val="0D027A2E"/>
    <w:rsid w:val="0D1116A9"/>
    <w:rsid w:val="0D274C9F"/>
    <w:rsid w:val="0D2C7836"/>
    <w:rsid w:val="0D377E75"/>
    <w:rsid w:val="0D425817"/>
    <w:rsid w:val="0D456672"/>
    <w:rsid w:val="0D483A45"/>
    <w:rsid w:val="0D63597A"/>
    <w:rsid w:val="0D705975"/>
    <w:rsid w:val="0D720C66"/>
    <w:rsid w:val="0D7D62E4"/>
    <w:rsid w:val="0D81039E"/>
    <w:rsid w:val="0D814026"/>
    <w:rsid w:val="0D841421"/>
    <w:rsid w:val="0D8739DC"/>
    <w:rsid w:val="0D9638DD"/>
    <w:rsid w:val="0D98311E"/>
    <w:rsid w:val="0DA11FD2"/>
    <w:rsid w:val="0DBA12E6"/>
    <w:rsid w:val="0DBE0DD6"/>
    <w:rsid w:val="0DDB7E0F"/>
    <w:rsid w:val="0DDC5040"/>
    <w:rsid w:val="0DDC74AE"/>
    <w:rsid w:val="0DE75735"/>
    <w:rsid w:val="0DEBBCA9"/>
    <w:rsid w:val="0DEF558D"/>
    <w:rsid w:val="0DF068AA"/>
    <w:rsid w:val="0DF172C8"/>
    <w:rsid w:val="0DF433F1"/>
    <w:rsid w:val="0DF93BBD"/>
    <w:rsid w:val="0DFC1FFF"/>
    <w:rsid w:val="0E303356"/>
    <w:rsid w:val="0E430639"/>
    <w:rsid w:val="0E4312DC"/>
    <w:rsid w:val="0E480C42"/>
    <w:rsid w:val="0E6558A0"/>
    <w:rsid w:val="0E684E2E"/>
    <w:rsid w:val="0E6D45AA"/>
    <w:rsid w:val="0E72396F"/>
    <w:rsid w:val="0E7302E4"/>
    <w:rsid w:val="0E747A2D"/>
    <w:rsid w:val="0E7D2A40"/>
    <w:rsid w:val="0E8306F4"/>
    <w:rsid w:val="0E8F62CF"/>
    <w:rsid w:val="0EA55C45"/>
    <w:rsid w:val="0EA60B68"/>
    <w:rsid w:val="0EA86384"/>
    <w:rsid w:val="0EB2020F"/>
    <w:rsid w:val="0EC00B7E"/>
    <w:rsid w:val="0ECE7CE8"/>
    <w:rsid w:val="0ED9579C"/>
    <w:rsid w:val="0EE15967"/>
    <w:rsid w:val="0EE23012"/>
    <w:rsid w:val="0EE23E2C"/>
    <w:rsid w:val="0EE50C22"/>
    <w:rsid w:val="0EFE2C1E"/>
    <w:rsid w:val="0F014633"/>
    <w:rsid w:val="0F0312ED"/>
    <w:rsid w:val="0F050929"/>
    <w:rsid w:val="0F063E64"/>
    <w:rsid w:val="0F0E5BDA"/>
    <w:rsid w:val="0F184516"/>
    <w:rsid w:val="0F192B9A"/>
    <w:rsid w:val="0F245332"/>
    <w:rsid w:val="0F280D60"/>
    <w:rsid w:val="0F3330FE"/>
    <w:rsid w:val="0F4A54CF"/>
    <w:rsid w:val="0F4B38E4"/>
    <w:rsid w:val="0F4C4E90"/>
    <w:rsid w:val="0F557518"/>
    <w:rsid w:val="0F5E63E1"/>
    <w:rsid w:val="0F603CED"/>
    <w:rsid w:val="0F632412"/>
    <w:rsid w:val="0F645D19"/>
    <w:rsid w:val="0F75501B"/>
    <w:rsid w:val="0F78432B"/>
    <w:rsid w:val="0F870164"/>
    <w:rsid w:val="0F8971C2"/>
    <w:rsid w:val="0F8A4A20"/>
    <w:rsid w:val="0F8D06EA"/>
    <w:rsid w:val="0FAA316E"/>
    <w:rsid w:val="0FB06917"/>
    <w:rsid w:val="0FB110C5"/>
    <w:rsid w:val="0FB2232D"/>
    <w:rsid w:val="0FBA7461"/>
    <w:rsid w:val="0FC44BCF"/>
    <w:rsid w:val="0FC46A88"/>
    <w:rsid w:val="0FCE7B7D"/>
    <w:rsid w:val="0FD2443A"/>
    <w:rsid w:val="0FD80032"/>
    <w:rsid w:val="0FDA7728"/>
    <w:rsid w:val="0FDB5272"/>
    <w:rsid w:val="0FE36B89"/>
    <w:rsid w:val="0FE670A5"/>
    <w:rsid w:val="0FEE0246"/>
    <w:rsid w:val="0FF3288D"/>
    <w:rsid w:val="0FF66477"/>
    <w:rsid w:val="100920B1"/>
    <w:rsid w:val="100A27E6"/>
    <w:rsid w:val="100C2F87"/>
    <w:rsid w:val="101133B7"/>
    <w:rsid w:val="101933AE"/>
    <w:rsid w:val="101F694C"/>
    <w:rsid w:val="10284B8F"/>
    <w:rsid w:val="10335CC9"/>
    <w:rsid w:val="103A544A"/>
    <w:rsid w:val="104E2006"/>
    <w:rsid w:val="10505F32"/>
    <w:rsid w:val="1054157E"/>
    <w:rsid w:val="105552F6"/>
    <w:rsid w:val="105772C0"/>
    <w:rsid w:val="105B0B5E"/>
    <w:rsid w:val="105D3BF9"/>
    <w:rsid w:val="105F48B1"/>
    <w:rsid w:val="10602325"/>
    <w:rsid w:val="10611EED"/>
    <w:rsid w:val="10616317"/>
    <w:rsid w:val="10765998"/>
    <w:rsid w:val="1077526D"/>
    <w:rsid w:val="107A6169"/>
    <w:rsid w:val="107B7182"/>
    <w:rsid w:val="107C6A46"/>
    <w:rsid w:val="107E2A9F"/>
    <w:rsid w:val="108300B5"/>
    <w:rsid w:val="108322BF"/>
    <w:rsid w:val="1087780A"/>
    <w:rsid w:val="1088747A"/>
    <w:rsid w:val="108970CB"/>
    <w:rsid w:val="108F0808"/>
    <w:rsid w:val="10945EF7"/>
    <w:rsid w:val="10991F70"/>
    <w:rsid w:val="109951E3"/>
    <w:rsid w:val="10A33B25"/>
    <w:rsid w:val="10A67900"/>
    <w:rsid w:val="10C73309"/>
    <w:rsid w:val="10CF50A9"/>
    <w:rsid w:val="10DE353E"/>
    <w:rsid w:val="10F03150"/>
    <w:rsid w:val="10FE598E"/>
    <w:rsid w:val="110547C9"/>
    <w:rsid w:val="1109680C"/>
    <w:rsid w:val="111F7DDE"/>
    <w:rsid w:val="11207CB1"/>
    <w:rsid w:val="11371EF5"/>
    <w:rsid w:val="11472E91"/>
    <w:rsid w:val="115119ED"/>
    <w:rsid w:val="11515ABE"/>
    <w:rsid w:val="1170063A"/>
    <w:rsid w:val="11791613"/>
    <w:rsid w:val="11795AFD"/>
    <w:rsid w:val="11815B4A"/>
    <w:rsid w:val="118E286E"/>
    <w:rsid w:val="11A36E95"/>
    <w:rsid w:val="11AE3D23"/>
    <w:rsid w:val="11B00120"/>
    <w:rsid w:val="11BB0A26"/>
    <w:rsid w:val="11C140FD"/>
    <w:rsid w:val="11DC7A7D"/>
    <w:rsid w:val="11E90E6C"/>
    <w:rsid w:val="11ED6377"/>
    <w:rsid w:val="11F12FEF"/>
    <w:rsid w:val="11FD07C1"/>
    <w:rsid w:val="1218482D"/>
    <w:rsid w:val="121F0324"/>
    <w:rsid w:val="12234694"/>
    <w:rsid w:val="12280D51"/>
    <w:rsid w:val="122C4DD8"/>
    <w:rsid w:val="12301B77"/>
    <w:rsid w:val="124D2440"/>
    <w:rsid w:val="125515DD"/>
    <w:rsid w:val="12593CA9"/>
    <w:rsid w:val="125E66E4"/>
    <w:rsid w:val="125F1AC6"/>
    <w:rsid w:val="12633CFA"/>
    <w:rsid w:val="126B66F7"/>
    <w:rsid w:val="12741F5E"/>
    <w:rsid w:val="12750005"/>
    <w:rsid w:val="1291328C"/>
    <w:rsid w:val="129728D9"/>
    <w:rsid w:val="12977E48"/>
    <w:rsid w:val="1299596E"/>
    <w:rsid w:val="129C720C"/>
    <w:rsid w:val="12A32349"/>
    <w:rsid w:val="12A40621"/>
    <w:rsid w:val="12AC0145"/>
    <w:rsid w:val="12B26A5D"/>
    <w:rsid w:val="12B37E92"/>
    <w:rsid w:val="12B7253D"/>
    <w:rsid w:val="12BF70C4"/>
    <w:rsid w:val="12C95C1F"/>
    <w:rsid w:val="12CA04D3"/>
    <w:rsid w:val="12D37012"/>
    <w:rsid w:val="12D44BF8"/>
    <w:rsid w:val="12D544CC"/>
    <w:rsid w:val="12D70244"/>
    <w:rsid w:val="12F11306"/>
    <w:rsid w:val="13023513"/>
    <w:rsid w:val="1312726D"/>
    <w:rsid w:val="131C5B88"/>
    <w:rsid w:val="131D034D"/>
    <w:rsid w:val="131D659F"/>
    <w:rsid w:val="1323348A"/>
    <w:rsid w:val="13310BD3"/>
    <w:rsid w:val="13327BCA"/>
    <w:rsid w:val="13382DC7"/>
    <w:rsid w:val="133D279D"/>
    <w:rsid w:val="13452433"/>
    <w:rsid w:val="13695D3B"/>
    <w:rsid w:val="136F66CF"/>
    <w:rsid w:val="137D497C"/>
    <w:rsid w:val="13857CA0"/>
    <w:rsid w:val="13897791"/>
    <w:rsid w:val="138E5DD1"/>
    <w:rsid w:val="13B0106F"/>
    <w:rsid w:val="13B16CE7"/>
    <w:rsid w:val="13BB7B66"/>
    <w:rsid w:val="13BD38DE"/>
    <w:rsid w:val="13C7141F"/>
    <w:rsid w:val="13C84512"/>
    <w:rsid w:val="13CC2CE5"/>
    <w:rsid w:val="13CD49D8"/>
    <w:rsid w:val="13EC7D20"/>
    <w:rsid w:val="14126207"/>
    <w:rsid w:val="142179C9"/>
    <w:rsid w:val="14292753"/>
    <w:rsid w:val="142F2E14"/>
    <w:rsid w:val="1433065B"/>
    <w:rsid w:val="1448764C"/>
    <w:rsid w:val="145204CA"/>
    <w:rsid w:val="145E0C1D"/>
    <w:rsid w:val="145E77EA"/>
    <w:rsid w:val="1472070A"/>
    <w:rsid w:val="147F7284"/>
    <w:rsid w:val="1485143D"/>
    <w:rsid w:val="14887A48"/>
    <w:rsid w:val="149C1746"/>
    <w:rsid w:val="149C2CDC"/>
    <w:rsid w:val="14A02B20"/>
    <w:rsid w:val="14A740BD"/>
    <w:rsid w:val="14A75703"/>
    <w:rsid w:val="14B20F69"/>
    <w:rsid w:val="14B2243D"/>
    <w:rsid w:val="14B52807"/>
    <w:rsid w:val="14B7032D"/>
    <w:rsid w:val="14BB749D"/>
    <w:rsid w:val="14C82913"/>
    <w:rsid w:val="14D013EF"/>
    <w:rsid w:val="14DC7969"/>
    <w:rsid w:val="14E40C49"/>
    <w:rsid w:val="14F21366"/>
    <w:rsid w:val="15065976"/>
    <w:rsid w:val="15111718"/>
    <w:rsid w:val="151439D2"/>
    <w:rsid w:val="15182B92"/>
    <w:rsid w:val="153B3941"/>
    <w:rsid w:val="15406575"/>
    <w:rsid w:val="15446F04"/>
    <w:rsid w:val="15542020"/>
    <w:rsid w:val="15593193"/>
    <w:rsid w:val="155A3E1C"/>
    <w:rsid w:val="156758B0"/>
    <w:rsid w:val="156C436F"/>
    <w:rsid w:val="1573694A"/>
    <w:rsid w:val="1574621E"/>
    <w:rsid w:val="157A2987"/>
    <w:rsid w:val="157B2187"/>
    <w:rsid w:val="157B2848"/>
    <w:rsid w:val="158469D6"/>
    <w:rsid w:val="15891CCA"/>
    <w:rsid w:val="158B07D8"/>
    <w:rsid w:val="15A5462A"/>
    <w:rsid w:val="15AE7982"/>
    <w:rsid w:val="15C26F8A"/>
    <w:rsid w:val="15C87EA7"/>
    <w:rsid w:val="15CA22E2"/>
    <w:rsid w:val="15DB44F0"/>
    <w:rsid w:val="15DB4D1F"/>
    <w:rsid w:val="15F555B1"/>
    <w:rsid w:val="16017613"/>
    <w:rsid w:val="16077093"/>
    <w:rsid w:val="16094BB9"/>
    <w:rsid w:val="1615355E"/>
    <w:rsid w:val="161B13E4"/>
    <w:rsid w:val="161C272A"/>
    <w:rsid w:val="161D0664"/>
    <w:rsid w:val="16220F65"/>
    <w:rsid w:val="162C3DEF"/>
    <w:rsid w:val="162E2FB0"/>
    <w:rsid w:val="163C77C6"/>
    <w:rsid w:val="163D4862"/>
    <w:rsid w:val="1651030E"/>
    <w:rsid w:val="16591300"/>
    <w:rsid w:val="165D4F05"/>
    <w:rsid w:val="16624474"/>
    <w:rsid w:val="16702E8A"/>
    <w:rsid w:val="1673488D"/>
    <w:rsid w:val="16775FC6"/>
    <w:rsid w:val="167F30CD"/>
    <w:rsid w:val="169E79F7"/>
    <w:rsid w:val="16BA2357"/>
    <w:rsid w:val="16C16C33"/>
    <w:rsid w:val="16D34DDA"/>
    <w:rsid w:val="16D572AC"/>
    <w:rsid w:val="16DB47A7"/>
    <w:rsid w:val="16E12EB6"/>
    <w:rsid w:val="16E80C72"/>
    <w:rsid w:val="16EC74B0"/>
    <w:rsid w:val="16EC7E54"/>
    <w:rsid w:val="16F2389F"/>
    <w:rsid w:val="16F92F35"/>
    <w:rsid w:val="17090292"/>
    <w:rsid w:val="170A0BE8"/>
    <w:rsid w:val="170B3AF5"/>
    <w:rsid w:val="171E24DE"/>
    <w:rsid w:val="1723661F"/>
    <w:rsid w:val="17253C74"/>
    <w:rsid w:val="17297EC6"/>
    <w:rsid w:val="17342109"/>
    <w:rsid w:val="173857BC"/>
    <w:rsid w:val="17473343"/>
    <w:rsid w:val="175207E1"/>
    <w:rsid w:val="175B05DE"/>
    <w:rsid w:val="176F26A7"/>
    <w:rsid w:val="177A4E8B"/>
    <w:rsid w:val="17935082"/>
    <w:rsid w:val="17A829E2"/>
    <w:rsid w:val="17B44FF8"/>
    <w:rsid w:val="17BB13E6"/>
    <w:rsid w:val="17C118AF"/>
    <w:rsid w:val="17C35A7C"/>
    <w:rsid w:val="17C739D2"/>
    <w:rsid w:val="17E256C1"/>
    <w:rsid w:val="17E9547C"/>
    <w:rsid w:val="17F04E2D"/>
    <w:rsid w:val="17FD08DA"/>
    <w:rsid w:val="18003D99"/>
    <w:rsid w:val="1804549F"/>
    <w:rsid w:val="181231AA"/>
    <w:rsid w:val="181D422F"/>
    <w:rsid w:val="181E7318"/>
    <w:rsid w:val="18285388"/>
    <w:rsid w:val="182A3BC2"/>
    <w:rsid w:val="18455C50"/>
    <w:rsid w:val="18467635"/>
    <w:rsid w:val="18492AD7"/>
    <w:rsid w:val="184A37E9"/>
    <w:rsid w:val="185A5BA0"/>
    <w:rsid w:val="186364ED"/>
    <w:rsid w:val="186B1B5B"/>
    <w:rsid w:val="18715475"/>
    <w:rsid w:val="18874D9D"/>
    <w:rsid w:val="18876B59"/>
    <w:rsid w:val="18925EAF"/>
    <w:rsid w:val="189372CE"/>
    <w:rsid w:val="1894002B"/>
    <w:rsid w:val="18956BD8"/>
    <w:rsid w:val="18980476"/>
    <w:rsid w:val="189C7F66"/>
    <w:rsid w:val="18A46E1B"/>
    <w:rsid w:val="18C43F61"/>
    <w:rsid w:val="18E90CD1"/>
    <w:rsid w:val="18EE0096"/>
    <w:rsid w:val="18FA0623"/>
    <w:rsid w:val="190A633A"/>
    <w:rsid w:val="190D49C0"/>
    <w:rsid w:val="19136F16"/>
    <w:rsid w:val="19237B9F"/>
    <w:rsid w:val="192A37C4"/>
    <w:rsid w:val="193327E5"/>
    <w:rsid w:val="193D33F0"/>
    <w:rsid w:val="194009BD"/>
    <w:rsid w:val="19471B5D"/>
    <w:rsid w:val="194859F8"/>
    <w:rsid w:val="195066E0"/>
    <w:rsid w:val="19566367"/>
    <w:rsid w:val="19570467"/>
    <w:rsid w:val="195B56B1"/>
    <w:rsid w:val="197109D1"/>
    <w:rsid w:val="19720A2A"/>
    <w:rsid w:val="19737D0A"/>
    <w:rsid w:val="197B5FF6"/>
    <w:rsid w:val="198D5CA8"/>
    <w:rsid w:val="199450E1"/>
    <w:rsid w:val="19AC41D9"/>
    <w:rsid w:val="19AE278A"/>
    <w:rsid w:val="19BB266E"/>
    <w:rsid w:val="19C029FD"/>
    <w:rsid w:val="19C07C84"/>
    <w:rsid w:val="19C67A57"/>
    <w:rsid w:val="19C71013"/>
    <w:rsid w:val="19C86B39"/>
    <w:rsid w:val="19D13C3F"/>
    <w:rsid w:val="19D31807"/>
    <w:rsid w:val="19D96F98"/>
    <w:rsid w:val="19DE02E9"/>
    <w:rsid w:val="19DF45AE"/>
    <w:rsid w:val="19E41F02"/>
    <w:rsid w:val="19E445A9"/>
    <w:rsid w:val="19EE1931"/>
    <w:rsid w:val="19FD6FB4"/>
    <w:rsid w:val="1A0148B8"/>
    <w:rsid w:val="1A02029D"/>
    <w:rsid w:val="1A1678A4"/>
    <w:rsid w:val="1A1E49AB"/>
    <w:rsid w:val="1A2A0014"/>
    <w:rsid w:val="1A3B37AF"/>
    <w:rsid w:val="1A436706"/>
    <w:rsid w:val="1A4743E4"/>
    <w:rsid w:val="1A5503C6"/>
    <w:rsid w:val="1A56092D"/>
    <w:rsid w:val="1A562397"/>
    <w:rsid w:val="1A5A2DE1"/>
    <w:rsid w:val="1A5B3C40"/>
    <w:rsid w:val="1A5F124B"/>
    <w:rsid w:val="1A666E7E"/>
    <w:rsid w:val="1A70787E"/>
    <w:rsid w:val="1A750A6F"/>
    <w:rsid w:val="1A7717A5"/>
    <w:rsid w:val="1A796EBF"/>
    <w:rsid w:val="1A9571AB"/>
    <w:rsid w:val="1AA17FFF"/>
    <w:rsid w:val="1AB20159"/>
    <w:rsid w:val="1ABF7F3C"/>
    <w:rsid w:val="1AC13CB4"/>
    <w:rsid w:val="1AE06FED"/>
    <w:rsid w:val="1AE97736"/>
    <w:rsid w:val="1AF11538"/>
    <w:rsid w:val="1AFF1F6C"/>
    <w:rsid w:val="1B0B4F2F"/>
    <w:rsid w:val="1B1262BE"/>
    <w:rsid w:val="1B153DB8"/>
    <w:rsid w:val="1B1F6C2C"/>
    <w:rsid w:val="1B244D45"/>
    <w:rsid w:val="1B367C84"/>
    <w:rsid w:val="1B474E65"/>
    <w:rsid w:val="1B570174"/>
    <w:rsid w:val="1B5C39DD"/>
    <w:rsid w:val="1B5D777F"/>
    <w:rsid w:val="1B5E413C"/>
    <w:rsid w:val="1B614C1F"/>
    <w:rsid w:val="1B6D7998"/>
    <w:rsid w:val="1B76354D"/>
    <w:rsid w:val="1B860A5A"/>
    <w:rsid w:val="1B91134D"/>
    <w:rsid w:val="1B9211AC"/>
    <w:rsid w:val="1B9374DE"/>
    <w:rsid w:val="1B9A2198"/>
    <w:rsid w:val="1BA40968"/>
    <w:rsid w:val="1BA57132"/>
    <w:rsid w:val="1BA809D0"/>
    <w:rsid w:val="1BA90BB8"/>
    <w:rsid w:val="1BB35E2F"/>
    <w:rsid w:val="1BBA7347"/>
    <w:rsid w:val="1BC07E23"/>
    <w:rsid w:val="1BC65AEE"/>
    <w:rsid w:val="1BD0568D"/>
    <w:rsid w:val="1BD27011"/>
    <w:rsid w:val="1BD42A40"/>
    <w:rsid w:val="1BDF0DAF"/>
    <w:rsid w:val="1BF26782"/>
    <w:rsid w:val="1BF42469"/>
    <w:rsid w:val="1C00080C"/>
    <w:rsid w:val="1C1177BB"/>
    <w:rsid w:val="1C1425F4"/>
    <w:rsid w:val="1C1A4476"/>
    <w:rsid w:val="1C1D1B72"/>
    <w:rsid w:val="1C201864"/>
    <w:rsid w:val="1C2564C4"/>
    <w:rsid w:val="1C2920DF"/>
    <w:rsid w:val="1C2D46BF"/>
    <w:rsid w:val="1C3861F8"/>
    <w:rsid w:val="1C3F5DAD"/>
    <w:rsid w:val="1C494732"/>
    <w:rsid w:val="1C4955DC"/>
    <w:rsid w:val="1C4B65ED"/>
    <w:rsid w:val="1C4C57FF"/>
    <w:rsid w:val="1C5363E4"/>
    <w:rsid w:val="1C556DAA"/>
    <w:rsid w:val="1C597F1C"/>
    <w:rsid w:val="1C5D17BA"/>
    <w:rsid w:val="1C6B690B"/>
    <w:rsid w:val="1C7E50D0"/>
    <w:rsid w:val="1C837A09"/>
    <w:rsid w:val="1C93694D"/>
    <w:rsid w:val="1CA06A08"/>
    <w:rsid w:val="1CA127CF"/>
    <w:rsid w:val="1CB515F6"/>
    <w:rsid w:val="1CCC33C4"/>
    <w:rsid w:val="1CDB00C3"/>
    <w:rsid w:val="1CE45DB6"/>
    <w:rsid w:val="1CE50760"/>
    <w:rsid w:val="1CE57C07"/>
    <w:rsid w:val="1CEB5018"/>
    <w:rsid w:val="1CFB1DB5"/>
    <w:rsid w:val="1CFE1CD3"/>
    <w:rsid w:val="1D0D1432"/>
    <w:rsid w:val="1D214EDE"/>
    <w:rsid w:val="1D2906F2"/>
    <w:rsid w:val="1D375E9C"/>
    <w:rsid w:val="1D4110DC"/>
    <w:rsid w:val="1D4806BC"/>
    <w:rsid w:val="1D502ED2"/>
    <w:rsid w:val="1D556936"/>
    <w:rsid w:val="1D5A267E"/>
    <w:rsid w:val="1D5E34AA"/>
    <w:rsid w:val="1D606212"/>
    <w:rsid w:val="1D69418F"/>
    <w:rsid w:val="1D6C48F6"/>
    <w:rsid w:val="1D72325E"/>
    <w:rsid w:val="1D733EDB"/>
    <w:rsid w:val="1D7E40DE"/>
    <w:rsid w:val="1D7F9BB1"/>
    <w:rsid w:val="1D8611E5"/>
    <w:rsid w:val="1D8C3FF0"/>
    <w:rsid w:val="1D907667"/>
    <w:rsid w:val="1D9931F7"/>
    <w:rsid w:val="1D9B6A3E"/>
    <w:rsid w:val="1D9C27B6"/>
    <w:rsid w:val="1DAB4918"/>
    <w:rsid w:val="1DB16262"/>
    <w:rsid w:val="1DB67273"/>
    <w:rsid w:val="1DBA2C3C"/>
    <w:rsid w:val="1DD51824"/>
    <w:rsid w:val="1DE45416"/>
    <w:rsid w:val="1DFC2585"/>
    <w:rsid w:val="1E0D4BB8"/>
    <w:rsid w:val="1E207AA3"/>
    <w:rsid w:val="1E2527AC"/>
    <w:rsid w:val="1E29229C"/>
    <w:rsid w:val="1E2B3694"/>
    <w:rsid w:val="1E33115E"/>
    <w:rsid w:val="1E3429EF"/>
    <w:rsid w:val="1E3450BD"/>
    <w:rsid w:val="1E3A76DB"/>
    <w:rsid w:val="1E3B3D7D"/>
    <w:rsid w:val="1E3E59B0"/>
    <w:rsid w:val="1E447672"/>
    <w:rsid w:val="1E544457"/>
    <w:rsid w:val="1E551F1A"/>
    <w:rsid w:val="1E5F67B7"/>
    <w:rsid w:val="1E696B3C"/>
    <w:rsid w:val="1E6B55EB"/>
    <w:rsid w:val="1E7219A1"/>
    <w:rsid w:val="1E7D4396"/>
    <w:rsid w:val="1E8E7A8E"/>
    <w:rsid w:val="1E94288D"/>
    <w:rsid w:val="1EA00084"/>
    <w:rsid w:val="1EA10478"/>
    <w:rsid w:val="1EB41931"/>
    <w:rsid w:val="1EB71B46"/>
    <w:rsid w:val="1EBB71D2"/>
    <w:rsid w:val="1EC137FC"/>
    <w:rsid w:val="1EC801E5"/>
    <w:rsid w:val="1ECED510"/>
    <w:rsid w:val="1ED61CF8"/>
    <w:rsid w:val="1EE00481"/>
    <w:rsid w:val="1EEE7042"/>
    <w:rsid w:val="1EF6464E"/>
    <w:rsid w:val="1EFC3B58"/>
    <w:rsid w:val="1F1151C2"/>
    <w:rsid w:val="1F187E58"/>
    <w:rsid w:val="1F1E074B"/>
    <w:rsid w:val="1F244811"/>
    <w:rsid w:val="1F2726C5"/>
    <w:rsid w:val="1F29084A"/>
    <w:rsid w:val="1F290A0E"/>
    <w:rsid w:val="1F2A69A4"/>
    <w:rsid w:val="1F346AB5"/>
    <w:rsid w:val="1F3FDFFC"/>
    <w:rsid w:val="1F4D5417"/>
    <w:rsid w:val="1F595559"/>
    <w:rsid w:val="1F640DA5"/>
    <w:rsid w:val="1F7431C0"/>
    <w:rsid w:val="1F75506D"/>
    <w:rsid w:val="1F7C289F"/>
    <w:rsid w:val="1F7D3F22"/>
    <w:rsid w:val="1F830BD9"/>
    <w:rsid w:val="1F850636"/>
    <w:rsid w:val="1F8A6087"/>
    <w:rsid w:val="1F95570F"/>
    <w:rsid w:val="1F9F1946"/>
    <w:rsid w:val="1FA31BDA"/>
    <w:rsid w:val="1FAA5C2F"/>
    <w:rsid w:val="1FB05D8B"/>
    <w:rsid w:val="1FB24013"/>
    <w:rsid w:val="1FB406F8"/>
    <w:rsid w:val="1FB979B9"/>
    <w:rsid w:val="1FC85AE5"/>
    <w:rsid w:val="1FCD6C57"/>
    <w:rsid w:val="1FEC3AE3"/>
    <w:rsid w:val="1FEE2F5C"/>
    <w:rsid w:val="1FEF4AE7"/>
    <w:rsid w:val="1FFF9B72"/>
    <w:rsid w:val="20014B53"/>
    <w:rsid w:val="200A3A07"/>
    <w:rsid w:val="2018760F"/>
    <w:rsid w:val="2020147D"/>
    <w:rsid w:val="20210F16"/>
    <w:rsid w:val="202919B6"/>
    <w:rsid w:val="20445877"/>
    <w:rsid w:val="206155F1"/>
    <w:rsid w:val="206A36D3"/>
    <w:rsid w:val="206C021E"/>
    <w:rsid w:val="20713A86"/>
    <w:rsid w:val="209B0B03"/>
    <w:rsid w:val="20A51982"/>
    <w:rsid w:val="20A61B12"/>
    <w:rsid w:val="20A7794A"/>
    <w:rsid w:val="20AA2020"/>
    <w:rsid w:val="20B81D58"/>
    <w:rsid w:val="20BB1426"/>
    <w:rsid w:val="20C30596"/>
    <w:rsid w:val="20C46836"/>
    <w:rsid w:val="20D010D1"/>
    <w:rsid w:val="20D26C9E"/>
    <w:rsid w:val="20DB35F6"/>
    <w:rsid w:val="20DD1972"/>
    <w:rsid w:val="20DD736E"/>
    <w:rsid w:val="20E11DC2"/>
    <w:rsid w:val="20E224E5"/>
    <w:rsid w:val="20E22DB1"/>
    <w:rsid w:val="20EA2A65"/>
    <w:rsid w:val="20ED3DE4"/>
    <w:rsid w:val="20FD5B68"/>
    <w:rsid w:val="21156B08"/>
    <w:rsid w:val="211F34E2"/>
    <w:rsid w:val="2120725A"/>
    <w:rsid w:val="2131111E"/>
    <w:rsid w:val="21327632"/>
    <w:rsid w:val="213A656E"/>
    <w:rsid w:val="214B2529"/>
    <w:rsid w:val="215018EE"/>
    <w:rsid w:val="21530394"/>
    <w:rsid w:val="215D3B26"/>
    <w:rsid w:val="2160182E"/>
    <w:rsid w:val="216703B6"/>
    <w:rsid w:val="216E5668"/>
    <w:rsid w:val="21714784"/>
    <w:rsid w:val="21771570"/>
    <w:rsid w:val="217A2425"/>
    <w:rsid w:val="21977533"/>
    <w:rsid w:val="219851B9"/>
    <w:rsid w:val="21986A4E"/>
    <w:rsid w:val="21AE70D7"/>
    <w:rsid w:val="21B0066E"/>
    <w:rsid w:val="21B36881"/>
    <w:rsid w:val="21B75D99"/>
    <w:rsid w:val="21D53A09"/>
    <w:rsid w:val="21D56297"/>
    <w:rsid w:val="21FE58F7"/>
    <w:rsid w:val="221E3160"/>
    <w:rsid w:val="224C70F0"/>
    <w:rsid w:val="226F5DBF"/>
    <w:rsid w:val="227C0EC4"/>
    <w:rsid w:val="22885270"/>
    <w:rsid w:val="229879F0"/>
    <w:rsid w:val="229B303C"/>
    <w:rsid w:val="22A85759"/>
    <w:rsid w:val="22AE3AA8"/>
    <w:rsid w:val="22BF6927"/>
    <w:rsid w:val="22CB676E"/>
    <w:rsid w:val="22E440E3"/>
    <w:rsid w:val="22E460A7"/>
    <w:rsid w:val="22E72668"/>
    <w:rsid w:val="22E9024C"/>
    <w:rsid w:val="231921B3"/>
    <w:rsid w:val="231A62E5"/>
    <w:rsid w:val="232D371B"/>
    <w:rsid w:val="232F0909"/>
    <w:rsid w:val="23337719"/>
    <w:rsid w:val="233961B3"/>
    <w:rsid w:val="233A4054"/>
    <w:rsid w:val="233A6C4C"/>
    <w:rsid w:val="233D7991"/>
    <w:rsid w:val="234611FA"/>
    <w:rsid w:val="23474F72"/>
    <w:rsid w:val="235A2EF8"/>
    <w:rsid w:val="235D4796"/>
    <w:rsid w:val="2366364A"/>
    <w:rsid w:val="23694EE9"/>
    <w:rsid w:val="236A32F1"/>
    <w:rsid w:val="23746A60"/>
    <w:rsid w:val="2378512C"/>
    <w:rsid w:val="237F64BA"/>
    <w:rsid w:val="239A04EF"/>
    <w:rsid w:val="23A45F21"/>
    <w:rsid w:val="23A979DB"/>
    <w:rsid w:val="23AC0FD2"/>
    <w:rsid w:val="23B02761"/>
    <w:rsid w:val="23BC770E"/>
    <w:rsid w:val="23CD6E0A"/>
    <w:rsid w:val="23D16494"/>
    <w:rsid w:val="23D305B4"/>
    <w:rsid w:val="23D52D24"/>
    <w:rsid w:val="23D82733"/>
    <w:rsid w:val="23DC384B"/>
    <w:rsid w:val="23DF21DE"/>
    <w:rsid w:val="23ED666D"/>
    <w:rsid w:val="23F65209"/>
    <w:rsid w:val="24080638"/>
    <w:rsid w:val="242332EA"/>
    <w:rsid w:val="24271EF9"/>
    <w:rsid w:val="242B169C"/>
    <w:rsid w:val="243A0633"/>
    <w:rsid w:val="244018D4"/>
    <w:rsid w:val="244A4D4D"/>
    <w:rsid w:val="244D236D"/>
    <w:rsid w:val="244F6DB9"/>
    <w:rsid w:val="246D6DF6"/>
    <w:rsid w:val="24763D61"/>
    <w:rsid w:val="24774BDC"/>
    <w:rsid w:val="248021E9"/>
    <w:rsid w:val="248144B4"/>
    <w:rsid w:val="24872B02"/>
    <w:rsid w:val="248E3007"/>
    <w:rsid w:val="249441E7"/>
    <w:rsid w:val="24BF4C2F"/>
    <w:rsid w:val="24C30629"/>
    <w:rsid w:val="24C745BD"/>
    <w:rsid w:val="24D06014"/>
    <w:rsid w:val="24D171E9"/>
    <w:rsid w:val="24D259C4"/>
    <w:rsid w:val="24D90223"/>
    <w:rsid w:val="24DB0068"/>
    <w:rsid w:val="24DD7B5D"/>
    <w:rsid w:val="24E863F3"/>
    <w:rsid w:val="24EE7ED0"/>
    <w:rsid w:val="24F44FF1"/>
    <w:rsid w:val="24FA1965"/>
    <w:rsid w:val="250F1AC0"/>
    <w:rsid w:val="252249A3"/>
    <w:rsid w:val="2522679D"/>
    <w:rsid w:val="252437BD"/>
    <w:rsid w:val="252C2320"/>
    <w:rsid w:val="253432D4"/>
    <w:rsid w:val="253439FF"/>
    <w:rsid w:val="253B4663"/>
    <w:rsid w:val="253E2650"/>
    <w:rsid w:val="25502DD1"/>
    <w:rsid w:val="25585824"/>
    <w:rsid w:val="25622B0F"/>
    <w:rsid w:val="25665B84"/>
    <w:rsid w:val="25685726"/>
    <w:rsid w:val="25700120"/>
    <w:rsid w:val="257B10A7"/>
    <w:rsid w:val="257E2B4A"/>
    <w:rsid w:val="258C7A56"/>
    <w:rsid w:val="2593624D"/>
    <w:rsid w:val="25950217"/>
    <w:rsid w:val="25A0096A"/>
    <w:rsid w:val="25A466AC"/>
    <w:rsid w:val="25A91F14"/>
    <w:rsid w:val="25AB3597"/>
    <w:rsid w:val="25B368EF"/>
    <w:rsid w:val="25B83057"/>
    <w:rsid w:val="25BC08A2"/>
    <w:rsid w:val="25C07D2D"/>
    <w:rsid w:val="25D02FFD"/>
    <w:rsid w:val="25D32AED"/>
    <w:rsid w:val="25D728C0"/>
    <w:rsid w:val="25EA2B31"/>
    <w:rsid w:val="25EA666C"/>
    <w:rsid w:val="25F747AF"/>
    <w:rsid w:val="25F860EB"/>
    <w:rsid w:val="2600794E"/>
    <w:rsid w:val="260158AC"/>
    <w:rsid w:val="260C7AAD"/>
    <w:rsid w:val="26306192"/>
    <w:rsid w:val="263B7010"/>
    <w:rsid w:val="26422E9B"/>
    <w:rsid w:val="265A5C0C"/>
    <w:rsid w:val="2670658E"/>
    <w:rsid w:val="26764558"/>
    <w:rsid w:val="2677791D"/>
    <w:rsid w:val="267A2D1E"/>
    <w:rsid w:val="26804A23"/>
    <w:rsid w:val="26864004"/>
    <w:rsid w:val="26914FE9"/>
    <w:rsid w:val="26A06E73"/>
    <w:rsid w:val="26A47BFF"/>
    <w:rsid w:val="26BE5FC5"/>
    <w:rsid w:val="26C64400"/>
    <w:rsid w:val="26CF19C2"/>
    <w:rsid w:val="26D92D41"/>
    <w:rsid w:val="26DE799C"/>
    <w:rsid w:val="26E414EB"/>
    <w:rsid w:val="26E42362"/>
    <w:rsid w:val="26E86A6C"/>
    <w:rsid w:val="26F50C55"/>
    <w:rsid w:val="270A7415"/>
    <w:rsid w:val="270C5331"/>
    <w:rsid w:val="271A594C"/>
    <w:rsid w:val="27266F5B"/>
    <w:rsid w:val="272A01DA"/>
    <w:rsid w:val="272C6959"/>
    <w:rsid w:val="273121C1"/>
    <w:rsid w:val="27343A60"/>
    <w:rsid w:val="27400942"/>
    <w:rsid w:val="274F318F"/>
    <w:rsid w:val="275238C7"/>
    <w:rsid w:val="276A25B5"/>
    <w:rsid w:val="277D5407"/>
    <w:rsid w:val="278247CB"/>
    <w:rsid w:val="279C2835"/>
    <w:rsid w:val="279D1605"/>
    <w:rsid w:val="27A26C29"/>
    <w:rsid w:val="27A44741"/>
    <w:rsid w:val="27B0758A"/>
    <w:rsid w:val="27DB3502"/>
    <w:rsid w:val="27DD49AF"/>
    <w:rsid w:val="27E2526A"/>
    <w:rsid w:val="27F154AD"/>
    <w:rsid w:val="27F81395"/>
    <w:rsid w:val="280B1A82"/>
    <w:rsid w:val="28127295"/>
    <w:rsid w:val="281766AC"/>
    <w:rsid w:val="281D44F4"/>
    <w:rsid w:val="281F026C"/>
    <w:rsid w:val="28232772"/>
    <w:rsid w:val="28245882"/>
    <w:rsid w:val="283048B1"/>
    <w:rsid w:val="28387B79"/>
    <w:rsid w:val="283F26BC"/>
    <w:rsid w:val="28427911"/>
    <w:rsid w:val="284F2D0E"/>
    <w:rsid w:val="285B7A54"/>
    <w:rsid w:val="28615C98"/>
    <w:rsid w:val="2879797C"/>
    <w:rsid w:val="28845976"/>
    <w:rsid w:val="2886653D"/>
    <w:rsid w:val="288E0245"/>
    <w:rsid w:val="288E0F4E"/>
    <w:rsid w:val="28944BAE"/>
    <w:rsid w:val="28A54C15"/>
    <w:rsid w:val="28A6141E"/>
    <w:rsid w:val="28C65634"/>
    <w:rsid w:val="28CE5541"/>
    <w:rsid w:val="28D23742"/>
    <w:rsid w:val="28DC43AF"/>
    <w:rsid w:val="28EA087A"/>
    <w:rsid w:val="28EF36B9"/>
    <w:rsid w:val="28EF7C3E"/>
    <w:rsid w:val="2908648D"/>
    <w:rsid w:val="290C5ACE"/>
    <w:rsid w:val="29127DD1"/>
    <w:rsid w:val="291D0C4F"/>
    <w:rsid w:val="29201209"/>
    <w:rsid w:val="29251E16"/>
    <w:rsid w:val="292E4C0A"/>
    <w:rsid w:val="292F0982"/>
    <w:rsid w:val="292F2E7A"/>
    <w:rsid w:val="2940049A"/>
    <w:rsid w:val="29401FE7"/>
    <w:rsid w:val="29414BE5"/>
    <w:rsid w:val="29475CCC"/>
    <w:rsid w:val="295F65D8"/>
    <w:rsid w:val="296028EA"/>
    <w:rsid w:val="29750330"/>
    <w:rsid w:val="29785E86"/>
    <w:rsid w:val="297A7BB1"/>
    <w:rsid w:val="29817776"/>
    <w:rsid w:val="298F4EE5"/>
    <w:rsid w:val="29900AF5"/>
    <w:rsid w:val="29915199"/>
    <w:rsid w:val="299C44DE"/>
    <w:rsid w:val="29A70519"/>
    <w:rsid w:val="29AB31B9"/>
    <w:rsid w:val="29B36EBE"/>
    <w:rsid w:val="29BB5D72"/>
    <w:rsid w:val="29C63095"/>
    <w:rsid w:val="29CB1ED3"/>
    <w:rsid w:val="29CB5A75"/>
    <w:rsid w:val="29F7616C"/>
    <w:rsid w:val="29FC57B3"/>
    <w:rsid w:val="29FC6EAF"/>
    <w:rsid w:val="2A1856DC"/>
    <w:rsid w:val="2A19034C"/>
    <w:rsid w:val="2A24364B"/>
    <w:rsid w:val="2A273408"/>
    <w:rsid w:val="2A336C8D"/>
    <w:rsid w:val="2A353998"/>
    <w:rsid w:val="2A557566"/>
    <w:rsid w:val="2A634AE6"/>
    <w:rsid w:val="2A6425B4"/>
    <w:rsid w:val="2A750617"/>
    <w:rsid w:val="2A7A5C2D"/>
    <w:rsid w:val="2AA131BA"/>
    <w:rsid w:val="2AA80CAF"/>
    <w:rsid w:val="2AB033FD"/>
    <w:rsid w:val="2AB52B4E"/>
    <w:rsid w:val="2ABB12BD"/>
    <w:rsid w:val="2AD3590E"/>
    <w:rsid w:val="2AD451E8"/>
    <w:rsid w:val="2AE966F2"/>
    <w:rsid w:val="2AED5233"/>
    <w:rsid w:val="2AF07C9E"/>
    <w:rsid w:val="2AF15231"/>
    <w:rsid w:val="2AF465F1"/>
    <w:rsid w:val="2AF76522"/>
    <w:rsid w:val="2B083239"/>
    <w:rsid w:val="2B110340"/>
    <w:rsid w:val="2B1823DD"/>
    <w:rsid w:val="2B211B1F"/>
    <w:rsid w:val="2B253B3A"/>
    <w:rsid w:val="2B377D46"/>
    <w:rsid w:val="2B3E6C5B"/>
    <w:rsid w:val="2B473D61"/>
    <w:rsid w:val="2B475F3E"/>
    <w:rsid w:val="2B4843B6"/>
    <w:rsid w:val="2B4A4C91"/>
    <w:rsid w:val="2B4E3EA7"/>
    <w:rsid w:val="2B53729A"/>
    <w:rsid w:val="2B5559BD"/>
    <w:rsid w:val="2B5F2A60"/>
    <w:rsid w:val="2B6622A3"/>
    <w:rsid w:val="2B6E226F"/>
    <w:rsid w:val="2B741F54"/>
    <w:rsid w:val="2B77216D"/>
    <w:rsid w:val="2B7E614C"/>
    <w:rsid w:val="2BA2543C"/>
    <w:rsid w:val="2BA966CA"/>
    <w:rsid w:val="2BAF1907"/>
    <w:rsid w:val="2BB42139"/>
    <w:rsid w:val="2BB5161D"/>
    <w:rsid w:val="2BB86A0D"/>
    <w:rsid w:val="2BBB79FD"/>
    <w:rsid w:val="2BBE7741"/>
    <w:rsid w:val="2BC52ED8"/>
    <w:rsid w:val="2BC74169"/>
    <w:rsid w:val="2BC95556"/>
    <w:rsid w:val="2BD05FDF"/>
    <w:rsid w:val="2BF343F3"/>
    <w:rsid w:val="2C023933"/>
    <w:rsid w:val="2C1A56AF"/>
    <w:rsid w:val="2C1D2D14"/>
    <w:rsid w:val="2C1F4711"/>
    <w:rsid w:val="2C214146"/>
    <w:rsid w:val="2C231C6F"/>
    <w:rsid w:val="2C2355B3"/>
    <w:rsid w:val="2C245E51"/>
    <w:rsid w:val="2C2E4F21"/>
    <w:rsid w:val="2C31056E"/>
    <w:rsid w:val="2C3639E8"/>
    <w:rsid w:val="2C372028"/>
    <w:rsid w:val="2C456CEE"/>
    <w:rsid w:val="2C534988"/>
    <w:rsid w:val="2C5F332D"/>
    <w:rsid w:val="2C624BCB"/>
    <w:rsid w:val="2C626979"/>
    <w:rsid w:val="2C7373D2"/>
    <w:rsid w:val="2C7C78C3"/>
    <w:rsid w:val="2C9C33F7"/>
    <w:rsid w:val="2CB2296E"/>
    <w:rsid w:val="2CB27900"/>
    <w:rsid w:val="2CBC7A94"/>
    <w:rsid w:val="2CC71744"/>
    <w:rsid w:val="2CC94C4A"/>
    <w:rsid w:val="2CCE2260"/>
    <w:rsid w:val="2CD233DA"/>
    <w:rsid w:val="2D037DB8"/>
    <w:rsid w:val="2D0543E6"/>
    <w:rsid w:val="2D0978AA"/>
    <w:rsid w:val="2D0E339D"/>
    <w:rsid w:val="2D0E50C2"/>
    <w:rsid w:val="2D1F015C"/>
    <w:rsid w:val="2D2D19CD"/>
    <w:rsid w:val="2D312900"/>
    <w:rsid w:val="2D346567"/>
    <w:rsid w:val="2D360531"/>
    <w:rsid w:val="2D370F54"/>
    <w:rsid w:val="2D371DC3"/>
    <w:rsid w:val="2D4434C9"/>
    <w:rsid w:val="2D463ACD"/>
    <w:rsid w:val="2D4F33A1"/>
    <w:rsid w:val="2D4F6EFD"/>
    <w:rsid w:val="2D564730"/>
    <w:rsid w:val="2D580DD2"/>
    <w:rsid w:val="2D6023B1"/>
    <w:rsid w:val="2D60735C"/>
    <w:rsid w:val="2D623374"/>
    <w:rsid w:val="2D6327A4"/>
    <w:rsid w:val="2D663273"/>
    <w:rsid w:val="2D6D5C86"/>
    <w:rsid w:val="2D6F2366"/>
    <w:rsid w:val="2D713318"/>
    <w:rsid w:val="2D7F006D"/>
    <w:rsid w:val="2D895B7E"/>
    <w:rsid w:val="2DA82AB1"/>
    <w:rsid w:val="2DAC3172"/>
    <w:rsid w:val="2DAC4350"/>
    <w:rsid w:val="2DB6793F"/>
    <w:rsid w:val="2DD57A31"/>
    <w:rsid w:val="2DDE6D07"/>
    <w:rsid w:val="2DE33E32"/>
    <w:rsid w:val="2DE52846"/>
    <w:rsid w:val="2DE7182C"/>
    <w:rsid w:val="2DE73D29"/>
    <w:rsid w:val="2DF45CF7"/>
    <w:rsid w:val="2DF90AA0"/>
    <w:rsid w:val="2DFD07F3"/>
    <w:rsid w:val="2E0C7137"/>
    <w:rsid w:val="2E110657"/>
    <w:rsid w:val="2E154310"/>
    <w:rsid w:val="2E162C88"/>
    <w:rsid w:val="2E3B71C5"/>
    <w:rsid w:val="2E3F09E8"/>
    <w:rsid w:val="2E4B6EAB"/>
    <w:rsid w:val="2E4F1947"/>
    <w:rsid w:val="2E547F14"/>
    <w:rsid w:val="2E586286"/>
    <w:rsid w:val="2E641A7D"/>
    <w:rsid w:val="2E6734E3"/>
    <w:rsid w:val="2E6F6A87"/>
    <w:rsid w:val="2E70537D"/>
    <w:rsid w:val="2E724E76"/>
    <w:rsid w:val="2E734E6D"/>
    <w:rsid w:val="2E772BB0"/>
    <w:rsid w:val="2E8157DC"/>
    <w:rsid w:val="2E8775D6"/>
    <w:rsid w:val="2E96584B"/>
    <w:rsid w:val="2E996D16"/>
    <w:rsid w:val="2E9C2616"/>
    <w:rsid w:val="2EA50BEE"/>
    <w:rsid w:val="2EBC6814"/>
    <w:rsid w:val="2ED17FB6"/>
    <w:rsid w:val="2ED3590C"/>
    <w:rsid w:val="2ED6247B"/>
    <w:rsid w:val="2F085084"/>
    <w:rsid w:val="2F0F2DE8"/>
    <w:rsid w:val="2F115C87"/>
    <w:rsid w:val="2F24188F"/>
    <w:rsid w:val="2F260132"/>
    <w:rsid w:val="2F391C13"/>
    <w:rsid w:val="2F47706D"/>
    <w:rsid w:val="2F52555A"/>
    <w:rsid w:val="2F5F101A"/>
    <w:rsid w:val="2F6A001E"/>
    <w:rsid w:val="2F7442E4"/>
    <w:rsid w:val="2F76EB0D"/>
    <w:rsid w:val="2F8F429B"/>
    <w:rsid w:val="2F8F7515"/>
    <w:rsid w:val="2F966F86"/>
    <w:rsid w:val="2F9F5292"/>
    <w:rsid w:val="2FA01C92"/>
    <w:rsid w:val="2FB233B7"/>
    <w:rsid w:val="2FB27C17"/>
    <w:rsid w:val="2FCC0CD9"/>
    <w:rsid w:val="2FCE3E3B"/>
    <w:rsid w:val="2FD07D6B"/>
    <w:rsid w:val="2FD26231"/>
    <w:rsid w:val="2FD47B8E"/>
    <w:rsid w:val="2FD85A13"/>
    <w:rsid w:val="2FF30683"/>
    <w:rsid w:val="2FF3270A"/>
    <w:rsid w:val="2FFE2E5D"/>
    <w:rsid w:val="300315B9"/>
    <w:rsid w:val="30074CFA"/>
    <w:rsid w:val="30116076"/>
    <w:rsid w:val="30136908"/>
    <w:rsid w:val="30146F8B"/>
    <w:rsid w:val="30224D9D"/>
    <w:rsid w:val="302802A3"/>
    <w:rsid w:val="302A245E"/>
    <w:rsid w:val="303321F6"/>
    <w:rsid w:val="303C4D07"/>
    <w:rsid w:val="303D0DFC"/>
    <w:rsid w:val="30542A7D"/>
    <w:rsid w:val="306929CC"/>
    <w:rsid w:val="306A22A0"/>
    <w:rsid w:val="30737D00"/>
    <w:rsid w:val="307B05C4"/>
    <w:rsid w:val="307D1EE9"/>
    <w:rsid w:val="307F5C1F"/>
    <w:rsid w:val="30803872"/>
    <w:rsid w:val="3086532C"/>
    <w:rsid w:val="308C0468"/>
    <w:rsid w:val="30904174"/>
    <w:rsid w:val="309441E9"/>
    <w:rsid w:val="30B11C7D"/>
    <w:rsid w:val="30B40A52"/>
    <w:rsid w:val="30B443D8"/>
    <w:rsid w:val="30BA6D84"/>
    <w:rsid w:val="30C168E2"/>
    <w:rsid w:val="30CB180D"/>
    <w:rsid w:val="30CD2F5B"/>
    <w:rsid w:val="30D11AE7"/>
    <w:rsid w:val="30D616E4"/>
    <w:rsid w:val="30EB1633"/>
    <w:rsid w:val="30EE1123"/>
    <w:rsid w:val="30EF220B"/>
    <w:rsid w:val="30F5437F"/>
    <w:rsid w:val="30FB3EF8"/>
    <w:rsid w:val="30FF0C3A"/>
    <w:rsid w:val="310B0D65"/>
    <w:rsid w:val="31112915"/>
    <w:rsid w:val="31175F84"/>
    <w:rsid w:val="31181CFC"/>
    <w:rsid w:val="31245F91"/>
    <w:rsid w:val="31304586"/>
    <w:rsid w:val="313B0E53"/>
    <w:rsid w:val="314E392A"/>
    <w:rsid w:val="3150593A"/>
    <w:rsid w:val="3152520E"/>
    <w:rsid w:val="315679FF"/>
    <w:rsid w:val="31677002"/>
    <w:rsid w:val="31807FCD"/>
    <w:rsid w:val="318A3E92"/>
    <w:rsid w:val="31905D36"/>
    <w:rsid w:val="319925E7"/>
    <w:rsid w:val="31A0241D"/>
    <w:rsid w:val="31A37DE9"/>
    <w:rsid w:val="31AC0C90"/>
    <w:rsid w:val="31B41A25"/>
    <w:rsid w:val="31BB2DB3"/>
    <w:rsid w:val="31C54E28"/>
    <w:rsid w:val="31C840A2"/>
    <w:rsid w:val="31C94250"/>
    <w:rsid w:val="31CB2007"/>
    <w:rsid w:val="31DB79D8"/>
    <w:rsid w:val="31DF79A9"/>
    <w:rsid w:val="31FB58A6"/>
    <w:rsid w:val="31FE5396"/>
    <w:rsid w:val="31FF7744"/>
    <w:rsid w:val="32034EF7"/>
    <w:rsid w:val="3210328B"/>
    <w:rsid w:val="32145110"/>
    <w:rsid w:val="321B2E89"/>
    <w:rsid w:val="322546D1"/>
    <w:rsid w:val="322B3707"/>
    <w:rsid w:val="322C43BA"/>
    <w:rsid w:val="322C4B15"/>
    <w:rsid w:val="322F5EB7"/>
    <w:rsid w:val="322F7E5B"/>
    <w:rsid w:val="32452FC5"/>
    <w:rsid w:val="32500091"/>
    <w:rsid w:val="325829EC"/>
    <w:rsid w:val="32586854"/>
    <w:rsid w:val="325A5DCC"/>
    <w:rsid w:val="325D20BC"/>
    <w:rsid w:val="32680F89"/>
    <w:rsid w:val="3275602C"/>
    <w:rsid w:val="327918AA"/>
    <w:rsid w:val="32841A47"/>
    <w:rsid w:val="32847224"/>
    <w:rsid w:val="32870EE7"/>
    <w:rsid w:val="328E671A"/>
    <w:rsid w:val="329362BA"/>
    <w:rsid w:val="32A24A38"/>
    <w:rsid w:val="32A61CB5"/>
    <w:rsid w:val="32B45DAE"/>
    <w:rsid w:val="32BF68D3"/>
    <w:rsid w:val="32C75788"/>
    <w:rsid w:val="32CA1246"/>
    <w:rsid w:val="32D76AD3"/>
    <w:rsid w:val="32DA370D"/>
    <w:rsid w:val="32E20814"/>
    <w:rsid w:val="32E43F45"/>
    <w:rsid w:val="32F26CA9"/>
    <w:rsid w:val="32FF13C6"/>
    <w:rsid w:val="33152498"/>
    <w:rsid w:val="331A1D5C"/>
    <w:rsid w:val="3321758E"/>
    <w:rsid w:val="33226E62"/>
    <w:rsid w:val="332B3F69"/>
    <w:rsid w:val="332E1CAB"/>
    <w:rsid w:val="333170A5"/>
    <w:rsid w:val="335E1C38"/>
    <w:rsid w:val="336417E9"/>
    <w:rsid w:val="33661C03"/>
    <w:rsid w:val="33663BDB"/>
    <w:rsid w:val="33663C98"/>
    <w:rsid w:val="33694A91"/>
    <w:rsid w:val="33934B57"/>
    <w:rsid w:val="339D6506"/>
    <w:rsid w:val="33A61841"/>
    <w:rsid w:val="33A87367"/>
    <w:rsid w:val="33B05759"/>
    <w:rsid w:val="33B14B36"/>
    <w:rsid w:val="33CB74FA"/>
    <w:rsid w:val="33E04D53"/>
    <w:rsid w:val="33E36AB9"/>
    <w:rsid w:val="33F70598"/>
    <w:rsid w:val="33FD6212"/>
    <w:rsid w:val="341838CF"/>
    <w:rsid w:val="342310E4"/>
    <w:rsid w:val="342A2472"/>
    <w:rsid w:val="34391824"/>
    <w:rsid w:val="34425A0E"/>
    <w:rsid w:val="344572AC"/>
    <w:rsid w:val="3446796C"/>
    <w:rsid w:val="345816AA"/>
    <w:rsid w:val="345A3DD4"/>
    <w:rsid w:val="34620231"/>
    <w:rsid w:val="346F27C6"/>
    <w:rsid w:val="34711F46"/>
    <w:rsid w:val="34745A79"/>
    <w:rsid w:val="34776B46"/>
    <w:rsid w:val="34815534"/>
    <w:rsid w:val="34844D32"/>
    <w:rsid w:val="348F6779"/>
    <w:rsid w:val="34A00474"/>
    <w:rsid w:val="34B14942"/>
    <w:rsid w:val="34D36666"/>
    <w:rsid w:val="34D71CBF"/>
    <w:rsid w:val="34DD74E5"/>
    <w:rsid w:val="34DF14AF"/>
    <w:rsid w:val="34DF263D"/>
    <w:rsid w:val="34E62438"/>
    <w:rsid w:val="34E806FB"/>
    <w:rsid w:val="34EF7816"/>
    <w:rsid w:val="34F211E2"/>
    <w:rsid w:val="34F74E78"/>
    <w:rsid w:val="350727B3"/>
    <w:rsid w:val="35284C04"/>
    <w:rsid w:val="352E1AEE"/>
    <w:rsid w:val="353646D6"/>
    <w:rsid w:val="353B03CE"/>
    <w:rsid w:val="353C4CEF"/>
    <w:rsid w:val="35487054"/>
    <w:rsid w:val="355635F9"/>
    <w:rsid w:val="35571045"/>
    <w:rsid w:val="35575DD8"/>
    <w:rsid w:val="355F0E30"/>
    <w:rsid w:val="357E2A76"/>
    <w:rsid w:val="3583585A"/>
    <w:rsid w:val="358A766C"/>
    <w:rsid w:val="3593266D"/>
    <w:rsid w:val="35941D23"/>
    <w:rsid w:val="35961234"/>
    <w:rsid w:val="35A061C5"/>
    <w:rsid w:val="35B56328"/>
    <w:rsid w:val="35B60028"/>
    <w:rsid w:val="35B83942"/>
    <w:rsid w:val="35B923B1"/>
    <w:rsid w:val="35BE2E72"/>
    <w:rsid w:val="35C366DA"/>
    <w:rsid w:val="35C44201"/>
    <w:rsid w:val="35C67F79"/>
    <w:rsid w:val="35CE332E"/>
    <w:rsid w:val="35CF507F"/>
    <w:rsid w:val="35D07049"/>
    <w:rsid w:val="35D84564"/>
    <w:rsid w:val="35EE332A"/>
    <w:rsid w:val="35EF585C"/>
    <w:rsid w:val="36011A9C"/>
    <w:rsid w:val="360F5C2A"/>
    <w:rsid w:val="36162CAE"/>
    <w:rsid w:val="36174C78"/>
    <w:rsid w:val="36210B20"/>
    <w:rsid w:val="362D0788"/>
    <w:rsid w:val="36300F1A"/>
    <w:rsid w:val="36301896"/>
    <w:rsid w:val="36433785"/>
    <w:rsid w:val="36586B29"/>
    <w:rsid w:val="36633A19"/>
    <w:rsid w:val="367C4861"/>
    <w:rsid w:val="367E6AA5"/>
    <w:rsid w:val="36806379"/>
    <w:rsid w:val="368C4D1E"/>
    <w:rsid w:val="368F2A60"/>
    <w:rsid w:val="36965B9D"/>
    <w:rsid w:val="36975981"/>
    <w:rsid w:val="36987D7C"/>
    <w:rsid w:val="36A323F3"/>
    <w:rsid w:val="36AA789A"/>
    <w:rsid w:val="36AC298D"/>
    <w:rsid w:val="36AE1139"/>
    <w:rsid w:val="36BA08DC"/>
    <w:rsid w:val="36BB1AA7"/>
    <w:rsid w:val="36BB1F79"/>
    <w:rsid w:val="36CA241F"/>
    <w:rsid w:val="36CD016C"/>
    <w:rsid w:val="36CE5A1E"/>
    <w:rsid w:val="36D861B6"/>
    <w:rsid w:val="36D86939"/>
    <w:rsid w:val="36E74BCF"/>
    <w:rsid w:val="36F06EBF"/>
    <w:rsid w:val="36F36094"/>
    <w:rsid w:val="36FA545B"/>
    <w:rsid w:val="37005E85"/>
    <w:rsid w:val="37032EE2"/>
    <w:rsid w:val="37052D23"/>
    <w:rsid w:val="3706381E"/>
    <w:rsid w:val="37115D1B"/>
    <w:rsid w:val="37132D3F"/>
    <w:rsid w:val="37164F30"/>
    <w:rsid w:val="37353608"/>
    <w:rsid w:val="37380B07"/>
    <w:rsid w:val="3744384B"/>
    <w:rsid w:val="37473124"/>
    <w:rsid w:val="37495DE7"/>
    <w:rsid w:val="37620175"/>
    <w:rsid w:val="376E6B1A"/>
    <w:rsid w:val="37754EA4"/>
    <w:rsid w:val="37784633"/>
    <w:rsid w:val="377A0F90"/>
    <w:rsid w:val="3781684D"/>
    <w:rsid w:val="37976071"/>
    <w:rsid w:val="379A74B9"/>
    <w:rsid w:val="379C3687"/>
    <w:rsid w:val="37A332CD"/>
    <w:rsid w:val="37AA7968"/>
    <w:rsid w:val="37AD6FFB"/>
    <w:rsid w:val="37AE3470"/>
    <w:rsid w:val="37B07204"/>
    <w:rsid w:val="37B87D95"/>
    <w:rsid w:val="37BA5670"/>
    <w:rsid w:val="37D141F5"/>
    <w:rsid w:val="37D963E5"/>
    <w:rsid w:val="37EA199E"/>
    <w:rsid w:val="37EA43F2"/>
    <w:rsid w:val="37EBC7A6"/>
    <w:rsid w:val="37ED426E"/>
    <w:rsid w:val="37FB587E"/>
    <w:rsid w:val="380B6326"/>
    <w:rsid w:val="381839A2"/>
    <w:rsid w:val="38223A5B"/>
    <w:rsid w:val="38234110"/>
    <w:rsid w:val="38340E36"/>
    <w:rsid w:val="38353194"/>
    <w:rsid w:val="38372165"/>
    <w:rsid w:val="384A70AD"/>
    <w:rsid w:val="385950D4"/>
    <w:rsid w:val="38660F08"/>
    <w:rsid w:val="386A108F"/>
    <w:rsid w:val="386B56A1"/>
    <w:rsid w:val="38713459"/>
    <w:rsid w:val="387329B0"/>
    <w:rsid w:val="387C7014"/>
    <w:rsid w:val="387E0FDF"/>
    <w:rsid w:val="388349E1"/>
    <w:rsid w:val="38946EF2"/>
    <w:rsid w:val="389712E7"/>
    <w:rsid w:val="38982C55"/>
    <w:rsid w:val="389941AE"/>
    <w:rsid w:val="38A45FDC"/>
    <w:rsid w:val="38A5656B"/>
    <w:rsid w:val="38AF5D1E"/>
    <w:rsid w:val="38D1110E"/>
    <w:rsid w:val="38DE3230"/>
    <w:rsid w:val="38E65EE7"/>
    <w:rsid w:val="38EB36E5"/>
    <w:rsid w:val="38F74AF1"/>
    <w:rsid w:val="38FF3ECD"/>
    <w:rsid w:val="3901753D"/>
    <w:rsid w:val="39140F60"/>
    <w:rsid w:val="3914724D"/>
    <w:rsid w:val="3915565D"/>
    <w:rsid w:val="391E0C2C"/>
    <w:rsid w:val="3922196A"/>
    <w:rsid w:val="39271C2E"/>
    <w:rsid w:val="392E7AA4"/>
    <w:rsid w:val="3934142E"/>
    <w:rsid w:val="394713D0"/>
    <w:rsid w:val="3958538C"/>
    <w:rsid w:val="395A1000"/>
    <w:rsid w:val="395A1104"/>
    <w:rsid w:val="39697599"/>
    <w:rsid w:val="39766A08"/>
    <w:rsid w:val="397F14BF"/>
    <w:rsid w:val="39806C59"/>
    <w:rsid w:val="39854CED"/>
    <w:rsid w:val="39897C3B"/>
    <w:rsid w:val="39912999"/>
    <w:rsid w:val="39A03EED"/>
    <w:rsid w:val="39A131D7"/>
    <w:rsid w:val="39A16D33"/>
    <w:rsid w:val="39A73BAE"/>
    <w:rsid w:val="39A87231"/>
    <w:rsid w:val="39AB5E03"/>
    <w:rsid w:val="39B34CB8"/>
    <w:rsid w:val="39B747A8"/>
    <w:rsid w:val="39BA7DF4"/>
    <w:rsid w:val="39C35667"/>
    <w:rsid w:val="39C80763"/>
    <w:rsid w:val="39CB50A6"/>
    <w:rsid w:val="39CC34C4"/>
    <w:rsid w:val="39CF6DF4"/>
    <w:rsid w:val="39D44E96"/>
    <w:rsid w:val="39D4535A"/>
    <w:rsid w:val="39E6508D"/>
    <w:rsid w:val="39EA239A"/>
    <w:rsid w:val="39EC3F23"/>
    <w:rsid w:val="39EC5B12"/>
    <w:rsid w:val="3A137505"/>
    <w:rsid w:val="3A161272"/>
    <w:rsid w:val="3A1805F9"/>
    <w:rsid w:val="3A2160C5"/>
    <w:rsid w:val="3A4A1141"/>
    <w:rsid w:val="3A59585F"/>
    <w:rsid w:val="3A601D2F"/>
    <w:rsid w:val="3A687850"/>
    <w:rsid w:val="3A6A0CDC"/>
    <w:rsid w:val="3A726E4E"/>
    <w:rsid w:val="3A7E085A"/>
    <w:rsid w:val="3A8433AD"/>
    <w:rsid w:val="3A843ABE"/>
    <w:rsid w:val="3A9128C1"/>
    <w:rsid w:val="3A922524"/>
    <w:rsid w:val="3AA85F85"/>
    <w:rsid w:val="3AAD5BAB"/>
    <w:rsid w:val="3AAF64AB"/>
    <w:rsid w:val="3AB05274"/>
    <w:rsid w:val="3AB40CE8"/>
    <w:rsid w:val="3ABF0039"/>
    <w:rsid w:val="3AC21D31"/>
    <w:rsid w:val="3ACC77E6"/>
    <w:rsid w:val="3AD17B7F"/>
    <w:rsid w:val="3AD35612"/>
    <w:rsid w:val="3AD874C9"/>
    <w:rsid w:val="3AEE244B"/>
    <w:rsid w:val="3AEF180B"/>
    <w:rsid w:val="3AF916B0"/>
    <w:rsid w:val="3AFD61EB"/>
    <w:rsid w:val="3B051543"/>
    <w:rsid w:val="3B250922"/>
    <w:rsid w:val="3B260976"/>
    <w:rsid w:val="3B366613"/>
    <w:rsid w:val="3B3D6F2F"/>
    <w:rsid w:val="3B486A4A"/>
    <w:rsid w:val="3B4D6A6B"/>
    <w:rsid w:val="3B535A77"/>
    <w:rsid w:val="3B581673"/>
    <w:rsid w:val="3B5E01E4"/>
    <w:rsid w:val="3B6236A0"/>
    <w:rsid w:val="3B6B3A9C"/>
    <w:rsid w:val="3B8B1C35"/>
    <w:rsid w:val="3B937DF8"/>
    <w:rsid w:val="3BA20A9E"/>
    <w:rsid w:val="3BA27B29"/>
    <w:rsid w:val="3BA36306"/>
    <w:rsid w:val="3BA90120"/>
    <w:rsid w:val="3BA96C8B"/>
    <w:rsid w:val="3BB645EB"/>
    <w:rsid w:val="3BB75234"/>
    <w:rsid w:val="3BB81A38"/>
    <w:rsid w:val="3BC46D08"/>
    <w:rsid w:val="3BC74A4B"/>
    <w:rsid w:val="3BC9468F"/>
    <w:rsid w:val="3BD01B51"/>
    <w:rsid w:val="3BD258C9"/>
    <w:rsid w:val="3BE6C7A4"/>
    <w:rsid w:val="3BFF41E4"/>
    <w:rsid w:val="3BFFA27A"/>
    <w:rsid w:val="3C084023"/>
    <w:rsid w:val="3C131844"/>
    <w:rsid w:val="3C157564"/>
    <w:rsid w:val="3C2002D7"/>
    <w:rsid w:val="3C327C29"/>
    <w:rsid w:val="3C3C0CD2"/>
    <w:rsid w:val="3C460065"/>
    <w:rsid w:val="3C522566"/>
    <w:rsid w:val="3C5249B6"/>
    <w:rsid w:val="3C6127A9"/>
    <w:rsid w:val="3C69674F"/>
    <w:rsid w:val="3C7C75E3"/>
    <w:rsid w:val="3C8A2084"/>
    <w:rsid w:val="3C8D13F8"/>
    <w:rsid w:val="3C9012E0"/>
    <w:rsid w:val="3C9708C1"/>
    <w:rsid w:val="3CAD4C77"/>
    <w:rsid w:val="3CC62F17"/>
    <w:rsid w:val="3CC907F0"/>
    <w:rsid w:val="3CCC92BA"/>
    <w:rsid w:val="3CCE7F04"/>
    <w:rsid w:val="3CD5470D"/>
    <w:rsid w:val="3CD64F45"/>
    <w:rsid w:val="3CDC0DE1"/>
    <w:rsid w:val="3CEC3657"/>
    <w:rsid w:val="3CF1446D"/>
    <w:rsid w:val="3CF36A59"/>
    <w:rsid w:val="3CF4186F"/>
    <w:rsid w:val="3CFB1DD3"/>
    <w:rsid w:val="3D025872"/>
    <w:rsid w:val="3D0620E8"/>
    <w:rsid w:val="3D0F4ED7"/>
    <w:rsid w:val="3D193084"/>
    <w:rsid w:val="3D22018A"/>
    <w:rsid w:val="3D294424"/>
    <w:rsid w:val="3D29758D"/>
    <w:rsid w:val="3D2C5607"/>
    <w:rsid w:val="3D472F70"/>
    <w:rsid w:val="3D534CEE"/>
    <w:rsid w:val="3D683084"/>
    <w:rsid w:val="3D7604D6"/>
    <w:rsid w:val="3D76708B"/>
    <w:rsid w:val="3D7B5AED"/>
    <w:rsid w:val="3D84709F"/>
    <w:rsid w:val="3D8A4F7F"/>
    <w:rsid w:val="3D8C1249"/>
    <w:rsid w:val="3D907E4E"/>
    <w:rsid w:val="3D915D03"/>
    <w:rsid w:val="3D9D5A63"/>
    <w:rsid w:val="3D9F67B1"/>
    <w:rsid w:val="3DA26D0E"/>
    <w:rsid w:val="3DAF617E"/>
    <w:rsid w:val="3DB1150E"/>
    <w:rsid w:val="3DB17760"/>
    <w:rsid w:val="3DBA03C3"/>
    <w:rsid w:val="3DC42CFC"/>
    <w:rsid w:val="3DC95CBF"/>
    <w:rsid w:val="3DD31485"/>
    <w:rsid w:val="3DD35929"/>
    <w:rsid w:val="3DDA450B"/>
    <w:rsid w:val="3DDD2303"/>
    <w:rsid w:val="3DEB38AB"/>
    <w:rsid w:val="3DEE62BF"/>
    <w:rsid w:val="3DF5764D"/>
    <w:rsid w:val="3DFF3DB0"/>
    <w:rsid w:val="3DFF45DA"/>
    <w:rsid w:val="3E0E6961"/>
    <w:rsid w:val="3E17163D"/>
    <w:rsid w:val="3E175815"/>
    <w:rsid w:val="3E1F6F2C"/>
    <w:rsid w:val="3E3C1720"/>
    <w:rsid w:val="3E486ECD"/>
    <w:rsid w:val="3E4A0DFA"/>
    <w:rsid w:val="3E4D1237"/>
    <w:rsid w:val="3E734A16"/>
    <w:rsid w:val="3E8B6216"/>
    <w:rsid w:val="3E99749A"/>
    <w:rsid w:val="3EB373AC"/>
    <w:rsid w:val="3EBD90BE"/>
    <w:rsid w:val="3EDD2677"/>
    <w:rsid w:val="3EE01818"/>
    <w:rsid w:val="3EFB446E"/>
    <w:rsid w:val="3EFE0372"/>
    <w:rsid w:val="3F0833B0"/>
    <w:rsid w:val="3F0A13F8"/>
    <w:rsid w:val="3F0D4E6A"/>
    <w:rsid w:val="3F1745F7"/>
    <w:rsid w:val="3F220A30"/>
    <w:rsid w:val="3F22253F"/>
    <w:rsid w:val="3F2335C3"/>
    <w:rsid w:val="3F236054"/>
    <w:rsid w:val="3F256073"/>
    <w:rsid w:val="3F2C4D37"/>
    <w:rsid w:val="3F3C245E"/>
    <w:rsid w:val="3F431B2C"/>
    <w:rsid w:val="3F4A17B3"/>
    <w:rsid w:val="3F4C14EF"/>
    <w:rsid w:val="3F53550C"/>
    <w:rsid w:val="3F537FF3"/>
    <w:rsid w:val="3F5605BF"/>
    <w:rsid w:val="3F5A02EC"/>
    <w:rsid w:val="3F6B2D2B"/>
    <w:rsid w:val="3F6B55BF"/>
    <w:rsid w:val="3F9152EB"/>
    <w:rsid w:val="3F9E5AC2"/>
    <w:rsid w:val="3FAE03FB"/>
    <w:rsid w:val="3FAE3F57"/>
    <w:rsid w:val="3FB0398F"/>
    <w:rsid w:val="3FC03C8B"/>
    <w:rsid w:val="3FCC680A"/>
    <w:rsid w:val="3FCE0156"/>
    <w:rsid w:val="3FD06468"/>
    <w:rsid w:val="3FD87226"/>
    <w:rsid w:val="3FE47979"/>
    <w:rsid w:val="3FE7A14E"/>
    <w:rsid w:val="3FF51B86"/>
    <w:rsid w:val="3FFE08B6"/>
    <w:rsid w:val="40010EF3"/>
    <w:rsid w:val="400422FF"/>
    <w:rsid w:val="40152228"/>
    <w:rsid w:val="40181D19"/>
    <w:rsid w:val="402814CD"/>
    <w:rsid w:val="402A1ADA"/>
    <w:rsid w:val="402E32EA"/>
    <w:rsid w:val="403158D7"/>
    <w:rsid w:val="40322DDA"/>
    <w:rsid w:val="403D352D"/>
    <w:rsid w:val="405220B8"/>
    <w:rsid w:val="405368AD"/>
    <w:rsid w:val="40543E48"/>
    <w:rsid w:val="40665850"/>
    <w:rsid w:val="407A676D"/>
    <w:rsid w:val="40866C82"/>
    <w:rsid w:val="408E29FF"/>
    <w:rsid w:val="40A37834"/>
    <w:rsid w:val="40B84D47"/>
    <w:rsid w:val="40CD665F"/>
    <w:rsid w:val="40D365D4"/>
    <w:rsid w:val="40D43E92"/>
    <w:rsid w:val="40D774DE"/>
    <w:rsid w:val="40E276F7"/>
    <w:rsid w:val="40EA6EBA"/>
    <w:rsid w:val="40ED54D8"/>
    <w:rsid w:val="40F42C5D"/>
    <w:rsid w:val="40F56C6C"/>
    <w:rsid w:val="40F938F8"/>
    <w:rsid w:val="40FEB618"/>
    <w:rsid w:val="410605CC"/>
    <w:rsid w:val="410B7BCB"/>
    <w:rsid w:val="412E6F3C"/>
    <w:rsid w:val="41436921"/>
    <w:rsid w:val="4151103E"/>
    <w:rsid w:val="41526080"/>
    <w:rsid w:val="41724AE9"/>
    <w:rsid w:val="41850CE8"/>
    <w:rsid w:val="41941570"/>
    <w:rsid w:val="41961202"/>
    <w:rsid w:val="419929E5"/>
    <w:rsid w:val="419B3618"/>
    <w:rsid w:val="419E41F7"/>
    <w:rsid w:val="41B15EE3"/>
    <w:rsid w:val="41B161BF"/>
    <w:rsid w:val="41B445E9"/>
    <w:rsid w:val="41BD2B78"/>
    <w:rsid w:val="41C50BB6"/>
    <w:rsid w:val="41C9151C"/>
    <w:rsid w:val="41D57EC1"/>
    <w:rsid w:val="41EE4ADF"/>
    <w:rsid w:val="41F248FA"/>
    <w:rsid w:val="41F64B29"/>
    <w:rsid w:val="42066721"/>
    <w:rsid w:val="42186000"/>
    <w:rsid w:val="42213106"/>
    <w:rsid w:val="42442951"/>
    <w:rsid w:val="42497184"/>
    <w:rsid w:val="424B5480"/>
    <w:rsid w:val="424F0A63"/>
    <w:rsid w:val="42553EE8"/>
    <w:rsid w:val="425C3523"/>
    <w:rsid w:val="42605908"/>
    <w:rsid w:val="4278084D"/>
    <w:rsid w:val="427B3D8A"/>
    <w:rsid w:val="42886D23"/>
    <w:rsid w:val="428C5620"/>
    <w:rsid w:val="428C60A6"/>
    <w:rsid w:val="429F24F8"/>
    <w:rsid w:val="42A31D6D"/>
    <w:rsid w:val="42B15B0D"/>
    <w:rsid w:val="42B41D52"/>
    <w:rsid w:val="42C159A0"/>
    <w:rsid w:val="42CB7A34"/>
    <w:rsid w:val="42E12FAA"/>
    <w:rsid w:val="42E24CD9"/>
    <w:rsid w:val="42E3216A"/>
    <w:rsid w:val="42EB439E"/>
    <w:rsid w:val="42EE5221"/>
    <w:rsid w:val="42EF4FB3"/>
    <w:rsid w:val="42F071AC"/>
    <w:rsid w:val="42F51E9D"/>
    <w:rsid w:val="42FC76D0"/>
    <w:rsid w:val="43025F84"/>
    <w:rsid w:val="43122A4F"/>
    <w:rsid w:val="432E448E"/>
    <w:rsid w:val="43325B98"/>
    <w:rsid w:val="43341C3E"/>
    <w:rsid w:val="43495B48"/>
    <w:rsid w:val="43560B8E"/>
    <w:rsid w:val="4356268C"/>
    <w:rsid w:val="435B43F6"/>
    <w:rsid w:val="435B61A4"/>
    <w:rsid w:val="4368266F"/>
    <w:rsid w:val="43721740"/>
    <w:rsid w:val="43776D56"/>
    <w:rsid w:val="437C4A28"/>
    <w:rsid w:val="438374A9"/>
    <w:rsid w:val="43983C23"/>
    <w:rsid w:val="439C7CD4"/>
    <w:rsid w:val="43A73199"/>
    <w:rsid w:val="43A7579D"/>
    <w:rsid w:val="43AE09CA"/>
    <w:rsid w:val="43C82B7A"/>
    <w:rsid w:val="43C875B2"/>
    <w:rsid w:val="43D21641"/>
    <w:rsid w:val="43D441A9"/>
    <w:rsid w:val="43E758B2"/>
    <w:rsid w:val="43EC32A0"/>
    <w:rsid w:val="43EF4B3E"/>
    <w:rsid w:val="44093E52"/>
    <w:rsid w:val="440B6D71"/>
    <w:rsid w:val="440C749E"/>
    <w:rsid w:val="441427F7"/>
    <w:rsid w:val="442030D5"/>
    <w:rsid w:val="443F3D46"/>
    <w:rsid w:val="444255B6"/>
    <w:rsid w:val="444529B0"/>
    <w:rsid w:val="444E7AB7"/>
    <w:rsid w:val="44587E0A"/>
    <w:rsid w:val="44593DBA"/>
    <w:rsid w:val="44613C8E"/>
    <w:rsid w:val="4475773A"/>
    <w:rsid w:val="447A63A2"/>
    <w:rsid w:val="447D493F"/>
    <w:rsid w:val="447D65EE"/>
    <w:rsid w:val="4484797D"/>
    <w:rsid w:val="448654A3"/>
    <w:rsid w:val="449F6565"/>
    <w:rsid w:val="44A00397"/>
    <w:rsid w:val="44A409D6"/>
    <w:rsid w:val="44AC55BD"/>
    <w:rsid w:val="44AF4066"/>
    <w:rsid w:val="44B042CE"/>
    <w:rsid w:val="44BD10DE"/>
    <w:rsid w:val="44D81A76"/>
    <w:rsid w:val="44DF6BBE"/>
    <w:rsid w:val="44E4632B"/>
    <w:rsid w:val="44F248E6"/>
    <w:rsid w:val="44F47E43"/>
    <w:rsid w:val="44FC4475"/>
    <w:rsid w:val="45082F5D"/>
    <w:rsid w:val="450A1C21"/>
    <w:rsid w:val="451E392D"/>
    <w:rsid w:val="451E3EC6"/>
    <w:rsid w:val="452F4A52"/>
    <w:rsid w:val="452F55B2"/>
    <w:rsid w:val="45327E35"/>
    <w:rsid w:val="453E73B1"/>
    <w:rsid w:val="4545710C"/>
    <w:rsid w:val="45472EBB"/>
    <w:rsid w:val="45486BFC"/>
    <w:rsid w:val="45533F1C"/>
    <w:rsid w:val="4557225D"/>
    <w:rsid w:val="45901070"/>
    <w:rsid w:val="45B06ED6"/>
    <w:rsid w:val="45B37EB1"/>
    <w:rsid w:val="45B47498"/>
    <w:rsid w:val="45CC032A"/>
    <w:rsid w:val="45D71D2E"/>
    <w:rsid w:val="45DA17D8"/>
    <w:rsid w:val="45E46ACA"/>
    <w:rsid w:val="45EF52CA"/>
    <w:rsid w:val="45F1231E"/>
    <w:rsid w:val="45F34DBA"/>
    <w:rsid w:val="45F840E8"/>
    <w:rsid w:val="45F8417E"/>
    <w:rsid w:val="45FB4B6F"/>
    <w:rsid w:val="46026E36"/>
    <w:rsid w:val="46064558"/>
    <w:rsid w:val="462813AD"/>
    <w:rsid w:val="462F3EF3"/>
    <w:rsid w:val="46301610"/>
    <w:rsid w:val="46313B8E"/>
    <w:rsid w:val="463B42CB"/>
    <w:rsid w:val="46440544"/>
    <w:rsid w:val="465F5301"/>
    <w:rsid w:val="46623CEE"/>
    <w:rsid w:val="466C1D8C"/>
    <w:rsid w:val="466D314E"/>
    <w:rsid w:val="466E61EE"/>
    <w:rsid w:val="467B0413"/>
    <w:rsid w:val="46804174"/>
    <w:rsid w:val="468A24B1"/>
    <w:rsid w:val="468A53B0"/>
    <w:rsid w:val="469B534E"/>
    <w:rsid w:val="469C1213"/>
    <w:rsid w:val="46A00372"/>
    <w:rsid w:val="46B14FD9"/>
    <w:rsid w:val="46B53E1D"/>
    <w:rsid w:val="46B837C8"/>
    <w:rsid w:val="46C0453A"/>
    <w:rsid w:val="46C82AEE"/>
    <w:rsid w:val="46CB4320"/>
    <w:rsid w:val="46CD72D6"/>
    <w:rsid w:val="46D36999"/>
    <w:rsid w:val="46E841F3"/>
    <w:rsid w:val="46EE732F"/>
    <w:rsid w:val="46F33B59"/>
    <w:rsid w:val="46F506BE"/>
    <w:rsid w:val="470C1CAD"/>
    <w:rsid w:val="470D1EAB"/>
    <w:rsid w:val="4713457F"/>
    <w:rsid w:val="47176886"/>
    <w:rsid w:val="471F673A"/>
    <w:rsid w:val="47363055"/>
    <w:rsid w:val="473E41E7"/>
    <w:rsid w:val="474D674C"/>
    <w:rsid w:val="47530F1F"/>
    <w:rsid w:val="475950F1"/>
    <w:rsid w:val="475F022D"/>
    <w:rsid w:val="47704076"/>
    <w:rsid w:val="47705DC8"/>
    <w:rsid w:val="47741147"/>
    <w:rsid w:val="477517FF"/>
    <w:rsid w:val="47774690"/>
    <w:rsid w:val="47793411"/>
    <w:rsid w:val="477C2B8D"/>
    <w:rsid w:val="478101A3"/>
    <w:rsid w:val="478B77DC"/>
    <w:rsid w:val="478D1745"/>
    <w:rsid w:val="478E5AE4"/>
    <w:rsid w:val="4791488A"/>
    <w:rsid w:val="47B10A89"/>
    <w:rsid w:val="47B40579"/>
    <w:rsid w:val="47B77EAE"/>
    <w:rsid w:val="47C018DD"/>
    <w:rsid w:val="47C03707"/>
    <w:rsid w:val="47D337DD"/>
    <w:rsid w:val="47F37F37"/>
    <w:rsid w:val="47F933CB"/>
    <w:rsid w:val="480C2163"/>
    <w:rsid w:val="480F1C53"/>
    <w:rsid w:val="48213971"/>
    <w:rsid w:val="482A25E9"/>
    <w:rsid w:val="482E1FB6"/>
    <w:rsid w:val="48317F40"/>
    <w:rsid w:val="48381F7D"/>
    <w:rsid w:val="4850390A"/>
    <w:rsid w:val="48561630"/>
    <w:rsid w:val="485F6737"/>
    <w:rsid w:val="486378A9"/>
    <w:rsid w:val="486A0C38"/>
    <w:rsid w:val="48717D4C"/>
    <w:rsid w:val="48730182"/>
    <w:rsid w:val="48751F9C"/>
    <w:rsid w:val="4877302A"/>
    <w:rsid w:val="487970CD"/>
    <w:rsid w:val="487C375E"/>
    <w:rsid w:val="48802209"/>
    <w:rsid w:val="488501FF"/>
    <w:rsid w:val="488838C5"/>
    <w:rsid w:val="48901EE0"/>
    <w:rsid w:val="48910462"/>
    <w:rsid w:val="489B4111"/>
    <w:rsid w:val="48A31586"/>
    <w:rsid w:val="48BF0F83"/>
    <w:rsid w:val="48C84ACB"/>
    <w:rsid w:val="48C978A6"/>
    <w:rsid w:val="48CB3DCC"/>
    <w:rsid w:val="48E04E5A"/>
    <w:rsid w:val="48EE3617"/>
    <w:rsid w:val="48FE1841"/>
    <w:rsid w:val="49080B7C"/>
    <w:rsid w:val="490966FA"/>
    <w:rsid w:val="4914081D"/>
    <w:rsid w:val="491465B8"/>
    <w:rsid w:val="49162368"/>
    <w:rsid w:val="491C4A93"/>
    <w:rsid w:val="49267254"/>
    <w:rsid w:val="493763E3"/>
    <w:rsid w:val="494D29E7"/>
    <w:rsid w:val="49583186"/>
    <w:rsid w:val="495A6EFE"/>
    <w:rsid w:val="496164DE"/>
    <w:rsid w:val="49655FA9"/>
    <w:rsid w:val="496658A3"/>
    <w:rsid w:val="4967696F"/>
    <w:rsid w:val="496C4368"/>
    <w:rsid w:val="497004D0"/>
    <w:rsid w:val="49777A09"/>
    <w:rsid w:val="4989333F"/>
    <w:rsid w:val="498D53AA"/>
    <w:rsid w:val="499535CF"/>
    <w:rsid w:val="49956188"/>
    <w:rsid w:val="499B0290"/>
    <w:rsid w:val="499D3F04"/>
    <w:rsid w:val="499E328F"/>
    <w:rsid w:val="49A11A8A"/>
    <w:rsid w:val="49A90D0C"/>
    <w:rsid w:val="49B02FC2"/>
    <w:rsid w:val="49B15FF9"/>
    <w:rsid w:val="49B56541"/>
    <w:rsid w:val="49B605D8"/>
    <w:rsid w:val="49B91E77"/>
    <w:rsid w:val="49BD7800"/>
    <w:rsid w:val="49BE123B"/>
    <w:rsid w:val="49BE62E1"/>
    <w:rsid w:val="49C36851"/>
    <w:rsid w:val="49D84D2B"/>
    <w:rsid w:val="49DC7913"/>
    <w:rsid w:val="49DD3BE1"/>
    <w:rsid w:val="49E35145"/>
    <w:rsid w:val="49E55BB5"/>
    <w:rsid w:val="49EB1ADA"/>
    <w:rsid w:val="49F66C27"/>
    <w:rsid w:val="49F85F83"/>
    <w:rsid w:val="49F97C1B"/>
    <w:rsid w:val="4A037596"/>
    <w:rsid w:val="4A064DC7"/>
    <w:rsid w:val="4A0D28D0"/>
    <w:rsid w:val="4A16722D"/>
    <w:rsid w:val="4A1D310F"/>
    <w:rsid w:val="4A2512BA"/>
    <w:rsid w:val="4A3A6A54"/>
    <w:rsid w:val="4A3B0312"/>
    <w:rsid w:val="4A443E36"/>
    <w:rsid w:val="4A4462D6"/>
    <w:rsid w:val="4A563B69"/>
    <w:rsid w:val="4A695377"/>
    <w:rsid w:val="4A7135B2"/>
    <w:rsid w:val="4A8149A7"/>
    <w:rsid w:val="4A840031"/>
    <w:rsid w:val="4A983EFF"/>
    <w:rsid w:val="4A9B157C"/>
    <w:rsid w:val="4AA66EAC"/>
    <w:rsid w:val="4AAE7501"/>
    <w:rsid w:val="4AAF5028"/>
    <w:rsid w:val="4ABE5B79"/>
    <w:rsid w:val="4AC8062E"/>
    <w:rsid w:val="4ADA2E75"/>
    <w:rsid w:val="4ADD5690"/>
    <w:rsid w:val="4AE03433"/>
    <w:rsid w:val="4AE304BB"/>
    <w:rsid w:val="4AEC002A"/>
    <w:rsid w:val="4AF31E4E"/>
    <w:rsid w:val="4AFC64BF"/>
    <w:rsid w:val="4B0931D0"/>
    <w:rsid w:val="4B0B04B0"/>
    <w:rsid w:val="4B0E45B6"/>
    <w:rsid w:val="4B17661E"/>
    <w:rsid w:val="4B1F0C61"/>
    <w:rsid w:val="4B236133"/>
    <w:rsid w:val="4B2E1B61"/>
    <w:rsid w:val="4B41504C"/>
    <w:rsid w:val="4B43474D"/>
    <w:rsid w:val="4B48404E"/>
    <w:rsid w:val="4B542FA1"/>
    <w:rsid w:val="4B5C36E4"/>
    <w:rsid w:val="4B6C24F0"/>
    <w:rsid w:val="4B7818BD"/>
    <w:rsid w:val="4B792D75"/>
    <w:rsid w:val="4B85447B"/>
    <w:rsid w:val="4B865D88"/>
    <w:rsid w:val="4B895879"/>
    <w:rsid w:val="4B904E59"/>
    <w:rsid w:val="4B920BD1"/>
    <w:rsid w:val="4B9A1834"/>
    <w:rsid w:val="4B9E1324"/>
    <w:rsid w:val="4BA90A6B"/>
    <w:rsid w:val="4BB5041C"/>
    <w:rsid w:val="4BC42640"/>
    <w:rsid w:val="4BC535EC"/>
    <w:rsid w:val="4BD21CDC"/>
    <w:rsid w:val="4BD655FC"/>
    <w:rsid w:val="4BDF6FA5"/>
    <w:rsid w:val="4BE60F1D"/>
    <w:rsid w:val="4BEFD26A"/>
    <w:rsid w:val="4BF70D1F"/>
    <w:rsid w:val="4BFC7FED"/>
    <w:rsid w:val="4C03387D"/>
    <w:rsid w:val="4C1D42B0"/>
    <w:rsid w:val="4C201DD4"/>
    <w:rsid w:val="4C29189F"/>
    <w:rsid w:val="4C3457E4"/>
    <w:rsid w:val="4C482434"/>
    <w:rsid w:val="4C5B0FC3"/>
    <w:rsid w:val="4C602A7D"/>
    <w:rsid w:val="4C6A38FC"/>
    <w:rsid w:val="4C8107A0"/>
    <w:rsid w:val="4C8835FA"/>
    <w:rsid w:val="4C8E71BF"/>
    <w:rsid w:val="4C9747A4"/>
    <w:rsid w:val="4CA50870"/>
    <w:rsid w:val="4CAA55D4"/>
    <w:rsid w:val="4CAB6711"/>
    <w:rsid w:val="4CAE46E6"/>
    <w:rsid w:val="4CB3320A"/>
    <w:rsid w:val="4CB86687"/>
    <w:rsid w:val="4CC7034A"/>
    <w:rsid w:val="4CCB35C9"/>
    <w:rsid w:val="4CCC1EC1"/>
    <w:rsid w:val="4CCE5C39"/>
    <w:rsid w:val="4CD64AED"/>
    <w:rsid w:val="4CDF1BF4"/>
    <w:rsid w:val="4CE0539C"/>
    <w:rsid w:val="4CE5757E"/>
    <w:rsid w:val="4CF50257"/>
    <w:rsid w:val="4CFB09F8"/>
    <w:rsid w:val="4CFF4044"/>
    <w:rsid w:val="4D046B6A"/>
    <w:rsid w:val="4D0478AD"/>
    <w:rsid w:val="4D0C69C4"/>
    <w:rsid w:val="4D0E72D5"/>
    <w:rsid w:val="4D1D34E8"/>
    <w:rsid w:val="4D1E654F"/>
    <w:rsid w:val="4D3A32CE"/>
    <w:rsid w:val="4D3B0DF4"/>
    <w:rsid w:val="4D3C7DE3"/>
    <w:rsid w:val="4D4D1254"/>
    <w:rsid w:val="4D4D69CE"/>
    <w:rsid w:val="4D543E3B"/>
    <w:rsid w:val="4D693BB4"/>
    <w:rsid w:val="4D705BC5"/>
    <w:rsid w:val="4D812D57"/>
    <w:rsid w:val="4D815970"/>
    <w:rsid w:val="4D8373D4"/>
    <w:rsid w:val="4D924485"/>
    <w:rsid w:val="4D956757"/>
    <w:rsid w:val="4D976E51"/>
    <w:rsid w:val="4DA1415C"/>
    <w:rsid w:val="4DAF3415"/>
    <w:rsid w:val="4DB74893"/>
    <w:rsid w:val="4DBE4E9F"/>
    <w:rsid w:val="4DBF16C4"/>
    <w:rsid w:val="4DC4703C"/>
    <w:rsid w:val="4DD52C2C"/>
    <w:rsid w:val="4DD52FF7"/>
    <w:rsid w:val="4DE4323A"/>
    <w:rsid w:val="4DE616DE"/>
    <w:rsid w:val="4DED405F"/>
    <w:rsid w:val="4DFD2DE6"/>
    <w:rsid w:val="4E121B55"/>
    <w:rsid w:val="4E122358"/>
    <w:rsid w:val="4E2A3343"/>
    <w:rsid w:val="4E2B61AD"/>
    <w:rsid w:val="4E306E72"/>
    <w:rsid w:val="4E395334"/>
    <w:rsid w:val="4E3C5B2A"/>
    <w:rsid w:val="4E451F2B"/>
    <w:rsid w:val="4E492DD0"/>
    <w:rsid w:val="4E4C267F"/>
    <w:rsid w:val="4E4C3506"/>
    <w:rsid w:val="4E4E41F3"/>
    <w:rsid w:val="4E5F2AF8"/>
    <w:rsid w:val="4E74636C"/>
    <w:rsid w:val="4E7C2D1C"/>
    <w:rsid w:val="4E86609F"/>
    <w:rsid w:val="4E952232"/>
    <w:rsid w:val="4E9700F7"/>
    <w:rsid w:val="4E984929"/>
    <w:rsid w:val="4E992277"/>
    <w:rsid w:val="4E9B0E76"/>
    <w:rsid w:val="4EA060BF"/>
    <w:rsid w:val="4EA524E3"/>
    <w:rsid w:val="4EA62ADA"/>
    <w:rsid w:val="4EB4172E"/>
    <w:rsid w:val="4EB5120D"/>
    <w:rsid w:val="4EBD5F65"/>
    <w:rsid w:val="4EBE538C"/>
    <w:rsid w:val="4EE334F2"/>
    <w:rsid w:val="4EE37F68"/>
    <w:rsid w:val="4EEF00E8"/>
    <w:rsid w:val="4EF55E94"/>
    <w:rsid w:val="4EF70D4B"/>
    <w:rsid w:val="4F0746D1"/>
    <w:rsid w:val="4F15544F"/>
    <w:rsid w:val="4F2C6C47"/>
    <w:rsid w:val="4F415041"/>
    <w:rsid w:val="4F477707"/>
    <w:rsid w:val="4F5012C8"/>
    <w:rsid w:val="4F59138E"/>
    <w:rsid w:val="4F5B752C"/>
    <w:rsid w:val="4F6247EF"/>
    <w:rsid w:val="4F670CF6"/>
    <w:rsid w:val="4F6F4D85"/>
    <w:rsid w:val="4F721C64"/>
    <w:rsid w:val="4F734876"/>
    <w:rsid w:val="4F841516"/>
    <w:rsid w:val="4F842187"/>
    <w:rsid w:val="4F9071D6"/>
    <w:rsid w:val="4F9204FB"/>
    <w:rsid w:val="4F940B35"/>
    <w:rsid w:val="4F974A08"/>
    <w:rsid w:val="4F980780"/>
    <w:rsid w:val="4FC116B9"/>
    <w:rsid w:val="4FC155E1"/>
    <w:rsid w:val="4FC178DF"/>
    <w:rsid w:val="4FCB2904"/>
    <w:rsid w:val="4FCF6062"/>
    <w:rsid w:val="4FDB196C"/>
    <w:rsid w:val="4FDC795D"/>
    <w:rsid w:val="4FDE2637"/>
    <w:rsid w:val="4FDF62B0"/>
    <w:rsid w:val="4FE47C0F"/>
    <w:rsid w:val="4FE946BE"/>
    <w:rsid w:val="4FEB08B0"/>
    <w:rsid w:val="4FF534DD"/>
    <w:rsid w:val="4FF57980"/>
    <w:rsid w:val="50062548"/>
    <w:rsid w:val="50067498"/>
    <w:rsid w:val="500F5911"/>
    <w:rsid w:val="5023004A"/>
    <w:rsid w:val="50250266"/>
    <w:rsid w:val="5028222A"/>
    <w:rsid w:val="502D2C76"/>
    <w:rsid w:val="5031210B"/>
    <w:rsid w:val="503264DF"/>
    <w:rsid w:val="50377F99"/>
    <w:rsid w:val="5038161B"/>
    <w:rsid w:val="50411A70"/>
    <w:rsid w:val="50483F54"/>
    <w:rsid w:val="50484AC6"/>
    <w:rsid w:val="504A5FC6"/>
    <w:rsid w:val="504F0EE6"/>
    <w:rsid w:val="50540473"/>
    <w:rsid w:val="507C53C5"/>
    <w:rsid w:val="5080549C"/>
    <w:rsid w:val="50A72C5D"/>
    <w:rsid w:val="50AC2B50"/>
    <w:rsid w:val="50B91BE4"/>
    <w:rsid w:val="50BB35D0"/>
    <w:rsid w:val="50BF6559"/>
    <w:rsid w:val="50C63AFC"/>
    <w:rsid w:val="50C97700"/>
    <w:rsid w:val="50D77086"/>
    <w:rsid w:val="50DB42B0"/>
    <w:rsid w:val="50DD5829"/>
    <w:rsid w:val="50E33C7D"/>
    <w:rsid w:val="50E50C09"/>
    <w:rsid w:val="50E86A91"/>
    <w:rsid w:val="50EA19E5"/>
    <w:rsid w:val="50FB4B23"/>
    <w:rsid w:val="51080A7C"/>
    <w:rsid w:val="510E0CFA"/>
    <w:rsid w:val="511B3417"/>
    <w:rsid w:val="51271DBC"/>
    <w:rsid w:val="51361141"/>
    <w:rsid w:val="514209A3"/>
    <w:rsid w:val="51527191"/>
    <w:rsid w:val="515A3F3F"/>
    <w:rsid w:val="51604411"/>
    <w:rsid w:val="517926D9"/>
    <w:rsid w:val="517F76F4"/>
    <w:rsid w:val="518043AE"/>
    <w:rsid w:val="51826FF2"/>
    <w:rsid w:val="518E30D2"/>
    <w:rsid w:val="5193319F"/>
    <w:rsid w:val="519659C7"/>
    <w:rsid w:val="51A94ACE"/>
    <w:rsid w:val="51AA404F"/>
    <w:rsid w:val="51AC0513"/>
    <w:rsid w:val="51AC6715"/>
    <w:rsid w:val="51BF2E61"/>
    <w:rsid w:val="51C1147A"/>
    <w:rsid w:val="51DD06CC"/>
    <w:rsid w:val="51DF52D1"/>
    <w:rsid w:val="51E62A34"/>
    <w:rsid w:val="51EC6A99"/>
    <w:rsid w:val="51EDC784"/>
    <w:rsid w:val="51EE7364"/>
    <w:rsid w:val="51F2586F"/>
    <w:rsid w:val="51F45335"/>
    <w:rsid w:val="51F45ABB"/>
    <w:rsid w:val="51FA071A"/>
    <w:rsid w:val="51FC6541"/>
    <w:rsid w:val="5209326F"/>
    <w:rsid w:val="520B4811"/>
    <w:rsid w:val="522620D6"/>
    <w:rsid w:val="522E717A"/>
    <w:rsid w:val="523B0C24"/>
    <w:rsid w:val="523B7217"/>
    <w:rsid w:val="523E05D2"/>
    <w:rsid w:val="523E652B"/>
    <w:rsid w:val="525C7843"/>
    <w:rsid w:val="5268268C"/>
    <w:rsid w:val="526C3FEC"/>
    <w:rsid w:val="527C422B"/>
    <w:rsid w:val="52870E07"/>
    <w:rsid w:val="528A121C"/>
    <w:rsid w:val="528C4D2C"/>
    <w:rsid w:val="529207E1"/>
    <w:rsid w:val="529E7E5B"/>
    <w:rsid w:val="52A940B1"/>
    <w:rsid w:val="52B61649"/>
    <w:rsid w:val="52BE22AC"/>
    <w:rsid w:val="52C13B4A"/>
    <w:rsid w:val="52C75604"/>
    <w:rsid w:val="52C8312A"/>
    <w:rsid w:val="52E33AC0"/>
    <w:rsid w:val="52E964FA"/>
    <w:rsid w:val="52EF40B0"/>
    <w:rsid w:val="52F70215"/>
    <w:rsid w:val="52F87468"/>
    <w:rsid w:val="53036406"/>
    <w:rsid w:val="53057EDB"/>
    <w:rsid w:val="532632D1"/>
    <w:rsid w:val="532A4990"/>
    <w:rsid w:val="534259E0"/>
    <w:rsid w:val="534E7AD3"/>
    <w:rsid w:val="53511183"/>
    <w:rsid w:val="535E583D"/>
    <w:rsid w:val="536966BB"/>
    <w:rsid w:val="53784B50"/>
    <w:rsid w:val="537E1A3B"/>
    <w:rsid w:val="538057B3"/>
    <w:rsid w:val="538243F4"/>
    <w:rsid w:val="53925D5F"/>
    <w:rsid w:val="53AE40CE"/>
    <w:rsid w:val="53BF6819"/>
    <w:rsid w:val="53C15826"/>
    <w:rsid w:val="53CA764B"/>
    <w:rsid w:val="53E059A1"/>
    <w:rsid w:val="53E0654E"/>
    <w:rsid w:val="53EC4BF7"/>
    <w:rsid w:val="53EE4E13"/>
    <w:rsid w:val="53FD24DA"/>
    <w:rsid w:val="540921AE"/>
    <w:rsid w:val="54166B2E"/>
    <w:rsid w:val="54260108"/>
    <w:rsid w:val="54307C7C"/>
    <w:rsid w:val="54345F35"/>
    <w:rsid w:val="54386DE8"/>
    <w:rsid w:val="5444349B"/>
    <w:rsid w:val="5446239B"/>
    <w:rsid w:val="5452306B"/>
    <w:rsid w:val="54640C31"/>
    <w:rsid w:val="546E385E"/>
    <w:rsid w:val="54710A3B"/>
    <w:rsid w:val="54770964"/>
    <w:rsid w:val="54815C87"/>
    <w:rsid w:val="54A340AA"/>
    <w:rsid w:val="54A62896"/>
    <w:rsid w:val="54A6749B"/>
    <w:rsid w:val="54A84FC1"/>
    <w:rsid w:val="54B25E40"/>
    <w:rsid w:val="54B73573"/>
    <w:rsid w:val="54B90F7D"/>
    <w:rsid w:val="54CA714C"/>
    <w:rsid w:val="54CF254E"/>
    <w:rsid w:val="54D01A26"/>
    <w:rsid w:val="54E30D91"/>
    <w:rsid w:val="54F81F48"/>
    <w:rsid w:val="54F93A6F"/>
    <w:rsid w:val="54FC530D"/>
    <w:rsid w:val="54FE1085"/>
    <w:rsid w:val="54FF1A4E"/>
    <w:rsid w:val="550345FC"/>
    <w:rsid w:val="55164621"/>
    <w:rsid w:val="551B1C37"/>
    <w:rsid w:val="55232D59"/>
    <w:rsid w:val="55322ADD"/>
    <w:rsid w:val="553E1482"/>
    <w:rsid w:val="5552317F"/>
    <w:rsid w:val="55603AEE"/>
    <w:rsid w:val="55637009"/>
    <w:rsid w:val="55651503"/>
    <w:rsid w:val="55696F3C"/>
    <w:rsid w:val="558671A5"/>
    <w:rsid w:val="558B35C4"/>
    <w:rsid w:val="558E1391"/>
    <w:rsid w:val="558F7F2F"/>
    <w:rsid w:val="55967510"/>
    <w:rsid w:val="559E0172"/>
    <w:rsid w:val="55A541E7"/>
    <w:rsid w:val="55AE4859"/>
    <w:rsid w:val="55C53951"/>
    <w:rsid w:val="55C67DF5"/>
    <w:rsid w:val="55CA0F67"/>
    <w:rsid w:val="55D1679A"/>
    <w:rsid w:val="55D45D44"/>
    <w:rsid w:val="55D63DB0"/>
    <w:rsid w:val="55EB71C9"/>
    <w:rsid w:val="55F514F6"/>
    <w:rsid w:val="55F602D7"/>
    <w:rsid w:val="55F634AF"/>
    <w:rsid w:val="56093087"/>
    <w:rsid w:val="56165F22"/>
    <w:rsid w:val="561C1DF7"/>
    <w:rsid w:val="56220DA3"/>
    <w:rsid w:val="562C13CB"/>
    <w:rsid w:val="563B0432"/>
    <w:rsid w:val="563D5D26"/>
    <w:rsid w:val="563E7ACB"/>
    <w:rsid w:val="56410EA1"/>
    <w:rsid w:val="564205FD"/>
    <w:rsid w:val="56462AAF"/>
    <w:rsid w:val="564C5E20"/>
    <w:rsid w:val="56523548"/>
    <w:rsid w:val="565D4D50"/>
    <w:rsid w:val="5665191E"/>
    <w:rsid w:val="56675A92"/>
    <w:rsid w:val="56701B0F"/>
    <w:rsid w:val="56725887"/>
    <w:rsid w:val="56797409"/>
    <w:rsid w:val="56817CD8"/>
    <w:rsid w:val="56892221"/>
    <w:rsid w:val="568B4CF7"/>
    <w:rsid w:val="568B6949"/>
    <w:rsid w:val="56953DA9"/>
    <w:rsid w:val="569A24CA"/>
    <w:rsid w:val="569C6DA8"/>
    <w:rsid w:val="56A31EE4"/>
    <w:rsid w:val="56C46405"/>
    <w:rsid w:val="56D04A16"/>
    <w:rsid w:val="56D55E16"/>
    <w:rsid w:val="56D77DE0"/>
    <w:rsid w:val="56EA18C1"/>
    <w:rsid w:val="56ED0C98"/>
    <w:rsid w:val="56F339AA"/>
    <w:rsid w:val="56F444EE"/>
    <w:rsid w:val="570046B2"/>
    <w:rsid w:val="57061ACA"/>
    <w:rsid w:val="570A256C"/>
    <w:rsid w:val="571526B6"/>
    <w:rsid w:val="572F438D"/>
    <w:rsid w:val="574908F7"/>
    <w:rsid w:val="57520451"/>
    <w:rsid w:val="57637D90"/>
    <w:rsid w:val="57647C1E"/>
    <w:rsid w:val="576770D1"/>
    <w:rsid w:val="57684EDC"/>
    <w:rsid w:val="577531CA"/>
    <w:rsid w:val="5779195F"/>
    <w:rsid w:val="577C7278"/>
    <w:rsid w:val="577E46FF"/>
    <w:rsid w:val="577F1756"/>
    <w:rsid w:val="5781424D"/>
    <w:rsid w:val="57875362"/>
    <w:rsid w:val="57906944"/>
    <w:rsid w:val="57923D07"/>
    <w:rsid w:val="5796146F"/>
    <w:rsid w:val="5797131D"/>
    <w:rsid w:val="57AD5AD7"/>
    <w:rsid w:val="57B56F19"/>
    <w:rsid w:val="57BB14B0"/>
    <w:rsid w:val="57C1138B"/>
    <w:rsid w:val="57CF0AB7"/>
    <w:rsid w:val="57DB6156"/>
    <w:rsid w:val="57DC6353"/>
    <w:rsid w:val="57DE55B1"/>
    <w:rsid w:val="57E509D2"/>
    <w:rsid w:val="57E52E8C"/>
    <w:rsid w:val="57FD64F7"/>
    <w:rsid w:val="57FF8603"/>
    <w:rsid w:val="58011430"/>
    <w:rsid w:val="58015C02"/>
    <w:rsid w:val="58277C4C"/>
    <w:rsid w:val="58342289"/>
    <w:rsid w:val="58372D88"/>
    <w:rsid w:val="583A6878"/>
    <w:rsid w:val="58583E1D"/>
    <w:rsid w:val="585A2E80"/>
    <w:rsid w:val="586438F5"/>
    <w:rsid w:val="586C6306"/>
    <w:rsid w:val="58853D00"/>
    <w:rsid w:val="5886561A"/>
    <w:rsid w:val="58871392"/>
    <w:rsid w:val="588836A3"/>
    <w:rsid w:val="5889510A"/>
    <w:rsid w:val="58A1367E"/>
    <w:rsid w:val="58A13E38"/>
    <w:rsid w:val="58AB5080"/>
    <w:rsid w:val="58AC2669"/>
    <w:rsid w:val="58B141AE"/>
    <w:rsid w:val="58C445DA"/>
    <w:rsid w:val="58C919AA"/>
    <w:rsid w:val="58CF5213"/>
    <w:rsid w:val="58DE7B7E"/>
    <w:rsid w:val="58E34C0D"/>
    <w:rsid w:val="58E42EF4"/>
    <w:rsid w:val="58E95A3B"/>
    <w:rsid w:val="58ED38EB"/>
    <w:rsid w:val="5904190E"/>
    <w:rsid w:val="590F3861"/>
    <w:rsid w:val="591B63C3"/>
    <w:rsid w:val="592E180D"/>
    <w:rsid w:val="592F5CB1"/>
    <w:rsid w:val="59403CBE"/>
    <w:rsid w:val="59486D73"/>
    <w:rsid w:val="595B7D89"/>
    <w:rsid w:val="59611737"/>
    <w:rsid w:val="59667064"/>
    <w:rsid w:val="596C2616"/>
    <w:rsid w:val="59702CC4"/>
    <w:rsid w:val="59735ABF"/>
    <w:rsid w:val="59755721"/>
    <w:rsid w:val="59764EA2"/>
    <w:rsid w:val="597C786F"/>
    <w:rsid w:val="5980290A"/>
    <w:rsid w:val="59822285"/>
    <w:rsid w:val="59835FFD"/>
    <w:rsid w:val="598B115D"/>
    <w:rsid w:val="59910F7B"/>
    <w:rsid w:val="599124C8"/>
    <w:rsid w:val="599173E6"/>
    <w:rsid w:val="59927FEE"/>
    <w:rsid w:val="59A87812"/>
    <w:rsid w:val="59B43CAC"/>
    <w:rsid w:val="59BA5E57"/>
    <w:rsid w:val="59BB700B"/>
    <w:rsid w:val="59BE0E84"/>
    <w:rsid w:val="59D555CE"/>
    <w:rsid w:val="59DE4FE1"/>
    <w:rsid w:val="59E2410E"/>
    <w:rsid w:val="59E545C2"/>
    <w:rsid w:val="59F61D50"/>
    <w:rsid w:val="5A0218C9"/>
    <w:rsid w:val="5A065F73"/>
    <w:rsid w:val="5A190766"/>
    <w:rsid w:val="5A224BAB"/>
    <w:rsid w:val="5A25145E"/>
    <w:rsid w:val="5A291D65"/>
    <w:rsid w:val="5A3C33AE"/>
    <w:rsid w:val="5A3D7F5A"/>
    <w:rsid w:val="5A48645D"/>
    <w:rsid w:val="5A4B6B1B"/>
    <w:rsid w:val="5A5359CF"/>
    <w:rsid w:val="5A56726E"/>
    <w:rsid w:val="5A567950"/>
    <w:rsid w:val="5A5A0B0C"/>
    <w:rsid w:val="5A5A1045"/>
    <w:rsid w:val="5A64198B"/>
    <w:rsid w:val="5A6A2A66"/>
    <w:rsid w:val="5A775CEE"/>
    <w:rsid w:val="5A7B06D5"/>
    <w:rsid w:val="5A7F4A16"/>
    <w:rsid w:val="5A813D7F"/>
    <w:rsid w:val="5A8B5667"/>
    <w:rsid w:val="5A9473B6"/>
    <w:rsid w:val="5A975B99"/>
    <w:rsid w:val="5AA93841"/>
    <w:rsid w:val="5AB02E22"/>
    <w:rsid w:val="5AB04BD0"/>
    <w:rsid w:val="5AC24903"/>
    <w:rsid w:val="5ACB7C5C"/>
    <w:rsid w:val="5ACC0A94"/>
    <w:rsid w:val="5AE8433A"/>
    <w:rsid w:val="5AEB600E"/>
    <w:rsid w:val="5AF76B1D"/>
    <w:rsid w:val="5AFB66E6"/>
    <w:rsid w:val="5AFC1DAF"/>
    <w:rsid w:val="5B21162A"/>
    <w:rsid w:val="5B25539F"/>
    <w:rsid w:val="5B2C34B9"/>
    <w:rsid w:val="5B3520B1"/>
    <w:rsid w:val="5B435A44"/>
    <w:rsid w:val="5B4B7501"/>
    <w:rsid w:val="5B4F43E9"/>
    <w:rsid w:val="5B5150EA"/>
    <w:rsid w:val="5B602582"/>
    <w:rsid w:val="5B6634E0"/>
    <w:rsid w:val="5B706D8D"/>
    <w:rsid w:val="5B811D24"/>
    <w:rsid w:val="5B913692"/>
    <w:rsid w:val="5BA40927"/>
    <w:rsid w:val="5BA71B25"/>
    <w:rsid w:val="5BAA161F"/>
    <w:rsid w:val="5BB65800"/>
    <w:rsid w:val="5BB93F58"/>
    <w:rsid w:val="5BDC72D5"/>
    <w:rsid w:val="5BE10DB9"/>
    <w:rsid w:val="5BED59B0"/>
    <w:rsid w:val="5BEF797A"/>
    <w:rsid w:val="5BF353EE"/>
    <w:rsid w:val="5C0E2A6F"/>
    <w:rsid w:val="5C0F5926"/>
    <w:rsid w:val="5C1178F0"/>
    <w:rsid w:val="5C13384C"/>
    <w:rsid w:val="5C241BE6"/>
    <w:rsid w:val="5C2B0170"/>
    <w:rsid w:val="5C433822"/>
    <w:rsid w:val="5C4B0AE1"/>
    <w:rsid w:val="5C5058D6"/>
    <w:rsid w:val="5C5924D5"/>
    <w:rsid w:val="5C5B4667"/>
    <w:rsid w:val="5C5D2B35"/>
    <w:rsid w:val="5C601C9F"/>
    <w:rsid w:val="5C607B91"/>
    <w:rsid w:val="5C863035"/>
    <w:rsid w:val="5CAA3BAB"/>
    <w:rsid w:val="5CB2226F"/>
    <w:rsid w:val="5CC059C2"/>
    <w:rsid w:val="5CCB5CF1"/>
    <w:rsid w:val="5CCE45F7"/>
    <w:rsid w:val="5CD32DF8"/>
    <w:rsid w:val="5CD5607E"/>
    <w:rsid w:val="5CDE27C2"/>
    <w:rsid w:val="5CE11347"/>
    <w:rsid w:val="5CE74832"/>
    <w:rsid w:val="5CFBF3AE"/>
    <w:rsid w:val="5D055FED"/>
    <w:rsid w:val="5D086C55"/>
    <w:rsid w:val="5D170F36"/>
    <w:rsid w:val="5D215911"/>
    <w:rsid w:val="5D3C099D"/>
    <w:rsid w:val="5D3F66DF"/>
    <w:rsid w:val="5D4B0BE0"/>
    <w:rsid w:val="5D4F0C38"/>
    <w:rsid w:val="5D504D94"/>
    <w:rsid w:val="5D5061F6"/>
    <w:rsid w:val="5D5A7075"/>
    <w:rsid w:val="5D66289E"/>
    <w:rsid w:val="5D6B50AB"/>
    <w:rsid w:val="5D7C2A07"/>
    <w:rsid w:val="5D804D2D"/>
    <w:rsid w:val="5D851485"/>
    <w:rsid w:val="5D885990"/>
    <w:rsid w:val="5D902723"/>
    <w:rsid w:val="5D947F46"/>
    <w:rsid w:val="5D9500AD"/>
    <w:rsid w:val="5D9702E4"/>
    <w:rsid w:val="5D975303"/>
    <w:rsid w:val="5DAB2583"/>
    <w:rsid w:val="5DAB78D0"/>
    <w:rsid w:val="5DAD53F7"/>
    <w:rsid w:val="5DC0337C"/>
    <w:rsid w:val="5DC3599E"/>
    <w:rsid w:val="5DC4648D"/>
    <w:rsid w:val="5DC6470A"/>
    <w:rsid w:val="5DD956B5"/>
    <w:rsid w:val="5DD961EC"/>
    <w:rsid w:val="5DDD5383"/>
    <w:rsid w:val="5DE54B90"/>
    <w:rsid w:val="5DED3270"/>
    <w:rsid w:val="5DF474C9"/>
    <w:rsid w:val="5DF5CDE9"/>
    <w:rsid w:val="5DF64860"/>
    <w:rsid w:val="5DF93820"/>
    <w:rsid w:val="5DFC445A"/>
    <w:rsid w:val="5DFE20F6"/>
    <w:rsid w:val="5E037840"/>
    <w:rsid w:val="5E111E29"/>
    <w:rsid w:val="5E115985"/>
    <w:rsid w:val="5E194310"/>
    <w:rsid w:val="5E1C432A"/>
    <w:rsid w:val="5E200792"/>
    <w:rsid w:val="5E230AA7"/>
    <w:rsid w:val="5E2A7E49"/>
    <w:rsid w:val="5E3B0C54"/>
    <w:rsid w:val="5E404724"/>
    <w:rsid w:val="5E426F07"/>
    <w:rsid w:val="5E5D6E1D"/>
    <w:rsid w:val="5E5E4943"/>
    <w:rsid w:val="5E745D6E"/>
    <w:rsid w:val="5E7F4C65"/>
    <w:rsid w:val="5E8771BA"/>
    <w:rsid w:val="5E895E64"/>
    <w:rsid w:val="5E8C0F8B"/>
    <w:rsid w:val="5E8C5954"/>
    <w:rsid w:val="5E923B09"/>
    <w:rsid w:val="5EA031AD"/>
    <w:rsid w:val="5EA90415"/>
    <w:rsid w:val="5EAD4431"/>
    <w:rsid w:val="5EB153BA"/>
    <w:rsid w:val="5EC72ACE"/>
    <w:rsid w:val="5ED35784"/>
    <w:rsid w:val="5EDC0AC0"/>
    <w:rsid w:val="5EE237C6"/>
    <w:rsid w:val="5EE4753E"/>
    <w:rsid w:val="5EE57A83"/>
    <w:rsid w:val="5EE65D18"/>
    <w:rsid w:val="5EF27584"/>
    <w:rsid w:val="5EF79A39"/>
    <w:rsid w:val="5EFA22A1"/>
    <w:rsid w:val="5F090D52"/>
    <w:rsid w:val="5F10363A"/>
    <w:rsid w:val="5F1548F7"/>
    <w:rsid w:val="5F1E0BE4"/>
    <w:rsid w:val="5F200B07"/>
    <w:rsid w:val="5F311C88"/>
    <w:rsid w:val="5F322057"/>
    <w:rsid w:val="5F3FABB5"/>
    <w:rsid w:val="5F4A2DEE"/>
    <w:rsid w:val="5F4B08DC"/>
    <w:rsid w:val="5F4C2F89"/>
    <w:rsid w:val="5F5019B7"/>
    <w:rsid w:val="5F530220"/>
    <w:rsid w:val="5F5533BB"/>
    <w:rsid w:val="5F586FEE"/>
    <w:rsid w:val="5F60319C"/>
    <w:rsid w:val="5F670948"/>
    <w:rsid w:val="5F69146D"/>
    <w:rsid w:val="5F752E69"/>
    <w:rsid w:val="5F7D4849"/>
    <w:rsid w:val="5F807429"/>
    <w:rsid w:val="5F834669"/>
    <w:rsid w:val="5F883D16"/>
    <w:rsid w:val="5F8D1947"/>
    <w:rsid w:val="5F904FD0"/>
    <w:rsid w:val="5F9100A0"/>
    <w:rsid w:val="5F95631A"/>
    <w:rsid w:val="5F9E76ED"/>
    <w:rsid w:val="5FA665A1"/>
    <w:rsid w:val="5FB0066B"/>
    <w:rsid w:val="5FB019C5"/>
    <w:rsid w:val="5FBF7663"/>
    <w:rsid w:val="5FC86314"/>
    <w:rsid w:val="5FCA6734"/>
    <w:rsid w:val="5FCF5AF8"/>
    <w:rsid w:val="5FE570CA"/>
    <w:rsid w:val="5FF23595"/>
    <w:rsid w:val="6007390A"/>
    <w:rsid w:val="600A3865"/>
    <w:rsid w:val="60163727"/>
    <w:rsid w:val="602373CD"/>
    <w:rsid w:val="60247B5D"/>
    <w:rsid w:val="603B3E30"/>
    <w:rsid w:val="603C0CB4"/>
    <w:rsid w:val="60416DCA"/>
    <w:rsid w:val="60421B4F"/>
    <w:rsid w:val="60431EA4"/>
    <w:rsid w:val="604B0D71"/>
    <w:rsid w:val="60560001"/>
    <w:rsid w:val="60651FB9"/>
    <w:rsid w:val="606631C7"/>
    <w:rsid w:val="60730CCF"/>
    <w:rsid w:val="607C3A33"/>
    <w:rsid w:val="60820DBC"/>
    <w:rsid w:val="608250F0"/>
    <w:rsid w:val="608C7484"/>
    <w:rsid w:val="609D0FCF"/>
    <w:rsid w:val="60A6142B"/>
    <w:rsid w:val="60A7067E"/>
    <w:rsid w:val="60A800F7"/>
    <w:rsid w:val="60C0317B"/>
    <w:rsid w:val="60C24090"/>
    <w:rsid w:val="60C56332"/>
    <w:rsid w:val="60C86CE7"/>
    <w:rsid w:val="60C875C1"/>
    <w:rsid w:val="60CA02AA"/>
    <w:rsid w:val="60D62EB6"/>
    <w:rsid w:val="60DB020D"/>
    <w:rsid w:val="60E66B25"/>
    <w:rsid w:val="60E6759D"/>
    <w:rsid w:val="60E96F2A"/>
    <w:rsid w:val="60E9736E"/>
    <w:rsid w:val="60FA7E42"/>
    <w:rsid w:val="61032317"/>
    <w:rsid w:val="611C2FBF"/>
    <w:rsid w:val="61236D4E"/>
    <w:rsid w:val="6142054C"/>
    <w:rsid w:val="6146003C"/>
    <w:rsid w:val="615421A0"/>
    <w:rsid w:val="61596B36"/>
    <w:rsid w:val="61646714"/>
    <w:rsid w:val="61671D60"/>
    <w:rsid w:val="61731074"/>
    <w:rsid w:val="617C6DCA"/>
    <w:rsid w:val="61881ABA"/>
    <w:rsid w:val="61882403"/>
    <w:rsid w:val="619227A8"/>
    <w:rsid w:val="619A4A8B"/>
    <w:rsid w:val="61A70A27"/>
    <w:rsid w:val="61A80DBC"/>
    <w:rsid w:val="61A84853"/>
    <w:rsid w:val="61B551C2"/>
    <w:rsid w:val="61B83E3D"/>
    <w:rsid w:val="61C22AFF"/>
    <w:rsid w:val="61C77C1D"/>
    <w:rsid w:val="61D57AA6"/>
    <w:rsid w:val="61D75138"/>
    <w:rsid w:val="61DA69D6"/>
    <w:rsid w:val="61DC0E2B"/>
    <w:rsid w:val="61DF188E"/>
    <w:rsid w:val="61ED72A2"/>
    <w:rsid w:val="61F66565"/>
    <w:rsid w:val="61F85BAC"/>
    <w:rsid w:val="620C5B7E"/>
    <w:rsid w:val="62153852"/>
    <w:rsid w:val="621719D8"/>
    <w:rsid w:val="62180C7C"/>
    <w:rsid w:val="62244731"/>
    <w:rsid w:val="624413F5"/>
    <w:rsid w:val="62471346"/>
    <w:rsid w:val="62483A5B"/>
    <w:rsid w:val="62542DF1"/>
    <w:rsid w:val="62571DD5"/>
    <w:rsid w:val="625B7B17"/>
    <w:rsid w:val="625D3525"/>
    <w:rsid w:val="6263230B"/>
    <w:rsid w:val="62662018"/>
    <w:rsid w:val="626764BC"/>
    <w:rsid w:val="626A7709"/>
    <w:rsid w:val="6275418B"/>
    <w:rsid w:val="62885CDB"/>
    <w:rsid w:val="628A3F58"/>
    <w:rsid w:val="628F5A13"/>
    <w:rsid w:val="629848C7"/>
    <w:rsid w:val="6299063F"/>
    <w:rsid w:val="62BF6C3D"/>
    <w:rsid w:val="62C63B33"/>
    <w:rsid w:val="62C84A81"/>
    <w:rsid w:val="62DD052C"/>
    <w:rsid w:val="62E47226"/>
    <w:rsid w:val="62E62F4B"/>
    <w:rsid w:val="62EE2E7F"/>
    <w:rsid w:val="62F37D50"/>
    <w:rsid w:val="62FC6F89"/>
    <w:rsid w:val="6303477F"/>
    <w:rsid w:val="630D6126"/>
    <w:rsid w:val="631A1780"/>
    <w:rsid w:val="632127C3"/>
    <w:rsid w:val="63350368"/>
    <w:rsid w:val="63396CA8"/>
    <w:rsid w:val="635D166D"/>
    <w:rsid w:val="63690593"/>
    <w:rsid w:val="63730E90"/>
    <w:rsid w:val="6379017B"/>
    <w:rsid w:val="638310F9"/>
    <w:rsid w:val="638579A3"/>
    <w:rsid w:val="63972DD1"/>
    <w:rsid w:val="639A641D"/>
    <w:rsid w:val="63AE8ED4"/>
    <w:rsid w:val="63B14C20"/>
    <w:rsid w:val="63B2324E"/>
    <w:rsid w:val="63B36841"/>
    <w:rsid w:val="63C05EA7"/>
    <w:rsid w:val="63C721AC"/>
    <w:rsid w:val="63C97AE9"/>
    <w:rsid w:val="63DA3BD9"/>
    <w:rsid w:val="63E853DA"/>
    <w:rsid w:val="63F77FE5"/>
    <w:rsid w:val="640624AF"/>
    <w:rsid w:val="640C789D"/>
    <w:rsid w:val="64191A38"/>
    <w:rsid w:val="641F14FA"/>
    <w:rsid w:val="641F276B"/>
    <w:rsid w:val="641F4B74"/>
    <w:rsid w:val="64216B3E"/>
    <w:rsid w:val="643A5ABF"/>
    <w:rsid w:val="643B19AE"/>
    <w:rsid w:val="647B7FFD"/>
    <w:rsid w:val="648D7D30"/>
    <w:rsid w:val="64963088"/>
    <w:rsid w:val="64970BAF"/>
    <w:rsid w:val="64A31301"/>
    <w:rsid w:val="64AA08E2"/>
    <w:rsid w:val="64BD7EE3"/>
    <w:rsid w:val="64C01EB3"/>
    <w:rsid w:val="64C10F29"/>
    <w:rsid w:val="64DA53AE"/>
    <w:rsid w:val="64E60142"/>
    <w:rsid w:val="64EE343A"/>
    <w:rsid w:val="64FE478A"/>
    <w:rsid w:val="64FFDE4B"/>
    <w:rsid w:val="650A3B2D"/>
    <w:rsid w:val="651842D4"/>
    <w:rsid w:val="65260D8D"/>
    <w:rsid w:val="652C579B"/>
    <w:rsid w:val="6543667F"/>
    <w:rsid w:val="65491EA9"/>
    <w:rsid w:val="6557687A"/>
    <w:rsid w:val="655A2308"/>
    <w:rsid w:val="655A2EB6"/>
    <w:rsid w:val="656272D4"/>
    <w:rsid w:val="656A1E1F"/>
    <w:rsid w:val="656A5839"/>
    <w:rsid w:val="657D1B52"/>
    <w:rsid w:val="6584085B"/>
    <w:rsid w:val="65847385"/>
    <w:rsid w:val="658662AB"/>
    <w:rsid w:val="65B04F76"/>
    <w:rsid w:val="65B45EF6"/>
    <w:rsid w:val="65BA6903"/>
    <w:rsid w:val="65BC6B1F"/>
    <w:rsid w:val="65DF280D"/>
    <w:rsid w:val="65EC662A"/>
    <w:rsid w:val="65FA7647"/>
    <w:rsid w:val="65FF07B9"/>
    <w:rsid w:val="65FF6A0B"/>
    <w:rsid w:val="66010A5C"/>
    <w:rsid w:val="660202AA"/>
    <w:rsid w:val="66023EA3"/>
    <w:rsid w:val="66027DCC"/>
    <w:rsid w:val="66054436"/>
    <w:rsid w:val="660D4DB6"/>
    <w:rsid w:val="664063B2"/>
    <w:rsid w:val="66406452"/>
    <w:rsid w:val="66415388"/>
    <w:rsid w:val="66485ACF"/>
    <w:rsid w:val="66495ED8"/>
    <w:rsid w:val="664D2567"/>
    <w:rsid w:val="6663343E"/>
    <w:rsid w:val="66680A54"/>
    <w:rsid w:val="667D73A4"/>
    <w:rsid w:val="66811B16"/>
    <w:rsid w:val="66893EE6"/>
    <w:rsid w:val="66952ECC"/>
    <w:rsid w:val="66A32E79"/>
    <w:rsid w:val="66B90E50"/>
    <w:rsid w:val="66C56E6A"/>
    <w:rsid w:val="66CD2666"/>
    <w:rsid w:val="66D83EE9"/>
    <w:rsid w:val="66D87988"/>
    <w:rsid w:val="66ED2D08"/>
    <w:rsid w:val="66F03B9D"/>
    <w:rsid w:val="66F26570"/>
    <w:rsid w:val="66F81DD8"/>
    <w:rsid w:val="66F916AD"/>
    <w:rsid w:val="67007FF3"/>
    <w:rsid w:val="67185FD7"/>
    <w:rsid w:val="673426E5"/>
    <w:rsid w:val="673E0CD7"/>
    <w:rsid w:val="67486190"/>
    <w:rsid w:val="67542D87"/>
    <w:rsid w:val="675B2D5F"/>
    <w:rsid w:val="675E59B4"/>
    <w:rsid w:val="67622366"/>
    <w:rsid w:val="67650AF0"/>
    <w:rsid w:val="676A327D"/>
    <w:rsid w:val="676B59C3"/>
    <w:rsid w:val="67725A14"/>
    <w:rsid w:val="67786A75"/>
    <w:rsid w:val="679259FF"/>
    <w:rsid w:val="67935E87"/>
    <w:rsid w:val="67A71109"/>
    <w:rsid w:val="67A96C2F"/>
    <w:rsid w:val="67AC4324"/>
    <w:rsid w:val="67BA5E6E"/>
    <w:rsid w:val="67C1276E"/>
    <w:rsid w:val="67C454CF"/>
    <w:rsid w:val="67C577E1"/>
    <w:rsid w:val="67CC011D"/>
    <w:rsid w:val="67D0240D"/>
    <w:rsid w:val="67D143D7"/>
    <w:rsid w:val="67E54283"/>
    <w:rsid w:val="67EA1118"/>
    <w:rsid w:val="67ED28E6"/>
    <w:rsid w:val="67F65DA4"/>
    <w:rsid w:val="67F7723D"/>
    <w:rsid w:val="67FA4BEF"/>
    <w:rsid w:val="67FF7197"/>
    <w:rsid w:val="680419E0"/>
    <w:rsid w:val="680648F3"/>
    <w:rsid w:val="681471FC"/>
    <w:rsid w:val="68190258"/>
    <w:rsid w:val="681C5653"/>
    <w:rsid w:val="682409AB"/>
    <w:rsid w:val="682C4037"/>
    <w:rsid w:val="68307350"/>
    <w:rsid w:val="683A61DE"/>
    <w:rsid w:val="683C6AF0"/>
    <w:rsid w:val="68423A65"/>
    <w:rsid w:val="68466191"/>
    <w:rsid w:val="68476448"/>
    <w:rsid w:val="684B23DC"/>
    <w:rsid w:val="68562FBD"/>
    <w:rsid w:val="685F19D4"/>
    <w:rsid w:val="686168F7"/>
    <w:rsid w:val="6863369E"/>
    <w:rsid w:val="686915D3"/>
    <w:rsid w:val="687D96E0"/>
    <w:rsid w:val="689C4BF4"/>
    <w:rsid w:val="689D2D9B"/>
    <w:rsid w:val="68C74DCD"/>
    <w:rsid w:val="68CA1553"/>
    <w:rsid w:val="68CC52CB"/>
    <w:rsid w:val="68D26659"/>
    <w:rsid w:val="68E24AEE"/>
    <w:rsid w:val="68E72403"/>
    <w:rsid w:val="68EB3277"/>
    <w:rsid w:val="68EB3D19"/>
    <w:rsid w:val="68FB2D3F"/>
    <w:rsid w:val="690305C1"/>
    <w:rsid w:val="69051B7B"/>
    <w:rsid w:val="69166546"/>
    <w:rsid w:val="691A32A4"/>
    <w:rsid w:val="692A3D9F"/>
    <w:rsid w:val="692C46A6"/>
    <w:rsid w:val="69303AFB"/>
    <w:rsid w:val="6933041A"/>
    <w:rsid w:val="6933534A"/>
    <w:rsid w:val="694035C3"/>
    <w:rsid w:val="69674277"/>
    <w:rsid w:val="696F232C"/>
    <w:rsid w:val="696F6212"/>
    <w:rsid w:val="697D7D54"/>
    <w:rsid w:val="699A614E"/>
    <w:rsid w:val="69D106BF"/>
    <w:rsid w:val="69DC3B22"/>
    <w:rsid w:val="69E337EE"/>
    <w:rsid w:val="69E66B78"/>
    <w:rsid w:val="69F22B91"/>
    <w:rsid w:val="69F23EFC"/>
    <w:rsid w:val="69F66377"/>
    <w:rsid w:val="69FB4289"/>
    <w:rsid w:val="6A021836"/>
    <w:rsid w:val="6A102F95"/>
    <w:rsid w:val="6A170D51"/>
    <w:rsid w:val="6A19191D"/>
    <w:rsid w:val="6A1C4030"/>
    <w:rsid w:val="6A244B48"/>
    <w:rsid w:val="6A3A40DB"/>
    <w:rsid w:val="6A425588"/>
    <w:rsid w:val="6A4B03C2"/>
    <w:rsid w:val="6A711BF9"/>
    <w:rsid w:val="6A75504B"/>
    <w:rsid w:val="6A7D6CAF"/>
    <w:rsid w:val="6A7E25F5"/>
    <w:rsid w:val="6A7F1057"/>
    <w:rsid w:val="6A890241"/>
    <w:rsid w:val="6A8B520E"/>
    <w:rsid w:val="6AA964F4"/>
    <w:rsid w:val="6ABF1C94"/>
    <w:rsid w:val="6AC46281"/>
    <w:rsid w:val="6AC87D14"/>
    <w:rsid w:val="6ADB7A47"/>
    <w:rsid w:val="6AE508C6"/>
    <w:rsid w:val="6AE81BC8"/>
    <w:rsid w:val="6AEA607B"/>
    <w:rsid w:val="6AEB70B9"/>
    <w:rsid w:val="6AEF06B9"/>
    <w:rsid w:val="6AF7DBD5"/>
    <w:rsid w:val="6AFB1DA1"/>
    <w:rsid w:val="6AFF731D"/>
    <w:rsid w:val="6B07083C"/>
    <w:rsid w:val="6B12220B"/>
    <w:rsid w:val="6B23319C"/>
    <w:rsid w:val="6B2338BC"/>
    <w:rsid w:val="6B234F4A"/>
    <w:rsid w:val="6B2F0F06"/>
    <w:rsid w:val="6B3929BF"/>
    <w:rsid w:val="6B4450F3"/>
    <w:rsid w:val="6B491503"/>
    <w:rsid w:val="6B4915A2"/>
    <w:rsid w:val="6B4947E4"/>
    <w:rsid w:val="6B4D0219"/>
    <w:rsid w:val="6B6172B8"/>
    <w:rsid w:val="6B651B78"/>
    <w:rsid w:val="6B65473C"/>
    <w:rsid w:val="6B67752D"/>
    <w:rsid w:val="6B790EAD"/>
    <w:rsid w:val="6B79100E"/>
    <w:rsid w:val="6B7E0447"/>
    <w:rsid w:val="6B8C0D18"/>
    <w:rsid w:val="6B8D57E5"/>
    <w:rsid w:val="6B92656F"/>
    <w:rsid w:val="6B94722B"/>
    <w:rsid w:val="6B95409A"/>
    <w:rsid w:val="6B9B71D6"/>
    <w:rsid w:val="6B9C4AB9"/>
    <w:rsid w:val="6B9C4ADA"/>
    <w:rsid w:val="6BA52955"/>
    <w:rsid w:val="6BAA309A"/>
    <w:rsid w:val="6BDE7AC3"/>
    <w:rsid w:val="6BE40B7D"/>
    <w:rsid w:val="6BEC7A32"/>
    <w:rsid w:val="6C0807A3"/>
    <w:rsid w:val="6C117498"/>
    <w:rsid w:val="6C1F5711"/>
    <w:rsid w:val="6C21592D"/>
    <w:rsid w:val="6C2D7757"/>
    <w:rsid w:val="6C411314"/>
    <w:rsid w:val="6C4E2A07"/>
    <w:rsid w:val="6C501D6F"/>
    <w:rsid w:val="6C5F6456"/>
    <w:rsid w:val="6C6625E1"/>
    <w:rsid w:val="6C6719A7"/>
    <w:rsid w:val="6C6C46F9"/>
    <w:rsid w:val="6C7F08A6"/>
    <w:rsid w:val="6C8E0AE9"/>
    <w:rsid w:val="6C923939"/>
    <w:rsid w:val="6C967F0D"/>
    <w:rsid w:val="6CA05526"/>
    <w:rsid w:val="6CAC4153"/>
    <w:rsid w:val="6CAE6A95"/>
    <w:rsid w:val="6CBE10EF"/>
    <w:rsid w:val="6CC10EBE"/>
    <w:rsid w:val="6CCA61BE"/>
    <w:rsid w:val="6CD8316D"/>
    <w:rsid w:val="6CDA5ADC"/>
    <w:rsid w:val="6CEC4D2D"/>
    <w:rsid w:val="6CF109D2"/>
    <w:rsid w:val="6CF463EC"/>
    <w:rsid w:val="6D002AD6"/>
    <w:rsid w:val="6D01750D"/>
    <w:rsid w:val="6D020114"/>
    <w:rsid w:val="6D254FA9"/>
    <w:rsid w:val="6D276982"/>
    <w:rsid w:val="6D30174F"/>
    <w:rsid w:val="6D325918"/>
    <w:rsid w:val="6D352513"/>
    <w:rsid w:val="6D3B040E"/>
    <w:rsid w:val="6D3E42BD"/>
    <w:rsid w:val="6D4573FA"/>
    <w:rsid w:val="6D4C41C3"/>
    <w:rsid w:val="6D513FF0"/>
    <w:rsid w:val="6D57537F"/>
    <w:rsid w:val="6D5910F7"/>
    <w:rsid w:val="6D5A11EE"/>
    <w:rsid w:val="6D5F3840"/>
    <w:rsid w:val="6D6261FE"/>
    <w:rsid w:val="6D6C0E2A"/>
    <w:rsid w:val="6D6C7E3C"/>
    <w:rsid w:val="6D752493"/>
    <w:rsid w:val="6D772135"/>
    <w:rsid w:val="6D793547"/>
    <w:rsid w:val="6D7B6DFE"/>
    <w:rsid w:val="6D7D3370"/>
    <w:rsid w:val="6D7E290C"/>
    <w:rsid w:val="6D7F429F"/>
    <w:rsid w:val="6D902392"/>
    <w:rsid w:val="6D91263F"/>
    <w:rsid w:val="6D920165"/>
    <w:rsid w:val="6D9B3AD4"/>
    <w:rsid w:val="6DAF2A8F"/>
    <w:rsid w:val="6DAF6F69"/>
    <w:rsid w:val="6DB620A5"/>
    <w:rsid w:val="6DBE13EF"/>
    <w:rsid w:val="6DBE5E87"/>
    <w:rsid w:val="6DD32C57"/>
    <w:rsid w:val="6DDEB473"/>
    <w:rsid w:val="6DDF784E"/>
    <w:rsid w:val="6DF0480C"/>
    <w:rsid w:val="6DFE08FF"/>
    <w:rsid w:val="6E005A16"/>
    <w:rsid w:val="6E0A419F"/>
    <w:rsid w:val="6E1F5A5B"/>
    <w:rsid w:val="6E2552A2"/>
    <w:rsid w:val="6E2B7B92"/>
    <w:rsid w:val="6E353C2B"/>
    <w:rsid w:val="6E3D37CD"/>
    <w:rsid w:val="6E58315D"/>
    <w:rsid w:val="6E6C09B6"/>
    <w:rsid w:val="6E707D97"/>
    <w:rsid w:val="6E845862"/>
    <w:rsid w:val="6E856204"/>
    <w:rsid w:val="6E8B1221"/>
    <w:rsid w:val="6E8C7791"/>
    <w:rsid w:val="6E8E2DFC"/>
    <w:rsid w:val="6E99148A"/>
    <w:rsid w:val="6E9A42BE"/>
    <w:rsid w:val="6EAD3AF4"/>
    <w:rsid w:val="6EBA7973"/>
    <w:rsid w:val="6EBD7E40"/>
    <w:rsid w:val="6EBE56B6"/>
    <w:rsid w:val="6EC542C2"/>
    <w:rsid w:val="6ED00F45"/>
    <w:rsid w:val="6ED21161"/>
    <w:rsid w:val="6EDA5E42"/>
    <w:rsid w:val="6EDBB425"/>
    <w:rsid w:val="6EDC3D8E"/>
    <w:rsid w:val="6EE55FDB"/>
    <w:rsid w:val="6EE64684"/>
    <w:rsid w:val="6EE87C0A"/>
    <w:rsid w:val="6EEF2CA6"/>
    <w:rsid w:val="6EFE3D04"/>
    <w:rsid w:val="6F06777B"/>
    <w:rsid w:val="6F116A9F"/>
    <w:rsid w:val="6F1663F5"/>
    <w:rsid w:val="6F1F0A56"/>
    <w:rsid w:val="6F29622D"/>
    <w:rsid w:val="6F3C1769"/>
    <w:rsid w:val="6F4D6D78"/>
    <w:rsid w:val="6F4E8EDA"/>
    <w:rsid w:val="6F510A1A"/>
    <w:rsid w:val="6F540FB0"/>
    <w:rsid w:val="6F7E53E5"/>
    <w:rsid w:val="6F9208F0"/>
    <w:rsid w:val="6F965839"/>
    <w:rsid w:val="6FA10775"/>
    <w:rsid w:val="6FA81EC2"/>
    <w:rsid w:val="6FAB550E"/>
    <w:rsid w:val="6FBB1BF5"/>
    <w:rsid w:val="6FBE3493"/>
    <w:rsid w:val="6FCC0A95"/>
    <w:rsid w:val="6FCF744E"/>
    <w:rsid w:val="6FD254FB"/>
    <w:rsid w:val="6FD269A1"/>
    <w:rsid w:val="6FD51038"/>
    <w:rsid w:val="6FDB6F32"/>
    <w:rsid w:val="6FE32EFA"/>
    <w:rsid w:val="6FF8D550"/>
    <w:rsid w:val="6FFA65F4"/>
    <w:rsid w:val="6FFB90E0"/>
    <w:rsid w:val="6FFD220E"/>
    <w:rsid w:val="6FFF3EF6"/>
    <w:rsid w:val="70035433"/>
    <w:rsid w:val="700840D2"/>
    <w:rsid w:val="70131A31"/>
    <w:rsid w:val="701A7080"/>
    <w:rsid w:val="701B2694"/>
    <w:rsid w:val="701C37AB"/>
    <w:rsid w:val="702814CB"/>
    <w:rsid w:val="702A0B29"/>
    <w:rsid w:val="702C664F"/>
    <w:rsid w:val="703532C5"/>
    <w:rsid w:val="704515FA"/>
    <w:rsid w:val="70572BF2"/>
    <w:rsid w:val="705A7D9D"/>
    <w:rsid w:val="70691651"/>
    <w:rsid w:val="70757FF6"/>
    <w:rsid w:val="70761FC0"/>
    <w:rsid w:val="707C4710"/>
    <w:rsid w:val="70822713"/>
    <w:rsid w:val="70862203"/>
    <w:rsid w:val="70880D43"/>
    <w:rsid w:val="70934920"/>
    <w:rsid w:val="709361DC"/>
    <w:rsid w:val="709578C1"/>
    <w:rsid w:val="7099764F"/>
    <w:rsid w:val="709A5FCD"/>
    <w:rsid w:val="70BE33D2"/>
    <w:rsid w:val="70C77C7E"/>
    <w:rsid w:val="70CD16CB"/>
    <w:rsid w:val="70DC70DA"/>
    <w:rsid w:val="70E52721"/>
    <w:rsid w:val="70E909E4"/>
    <w:rsid w:val="70F76680"/>
    <w:rsid w:val="71185836"/>
    <w:rsid w:val="711A0B9D"/>
    <w:rsid w:val="712F22B8"/>
    <w:rsid w:val="7130216F"/>
    <w:rsid w:val="713C61FC"/>
    <w:rsid w:val="714A1495"/>
    <w:rsid w:val="714D068C"/>
    <w:rsid w:val="714D4DDA"/>
    <w:rsid w:val="71554062"/>
    <w:rsid w:val="715D51C4"/>
    <w:rsid w:val="71681909"/>
    <w:rsid w:val="71775FF0"/>
    <w:rsid w:val="718002C9"/>
    <w:rsid w:val="7189187F"/>
    <w:rsid w:val="718D75C1"/>
    <w:rsid w:val="71AD43DD"/>
    <w:rsid w:val="71AD7C63"/>
    <w:rsid w:val="71AE2B03"/>
    <w:rsid w:val="71B83957"/>
    <w:rsid w:val="71B9D13A"/>
    <w:rsid w:val="71BB79C8"/>
    <w:rsid w:val="71C254BD"/>
    <w:rsid w:val="71D75F6B"/>
    <w:rsid w:val="71D945B4"/>
    <w:rsid w:val="71E34706"/>
    <w:rsid w:val="71E4311C"/>
    <w:rsid w:val="71E64273"/>
    <w:rsid w:val="71EF3DD8"/>
    <w:rsid w:val="71FC4716"/>
    <w:rsid w:val="720901B6"/>
    <w:rsid w:val="720A676F"/>
    <w:rsid w:val="720E0C51"/>
    <w:rsid w:val="72247F25"/>
    <w:rsid w:val="72270535"/>
    <w:rsid w:val="72292BA4"/>
    <w:rsid w:val="722F2426"/>
    <w:rsid w:val="72344242"/>
    <w:rsid w:val="724063E2"/>
    <w:rsid w:val="72477770"/>
    <w:rsid w:val="724C5D97"/>
    <w:rsid w:val="72516841"/>
    <w:rsid w:val="725715D2"/>
    <w:rsid w:val="725E4ABA"/>
    <w:rsid w:val="72874010"/>
    <w:rsid w:val="728E41FF"/>
    <w:rsid w:val="7294509A"/>
    <w:rsid w:val="72967D5D"/>
    <w:rsid w:val="72A703D9"/>
    <w:rsid w:val="72B66B1F"/>
    <w:rsid w:val="72B87E28"/>
    <w:rsid w:val="72BB3CBA"/>
    <w:rsid w:val="72C139C6"/>
    <w:rsid w:val="72CE60E3"/>
    <w:rsid w:val="72D364DA"/>
    <w:rsid w:val="72D459C1"/>
    <w:rsid w:val="72DB7B79"/>
    <w:rsid w:val="72F36D66"/>
    <w:rsid w:val="72F71196"/>
    <w:rsid w:val="72FB03ED"/>
    <w:rsid w:val="72FF629D"/>
    <w:rsid w:val="73001975"/>
    <w:rsid w:val="73306456"/>
    <w:rsid w:val="73326672"/>
    <w:rsid w:val="7338114D"/>
    <w:rsid w:val="733E1B79"/>
    <w:rsid w:val="733F2B3D"/>
    <w:rsid w:val="73465C7A"/>
    <w:rsid w:val="734939BC"/>
    <w:rsid w:val="734E1259"/>
    <w:rsid w:val="734F380E"/>
    <w:rsid w:val="736507F6"/>
    <w:rsid w:val="73656370"/>
    <w:rsid w:val="73682846"/>
    <w:rsid w:val="73697546"/>
    <w:rsid w:val="737D2E68"/>
    <w:rsid w:val="737E3665"/>
    <w:rsid w:val="737E5413"/>
    <w:rsid w:val="73827BCF"/>
    <w:rsid w:val="73844CD9"/>
    <w:rsid w:val="73893DAB"/>
    <w:rsid w:val="738F5872"/>
    <w:rsid w:val="739A7D73"/>
    <w:rsid w:val="73AA47BD"/>
    <w:rsid w:val="73AD3F4B"/>
    <w:rsid w:val="73AF1A71"/>
    <w:rsid w:val="73B47B62"/>
    <w:rsid w:val="73B572BB"/>
    <w:rsid w:val="73BE1CB4"/>
    <w:rsid w:val="73C372CA"/>
    <w:rsid w:val="73D56FFD"/>
    <w:rsid w:val="73D74B24"/>
    <w:rsid w:val="73D75CC6"/>
    <w:rsid w:val="73D83389"/>
    <w:rsid w:val="73DF5786"/>
    <w:rsid w:val="73E01C2A"/>
    <w:rsid w:val="73F456D6"/>
    <w:rsid w:val="73FE1225"/>
    <w:rsid w:val="74024296"/>
    <w:rsid w:val="7416564C"/>
    <w:rsid w:val="74181EB8"/>
    <w:rsid w:val="742363A2"/>
    <w:rsid w:val="74365CEE"/>
    <w:rsid w:val="74387CB8"/>
    <w:rsid w:val="743B1556"/>
    <w:rsid w:val="743F620E"/>
    <w:rsid w:val="74404DBF"/>
    <w:rsid w:val="744148DD"/>
    <w:rsid w:val="74485A04"/>
    <w:rsid w:val="744A6ED7"/>
    <w:rsid w:val="744F588B"/>
    <w:rsid w:val="74505333"/>
    <w:rsid w:val="74505672"/>
    <w:rsid w:val="745E6FF3"/>
    <w:rsid w:val="746058DF"/>
    <w:rsid w:val="746A2530"/>
    <w:rsid w:val="746B7328"/>
    <w:rsid w:val="74701E32"/>
    <w:rsid w:val="749D668F"/>
    <w:rsid w:val="74A0634E"/>
    <w:rsid w:val="74A25132"/>
    <w:rsid w:val="74AD4A43"/>
    <w:rsid w:val="74B03CF2"/>
    <w:rsid w:val="74B15375"/>
    <w:rsid w:val="74B310ED"/>
    <w:rsid w:val="74B33326"/>
    <w:rsid w:val="74C17067"/>
    <w:rsid w:val="74C975DD"/>
    <w:rsid w:val="74DB3473"/>
    <w:rsid w:val="74EB2763"/>
    <w:rsid w:val="74ED54EF"/>
    <w:rsid w:val="74F27AE5"/>
    <w:rsid w:val="74FC2209"/>
    <w:rsid w:val="7501454E"/>
    <w:rsid w:val="75061B64"/>
    <w:rsid w:val="750B717B"/>
    <w:rsid w:val="750C4CA1"/>
    <w:rsid w:val="75183646"/>
    <w:rsid w:val="752244C4"/>
    <w:rsid w:val="75287D2D"/>
    <w:rsid w:val="75322959"/>
    <w:rsid w:val="75387745"/>
    <w:rsid w:val="754206C3"/>
    <w:rsid w:val="75502DDF"/>
    <w:rsid w:val="75530322"/>
    <w:rsid w:val="75604F8E"/>
    <w:rsid w:val="756845CD"/>
    <w:rsid w:val="75698AAE"/>
    <w:rsid w:val="75705230"/>
    <w:rsid w:val="75763BE2"/>
    <w:rsid w:val="758807CB"/>
    <w:rsid w:val="758A1FF2"/>
    <w:rsid w:val="758D16DD"/>
    <w:rsid w:val="758D36C3"/>
    <w:rsid w:val="758E461D"/>
    <w:rsid w:val="75936023"/>
    <w:rsid w:val="75A24FC9"/>
    <w:rsid w:val="75A5367F"/>
    <w:rsid w:val="75A86778"/>
    <w:rsid w:val="75AA6994"/>
    <w:rsid w:val="75B66A1A"/>
    <w:rsid w:val="75BC0DA6"/>
    <w:rsid w:val="75BF7F65"/>
    <w:rsid w:val="75C46760"/>
    <w:rsid w:val="75D03F20"/>
    <w:rsid w:val="75D37125"/>
    <w:rsid w:val="75E4177A"/>
    <w:rsid w:val="75F45E61"/>
    <w:rsid w:val="75F81F01"/>
    <w:rsid w:val="76020EA1"/>
    <w:rsid w:val="760A7432"/>
    <w:rsid w:val="760F2C9B"/>
    <w:rsid w:val="7616632D"/>
    <w:rsid w:val="761F5082"/>
    <w:rsid w:val="76206C56"/>
    <w:rsid w:val="762140C2"/>
    <w:rsid w:val="76287F26"/>
    <w:rsid w:val="763829FD"/>
    <w:rsid w:val="76394E56"/>
    <w:rsid w:val="764F753B"/>
    <w:rsid w:val="76516E0F"/>
    <w:rsid w:val="76680CF1"/>
    <w:rsid w:val="766E5C13"/>
    <w:rsid w:val="768D497C"/>
    <w:rsid w:val="76903064"/>
    <w:rsid w:val="76911902"/>
    <w:rsid w:val="769E7B7B"/>
    <w:rsid w:val="76A02DB3"/>
    <w:rsid w:val="76B17DED"/>
    <w:rsid w:val="76B32088"/>
    <w:rsid w:val="76B561A4"/>
    <w:rsid w:val="76C05D43"/>
    <w:rsid w:val="76C92E49"/>
    <w:rsid w:val="76D04F73"/>
    <w:rsid w:val="76DD06A3"/>
    <w:rsid w:val="76F14A9C"/>
    <w:rsid w:val="76FFB02D"/>
    <w:rsid w:val="7702635B"/>
    <w:rsid w:val="77061A83"/>
    <w:rsid w:val="771A37DE"/>
    <w:rsid w:val="77242783"/>
    <w:rsid w:val="772B2297"/>
    <w:rsid w:val="772B71EA"/>
    <w:rsid w:val="77366850"/>
    <w:rsid w:val="77382754"/>
    <w:rsid w:val="77455E56"/>
    <w:rsid w:val="774B21B7"/>
    <w:rsid w:val="77507B50"/>
    <w:rsid w:val="775832D0"/>
    <w:rsid w:val="77626DFA"/>
    <w:rsid w:val="776C1A27"/>
    <w:rsid w:val="7771703D"/>
    <w:rsid w:val="7774550B"/>
    <w:rsid w:val="7778661E"/>
    <w:rsid w:val="777E7C1C"/>
    <w:rsid w:val="77830A09"/>
    <w:rsid w:val="77855149"/>
    <w:rsid w:val="77884510"/>
    <w:rsid w:val="77884AB3"/>
    <w:rsid w:val="779416A9"/>
    <w:rsid w:val="779B1D4F"/>
    <w:rsid w:val="779F3BAA"/>
    <w:rsid w:val="77A24726"/>
    <w:rsid w:val="77B0248F"/>
    <w:rsid w:val="77B2760C"/>
    <w:rsid w:val="77B35AC9"/>
    <w:rsid w:val="77B557D3"/>
    <w:rsid w:val="77BC0B2A"/>
    <w:rsid w:val="77BF2E02"/>
    <w:rsid w:val="77C83229"/>
    <w:rsid w:val="77CB0E43"/>
    <w:rsid w:val="77D56023"/>
    <w:rsid w:val="77E251B6"/>
    <w:rsid w:val="77E37F3B"/>
    <w:rsid w:val="77EB0548"/>
    <w:rsid w:val="78000AED"/>
    <w:rsid w:val="78003B4A"/>
    <w:rsid w:val="78005CD7"/>
    <w:rsid w:val="78044908"/>
    <w:rsid w:val="780B1240"/>
    <w:rsid w:val="7818643A"/>
    <w:rsid w:val="781C344D"/>
    <w:rsid w:val="78210A63"/>
    <w:rsid w:val="78280961"/>
    <w:rsid w:val="784A3F9D"/>
    <w:rsid w:val="784A55CB"/>
    <w:rsid w:val="784C3D32"/>
    <w:rsid w:val="78520C1D"/>
    <w:rsid w:val="78572DD4"/>
    <w:rsid w:val="786077DD"/>
    <w:rsid w:val="78714F73"/>
    <w:rsid w:val="787D0EC3"/>
    <w:rsid w:val="7883021C"/>
    <w:rsid w:val="78846121"/>
    <w:rsid w:val="788A6608"/>
    <w:rsid w:val="789227C4"/>
    <w:rsid w:val="7896550A"/>
    <w:rsid w:val="789D27E0"/>
    <w:rsid w:val="78B23D00"/>
    <w:rsid w:val="78B43685"/>
    <w:rsid w:val="78B958A9"/>
    <w:rsid w:val="78B96EEE"/>
    <w:rsid w:val="78C27525"/>
    <w:rsid w:val="78C55892"/>
    <w:rsid w:val="78C80736"/>
    <w:rsid w:val="78CC460F"/>
    <w:rsid w:val="78D16440"/>
    <w:rsid w:val="78D37FAF"/>
    <w:rsid w:val="78D53FEF"/>
    <w:rsid w:val="78D635FC"/>
    <w:rsid w:val="78DD4999"/>
    <w:rsid w:val="78E43C3A"/>
    <w:rsid w:val="78E51DC1"/>
    <w:rsid w:val="78FD2F09"/>
    <w:rsid w:val="790A7C54"/>
    <w:rsid w:val="79165E39"/>
    <w:rsid w:val="79172B8D"/>
    <w:rsid w:val="791D202A"/>
    <w:rsid w:val="79243D01"/>
    <w:rsid w:val="79352A18"/>
    <w:rsid w:val="7936053E"/>
    <w:rsid w:val="793D0477"/>
    <w:rsid w:val="793D7B1F"/>
    <w:rsid w:val="793E2B81"/>
    <w:rsid w:val="79420C91"/>
    <w:rsid w:val="79442C5B"/>
    <w:rsid w:val="795D5ACB"/>
    <w:rsid w:val="796B5E5A"/>
    <w:rsid w:val="797650C3"/>
    <w:rsid w:val="797D616D"/>
    <w:rsid w:val="798474FC"/>
    <w:rsid w:val="79856DD0"/>
    <w:rsid w:val="79A4194C"/>
    <w:rsid w:val="79AA5A9D"/>
    <w:rsid w:val="79BE712E"/>
    <w:rsid w:val="79C8388C"/>
    <w:rsid w:val="79D13A78"/>
    <w:rsid w:val="79DC910D"/>
    <w:rsid w:val="79DD0239"/>
    <w:rsid w:val="79DD3184"/>
    <w:rsid w:val="79DF4732"/>
    <w:rsid w:val="79EE5666"/>
    <w:rsid w:val="79F301DD"/>
    <w:rsid w:val="79F95D73"/>
    <w:rsid w:val="79FB3F53"/>
    <w:rsid w:val="7A140880"/>
    <w:rsid w:val="7A150154"/>
    <w:rsid w:val="7A15348D"/>
    <w:rsid w:val="7A1A1600"/>
    <w:rsid w:val="7A1C7F36"/>
    <w:rsid w:val="7A2A5002"/>
    <w:rsid w:val="7A37585A"/>
    <w:rsid w:val="7A3E58FC"/>
    <w:rsid w:val="7A5B6D2C"/>
    <w:rsid w:val="7A5B73A8"/>
    <w:rsid w:val="7A6F3D08"/>
    <w:rsid w:val="7A765B2D"/>
    <w:rsid w:val="7A7A7D8A"/>
    <w:rsid w:val="7A7E6380"/>
    <w:rsid w:val="7A7FDB48"/>
    <w:rsid w:val="7A884DCA"/>
    <w:rsid w:val="7A9279F6"/>
    <w:rsid w:val="7A93454E"/>
    <w:rsid w:val="7A992B33"/>
    <w:rsid w:val="7AA240DD"/>
    <w:rsid w:val="7AA634A2"/>
    <w:rsid w:val="7AAC0AB8"/>
    <w:rsid w:val="7AB34877"/>
    <w:rsid w:val="7AB6E8FE"/>
    <w:rsid w:val="7ABC1D2D"/>
    <w:rsid w:val="7AC027B5"/>
    <w:rsid w:val="7AC848ED"/>
    <w:rsid w:val="7AD43416"/>
    <w:rsid w:val="7AD63D87"/>
    <w:rsid w:val="7AD85E10"/>
    <w:rsid w:val="7AF062D6"/>
    <w:rsid w:val="7AF25943"/>
    <w:rsid w:val="7AF30181"/>
    <w:rsid w:val="7AF44DFF"/>
    <w:rsid w:val="7AF90389"/>
    <w:rsid w:val="7AF95CC7"/>
    <w:rsid w:val="7B032A3A"/>
    <w:rsid w:val="7B036F20"/>
    <w:rsid w:val="7B09527D"/>
    <w:rsid w:val="7B146194"/>
    <w:rsid w:val="7B2A5E81"/>
    <w:rsid w:val="7B30793B"/>
    <w:rsid w:val="7B3B1E3C"/>
    <w:rsid w:val="7B4718A3"/>
    <w:rsid w:val="7B48773F"/>
    <w:rsid w:val="7B5A49B8"/>
    <w:rsid w:val="7B704F89"/>
    <w:rsid w:val="7B7A2964"/>
    <w:rsid w:val="7B7C69A4"/>
    <w:rsid w:val="7B853D48"/>
    <w:rsid w:val="7BA358FE"/>
    <w:rsid w:val="7BAA13D3"/>
    <w:rsid w:val="7BC10593"/>
    <w:rsid w:val="7BCE4C52"/>
    <w:rsid w:val="7BD1705E"/>
    <w:rsid w:val="7BD55DED"/>
    <w:rsid w:val="7BDFF533"/>
    <w:rsid w:val="7BEF3D12"/>
    <w:rsid w:val="7BF10231"/>
    <w:rsid w:val="7BF756FE"/>
    <w:rsid w:val="7BFE17E7"/>
    <w:rsid w:val="7C305719"/>
    <w:rsid w:val="7C3172F7"/>
    <w:rsid w:val="7C370855"/>
    <w:rsid w:val="7C3949A7"/>
    <w:rsid w:val="7C3B59D3"/>
    <w:rsid w:val="7C3D3992"/>
    <w:rsid w:val="7C41167F"/>
    <w:rsid w:val="7C456003"/>
    <w:rsid w:val="7C501917"/>
    <w:rsid w:val="7C6461C4"/>
    <w:rsid w:val="7C7716B2"/>
    <w:rsid w:val="7C8998D9"/>
    <w:rsid w:val="7C8D2B6B"/>
    <w:rsid w:val="7C8E41ED"/>
    <w:rsid w:val="7CA53A11"/>
    <w:rsid w:val="7CAB4D9F"/>
    <w:rsid w:val="7CB37868"/>
    <w:rsid w:val="7CB4042E"/>
    <w:rsid w:val="7CB71996"/>
    <w:rsid w:val="7CBB1819"/>
    <w:rsid w:val="7CBC51FE"/>
    <w:rsid w:val="7CBF0A06"/>
    <w:rsid w:val="7CC540B3"/>
    <w:rsid w:val="7CC8701A"/>
    <w:rsid w:val="7CE51BC3"/>
    <w:rsid w:val="7CED360A"/>
    <w:rsid w:val="7CED7166"/>
    <w:rsid w:val="7CEEB960"/>
    <w:rsid w:val="7CF16265"/>
    <w:rsid w:val="7CF33E53"/>
    <w:rsid w:val="7CF83C2F"/>
    <w:rsid w:val="7CFA3997"/>
    <w:rsid w:val="7CFFF5B8"/>
    <w:rsid w:val="7D024F8E"/>
    <w:rsid w:val="7D150AFD"/>
    <w:rsid w:val="7D15201E"/>
    <w:rsid w:val="7D197F5B"/>
    <w:rsid w:val="7D250FF6"/>
    <w:rsid w:val="7D3B31E8"/>
    <w:rsid w:val="7D3B4375"/>
    <w:rsid w:val="7D4274B2"/>
    <w:rsid w:val="7D4C20DE"/>
    <w:rsid w:val="7D50302A"/>
    <w:rsid w:val="7D52346D"/>
    <w:rsid w:val="7D563C1F"/>
    <w:rsid w:val="7D5F62B6"/>
    <w:rsid w:val="7D625DA6"/>
    <w:rsid w:val="7D646FE6"/>
    <w:rsid w:val="7D6C2781"/>
    <w:rsid w:val="7D7702C0"/>
    <w:rsid w:val="7D7DD7D4"/>
    <w:rsid w:val="7D7F16EC"/>
    <w:rsid w:val="7D8A547F"/>
    <w:rsid w:val="7D8E0949"/>
    <w:rsid w:val="7D9870EB"/>
    <w:rsid w:val="7D997627"/>
    <w:rsid w:val="7DA834E4"/>
    <w:rsid w:val="7DAC5273"/>
    <w:rsid w:val="7DB90FC9"/>
    <w:rsid w:val="7DBE3BDC"/>
    <w:rsid w:val="7DBFD623"/>
    <w:rsid w:val="7DD03787"/>
    <w:rsid w:val="7DD1074B"/>
    <w:rsid w:val="7DD65E4C"/>
    <w:rsid w:val="7DD81597"/>
    <w:rsid w:val="7DDD55F1"/>
    <w:rsid w:val="7DED25F1"/>
    <w:rsid w:val="7DF40153"/>
    <w:rsid w:val="7DFC494D"/>
    <w:rsid w:val="7DFEBF87"/>
    <w:rsid w:val="7E001370"/>
    <w:rsid w:val="7E1A2BCF"/>
    <w:rsid w:val="7E22507B"/>
    <w:rsid w:val="7E2E7A36"/>
    <w:rsid w:val="7E357016"/>
    <w:rsid w:val="7E36758B"/>
    <w:rsid w:val="7E3C6480"/>
    <w:rsid w:val="7E405974"/>
    <w:rsid w:val="7E464D80"/>
    <w:rsid w:val="7E4B05E8"/>
    <w:rsid w:val="7E505516"/>
    <w:rsid w:val="7E521976"/>
    <w:rsid w:val="7E642257"/>
    <w:rsid w:val="7E6478FC"/>
    <w:rsid w:val="7E660E19"/>
    <w:rsid w:val="7E6E2528"/>
    <w:rsid w:val="7E6F077A"/>
    <w:rsid w:val="7E7235F9"/>
    <w:rsid w:val="7E778D31"/>
    <w:rsid w:val="7E784022"/>
    <w:rsid w:val="7E7A4224"/>
    <w:rsid w:val="7E7B232B"/>
    <w:rsid w:val="7EA357F8"/>
    <w:rsid w:val="7EA53912"/>
    <w:rsid w:val="7EB4C332"/>
    <w:rsid w:val="7EB5014B"/>
    <w:rsid w:val="7EB56CC0"/>
    <w:rsid w:val="7EB663A9"/>
    <w:rsid w:val="7EBF8D68"/>
    <w:rsid w:val="7EC363D0"/>
    <w:rsid w:val="7EC469CB"/>
    <w:rsid w:val="7EC90406"/>
    <w:rsid w:val="7EC97625"/>
    <w:rsid w:val="7ED11CAD"/>
    <w:rsid w:val="7EF16AAC"/>
    <w:rsid w:val="7EF86D6A"/>
    <w:rsid w:val="7F0D7F93"/>
    <w:rsid w:val="7F166E48"/>
    <w:rsid w:val="7F1E5699"/>
    <w:rsid w:val="7F1E7D70"/>
    <w:rsid w:val="7F2552DD"/>
    <w:rsid w:val="7F2F3A66"/>
    <w:rsid w:val="7F313C82"/>
    <w:rsid w:val="7F323340"/>
    <w:rsid w:val="7F3555C5"/>
    <w:rsid w:val="7F441324"/>
    <w:rsid w:val="7F441B10"/>
    <w:rsid w:val="7F46600F"/>
    <w:rsid w:val="7F533BF8"/>
    <w:rsid w:val="7F565496"/>
    <w:rsid w:val="7F592524"/>
    <w:rsid w:val="7F5C3C9C"/>
    <w:rsid w:val="7F5D60C2"/>
    <w:rsid w:val="7F5F4BFC"/>
    <w:rsid w:val="7F6565D9"/>
    <w:rsid w:val="7F6768AC"/>
    <w:rsid w:val="7F6779F6"/>
    <w:rsid w:val="7F7542D2"/>
    <w:rsid w:val="7F7997A2"/>
    <w:rsid w:val="7F7B4EFD"/>
    <w:rsid w:val="7F7B6CAB"/>
    <w:rsid w:val="7F857B2A"/>
    <w:rsid w:val="7F903BD2"/>
    <w:rsid w:val="7F963AE5"/>
    <w:rsid w:val="7FAE2048"/>
    <w:rsid w:val="7FAF933B"/>
    <w:rsid w:val="7FB65F35"/>
    <w:rsid w:val="7FB73115"/>
    <w:rsid w:val="7FB863C1"/>
    <w:rsid w:val="7FBD1532"/>
    <w:rsid w:val="7FBD72C3"/>
    <w:rsid w:val="7FBF303C"/>
    <w:rsid w:val="7FD6583E"/>
    <w:rsid w:val="7FDF548C"/>
    <w:rsid w:val="7FE7683D"/>
    <w:rsid w:val="7FEBB101"/>
    <w:rsid w:val="7FF932C8"/>
    <w:rsid w:val="7FF9A5B2"/>
    <w:rsid w:val="7FFBE61A"/>
    <w:rsid w:val="7FFC1EBF"/>
    <w:rsid w:val="7FFE2F2B"/>
    <w:rsid w:val="7FFE8769"/>
    <w:rsid w:val="7FFF074A"/>
    <w:rsid w:val="8F372423"/>
    <w:rsid w:val="93EE851A"/>
    <w:rsid w:val="9775E069"/>
    <w:rsid w:val="97FFAA26"/>
    <w:rsid w:val="9A3D66DB"/>
    <w:rsid w:val="9FDED4BA"/>
    <w:rsid w:val="A7BDB41A"/>
    <w:rsid w:val="ADEF6A34"/>
    <w:rsid w:val="AECDD1DA"/>
    <w:rsid w:val="AF09F5FF"/>
    <w:rsid w:val="B3F3063D"/>
    <w:rsid w:val="B5DA5392"/>
    <w:rsid w:val="B7CE4B8B"/>
    <w:rsid w:val="B7FA7F68"/>
    <w:rsid w:val="B94BDE29"/>
    <w:rsid w:val="BB7B7454"/>
    <w:rsid w:val="BBA7A4B5"/>
    <w:rsid w:val="BBBB6F11"/>
    <w:rsid w:val="BBFE2A3A"/>
    <w:rsid w:val="BD472E0E"/>
    <w:rsid w:val="BDAFA2B3"/>
    <w:rsid w:val="BDFE8156"/>
    <w:rsid w:val="BEFBF8A7"/>
    <w:rsid w:val="BF674AC0"/>
    <w:rsid w:val="BF7391BA"/>
    <w:rsid w:val="BF77812B"/>
    <w:rsid w:val="BFDEC40F"/>
    <w:rsid w:val="BFF2BBDA"/>
    <w:rsid w:val="BFF77357"/>
    <w:rsid w:val="C6FF7764"/>
    <w:rsid w:val="CB374EEA"/>
    <w:rsid w:val="CB755014"/>
    <w:rsid w:val="CBD4CE04"/>
    <w:rsid w:val="CBFF55D5"/>
    <w:rsid w:val="CCFF2A63"/>
    <w:rsid w:val="CDFF754B"/>
    <w:rsid w:val="CED2E7FC"/>
    <w:rsid w:val="CFFF70D3"/>
    <w:rsid w:val="D3D714C6"/>
    <w:rsid w:val="D4F4298A"/>
    <w:rsid w:val="D5F3B815"/>
    <w:rsid w:val="D7B7AF88"/>
    <w:rsid w:val="D9EA5FDD"/>
    <w:rsid w:val="DAFF2443"/>
    <w:rsid w:val="DAFFAEFC"/>
    <w:rsid w:val="DBA53F1E"/>
    <w:rsid w:val="DD6EB600"/>
    <w:rsid w:val="DD7F5733"/>
    <w:rsid w:val="DD8E6F13"/>
    <w:rsid w:val="DDEDDD53"/>
    <w:rsid w:val="DDF213A1"/>
    <w:rsid w:val="DFD52B5D"/>
    <w:rsid w:val="DFF5FE75"/>
    <w:rsid w:val="E47B2EFB"/>
    <w:rsid w:val="E5BF92B5"/>
    <w:rsid w:val="E77B7678"/>
    <w:rsid w:val="E7D520B3"/>
    <w:rsid w:val="E7D7FA00"/>
    <w:rsid w:val="E7FBF13C"/>
    <w:rsid w:val="EAF634B0"/>
    <w:rsid w:val="EBFA2A39"/>
    <w:rsid w:val="EC8BD0C9"/>
    <w:rsid w:val="EF37FD01"/>
    <w:rsid w:val="EFF779EA"/>
    <w:rsid w:val="EFF78BF1"/>
    <w:rsid w:val="EFFD9D46"/>
    <w:rsid w:val="F3EB7FBC"/>
    <w:rsid w:val="F4BF1A42"/>
    <w:rsid w:val="F57B0D89"/>
    <w:rsid w:val="F5DF0B95"/>
    <w:rsid w:val="F6EBD86D"/>
    <w:rsid w:val="F6F59CDC"/>
    <w:rsid w:val="F70AB8A2"/>
    <w:rsid w:val="F73389C8"/>
    <w:rsid w:val="F75CCE16"/>
    <w:rsid w:val="F79B5717"/>
    <w:rsid w:val="F7DB9B88"/>
    <w:rsid w:val="F7FD02F4"/>
    <w:rsid w:val="F7FE0117"/>
    <w:rsid w:val="F7FEC747"/>
    <w:rsid w:val="F87965F3"/>
    <w:rsid w:val="F994E925"/>
    <w:rsid w:val="F9B72875"/>
    <w:rsid w:val="FABECAEE"/>
    <w:rsid w:val="FAF736DC"/>
    <w:rsid w:val="FBBE6C3C"/>
    <w:rsid w:val="FBC6A65A"/>
    <w:rsid w:val="FBEEF497"/>
    <w:rsid w:val="FBF9B900"/>
    <w:rsid w:val="FC7F978C"/>
    <w:rsid w:val="FCDFD664"/>
    <w:rsid w:val="FD3D3666"/>
    <w:rsid w:val="FDB66EEA"/>
    <w:rsid w:val="FDD648A9"/>
    <w:rsid w:val="FDEE2C55"/>
    <w:rsid w:val="FDF74EFB"/>
    <w:rsid w:val="FDFF2979"/>
    <w:rsid w:val="FE3E47A6"/>
    <w:rsid w:val="FE67307B"/>
    <w:rsid w:val="FE6B5C7F"/>
    <w:rsid w:val="FEA6F3AD"/>
    <w:rsid w:val="FEEB70AF"/>
    <w:rsid w:val="FEFE529E"/>
    <w:rsid w:val="FF2FC985"/>
    <w:rsid w:val="FF3B4806"/>
    <w:rsid w:val="FF77D45E"/>
    <w:rsid w:val="FF7D1313"/>
    <w:rsid w:val="FF7D1E65"/>
    <w:rsid w:val="FFAFBBC1"/>
    <w:rsid w:val="FFBDBD99"/>
    <w:rsid w:val="FFCB90D5"/>
    <w:rsid w:val="FFD7D610"/>
    <w:rsid w:val="FFF733B7"/>
    <w:rsid w:val="FFF7BE53"/>
    <w:rsid w:val="FFFB5857"/>
    <w:rsid w:val="FFFD18ED"/>
    <w:rsid w:val="FFFFA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1"/>
    <w:qFormat/>
    <w:uiPriority w:val="9"/>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link w:val="32"/>
    <w:unhideWhenUsed/>
    <w:qFormat/>
    <w:uiPriority w:val="0"/>
    <w:pPr>
      <w:jc w:val="left"/>
    </w:pPr>
  </w:style>
  <w:style w:type="paragraph" w:styleId="9">
    <w:name w:val="Body Text"/>
    <w:basedOn w:val="1"/>
    <w:next w:val="1"/>
    <w:link w:val="33"/>
    <w:unhideWhenUsed/>
    <w:qFormat/>
    <w:uiPriority w:val="0"/>
    <w:pPr>
      <w:spacing w:after="120"/>
    </w:pPr>
    <w:rPr>
      <w:sz w:val="24"/>
    </w:rPr>
  </w:style>
  <w:style w:type="paragraph" w:styleId="10">
    <w:name w:val="Body Text Indent"/>
    <w:basedOn w:val="1"/>
    <w:unhideWhenUsed/>
    <w:qFormat/>
    <w:uiPriority w:val="99"/>
    <w:pPr>
      <w:spacing w:after="120"/>
      <w:ind w:left="420" w:leftChars="200"/>
    </w:pPr>
    <w:rPr>
      <w:kern w:val="0"/>
      <w:sz w:val="20"/>
      <w:szCs w:val="20"/>
    </w:rPr>
  </w:style>
  <w:style w:type="paragraph" w:styleId="11">
    <w:name w:val="Plain Text"/>
    <w:basedOn w:val="1"/>
    <w:next w:val="12"/>
    <w:link w:val="34"/>
    <w:qFormat/>
    <w:uiPriority w:val="0"/>
    <w:rPr>
      <w:rFonts w:ascii="宋体" w:hAnsi="Courier New"/>
    </w:rPr>
  </w:style>
  <w:style w:type="paragraph" w:customStyle="1" w:styleId="1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3">
    <w:name w:val="Balloon Text"/>
    <w:basedOn w:val="1"/>
    <w:link w:val="30"/>
    <w:unhideWhenUsed/>
    <w:qFormat/>
    <w:uiPriority w:val="99"/>
    <w:rPr>
      <w:sz w:val="18"/>
      <w:szCs w:val="18"/>
    </w:rPr>
  </w:style>
  <w:style w:type="paragraph" w:styleId="14">
    <w:name w:val="footer"/>
    <w:basedOn w:val="1"/>
    <w:link w:val="35"/>
    <w:unhideWhenUsed/>
    <w:qFormat/>
    <w:uiPriority w:val="0"/>
    <w:pPr>
      <w:tabs>
        <w:tab w:val="center" w:pos="4153"/>
        <w:tab w:val="right" w:pos="8306"/>
      </w:tabs>
      <w:snapToGrid w:val="0"/>
      <w:jc w:val="left"/>
    </w:pPr>
    <w:rPr>
      <w:rFonts w:ascii="Calibri" w:hAnsi="Calibri"/>
      <w:sz w:val="18"/>
      <w:szCs w:val="18"/>
    </w:rPr>
  </w:style>
  <w:style w:type="paragraph" w:styleId="15">
    <w:name w:val="header"/>
    <w:basedOn w:val="1"/>
    <w:link w:val="36"/>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6">
    <w:name w:val="toc 1"/>
    <w:basedOn w:val="1"/>
    <w:next w:val="1"/>
    <w:unhideWhenUsed/>
    <w:qFormat/>
    <w:uiPriority w:val="39"/>
  </w:style>
  <w:style w:type="paragraph" w:styleId="17">
    <w:name w:val="Body Text 2"/>
    <w:basedOn w:val="1"/>
    <w:qFormat/>
    <w:uiPriority w:val="0"/>
    <w:pPr>
      <w:tabs>
        <w:tab w:val="left" w:pos="0"/>
      </w:tabs>
      <w:spacing w:line="400" w:lineRule="atLeast"/>
    </w:pPr>
    <w:rPr>
      <w:rFonts w:ascii="Arial" w:hAnsi="Arial"/>
      <w:color w:val="000000"/>
    </w:rPr>
  </w:style>
  <w:style w:type="paragraph" w:styleId="1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qFormat/>
    <w:uiPriority w:val="0"/>
    <w:pPr>
      <w:spacing w:before="240" w:after="60"/>
      <w:jc w:val="center"/>
      <w:outlineLvl w:val="0"/>
    </w:pPr>
    <w:rPr>
      <w:rFonts w:ascii="Arial" w:hAnsi="Arial" w:eastAsia="隶书"/>
      <w:b/>
      <w:bCs/>
      <w:sz w:val="32"/>
      <w:szCs w:val="32"/>
    </w:rPr>
  </w:style>
  <w:style w:type="paragraph" w:styleId="21">
    <w:name w:val="annotation subject"/>
    <w:basedOn w:val="8"/>
    <w:next w:val="8"/>
    <w:link w:val="37"/>
    <w:unhideWhenUsed/>
    <w:qFormat/>
    <w:uiPriority w:val="99"/>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style>
  <w:style w:type="character" w:styleId="26">
    <w:name w:val="FollowedHyperlink"/>
    <w:unhideWhenUsed/>
    <w:qFormat/>
    <w:uiPriority w:val="99"/>
    <w:rPr>
      <w:color w:val="954F72"/>
      <w:u w:val="single"/>
    </w:rPr>
  </w:style>
  <w:style w:type="character" w:styleId="27">
    <w:name w:val="Hyperlink"/>
    <w:qFormat/>
    <w:uiPriority w:val="0"/>
    <w:rPr>
      <w:color w:val="0000FF"/>
      <w:u w:val="none"/>
    </w:rPr>
  </w:style>
  <w:style w:type="character" w:styleId="28">
    <w:name w:val="annotation reference"/>
    <w:unhideWhenUsed/>
    <w:qFormat/>
    <w:uiPriority w:val="0"/>
    <w:rPr>
      <w:sz w:val="21"/>
      <w:szCs w:val="21"/>
    </w:rPr>
  </w:style>
  <w:style w:type="paragraph" w:customStyle="1" w:styleId="29">
    <w:name w:val="Char"/>
    <w:basedOn w:val="1"/>
    <w:qFormat/>
    <w:uiPriority w:val="0"/>
    <w:pPr>
      <w:widowControl/>
      <w:spacing w:after="160" w:line="240" w:lineRule="exact"/>
      <w:jc w:val="left"/>
    </w:pPr>
  </w:style>
  <w:style w:type="character" w:customStyle="1" w:styleId="30">
    <w:name w:val="批注框文本 字符"/>
    <w:link w:val="13"/>
    <w:semiHidden/>
    <w:qFormat/>
    <w:uiPriority w:val="99"/>
    <w:rPr>
      <w:rFonts w:ascii="Times New Roman" w:hAnsi="Times New Roman" w:eastAsia="宋体" w:cs="Times New Roman"/>
      <w:sz w:val="18"/>
      <w:szCs w:val="18"/>
    </w:rPr>
  </w:style>
  <w:style w:type="character" w:customStyle="1" w:styleId="31">
    <w:name w:val="标题 5 字符"/>
    <w:link w:val="6"/>
    <w:semiHidden/>
    <w:qFormat/>
    <w:uiPriority w:val="9"/>
    <w:rPr>
      <w:b/>
      <w:bCs/>
      <w:kern w:val="2"/>
      <w:sz w:val="28"/>
      <w:szCs w:val="28"/>
    </w:rPr>
  </w:style>
  <w:style w:type="character" w:customStyle="1" w:styleId="32">
    <w:name w:val="批注文字 字符"/>
    <w:link w:val="8"/>
    <w:qFormat/>
    <w:uiPriority w:val="0"/>
    <w:rPr>
      <w:rFonts w:ascii="Times New Roman" w:hAnsi="Times New Roman" w:eastAsia="宋体" w:cs="Times New Roman"/>
      <w:szCs w:val="24"/>
    </w:rPr>
  </w:style>
  <w:style w:type="character" w:customStyle="1" w:styleId="33">
    <w:name w:val="正文文本 字符"/>
    <w:link w:val="9"/>
    <w:qFormat/>
    <w:uiPriority w:val="0"/>
    <w:rPr>
      <w:rFonts w:ascii="Times New Roman" w:hAnsi="Times New Roman" w:eastAsia="宋体"/>
      <w:kern w:val="2"/>
      <w:sz w:val="24"/>
      <w:szCs w:val="24"/>
    </w:rPr>
  </w:style>
  <w:style w:type="character" w:customStyle="1" w:styleId="34">
    <w:name w:val="纯文本 字符1"/>
    <w:link w:val="11"/>
    <w:qFormat/>
    <w:uiPriority w:val="0"/>
    <w:rPr>
      <w:rFonts w:ascii="宋体" w:hAnsi="Courier New"/>
      <w:kern w:val="2"/>
      <w:sz w:val="21"/>
      <w:szCs w:val="24"/>
    </w:rPr>
  </w:style>
  <w:style w:type="character" w:customStyle="1" w:styleId="35">
    <w:name w:val="页脚 字符1"/>
    <w:link w:val="14"/>
    <w:qFormat/>
    <w:uiPriority w:val="99"/>
    <w:rPr>
      <w:sz w:val="18"/>
      <w:szCs w:val="18"/>
    </w:rPr>
  </w:style>
  <w:style w:type="character" w:customStyle="1" w:styleId="36">
    <w:name w:val="页眉 字符"/>
    <w:link w:val="15"/>
    <w:qFormat/>
    <w:uiPriority w:val="99"/>
    <w:rPr>
      <w:sz w:val="18"/>
      <w:szCs w:val="18"/>
    </w:rPr>
  </w:style>
  <w:style w:type="character" w:customStyle="1" w:styleId="37">
    <w:name w:val="批注主题 字符"/>
    <w:link w:val="21"/>
    <w:semiHidden/>
    <w:qFormat/>
    <w:uiPriority w:val="99"/>
    <w:rPr>
      <w:rFonts w:ascii="Times New Roman" w:hAnsi="Times New Roman" w:eastAsia="宋体" w:cs="Times New Roman"/>
      <w:b/>
      <w:bCs/>
      <w:szCs w:val="24"/>
    </w:rPr>
  </w:style>
  <w:style w:type="paragraph" w:styleId="38">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character" w:customStyle="1" w:styleId="39">
    <w:name w:val="qowt-font5-gb2312"/>
    <w:qFormat/>
    <w:uiPriority w:val="0"/>
  </w:style>
  <w:style w:type="character" w:customStyle="1" w:styleId="40">
    <w:name w:val="标题1"/>
    <w:qFormat/>
    <w:uiPriority w:val="0"/>
  </w:style>
  <w:style w:type="character" w:customStyle="1" w:styleId="41">
    <w:name w:val="页脚 字符"/>
    <w:qFormat/>
    <w:uiPriority w:val="99"/>
    <w:rPr>
      <w:rFonts w:ascii="Calibri" w:hAnsi="Calibri"/>
      <w:kern w:val="2"/>
      <w:sz w:val="18"/>
      <w:szCs w:val="18"/>
    </w:rPr>
  </w:style>
  <w:style w:type="character" w:customStyle="1" w:styleId="42">
    <w:name w:val="纯文本 字符"/>
    <w:semiHidden/>
    <w:qFormat/>
    <w:uiPriority w:val="99"/>
    <w:rPr>
      <w:rFonts w:ascii="宋体" w:hAnsi="Courier New" w:cs="Courier New"/>
      <w:kern w:val="2"/>
      <w:sz w:val="21"/>
      <w:szCs w:val="21"/>
    </w:rPr>
  </w:style>
  <w:style w:type="character" w:customStyle="1" w:styleId="43">
    <w:name w:val="Hyperlink.0"/>
    <w:qFormat/>
    <w:uiPriority w:val="0"/>
    <w:rPr>
      <w:rFonts w:ascii="宋体" w:hAnsi="宋体" w:eastAsia="宋体" w:cs="宋体"/>
      <w:lang w:val="en-US" w:eastAsia="zh-TW"/>
    </w:rPr>
  </w:style>
  <w:style w:type="character" w:customStyle="1" w:styleId="44">
    <w:name w:val="批注文字 字符1"/>
    <w:qFormat/>
    <w:uiPriority w:val="0"/>
    <w:rPr>
      <w:rFonts w:ascii="Times New Roman" w:hAnsi="Times New Roman" w:eastAsia="宋体" w:cs="Times New Roman"/>
      <w:szCs w:val="24"/>
    </w:rPr>
  </w:style>
  <w:style w:type="paragraph" w:customStyle="1" w:styleId="45">
    <w:name w:val="_Style 44"/>
    <w:unhideWhenUsed/>
    <w:qFormat/>
    <w:uiPriority w:val="99"/>
    <w:rPr>
      <w:rFonts w:ascii="Times New Roman" w:hAnsi="Times New Roman" w:eastAsia="宋体" w:cs="Times New Roman"/>
      <w:kern w:val="2"/>
      <w:sz w:val="21"/>
      <w:szCs w:val="24"/>
      <w:lang w:val="en-US" w:eastAsia="zh-CN" w:bidi="ar-SA"/>
    </w:rPr>
  </w:style>
  <w:style w:type="paragraph" w:customStyle="1" w:styleId="46">
    <w:name w:val="正文 New New New New New New New New New New New"/>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7">
    <w:name w:val="列出段落1"/>
    <w:basedOn w:val="1"/>
    <w:qFormat/>
    <w:uiPriority w:val="0"/>
    <w:pPr>
      <w:widowControl/>
      <w:ind w:left="835" w:firstLine="420" w:firstLineChars="200"/>
      <w:jc w:val="left"/>
    </w:pPr>
    <w:rPr>
      <w:rFonts w:ascii="Arial" w:hAnsi="Arial"/>
      <w:spacing w:val="-5"/>
      <w:kern w:val="0"/>
      <w:sz w:val="24"/>
      <w:szCs w:val="20"/>
      <w:lang w:bidi="he-IL"/>
    </w:rPr>
  </w:style>
  <w:style w:type="paragraph" w:customStyle="1" w:styleId="48">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49">
    <w:name w:val="Other|1"/>
    <w:basedOn w:val="1"/>
    <w:qFormat/>
    <w:uiPriority w:val="0"/>
    <w:pPr>
      <w:spacing w:line="300" w:lineRule="auto"/>
      <w:ind w:firstLine="400"/>
    </w:pPr>
    <w:rPr>
      <w:rFonts w:ascii="宋体" w:hAnsi="宋体" w:cs="宋体"/>
      <w:lang w:val="zh-TW" w:eastAsia="zh-TW" w:bidi="zh-TW"/>
    </w:rPr>
  </w:style>
  <w:style w:type="paragraph" w:customStyle="1" w:styleId="50">
    <w:name w:val="正文格式"/>
    <w:basedOn w:val="10"/>
    <w:qFormat/>
    <w:uiPriority w:val="99"/>
    <w:pPr>
      <w:spacing w:after="0" w:line="360" w:lineRule="auto"/>
      <w:ind w:left="0" w:leftChars="0" w:firstLine="600"/>
    </w:pPr>
    <w:rPr>
      <w:rFonts w:eastAsia="仿宋_GB2312"/>
      <w:sz w:val="30"/>
      <w:szCs w:val="30"/>
    </w:rPr>
  </w:style>
  <w:style w:type="paragraph" w:customStyle="1" w:styleId="51">
    <w:name w:val="msolistparagraph"/>
    <w:basedOn w:val="1"/>
    <w:qFormat/>
    <w:uiPriority w:val="0"/>
    <w:pPr>
      <w:ind w:firstLine="420" w:firstLineChars="200"/>
    </w:pPr>
  </w:style>
  <w:style w:type="paragraph" w:styleId="52">
    <w:name w:val="List Paragraph"/>
    <w:basedOn w:val="1"/>
    <w:qFormat/>
    <w:uiPriority w:val="34"/>
    <w:pPr>
      <w:ind w:firstLine="420" w:firstLineChars="200"/>
    </w:pPr>
  </w:style>
  <w:style w:type="paragraph" w:customStyle="1" w:styleId="5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56">
    <w:name w:val="Table Paragraph"/>
    <w:basedOn w:val="1"/>
    <w:qFormat/>
    <w:uiPriority w:val="0"/>
    <w:pPr>
      <w:autoSpaceDE w:val="0"/>
      <w:autoSpaceDN w:val="0"/>
      <w:jc w:val="left"/>
    </w:pPr>
    <w:rPr>
      <w:rFonts w:ascii="宋体" w:hAnsi="宋体" w:cs="宋体"/>
      <w:kern w:val="0"/>
      <w:sz w:val="22"/>
      <w:szCs w:val="22"/>
    </w:rPr>
  </w:style>
  <w:style w:type="paragraph" w:customStyle="1" w:styleId="57">
    <w:name w:val="x-scope"/>
    <w:basedOn w:val="1"/>
    <w:qFormat/>
    <w:uiPriority w:val="0"/>
    <w:pPr>
      <w:widowControl/>
      <w:spacing w:before="100" w:beforeAutospacing="1" w:after="100" w:afterAutospacing="1"/>
      <w:jc w:val="left"/>
    </w:pPr>
    <w:rPr>
      <w:rFonts w:ascii="宋体" w:hAnsi="宋体" w:cs="宋体"/>
      <w:kern w:val="0"/>
      <w:sz w:val="24"/>
    </w:rPr>
  </w:style>
  <w:style w:type="paragraph" w:customStyle="1" w:styleId="58">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rPr>
  </w:style>
  <w:style w:type="paragraph" w:customStyle="1" w:styleId="59">
    <w:name w:val="WPSOffice手动目录 1"/>
    <w:qFormat/>
    <w:uiPriority w:val="0"/>
    <w:rPr>
      <w:rFonts w:ascii="Times New Roman" w:hAnsi="Times New Roman" w:eastAsia="宋体" w:cs="Times New Roman"/>
      <w:lang w:val="en-US" w:eastAsia="zh-CN" w:bidi="ar-SA"/>
    </w:rPr>
  </w:style>
  <w:style w:type="paragraph" w:customStyle="1" w:styleId="60">
    <w:name w:val="中等深浅网格 21"/>
    <w:qFormat/>
    <w:uiPriority w:val="1"/>
    <w:pPr>
      <w:widowControl w:val="0"/>
      <w:jc w:val="both"/>
    </w:pPr>
    <w:rPr>
      <w:rFonts w:ascii="Calibri" w:hAnsi="Calibri" w:eastAsia="宋体" w:cs="Times New Roman"/>
      <w:kern w:val="2"/>
      <w:sz w:val="21"/>
      <w:szCs w:val="24"/>
      <w:lang w:val="en-US" w:eastAsia="zh-CN" w:bidi="ar-SA"/>
    </w:rPr>
  </w:style>
  <w:style w:type="paragraph" w:customStyle="1" w:styleId="61">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
    <w:name w:val="_Style 1"/>
    <w:basedOn w:val="1"/>
    <w:next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qh-PC</Company>
  <Pages>79</Pages>
  <Words>41425</Words>
  <Characters>44160</Characters>
  <Lines>337</Lines>
  <Paragraphs>95</Paragraphs>
  <TotalTime>49</TotalTime>
  <ScaleCrop>false</ScaleCrop>
  <LinksUpToDate>false</LinksUpToDate>
  <CharactersWithSpaces>46089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2023-05-10T09:14:00Z</dcterms:created>
  <dc:creator>远东招标-凌勰13728851925</dc:creator>
  <cp:lastModifiedBy>陈可欣</cp:lastModifiedBy>
  <cp:lastPrinted>2022-08-19T14:55:00Z</cp:lastPrinted>
  <dcterms:modified xsi:type="dcterms:W3CDTF">2024-07-10T08:35:04Z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39E2F21D6C7C48D59A3F003F70E1F3B7_13</vt:lpwstr>
  </property>
  <property fmtid="{D5CDD505-2E9C-101B-9397-08002B2CF9AE}" pid="4" name="commondata">
    <vt:lpwstr>eyJoZGlkIjoiYmMxMDc3MzEwOWIzMjRmOWFjY2ZmMjJjMThlMGUwZWUifQ==</vt:lpwstr>
  </property>
</Properties>
</file>