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5"/>
        <w:ind w:firstLine="420"/>
        <w:rPr>
          <w:rFonts w:ascii="宋体" w:hAnsi="宋体" w:cs="宋体"/>
        </w:rPr>
      </w:pPr>
    </w:p>
    <w:p>
      <w:pPr>
        <w:pStyle w:val="25"/>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招标编号：QH2023068</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5"/>
        <w:ind w:firstLine="420"/>
        <w:rPr>
          <w:rFonts w:ascii="宋体" w:hAnsi="宋体" w:cs="宋体"/>
        </w:rPr>
      </w:pPr>
    </w:p>
    <w:p>
      <w:pPr>
        <w:pStyle w:val="25"/>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招标项目：前海科技创新政策适配度分析及监测咨询服务项目</w:t>
      </w:r>
    </w:p>
    <w:p>
      <w:pPr>
        <w:ind w:firstLine="3264" w:firstLineChars="739"/>
        <w:rPr>
          <w:rFonts w:ascii="宋体" w:hAnsi="宋体" w:cs="宋体"/>
          <w:b/>
          <w:sz w:val="44"/>
        </w:rPr>
      </w:pPr>
    </w:p>
    <w:p>
      <w:pPr>
        <w:pStyle w:val="25"/>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ascii="宋体" w:hAnsi="宋体" w:cs="宋体"/>
          <w:b/>
          <w:bCs/>
          <w:sz w:val="36"/>
          <w:szCs w:val="36"/>
        </w:rPr>
        <w:t>6</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6"/>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napToGrid w:val="0"/>
        <w:spacing w:line="360" w:lineRule="auto"/>
        <w:ind w:firstLine="630" w:firstLineChars="196"/>
        <w:jc w:val="center"/>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3"/>
        <w:tabs>
          <w:tab w:val="right" w:leader="dot" w:pos="8306"/>
        </w:tabs>
        <w:spacing w:line="480" w:lineRule="auto"/>
        <w:rPr>
          <w:b/>
          <w:bCs/>
          <w:sz w:val="24"/>
          <w:szCs w:val="32"/>
        </w:rPr>
      </w:pPr>
    </w:p>
    <w:p>
      <w:pPr>
        <w:pStyle w:val="13"/>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13"/>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ascii="宋体" w:hAnsi="宋体" w:cs="宋体"/>
          <w:b/>
          <w:bCs/>
          <w:sz w:val="24"/>
        </w:rPr>
        <w:t>57</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文件编码:QH2023068    </w:t>
      </w:r>
    </w:p>
    <w:p>
      <w:pPr>
        <w:spacing w:line="360" w:lineRule="auto"/>
        <w:ind w:firstLine="480" w:firstLineChars="200"/>
        <w:jc w:val="left"/>
        <w:rPr>
          <w:rFonts w:ascii="宋体" w:hAnsi="宋体" w:cs="宋体"/>
          <w:sz w:val="24"/>
        </w:rPr>
      </w:pPr>
      <w:r>
        <w:rPr>
          <w:rFonts w:hint="eastAsia" w:ascii="宋体" w:hAnsi="宋体" w:cs="宋体"/>
          <w:sz w:val="24"/>
        </w:rPr>
        <w:t>前海科技创新政策适配度分析及监测咨询服务项目（招标编号：QH2023068）采用公开征集供应商简易招标方式采购，欢迎符合投标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招标文件编号</w:t>
            </w:r>
          </w:p>
        </w:tc>
        <w:tc>
          <w:tcPr>
            <w:tcW w:w="7015" w:type="dxa"/>
            <w:vAlign w:val="center"/>
          </w:tcPr>
          <w:p>
            <w:pPr>
              <w:spacing w:line="500" w:lineRule="exact"/>
              <w:rPr>
                <w:rFonts w:ascii="宋体" w:hAnsi="宋体" w:cs="宋体"/>
                <w:sz w:val="24"/>
              </w:rPr>
            </w:pPr>
            <w:r>
              <w:rPr>
                <w:rFonts w:hint="eastAsia" w:ascii="宋体" w:hAnsi="宋体" w:cs="宋体"/>
                <w:sz w:val="24"/>
              </w:rPr>
              <w:t>QH2023068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00" w:lineRule="exact"/>
              <w:rPr>
                <w:rFonts w:ascii="宋体" w:hAnsi="宋体" w:cs="宋体"/>
                <w:sz w:val="24"/>
              </w:rPr>
            </w:pPr>
            <w:r>
              <w:rPr>
                <w:rFonts w:hint="eastAsia" w:ascii="宋体" w:hAnsi="宋体" w:cs="宋体"/>
                <w:sz w:val="24"/>
              </w:rPr>
              <w:t>前海科技创新政策适配度分析及监测咨询服务项目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pacing w:line="500" w:lineRule="exact"/>
              <w:jc w:val="left"/>
              <w:rPr>
                <w:sz w:val="24"/>
              </w:rPr>
            </w:pPr>
            <w:bookmarkStart w:id="3" w:name="_Hlk109907681"/>
            <w:r>
              <w:rPr>
                <w:rFonts w:hint="eastAsia"/>
                <w:b/>
                <w:bCs/>
                <w:sz w:val="24"/>
              </w:rPr>
              <w:t>项目背景</w:t>
            </w:r>
            <w:r>
              <w:rPr>
                <w:rFonts w:hint="eastAsia"/>
                <w:sz w:val="24"/>
              </w:rPr>
              <w:t>：</w:t>
            </w:r>
          </w:p>
          <w:p>
            <w:pPr>
              <w:widowControl/>
              <w:spacing w:line="560" w:lineRule="exact"/>
              <w:ind w:firstLine="480" w:firstLineChars="200"/>
              <w:rPr>
                <w:b/>
                <w:bCs/>
                <w:sz w:val="24"/>
              </w:rPr>
            </w:pPr>
            <w:r>
              <w:rPr>
                <w:rFonts w:hint="eastAsia" w:ascii="长城仿宋" w:hAnsi="Calibri"/>
                <w:sz w:val="24"/>
              </w:rPr>
              <w:t>2021年9月，中共中央、国务院印发《全面深化前海深港现代服务业合作区改革开放方案》，前海发展空间扩大，产业业态更加丰富。前海工业、信息服务业、科技服务业等重点产业增加值占前海经济总量约40%，是支撑前海经济增长的重要力量。2022年8月《深圳市前海深港现代服务业合作区管理局支持科技创新实施办法（试行）》正式发布，为进一步监测该政策在细分产业链和具体招商项目的适配度以及在全国各主要城市间的竞争力，前海局拟采购前海科技创新政策适配度分析及监测咨询服务，该服务将通过针对重点招商引资项目、重点产业链上中下游企业对现有政策适配情况开展专业分析，同时定期对福田、上海、海南等地的科技创新产业政策创新点进行实时监控，以便为前海科技创新政策的实施和优化提供行业、产业项目、区域等方面的专业咨询支撑。</w:t>
            </w:r>
          </w:p>
          <w:p>
            <w:pPr>
              <w:widowControl/>
              <w:spacing w:line="500" w:lineRule="exact"/>
              <w:jc w:val="left"/>
              <w:rPr>
                <w:sz w:val="24"/>
              </w:rPr>
            </w:pPr>
            <w:r>
              <w:rPr>
                <w:rFonts w:hint="eastAsia"/>
                <w:b/>
                <w:bCs/>
                <w:sz w:val="24"/>
              </w:rPr>
              <w:t>项目内容</w:t>
            </w:r>
            <w:r>
              <w:rPr>
                <w:rFonts w:hint="eastAsia"/>
                <w:sz w:val="24"/>
              </w:rPr>
              <w:t>：</w:t>
            </w:r>
          </w:p>
          <w:bookmarkEnd w:id="3"/>
          <w:p>
            <w:pPr>
              <w:widowControl/>
              <w:numPr>
                <w:ilvl w:val="255"/>
                <w:numId w:val="0"/>
              </w:numPr>
              <w:spacing w:line="500" w:lineRule="exact"/>
              <w:ind w:firstLine="480" w:firstLineChars="200"/>
              <w:jc w:val="left"/>
              <w:rPr>
                <w:sz w:val="24"/>
              </w:rPr>
            </w:pPr>
            <w:r>
              <w:rPr>
                <w:rFonts w:hint="eastAsia"/>
                <w:sz w:val="24"/>
              </w:rPr>
              <w:t>本项目通过采用第三方专业咨询的方式，对前海重点招商引资项目开展针对性的科创政策适配度分析，开展重点产业链上中下游企业政策推广，并定期针对前海与上海临港、珠海横琴、广州南沙在科技创新领域招商引资、粤港澳产业合作、技术创新促进、产业环境营造等方面的政策对比分析与实时监控，加大科技创新政策推广覆盖的同时，不断对政策的适配情况和未来优化提供决策参考，通过专业咨询，将不断优化和提升产业政策与招商引资项目的适配度，提升科技创新项目精准化招商水平；同时通过监测咨询服务，提升前海科技创新政策相较于全国主要区的个性化与竞争力。</w:t>
            </w:r>
          </w:p>
          <w:p>
            <w:pPr>
              <w:widowControl/>
              <w:numPr>
                <w:ilvl w:val="255"/>
                <w:numId w:val="0"/>
              </w:numPr>
              <w:spacing w:line="500" w:lineRule="exact"/>
              <w:jc w:val="left"/>
              <w:rPr>
                <w:sz w:val="24"/>
              </w:rPr>
            </w:pPr>
            <w:r>
              <w:rPr>
                <w:rFonts w:hint="eastAsia"/>
                <w:sz w:val="24"/>
              </w:rPr>
              <w:t>（一）协助开展科技创新政策适配度分析</w:t>
            </w:r>
          </w:p>
          <w:p>
            <w:pPr>
              <w:widowControl/>
              <w:numPr>
                <w:ilvl w:val="255"/>
                <w:numId w:val="0"/>
              </w:numPr>
              <w:spacing w:line="500" w:lineRule="exact"/>
              <w:ind w:firstLine="480" w:firstLineChars="200"/>
              <w:jc w:val="left"/>
              <w:rPr>
                <w:sz w:val="24"/>
              </w:rPr>
            </w:pPr>
            <w:r>
              <w:rPr>
                <w:rFonts w:hint="eastAsia"/>
                <w:sz w:val="24"/>
              </w:rPr>
              <w:t>根据采购方需求，开展意向投资企业项目发展情况梳理与投资逻辑研判，针对30个重点招商引资项目协助开展针对性的科创政策适配度分析</w:t>
            </w:r>
            <w:r>
              <w:rPr>
                <w:sz w:val="24"/>
              </w:rPr>
              <w:t>，</w:t>
            </w:r>
            <w:r>
              <w:rPr>
                <w:rFonts w:hint="eastAsia"/>
                <w:sz w:val="24"/>
              </w:rPr>
              <w:t>产出30份适配度分析报告。针对前海意向投资项目，开展企业所在产业类别、行业发展趋势、市场体量、核心产品、技术表现、营收表现等项目研判工作，并就上述研判信息在前海科创政策适配度方面进行论证与分析，并给出项目政策在金融支持、创新补贴、对项目核心板块吸引力等方面的适配度结论。</w:t>
            </w:r>
          </w:p>
          <w:p>
            <w:pPr>
              <w:widowControl/>
              <w:numPr>
                <w:ilvl w:val="255"/>
                <w:numId w:val="0"/>
              </w:numPr>
              <w:spacing w:line="500" w:lineRule="exact"/>
              <w:jc w:val="left"/>
              <w:rPr>
                <w:sz w:val="24"/>
              </w:rPr>
            </w:pPr>
            <w:r>
              <w:rPr>
                <w:rFonts w:hint="eastAsia"/>
                <w:sz w:val="24"/>
              </w:rPr>
              <w:t>（二）协助开展科创政策重点产业链针对性推广支撑</w:t>
            </w:r>
          </w:p>
          <w:p>
            <w:pPr>
              <w:widowControl/>
              <w:numPr>
                <w:ilvl w:val="255"/>
                <w:numId w:val="0"/>
              </w:numPr>
              <w:spacing w:line="500" w:lineRule="exact"/>
              <w:ind w:firstLine="480" w:firstLineChars="200"/>
              <w:jc w:val="left"/>
              <w:rPr>
                <w:sz w:val="24"/>
              </w:rPr>
            </w:pPr>
            <w:r>
              <w:rPr>
                <w:rFonts w:hint="eastAsia"/>
                <w:sz w:val="24"/>
              </w:rPr>
              <w:t>协助开展重点产业链上中下游重点企业发展情况梳理，结合目标企业清单，为开展科创政策体系推广提供重要支撑。针对集成电路、人工智能、智能制造、电化学储能、低空经济、海洋科技等6个重点产业链，开展上中下游产业发展情况梳理，结合科创政策梳理目标企业清单，结合科技创新政策实施精准招商，为开展科创政策针对性推广提供分析参考内容</w:t>
            </w:r>
            <w:r>
              <w:rPr>
                <w:sz w:val="24"/>
              </w:rPr>
              <w:t>，</w:t>
            </w:r>
            <w:r>
              <w:rPr>
                <w:rFonts w:hint="eastAsia"/>
                <w:sz w:val="24"/>
              </w:rPr>
              <w:t>产出6份科创政策重点产业链针对性推广方案。</w:t>
            </w:r>
          </w:p>
          <w:p>
            <w:pPr>
              <w:widowControl/>
              <w:numPr>
                <w:ilvl w:val="255"/>
                <w:numId w:val="0"/>
              </w:numPr>
              <w:spacing w:line="500" w:lineRule="exact"/>
              <w:jc w:val="left"/>
              <w:rPr>
                <w:sz w:val="24"/>
              </w:rPr>
            </w:pPr>
            <w:r>
              <w:rPr>
                <w:rFonts w:hint="eastAsia"/>
                <w:sz w:val="24"/>
              </w:rPr>
              <w:t>（三）协助开展政策实时监控</w:t>
            </w:r>
          </w:p>
          <w:p>
            <w:pPr>
              <w:widowControl/>
              <w:spacing w:line="500" w:lineRule="exact"/>
              <w:ind w:firstLine="480" w:firstLineChars="200"/>
              <w:jc w:val="left"/>
              <w:rPr>
                <w:sz w:val="24"/>
              </w:rPr>
            </w:pPr>
            <w:r>
              <w:rPr>
                <w:rFonts w:hint="eastAsia"/>
                <w:sz w:val="24"/>
              </w:rPr>
              <w:t>定期开展前海与上海临港、珠海横琴、广州南沙在科技创新领域招商引资、粤港澳产业合作、技术创新促进、产业环境营造等方面的政策对比分析与实时监控。同时，结合深圳福田河套深港合作区、上海自贸区临港新片区、海南自贸港3个区域，开展科创相关政策的收集与汇总分析比较，并以两个月为时间周期，形成6份汇总分析简报，在科技创新扶持、重大技术攻关、自贸合作等方面，为下一步科创政策的优化与提升提供参考与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pacing w:line="500" w:lineRule="exact"/>
              <w:rPr>
                <w:rFonts w:ascii="宋体" w:hAnsi="宋体" w:cs="宋体"/>
                <w:sz w:val="24"/>
              </w:rPr>
            </w:pPr>
            <w:r>
              <w:rPr>
                <w:rFonts w:hint="eastAsia" w:ascii="宋体" w:hAnsi="宋体" w:cs="宋体"/>
                <w:sz w:val="24"/>
              </w:rPr>
              <w:t>¥400000.00（人民币）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招标文件为电子版，投标人可在前海管理局官网（政务公开-采购信息栏目）(http://qh.sz.gov.cn/)免费下载。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ascii="宋体" w:hAnsi="宋体" w:cs="宋体"/>
                <w:b/>
                <w:kern w:val="0"/>
                <w:sz w:val="24"/>
                <w:lang w:bidi="ar"/>
              </w:rPr>
              <w:t>7</w:t>
            </w:r>
            <w:r>
              <w:rPr>
                <w:rFonts w:hint="eastAsia" w:ascii="宋体" w:hAnsi="宋体" w:cs="宋体"/>
                <w:b/>
                <w:kern w:val="0"/>
                <w:sz w:val="24"/>
                <w:lang w:bidi="ar"/>
              </w:rPr>
              <w:t>月</w:t>
            </w:r>
            <w:r>
              <w:rPr>
                <w:rFonts w:ascii="宋体" w:hAnsi="宋体" w:cs="宋体"/>
                <w:b/>
                <w:kern w:val="0"/>
                <w:sz w:val="24"/>
                <w:lang w:bidi="ar"/>
              </w:rPr>
              <w:t>10</w:t>
            </w:r>
            <w:r>
              <w:rPr>
                <w:rFonts w:hint="eastAsia" w:ascii="宋体" w:hAnsi="宋体" w:cs="宋体"/>
                <w:b/>
                <w:kern w:val="0"/>
                <w:sz w:val="24"/>
                <w:lang w:bidi="ar"/>
              </w:rPr>
              <w:t>日下午17:00时（北京时间）前送达（现场递交）</w:t>
            </w:r>
            <w:r>
              <w:rPr>
                <w:rFonts w:hint="eastAsia" w:ascii="宋体" w:hAnsi="宋体" w:cs="宋体"/>
                <w:kern w:val="0"/>
                <w:sz w:val="24"/>
                <w:lang w:bidi="ar"/>
              </w:rPr>
              <w:t>至</w:t>
            </w:r>
            <w:r>
              <w:rPr>
                <w:rFonts w:hint="eastAsia" w:ascii="宋体" w:hAnsi="宋体" w:cs="宋体"/>
                <w:b/>
                <w:kern w:val="0"/>
                <w:sz w:val="24"/>
                <w:lang w:bidi="ar"/>
              </w:rPr>
              <w:t>深圳市前海深港现代服务业合作区桂湾五路123号前海大厦T1栋2419室。</w:t>
            </w:r>
          </w:p>
          <w:p>
            <w:pPr>
              <w:spacing w:line="500" w:lineRule="exact"/>
              <w:jc w:val="left"/>
              <w:rPr>
                <w:rFonts w:ascii="宋体" w:hAnsi="宋体" w:cs="宋体"/>
                <w:kern w:val="0"/>
                <w:sz w:val="24"/>
              </w:rPr>
            </w:pPr>
            <w:r>
              <w:rPr>
                <w:rFonts w:hint="eastAsia" w:ascii="宋体" w:hAnsi="宋体" w:cs="宋体"/>
                <w:kern w:val="0"/>
                <w:sz w:val="24"/>
                <w:lang w:bidi="ar"/>
              </w:rPr>
              <w:t>联系人：丁先生</w:t>
            </w:r>
          </w:p>
          <w:p>
            <w:pPr>
              <w:spacing w:line="500" w:lineRule="exact"/>
              <w:jc w:val="left"/>
              <w:rPr>
                <w:rFonts w:ascii="宋体" w:hAnsi="宋体" w:cs="宋体"/>
                <w:kern w:val="0"/>
                <w:sz w:val="24"/>
              </w:rPr>
            </w:pPr>
            <w:r>
              <w:rPr>
                <w:rFonts w:hint="eastAsia" w:ascii="宋体" w:hAnsi="宋体" w:cs="宋体"/>
                <w:kern w:val="0"/>
                <w:sz w:val="24"/>
                <w:lang w:bidi="ar"/>
              </w:rPr>
              <w:t>联系电话：</w:t>
            </w:r>
            <w:r>
              <w:rPr>
                <w:rFonts w:hint="eastAsia" w:ascii="宋体" w:hAnsi="宋体" w:cs="宋体"/>
                <w:kern w:val="0"/>
                <w:sz w:val="24"/>
              </w:rPr>
              <w:t>13728723944</w:t>
            </w:r>
          </w:p>
          <w:p>
            <w:pPr>
              <w:widowControl/>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500" w:lineRule="exact"/>
              <w:rPr>
                <w:rFonts w:ascii="宋体" w:hAnsi="宋体" w:cs="宋体"/>
                <w:kern w:val="0"/>
                <w:sz w:val="24"/>
              </w:rPr>
            </w:pPr>
            <w:r>
              <w:rPr>
                <w:rFonts w:hint="eastAsia" w:ascii="宋体" w:hAnsi="宋体" w:cs="宋体"/>
                <w:kern w:val="0"/>
                <w:sz w:val="24"/>
              </w:rPr>
              <w:t>参与政府采购项目投标的供应商近三年</w:t>
            </w:r>
            <w:r>
              <w:rPr>
                <w:rFonts w:hint="eastAsia" w:ascii="宋体" w:hAnsi="宋体" w:cs="宋体"/>
                <w:color w:val="000000"/>
                <w:kern w:val="0"/>
                <w:sz w:val="24"/>
              </w:rPr>
              <w:t>（投标人成立不足三年的可从成立之日起算</w:t>
            </w:r>
            <w:r>
              <w:rPr>
                <w:rFonts w:ascii="宋体" w:hAnsi="宋体" w:cs="宋体"/>
                <w:color w:val="000000"/>
                <w:kern w:val="0"/>
                <w:sz w:val="24"/>
              </w:rPr>
              <w:t>)</w:t>
            </w:r>
            <w:r>
              <w:rPr>
                <w:rFonts w:hint="eastAsia" w:ascii="宋体" w:hAnsi="宋体" w:cs="宋体"/>
                <w:kern w:val="0"/>
                <w:sz w:val="24"/>
              </w:rPr>
              <w:t>内无行贿犯罪记录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参与本项目投标前三年内</w:t>
            </w:r>
            <w:r>
              <w:rPr>
                <w:rFonts w:hint="eastAsia" w:ascii="宋体" w:hAnsi="宋体" w:cs="宋体"/>
                <w:color w:val="000000"/>
                <w:kern w:val="0"/>
                <w:sz w:val="24"/>
              </w:rPr>
              <w:t>（投标人成立不足三年的可从成立之日起算</w:t>
            </w:r>
            <w:r>
              <w:rPr>
                <w:rFonts w:ascii="宋体" w:hAnsi="宋体" w:cs="宋体"/>
                <w:color w:val="000000"/>
                <w:kern w:val="0"/>
                <w:sz w:val="24"/>
              </w:rPr>
              <w:t>)</w:t>
            </w:r>
            <w:r>
              <w:rPr>
                <w:rFonts w:hint="eastAsia" w:ascii="宋体" w:hAnsi="宋体" w:cs="宋体"/>
                <w:kern w:val="0"/>
                <w:sz w:val="24"/>
              </w:rPr>
              <w:t>，在经营活动中没有重大违法记录以及不存在被有关部门禁止参与政府采购活动且在有效期内的情况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符合国家法规政策关于诚信管理的要求，至投标截止时间，投标人未有在“信用中国”网（www.creditchina.gov.cn）、中国政府采购网（www.ccgp.gov.cn）、深圳市政府采购监督管理网（zfcg.sz.gov.cn）和国家企业信用信息公示系统（www.gsxt.gov.cn）等</w:t>
            </w:r>
            <w:r>
              <w:rPr>
                <w:rFonts w:ascii="宋体" w:hAnsi="宋体" w:cs="宋体"/>
                <w:kern w:val="0"/>
                <w:sz w:val="24"/>
              </w:rPr>
              <w:t>4</w:t>
            </w:r>
            <w:r>
              <w:rPr>
                <w:rFonts w:hint="eastAsia" w:ascii="宋体" w:hAnsi="宋体" w:cs="宋体"/>
                <w:kern w:val="0"/>
                <w:sz w:val="24"/>
              </w:rPr>
              <w:t xml:space="preserve">个官网中列入“失信被执行人、重大税收违法失信主体、政府采购严重违法失信行为记录名单”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500" w:lineRule="exact"/>
              <w:rPr>
                <w:rFonts w:ascii="宋体" w:hAnsi="宋体" w:cs="宋体"/>
                <w:kern w:val="0"/>
                <w:sz w:val="24"/>
              </w:rPr>
            </w:pPr>
            <w:r>
              <w:rPr>
                <w:rFonts w:hint="eastAsia" w:ascii="宋体" w:hAnsi="宋体" w:cs="宋体"/>
                <w:kern w:val="0"/>
                <w:sz w:val="24"/>
              </w:rPr>
              <w:t>本次投标为总价包干，投标报价总价作为中标</w:t>
            </w:r>
            <w:r>
              <w:rPr>
                <w:rFonts w:ascii="宋体" w:hAnsi="宋体" w:cs="宋体"/>
                <w:kern w:val="0"/>
                <w:sz w:val="24"/>
              </w:rPr>
              <w:t>单位</w:t>
            </w:r>
            <w:r>
              <w:rPr>
                <w:rFonts w:hint="eastAsia" w:ascii="宋体" w:hAnsi="宋体" w:cs="宋体"/>
                <w:kern w:val="0"/>
                <w:sz w:val="24"/>
              </w:rPr>
              <w:t>与采购</w:t>
            </w:r>
            <w:r>
              <w:rPr>
                <w:rFonts w:ascii="宋体" w:hAnsi="宋体" w:cs="宋体"/>
                <w:kern w:val="0"/>
                <w:sz w:val="24"/>
              </w:rPr>
              <w:t>单位</w:t>
            </w:r>
            <w:r>
              <w:rPr>
                <w:rFonts w:hint="eastAsia" w:ascii="宋体" w:hAnsi="宋体" w:cs="宋体"/>
                <w:kern w:val="0"/>
                <w:sz w:val="24"/>
              </w:rPr>
              <w:t>签订的合同金额。投标</w:t>
            </w:r>
            <w:r>
              <w:rPr>
                <w:rFonts w:ascii="宋体" w:hAnsi="宋体" w:cs="宋体"/>
                <w:kern w:val="0"/>
                <w:sz w:val="24"/>
              </w:rPr>
              <w:t>单位</w:t>
            </w:r>
            <w:r>
              <w:rPr>
                <w:rFonts w:hint="eastAsia" w:ascii="宋体" w:hAnsi="宋体" w:cs="宋体"/>
                <w:kern w:val="0"/>
                <w:sz w:val="24"/>
                <w:lang w:val="zh-CN"/>
              </w:rPr>
              <w:t>的报价不可高于限价，否则</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pacing w:line="500" w:lineRule="exact"/>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numPr>
                <w:ilvl w:val="0"/>
                <w:numId w:val="3"/>
              </w:numPr>
              <w:spacing w:line="500" w:lineRule="exact"/>
              <w:rPr>
                <w:rFonts w:ascii="宋体" w:hAnsi="宋体" w:cs="宋体"/>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采购人信息：</w:t>
            </w:r>
          </w:p>
          <w:p>
            <w:pPr>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00" w:lineRule="exact"/>
              <w:rPr>
                <w:rFonts w:ascii="宋体" w:hAnsi="宋体" w:cs="宋体"/>
                <w:kern w:val="0"/>
                <w:sz w:val="24"/>
              </w:rPr>
            </w:pPr>
            <w:r>
              <w:rPr>
                <w:rFonts w:hint="eastAsia" w:ascii="宋体" w:hAnsi="宋体" w:cs="宋体"/>
                <w:kern w:val="0"/>
                <w:sz w:val="24"/>
              </w:rPr>
              <w:t>联  系  人： 丁先生</w:t>
            </w:r>
          </w:p>
          <w:p>
            <w:pPr>
              <w:spacing w:line="500" w:lineRule="exact"/>
              <w:rPr>
                <w:rFonts w:ascii="宋体" w:hAnsi="宋体" w:cs="宋体"/>
                <w:kern w:val="0"/>
                <w:sz w:val="24"/>
              </w:rPr>
            </w:pPr>
            <w:r>
              <w:rPr>
                <w:rFonts w:hint="eastAsia" w:ascii="宋体" w:hAnsi="宋体" w:cs="宋体"/>
                <w:kern w:val="0"/>
                <w:sz w:val="24"/>
              </w:rPr>
              <w:t>电      话： 13728723944</w:t>
            </w:r>
          </w:p>
          <w:p>
            <w:pPr>
              <w:spacing w:line="500" w:lineRule="exact"/>
              <w:rPr>
                <w:rFonts w:ascii="宋体" w:hAnsi="宋体" w:cs="宋体"/>
                <w:kern w:val="0"/>
                <w:sz w:val="24"/>
              </w:rPr>
            </w:pPr>
            <w:r>
              <w:rPr>
                <w:rFonts w:hint="eastAsia" w:ascii="宋体" w:hAnsi="宋体" w:cs="宋体"/>
                <w:kern w:val="0"/>
                <w:sz w:val="24"/>
              </w:rPr>
              <w:t>采购代理机构信息：</w:t>
            </w:r>
          </w:p>
          <w:p>
            <w:pPr>
              <w:spacing w:line="500" w:lineRule="exact"/>
              <w:rPr>
                <w:rFonts w:ascii="宋体" w:hAnsi="宋体" w:cs="宋体"/>
                <w:kern w:val="0"/>
                <w:sz w:val="24"/>
              </w:rPr>
            </w:pPr>
            <w:r>
              <w:rPr>
                <w:rFonts w:hint="eastAsia" w:ascii="宋体" w:hAnsi="宋体" w:cs="宋体"/>
                <w:kern w:val="0"/>
                <w:sz w:val="24"/>
              </w:rPr>
              <w:t>名      称： 深圳交易咨询集团有限公司</w:t>
            </w:r>
          </w:p>
          <w:p>
            <w:pPr>
              <w:spacing w:line="50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500" w:lineRule="exact"/>
              <w:rPr>
                <w:rFonts w:ascii="宋体" w:hAnsi="宋体" w:cs="宋体"/>
                <w:kern w:val="0"/>
                <w:sz w:val="24"/>
              </w:rPr>
            </w:pPr>
            <w:r>
              <w:rPr>
                <w:rFonts w:hint="eastAsia" w:ascii="宋体" w:hAnsi="宋体" w:cs="宋体"/>
                <w:kern w:val="0"/>
                <w:sz w:val="24"/>
              </w:rPr>
              <w:t>联  系  人： 黎先生、温先生</w:t>
            </w:r>
          </w:p>
          <w:p>
            <w:pPr>
              <w:spacing w:line="500" w:lineRule="exact"/>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ascii="宋体" w:hAnsi="宋体" w:cs="宋体"/>
          <w:sz w:val="24"/>
        </w:rPr>
        <w:t>7</w:t>
      </w:r>
      <w:r>
        <w:rPr>
          <w:rFonts w:hint="eastAsia" w:ascii="宋体" w:hAnsi="宋体" w:cs="宋体"/>
          <w:sz w:val="24"/>
        </w:rPr>
        <w:t>月</w:t>
      </w:r>
      <w:r>
        <w:rPr>
          <w:rFonts w:ascii="宋体" w:hAnsi="宋体" w:cs="宋体"/>
          <w:sz w:val="24"/>
        </w:rPr>
        <w:t>5</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1、本项目是深圳市前海深港现代服务业合作区管理局的前海科技创新政策适配度分析及监测咨询服务项目。</w:t>
      </w:r>
    </w:p>
    <w:p>
      <w:pPr>
        <w:spacing w:line="360" w:lineRule="auto"/>
        <w:ind w:firstLine="480" w:firstLineChars="200"/>
        <w:rPr>
          <w:rFonts w:ascii="宋体" w:hAnsi="宋体" w:cs="宋体"/>
          <w:b/>
          <w:bCs/>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及采购单位的有关规定，深圳交易咨询集团有限公司受深圳市前海深港现代服务业合作区管理局委托以简易招标方式组织采购，本次采购公开征集供应商，报名且符合招标文件初审的供应商满足3家或3家以上的，采用综合评分法的方式进行。</w:t>
      </w:r>
      <w:r>
        <w:rPr>
          <w:rFonts w:hint="eastAsia" w:ascii="宋体" w:hAnsi="宋体" w:cs="宋体"/>
          <w:b/>
          <w:bCs/>
          <w:sz w:val="24"/>
        </w:rPr>
        <w:t>报名且符合招标文件初审的供应商不足3家而致招标失败的，按以下流程执行：</w:t>
      </w:r>
    </w:p>
    <w:p>
      <w:pPr>
        <w:spacing w:line="360" w:lineRule="auto"/>
        <w:ind w:firstLine="482" w:firstLineChars="200"/>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ind w:firstLine="482" w:firstLineChars="200"/>
        <w:rPr>
          <w:rFonts w:ascii="宋体" w:hAnsi="宋体" w:cs="宋体"/>
          <w:b/>
          <w:bCs/>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w:t>
      </w:r>
      <w:r>
        <w:rPr>
          <w:rFonts w:ascii="宋体" w:hAnsi="宋体" w:cs="宋体"/>
          <w:sz w:val="24"/>
        </w:rPr>
        <w:t>单位</w:t>
      </w:r>
      <w:r>
        <w:rPr>
          <w:rFonts w:hint="eastAsia" w:ascii="宋体" w:hAnsi="宋体" w:cs="宋体"/>
          <w:sz w:val="24"/>
        </w:rPr>
        <w:t>与采购</w:t>
      </w:r>
      <w:r>
        <w:rPr>
          <w:rFonts w:ascii="宋体" w:hAnsi="宋体" w:cs="宋体"/>
          <w:sz w:val="24"/>
        </w:rPr>
        <w:t>单位</w:t>
      </w:r>
      <w:r>
        <w:rPr>
          <w:rFonts w:hint="eastAsia" w:ascii="宋体" w:hAnsi="宋体" w:cs="宋体"/>
          <w:sz w:val="24"/>
        </w:rPr>
        <w:t>签订的合同金额。投标</w:t>
      </w:r>
      <w:r>
        <w:rPr>
          <w:rFonts w:ascii="宋体" w:hAnsi="宋体" w:cs="宋体"/>
          <w:sz w:val="24"/>
        </w:rPr>
        <w:t>单位</w:t>
      </w:r>
      <w:r>
        <w:rPr>
          <w:rFonts w:hint="eastAsia" w:ascii="宋体" w:hAnsi="宋体" w:cs="宋体"/>
          <w:sz w:val="24"/>
          <w:lang w:val="zh-CN"/>
        </w:rPr>
        <w:t>的报价不可高于限价，否则</w:t>
      </w:r>
      <w:r>
        <w:rPr>
          <w:rFonts w:hint="eastAsia" w:ascii="宋体" w:hAnsi="宋体" w:cs="宋体"/>
          <w:sz w:val="24"/>
        </w:rPr>
        <w:t>投标</w:t>
      </w:r>
      <w:r>
        <w:rPr>
          <w:rFonts w:ascii="宋体" w:hAnsi="宋体" w:cs="宋体"/>
          <w:sz w:val="24"/>
        </w:rPr>
        <w:t>单位</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w:t>
      </w:r>
      <w:r>
        <w:rPr>
          <w:rFonts w:ascii="宋体" w:hAnsi="宋体" w:cs="宋体"/>
          <w:sz w:val="24"/>
        </w:rPr>
        <w:t>单位</w:t>
      </w:r>
      <w:r>
        <w:rPr>
          <w:rFonts w:hint="eastAsia" w:ascii="宋体" w:hAnsi="宋体" w:cs="宋体"/>
          <w:sz w:val="24"/>
        </w:rPr>
        <w:t>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5"/>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5"/>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14、采用谈判的情况：参与投标且符合招标文件要求的供应商仅有一家</w:t>
      </w:r>
      <w:r>
        <w:rPr>
          <w:rFonts w:ascii="宋体" w:hAnsi="宋体" w:cs="宋体"/>
          <w:sz w:val="24"/>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color w:val="000000"/>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四、报名截止时间：202</w:t>
      </w:r>
      <w:r>
        <w:rPr>
          <w:rFonts w:ascii="宋体" w:hAnsi="宋体" w:cs="宋体"/>
          <w:sz w:val="24"/>
        </w:rPr>
        <w:t>3</w:t>
      </w:r>
      <w:r>
        <w:rPr>
          <w:rFonts w:hint="eastAsia" w:ascii="宋体" w:hAnsi="宋体" w:cs="宋体"/>
          <w:sz w:val="24"/>
        </w:rPr>
        <w:t>年</w:t>
      </w:r>
      <w:r>
        <w:rPr>
          <w:rFonts w:ascii="宋体" w:hAnsi="宋体" w:cs="宋体"/>
          <w:sz w:val="24"/>
        </w:rPr>
        <w:t>7</w:t>
      </w:r>
      <w:r>
        <w:rPr>
          <w:rFonts w:hint="eastAsia" w:ascii="宋体" w:hAnsi="宋体" w:cs="宋体"/>
          <w:sz w:val="24"/>
        </w:rPr>
        <w:t>月</w:t>
      </w:r>
      <w:r>
        <w:rPr>
          <w:rFonts w:ascii="宋体" w:hAnsi="宋体" w:cs="宋体"/>
          <w:sz w:val="24"/>
        </w:rPr>
        <w:t>10</w:t>
      </w:r>
      <w:r>
        <w:rPr>
          <w:rFonts w:hint="eastAsia" w:ascii="宋体" w:hAnsi="宋体" w:cs="宋体"/>
          <w:sz w:val="24"/>
        </w:rPr>
        <w:t>日下午17:00时（北京时间）。</w:t>
      </w:r>
    </w:p>
    <w:p>
      <w:pPr>
        <w:spacing w:line="360" w:lineRule="auto"/>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应在202</w:t>
      </w:r>
      <w:r>
        <w:rPr>
          <w:rFonts w:ascii="宋体" w:hAnsi="宋体" w:cs="宋体"/>
          <w:sz w:val="24"/>
        </w:rPr>
        <w:t>3</w:t>
      </w:r>
      <w:r>
        <w:rPr>
          <w:rFonts w:hint="eastAsia" w:ascii="宋体" w:hAnsi="宋体" w:cs="宋体"/>
          <w:sz w:val="24"/>
        </w:rPr>
        <w:t>年</w:t>
      </w:r>
      <w:r>
        <w:rPr>
          <w:rFonts w:ascii="宋体" w:hAnsi="宋体" w:cs="宋体"/>
          <w:sz w:val="24"/>
        </w:rPr>
        <w:t>7</w:t>
      </w:r>
      <w:r>
        <w:rPr>
          <w:rFonts w:hint="eastAsia" w:ascii="宋体" w:hAnsi="宋体" w:cs="宋体"/>
          <w:sz w:val="24"/>
        </w:rPr>
        <w:t>月</w:t>
      </w:r>
      <w:r>
        <w:rPr>
          <w:rFonts w:ascii="宋体" w:hAnsi="宋体" w:cs="宋体"/>
          <w:sz w:val="24"/>
        </w:rPr>
        <w:t>10</w:t>
      </w:r>
      <w:r>
        <w:rPr>
          <w:rFonts w:hint="eastAsia" w:ascii="宋体" w:hAnsi="宋体" w:cs="宋体"/>
          <w:sz w:val="24"/>
        </w:rPr>
        <w:t>日下午17:00时（北京时间）前送达（现场递交前海大厦T1栋</w:t>
      </w:r>
      <w:r>
        <w:rPr>
          <w:rFonts w:ascii="宋体" w:hAnsi="宋体" w:cs="宋体"/>
          <w:sz w:val="24"/>
        </w:rPr>
        <w:t>2419</w:t>
      </w:r>
      <w:r>
        <w:rPr>
          <w:rFonts w:hint="eastAsia" w:ascii="宋体" w:hAnsi="宋体" w:cs="宋体"/>
          <w:sz w:val="24"/>
        </w:rPr>
        <w:t>室）。截标后不再接收任何投标文件。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如需委派代表现场参加，参加开标的代表应签名报到以证明出席。开标时，招标代理机构将当众宣读投标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rPr>
          <w:rFonts w:ascii="宋体" w:hAnsi="宋体" w:cs="宋体"/>
          <w:sz w:val="24"/>
        </w:rPr>
      </w:pPr>
      <w:r>
        <w:rPr>
          <w:rFonts w:hint="eastAsia" w:ascii="宋体" w:hAnsi="宋体" w:cs="宋体"/>
          <w:sz w:val="24"/>
        </w:rPr>
        <w:t>5、采用谈判的情况：</w:t>
      </w:r>
      <w:r>
        <w:rPr>
          <w:rFonts w:hint="eastAsia" w:ascii="宋体" w:hAnsi="宋体" w:cs="宋体"/>
          <w:sz w:val="24"/>
          <w:lang w:eastAsia="zh-Hans"/>
        </w:rPr>
        <w:t>如</w:t>
      </w:r>
      <w:r>
        <w:rPr>
          <w:rFonts w:hint="eastAsia" w:ascii="宋体" w:hAnsi="宋体" w:cs="宋体"/>
          <w:sz w:val="24"/>
        </w:rPr>
        <w:t>参与投标且符合招标文件要求的供应商仅有一家</w:t>
      </w:r>
      <w:r>
        <w:rPr>
          <w:rFonts w:ascii="宋体" w:hAnsi="宋体" w:cs="宋体"/>
          <w:sz w:val="24"/>
        </w:rPr>
        <w:t>，</w:t>
      </w:r>
      <w:r>
        <w:rPr>
          <w:rFonts w:hint="eastAsia" w:ascii="宋体" w:hAnsi="宋体" w:cs="宋体"/>
          <w:sz w:val="24"/>
        </w:rPr>
        <w:t>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highlight w:val="yellow"/>
        </w:rPr>
        <w:t>合同格式及合同条款</w:t>
      </w:r>
      <w:bookmarkEnd w:id="6"/>
    </w:p>
    <w:p>
      <w:pPr>
        <w:spacing w:line="360" w:lineRule="auto"/>
        <w:ind w:firstLine="470" w:firstLineChars="196"/>
        <w:jc w:val="center"/>
        <w:rPr>
          <w:rFonts w:ascii="宋体" w:hAnsi="宋体" w:cs="宋体"/>
          <w:sz w:val="24"/>
        </w:rPr>
      </w:pPr>
      <w:bookmarkStart w:id="7" w:name="_Toc100052414"/>
      <w:bookmarkStart w:id="8" w:name="_Toc84303603"/>
      <w:bookmarkStart w:id="9" w:name="_Toc73521680"/>
      <w:bookmarkStart w:id="10" w:name="_Toc101074886"/>
      <w:bookmarkStart w:id="11" w:name="_Toc73521592"/>
      <w:bookmarkStart w:id="12" w:name="_Toc73518163"/>
      <w:bookmarkStart w:id="13" w:name="_Toc73517685"/>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25"/>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5"/>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5"/>
        <w:spacing w:line="360" w:lineRule="auto"/>
        <w:ind w:left="1470" w:right="1470" w:firstLine="482"/>
        <w:jc w:val="center"/>
        <w:rPr>
          <w:rFonts w:ascii="宋体" w:hAnsi="宋体" w:cs="宋体"/>
          <w:b/>
          <w:sz w:val="24"/>
          <w:szCs w:val="24"/>
        </w:rPr>
      </w:pPr>
    </w:p>
    <w:p>
      <w:pPr>
        <w:pStyle w:val="2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前海科技创新政策适配度分析及监测咨询服务项目委托合同</w:t>
      </w:r>
    </w:p>
    <w:p>
      <w:pPr>
        <w:spacing w:line="360" w:lineRule="auto"/>
        <w:rPr>
          <w:rFonts w:ascii="宋体" w:hAnsi="宋体" w:cs="宋体"/>
          <w:sz w:val="24"/>
        </w:rPr>
      </w:pPr>
      <w:r>
        <w:rPr>
          <w:rFonts w:hint="eastAsia" w:ascii="宋体" w:hAnsi="宋体" w:cs="宋体"/>
          <w:sz w:val="24"/>
        </w:rPr>
        <w:t xml:space="preserve"> </w:t>
      </w:r>
    </w:p>
    <w:p>
      <w:pPr>
        <w:pStyle w:val="25"/>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b/>
          <w:sz w:val="28"/>
          <w:szCs w:val="28"/>
        </w:rPr>
        <w:t>前海科技创新政策适配度分析及监测咨询服务项目</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根据《中华人民共和国民法典》等法律、法规的相关规定和编号为【】招标项目的中标结果，由【***】单位（以下简称乙方）为中标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承担前海科技创新政策适配度分析及监测咨询服务项目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ascii="宋体" w:hAnsi="宋体" w:cs="宋体"/>
          <w:sz w:val="24"/>
        </w:rPr>
      </w:pPr>
      <w:r>
        <w:rPr>
          <w:rFonts w:hint="eastAsia" w:ascii="宋体" w:hAnsi="宋体" w:cs="宋体"/>
          <w:sz w:val="24"/>
        </w:rPr>
        <w:t>项目名称：前海科技创新政策适配度分析及监测咨询服务项目</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1、项目背景</w:t>
      </w:r>
    </w:p>
    <w:p>
      <w:pPr>
        <w:widowControl/>
        <w:spacing w:line="560" w:lineRule="exact"/>
        <w:ind w:firstLine="480" w:firstLineChars="200"/>
        <w:rPr>
          <w:b/>
          <w:bCs/>
          <w:sz w:val="24"/>
        </w:rPr>
      </w:pPr>
      <w:r>
        <w:rPr>
          <w:rFonts w:hint="eastAsia" w:ascii="长城仿宋" w:hAnsi="Calibri"/>
          <w:sz w:val="24"/>
        </w:rPr>
        <w:t>2021年9月，中共中央、国务院印发《全面深化前海深港现代服务业合作区改革开放方案》，前海发展空间扩大，产业业态更加丰富。前海工业、信息服务业、科技服务业等重点产业增加值占前海经济总量约40%，是支撑前海经济增长的重要力量。2022年8月《深圳市前海深港现代服务业合作区管理局支持科技创新实施办法（试行）》正式发布，为进一步监测该政策在细分产业链和具体招商项目的适配度以及在全国各主要城市间的竞争力，前海局拟采购前海科技创新政策适配度分析及监测咨询服务，该服务将通过针对重点招商引资项目、重点产业链上中下游企业对现有政策适配情况开展专业分析，同时定期对福田、上海、海南等地的科技创新产业政策创新点进行实时监控，以便为前海科技创新政策的实施和优化提供行业、产业项目、区域等方面的专业咨询支撑。</w:t>
      </w:r>
    </w:p>
    <w:p>
      <w:pPr>
        <w:pStyle w:val="25"/>
        <w:ind w:firstLine="482"/>
        <w:rPr>
          <w:sz w:val="24"/>
          <w:szCs w:val="24"/>
        </w:rPr>
      </w:pPr>
      <w:r>
        <w:rPr>
          <w:b/>
          <w:bCs/>
          <w:sz w:val="24"/>
          <w:szCs w:val="24"/>
        </w:rPr>
        <w:t>2、</w:t>
      </w:r>
      <w:r>
        <w:rPr>
          <w:rFonts w:hint="eastAsia"/>
          <w:b/>
          <w:bCs/>
          <w:sz w:val="24"/>
          <w:szCs w:val="24"/>
        </w:rPr>
        <w:t>项目内容</w:t>
      </w:r>
      <w:r>
        <w:rPr>
          <w:rFonts w:hint="eastAsia"/>
          <w:sz w:val="24"/>
          <w:szCs w:val="24"/>
        </w:rPr>
        <w:t>：</w:t>
      </w:r>
    </w:p>
    <w:p>
      <w:pPr>
        <w:pStyle w:val="25"/>
        <w:ind w:firstLine="480"/>
        <w:rPr>
          <w:sz w:val="24"/>
          <w:szCs w:val="24"/>
        </w:rPr>
      </w:pPr>
      <w:r>
        <w:rPr>
          <w:rFonts w:hint="eastAsia"/>
          <w:sz w:val="24"/>
          <w:szCs w:val="24"/>
        </w:rPr>
        <w:t>本项目通过采用第三方专业咨询的方式，对前海重点招商引资项目开展针对性的科创政策适配度分析，开展重点产业链上中下游企业政策推广，并定期针对前海与上海临港、珠海横琴、广州南沙在科技创新领域招商引资、粤港澳产业合作、技术创新促进、产业环境营造等方面的政策对比分析与实时监控，加大科技创新政策推广覆盖的同时，不断对政策的适配情况和未来优化提供决策参考，通过专业咨询，将不断优化和提升产业政策与招商引资项目的适配度，提升科技创新项目精准化招商水平；同时通过监测咨询服务，提升前海科技创新政策相较于全国主要区的个性化与竞争力。</w:t>
      </w:r>
    </w:p>
    <w:p>
      <w:pPr>
        <w:pStyle w:val="25"/>
        <w:ind w:firstLine="480"/>
        <w:rPr>
          <w:sz w:val="24"/>
          <w:szCs w:val="24"/>
        </w:rPr>
      </w:pPr>
      <w:r>
        <w:rPr>
          <w:rFonts w:hint="eastAsia"/>
          <w:sz w:val="24"/>
          <w:szCs w:val="24"/>
        </w:rPr>
        <w:t>（一）</w:t>
      </w:r>
      <w:r>
        <w:rPr>
          <w:rFonts w:hint="eastAsia"/>
          <w:sz w:val="24"/>
        </w:rPr>
        <w:t>协助开展</w:t>
      </w:r>
      <w:r>
        <w:rPr>
          <w:rFonts w:hint="eastAsia"/>
          <w:sz w:val="24"/>
          <w:szCs w:val="24"/>
        </w:rPr>
        <w:t>科技创新政策适配度分析</w:t>
      </w:r>
    </w:p>
    <w:p>
      <w:pPr>
        <w:pStyle w:val="25"/>
        <w:ind w:firstLine="480"/>
        <w:rPr>
          <w:sz w:val="24"/>
          <w:szCs w:val="24"/>
        </w:rPr>
      </w:pPr>
      <w:r>
        <w:rPr>
          <w:rFonts w:hint="eastAsia"/>
          <w:sz w:val="24"/>
          <w:szCs w:val="24"/>
        </w:rPr>
        <w:t>根据采购方需求，协助开展意向投资企业项目发展情况梳理与投资逻辑研判，针对30个重点招商引资项目协助开展针对性的科创政策适配度分析</w:t>
      </w:r>
      <w:r>
        <w:rPr>
          <w:sz w:val="24"/>
          <w:szCs w:val="24"/>
        </w:rPr>
        <w:t>，</w:t>
      </w:r>
      <w:r>
        <w:rPr>
          <w:rFonts w:hint="eastAsia"/>
          <w:sz w:val="24"/>
          <w:szCs w:val="24"/>
        </w:rPr>
        <w:t>产出30份适配度分析报告。针对20个前海意向投资项目，开展企业所在产业类别、行业发展趋势、市场体量、核心产品、技术表现、营收表现等项目研判工作，并就上述研判信息在前海科创政策适配度方面进行论证与分析，并给出项目政策在金融支持、创新补贴、对项目核心板块吸引力等方面的适配度结论。</w:t>
      </w:r>
    </w:p>
    <w:p>
      <w:pPr>
        <w:pStyle w:val="25"/>
        <w:ind w:firstLine="480"/>
        <w:rPr>
          <w:sz w:val="24"/>
          <w:szCs w:val="24"/>
        </w:rPr>
      </w:pPr>
      <w:r>
        <w:rPr>
          <w:rFonts w:hint="eastAsia"/>
          <w:sz w:val="24"/>
          <w:szCs w:val="24"/>
        </w:rPr>
        <w:t>（二）</w:t>
      </w:r>
      <w:r>
        <w:rPr>
          <w:rFonts w:hint="eastAsia"/>
          <w:sz w:val="24"/>
        </w:rPr>
        <w:t>协助开展</w:t>
      </w:r>
      <w:r>
        <w:rPr>
          <w:rFonts w:hint="eastAsia"/>
          <w:sz w:val="24"/>
          <w:szCs w:val="24"/>
        </w:rPr>
        <w:t>科创政策重点产业链针对性推广支撑</w:t>
      </w:r>
    </w:p>
    <w:p>
      <w:pPr>
        <w:pStyle w:val="25"/>
        <w:ind w:firstLine="480"/>
        <w:rPr>
          <w:sz w:val="24"/>
          <w:szCs w:val="24"/>
        </w:rPr>
      </w:pPr>
      <w:r>
        <w:rPr>
          <w:rFonts w:hint="eastAsia"/>
          <w:sz w:val="24"/>
          <w:szCs w:val="24"/>
        </w:rPr>
        <w:t>协助开展重点产业链上中下游重点企业发展情况梳理，结合目标企业清单，为开展科创政策体系推广提供重要支撑。针对集成电路、人工智能、智能制造、电化学储能、低空经济、海洋科技等6个重点产业链，开展上中下游产业发展情况梳理，结合科创政策梳理目标企业清单，结合科技创新政策实施精准招商，为开展科创政策针对性推广提供分析参考内容</w:t>
      </w:r>
      <w:r>
        <w:rPr>
          <w:sz w:val="24"/>
          <w:szCs w:val="24"/>
        </w:rPr>
        <w:t>，</w:t>
      </w:r>
      <w:r>
        <w:rPr>
          <w:rFonts w:hint="eastAsia"/>
          <w:sz w:val="24"/>
          <w:szCs w:val="24"/>
        </w:rPr>
        <w:t>产出6份科创政策重点产业链针对性推广方案。</w:t>
      </w:r>
    </w:p>
    <w:p>
      <w:pPr>
        <w:pStyle w:val="25"/>
        <w:ind w:firstLine="480"/>
        <w:rPr>
          <w:sz w:val="24"/>
          <w:szCs w:val="24"/>
        </w:rPr>
      </w:pPr>
      <w:r>
        <w:rPr>
          <w:rFonts w:hint="eastAsia"/>
          <w:sz w:val="24"/>
          <w:szCs w:val="24"/>
        </w:rPr>
        <w:t>（三）协助开展政策实时监控</w:t>
      </w:r>
    </w:p>
    <w:p>
      <w:pPr>
        <w:spacing w:line="360" w:lineRule="auto"/>
        <w:ind w:firstLine="480" w:firstLineChars="200"/>
        <w:rPr>
          <w:rFonts w:ascii="宋体" w:hAnsi="宋体" w:cs="宋体"/>
          <w:sz w:val="24"/>
        </w:rPr>
      </w:pPr>
      <w:r>
        <w:rPr>
          <w:rFonts w:hint="eastAsia" w:ascii="宋体" w:hAnsi="宋体" w:cs="宋体"/>
          <w:sz w:val="24"/>
        </w:rPr>
        <w:t>定期开展前海与上海临港、珠海横琴、广州南沙在科技创新领域招商引资、粤港澳产业合作、技术创新促进、产业环境营造等方面的政策对比分析与实时监控。同时，结合深圳福田河套深港合作区、上海自贸区临港新片区、海南自贸港3个区域，开展科创相关政策的收集与汇总分析比较，并以两个月为时间周期，形成</w:t>
      </w:r>
      <w:r>
        <w:rPr>
          <w:rFonts w:ascii="宋体" w:hAnsi="宋体" w:cs="宋体"/>
          <w:sz w:val="24"/>
        </w:rPr>
        <w:t>6</w:t>
      </w:r>
      <w:r>
        <w:rPr>
          <w:rFonts w:hint="eastAsia" w:ascii="宋体" w:hAnsi="宋体" w:cs="宋体"/>
          <w:sz w:val="24"/>
        </w:rPr>
        <w:t>份汇总分析简报，在科技创新扶持、重大技术攻关、自贸合作等方面，为下一步科创政策的优化与提升提供参考与借鉴。</w:t>
      </w:r>
    </w:p>
    <w:p>
      <w:pPr>
        <w:spacing w:line="360" w:lineRule="auto"/>
        <w:ind w:firstLine="482" w:firstLineChars="200"/>
        <w:rPr>
          <w:rFonts w:ascii="宋体" w:hAnsi="宋体" w:cs="宋体"/>
          <w:b/>
          <w:bCs/>
          <w:sz w:val="24"/>
        </w:rPr>
      </w:pPr>
      <w:r>
        <w:rPr>
          <w:rFonts w:hint="eastAsia" w:ascii="宋体" w:hAnsi="宋体" w:cs="宋体"/>
          <w:b/>
          <w:bCs/>
          <w:sz w:val="24"/>
        </w:rPr>
        <w:t>第二条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的资料的最后文本，包括为履行数据分析服务范围所编制的数据表、分析报告和相关证明资料等，都归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w:t>
      </w:r>
    </w:p>
    <w:p>
      <w:pPr>
        <w:spacing w:line="360" w:lineRule="auto"/>
        <w:ind w:firstLine="482" w:firstLineChars="200"/>
        <w:rPr>
          <w:rFonts w:ascii="宋体" w:hAnsi="宋体" w:cs="宋体"/>
          <w:b/>
          <w:bCs/>
          <w:kern w:val="0"/>
          <w:sz w:val="24"/>
          <w:szCs w:val="20"/>
        </w:rPr>
      </w:pPr>
      <w:r>
        <w:rPr>
          <w:rFonts w:hint="eastAsia" w:ascii="宋体" w:hAnsi="宋体" w:cs="宋体"/>
          <w:b/>
          <w:bCs/>
          <w:sz w:val="24"/>
          <w:lang w:eastAsia="zh-Hans"/>
        </w:rPr>
        <w:t>第三条：</w:t>
      </w:r>
      <w:r>
        <w:rPr>
          <w:rFonts w:hint="eastAsia" w:ascii="宋体" w:hAnsi="宋体" w:cs="宋体"/>
          <w:b/>
          <w:bCs/>
          <w:kern w:val="0"/>
          <w:sz w:val="24"/>
          <w:szCs w:val="20"/>
        </w:rPr>
        <w:t>服务期限</w:t>
      </w:r>
    </w:p>
    <w:p>
      <w:pPr>
        <w:spacing w:line="360" w:lineRule="auto"/>
        <w:ind w:firstLine="480" w:firstLineChars="200"/>
      </w:pPr>
      <w:r>
        <w:rPr>
          <w:rFonts w:hint="eastAsia" w:ascii="宋体" w:hAnsi="宋体" w:cs="宋体"/>
          <w:bCs/>
          <w:kern w:val="0"/>
          <w:sz w:val="24"/>
          <w:szCs w:val="20"/>
        </w:rPr>
        <w:t>本项目工作期限为自签订合同之日起1年，自</w:t>
      </w:r>
      <w:r>
        <w:rPr>
          <w:rFonts w:hint="eastAsia" w:ascii="宋体" w:hAnsi="宋体" w:cs="宋体"/>
          <w:bCs/>
          <w:kern w:val="0"/>
          <w:sz w:val="24"/>
          <w:szCs w:val="20"/>
          <w:u w:val="single"/>
        </w:rPr>
        <w:t xml:space="preserve">        </w:t>
      </w:r>
      <w:r>
        <w:rPr>
          <w:rFonts w:hint="eastAsia" w:ascii="宋体" w:hAnsi="宋体" w:cs="宋体"/>
          <w:bCs/>
          <w:kern w:val="0"/>
          <w:sz w:val="24"/>
          <w:szCs w:val="20"/>
        </w:rPr>
        <w:t>年</w:t>
      </w:r>
      <w:r>
        <w:rPr>
          <w:rFonts w:hint="eastAsia" w:ascii="宋体" w:hAnsi="宋体" w:cs="宋体"/>
          <w:bCs/>
          <w:kern w:val="0"/>
          <w:sz w:val="24"/>
          <w:szCs w:val="20"/>
          <w:u w:val="single"/>
        </w:rPr>
        <w:t xml:space="preserve">      </w:t>
      </w:r>
      <w:r>
        <w:rPr>
          <w:rFonts w:hint="eastAsia" w:ascii="宋体" w:hAnsi="宋体" w:cs="宋体"/>
          <w:bCs/>
          <w:kern w:val="0"/>
          <w:sz w:val="24"/>
          <w:szCs w:val="20"/>
        </w:rPr>
        <w:t>月</w:t>
      </w:r>
      <w:r>
        <w:rPr>
          <w:rFonts w:hint="eastAsia" w:ascii="宋体" w:hAnsi="宋体" w:cs="宋体"/>
          <w:bCs/>
          <w:kern w:val="0"/>
          <w:sz w:val="24"/>
          <w:szCs w:val="20"/>
          <w:u w:val="single"/>
        </w:rPr>
        <w:t xml:space="preserve">      </w:t>
      </w:r>
      <w:r>
        <w:rPr>
          <w:rFonts w:hint="eastAsia" w:ascii="宋体" w:hAnsi="宋体" w:cs="宋体"/>
          <w:bCs/>
          <w:kern w:val="0"/>
          <w:sz w:val="24"/>
          <w:szCs w:val="20"/>
        </w:rPr>
        <w:t>日起至</w:t>
      </w:r>
      <w:r>
        <w:rPr>
          <w:rFonts w:hint="eastAsia" w:ascii="宋体" w:hAnsi="宋体" w:cs="宋体"/>
          <w:bCs/>
          <w:kern w:val="0"/>
          <w:sz w:val="24"/>
          <w:szCs w:val="20"/>
          <w:u w:val="single"/>
        </w:rPr>
        <w:t xml:space="preserve">        </w:t>
      </w:r>
      <w:r>
        <w:rPr>
          <w:rFonts w:hint="eastAsia" w:ascii="宋体" w:hAnsi="宋体" w:cs="宋体"/>
          <w:bCs/>
          <w:kern w:val="0"/>
          <w:sz w:val="24"/>
          <w:szCs w:val="20"/>
        </w:rPr>
        <w:t>年</w:t>
      </w:r>
      <w:r>
        <w:rPr>
          <w:rFonts w:hint="eastAsia" w:ascii="宋体" w:hAnsi="宋体" w:cs="宋体"/>
          <w:bCs/>
          <w:kern w:val="0"/>
          <w:sz w:val="24"/>
          <w:szCs w:val="20"/>
          <w:u w:val="single"/>
        </w:rPr>
        <w:t xml:space="preserve">      </w:t>
      </w:r>
      <w:r>
        <w:rPr>
          <w:rFonts w:hint="eastAsia" w:ascii="宋体" w:hAnsi="宋体" w:cs="宋体"/>
          <w:bCs/>
          <w:kern w:val="0"/>
          <w:sz w:val="24"/>
          <w:szCs w:val="20"/>
        </w:rPr>
        <w:t>月</w:t>
      </w:r>
      <w:r>
        <w:rPr>
          <w:rFonts w:hint="eastAsia" w:ascii="宋体" w:hAnsi="宋体" w:cs="宋体"/>
          <w:bCs/>
          <w:kern w:val="0"/>
          <w:sz w:val="24"/>
          <w:szCs w:val="20"/>
          <w:u w:val="single"/>
        </w:rPr>
        <w:t xml:space="preserve">      </w:t>
      </w:r>
      <w:r>
        <w:rPr>
          <w:rFonts w:hint="eastAsia" w:ascii="宋体" w:hAnsi="宋体" w:cs="宋体"/>
          <w:bCs/>
          <w:kern w:val="0"/>
          <w:sz w:val="24"/>
          <w:szCs w:val="20"/>
        </w:rPr>
        <w:t>日止。</w:t>
      </w:r>
    </w:p>
    <w:p>
      <w:pPr>
        <w:spacing w:line="360" w:lineRule="auto"/>
        <w:ind w:firstLine="482" w:firstLineChars="200"/>
        <w:rPr>
          <w:rFonts w:ascii="宋体" w:hAnsi="宋体" w:cs="宋体"/>
          <w:b/>
          <w:bCs/>
          <w:sz w:val="24"/>
        </w:rPr>
      </w:pPr>
      <w:r>
        <w:rPr>
          <w:rFonts w:hint="eastAsia" w:ascii="宋体" w:hAnsi="宋体" w:cs="宋体"/>
          <w:b/>
          <w:bCs/>
          <w:sz w:val="24"/>
        </w:rPr>
        <w:t>第四条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1、应按照【】号招标文件、乙方投标文件以及本合同的要求按期完成本项目服务工作。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乙方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第六条  甲方的权利</w:t>
      </w:r>
    </w:p>
    <w:p>
      <w:pPr>
        <w:pStyle w:val="8"/>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8"/>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8"/>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8"/>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8"/>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8"/>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第八条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82" w:firstLineChars="200"/>
        <w:rPr>
          <w:rFonts w:ascii="宋体" w:hAnsi="宋体" w:cs="宋体"/>
          <w:b/>
          <w:bCs/>
          <w:sz w:val="24"/>
        </w:rPr>
      </w:pPr>
      <w:r>
        <w:rPr>
          <w:rFonts w:hint="eastAsia" w:ascii="宋体" w:hAnsi="宋体" w:cs="宋体"/>
          <w:b/>
          <w:bCs/>
          <w:sz w:val="24"/>
        </w:rPr>
        <w:t>第九条  保密条款</w:t>
      </w:r>
    </w:p>
    <w:p>
      <w:pPr>
        <w:widowControl/>
        <w:spacing w:line="360" w:lineRule="auto"/>
        <w:ind w:firstLine="480" w:firstLineChars="200"/>
        <w:rPr>
          <w:rFonts w:ascii="宋体" w:hAnsi="宋体" w:cs="宋体"/>
          <w:sz w:val="24"/>
        </w:rPr>
      </w:pPr>
      <w:bookmarkStart w:id="14"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5" w:name="_Toc216520224"/>
      <w:r>
        <w:rPr>
          <w:rFonts w:hint="eastAsia" w:ascii="宋体" w:hAnsi="宋体" w:cs="宋体"/>
          <w:sz w:val="24"/>
        </w:rPr>
        <w:t>5</w:t>
      </w:r>
      <w:bookmarkEnd w:id="15"/>
      <w:bookmarkStart w:id="16" w:name="_Toc216520226"/>
      <w:r>
        <w:rPr>
          <w:rFonts w:hint="eastAsia" w:ascii="宋体" w:hAnsi="宋体" w:cs="宋体"/>
          <w:sz w:val="24"/>
        </w:rPr>
        <w:t>、上述保密义务不适用以下情况：</w:t>
      </w:r>
      <w:bookmarkEnd w:id="16"/>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 xml:space="preserve">第十条  验收     </w:t>
      </w:r>
    </w:p>
    <w:p>
      <w:pPr>
        <w:spacing w:line="360" w:lineRule="auto"/>
        <w:ind w:firstLine="480" w:firstLineChars="200"/>
        <w:rPr>
          <w:rFonts w:ascii="宋体" w:hAnsi="宋体" w:cs="宋体"/>
          <w:sz w:val="24"/>
          <w:highlight w:val="cyan"/>
        </w:rPr>
      </w:pPr>
      <w:r>
        <w:rPr>
          <w:rFonts w:hint="eastAsia" w:ascii="宋体" w:hAnsi="宋体" w:cs="宋体"/>
          <w:sz w:val="24"/>
        </w:rPr>
        <w:t>1、初步验收：</w:t>
      </w:r>
      <w:r>
        <w:rPr>
          <w:rFonts w:hint="eastAsia" w:ascii="宋体" w:hAnsi="宋体"/>
          <w:sz w:val="24"/>
        </w:rPr>
        <w:t>甲方在合同签订6个月后进行初步验收，初步验收成果为至少15份</w:t>
      </w:r>
      <w:r>
        <w:rPr>
          <w:rFonts w:hint="eastAsia" w:ascii="宋体" w:hAnsi="宋体" w:cs="宋体"/>
          <w:sz w:val="24"/>
        </w:rPr>
        <w:t>《XX项目与前海科创政策适配度分析报告》、3份《科创政策XX产业链针对性推广方案》和3份《科创政策汇总分析及定期监测简报》，成果名称以甲方确认为准，以电子形式(*.doc格式)提交。甲方</w:t>
      </w:r>
      <w:r>
        <w:rPr>
          <w:rFonts w:hint="eastAsia" w:ascii="宋体" w:hAnsi="宋体"/>
          <w:sz w:val="24"/>
        </w:rPr>
        <w:t>负责对乙方提交的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sz w:val="24"/>
        </w:rPr>
        <w:t>审查</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2、最终成果验收：</w:t>
      </w:r>
      <w:r>
        <w:rPr>
          <w:rFonts w:hint="eastAsia" w:ascii="宋体" w:hAnsi="宋体" w:cs="宋体"/>
          <w:sz w:val="24"/>
        </w:rPr>
        <w:t>本项目最终应形成30份《XX项目与前海科创政策适配度分析报告》、6份《科创政策XX产业链针对性推广方案》和6份《科创政策汇总分析及定期监测简报》，最终成果名称以甲方确认为准，分别以书面形式(按照甲方要求印制2份)和电子形式(*.doc格式)提交。最终成果验收合格的标志为甲方</w:t>
      </w:r>
      <w:r>
        <w:rPr>
          <w:rFonts w:hint="eastAsia" w:ascii="宋体" w:hAnsi="宋体"/>
          <w:sz w:val="24"/>
        </w:rPr>
        <w:t>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sz w:val="24"/>
        </w:rPr>
        <w:t>审查</w:t>
      </w:r>
      <w:r>
        <w:rPr>
          <w:rFonts w:hint="eastAsia" w:ascii="宋体" w:hAnsi="宋体" w:cs="宋体"/>
          <w:sz w:val="24"/>
        </w:rPr>
        <w:t>验收通过。</w:t>
      </w:r>
    </w:p>
    <w:p>
      <w:pPr>
        <w:spacing w:line="360" w:lineRule="auto"/>
        <w:ind w:firstLine="480" w:firstLineChars="200"/>
        <w:rPr>
          <w:rFonts w:ascii="宋体" w:hAnsi="宋体"/>
          <w:sz w:val="24"/>
        </w:rPr>
      </w:pPr>
      <w:r>
        <w:rPr>
          <w:rFonts w:ascii="宋体" w:hAnsi="宋体" w:cs="宋体"/>
          <w:sz w:val="24"/>
        </w:rPr>
        <w:t>3</w:t>
      </w:r>
      <w:r>
        <w:rPr>
          <w:rFonts w:hint="eastAsia" w:ascii="宋体" w:hAnsi="宋体" w:cs="宋体"/>
          <w:sz w:val="24"/>
        </w:rPr>
        <w:t>、</w:t>
      </w:r>
      <w:r>
        <w:rPr>
          <w:rFonts w:hint="eastAsia" w:ascii="宋体" w:hAnsi="宋体"/>
          <w:sz w:val="24"/>
        </w:rPr>
        <w:t>甲方如需乙方增加交付成果的数量，应由双方协商解决。</w:t>
      </w:r>
    </w:p>
    <w:p>
      <w:pPr>
        <w:spacing w:line="360" w:lineRule="auto"/>
        <w:ind w:firstLine="480" w:firstLineChars="200"/>
        <w:rPr>
          <w:rFonts w:ascii="宋体" w:hAnsi="宋体" w:cs="宋体"/>
          <w:b/>
          <w:bCs/>
          <w:sz w:val="24"/>
        </w:rPr>
      </w:pPr>
      <w:r>
        <w:rPr>
          <w:rFonts w:hint="eastAsia" w:ascii="宋体" w:hAnsi="宋体"/>
          <w:sz w:val="24"/>
        </w:rPr>
        <w:t>4、</w:t>
      </w:r>
      <w:r>
        <w:rPr>
          <w:rFonts w:hint="eastAsia" w:ascii="宋体" w:hAnsi="宋体" w:cs="宋体"/>
          <w:sz w:val="24"/>
        </w:rPr>
        <w:t>验收依据为【      】号招标文件</w:t>
      </w:r>
      <w:r>
        <w:rPr>
          <w:rFonts w:ascii="宋体" w:hAnsi="宋体" w:cs="宋体"/>
          <w:sz w:val="24"/>
        </w:rPr>
        <w:t>、</w:t>
      </w:r>
      <w:r>
        <w:rPr>
          <w:rFonts w:hint="eastAsia" w:ascii="宋体" w:hAnsi="宋体" w:cs="宋体"/>
          <w:sz w:val="24"/>
        </w:rPr>
        <w:t>乙方投标文件</w:t>
      </w:r>
      <w:r>
        <w:rPr>
          <w:rFonts w:hint="eastAsia" w:ascii="宋体" w:hAnsi="宋体" w:cs="宋体"/>
          <w:sz w:val="24"/>
          <w:lang w:eastAsia="zh-Hans"/>
        </w:rPr>
        <w:t>及本合同</w:t>
      </w:r>
      <w:r>
        <w:rPr>
          <w:rFonts w:hint="eastAsia" w:ascii="宋体" w:hAnsi="宋体" w:cs="宋体"/>
          <w:sz w:val="24"/>
        </w:rPr>
        <w:t>约定的相关内容。</w:t>
      </w:r>
    </w:p>
    <w:p>
      <w:pPr>
        <w:spacing w:line="360" w:lineRule="auto"/>
        <w:ind w:firstLine="482" w:firstLineChars="200"/>
        <w:rPr>
          <w:rFonts w:ascii="宋体" w:hAnsi="宋体" w:cs="宋体"/>
          <w:b/>
          <w:bCs/>
          <w:sz w:val="24"/>
        </w:rPr>
      </w:pPr>
      <w:r>
        <w:rPr>
          <w:rFonts w:hint="eastAsia" w:ascii="宋体" w:hAnsi="宋体" w:cs="宋体"/>
          <w:b/>
          <w:bCs/>
          <w:sz w:val="24"/>
        </w:rPr>
        <w:t>第十一条  项目服务费用及付款方式</w:t>
      </w:r>
    </w:p>
    <w:p>
      <w:pPr>
        <w:adjustRightInd w:val="0"/>
        <w:snapToGrid w:val="0"/>
        <w:spacing w:line="360" w:lineRule="auto"/>
        <w:ind w:firstLine="480" w:firstLineChars="200"/>
        <w:rPr>
          <w:rFonts w:ascii="宋体" w:hAnsi="宋体"/>
          <w:sz w:val="24"/>
        </w:rPr>
      </w:pPr>
      <w:bookmarkStart w:id="17" w:name="_Hlk32923729"/>
      <w:r>
        <w:rPr>
          <w:rFonts w:hint="eastAsia" w:ascii="宋体" w:hAnsi="宋体"/>
          <w:sz w:val="24"/>
        </w:rPr>
        <w:t>1、本合同项下服务费总金额共计人民币    万元整(￥0000.00)。服务费已包含乙方提供本合同项下服务的全部费用，包括但不限于如下内容：</w:t>
      </w:r>
    </w:p>
    <w:p>
      <w:pPr>
        <w:adjustRightInd w:val="0"/>
        <w:snapToGrid w:val="0"/>
        <w:spacing w:line="360" w:lineRule="auto"/>
        <w:ind w:firstLine="480" w:firstLineChars="200"/>
        <w:rPr>
          <w:rFonts w:ascii="宋体" w:hAnsi="宋体"/>
          <w:sz w:val="24"/>
        </w:rPr>
      </w:pPr>
      <w:r>
        <w:rPr>
          <w:rFonts w:hint="eastAsia" w:ascii="宋体" w:hAnsi="宋体"/>
          <w:sz w:val="24"/>
        </w:rPr>
        <w:t>（1）乙方为甲方所提供的所有服务和技术支持费用；</w:t>
      </w:r>
    </w:p>
    <w:p>
      <w:pPr>
        <w:adjustRightInd w:val="0"/>
        <w:snapToGrid w:val="0"/>
        <w:spacing w:line="360" w:lineRule="auto"/>
        <w:ind w:firstLine="480" w:firstLineChars="200"/>
        <w:rPr>
          <w:rFonts w:ascii="宋体" w:hAnsi="宋体"/>
          <w:sz w:val="24"/>
        </w:rPr>
      </w:pPr>
      <w:r>
        <w:rPr>
          <w:rFonts w:hint="eastAsia" w:ascii="宋体" w:hAnsi="宋体"/>
          <w:sz w:val="24"/>
        </w:rPr>
        <w:t>（2）项目研讨会费用；</w:t>
      </w:r>
    </w:p>
    <w:p>
      <w:pPr>
        <w:adjustRightInd w:val="0"/>
        <w:snapToGrid w:val="0"/>
        <w:spacing w:line="360" w:lineRule="auto"/>
        <w:ind w:firstLine="480" w:firstLineChars="200"/>
        <w:rPr>
          <w:rFonts w:ascii="宋体" w:hAnsi="宋体"/>
          <w:sz w:val="24"/>
        </w:rPr>
      </w:pPr>
      <w:r>
        <w:rPr>
          <w:rFonts w:hint="eastAsia" w:ascii="宋体" w:hAnsi="宋体"/>
          <w:sz w:val="24"/>
        </w:rPr>
        <w:t>（3）项目产生的专家费用；</w:t>
      </w:r>
    </w:p>
    <w:p>
      <w:pPr>
        <w:adjustRightInd w:val="0"/>
        <w:snapToGrid w:val="0"/>
        <w:spacing w:line="360" w:lineRule="auto"/>
        <w:ind w:firstLine="480" w:firstLineChars="200"/>
        <w:rPr>
          <w:rFonts w:ascii="宋体" w:hAnsi="宋体"/>
          <w:sz w:val="24"/>
        </w:rPr>
      </w:pPr>
      <w:r>
        <w:rPr>
          <w:rFonts w:hint="eastAsia" w:ascii="宋体" w:hAnsi="宋体"/>
          <w:sz w:val="24"/>
        </w:rPr>
        <w:t>（4）乙方工作人员工资、差旅费；</w:t>
      </w:r>
    </w:p>
    <w:p>
      <w:pPr>
        <w:adjustRightInd w:val="0"/>
        <w:snapToGrid w:val="0"/>
        <w:spacing w:line="360" w:lineRule="auto"/>
        <w:ind w:firstLine="480" w:firstLineChars="200"/>
        <w:rPr>
          <w:rFonts w:ascii="宋体" w:hAnsi="宋体"/>
          <w:sz w:val="24"/>
        </w:rPr>
      </w:pPr>
      <w:r>
        <w:rPr>
          <w:rFonts w:hint="eastAsia" w:ascii="宋体" w:hAnsi="宋体"/>
          <w:sz w:val="24"/>
        </w:rPr>
        <w:t>（5）乙方的办公、通讯、交通费用；</w:t>
      </w:r>
    </w:p>
    <w:p>
      <w:pPr>
        <w:adjustRightInd w:val="0"/>
        <w:snapToGrid w:val="0"/>
        <w:spacing w:line="360" w:lineRule="auto"/>
        <w:ind w:firstLine="480" w:firstLineChars="200"/>
        <w:rPr>
          <w:rFonts w:ascii="宋体" w:hAnsi="宋体"/>
          <w:sz w:val="24"/>
        </w:rPr>
      </w:pPr>
      <w:r>
        <w:rPr>
          <w:rFonts w:hint="eastAsia" w:ascii="宋体" w:hAnsi="宋体"/>
          <w:sz w:val="24"/>
        </w:rPr>
        <w:t>（6）项目材料统计、分析费用；</w:t>
      </w:r>
    </w:p>
    <w:p>
      <w:pPr>
        <w:adjustRightInd w:val="0"/>
        <w:snapToGrid w:val="0"/>
        <w:spacing w:line="360" w:lineRule="auto"/>
        <w:ind w:firstLine="480" w:firstLineChars="200"/>
        <w:rPr>
          <w:rFonts w:ascii="宋体" w:hAnsi="宋体"/>
          <w:sz w:val="24"/>
        </w:rPr>
      </w:pPr>
      <w:r>
        <w:rPr>
          <w:rFonts w:hint="eastAsia" w:ascii="宋体" w:hAnsi="宋体"/>
          <w:sz w:val="24"/>
        </w:rPr>
        <w:t>（7）项目成果文本印刷费用；</w:t>
      </w:r>
    </w:p>
    <w:p>
      <w:pPr>
        <w:adjustRightInd w:val="0"/>
        <w:snapToGrid w:val="0"/>
        <w:spacing w:line="360" w:lineRule="auto"/>
        <w:ind w:firstLine="480" w:firstLineChars="200"/>
        <w:rPr>
          <w:rFonts w:ascii="宋体" w:hAnsi="宋体"/>
          <w:sz w:val="24"/>
        </w:rPr>
      </w:pPr>
      <w:r>
        <w:rPr>
          <w:rFonts w:hint="eastAsia" w:ascii="宋体" w:hAnsi="宋体"/>
          <w:sz w:val="24"/>
        </w:rPr>
        <w:t>（8）乙方以各种方式将文件资料发送至甲方的费用；</w:t>
      </w:r>
    </w:p>
    <w:p>
      <w:pPr>
        <w:adjustRightInd w:val="0"/>
        <w:snapToGrid w:val="0"/>
        <w:spacing w:line="360" w:lineRule="auto"/>
        <w:ind w:firstLine="480" w:firstLineChars="200"/>
        <w:rPr>
          <w:rFonts w:ascii="宋体" w:hAnsi="宋体"/>
          <w:sz w:val="24"/>
        </w:rPr>
      </w:pPr>
      <w:r>
        <w:rPr>
          <w:rFonts w:hint="eastAsia" w:ascii="宋体" w:hAnsi="宋体"/>
          <w:sz w:val="24"/>
        </w:rPr>
        <w:t>（9）本合同项下产生的一</w:t>
      </w:r>
      <w:bookmarkStart w:id="34" w:name="_GoBack"/>
      <w:bookmarkEnd w:id="34"/>
      <w:r>
        <w:rPr>
          <w:rFonts w:hint="eastAsia" w:ascii="宋体" w:hAnsi="宋体"/>
          <w:sz w:val="24"/>
        </w:rPr>
        <w:t>切税费。</w:t>
      </w:r>
    </w:p>
    <w:p>
      <w:pPr>
        <w:adjustRightInd w:val="0"/>
        <w:snapToGrid w:val="0"/>
        <w:spacing w:line="360" w:lineRule="auto"/>
        <w:ind w:firstLine="480" w:firstLineChars="200"/>
        <w:rPr>
          <w:rFonts w:ascii="宋体" w:hAnsi="宋体"/>
          <w:sz w:val="24"/>
        </w:rPr>
      </w:pPr>
      <w:r>
        <w:rPr>
          <w:rFonts w:hint="eastAsia" w:ascii="宋体" w:hAnsi="宋体"/>
          <w:sz w:val="24"/>
        </w:rPr>
        <w:t>2、付款方式</w:t>
      </w:r>
    </w:p>
    <w:p>
      <w:pPr>
        <w:adjustRightInd w:val="0"/>
        <w:snapToGrid w:val="0"/>
        <w:spacing w:line="360" w:lineRule="auto"/>
        <w:ind w:firstLine="480" w:firstLineChars="200"/>
        <w:rPr>
          <w:rFonts w:ascii="宋体" w:hAnsi="宋体"/>
          <w:color w:val="FF0000"/>
          <w:sz w:val="24"/>
          <w:highlight w:val="yellow"/>
        </w:rPr>
      </w:pPr>
      <w:r>
        <w:rPr>
          <w:rFonts w:ascii="宋体" w:hAnsi="宋体"/>
          <w:sz w:val="24"/>
        </w:rPr>
        <w:t>合同生效后30个工作日内</w:t>
      </w:r>
      <w:r>
        <w:rPr>
          <w:rFonts w:hint="eastAsia" w:ascii="宋体" w:hAnsi="宋体"/>
          <w:sz w:val="24"/>
        </w:rPr>
        <w:t>，乙方向甲方提出付款申请，甲方</w:t>
      </w:r>
      <w:r>
        <w:rPr>
          <w:rFonts w:ascii="宋体" w:hAnsi="宋体"/>
          <w:sz w:val="24"/>
        </w:rPr>
        <w:t>向</w:t>
      </w:r>
      <w:r>
        <w:rPr>
          <w:rFonts w:hint="eastAsia" w:ascii="宋体" w:hAnsi="宋体"/>
          <w:sz w:val="24"/>
        </w:rPr>
        <w:t>乙</w:t>
      </w:r>
      <w:r>
        <w:rPr>
          <w:rFonts w:ascii="宋体" w:hAnsi="宋体"/>
          <w:sz w:val="24"/>
        </w:rPr>
        <w:t>方支付合同总费用的</w:t>
      </w:r>
      <w:r>
        <w:rPr>
          <w:rFonts w:hint="eastAsia" w:ascii="宋体" w:hAnsi="宋体"/>
          <w:sz w:val="24"/>
        </w:rPr>
        <w:t>50</w:t>
      </w:r>
      <w:r>
        <w:rPr>
          <w:rFonts w:ascii="宋体" w:hAnsi="宋体"/>
          <w:sz w:val="24"/>
        </w:rPr>
        <w:t>%；</w:t>
      </w:r>
      <w:r>
        <w:rPr>
          <w:rFonts w:hint="eastAsia" w:ascii="宋体" w:hAnsi="宋体"/>
          <w:sz w:val="24"/>
        </w:rPr>
        <w:t>乙</w:t>
      </w:r>
      <w:r>
        <w:rPr>
          <w:rFonts w:ascii="宋体" w:hAnsi="宋体"/>
          <w:sz w:val="24"/>
        </w:rPr>
        <w:t>方</w:t>
      </w:r>
      <w:r>
        <w:rPr>
          <w:rFonts w:hint="eastAsia" w:ascii="宋体" w:hAnsi="宋体"/>
          <w:sz w:val="24"/>
        </w:rPr>
        <w:t>完成项目全部服务内容，并经甲方审查验收通过后，乙方向甲方提出付款申请，甲方</w:t>
      </w:r>
      <w:r>
        <w:rPr>
          <w:rFonts w:ascii="宋体" w:hAnsi="宋体"/>
          <w:sz w:val="24"/>
        </w:rPr>
        <w:t>向</w:t>
      </w:r>
      <w:r>
        <w:rPr>
          <w:rFonts w:hint="eastAsia" w:ascii="宋体" w:hAnsi="宋体"/>
          <w:sz w:val="24"/>
        </w:rPr>
        <w:t>乙方</w:t>
      </w:r>
      <w:r>
        <w:rPr>
          <w:rFonts w:ascii="宋体" w:hAnsi="宋体"/>
          <w:sz w:val="24"/>
        </w:rPr>
        <w:t>支付合同总费用的</w:t>
      </w:r>
      <w:r>
        <w:rPr>
          <w:rFonts w:hint="eastAsia" w:ascii="宋体" w:hAnsi="宋体"/>
          <w:sz w:val="24"/>
        </w:rPr>
        <w:t>50</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满足付款条件，且甲方</w:t>
      </w:r>
      <w:r>
        <w:rPr>
          <w:rFonts w:ascii="宋体" w:hAnsi="宋体"/>
          <w:sz w:val="24"/>
        </w:rPr>
        <w:t>收到</w:t>
      </w:r>
      <w:r>
        <w:rPr>
          <w:rFonts w:hint="eastAsia" w:ascii="宋体" w:hAnsi="宋体"/>
          <w:sz w:val="24"/>
        </w:rPr>
        <w:t>乙方开具的载</w:t>
      </w:r>
      <w:r>
        <w:rPr>
          <w:rFonts w:ascii="宋体" w:hAnsi="宋体"/>
          <w:sz w:val="24"/>
        </w:rPr>
        <w:t>明相应金额的合格发票后15个工作日内</w:t>
      </w:r>
      <w:r>
        <w:rPr>
          <w:rFonts w:hint="eastAsia" w:ascii="宋体" w:hAnsi="宋体"/>
          <w:sz w:val="24"/>
        </w:rPr>
        <w:t>付至乙方指定银行账户</w:t>
      </w:r>
      <w:r>
        <w:rPr>
          <w:rFonts w:ascii="宋体" w:hAnsi="宋体"/>
          <w:sz w:val="24"/>
        </w:rPr>
        <w:t>。如未及时收到发票，则</w:t>
      </w:r>
      <w:r>
        <w:rPr>
          <w:rFonts w:hint="eastAsia" w:ascii="宋体" w:hAnsi="宋体"/>
          <w:sz w:val="24"/>
        </w:rPr>
        <w:t>甲方</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3.乙方指定银行账户：</w:t>
      </w:r>
    </w:p>
    <w:p>
      <w:pPr>
        <w:widowControl/>
        <w:spacing w:line="360" w:lineRule="auto"/>
        <w:ind w:firstLine="480" w:firstLineChars="200"/>
        <w:rPr>
          <w:rFonts w:ascii="宋体" w:hAnsi="宋体" w:cs="宋体"/>
          <w:sz w:val="24"/>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widowControl/>
        <w:spacing w:line="360" w:lineRule="auto"/>
        <w:ind w:firstLine="480" w:firstLineChars="200"/>
        <w:rPr>
          <w:rFonts w:ascii="宋体" w:hAnsi="宋体" w:cs="宋体"/>
          <w:sz w:val="24"/>
        </w:rPr>
      </w:pPr>
      <w:r>
        <w:rPr>
          <w:rFonts w:hint="eastAsia" w:ascii="宋体" w:hAnsi="宋体" w:cs="宋体"/>
          <w:sz w:val="24"/>
        </w:rPr>
        <w:t>开户银行：</w:t>
      </w:r>
    </w:p>
    <w:bookmarkEnd w:id="17"/>
    <w:p>
      <w:pPr>
        <w:spacing w:line="360" w:lineRule="auto"/>
        <w:ind w:firstLine="482" w:firstLineChars="200"/>
        <w:rPr>
          <w:rFonts w:ascii="宋体" w:hAnsi="宋体" w:cs="宋体"/>
          <w:b/>
          <w:bCs/>
          <w:sz w:val="24"/>
        </w:rPr>
      </w:pPr>
      <w:r>
        <w:rPr>
          <w:rFonts w:hint="eastAsia" w:ascii="宋体" w:hAnsi="宋体" w:cs="宋体"/>
          <w:b/>
          <w:bCs/>
          <w:sz w:val="24"/>
        </w:rPr>
        <w:t>第十二条 合同提前终止</w:t>
      </w:r>
    </w:p>
    <w:p>
      <w:pPr>
        <w:pStyle w:val="25"/>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25"/>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5"/>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25"/>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5"/>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5"/>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25"/>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25"/>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5"/>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5"/>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第十三条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第十四条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１、乙方应完全地按照【】号招标文件的要求</w:t>
      </w:r>
      <w:r>
        <w:rPr>
          <w:rFonts w:ascii="宋体" w:hAnsi="宋体" w:cs="宋体"/>
          <w:sz w:val="24"/>
        </w:rPr>
        <w:t>、</w:t>
      </w:r>
      <w:r>
        <w:rPr>
          <w:rFonts w:hint="eastAsia" w:ascii="宋体" w:hAnsi="宋体" w:cs="宋体"/>
          <w:sz w:val="24"/>
        </w:rPr>
        <w:t>乙方投标文件的承诺</w:t>
      </w:r>
      <w:r>
        <w:rPr>
          <w:rFonts w:hint="eastAsia" w:ascii="宋体" w:hAnsi="宋体" w:cs="宋体"/>
          <w:sz w:val="24"/>
          <w:lang w:eastAsia="zh-Hans"/>
        </w:rPr>
        <w:t>以及本合同的约定</w:t>
      </w:r>
      <w:r>
        <w:rPr>
          <w:rFonts w:hint="eastAsia" w:ascii="宋体" w:hAnsi="宋体" w:cs="宋体"/>
          <w:sz w:val="24"/>
        </w:rPr>
        <w:t>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第十五条  违约责任</w:t>
      </w:r>
    </w:p>
    <w:p>
      <w:pPr>
        <w:spacing w:line="360" w:lineRule="auto"/>
        <w:ind w:firstLine="480" w:firstLineChars="200"/>
        <w:rPr>
          <w:rFonts w:ascii="宋体" w:hAnsi="宋体" w:cs="宋体"/>
          <w:sz w:val="24"/>
        </w:rPr>
      </w:pPr>
      <w:r>
        <w:rPr>
          <w:rFonts w:hint="eastAsia" w:ascii="宋体" w:hAnsi="宋体" w:cs="宋体"/>
          <w:sz w:val="24"/>
        </w:rPr>
        <w:t>1、如乙方未按照本合同约定的时间完成本项目各阶段工作，每迟延一日，甲方有权自尚未支付的合同款项中扣除本合同服务费总金额的3‰的逾期违约金。</w:t>
      </w:r>
    </w:p>
    <w:p>
      <w:pPr>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（2）因乙方工作的错误或遗漏造成成果质量不符合本合同要求，且乙方未按甲方要求采取及时有效的补救措施的；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（3）乙方虽如期提交阶段性成果和最终成果，但最终成果连续二次未能通过专家评审会评审验收的；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如甲方未按照本合同约定的时间支付服务费，乙方书面催告甲方并给予不少于5个工作日的履行期限后甲方仍未支付的，乙方有权自该期限届满之日起要求甲方支付该阶段应付而未付合同价款每日3‰的逾期违约金。如甲方无正当理由拒绝接受服务，到期明确表示拒付服务款项，乙方有权要求甲方支付本合同项下服务费总金额20%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spacing w:line="360" w:lineRule="auto"/>
        <w:ind w:firstLine="482" w:firstLineChars="200"/>
        <w:rPr>
          <w:rFonts w:ascii="宋体" w:hAnsi="宋体" w:cs="宋体"/>
          <w:b/>
          <w:bCs/>
          <w:sz w:val="24"/>
        </w:rPr>
      </w:pPr>
      <w:r>
        <w:rPr>
          <w:rFonts w:hint="eastAsia" w:ascii="宋体" w:hAnsi="宋体" w:cs="宋体"/>
          <w:b/>
          <w:bCs/>
          <w:sz w:val="24"/>
        </w:rPr>
        <w:t>第十六条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5"/>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5"/>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5"/>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5"/>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5"/>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5"/>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pStyle w:val="26"/>
        <w:tabs>
          <w:tab w:val="left" w:pos="720"/>
        </w:tabs>
        <w:autoSpaceDE w:val="0"/>
        <w:autoSpaceDN w:val="0"/>
        <w:adjustRightInd w:val="0"/>
        <w:spacing w:line="360" w:lineRule="auto"/>
        <w:ind w:right="17" w:firstLine="482"/>
        <w:jc w:val="center"/>
        <w:outlineLvl w:val="1"/>
        <w:rPr>
          <w:rFonts w:ascii="宋体" w:hAnsi="宋体" w:cs="宋体"/>
          <w:b/>
          <w:sz w:val="24"/>
        </w:rPr>
      </w:pPr>
      <w:bookmarkStart w:id="19" w:name="_Toc11045"/>
      <w:bookmarkStart w:id="20" w:name="_Toc23726"/>
      <w:r>
        <w:rPr>
          <w:rFonts w:hint="eastAsia" w:ascii="宋体" w:hAnsi="宋体" w:cs="宋体"/>
          <w:b/>
          <w:sz w:val="24"/>
        </w:rPr>
        <w:t>一、</w:t>
      </w:r>
      <w:bookmarkEnd w:id="19"/>
      <w:bookmarkEnd w:id="20"/>
      <w:bookmarkStart w:id="21" w:name="_Toc96337997"/>
      <w:bookmarkStart w:id="22" w:name="_Toc51746099"/>
      <w:r>
        <w:rPr>
          <w:rFonts w:hint="eastAsia" w:ascii="宋体" w:hAnsi="宋体" w:cs="宋体"/>
          <w:b/>
          <w:sz w:val="24"/>
        </w:rPr>
        <w:t>项目背景</w:t>
      </w:r>
      <w:bookmarkEnd w:id="21"/>
      <w:r>
        <w:rPr>
          <w:rFonts w:hint="eastAsia" w:ascii="宋体" w:hAnsi="宋体" w:cs="宋体"/>
          <w:b/>
          <w:sz w:val="24"/>
        </w:rPr>
        <w:t>及内容</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p>
      <w:pPr>
        <w:pStyle w:val="25"/>
        <w:widowControl/>
        <w:spacing w:line="560" w:lineRule="exact"/>
        <w:ind w:firstLine="480"/>
        <w:rPr>
          <w:sz w:val="24"/>
          <w:szCs w:val="24"/>
        </w:rPr>
      </w:pPr>
      <w:r>
        <w:rPr>
          <w:rFonts w:hint="eastAsia"/>
          <w:sz w:val="24"/>
          <w:szCs w:val="24"/>
        </w:rPr>
        <w:t>2021年9月，中共中央、国务院印发《全面深化前海深港现代服务业合作区改革开放方案》，前海发展空间扩大，产业业态更加丰富。前海工业、信息服务业、科技服务业等重点产业增加值占前海经济总量约40%，是支撑前海经济增长的重要力量。2022年8月《深圳市前海深港现代服务业合作区管理局支持科技创新实施办法（试行）》正式发布，为进一步监测该政策在细分产业链和具体招商项目的适配度以及在全国各主要城市间的竞争力，前海局拟采购前海科技创新政策适配度分析及监测咨询服务，该服务将通过针对重点招商引资项目、重点产业链上中下游企业对现有政策适配情况开展专业分析，同时定期对福田、上海、海南等地的科技创新产业政策创新点进行实时监控，以便为前海科技创新政策的实施和优化提供行业、产业项目、区域等方面的专业咨询支撑。</w:t>
      </w:r>
    </w:p>
    <w:p>
      <w:pPr>
        <w:pStyle w:val="25"/>
        <w:ind w:firstLine="482"/>
        <w:rPr>
          <w:sz w:val="24"/>
          <w:szCs w:val="24"/>
        </w:rPr>
      </w:pPr>
      <w:r>
        <w:rPr>
          <w:b/>
          <w:bCs/>
          <w:sz w:val="24"/>
          <w:szCs w:val="24"/>
        </w:rPr>
        <w:t>（</w:t>
      </w:r>
      <w:r>
        <w:rPr>
          <w:rFonts w:hint="eastAsia"/>
          <w:b/>
          <w:bCs/>
          <w:sz w:val="24"/>
          <w:szCs w:val="24"/>
        </w:rPr>
        <w:t>二</w:t>
      </w:r>
      <w:r>
        <w:rPr>
          <w:b/>
          <w:bCs/>
          <w:sz w:val="24"/>
          <w:szCs w:val="24"/>
        </w:rPr>
        <w:t>）</w:t>
      </w:r>
      <w:r>
        <w:rPr>
          <w:rFonts w:hint="eastAsia"/>
          <w:b/>
          <w:bCs/>
          <w:sz w:val="24"/>
          <w:szCs w:val="24"/>
        </w:rPr>
        <w:t>项目内容</w:t>
      </w:r>
      <w:r>
        <w:rPr>
          <w:rFonts w:hint="eastAsia"/>
          <w:sz w:val="24"/>
          <w:szCs w:val="24"/>
        </w:rPr>
        <w:t>：</w:t>
      </w:r>
    </w:p>
    <w:bookmarkEnd w:id="22"/>
    <w:p>
      <w:pPr>
        <w:pStyle w:val="25"/>
        <w:ind w:firstLine="480"/>
        <w:rPr>
          <w:sz w:val="24"/>
          <w:szCs w:val="24"/>
        </w:rPr>
      </w:pPr>
      <w:r>
        <w:rPr>
          <w:rFonts w:hint="eastAsia"/>
          <w:sz w:val="24"/>
          <w:szCs w:val="24"/>
        </w:rPr>
        <w:t>本项目通过采用第三方专业咨询的方式，对前海重点招商引资项目开展针对性的科创政策适配度分析，开展重点产业链上中下游企业政策推广，并定期针对前海与上海临港、珠海横琴、广州南沙在科技创新领域招商引资、粤港澳产业合作、技术创新促进、产业环境营造等方面的政策对比分析与实时监控，加大科技创新政策推广覆盖的同时，不断对政策的适配情况和未来优化提供决策参考，通过专业咨询，将不断优化和提升产业政策与招商引资项目的适配度，提升科技创新项目精准化招商水平；同时通过监测咨询服务，提升前海科技创新政策相较于全国主要区的个性化与竞争力。</w:t>
      </w:r>
    </w:p>
    <w:p>
      <w:pPr>
        <w:pStyle w:val="25"/>
        <w:ind w:firstLine="480"/>
        <w:rPr>
          <w:sz w:val="24"/>
          <w:szCs w:val="24"/>
        </w:rPr>
      </w:pPr>
      <w:r>
        <w:rPr>
          <w:rFonts w:hint="eastAsia"/>
          <w:sz w:val="24"/>
          <w:szCs w:val="24"/>
        </w:rPr>
        <w:t>（一）</w:t>
      </w:r>
      <w:r>
        <w:rPr>
          <w:rFonts w:hint="eastAsia"/>
          <w:sz w:val="24"/>
        </w:rPr>
        <w:t>协助开展</w:t>
      </w:r>
      <w:r>
        <w:rPr>
          <w:rFonts w:hint="eastAsia"/>
          <w:sz w:val="24"/>
          <w:szCs w:val="24"/>
        </w:rPr>
        <w:t>科技创新政策适配度分析</w:t>
      </w:r>
    </w:p>
    <w:p>
      <w:pPr>
        <w:pStyle w:val="25"/>
        <w:ind w:firstLine="480"/>
        <w:rPr>
          <w:sz w:val="24"/>
          <w:szCs w:val="24"/>
        </w:rPr>
      </w:pPr>
      <w:r>
        <w:rPr>
          <w:rFonts w:hint="eastAsia"/>
          <w:sz w:val="24"/>
          <w:szCs w:val="24"/>
        </w:rPr>
        <w:t>根据采购方需求，协助开展意向投资企业项目发展情况梳理与投资逻辑研判，针对30个重点招商引资项目协助开展针对性的科创政策适配度分析</w:t>
      </w:r>
      <w:r>
        <w:rPr>
          <w:sz w:val="24"/>
          <w:szCs w:val="24"/>
        </w:rPr>
        <w:t>，</w:t>
      </w:r>
      <w:r>
        <w:rPr>
          <w:rFonts w:hint="eastAsia"/>
          <w:sz w:val="24"/>
          <w:szCs w:val="24"/>
        </w:rPr>
        <w:t>产出30份适配度分析报告。针对20个前海意向投资项目，开展企业所在产业类别、行业发展趋势、市场体量、核心产品、技术表现、营收表现等项目研判工作，并就上述研判信息在前海科创政策适配度方面进行论证与分析，并给出项目政策在金融支持、创新补贴、对项目核心板块吸引力等方面的适配度结论。</w:t>
      </w:r>
    </w:p>
    <w:p>
      <w:pPr>
        <w:pStyle w:val="25"/>
        <w:ind w:firstLine="480"/>
        <w:rPr>
          <w:sz w:val="24"/>
          <w:szCs w:val="24"/>
        </w:rPr>
      </w:pPr>
      <w:r>
        <w:rPr>
          <w:rFonts w:hint="eastAsia"/>
          <w:sz w:val="24"/>
          <w:szCs w:val="24"/>
        </w:rPr>
        <w:t>（二）</w:t>
      </w:r>
      <w:r>
        <w:rPr>
          <w:rFonts w:hint="eastAsia"/>
          <w:sz w:val="24"/>
        </w:rPr>
        <w:t>协助开展</w:t>
      </w:r>
      <w:r>
        <w:rPr>
          <w:rFonts w:hint="eastAsia"/>
          <w:sz w:val="24"/>
          <w:szCs w:val="24"/>
        </w:rPr>
        <w:t>科创政策重点产业链针对性推广支撑</w:t>
      </w:r>
    </w:p>
    <w:p>
      <w:pPr>
        <w:pStyle w:val="25"/>
        <w:ind w:firstLine="480"/>
        <w:rPr>
          <w:sz w:val="24"/>
          <w:szCs w:val="24"/>
        </w:rPr>
      </w:pPr>
      <w:r>
        <w:rPr>
          <w:rFonts w:hint="eastAsia"/>
          <w:sz w:val="24"/>
        </w:rPr>
        <w:t>协助开展</w:t>
      </w:r>
      <w:r>
        <w:rPr>
          <w:rFonts w:hint="eastAsia"/>
          <w:sz w:val="24"/>
          <w:szCs w:val="24"/>
        </w:rPr>
        <w:t>重点产业链上中下游重点企业发展情况梳理，结合目标企业清单，为开展科创政策体系推广提供重要支撑。针对集成电路、人工智能、智能制造、电化学储能、低空经济、海洋科技等6个重点产业链，开展上中下游产业发展情况梳理，结合科创政策梳理目标企业清单，结合科技创新政策实施精准招商，为开展科创政策针对性推广提供分析参考内容</w:t>
      </w:r>
      <w:r>
        <w:rPr>
          <w:sz w:val="24"/>
          <w:szCs w:val="24"/>
        </w:rPr>
        <w:t>，</w:t>
      </w:r>
      <w:r>
        <w:rPr>
          <w:rFonts w:hint="eastAsia"/>
          <w:sz w:val="24"/>
          <w:szCs w:val="24"/>
        </w:rPr>
        <w:t>产出6份科创政策重点产业链针对性推广方案。</w:t>
      </w:r>
    </w:p>
    <w:p>
      <w:pPr>
        <w:pStyle w:val="25"/>
        <w:ind w:firstLine="480"/>
        <w:rPr>
          <w:sz w:val="24"/>
          <w:szCs w:val="24"/>
        </w:rPr>
      </w:pPr>
      <w:r>
        <w:rPr>
          <w:rFonts w:hint="eastAsia"/>
          <w:sz w:val="24"/>
          <w:szCs w:val="24"/>
        </w:rPr>
        <w:t>（三）协助开展政策实时监控</w:t>
      </w:r>
    </w:p>
    <w:p>
      <w:pPr>
        <w:pStyle w:val="26"/>
        <w:tabs>
          <w:tab w:val="left" w:pos="720"/>
        </w:tabs>
        <w:autoSpaceDE w:val="0"/>
        <w:autoSpaceDN w:val="0"/>
        <w:adjustRightInd w:val="0"/>
        <w:spacing w:line="360" w:lineRule="auto"/>
        <w:ind w:right="17" w:firstLine="480"/>
      </w:pPr>
      <w:r>
        <w:rPr>
          <w:rFonts w:hint="eastAsia"/>
          <w:sz w:val="24"/>
        </w:rPr>
        <w:t>定期开展前海与上海临港、珠海横琴、广州南沙在科技创新领域招商引资、粤港澳产业合作、技术创新促进、产业环境营造等方面的政策对比分析与实时监控。同时，结合深圳福田河套深港合作区、上海自贸区临港新片区、海南自贸港3个区域，开展科创相关政策的收集与汇总分析比较，并以两个月为时间周期，形成六份汇总分析简报，在科技创新扶持、重大技术攻关、自贸合作等方面，为下一步科创政策的优化与提升提供参考与借鉴。</w:t>
      </w:r>
    </w:p>
    <w:p>
      <w:pPr>
        <w:pStyle w:val="26"/>
        <w:tabs>
          <w:tab w:val="left" w:pos="720"/>
        </w:tabs>
        <w:autoSpaceDE w:val="0"/>
        <w:autoSpaceDN w:val="0"/>
        <w:adjustRightInd w:val="0"/>
        <w:spacing w:line="360" w:lineRule="auto"/>
        <w:ind w:right="17"/>
      </w:pPr>
    </w:p>
    <w:p>
      <w:pPr>
        <w:pStyle w:val="26"/>
        <w:tabs>
          <w:tab w:val="left" w:pos="720"/>
        </w:tabs>
        <w:autoSpaceDE w:val="0"/>
        <w:autoSpaceDN w:val="0"/>
        <w:adjustRightInd w:val="0"/>
        <w:spacing w:line="360" w:lineRule="auto"/>
        <w:ind w:right="17" w:firstLine="482"/>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本项目工作期限为自签订合同之日起1年。</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1、本次投标为总价包干，投标报价总价作为中标单位与采购单位签订的合同金额。</w:t>
      </w:r>
      <w:r>
        <w:rPr>
          <w:rFonts w:ascii="宋体" w:hAnsi="宋体" w:cs="宋体"/>
          <w:kern w:val="0"/>
          <w:sz w:val="24"/>
          <w:szCs w:val="20"/>
        </w:rPr>
        <w:t>投标</w:t>
      </w:r>
      <w:r>
        <w:rPr>
          <w:rFonts w:hint="eastAsia" w:ascii="宋体" w:hAnsi="宋体" w:cs="宋体"/>
          <w:kern w:val="0"/>
          <w:sz w:val="24"/>
          <w:szCs w:val="20"/>
        </w:rPr>
        <w:t>单位的报价不可高于限价，否则</w:t>
      </w:r>
      <w:r>
        <w:rPr>
          <w:rFonts w:ascii="宋体" w:hAnsi="宋体" w:cs="宋体"/>
          <w:kern w:val="0"/>
          <w:sz w:val="24"/>
          <w:szCs w:val="20"/>
        </w:rPr>
        <w:t>投标</w:t>
      </w:r>
      <w:r>
        <w:rPr>
          <w:rFonts w:hint="eastAsia" w:ascii="宋体" w:hAnsi="宋体" w:cs="宋体"/>
          <w:kern w:val="0"/>
          <w:sz w:val="24"/>
          <w:szCs w:val="20"/>
        </w:rPr>
        <w:t>单位的投标文件视同无效，项目服务费包括项目实施过程中有关设计制作、印刷、人员车辆、资料、税费等最终交付用户验收合格的一切费用；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w:t>
      </w:r>
      <w:r>
        <w:rPr>
          <w:rFonts w:ascii="宋体" w:hAnsi="宋体" w:cs="宋体"/>
          <w:kern w:val="0"/>
          <w:sz w:val="24"/>
          <w:szCs w:val="20"/>
        </w:rPr>
        <w:t>单位</w:t>
      </w:r>
      <w:r>
        <w:rPr>
          <w:rFonts w:hint="eastAsia" w:ascii="宋体" w:hAnsi="宋体" w:cs="宋体"/>
          <w:kern w:val="0"/>
          <w:sz w:val="24"/>
          <w:szCs w:val="20"/>
        </w:rPr>
        <w:t>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w:t>
      </w:r>
      <w:r>
        <w:rPr>
          <w:rFonts w:ascii="宋体" w:hAnsi="宋体" w:cs="宋体"/>
          <w:kern w:val="0"/>
          <w:sz w:val="24"/>
          <w:szCs w:val="20"/>
        </w:rPr>
        <w:t>单位</w:t>
      </w:r>
      <w:r>
        <w:rPr>
          <w:rFonts w:hint="eastAsia" w:ascii="宋体" w:hAnsi="宋体" w:cs="宋体"/>
          <w:kern w:val="0"/>
          <w:sz w:val="24"/>
          <w:szCs w:val="20"/>
        </w:rPr>
        <w:t>不得期望通过索赔等方式获取补偿，否则，除可能遭到拒绝外，还可能将被作为不良行为记录在案，并可能影响其以后参加政府采购的项目投标。各投标</w:t>
      </w:r>
      <w:r>
        <w:rPr>
          <w:rFonts w:ascii="宋体" w:hAnsi="宋体" w:cs="宋体"/>
          <w:kern w:val="0"/>
          <w:sz w:val="24"/>
          <w:szCs w:val="20"/>
        </w:rPr>
        <w:t>单位</w:t>
      </w:r>
      <w:r>
        <w:rPr>
          <w:rFonts w:hint="eastAsia" w:ascii="宋体" w:hAnsi="宋体" w:cs="宋体"/>
          <w:kern w:val="0"/>
          <w:sz w:val="24"/>
          <w:szCs w:val="20"/>
        </w:rPr>
        <w:t>在投标报价时，应充分考虑投标报价的风险。</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（三）项目服务费用及付款方式</w:t>
      </w:r>
    </w:p>
    <w:p>
      <w:pPr>
        <w:adjustRightInd w:val="0"/>
        <w:snapToGrid w:val="0"/>
        <w:spacing w:line="360" w:lineRule="auto"/>
        <w:ind w:firstLine="480" w:firstLineChars="200"/>
        <w:rPr>
          <w:rFonts w:ascii="宋体" w:hAnsi="宋体"/>
          <w:sz w:val="24"/>
        </w:rPr>
      </w:pPr>
      <w:r>
        <w:rPr>
          <w:rFonts w:hint="eastAsia" w:ascii="宋体" w:hAnsi="宋体"/>
          <w:sz w:val="24"/>
        </w:rPr>
        <w:t>1.本合同项下服务费总金额共计人民币    万元整(￥0000.00)。服务费已包含中标单位提供本合同项下服务的全部费用，包括但不限于如下内容：</w:t>
      </w:r>
    </w:p>
    <w:p>
      <w:pPr>
        <w:adjustRightInd w:val="0"/>
        <w:snapToGrid w:val="0"/>
        <w:spacing w:line="360" w:lineRule="auto"/>
        <w:ind w:firstLine="480" w:firstLineChars="200"/>
        <w:rPr>
          <w:rFonts w:ascii="宋体" w:hAnsi="宋体"/>
          <w:sz w:val="24"/>
        </w:rPr>
      </w:pPr>
      <w:r>
        <w:rPr>
          <w:rFonts w:hint="eastAsia" w:ascii="宋体" w:hAnsi="宋体"/>
          <w:sz w:val="24"/>
        </w:rPr>
        <w:t>（1）中标单位为采购单位所提供的所有服务和技术支持费用；</w:t>
      </w:r>
    </w:p>
    <w:p>
      <w:pPr>
        <w:adjustRightInd w:val="0"/>
        <w:snapToGrid w:val="0"/>
        <w:spacing w:line="360" w:lineRule="auto"/>
        <w:ind w:firstLine="480" w:firstLineChars="200"/>
        <w:rPr>
          <w:rFonts w:ascii="宋体" w:hAnsi="宋体"/>
          <w:sz w:val="24"/>
        </w:rPr>
      </w:pPr>
      <w:r>
        <w:rPr>
          <w:rFonts w:hint="eastAsia" w:ascii="宋体" w:hAnsi="宋体"/>
          <w:sz w:val="24"/>
        </w:rPr>
        <w:t>（2）项目研讨会费用；</w:t>
      </w:r>
    </w:p>
    <w:p>
      <w:pPr>
        <w:adjustRightInd w:val="0"/>
        <w:snapToGrid w:val="0"/>
        <w:spacing w:line="360" w:lineRule="auto"/>
        <w:ind w:firstLine="480" w:firstLineChars="200"/>
        <w:rPr>
          <w:rFonts w:ascii="宋体" w:hAnsi="宋体"/>
          <w:sz w:val="24"/>
        </w:rPr>
      </w:pPr>
      <w:r>
        <w:rPr>
          <w:rFonts w:hint="eastAsia" w:ascii="宋体" w:hAnsi="宋体"/>
          <w:sz w:val="24"/>
        </w:rPr>
        <w:t>（3）项目产生的专家费用；</w:t>
      </w:r>
    </w:p>
    <w:p>
      <w:pPr>
        <w:adjustRightInd w:val="0"/>
        <w:snapToGrid w:val="0"/>
        <w:spacing w:line="360" w:lineRule="auto"/>
        <w:ind w:firstLine="480" w:firstLineChars="200"/>
        <w:rPr>
          <w:rFonts w:ascii="宋体" w:hAnsi="宋体"/>
          <w:sz w:val="24"/>
        </w:rPr>
      </w:pPr>
      <w:r>
        <w:rPr>
          <w:rFonts w:hint="eastAsia" w:ascii="宋体" w:hAnsi="宋体"/>
          <w:sz w:val="24"/>
        </w:rPr>
        <w:t>（4）中标单位工作人员工资、差旅费；</w:t>
      </w:r>
    </w:p>
    <w:p>
      <w:pPr>
        <w:adjustRightInd w:val="0"/>
        <w:snapToGrid w:val="0"/>
        <w:spacing w:line="360" w:lineRule="auto"/>
        <w:ind w:firstLine="480" w:firstLineChars="200"/>
        <w:rPr>
          <w:rFonts w:ascii="宋体" w:hAnsi="宋体"/>
          <w:sz w:val="24"/>
        </w:rPr>
      </w:pPr>
      <w:r>
        <w:rPr>
          <w:rFonts w:hint="eastAsia" w:ascii="宋体" w:hAnsi="宋体"/>
          <w:sz w:val="24"/>
        </w:rPr>
        <w:t>（5）中标单位的办公、通讯、交通费用；</w:t>
      </w:r>
    </w:p>
    <w:p>
      <w:pPr>
        <w:adjustRightInd w:val="0"/>
        <w:snapToGrid w:val="0"/>
        <w:spacing w:line="360" w:lineRule="auto"/>
        <w:ind w:firstLine="480" w:firstLineChars="200"/>
        <w:rPr>
          <w:rFonts w:ascii="宋体" w:hAnsi="宋体"/>
          <w:sz w:val="24"/>
        </w:rPr>
      </w:pPr>
      <w:r>
        <w:rPr>
          <w:rFonts w:hint="eastAsia" w:ascii="宋体" w:hAnsi="宋体"/>
          <w:sz w:val="24"/>
        </w:rPr>
        <w:t>（6）项目材料统计、分析费用；</w:t>
      </w:r>
    </w:p>
    <w:p>
      <w:pPr>
        <w:adjustRightInd w:val="0"/>
        <w:snapToGrid w:val="0"/>
        <w:spacing w:line="360" w:lineRule="auto"/>
        <w:ind w:firstLine="480" w:firstLineChars="200"/>
        <w:rPr>
          <w:rFonts w:ascii="宋体" w:hAnsi="宋体"/>
          <w:sz w:val="24"/>
        </w:rPr>
      </w:pPr>
      <w:r>
        <w:rPr>
          <w:rFonts w:hint="eastAsia" w:ascii="宋体" w:hAnsi="宋体"/>
          <w:sz w:val="24"/>
        </w:rPr>
        <w:t>（7）项目成果文本印刷费用；</w:t>
      </w:r>
    </w:p>
    <w:p>
      <w:pPr>
        <w:adjustRightInd w:val="0"/>
        <w:snapToGrid w:val="0"/>
        <w:spacing w:line="360" w:lineRule="auto"/>
        <w:ind w:firstLine="480" w:firstLineChars="200"/>
        <w:rPr>
          <w:rFonts w:ascii="宋体" w:hAnsi="宋体"/>
          <w:sz w:val="24"/>
        </w:rPr>
      </w:pPr>
      <w:r>
        <w:rPr>
          <w:rFonts w:hint="eastAsia" w:ascii="宋体" w:hAnsi="宋体"/>
          <w:sz w:val="24"/>
        </w:rPr>
        <w:t>（8）中标单位以各种方式将文件资料发送至采购单位的费用；</w:t>
      </w:r>
    </w:p>
    <w:p>
      <w:pPr>
        <w:adjustRightInd w:val="0"/>
        <w:snapToGrid w:val="0"/>
        <w:spacing w:line="360" w:lineRule="auto"/>
        <w:ind w:firstLine="480" w:firstLineChars="200"/>
        <w:rPr>
          <w:rFonts w:ascii="宋体" w:hAnsi="宋体"/>
          <w:sz w:val="24"/>
        </w:rPr>
      </w:pPr>
      <w:r>
        <w:rPr>
          <w:rFonts w:hint="eastAsia" w:ascii="宋体" w:hAnsi="宋体"/>
          <w:sz w:val="24"/>
        </w:rPr>
        <w:t>（9）本项目项下产生的一切税费。</w:t>
      </w:r>
    </w:p>
    <w:p>
      <w:pPr>
        <w:adjustRightInd w:val="0"/>
        <w:snapToGrid w:val="0"/>
        <w:spacing w:line="360" w:lineRule="auto"/>
        <w:ind w:firstLine="480" w:firstLineChars="200"/>
        <w:rPr>
          <w:rFonts w:ascii="宋体" w:hAnsi="宋体"/>
          <w:sz w:val="24"/>
        </w:rPr>
      </w:pPr>
      <w:r>
        <w:rPr>
          <w:rFonts w:hint="eastAsia" w:ascii="宋体" w:hAnsi="宋体"/>
          <w:sz w:val="24"/>
        </w:rPr>
        <w:t>2.付款方式</w:t>
      </w:r>
    </w:p>
    <w:p>
      <w:pPr>
        <w:adjustRightInd w:val="0"/>
        <w:snapToGrid w:val="0"/>
        <w:spacing w:line="360" w:lineRule="auto"/>
        <w:ind w:firstLine="480" w:firstLineChars="200"/>
        <w:rPr>
          <w:rFonts w:ascii="宋体" w:hAnsi="宋体"/>
          <w:sz w:val="24"/>
        </w:rPr>
      </w:pPr>
      <w:r>
        <w:rPr>
          <w:rFonts w:hint="eastAsia" w:ascii="宋体" w:hAnsi="宋体"/>
          <w:sz w:val="24"/>
        </w:rPr>
        <w:t>合同生效后30个工作日内，</w:t>
      </w:r>
      <w:r>
        <w:rPr>
          <w:rFonts w:hint="eastAsia" w:ascii="宋体" w:hAnsi="宋体"/>
          <w:sz w:val="24"/>
          <w:lang w:eastAsia="zh-Hans"/>
        </w:rPr>
        <w:t>中标单位</w:t>
      </w:r>
      <w:r>
        <w:rPr>
          <w:rFonts w:hint="eastAsia" w:ascii="宋体" w:hAnsi="宋体"/>
          <w:sz w:val="24"/>
        </w:rPr>
        <w:t>向</w:t>
      </w:r>
      <w:r>
        <w:rPr>
          <w:rFonts w:hint="eastAsia" w:ascii="宋体" w:hAnsi="宋体"/>
          <w:sz w:val="24"/>
          <w:lang w:eastAsia="zh-Hans"/>
        </w:rPr>
        <w:t>采购单位</w:t>
      </w:r>
      <w:r>
        <w:rPr>
          <w:rFonts w:hint="eastAsia" w:ascii="宋体" w:hAnsi="宋体"/>
          <w:sz w:val="24"/>
        </w:rPr>
        <w:t>提出付款申请，</w:t>
      </w:r>
      <w:r>
        <w:rPr>
          <w:rFonts w:hint="eastAsia" w:ascii="宋体" w:hAnsi="宋体"/>
          <w:sz w:val="24"/>
          <w:lang w:eastAsia="zh-Hans"/>
        </w:rPr>
        <w:t>采购单位</w:t>
      </w:r>
      <w:r>
        <w:rPr>
          <w:rFonts w:hint="eastAsia" w:ascii="宋体" w:hAnsi="宋体"/>
          <w:sz w:val="24"/>
        </w:rPr>
        <w:t>向</w:t>
      </w:r>
      <w:r>
        <w:rPr>
          <w:rFonts w:hint="eastAsia" w:ascii="宋体" w:hAnsi="宋体"/>
          <w:sz w:val="24"/>
          <w:lang w:eastAsia="zh-Hans"/>
        </w:rPr>
        <w:t>中标单位</w:t>
      </w:r>
      <w:r>
        <w:rPr>
          <w:rFonts w:hint="eastAsia" w:ascii="宋体" w:hAnsi="宋体"/>
          <w:sz w:val="24"/>
        </w:rPr>
        <w:t>支付合同总费用的50%；</w:t>
      </w:r>
      <w:r>
        <w:rPr>
          <w:rFonts w:hint="eastAsia" w:ascii="宋体" w:hAnsi="宋体"/>
          <w:sz w:val="24"/>
          <w:lang w:eastAsia="zh-Hans"/>
        </w:rPr>
        <w:t>中标单位</w:t>
      </w:r>
      <w:r>
        <w:rPr>
          <w:rFonts w:hint="eastAsia" w:ascii="宋体" w:hAnsi="宋体"/>
          <w:sz w:val="24"/>
        </w:rPr>
        <w:t>完成项目全部服务内容，并经</w:t>
      </w:r>
      <w:r>
        <w:rPr>
          <w:rFonts w:hint="eastAsia" w:ascii="宋体" w:hAnsi="宋体"/>
          <w:sz w:val="24"/>
          <w:lang w:eastAsia="zh-Hans"/>
        </w:rPr>
        <w:t>采购单位</w:t>
      </w:r>
      <w:r>
        <w:rPr>
          <w:rFonts w:hint="eastAsia" w:ascii="宋体" w:hAnsi="宋体"/>
          <w:sz w:val="24"/>
        </w:rPr>
        <w:t>审查验收通过后，</w:t>
      </w:r>
      <w:r>
        <w:rPr>
          <w:rFonts w:hint="eastAsia" w:ascii="宋体" w:hAnsi="宋体"/>
          <w:sz w:val="24"/>
          <w:lang w:eastAsia="zh-Hans"/>
        </w:rPr>
        <w:t>中标单位</w:t>
      </w:r>
      <w:r>
        <w:rPr>
          <w:rFonts w:hint="eastAsia" w:ascii="宋体" w:hAnsi="宋体"/>
          <w:sz w:val="24"/>
        </w:rPr>
        <w:t>向</w:t>
      </w:r>
      <w:r>
        <w:rPr>
          <w:rFonts w:hint="eastAsia" w:ascii="宋体" w:hAnsi="宋体"/>
          <w:sz w:val="24"/>
          <w:lang w:eastAsia="zh-Hans"/>
        </w:rPr>
        <w:t>采购单位</w:t>
      </w:r>
      <w:r>
        <w:rPr>
          <w:rFonts w:hint="eastAsia" w:ascii="宋体" w:hAnsi="宋体"/>
          <w:sz w:val="24"/>
        </w:rPr>
        <w:t>提出付款申请，</w:t>
      </w:r>
      <w:r>
        <w:rPr>
          <w:rFonts w:hint="eastAsia" w:ascii="宋体" w:hAnsi="宋体"/>
          <w:sz w:val="24"/>
          <w:lang w:eastAsia="zh-Hans"/>
        </w:rPr>
        <w:t>采购单位</w:t>
      </w:r>
      <w:r>
        <w:rPr>
          <w:rFonts w:hint="eastAsia" w:ascii="宋体" w:hAnsi="宋体"/>
          <w:sz w:val="24"/>
        </w:rPr>
        <w:t>向</w:t>
      </w:r>
      <w:r>
        <w:rPr>
          <w:rFonts w:hint="eastAsia" w:ascii="宋体" w:hAnsi="宋体"/>
          <w:sz w:val="24"/>
          <w:lang w:eastAsia="zh-Hans"/>
        </w:rPr>
        <w:t>中标单位</w:t>
      </w:r>
      <w:r>
        <w:rPr>
          <w:rFonts w:hint="eastAsia" w:ascii="宋体" w:hAnsi="宋体"/>
          <w:sz w:val="24"/>
        </w:rPr>
        <w:t>支付合同总费用的50%。</w:t>
      </w:r>
    </w:p>
    <w:p>
      <w:pPr>
        <w:adjustRightInd w:val="0"/>
        <w:snapToGrid w:val="0"/>
        <w:spacing w:line="360" w:lineRule="auto"/>
        <w:ind w:firstLine="480" w:firstLineChars="200"/>
        <w:rPr>
          <w:rFonts w:ascii="宋体" w:hAnsi="宋体" w:cs="宋体"/>
          <w:kern w:val="0"/>
          <w:sz w:val="24"/>
          <w:szCs w:val="20"/>
        </w:rPr>
      </w:pPr>
      <w:r>
        <w:rPr>
          <w:rFonts w:ascii="宋体" w:hAnsi="宋体"/>
          <w:sz w:val="24"/>
        </w:rPr>
        <w:t>上述每期款项均在</w:t>
      </w:r>
      <w:r>
        <w:rPr>
          <w:rFonts w:hint="eastAsia" w:ascii="宋体" w:hAnsi="宋体"/>
          <w:sz w:val="24"/>
        </w:rPr>
        <w:t>满足付款条件，且采购</w:t>
      </w:r>
      <w:r>
        <w:rPr>
          <w:rFonts w:ascii="宋体" w:hAnsi="宋体"/>
          <w:sz w:val="24"/>
        </w:rPr>
        <w:t>单位收到</w:t>
      </w:r>
      <w:r>
        <w:rPr>
          <w:rFonts w:hint="eastAsia" w:ascii="宋体" w:hAnsi="宋体"/>
          <w:sz w:val="24"/>
        </w:rPr>
        <w:t>中标</w:t>
      </w:r>
      <w:r>
        <w:rPr>
          <w:rFonts w:ascii="宋体" w:hAnsi="宋体"/>
          <w:sz w:val="24"/>
        </w:rPr>
        <w:t>单位</w:t>
      </w:r>
      <w:r>
        <w:rPr>
          <w:rFonts w:hint="eastAsia" w:ascii="宋体" w:hAnsi="宋体"/>
          <w:sz w:val="24"/>
        </w:rPr>
        <w:t>开具的载</w:t>
      </w:r>
      <w:r>
        <w:rPr>
          <w:rFonts w:ascii="宋体" w:hAnsi="宋体"/>
          <w:sz w:val="24"/>
        </w:rPr>
        <w:t>明相应金额的合格发票后15个工作日内</w:t>
      </w:r>
      <w:r>
        <w:rPr>
          <w:rFonts w:hint="eastAsia" w:ascii="宋体" w:hAnsi="宋体"/>
          <w:sz w:val="24"/>
        </w:rPr>
        <w:t>付至中标</w:t>
      </w:r>
      <w:r>
        <w:rPr>
          <w:rFonts w:ascii="宋体" w:hAnsi="宋体"/>
          <w:sz w:val="24"/>
        </w:rPr>
        <w:t>单位</w:t>
      </w:r>
      <w:r>
        <w:rPr>
          <w:rFonts w:hint="eastAsia" w:ascii="宋体" w:hAnsi="宋体"/>
          <w:sz w:val="24"/>
        </w:rPr>
        <w:t>指定银行账户</w:t>
      </w:r>
      <w:r>
        <w:rPr>
          <w:rFonts w:ascii="宋体" w:hAnsi="宋体"/>
          <w:sz w:val="24"/>
        </w:rPr>
        <w:t>。如未及时收到发票，则</w:t>
      </w:r>
      <w:r>
        <w:rPr>
          <w:rFonts w:hint="eastAsia" w:ascii="宋体" w:hAnsi="宋体"/>
          <w:sz w:val="24"/>
        </w:rPr>
        <w:t>采购</w:t>
      </w:r>
      <w:r>
        <w:rPr>
          <w:rFonts w:ascii="宋体" w:hAnsi="宋体"/>
          <w:sz w:val="24"/>
        </w:rPr>
        <w:t>单位相应付款时间顺延。</w:t>
      </w:r>
      <w:r>
        <w:rPr>
          <w:rFonts w:hint="eastAsia" w:ascii="宋体" w:hAnsi="宋体"/>
          <w:sz w:val="24"/>
        </w:rPr>
        <w:t>若因采购</w:t>
      </w:r>
      <w:r>
        <w:rPr>
          <w:rFonts w:ascii="宋体" w:hAnsi="宋体"/>
          <w:sz w:val="24"/>
        </w:rPr>
        <w:t>单位</w:t>
      </w:r>
      <w:r>
        <w:rPr>
          <w:rFonts w:hint="eastAsia" w:ascii="宋体" w:hAnsi="宋体"/>
          <w:sz w:val="24"/>
        </w:rPr>
        <w:t>付款审批影响支付进度，中标单位不得就此向索赔</w:t>
      </w:r>
      <w:r>
        <w:rPr>
          <w:rFonts w:ascii="宋体" w:hAnsi="宋体"/>
          <w:sz w:val="24"/>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r>
        <w:rPr>
          <w:rFonts w:hint="eastAsia" w:ascii="宋体" w:hAnsi="宋体" w:cs="宋体"/>
          <w:sz w:val="24"/>
        </w:rPr>
        <w:t>如发生以上情况，</w:t>
      </w:r>
      <w:r>
        <w:rPr>
          <w:rFonts w:hint="eastAsia" w:ascii="宋体" w:hAnsi="宋体" w:cs="宋体"/>
          <w:sz w:val="24"/>
          <w:lang w:eastAsia="zh-Hans"/>
        </w:rPr>
        <w:t>中标单位</w:t>
      </w:r>
      <w:r>
        <w:rPr>
          <w:rFonts w:hint="eastAsia" w:ascii="宋体" w:hAnsi="宋体" w:cs="宋体"/>
          <w:sz w:val="24"/>
        </w:rPr>
        <w:t>应向</w:t>
      </w:r>
      <w:r>
        <w:rPr>
          <w:rFonts w:hint="eastAsia" w:ascii="宋体" w:hAnsi="宋体" w:cs="宋体"/>
          <w:sz w:val="24"/>
          <w:lang w:eastAsia="zh-Hans"/>
        </w:rPr>
        <w:t>采购单位</w:t>
      </w:r>
      <w:r>
        <w:rPr>
          <w:rFonts w:hint="eastAsia" w:ascii="宋体" w:hAnsi="宋体" w:cs="宋体"/>
          <w:sz w:val="24"/>
        </w:rPr>
        <w:t>支付本合同总价款20%的违约金，如果违约金无法弥补</w:t>
      </w:r>
      <w:r>
        <w:rPr>
          <w:rFonts w:hint="eastAsia" w:ascii="宋体" w:hAnsi="宋体" w:cs="宋体"/>
          <w:sz w:val="24"/>
          <w:lang w:eastAsia="zh-Hans"/>
        </w:rPr>
        <w:t>采购单位</w:t>
      </w:r>
      <w:r>
        <w:rPr>
          <w:rFonts w:hint="eastAsia" w:ascii="宋体" w:hAnsi="宋体" w:cs="宋体"/>
          <w:sz w:val="24"/>
        </w:rPr>
        <w:t>的损失，</w:t>
      </w:r>
      <w:r>
        <w:rPr>
          <w:rFonts w:hint="eastAsia" w:ascii="宋体" w:hAnsi="宋体" w:cs="宋体"/>
          <w:sz w:val="24"/>
          <w:lang w:eastAsia="zh-Hans"/>
        </w:rPr>
        <w:t>采购单位</w:t>
      </w:r>
      <w:r>
        <w:rPr>
          <w:rFonts w:hint="eastAsia" w:ascii="宋体" w:hAnsi="宋体" w:cs="宋体"/>
          <w:sz w:val="24"/>
        </w:rPr>
        <w:t>有权要求</w:t>
      </w:r>
      <w:r>
        <w:rPr>
          <w:rFonts w:hint="eastAsia" w:ascii="宋体" w:hAnsi="宋体" w:cs="宋体"/>
          <w:sz w:val="24"/>
          <w:lang w:eastAsia="zh-Hans"/>
        </w:rPr>
        <w:t>中标单位</w:t>
      </w:r>
      <w:r>
        <w:rPr>
          <w:rFonts w:hint="eastAsia" w:ascii="宋体" w:hAnsi="宋体" w:cs="宋体"/>
          <w:sz w:val="24"/>
        </w:rPr>
        <w:t>赔偿全部损失。</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应保守的秘密是指不为公众所知悉、能为权利人带来经济利益、具有实用性并经权利人采取保密措施的技术信息和经营信息，或由双方在履行本合同过程中明确指明为秘密的、法律所认可的任何信息，以及中标</w:t>
      </w:r>
      <w:r>
        <w:rPr>
          <w:rFonts w:ascii="宋体" w:hAnsi="宋体" w:cs="宋体"/>
          <w:kern w:val="0"/>
          <w:sz w:val="24"/>
          <w:szCs w:val="20"/>
        </w:rPr>
        <w:t>单位</w:t>
      </w:r>
      <w:r>
        <w:rPr>
          <w:rFonts w:hint="eastAsia" w:ascii="宋体" w:hAnsi="宋体" w:cs="宋体"/>
          <w:kern w:val="0"/>
          <w:sz w:val="24"/>
          <w:szCs w:val="20"/>
        </w:rPr>
        <w:t>在履行本合同过程中所获得或接触到的任何采购</w:t>
      </w:r>
      <w:r>
        <w:rPr>
          <w:rFonts w:ascii="宋体" w:hAnsi="宋体" w:cs="宋体"/>
          <w:kern w:val="0"/>
          <w:sz w:val="24"/>
          <w:szCs w:val="20"/>
        </w:rPr>
        <w:t>单位</w:t>
      </w:r>
      <w:r>
        <w:rPr>
          <w:rFonts w:hint="eastAsia" w:ascii="宋体" w:hAnsi="宋体" w:cs="宋体"/>
          <w:kern w:val="0"/>
          <w:sz w:val="24"/>
          <w:szCs w:val="20"/>
        </w:rPr>
        <w:t>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w:t>
      </w:r>
      <w:r>
        <w:rPr>
          <w:rFonts w:ascii="宋体" w:hAnsi="宋体" w:cs="宋体"/>
          <w:kern w:val="0"/>
          <w:sz w:val="24"/>
          <w:szCs w:val="20"/>
        </w:rPr>
        <w:t>单位</w:t>
      </w:r>
      <w:r>
        <w:rPr>
          <w:rFonts w:hint="eastAsia" w:ascii="宋体" w:hAnsi="宋体" w:cs="宋体"/>
          <w:kern w:val="0"/>
          <w:sz w:val="24"/>
          <w:szCs w:val="20"/>
        </w:rPr>
        <w:t>许可，中标</w:t>
      </w:r>
      <w:r>
        <w:rPr>
          <w:rFonts w:ascii="宋体" w:hAnsi="宋体" w:cs="宋体"/>
          <w:kern w:val="0"/>
          <w:sz w:val="24"/>
          <w:szCs w:val="20"/>
        </w:rPr>
        <w:t>单位</w:t>
      </w:r>
      <w:r>
        <w:rPr>
          <w:rFonts w:hint="eastAsia" w:ascii="宋体" w:hAnsi="宋体" w:cs="宋体"/>
          <w:kern w:val="0"/>
          <w:sz w:val="24"/>
          <w:szCs w:val="20"/>
        </w:rPr>
        <w:t>不得就其可通过开发的软件系统能够获得的任何采购</w:t>
      </w:r>
      <w:r>
        <w:rPr>
          <w:rFonts w:ascii="宋体" w:hAnsi="宋体" w:cs="宋体"/>
          <w:kern w:val="0"/>
          <w:sz w:val="24"/>
          <w:szCs w:val="20"/>
        </w:rPr>
        <w:t>单位</w:t>
      </w:r>
      <w:r>
        <w:rPr>
          <w:rFonts w:hint="eastAsia" w:ascii="宋体" w:hAnsi="宋体" w:cs="宋体"/>
          <w:kern w:val="0"/>
          <w:sz w:val="24"/>
          <w:szCs w:val="20"/>
        </w:rPr>
        <w:t>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pacing w:line="360" w:lineRule="auto"/>
        <w:ind w:firstLine="482" w:firstLineChars="200"/>
        <w:rPr>
          <w:rFonts w:ascii="宋体" w:hAnsi="宋体" w:cs="宋体"/>
          <w:b/>
          <w:bCs/>
          <w:sz w:val="24"/>
        </w:rPr>
      </w:pPr>
      <w:r>
        <w:rPr>
          <w:rFonts w:hint="eastAsia" w:ascii="宋体" w:hAnsi="宋体" w:cs="宋体"/>
          <w:b/>
          <w:bCs/>
          <w:sz w:val="24"/>
        </w:rPr>
        <w:t>（六）验收</w:t>
      </w:r>
    </w:p>
    <w:p>
      <w:pPr>
        <w:spacing w:line="360" w:lineRule="auto"/>
        <w:ind w:firstLine="480" w:firstLineChars="200"/>
        <w:rPr>
          <w:rFonts w:ascii="宋体" w:hAnsi="宋体" w:cs="宋体"/>
          <w:sz w:val="24"/>
          <w:highlight w:val="cyan"/>
        </w:rPr>
      </w:pPr>
      <w:r>
        <w:rPr>
          <w:rFonts w:hint="eastAsia" w:ascii="宋体" w:hAnsi="宋体" w:cs="宋体"/>
          <w:sz w:val="24"/>
        </w:rPr>
        <w:t>1、初步验收：</w:t>
      </w:r>
      <w:r>
        <w:rPr>
          <w:rFonts w:hint="eastAsia" w:ascii="宋体" w:hAnsi="宋体"/>
          <w:sz w:val="24"/>
        </w:rPr>
        <w:t>采购单位在合同签订6个月后进行初步验收，初步验收成果为至少15份</w:t>
      </w:r>
      <w:r>
        <w:rPr>
          <w:rFonts w:hint="eastAsia" w:ascii="宋体" w:hAnsi="宋体" w:cs="宋体"/>
          <w:sz w:val="24"/>
        </w:rPr>
        <w:t>《XX项目与前海科创政策适配度分析报告》、3份《科创政策XX产业链针对性推广方案》和3份《科创政策汇总分析及定期监测简报》，成果名称以采购单位确认为准，以电子形式(*.doc格式)提交。采购单位</w:t>
      </w:r>
      <w:r>
        <w:rPr>
          <w:rFonts w:hint="eastAsia" w:ascii="宋体" w:hAnsi="宋体"/>
          <w:sz w:val="24"/>
        </w:rPr>
        <w:t>负责对中标单位提交的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sz w:val="24"/>
        </w:rPr>
        <w:t>审查</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2、最终成果验收：</w:t>
      </w:r>
      <w:r>
        <w:rPr>
          <w:rFonts w:hint="eastAsia" w:ascii="宋体" w:hAnsi="宋体" w:cs="宋体"/>
          <w:sz w:val="24"/>
        </w:rPr>
        <w:t>本项目最终应形成30份《XX项目与前海科创政策适配度分析报告》、6份《科创政策XX产业链针对性推广方案》和6份《科创政策汇总分析及定期监测简报》，最终成果名称以采购单位确认为准，分别以书面形式(按照采购单位要求印制2份)和电子形式(*.doc格式)提交。最终成果验收合格的标志为采购单位</w:t>
      </w:r>
      <w:r>
        <w:rPr>
          <w:rFonts w:hint="eastAsia" w:ascii="宋体" w:hAnsi="宋体"/>
          <w:sz w:val="24"/>
        </w:rPr>
        <w:t>对中标单位提交的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sz w:val="24"/>
        </w:rPr>
        <w:t>审查</w:t>
      </w:r>
      <w:r>
        <w:rPr>
          <w:rFonts w:hint="eastAsia" w:ascii="宋体" w:hAnsi="宋体" w:cs="宋体"/>
          <w:sz w:val="24"/>
        </w:rPr>
        <w:t>验收通过。</w:t>
      </w:r>
    </w:p>
    <w:p>
      <w:pPr>
        <w:spacing w:line="360" w:lineRule="auto"/>
        <w:ind w:firstLine="480" w:firstLineChars="200"/>
        <w:rPr>
          <w:rFonts w:ascii="宋体" w:hAnsi="宋体"/>
          <w:sz w:val="24"/>
        </w:rPr>
      </w:pPr>
      <w:r>
        <w:rPr>
          <w:rFonts w:ascii="宋体" w:hAnsi="宋体" w:cs="宋体"/>
          <w:sz w:val="24"/>
        </w:rPr>
        <w:t>3</w:t>
      </w:r>
      <w:r>
        <w:rPr>
          <w:rFonts w:hint="eastAsia" w:ascii="宋体" w:hAnsi="宋体" w:cs="宋体"/>
          <w:sz w:val="24"/>
        </w:rPr>
        <w:t>、</w:t>
      </w:r>
      <w:r>
        <w:rPr>
          <w:rFonts w:hint="eastAsia" w:ascii="宋体" w:hAnsi="宋体"/>
          <w:sz w:val="24"/>
        </w:rPr>
        <w:t>采购单位如需中标单位增加交付成果的数量，应由双方协商解决。</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（七）违约责任</w:t>
      </w:r>
    </w:p>
    <w:p>
      <w:pPr>
        <w:spacing w:line="360" w:lineRule="auto"/>
        <w:ind w:firstLine="480" w:firstLineChars="200"/>
        <w:rPr>
          <w:rFonts w:ascii="宋体" w:hAnsi="宋体" w:cs="宋体"/>
          <w:sz w:val="24"/>
        </w:rPr>
      </w:pPr>
      <w:r>
        <w:rPr>
          <w:rFonts w:hint="eastAsia" w:ascii="宋体" w:hAnsi="宋体" w:cs="宋体"/>
          <w:sz w:val="24"/>
        </w:rPr>
        <w:t>1、如中标单位未按照本合同约定的时间完成本项目各阶段工作，每迟延一日，采购单位有权自尚未支付的合同款项中扣除本合同服务费总金额的3‰的逾期违约金。</w:t>
      </w:r>
    </w:p>
    <w:p>
      <w:pPr>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3、本合同履行期间，发生下述情形时，采购单位有权解除本合同，中标单位除应退还采购单位已支付的全部款项外, 还应在合同解除通知发出之日起10日内向采购单位支付合同总价款20%的违约金。中标单位应同时将已完成的项目成果移交给采购单位，并将全部有关资料退还采购单位：</w:t>
      </w:r>
    </w:p>
    <w:p>
      <w:pPr>
        <w:spacing w:line="360" w:lineRule="auto"/>
        <w:ind w:firstLine="480" w:firstLineChars="200"/>
        <w:rPr>
          <w:rFonts w:ascii="宋体" w:hAnsi="宋体" w:cs="宋体"/>
          <w:sz w:val="24"/>
        </w:rPr>
      </w:pPr>
      <w:r>
        <w:rPr>
          <w:rFonts w:hint="eastAsia" w:ascii="宋体" w:hAnsi="宋体" w:cs="宋体"/>
          <w:sz w:val="24"/>
        </w:rPr>
        <w:t>（1）中标单位未能按合同约定的日期(含协商延缓的日期)提交成果，延误时间超过15个工作日；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（2）因中标单位工作的错误或遗漏造成成果质量不符合本合同要求，且中标单位未按采购单位要求采取及时有效的补救措施的；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（3）中标单位虽如期提交阶段性成果和最终成果，但最终成果连续二次未能通过专家评审会评审验收的；</w:t>
      </w:r>
    </w:p>
    <w:p>
      <w:pPr>
        <w:spacing w:line="360" w:lineRule="auto"/>
        <w:ind w:firstLine="480" w:firstLineChars="200"/>
        <w:rPr>
          <w:rFonts w:ascii="宋体" w:hAnsi="宋体" w:cs="宋体"/>
          <w:sz w:val="24"/>
        </w:rPr>
      </w:pPr>
      <w:r>
        <w:rPr>
          <w:rFonts w:hint="eastAsia" w:ascii="宋体" w:hAnsi="宋体" w:cs="宋体"/>
          <w:sz w:val="24"/>
        </w:rPr>
        <w:t>（4）未经采购单位书面在先同意，中标单位擅自将本合同项目与任何第三方合作，或将本合同标的的全部或部分擅自转包或分包给任何第三方，且未按采购单位的要求终止与第三方的协议的；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（5）项目负责人未承担本合同项目实质性工作，或未经采购单位书面在先同意，中标单位擅自更换项目负责人的；</w:t>
      </w:r>
    </w:p>
    <w:p>
      <w:pPr>
        <w:spacing w:line="360" w:lineRule="auto"/>
        <w:ind w:firstLine="480" w:firstLineChars="200"/>
        <w:rPr>
          <w:rFonts w:ascii="宋体" w:hAnsi="宋体" w:cs="宋体"/>
          <w:sz w:val="24"/>
        </w:rPr>
      </w:pPr>
      <w:r>
        <w:rPr>
          <w:rFonts w:hint="eastAsia" w:ascii="宋体" w:hAnsi="宋体" w:cs="宋体"/>
          <w:sz w:val="24"/>
        </w:rPr>
        <w:t>（6）发现中标单位或中标单位工作人员出现全部或部分丧失履行委托服务能力的情况，采购单位有权通知中标单位限期整改或更换工作人员，期限届满中标单位并未进行改善的；</w:t>
      </w:r>
    </w:p>
    <w:p>
      <w:pPr>
        <w:spacing w:line="360" w:lineRule="auto"/>
        <w:ind w:firstLine="480" w:firstLineChars="200"/>
        <w:rPr>
          <w:rFonts w:ascii="宋体" w:hAnsi="宋体" w:cs="宋体"/>
          <w:sz w:val="24"/>
        </w:rPr>
      </w:pPr>
      <w:r>
        <w:rPr>
          <w:rFonts w:hint="eastAsia" w:ascii="宋体" w:hAnsi="宋体" w:cs="宋体"/>
          <w:sz w:val="24"/>
        </w:rPr>
        <w:t>（7）中标单位明确表示或者以自己的行为表明不履行本合同的。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如采购单位未按照本合同约定的时间支付服务费，中标单位书面催告采购单位并给予不少于5个工作日的履行期限后采购单位仍未支付的，中标单位有权自该期限届满之日起要求采购单位支付该阶段应付而未付合同价款每日3‰的逾期违约金。如采购单位无正当理由拒绝接受服务，到期明确表示拒付服务款项，中标单位有权要求采购单位支付本合同项下服务费总金额20%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pStyle w:val="15"/>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在服务期限内，项目人员应相对稳定，更换服务人员，须经采购</w:t>
      </w:r>
      <w:r>
        <w:rPr>
          <w:rFonts w:ascii="宋体" w:hAnsi="宋体" w:cs="宋体"/>
          <w:kern w:val="0"/>
          <w:sz w:val="24"/>
          <w:szCs w:val="20"/>
        </w:rPr>
        <w:t>单位</w:t>
      </w:r>
      <w:r>
        <w:rPr>
          <w:rFonts w:hint="eastAsia" w:ascii="宋体" w:hAnsi="宋体" w:cs="宋体"/>
          <w:kern w:val="0"/>
          <w:sz w:val="24"/>
          <w:szCs w:val="20"/>
        </w:rPr>
        <w:t>书面同意后方可更换。签收人需持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法人授权委托书报采购方备案，授权有效期与双方签订的框架合同期限一致。更换授权签收人须提前向采购</w:t>
      </w:r>
      <w:r>
        <w:rPr>
          <w:rFonts w:ascii="宋体" w:hAnsi="宋体" w:cs="宋体"/>
          <w:kern w:val="0"/>
          <w:sz w:val="24"/>
          <w:szCs w:val="20"/>
        </w:rPr>
        <w:t>单位</w:t>
      </w:r>
      <w:r>
        <w:rPr>
          <w:rFonts w:hint="eastAsia" w:ascii="宋体" w:hAnsi="宋体" w:cs="宋体"/>
          <w:kern w:val="0"/>
          <w:sz w:val="24"/>
          <w:szCs w:val="20"/>
        </w:rPr>
        <w:t>提出书面申请。</w:t>
      </w:r>
    </w:p>
    <w:p>
      <w:pPr>
        <w:pStyle w:val="6"/>
      </w:pP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3" w:name="_Toc6457"/>
      <w:r>
        <w:rPr>
          <w:rFonts w:hint="eastAsia" w:ascii="宋体" w:cs="宋体"/>
          <w:b/>
          <w:bCs/>
          <w:sz w:val="24"/>
        </w:rPr>
        <w:t>第六章 投标文件初审及招标项目评分表</w:t>
      </w:r>
      <w:bookmarkEnd w:id="23"/>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rPr>
              <w:t>一、价格部分（1</w:t>
            </w:r>
            <w:r>
              <w:rPr>
                <w:rFonts w:ascii="宋体" w:hAnsi="宋体" w:cs="宋体"/>
                <w:b/>
                <w:bCs/>
                <w:kern w:val="0"/>
                <w:sz w:val="22"/>
                <w:szCs w:val="22"/>
              </w:rPr>
              <w:t>0</w:t>
            </w:r>
            <w:r>
              <w:rPr>
                <w:rFonts w:hint="eastAsia" w:ascii="宋体" w:hAnsi="宋体" w:cs="宋体"/>
                <w:b/>
                <w:bCs/>
                <w:kern w:val="0"/>
                <w:sz w:val="22"/>
                <w:szCs w:val="22"/>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价格分计算方法：满足招标文件要求且投标价格最低的投标报价为评标基准价，其价格分为满分。其他投标人的价格分统一按照下列公式计算：</w:t>
            </w:r>
          </w:p>
          <w:p>
            <w:pPr>
              <w:widowControl/>
              <w:jc w:val="left"/>
              <w:textAlignment w:val="center"/>
            </w:pPr>
            <w:r>
              <w:rPr>
                <w:rFonts w:hint="eastAsia"/>
              </w:rPr>
              <w:t>投标报价得分=(评标基准价／投标报价)×10</w:t>
            </w:r>
          </w:p>
          <w:p>
            <w:pPr>
              <w:widowControl/>
              <w:jc w:val="left"/>
            </w:pPr>
            <w:r>
              <w:rPr>
                <w:rFonts w:hint="eastAsia"/>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6"/>
            </w:pPr>
            <w:r>
              <w:rPr>
                <w:rFonts w:hint="eastAsia"/>
              </w:rPr>
              <w:t>2、投标报价得分四舍五入后，小数点后保留两位有效数。</w:t>
            </w:r>
          </w:p>
          <w:p>
            <w:r>
              <w:rPr>
                <w:b/>
                <w:bCs/>
                <w:szCs w:val="21"/>
              </w:rPr>
              <w:t>3、</w:t>
            </w:r>
            <w:r>
              <w:rPr>
                <w:rFonts w:hint="eastAsia"/>
                <w:b/>
                <w:bCs/>
                <w:szCs w:val="21"/>
              </w:rPr>
              <w:t>本项目所属行业</w:t>
            </w:r>
            <w:r>
              <w:rPr>
                <w:b/>
                <w:bCs/>
                <w:szCs w:val="21"/>
              </w:rPr>
              <w:t>：</w:t>
            </w:r>
            <w:r>
              <w:rPr>
                <w:rFonts w:hint="eastAsia" w:ascii="宋体" w:hAnsi="宋体" w:cs="宋体"/>
                <w:b/>
                <w:bCs/>
                <w:spacing w:val="-2"/>
                <w:szCs w:val="21"/>
                <w:u w:val="single"/>
              </w:rPr>
              <w:t>其他未列明行业</w:t>
            </w:r>
            <w:r>
              <w:rPr>
                <w:rFonts w:ascii="宋体" w:hAnsi="宋体" w:cs="宋体"/>
                <w:b/>
                <w:bCs/>
                <w:spacing w:val="-2"/>
                <w:szCs w:val="21"/>
                <w:u w:val="single"/>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r>
              <w:rPr>
                <w:rFonts w:ascii="宋体" w:hAnsi="宋体" w:cs="宋体"/>
                <w:kern w:val="0"/>
                <w:sz w:val="22"/>
                <w:szCs w:val="22"/>
              </w:rPr>
              <w:t>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rPr>
              <w:t>二、商务部分（4</w:t>
            </w:r>
            <w:r>
              <w:rPr>
                <w:rFonts w:ascii="宋体" w:hAnsi="宋体" w:cs="宋体"/>
                <w:b/>
                <w:bCs/>
                <w:kern w:val="0"/>
                <w:sz w:val="22"/>
                <w:szCs w:val="22"/>
              </w:rPr>
              <w:t>5</w:t>
            </w:r>
            <w:r>
              <w:rPr>
                <w:rFonts w:hint="eastAsia" w:ascii="宋体" w:hAnsi="宋体" w:cs="宋体"/>
                <w:b/>
                <w:bCs/>
                <w:kern w:val="0"/>
                <w:sz w:val="22"/>
                <w:szCs w:val="22"/>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得分</w:t>
            </w: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投标人行业资源储备情况</w:t>
            </w:r>
          </w:p>
        </w:tc>
        <w:tc>
          <w:tcPr>
            <w:tcW w:w="5836" w:type="dxa"/>
            <w:tcBorders>
              <w:top w:val="single" w:color="000000" w:sz="4" w:space="0"/>
              <w:left w:val="single" w:color="000000" w:sz="4" w:space="0"/>
              <w:right w:val="single" w:color="000000" w:sz="4" w:space="0"/>
            </w:tcBorders>
            <w:vAlign w:val="center"/>
          </w:tcPr>
          <w:p>
            <w:pPr>
              <w:pStyle w:val="34"/>
              <w:widowControl/>
              <w:ind w:firstLine="0" w:firstLineChars="0"/>
              <w:jc w:val="left"/>
              <w:rPr>
                <w:rFonts w:ascii="宋体" w:hAnsi="宋体" w:cs="宋体"/>
                <w:b/>
                <w:szCs w:val="21"/>
                <w:lang w:val="zh-CN"/>
              </w:rPr>
            </w:pPr>
            <w:r>
              <w:rPr>
                <w:rFonts w:hint="eastAsia" w:ascii="宋体" w:hAnsi="宋体" w:cs="宋体"/>
                <w:b/>
                <w:szCs w:val="21"/>
                <w:lang w:val="zh-CN"/>
              </w:rPr>
              <w:t>评审标准：</w:t>
            </w:r>
          </w:p>
          <w:p>
            <w:pPr>
              <w:rPr>
                <w:szCs w:val="21"/>
              </w:rPr>
            </w:pPr>
            <w:r>
              <w:rPr>
                <w:rFonts w:hint="eastAsia"/>
                <w:szCs w:val="21"/>
              </w:rPr>
              <w:t>1</w:t>
            </w:r>
            <w:r>
              <w:rPr>
                <w:szCs w:val="21"/>
              </w:rPr>
              <w:t>.</w:t>
            </w:r>
            <w:r>
              <w:rPr>
                <w:rFonts w:hint="eastAsia"/>
                <w:szCs w:val="21"/>
              </w:rPr>
              <w:t>投标人近3年（自2020年1月1日起开始计算，以合同签订时间为准）具有政府机关、企事业单位</w:t>
            </w:r>
            <w:r>
              <w:rPr>
                <w:szCs w:val="21"/>
              </w:rPr>
              <w:t>科技创新或产业咨询服务案例</w:t>
            </w:r>
            <w:r>
              <w:rPr>
                <w:rFonts w:hint="eastAsia"/>
                <w:szCs w:val="21"/>
              </w:rPr>
              <w:t>的，一个案例可得</w:t>
            </w:r>
            <w:r>
              <w:rPr>
                <w:szCs w:val="21"/>
              </w:rPr>
              <w:t>5</w:t>
            </w:r>
            <w:r>
              <w:rPr>
                <w:rFonts w:hint="eastAsia"/>
                <w:szCs w:val="21"/>
              </w:rPr>
              <w:t>分。</w:t>
            </w:r>
          </w:p>
          <w:p>
            <w:pPr>
              <w:rPr>
                <w:szCs w:val="21"/>
              </w:rPr>
            </w:pPr>
            <w:r>
              <w:rPr>
                <w:rFonts w:hint="eastAsia"/>
                <w:szCs w:val="21"/>
              </w:rPr>
              <w:t>2</w:t>
            </w:r>
            <w:r>
              <w:rPr>
                <w:szCs w:val="21"/>
              </w:rPr>
              <w:t>.</w:t>
            </w:r>
            <w:r>
              <w:rPr>
                <w:rFonts w:hint="eastAsia"/>
                <w:szCs w:val="21"/>
              </w:rPr>
              <w:t>本项累计最高得2</w:t>
            </w:r>
            <w:r>
              <w:rPr>
                <w:szCs w:val="21"/>
              </w:rPr>
              <w:t>5</w:t>
            </w:r>
            <w:r>
              <w:rPr>
                <w:rFonts w:hint="eastAsia"/>
                <w:szCs w:val="21"/>
              </w:rPr>
              <w:t>分，不提供或者不能有效证明的，得0分。</w:t>
            </w:r>
          </w:p>
          <w:p>
            <w:pPr>
              <w:pStyle w:val="34"/>
              <w:widowControl/>
              <w:ind w:firstLine="0" w:firstLineChars="0"/>
              <w:jc w:val="left"/>
              <w:rPr>
                <w:rFonts w:ascii="宋体" w:hAnsi="宋体" w:cs="宋体"/>
                <w:b/>
                <w:szCs w:val="21"/>
                <w:lang w:val="zh-CN"/>
              </w:rPr>
            </w:pPr>
            <w:r>
              <w:rPr>
                <w:rFonts w:hint="eastAsia" w:ascii="宋体" w:hAnsi="宋体" w:cs="宋体"/>
                <w:b/>
                <w:szCs w:val="21"/>
                <w:lang w:val="zh-CN"/>
              </w:rPr>
              <w:t>证明文件：</w:t>
            </w:r>
          </w:p>
          <w:p>
            <w:pPr>
              <w:adjustRightInd w:val="0"/>
              <w:snapToGrid w:val="0"/>
              <w:spacing w:line="360" w:lineRule="exact"/>
              <w:rPr>
                <w:rFonts w:ascii="宋体" w:hAnsi="宋体" w:cs="仿宋"/>
                <w:szCs w:val="21"/>
              </w:rPr>
            </w:pPr>
            <w:r>
              <w:rPr>
                <w:rFonts w:hint="eastAsia" w:ascii="宋体" w:hAnsi="宋体" w:cs="仿宋"/>
                <w:szCs w:val="21"/>
              </w:rPr>
              <w:t>1.提供合同关键页</w:t>
            </w:r>
            <w:r>
              <w:rPr>
                <w:rFonts w:ascii="宋体" w:hAnsi="宋体" w:cs="仿宋"/>
                <w:szCs w:val="21"/>
              </w:rPr>
              <w:t>（关键信息包括但不仅限于合同的项目名称、服务内容、合同服务期限、合同签订日期</w:t>
            </w:r>
            <w:r>
              <w:rPr>
                <w:rFonts w:hint="eastAsia" w:ascii="宋体" w:hAnsi="宋体" w:cs="仿宋"/>
                <w:szCs w:val="21"/>
              </w:rPr>
              <w:t>、</w:t>
            </w:r>
            <w:r>
              <w:rPr>
                <w:rFonts w:ascii="宋体" w:hAnsi="宋体" w:cs="仿宋"/>
                <w:szCs w:val="21"/>
              </w:rPr>
              <w:t>甲乙双方签字盖章页）</w:t>
            </w:r>
            <w:r>
              <w:rPr>
                <w:rFonts w:hint="eastAsia" w:ascii="宋体" w:hAnsi="宋体" w:cs="仿宋"/>
                <w:szCs w:val="21"/>
              </w:rPr>
              <w:t>且提供的材料各项信息不得有任何遮挡；</w:t>
            </w:r>
          </w:p>
          <w:p>
            <w:pPr>
              <w:adjustRightInd w:val="0"/>
              <w:snapToGrid w:val="0"/>
              <w:spacing w:line="360" w:lineRule="exact"/>
              <w:rPr>
                <w:rFonts w:ascii="宋体" w:hAnsi="宋体" w:cs="仿宋"/>
                <w:szCs w:val="21"/>
              </w:rPr>
            </w:pPr>
            <w:r>
              <w:rPr>
                <w:rFonts w:hint="eastAsia" w:ascii="宋体" w:hAnsi="宋体" w:cs="仿宋"/>
                <w:szCs w:val="21"/>
              </w:rPr>
              <w:t>2.通过合同关键信息无法判断是否得分的，也可以提供能证明得分的其它证明资料，如项目报告或合同甲方出具的证明文件；</w:t>
            </w:r>
          </w:p>
          <w:p/>
          <w:p>
            <w:pPr>
              <w:textAlignment w:val="center"/>
            </w:pPr>
            <w:r>
              <w:rPr>
                <w:rFonts w:hint="eastAsia" w:ascii="宋体" w:hAnsi="宋体"/>
                <w:szCs w:val="21"/>
              </w:rPr>
              <w:t>3.</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r>
              <w:rPr>
                <w:rFonts w:ascii="宋体" w:hAnsi="宋体" w:cs="宋体"/>
                <w:kern w:val="0"/>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40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kern w:val="0"/>
                <w:sz w:val="22"/>
                <w:szCs w:val="22"/>
              </w:rPr>
            </w:pPr>
            <w:r>
              <w:rPr>
                <w:rFonts w:hint="eastAsia"/>
                <w:szCs w:val="21"/>
              </w:rPr>
              <w:t>项目负责人</w:t>
            </w:r>
          </w:p>
        </w:tc>
        <w:tc>
          <w:tcPr>
            <w:tcW w:w="5836" w:type="dxa"/>
            <w:tcBorders>
              <w:top w:val="single" w:color="auto" w:sz="4" w:space="0"/>
              <w:left w:val="single" w:color="000000" w:sz="4" w:space="0"/>
              <w:right w:val="single" w:color="000000" w:sz="4" w:space="0"/>
            </w:tcBorders>
            <w:vAlign w:val="center"/>
          </w:tcPr>
          <w:p>
            <w:pPr>
              <w:rPr>
                <w:b/>
                <w:bCs/>
              </w:rPr>
            </w:pPr>
            <w:r>
              <w:rPr>
                <w:rFonts w:hint="eastAsia"/>
                <w:b/>
                <w:bCs/>
              </w:rPr>
              <w:t>评审标准：</w:t>
            </w:r>
          </w:p>
          <w:p>
            <w:r>
              <w:rPr>
                <w:rFonts w:hint="eastAsia"/>
              </w:rPr>
              <w:t>项目负责人仅限1人，需为投标人自有员工，否则本项不得分。</w:t>
            </w:r>
          </w:p>
          <w:p>
            <w:r>
              <w:rPr>
                <w:rFonts w:hint="eastAsia"/>
              </w:rPr>
              <w:t>学历情况：具备硕士及以上学位的，得</w:t>
            </w:r>
            <w:r>
              <w:t>4</w:t>
            </w:r>
            <w:r>
              <w:rPr>
                <w:rFonts w:hint="eastAsia"/>
              </w:rPr>
              <w:t>分，具备学士学位或本科同等学历的，得2分。就高不就低，本小项最高得4分。</w:t>
            </w:r>
          </w:p>
          <w:p>
            <w:r>
              <w:rPr>
                <w:rFonts w:hint="eastAsia"/>
              </w:rPr>
              <w:t>项目负责人经验：每提供一项</w:t>
            </w:r>
            <w:r>
              <w:rPr>
                <w:rFonts w:hint="eastAsia"/>
                <w:szCs w:val="21"/>
              </w:rPr>
              <w:t>同类项目业绩</w:t>
            </w:r>
            <w:r>
              <w:rPr>
                <w:rFonts w:hint="eastAsia"/>
              </w:rPr>
              <w:t>的，得2分，最高得</w:t>
            </w:r>
            <w:r>
              <w:t>6</w:t>
            </w:r>
            <w:r>
              <w:rPr>
                <w:rFonts w:hint="eastAsia"/>
              </w:rPr>
              <w:t>分。</w:t>
            </w:r>
            <w:r>
              <w:rPr>
                <w:rFonts w:hint="eastAsia"/>
                <w:szCs w:val="21"/>
              </w:rPr>
              <w:t>不提供或者不能有效证明的，得0分。</w:t>
            </w:r>
          </w:p>
          <w:p/>
          <w:p>
            <w:pPr>
              <w:rPr>
                <w:b/>
                <w:bCs/>
              </w:rPr>
            </w:pPr>
            <w:r>
              <w:rPr>
                <w:rFonts w:hint="eastAsia"/>
                <w:b/>
                <w:bCs/>
              </w:rPr>
              <w:t>证明文件：</w:t>
            </w:r>
          </w:p>
          <w:p>
            <w:pPr>
              <w:numPr>
                <w:ilvl w:val="0"/>
                <w:numId w:val="7"/>
              </w:numPr>
              <w:spacing w:line="360" w:lineRule="exact"/>
              <w:rPr>
                <w:rFonts w:ascii="宋体" w:hAnsi="宋体" w:cs="宋体"/>
                <w:bCs/>
                <w:szCs w:val="21"/>
              </w:rPr>
            </w:pPr>
            <w:r>
              <w:rPr>
                <w:rFonts w:hint="eastAsia" w:ascii="宋体" w:hAnsi="宋体"/>
                <w:szCs w:val="21"/>
              </w:rPr>
              <w:t>项目</w:t>
            </w:r>
            <w:r>
              <w:rPr>
                <w:rFonts w:hint="eastAsia"/>
              </w:rPr>
              <w:t>负责人需提供近6个月内任意一个月的社保缴纳证明或加盖公章的社保承诺函</w:t>
            </w:r>
            <w:r>
              <w:rPr>
                <w:rFonts w:hint="eastAsia" w:ascii="宋体" w:hAnsi="宋体"/>
                <w:szCs w:val="21"/>
              </w:rPr>
              <w:t>（2023年</w:t>
            </w:r>
            <w:r>
              <w:rPr>
                <w:rFonts w:ascii="宋体" w:hAnsi="宋体"/>
                <w:szCs w:val="21"/>
              </w:rPr>
              <w:t>1</w:t>
            </w:r>
            <w:r>
              <w:rPr>
                <w:rFonts w:hint="eastAsia" w:ascii="宋体" w:hAnsi="宋体"/>
                <w:szCs w:val="21"/>
              </w:rPr>
              <w:t>月-2023年6月，必须是投标人为其缴纳的社保），不提供不得分。如开标日上一个月的社保材料因社保部门原因暂时无法取得，则可以往前顺延一个月。原件备查。</w:t>
            </w:r>
            <w:r>
              <w:rPr>
                <w:rFonts w:hint="eastAsia" w:ascii="宋体" w:hAnsi="宋体" w:cs="宋体"/>
                <w:bCs/>
                <w:kern w:val="0"/>
                <w:szCs w:val="21"/>
                <w:lang w:bidi="ar"/>
              </w:rPr>
              <w:t>投标人成立不足6个月的，自其成立之日起计算）</w:t>
            </w:r>
            <w:r>
              <w:rPr>
                <w:rFonts w:hint="eastAsia" w:ascii="宋体" w:hAnsi="宋体" w:cs="宋体"/>
                <w:bCs/>
                <w:szCs w:val="21"/>
              </w:rPr>
              <w:t>。</w:t>
            </w:r>
          </w:p>
          <w:p>
            <w:pPr>
              <w:numPr>
                <w:ilvl w:val="0"/>
                <w:numId w:val="7"/>
              </w:numPr>
              <w:spacing w:after="120"/>
              <w:rPr>
                <w:rFonts w:ascii="宋体" w:hAnsi="宋体" w:cs="宋体"/>
                <w:bCs/>
                <w:szCs w:val="21"/>
              </w:rPr>
            </w:pPr>
            <w:r>
              <w:rPr>
                <w:rFonts w:hint="eastAsia" w:ascii="宋体" w:hAnsi="宋体" w:cs="宋体"/>
                <w:bCs/>
                <w:szCs w:val="21"/>
              </w:rPr>
              <w:t>涉及学历（或学位）的，要求投标文件提供相应学历（或学位）证书及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和教育部留学服务中心出具的国外学历学位认证书扫描件【或教育部留学服务中心网（http://zwfw.cscse.edu.cn/）在线查询截图】也予以认可。</w:t>
            </w:r>
          </w:p>
          <w:p>
            <w:pPr>
              <w:spacing w:after="120"/>
              <w:rPr>
                <w:rFonts w:ascii="宋体" w:hAnsi="宋体" w:cs="宋体"/>
                <w:bCs/>
                <w:szCs w:val="21"/>
              </w:rPr>
            </w:pPr>
            <w:r>
              <w:rPr>
                <w:rFonts w:hint="eastAsia"/>
              </w:rPr>
              <w:t>（项目负责人的项目经验不要求一定在投标单位，但是要求合同关键页能证明该负责人曾经负责过所提供的项目）。</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40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项目团队成员</w:t>
            </w:r>
          </w:p>
        </w:tc>
        <w:tc>
          <w:tcPr>
            <w:tcW w:w="5836" w:type="dxa"/>
            <w:tcBorders>
              <w:top w:val="single" w:color="auto" w:sz="4" w:space="0"/>
              <w:left w:val="single" w:color="000000" w:sz="4" w:space="0"/>
              <w:right w:val="single" w:color="000000" w:sz="4" w:space="0"/>
            </w:tcBorders>
            <w:vAlign w:val="center"/>
          </w:tcPr>
          <w:p>
            <w:pPr>
              <w:widowControl/>
              <w:textAlignment w:val="center"/>
              <w:rPr>
                <w:rFonts w:ascii="宋体" w:hAnsi="宋体" w:cs="宋体"/>
                <w:b/>
                <w:bCs/>
                <w:color w:val="000000"/>
                <w:kern w:val="0"/>
                <w:szCs w:val="21"/>
              </w:rPr>
            </w:pPr>
            <w:r>
              <w:rPr>
                <w:rFonts w:hint="eastAsia" w:ascii="宋体" w:hAnsi="宋体" w:cs="宋体"/>
                <w:b/>
                <w:bCs/>
                <w:color w:val="000000"/>
                <w:kern w:val="0"/>
                <w:szCs w:val="21"/>
              </w:rPr>
              <w:t>评审标准：</w:t>
            </w:r>
          </w:p>
          <w:p>
            <w:pPr>
              <w:widowControl/>
              <w:textAlignment w:val="center"/>
              <w:rPr>
                <w:rFonts w:ascii="宋体" w:hAnsi="宋体" w:cs="宋体"/>
                <w:color w:val="000000"/>
                <w:kern w:val="0"/>
                <w:szCs w:val="21"/>
              </w:rPr>
            </w:pPr>
            <w:r>
              <w:rPr>
                <w:rFonts w:hint="eastAsia" w:ascii="宋体" w:hAnsi="宋体" w:cs="宋体"/>
                <w:color w:val="000000"/>
                <w:kern w:val="0"/>
                <w:szCs w:val="21"/>
              </w:rPr>
              <w:t>拟投入本项目</w:t>
            </w:r>
            <w:r>
              <w:rPr>
                <w:rFonts w:ascii="宋体" w:hAnsi="宋体" w:cs="宋体"/>
                <w:color w:val="000000"/>
                <w:kern w:val="0"/>
                <w:szCs w:val="21"/>
              </w:rPr>
              <w:t>团队</w:t>
            </w:r>
            <w:r>
              <w:rPr>
                <w:rFonts w:hint="eastAsia" w:ascii="宋体" w:hAnsi="宋体" w:cs="宋体"/>
                <w:color w:val="000000"/>
                <w:kern w:val="0"/>
                <w:szCs w:val="21"/>
              </w:rPr>
              <w:t>须为投标人自有员工</w:t>
            </w:r>
            <w:r>
              <w:rPr>
                <w:rFonts w:ascii="宋体" w:hAnsi="宋体" w:cs="宋体"/>
                <w:color w:val="000000"/>
                <w:kern w:val="0"/>
                <w:szCs w:val="21"/>
              </w:rPr>
              <w:t>，</w:t>
            </w:r>
            <w:r>
              <w:rPr>
                <w:rFonts w:hint="eastAsia" w:ascii="宋体" w:hAnsi="宋体" w:cs="宋体"/>
                <w:color w:val="000000"/>
                <w:kern w:val="0"/>
                <w:szCs w:val="21"/>
              </w:rPr>
              <w:t>且人数不低于四人，</w:t>
            </w:r>
            <w:r>
              <w:rPr>
                <w:rFonts w:ascii="宋体" w:hAnsi="宋体" w:cs="宋体"/>
                <w:color w:val="000000"/>
                <w:kern w:val="0"/>
                <w:szCs w:val="21"/>
              </w:rPr>
              <w:t>如</w:t>
            </w:r>
            <w:r>
              <w:rPr>
                <w:rFonts w:hint="eastAsia" w:ascii="宋体" w:hAnsi="宋体" w:cs="宋体"/>
                <w:color w:val="000000"/>
                <w:kern w:val="0"/>
                <w:szCs w:val="21"/>
              </w:rPr>
              <w:t>不满足</w:t>
            </w:r>
            <w:r>
              <w:rPr>
                <w:rFonts w:ascii="宋体" w:hAnsi="宋体" w:cs="宋体"/>
                <w:color w:val="000000"/>
                <w:kern w:val="0"/>
                <w:szCs w:val="21"/>
              </w:rPr>
              <w:t>此项</w:t>
            </w:r>
            <w:r>
              <w:rPr>
                <w:rFonts w:hint="eastAsia" w:ascii="宋体" w:hAnsi="宋体" w:cs="宋体"/>
                <w:color w:val="000000"/>
                <w:kern w:val="0"/>
                <w:szCs w:val="21"/>
              </w:rPr>
              <w:t>不得分。</w:t>
            </w:r>
          </w:p>
          <w:p>
            <w:pPr>
              <w:jc w:val="left"/>
              <w:textAlignment w:val="center"/>
              <w:rPr>
                <w:rFonts w:ascii="宋体" w:hAnsi="宋体" w:cs="宋体"/>
                <w:color w:val="000000"/>
                <w:kern w:val="0"/>
                <w:szCs w:val="21"/>
              </w:rPr>
            </w:pPr>
            <w:r>
              <w:rPr>
                <w:rFonts w:hint="eastAsia" w:ascii="宋体" w:hAnsi="宋体" w:cs="宋体"/>
                <w:color w:val="000000"/>
                <w:kern w:val="0"/>
                <w:szCs w:val="21"/>
              </w:rPr>
              <w:t>学历情况：具有学士学位或本科同等学历的，每提供一人得</w:t>
            </w:r>
            <w:r>
              <w:rPr>
                <w:rFonts w:ascii="宋体" w:hAnsi="宋体" w:cs="宋体"/>
                <w:color w:val="000000"/>
                <w:kern w:val="0"/>
                <w:szCs w:val="21"/>
              </w:rPr>
              <w:t>1</w:t>
            </w:r>
            <w:r>
              <w:rPr>
                <w:rFonts w:hint="eastAsia" w:ascii="宋体" w:hAnsi="宋体" w:cs="宋体"/>
                <w:color w:val="000000"/>
                <w:kern w:val="0"/>
                <w:szCs w:val="21"/>
              </w:rPr>
              <w:t>分；具有硕士及以上学位的，每提供一人得3分，此项最高</w:t>
            </w:r>
            <w:r>
              <w:rPr>
                <w:rFonts w:ascii="宋体" w:hAnsi="宋体" w:cs="宋体"/>
                <w:color w:val="000000"/>
                <w:kern w:val="0"/>
                <w:szCs w:val="21"/>
              </w:rPr>
              <w:t>1</w:t>
            </w:r>
            <w:r>
              <w:rPr>
                <w:rFonts w:hint="eastAsia" w:ascii="宋体" w:hAnsi="宋体" w:cs="宋体"/>
                <w:color w:val="000000"/>
                <w:kern w:val="0"/>
                <w:szCs w:val="21"/>
              </w:rPr>
              <w:t>0分。</w:t>
            </w:r>
          </w:p>
          <w:p>
            <w:pPr>
              <w:textAlignment w:val="center"/>
            </w:pPr>
          </w:p>
          <w:p>
            <w:pPr>
              <w:textAlignment w:val="center"/>
              <w:rPr>
                <w:rFonts w:ascii="宋体" w:hAnsi="宋体" w:cs="宋体"/>
                <w:b/>
                <w:bCs/>
                <w:color w:val="000000"/>
                <w:kern w:val="0"/>
                <w:szCs w:val="21"/>
              </w:rPr>
            </w:pPr>
            <w:r>
              <w:rPr>
                <w:rFonts w:hint="eastAsia" w:ascii="宋体" w:hAnsi="宋体" w:cs="宋体"/>
                <w:b/>
                <w:bCs/>
                <w:color w:val="000000"/>
                <w:kern w:val="0"/>
                <w:szCs w:val="21"/>
              </w:rPr>
              <w:t>证明文件:</w:t>
            </w:r>
          </w:p>
          <w:p>
            <w:pPr>
              <w:textAlignment w:val="center"/>
              <w:rPr>
                <w:rFonts w:ascii="宋体" w:hAnsi="宋体" w:cs="宋体"/>
                <w:bCs/>
                <w:szCs w:val="21"/>
              </w:rPr>
            </w:pPr>
            <w:r>
              <w:rPr>
                <w:rFonts w:hint="eastAsia" w:ascii="宋体" w:hAnsi="宋体"/>
                <w:szCs w:val="21"/>
              </w:rPr>
              <w:t>1、投标文件提供项目团队成员</w:t>
            </w:r>
            <w:r>
              <w:rPr>
                <w:rFonts w:hint="eastAsia"/>
              </w:rPr>
              <w:t>近6个月内任意一个月的社保缴纳证明或加盖公章的社保承诺函</w:t>
            </w:r>
            <w:r>
              <w:rPr>
                <w:rFonts w:hint="eastAsia" w:ascii="宋体" w:hAnsi="宋体"/>
                <w:szCs w:val="21"/>
              </w:rPr>
              <w:t>（2023年</w:t>
            </w:r>
            <w:r>
              <w:rPr>
                <w:rFonts w:ascii="宋体" w:hAnsi="宋体"/>
                <w:szCs w:val="21"/>
              </w:rPr>
              <w:t>1</w:t>
            </w:r>
            <w:r>
              <w:rPr>
                <w:rFonts w:hint="eastAsia" w:ascii="宋体" w:hAnsi="宋体"/>
                <w:szCs w:val="21"/>
              </w:rPr>
              <w:t>月-2023年6月，必须是投标人为其缴纳的社保），不提供不得分。如开标日上一个月的社保材料因社保部门原因暂时无法取得，则可以往前顺延一个月。原件备查。</w:t>
            </w:r>
            <w:r>
              <w:rPr>
                <w:rFonts w:hint="eastAsia" w:ascii="宋体" w:hAnsi="宋体" w:cs="宋体"/>
                <w:bCs/>
                <w:kern w:val="0"/>
                <w:szCs w:val="21"/>
                <w:lang w:bidi="ar"/>
              </w:rPr>
              <w:t>投标人成立不足6个月的，自其成立之日起计算）</w:t>
            </w:r>
            <w:r>
              <w:rPr>
                <w:rFonts w:hint="eastAsia" w:ascii="宋体" w:hAnsi="宋体" w:cs="宋体"/>
                <w:bCs/>
                <w:szCs w:val="21"/>
              </w:rPr>
              <w:t>。</w:t>
            </w:r>
          </w:p>
          <w:p>
            <w:pPr>
              <w:textAlignment w:val="center"/>
              <w:rPr>
                <w:rFonts w:ascii="宋体" w:hAnsi="宋体" w:cs="宋体"/>
                <w:sz w:val="22"/>
                <w:szCs w:val="22"/>
              </w:rPr>
            </w:pPr>
            <w:r>
              <w:rPr>
                <w:rFonts w:hint="eastAsia" w:ascii="宋体" w:hAnsi="宋体" w:cs="宋体"/>
                <w:bCs/>
                <w:szCs w:val="21"/>
              </w:rPr>
              <w:t>2、涉及学历（或学位）的，要求投标文件提供相应的学历（或学位）证书及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和教育部留学服务中心出具的国外学历学位认证书扫描件【或教育部留学服务中心网（http://zwfw.cscse.edu.cn/）在线查询截图】也予以认可。</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b/>
                <w:bCs/>
                <w:kern w:val="0"/>
                <w:sz w:val="22"/>
                <w:szCs w:val="22"/>
              </w:rPr>
              <w:t>三、技术部分（40分）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对项目的整体理解</w:t>
            </w:r>
          </w:p>
        </w:tc>
        <w:tc>
          <w:tcPr>
            <w:tcW w:w="5836"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kern w:val="0"/>
                <w:sz w:val="22"/>
                <w:szCs w:val="22"/>
              </w:rPr>
            </w:pPr>
            <w:r>
              <w:rPr>
                <w:rFonts w:hint="eastAsia" w:ascii="宋体" w:hAnsi="宋体" w:cs="宋体"/>
                <w:kern w:val="0"/>
                <w:sz w:val="22"/>
                <w:szCs w:val="22"/>
              </w:rPr>
              <w:t>考察对项目需求、研究目的、研究内容是否有完整的理解，进行横向综合比较。包含但不限于以下内容：</w:t>
            </w:r>
          </w:p>
          <w:p>
            <w:pPr>
              <w:widowControl/>
              <w:textAlignment w:val="center"/>
              <w:rPr>
                <w:rFonts w:ascii="宋体" w:hAnsi="宋体" w:cs="宋体"/>
                <w:kern w:val="0"/>
                <w:sz w:val="22"/>
                <w:szCs w:val="22"/>
              </w:rPr>
            </w:pPr>
            <w:r>
              <w:rPr>
                <w:rFonts w:hint="eastAsia" w:ascii="宋体" w:hAnsi="宋体" w:cs="宋体"/>
                <w:kern w:val="0"/>
                <w:sz w:val="22"/>
                <w:szCs w:val="22"/>
              </w:rPr>
              <w:t>1.对背景的理解；</w:t>
            </w:r>
          </w:p>
          <w:p>
            <w:pPr>
              <w:widowControl/>
              <w:textAlignment w:val="center"/>
              <w:rPr>
                <w:rFonts w:ascii="宋体" w:hAnsi="宋体" w:cs="宋体"/>
                <w:kern w:val="0"/>
                <w:sz w:val="22"/>
                <w:szCs w:val="22"/>
              </w:rPr>
            </w:pPr>
            <w:r>
              <w:rPr>
                <w:rFonts w:hint="eastAsia" w:ascii="宋体" w:hAnsi="宋体" w:cs="宋体"/>
                <w:kern w:val="0"/>
                <w:sz w:val="22"/>
                <w:szCs w:val="22"/>
              </w:rPr>
              <w:t>2.对项目需求及目的解读；</w:t>
            </w:r>
          </w:p>
          <w:p>
            <w:pPr>
              <w:widowControl/>
              <w:textAlignment w:val="center"/>
              <w:rPr>
                <w:rFonts w:ascii="宋体" w:hAnsi="宋体" w:cs="宋体"/>
                <w:kern w:val="0"/>
                <w:sz w:val="22"/>
                <w:szCs w:val="22"/>
              </w:rPr>
            </w:pPr>
            <w:r>
              <w:rPr>
                <w:rFonts w:hint="eastAsia" w:ascii="宋体" w:hAnsi="宋体" w:cs="宋体"/>
                <w:kern w:val="0"/>
                <w:sz w:val="22"/>
                <w:szCs w:val="22"/>
              </w:rPr>
              <w:t>3.对研究内容整体解读。</w:t>
            </w:r>
          </w:p>
          <w:p>
            <w:pPr>
              <w:spacing w:line="340" w:lineRule="exact"/>
              <w:jc w:val="left"/>
              <w:rPr>
                <w:rFonts w:ascii="宋体" w:hAnsi="宋体" w:cs="宋体"/>
                <w:szCs w:val="21"/>
              </w:rPr>
            </w:pPr>
            <w:r>
              <w:rPr>
                <w:rFonts w:hint="eastAsia" w:ascii="宋体" w:hAnsi="宋体" w:cs="宋体"/>
                <w:szCs w:val="21"/>
              </w:rPr>
              <w:t>满足以上三项内容得</w:t>
            </w:r>
            <w:r>
              <w:rPr>
                <w:rFonts w:ascii="宋体" w:hAnsi="宋体" w:cs="宋体"/>
                <w:szCs w:val="21"/>
              </w:rPr>
              <w:t>12</w:t>
            </w:r>
            <w:r>
              <w:rPr>
                <w:rFonts w:hint="eastAsia" w:ascii="宋体" w:hAnsi="宋体" w:cs="宋体"/>
                <w:szCs w:val="21"/>
              </w:rPr>
              <w:t>分，满足任意两项内容得</w:t>
            </w:r>
            <w:r>
              <w:rPr>
                <w:rFonts w:ascii="宋体" w:hAnsi="宋体" w:cs="宋体"/>
                <w:szCs w:val="21"/>
              </w:rPr>
              <w:t>8</w:t>
            </w:r>
            <w:r>
              <w:rPr>
                <w:rFonts w:hint="eastAsia" w:ascii="宋体" w:hAnsi="宋体" w:cs="宋体"/>
                <w:szCs w:val="21"/>
              </w:rPr>
              <w:t>分，满足任意一项内容得</w:t>
            </w:r>
            <w:r>
              <w:rPr>
                <w:rFonts w:ascii="宋体" w:hAnsi="宋体" w:cs="宋体"/>
                <w:szCs w:val="21"/>
              </w:rPr>
              <w:t>4</w:t>
            </w:r>
            <w:r>
              <w:rPr>
                <w:rFonts w:hint="eastAsia" w:ascii="宋体" w:hAnsi="宋体" w:cs="宋体"/>
                <w:szCs w:val="21"/>
              </w:rPr>
              <w:t>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1.优评分标准：理解准确到位，概括性强加</w:t>
            </w:r>
            <w:r>
              <w:rPr>
                <w:rFonts w:ascii="宋体" w:hAnsi="宋体" w:cs="宋体"/>
                <w:szCs w:val="21"/>
              </w:rPr>
              <w:t>8</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2.良评分标准：理解到位，具有一定概括性，加</w:t>
            </w:r>
            <w:r>
              <w:rPr>
                <w:rFonts w:ascii="宋体" w:hAnsi="宋体" w:cs="宋体"/>
                <w:szCs w:val="21"/>
              </w:rPr>
              <w:t>6</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3.中评分标准：理解有缺漏但基本到位，概括性低，加</w:t>
            </w:r>
            <w:r>
              <w:rPr>
                <w:rFonts w:ascii="宋体" w:hAnsi="宋体" w:cs="宋体"/>
                <w:szCs w:val="21"/>
              </w:rPr>
              <w:t>4</w:t>
            </w:r>
            <w:r>
              <w:rPr>
                <w:rFonts w:hint="eastAsia" w:ascii="宋体" w:hAnsi="宋体" w:cs="宋体"/>
                <w:szCs w:val="21"/>
              </w:rPr>
              <w:t>分。</w:t>
            </w:r>
          </w:p>
          <w:p>
            <w:pPr>
              <w:pStyle w:val="6"/>
              <w:spacing w:after="0"/>
              <w:rPr>
                <w:rFonts w:ascii="宋体" w:hAnsi="宋体" w:cs="宋体"/>
                <w:kern w:val="0"/>
                <w:sz w:val="22"/>
                <w:szCs w:val="22"/>
              </w:rPr>
            </w:pPr>
            <w:r>
              <w:rPr>
                <w:rFonts w:hint="eastAsia" w:ascii="宋体" w:hAnsi="宋体" w:cs="宋体"/>
                <w:szCs w:val="21"/>
              </w:rPr>
              <w:t>4.差评分标准：理解有严重缺漏，无概括性，不加分。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ascii="宋体" w:hAnsi="宋体" w:cs="宋体"/>
                <w:sz w:val="22"/>
                <w:szCs w:val="22"/>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项目重点难点分析、应对措施及相关的合理化建议</w:t>
            </w:r>
          </w:p>
        </w:tc>
        <w:tc>
          <w:tcPr>
            <w:tcW w:w="5836"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kern w:val="0"/>
                <w:sz w:val="22"/>
                <w:szCs w:val="22"/>
              </w:rPr>
            </w:pPr>
            <w:r>
              <w:rPr>
                <w:rFonts w:hint="eastAsia" w:ascii="宋体" w:hAnsi="宋体" w:cs="宋体"/>
                <w:kern w:val="0"/>
                <w:sz w:val="22"/>
                <w:szCs w:val="22"/>
              </w:rPr>
              <w:t>考察对项目重点难点分析，应对措施及相关的合理化建议情况，进行横向综合比较。包含但不限于以下内容：</w:t>
            </w:r>
          </w:p>
          <w:p>
            <w:pPr>
              <w:widowControl/>
              <w:textAlignment w:val="center"/>
              <w:rPr>
                <w:rFonts w:ascii="宋体" w:hAnsi="宋体" w:cs="宋体"/>
                <w:kern w:val="0"/>
                <w:sz w:val="22"/>
                <w:szCs w:val="22"/>
              </w:rPr>
            </w:pPr>
            <w:r>
              <w:rPr>
                <w:rFonts w:hint="eastAsia" w:ascii="宋体" w:hAnsi="宋体" w:cs="宋体"/>
                <w:kern w:val="0"/>
                <w:sz w:val="22"/>
                <w:szCs w:val="22"/>
              </w:rPr>
              <w:t>1.分析项目难点、重点情况；</w:t>
            </w:r>
          </w:p>
          <w:p>
            <w:pPr>
              <w:widowControl/>
              <w:textAlignment w:val="center"/>
              <w:rPr>
                <w:rFonts w:ascii="宋体" w:hAnsi="宋体" w:cs="宋体"/>
                <w:kern w:val="0"/>
                <w:sz w:val="22"/>
                <w:szCs w:val="22"/>
              </w:rPr>
            </w:pPr>
            <w:r>
              <w:rPr>
                <w:rFonts w:hint="eastAsia" w:ascii="宋体" w:hAnsi="宋体" w:cs="宋体"/>
                <w:kern w:val="0"/>
                <w:sz w:val="22"/>
                <w:szCs w:val="22"/>
              </w:rPr>
              <w:t>2.提出应对措施；</w:t>
            </w:r>
          </w:p>
          <w:p>
            <w:pPr>
              <w:widowControl/>
              <w:textAlignment w:val="center"/>
              <w:rPr>
                <w:rFonts w:ascii="宋体" w:hAnsi="宋体" w:cs="宋体"/>
                <w:kern w:val="0"/>
                <w:sz w:val="22"/>
                <w:szCs w:val="22"/>
              </w:rPr>
            </w:pPr>
            <w:r>
              <w:rPr>
                <w:rFonts w:hint="eastAsia" w:ascii="宋体" w:hAnsi="宋体" w:cs="宋体"/>
                <w:kern w:val="0"/>
                <w:sz w:val="22"/>
                <w:szCs w:val="22"/>
              </w:rPr>
              <w:t>3.对项目进行合理化建议；</w:t>
            </w:r>
          </w:p>
          <w:p>
            <w:pPr>
              <w:spacing w:line="340" w:lineRule="exact"/>
              <w:jc w:val="left"/>
              <w:rPr>
                <w:rFonts w:ascii="宋体" w:hAnsi="宋体" w:cs="宋体"/>
                <w:szCs w:val="21"/>
              </w:rPr>
            </w:pPr>
            <w:r>
              <w:rPr>
                <w:rFonts w:hint="eastAsia" w:ascii="宋体" w:hAnsi="宋体" w:cs="宋体"/>
                <w:szCs w:val="21"/>
              </w:rPr>
              <w:t>满足以上三项内容得</w:t>
            </w:r>
            <w:r>
              <w:rPr>
                <w:rFonts w:ascii="宋体" w:hAnsi="宋体" w:cs="宋体"/>
                <w:szCs w:val="21"/>
              </w:rPr>
              <w:t>6</w:t>
            </w:r>
            <w:r>
              <w:rPr>
                <w:rFonts w:hint="eastAsia" w:ascii="宋体" w:hAnsi="宋体" w:cs="宋体"/>
                <w:szCs w:val="21"/>
              </w:rPr>
              <w:t>分，满足任意两项内容得</w:t>
            </w:r>
            <w:r>
              <w:rPr>
                <w:rFonts w:ascii="宋体" w:hAnsi="宋体" w:cs="宋体"/>
                <w:szCs w:val="21"/>
              </w:rPr>
              <w:t>4</w:t>
            </w:r>
            <w:r>
              <w:rPr>
                <w:rFonts w:hint="eastAsia" w:ascii="宋体" w:hAnsi="宋体" w:cs="宋体"/>
                <w:szCs w:val="21"/>
              </w:rPr>
              <w:t>分，满足任意一项内容得</w:t>
            </w:r>
            <w:r>
              <w:rPr>
                <w:rFonts w:ascii="宋体" w:hAnsi="宋体" w:cs="宋体"/>
                <w:szCs w:val="21"/>
              </w:rPr>
              <w:t>2</w:t>
            </w:r>
            <w:r>
              <w:rPr>
                <w:rFonts w:hint="eastAsia" w:ascii="宋体" w:hAnsi="宋体" w:cs="宋体"/>
                <w:szCs w:val="21"/>
              </w:rPr>
              <w:t>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1.优评分标准：分析准确到位，措施合理，建议可操作性强，加</w:t>
            </w:r>
            <w:r>
              <w:rPr>
                <w:rFonts w:ascii="宋体" w:hAnsi="宋体" w:cs="宋体"/>
                <w:szCs w:val="21"/>
              </w:rPr>
              <w:t>4</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2.良评分标准：分析到位，措施比较合理，建议可操作性较强，加</w:t>
            </w:r>
            <w:r>
              <w:rPr>
                <w:rFonts w:ascii="宋体" w:hAnsi="宋体" w:cs="宋体"/>
                <w:szCs w:val="21"/>
              </w:rPr>
              <w:t>3</w:t>
            </w:r>
            <w:r>
              <w:rPr>
                <w:rFonts w:hint="eastAsia" w:ascii="宋体" w:hAnsi="宋体" w:cs="宋体"/>
                <w:szCs w:val="21"/>
              </w:rPr>
              <w:t>分。</w:t>
            </w:r>
          </w:p>
          <w:p>
            <w:pPr>
              <w:spacing w:line="340" w:lineRule="exact"/>
              <w:jc w:val="left"/>
              <w:rPr>
                <w:rFonts w:ascii="宋体" w:hAnsi="宋体" w:cs="宋体"/>
                <w:szCs w:val="21"/>
              </w:rPr>
            </w:pPr>
            <w:r>
              <w:rPr>
                <w:rFonts w:hint="eastAsia" w:ascii="宋体" w:hAnsi="宋体" w:cs="宋体"/>
                <w:szCs w:val="21"/>
              </w:rPr>
              <w:t>3.中评分标准：分析基本到位，措施基本合理，建议可操作性一般，加</w:t>
            </w:r>
            <w:r>
              <w:rPr>
                <w:rFonts w:ascii="宋体" w:hAnsi="宋体" w:cs="宋体"/>
                <w:szCs w:val="21"/>
              </w:rPr>
              <w:t>2</w:t>
            </w:r>
            <w:r>
              <w:rPr>
                <w:rFonts w:hint="eastAsia" w:ascii="宋体" w:hAnsi="宋体" w:cs="宋体"/>
                <w:szCs w:val="21"/>
              </w:rPr>
              <w:t>分。</w:t>
            </w:r>
          </w:p>
          <w:p>
            <w:pPr>
              <w:pStyle w:val="6"/>
              <w:rPr>
                <w:rFonts w:ascii="宋体" w:hAnsi="宋体" w:cs="宋体"/>
                <w:szCs w:val="21"/>
              </w:rPr>
            </w:pPr>
            <w:r>
              <w:rPr>
                <w:rFonts w:hint="eastAsia" w:ascii="宋体" w:hAnsi="宋体" w:cs="宋体"/>
                <w:szCs w:val="21"/>
              </w:rPr>
              <w:t>4.差评分标准：分析有严重缺漏，措施不合理，建议可操作性差，不加分。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sz w:val="22"/>
                <w:szCs w:val="22"/>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szCs w:val="21"/>
                <w:lang w:val="zh-CN"/>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rPr>
            </w:pPr>
            <w:r>
              <w:rPr>
                <w:rFonts w:hint="eastAsia" w:ascii="宋体" w:hAnsi="宋体" w:cs="宋体"/>
                <w:szCs w:val="21"/>
              </w:rPr>
              <w:t>项目进度计划</w:t>
            </w:r>
          </w:p>
        </w:tc>
        <w:tc>
          <w:tcPr>
            <w:tcW w:w="5836" w:type="dxa"/>
            <w:tcBorders>
              <w:top w:val="single" w:color="000000" w:sz="4" w:space="0"/>
              <w:left w:val="single" w:color="000000" w:sz="4" w:space="0"/>
              <w:right w:val="single" w:color="000000" w:sz="4" w:space="0"/>
            </w:tcBorders>
            <w:vAlign w:val="center"/>
          </w:tcPr>
          <w:p>
            <w:pPr>
              <w:widowControl/>
              <w:jc w:val="left"/>
            </w:pPr>
            <w:r>
              <w:rPr>
                <w:rFonts w:hint="eastAsia"/>
              </w:rPr>
              <w:t>项目整体实施时间是否紧凑、合理，根据项目进度的切合程度进行比较评价。</w:t>
            </w:r>
          </w:p>
          <w:p>
            <w:pPr>
              <w:widowControl/>
              <w:jc w:val="left"/>
            </w:pPr>
            <w:r>
              <w:rPr>
                <w:rFonts w:hint="eastAsia"/>
              </w:rPr>
              <w:t>1.具备完备的项目进度计划体系文档；</w:t>
            </w:r>
          </w:p>
          <w:p>
            <w:pPr>
              <w:widowControl/>
              <w:jc w:val="left"/>
            </w:pPr>
            <w:r>
              <w:rPr>
                <w:rFonts w:hint="eastAsia"/>
              </w:rPr>
              <w:t>2.项目进度计划紧凑，时间安排合理。</w:t>
            </w:r>
          </w:p>
          <w:p>
            <w:pPr>
              <w:widowControl/>
              <w:spacing w:line="360" w:lineRule="exact"/>
              <w:textAlignment w:val="center"/>
              <w:rPr>
                <w:rFonts w:ascii="宋体" w:hAnsi="宋体" w:cs="宋体"/>
                <w:szCs w:val="21"/>
              </w:rPr>
            </w:pPr>
            <w:r>
              <w:rPr>
                <w:rFonts w:hint="eastAsia"/>
              </w:rPr>
              <w:t>满足上述两项的得10分，满足一项的得5分，全部不满足的不得分。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b/>
                <w:bCs/>
                <w:sz w:val="22"/>
                <w:szCs w:val="22"/>
              </w:rPr>
              <w:t>四、诚信部分（</w:t>
            </w:r>
            <w:r>
              <w:rPr>
                <w:rFonts w:ascii="宋体" w:hAnsi="宋体" w:cs="宋体"/>
                <w:b/>
                <w:bCs/>
                <w:sz w:val="22"/>
                <w:szCs w:val="22"/>
              </w:rPr>
              <w:t>5</w:t>
            </w:r>
            <w:r>
              <w:rPr>
                <w:rFonts w:hint="eastAsia" w:ascii="宋体" w:hAnsi="宋体" w:cs="宋体"/>
                <w:b/>
                <w:bCs/>
                <w:sz w:val="22"/>
                <w:szCs w:val="22"/>
              </w:rPr>
              <w:t>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kern w:val="0"/>
                <w:sz w:val="22"/>
                <w:szCs w:val="22"/>
              </w:rPr>
              <w:t>1</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ascii="宋体" w:hAnsi="宋体" w:cs="宋体"/>
                <w:color w:val="000000"/>
                <w:kern w:val="0"/>
                <w:szCs w:val="21"/>
              </w:rPr>
              <w:t>诚信管理情况</w:t>
            </w:r>
          </w:p>
        </w:tc>
        <w:tc>
          <w:tcPr>
            <w:tcW w:w="5836" w:type="dxa"/>
            <w:tcBorders>
              <w:top w:val="nil"/>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2"/>
                <w:szCs w:val="22"/>
              </w:rPr>
            </w:pPr>
            <w:r>
              <w:rPr>
                <w:rFonts w:hint="eastAsia" w:ascii="宋体" w:hAnsi="宋体" w:cs="宋体"/>
                <w:color w:val="000000"/>
                <w:kern w:val="0"/>
                <w:szCs w:val="21"/>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szCs w:val="22"/>
              </w:rPr>
            </w:pPr>
            <w:r>
              <w:rPr>
                <w:rFonts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bl>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4" w:name="_Toc834"/>
      <w:bookmarkStart w:id="25"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4"/>
    </w:p>
    <w:p>
      <w:pPr>
        <w:keepNext/>
        <w:keepLines/>
        <w:spacing w:before="260" w:after="260" w:line="360" w:lineRule="auto"/>
        <w:jc w:val="center"/>
        <w:outlineLvl w:val="1"/>
        <w:rPr>
          <w:rFonts w:ascii="宋体" w:hAnsi="宋体" w:cs="宋体"/>
          <w:b/>
          <w:bCs/>
          <w:sz w:val="24"/>
        </w:rPr>
      </w:pPr>
      <w:bookmarkStart w:id="26" w:name="_Toc19494"/>
      <w:bookmarkStart w:id="27" w:name="_Toc31827"/>
      <w:bookmarkStart w:id="28" w:name="_Toc6548"/>
      <w:bookmarkStart w:id="29" w:name="_Toc5116"/>
      <w:r>
        <w:rPr>
          <w:rFonts w:hint="eastAsia" w:ascii="宋体" w:hAnsi="宋体" w:cs="宋体"/>
          <w:b/>
          <w:sz w:val="24"/>
        </w:rPr>
        <w:t>一、</w:t>
      </w:r>
      <w:r>
        <w:rPr>
          <w:rFonts w:hint="eastAsia" w:ascii="宋体" w:hAnsi="宋体" w:cs="宋体"/>
          <w:b/>
          <w:bCs/>
          <w:sz w:val="24"/>
        </w:rPr>
        <w:t>投标文件包装封面参考</w:t>
      </w:r>
      <w:bookmarkEnd w:id="26"/>
      <w:bookmarkEnd w:id="27"/>
      <w:bookmarkEnd w:id="28"/>
      <w:bookmarkEnd w:id="29"/>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2"/>
        <w:rPr>
          <w:rFonts w:ascii="宋体" w:cs="宋体"/>
          <w:sz w:val="24"/>
        </w:rPr>
      </w:pPr>
      <w:r>
        <w:rPr>
          <w:rFonts w:hint="eastAsia" w:ascii="宋体" w:cs="宋体"/>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2" w:firstLineChars="200"/>
        <w:rPr>
          <w:b/>
          <w:sz w:val="24"/>
          <w:lang w:val="fr-CH"/>
        </w:rPr>
      </w:pPr>
      <w:r>
        <w:rPr>
          <w:rFonts w:hint="eastAsia"/>
          <w:b/>
          <w:sz w:val="24"/>
          <w:lang w:val="fr-CH"/>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5</w:t>
      </w:r>
      <w:r>
        <w:rPr>
          <w:rFonts w:hint="eastAsia" w:ascii="宋体" w:hAnsi="宋体" w:cs="宋体"/>
          <w:sz w:val="24"/>
        </w:rPr>
        <w:t>、</w:t>
      </w:r>
      <w:r>
        <w:rPr>
          <w:rFonts w:hint="eastAsia" w:ascii="宋体" w:hAnsi="宋体" w:cs="宋体"/>
          <w:sz w:val="24"/>
          <w:lang w:val="fr-CH"/>
        </w:rPr>
        <w:t>关于资格的声明函；</w:t>
      </w:r>
    </w:p>
    <w:p>
      <w:pPr>
        <w:pStyle w:val="25"/>
        <w:spacing w:line="360" w:lineRule="auto"/>
        <w:ind w:firstLine="480"/>
        <w:rPr>
          <w:lang w:val="fr-CH"/>
        </w:rPr>
      </w:pPr>
      <w:r>
        <w:rPr>
          <w:rFonts w:ascii="宋体" w:hAnsi="宋体" w:cs="宋体"/>
          <w:kern w:val="2"/>
          <w:sz w:val="24"/>
          <w:szCs w:val="24"/>
          <w:lang w:val="fr-CH"/>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7</w:t>
      </w:r>
      <w:r>
        <w:rPr>
          <w:rFonts w:hint="eastAsia" w:ascii="宋体" w:hAnsi="宋体" w:cs="宋体"/>
          <w:sz w:val="24"/>
        </w:rPr>
        <w:t>、</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8</w:t>
      </w:r>
      <w:r>
        <w:rPr>
          <w:rFonts w:hint="eastAsia" w:ascii="宋体" w:hAnsi="宋体" w:cs="宋体"/>
          <w:sz w:val="24"/>
        </w:rPr>
        <w:t>、</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9</w:t>
      </w:r>
      <w:r>
        <w:rPr>
          <w:rFonts w:hint="eastAsia" w:ascii="宋体" w:hAnsi="宋体" w:cs="宋体"/>
          <w:sz w:val="24"/>
        </w:rPr>
        <w:t>、</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1</w:t>
      </w:r>
      <w:r>
        <w:rPr>
          <w:rFonts w:hint="eastAsia" w:ascii="宋体" w:hAnsi="宋体" w:cs="宋体"/>
          <w:sz w:val="24"/>
          <w:lang w:val="fr-CH"/>
        </w:rPr>
        <w:t>、企业资质和行业资源储备情况</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lang w:val="fr-CH"/>
        </w:rPr>
        <w:t>、</w:t>
      </w:r>
      <w:r>
        <w:rPr>
          <w:rFonts w:hint="eastAsia" w:ascii="宋体" w:hAnsi="宋体" w:cs="宋体"/>
          <w:sz w:val="24"/>
        </w:rPr>
        <w:t>项目负责人相关证明材料</w:t>
      </w:r>
    </w:p>
    <w:p>
      <w:pPr>
        <w:spacing w:line="360" w:lineRule="auto"/>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3</w:t>
      </w:r>
      <w:r>
        <w:rPr>
          <w:rFonts w:hint="eastAsia" w:ascii="宋体" w:hAnsi="宋体" w:cs="宋体"/>
          <w:sz w:val="24"/>
          <w:lang w:val="fr-CH"/>
        </w:rPr>
        <w:t>、</w:t>
      </w:r>
      <w:r>
        <w:rPr>
          <w:rFonts w:hint="eastAsia" w:ascii="宋体" w:hAnsi="宋体" w:cs="宋体"/>
          <w:sz w:val="24"/>
        </w:rPr>
        <w:t>项目团队成员相关证明材料</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ascii="宋体" w:hAnsi="宋体" w:cs="宋体"/>
          <w:sz w:val="24"/>
        </w:rPr>
        <w:t>4</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1、用户需求响应表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2</w:t>
      </w:r>
      <w:r>
        <w:rPr>
          <w:rFonts w:hint="eastAsia" w:ascii="宋体" w:hAnsi="宋体" w:cs="宋体"/>
          <w:sz w:val="24"/>
        </w:rPr>
        <w:t>、</w:t>
      </w:r>
      <w:r>
        <w:rPr>
          <w:rFonts w:hint="eastAsia" w:ascii="宋体" w:hAnsi="宋体" w:cs="宋体"/>
          <w:kern w:val="0"/>
          <w:sz w:val="24"/>
        </w:rPr>
        <w:t>对项目整体理解文字材料</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3</w:t>
      </w:r>
      <w:r>
        <w:rPr>
          <w:rFonts w:hint="eastAsia" w:ascii="宋体" w:hAnsi="宋体" w:cs="宋体"/>
          <w:sz w:val="24"/>
        </w:rPr>
        <w:t>、</w:t>
      </w:r>
      <w:r>
        <w:rPr>
          <w:rFonts w:hint="eastAsia" w:ascii="宋体" w:hAnsi="宋体" w:cs="宋体"/>
          <w:kern w:val="0"/>
          <w:sz w:val="24"/>
        </w:rPr>
        <w:t>项目重点难点分析、应对措施及相关的合理化建议文字材料；</w:t>
      </w:r>
    </w:p>
    <w:p>
      <w:pPr>
        <w:tabs>
          <w:tab w:val="left" w:pos="640"/>
          <w:tab w:val="left" w:pos="1260"/>
          <w:tab w:val="left" w:pos="1418"/>
        </w:tabs>
        <w:spacing w:line="360" w:lineRule="auto"/>
        <w:ind w:right="-420" w:rightChars="-200" w:firstLine="480" w:firstLineChars="200"/>
        <w:rPr>
          <w:rFonts w:ascii="宋体" w:hAnsi="宋体" w:cs="宋体"/>
          <w:sz w:val="24"/>
        </w:rPr>
      </w:pPr>
      <w:r>
        <w:rPr>
          <w:rFonts w:ascii="宋体" w:hAnsi="宋体" w:cs="宋体"/>
          <w:sz w:val="24"/>
        </w:rPr>
        <w:t>4</w:t>
      </w:r>
      <w:r>
        <w:rPr>
          <w:rFonts w:hint="eastAsia" w:ascii="宋体" w:hAnsi="宋体" w:cs="宋体"/>
          <w:sz w:val="24"/>
        </w:rPr>
        <w:t>、项目进度计划安排材料；</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5</w:t>
      </w:r>
      <w:r>
        <w:rPr>
          <w:rFonts w:hint="eastAsia" w:ascii="宋体" w:hAnsi="宋体" w:cs="宋体"/>
          <w:sz w:val="24"/>
        </w:rPr>
        <w:t>、</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
      <w:pPr>
        <w:spacing w:line="360" w:lineRule="auto"/>
        <w:outlineLvl w:val="2"/>
        <w:rPr>
          <w:rFonts w:ascii="宋体" w:hAnsi="宋体" w:cs="宋体"/>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5"/>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项目</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宋体" w:hAnsi="宋体" w:cs="仿宋_GB2312"/>
                <w:color w:val="000000"/>
                <w:kern w:val="0"/>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宋体" w:hAnsi="宋体" w:cs="仿宋_GB2312"/>
                <w:color w:val="000000"/>
                <w:kern w:val="0"/>
                <w:lang w:val="zh-CN" w:bidi="zh-CN"/>
              </w:rPr>
            </w:pPr>
            <w:r>
              <w:rPr>
                <w:rFonts w:hint="eastAsia" w:ascii="宋体" w:hAnsi="宋体" w:cs="仿宋_GB2312"/>
                <w:color w:val="000000"/>
                <w:kern w:val="0"/>
                <w:lang w:bidi="ar"/>
              </w:rPr>
              <w:t>含税总计（RMB）</w:t>
            </w: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8"/>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5"/>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6"/>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6"/>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8"/>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8"/>
        <w:spacing w:line="360" w:lineRule="auto"/>
        <w:jc w:val="center"/>
        <w:rPr>
          <w:rFonts w:hAnsi="宋体" w:cs="宋体"/>
          <w:sz w:val="24"/>
        </w:rPr>
      </w:pPr>
      <w:r>
        <w:rPr>
          <w:rFonts w:hint="eastAsia" w:hAnsi="宋体" w:cs="宋体"/>
          <w:sz w:val="24"/>
        </w:rPr>
        <w:t xml:space="preserve">                                  承诺日期：    年  月  日</w:t>
      </w:r>
    </w:p>
    <w:p>
      <w:pPr>
        <w:pStyle w:val="8"/>
        <w:spacing w:line="360" w:lineRule="auto"/>
        <w:jc w:val="left"/>
        <w:rPr>
          <w:rFonts w:hAnsi="宋体" w:cs="宋体"/>
          <w:sz w:val="24"/>
        </w:rPr>
      </w:pPr>
    </w:p>
    <w:p>
      <w:pPr>
        <w:pStyle w:val="8"/>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szCs w:val="21"/>
              </w:rPr>
            </w:pPr>
          </w:p>
        </w:tc>
        <w:tc>
          <w:tcPr>
            <w:tcW w:w="4677" w:type="dxa"/>
          </w:tcPr>
          <w:p>
            <w:pPr>
              <w:pStyle w:val="8"/>
              <w:spacing w:line="360" w:lineRule="auto"/>
              <w:rPr>
                <w:rFonts w:ascii="Arial Narrow" w:hAnsi="Arial Narrow"/>
                <w:b/>
                <w:bCs/>
                <w:szCs w:val="21"/>
              </w:rPr>
            </w:pPr>
          </w:p>
        </w:tc>
      </w:tr>
    </w:tbl>
    <w:p>
      <w:pPr>
        <w:spacing w:line="360" w:lineRule="auto"/>
        <w:jc w:val="center"/>
        <w:rPr>
          <w:rFonts w:hAnsi="宋体" w:cs="宋体"/>
          <w:b/>
          <w:sz w:val="24"/>
        </w:rPr>
      </w:pPr>
      <w:r>
        <w:rPr>
          <w:rFonts w:hint="eastAsia" w:hAnsi="宋体" w:cs="宋体"/>
          <w:b/>
          <w:sz w:val="24"/>
        </w:rPr>
        <w:br w:type="page"/>
      </w:r>
    </w:p>
    <w:p>
      <w:pPr>
        <w:pStyle w:val="8"/>
        <w:spacing w:line="360" w:lineRule="auto"/>
        <w:jc w:val="center"/>
        <w:rPr>
          <w:rFonts w:hAnsi="宋体" w:cs="宋体"/>
          <w:b/>
          <w:sz w:val="24"/>
        </w:rPr>
      </w:pPr>
      <w:r>
        <w:rPr>
          <w:rFonts w:hint="eastAsia" w:hAnsi="宋体" w:cs="宋体"/>
          <w:b/>
          <w:sz w:val="24"/>
        </w:rPr>
        <w:t>8、法定代表人/单位负责人授权书</w:t>
      </w:r>
    </w:p>
    <w:p>
      <w:pPr>
        <w:pStyle w:val="8"/>
        <w:spacing w:line="360" w:lineRule="auto"/>
        <w:rPr>
          <w:rFonts w:hAnsi="宋体" w:cs="宋体"/>
          <w:sz w:val="24"/>
        </w:rPr>
      </w:pPr>
    </w:p>
    <w:p>
      <w:pPr>
        <w:pStyle w:val="8"/>
        <w:spacing w:line="360" w:lineRule="auto"/>
        <w:rPr>
          <w:rFonts w:hAnsi="宋体" w:cs="宋体"/>
          <w:sz w:val="24"/>
        </w:rPr>
      </w:pPr>
      <w:r>
        <w:rPr>
          <w:rFonts w:hint="eastAsia" w:hAnsi="宋体" w:cs="宋体"/>
          <w:b/>
          <w:sz w:val="24"/>
        </w:rPr>
        <w:t>深圳市前海深港现代服务业合作区管理局：</w:t>
      </w:r>
    </w:p>
    <w:p>
      <w:pPr>
        <w:pStyle w:val="8"/>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8"/>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6"/>
        <w:rPr>
          <w:rFonts w:ascii="宋体" w:hAnsi="宋体" w:cs="宋体"/>
          <w:b/>
          <w:sz w:val="24"/>
        </w:rPr>
      </w:pPr>
    </w:p>
    <w:p>
      <w:pPr>
        <w:rPr>
          <w:rFonts w:ascii="宋体" w:hAnsi="宋体" w:cs="宋体"/>
          <w:b/>
          <w:sz w:val="24"/>
        </w:rPr>
      </w:pPr>
    </w:p>
    <w:p>
      <w:pPr>
        <w:pStyle w:val="6"/>
        <w:rPr>
          <w:rFonts w:ascii="宋体" w:hAnsi="宋体" w:cs="宋体"/>
          <w:b/>
          <w:sz w:val="24"/>
        </w:rPr>
      </w:pPr>
    </w:p>
    <w:p>
      <w:pPr>
        <w:rPr>
          <w:rFonts w:ascii="宋体" w:hAnsi="宋体" w:cs="宋体"/>
          <w:b/>
          <w:sz w:val="24"/>
        </w:rPr>
      </w:pPr>
    </w:p>
    <w:p>
      <w:pPr>
        <w:pStyle w:val="6"/>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szCs w:val="21"/>
              </w:rPr>
            </w:pPr>
          </w:p>
        </w:tc>
        <w:tc>
          <w:tcPr>
            <w:tcW w:w="4677" w:type="dxa"/>
          </w:tcPr>
          <w:p>
            <w:pPr>
              <w:pStyle w:val="8"/>
              <w:spacing w:line="360" w:lineRule="auto"/>
              <w:rPr>
                <w:rFonts w:ascii="Arial Narrow" w:hAnsi="Arial Narrow"/>
                <w:b/>
                <w:bCs/>
                <w:szCs w:val="21"/>
              </w:rPr>
            </w:pPr>
          </w:p>
        </w:tc>
      </w:tr>
    </w:tbl>
    <w:p>
      <w:pPr>
        <w:widowControl/>
        <w:jc w:val="left"/>
        <w:rPr>
          <w:rFonts w:ascii="宋体" w:hAnsi="宋体" w:cs="宋体"/>
          <w:b/>
          <w:bCs/>
          <w:sz w:val="24"/>
        </w:rPr>
      </w:pPr>
      <w:r>
        <w:rPr>
          <w:rFonts w:hint="eastAsia"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6"/>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spacing w:line="360" w:lineRule="auto"/>
        <w:ind w:firstLine="480" w:firstLineChars="200"/>
        <w:rPr>
          <w:rFonts w:ascii="宋体" w:hAnsi="宋体" w:cs="宋体"/>
          <w:sz w:val="24"/>
        </w:rPr>
      </w:pPr>
      <w:r>
        <w:rPr>
          <w:rFonts w:hint="eastAsia" w:ascii="宋体" w:hAnsi="宋体" w:cs="宋体"/>
          <w:sz w:val="24"/>
          <w:lang w:val="fr-CH"/>
        </w:rPr>
        <w:br w:type="page"/>
      </w:r>
    </w:p>
    <w:p>
      <w:pPr>
        <w:spacing w:line="360" w:lineRule="auto"/>
        <w:rPr>
          <w:rFonts w:ascii="宋体" w:hAnsi="宋体" w:cs="宋体"/>
          <w:sz w:val="24"/>
          <w:lang w:val="fr-CH"/>
        </w:rPr>
      </w:pPr>
      <w:r>
        <w:rPr>
          <w:rFonts w:ascii="宋体" w:hAnsi="宋体" w:cs="宋体"/>
          <w:sz w:val="24"/>
        </w:rPr>
        <w:t>10</w:t>
      </w:r>
      <w:r>
        <w:rPr>
          <w:rFonts w:hint="eastAsia" w:ascii="宋体" w:hAnsi="宋体" w:cs="宋体"/>
          <w:sz w:val="24"/>
          <w:lang w:val="fr-CH"/>
        </w:rPr>
        <w:t>、投标人简介</w:t>
      </w:r>
    </w:p>
    <w:p>
      <w:pPr>
        <w:spacing w:line="360" w:lineRule="auto"/>
        <w:rPr>
          <w:rFonts w:ascii="宋体" w:hAnsi="宋体" w:cs="宋体"/>
          <w:sz w:val="24"/>
          <w:lang w:val="fr-CH"/>
        </w:rPr>
      </w:pPr>
      <w:r>
        <w:rPr>
          <w:rFonts w:hint="eastAsia" w:ascii="宋体" w:hAnsi="宋体" w:cs="宋体"/>
          <w:sz w:val="24"/>
        </w:rPr>
        <w:t>1</w:t>
      </w:r>
      <w:r>
        <w:rPr>
          <w:rFonts w:ascii="宋体" w:hAnsi="宋体" w:cs="宋体"/>
          <w:sz w:val="24"/>
        </w:rPr>
        <w:t>1</w:t>
      </w:r>
      <w:r>
        <w:rPr>
          <w:rFonts w:hint="eastAsia" w:ascii="宋体" w:hAnsi="宋体" w:cs="宋体"/>
          <w:sz w:val="24"/>
          <w:lang w:val="fr-CH"/>
        </w:rPr>
        <w:t>、企业资质和行业资源储备情况</w:t>
      </w:r>
    </w:p>
    <w:p>
      <w:pPr>
        <w:spacing w:line="360" w:lineRule="auto"/>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lang w:val="fr-CH"/>
        </w:rPr>
        <w:t>、</w:t>
      </w:r>
      <w:r>
        <w:rPr>
          <w:rFonts w:hint="eastAsia" w:ascii="宋体" w:hAnsi="宋体" w:cs="宋体"/>
          <w:sz w:val="24"/>
        </w:rPr>
        <w:t>项目负责人相关证明材料</w:t>
      </w:r>
    </w:p>
    <w:p>
      <w:pPr>
        <w:spacing w:line="360" w:lineRule="auto"/>
        <w:rPr>
          <w:rFonts w:ascii="宋体" w:hAnsi="宋体" w:cs="宋体"/>
          <w:sz w:val="24"/>
          <w:lang w:val="fr-CH"/>
        </w:rPr>
      </w:pPr>
      <w:r>
        <w:rPr>
          <w:rFonts w:hint="eastAsia" w:ascii="宋体" w:hAnsi="宋体" w:cs="宋体"/>
          <w:sz w:val="24"/>
        </w:rPr>
        <w:t>1</w:t>
      </w:r>
      <w:r>
        <w:rPr>
          <w:rFonts w:ascii="宋体" w:hAnsi="宋体" w:cs="宋体"/>
          <w:sz w:val="24"/>
        </w:rPr>
        <w:t>3</w:t>
      </w:r>
      <w:r>
        <w:rPr>
          <w:rFonts w:hint="eastAsia" w:ascii="宋体" w:hAnsi="宋体" w:cs="宋体"/>
          <w:sz w:val="24"/>
          <w:lang w:val="fr-CH"/>
        </w:rPr>
        <w:t>、</w:t>
      </w:r>
      <w:r>
        <w:rPr>
          <w:rFonts w:hint="eastAsia" w:ascii="宋体" w:hAnsi="宋体" w:cs="宋体"/>
          <w:sz w:val="24"/>
        </w:rPr>
        <w:t>项目团队成员相关证明材料</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4</w:t>
      </w:r>
      <w:r>
        <w:rPr>
          <w:rFonts w:hint="eastAsia" w:ascii="宋体" w:hAnsi="宋体" w:cs="宋体"/>
          <w:b/>
          <w:bCs/>
          <w:sz w:val="24"/>
        </w:rPr>
        <w:t>、</w:t>
      </w:r>
      <w:r>
        <w:rPr>
          <w:rFonts w:hint="eastAsia" w:ascii="宋体" w:hAnsi="宋体" w:cs="宋体"/>
          <w:b/>
          <w:bCs/>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8"/>
        <w:spacing w:line="360" w:lineRule="auto"/>
        <w:rPr>
          <w:rFonts w:hAnsi="宋体" w:cs="宋体"/>
          <w:bCs/>
          <w:sz w:val="24"/>
        </w:rPr>
      </w:pPr>
    </w:p>
    <w:p>
      <w:pPr>
        <w:pStyle w:val="8"/>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6"/>
        <w:spacing w:line="360" w:lineRule="auto"/>
        <w:rPr>
          <w:lang w:val="fr-CH"/>
        </w:rPr>
      </w:pPr>
    </w:p>
    <w:p>
      <w:pPr>
        <w:tabs>
          <w:tab w:val="left" w:pos="640"/>
          <w:tab w:val="left" w:pos="1260"/>
          <w:tab w:val="left" w:pos="1418"/>
        </w:tabs>
        <w:spacing w:line="480" w:lineRule="auto"/>
        <w:ind w:right="-420" w:rightChars="-200"/>
        <w:rPr>
          <w:rFonts w:ascii="宋体" w:hAnsi="宋体" w:cs="宋体"/>
          <w:sz w:val="24"/>
        </w:rPr>
      </w:pPr>
      <w:r>
        <w:rPr>
          <w:rFonts w:hint="eastAsia" w:ascii="宋体" w:hAnsi="宋体" w:cs="宋体"/>
          <w:sz w:val="24"/>
          <w:lang w:val="sq-AL"/>
        </w:rPr>
        <w:br w:type="page"/>
      </w:r>
      <w:r>
        <w:rPr>
          <w:rFonts w:hint="eastAsia" w:ascii="宋体" w:hAnsi="宋体" w:cs="宋体"/>
          <w:b/>
          <w:bCs/>
          <w:sz w:val="24"/>
        </w:rPr>
        <w:t>2、对项目整体理解文字材料；</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3、项目重点难点分析、应对措施及相关的合理化建议文字材料；</w:t>
      </w:r>
    </w:p>
    <w:p>
      <w:pPr>
        <w:tabs>
          <w:tab w:val="left" w:pos="640"/>
          <w:tab w:val="left" w:pos="1260"/>
          <w:tab w:val="left" w:pos="1418"/>
        </w:tabs>
        <w:spacing w:line="480" w:lineRule="auto"/>
        <w:ind w:right="-420" w:rightChars="-200"/>
        <w:rPr>
          <w:rFonts w:ascii="宋体" w:hAnsi="宋体" w:cs="宋体"/>
          <w:b/>
          <w:bCs/>
          <w:sz w:val="24"/>
          <w:lang w:val="fr-CH"/>
        </w:rPr>
      </w:pPr>
      <w:r>
        <w:rPr>
          <w:rFonts w:ascii="宋体" w:hAnsi="宋体" w:cs="宋体"/>
          <w:b/>
          <w:bCs/>
          <w:sz w:val="24"/>
        </w:rPr>
        <w:t>4</w:t>
      </w:r>
      <w:r>
        <w:rPr>
          <w:rFonts w:hint="eastAsia" w:ascii="宋体" w:hAnsi="宋体" w:cs="宋体"/>
          <w:b/>
          <w:bCs/>
          <w:sz w:val="24"/>
          <w:lang w:val="fr-CH"/>
        </w:rPr>
        <w:t>、项目进度计划安排材料；</w:t>
      </w:r>
    </w:p>
    <w:p>
      <w:pPr>
        <w:tabs>
          <w:tab w:val="left" w:pos="640"/>
          <w:tab w:val="left" w:pos="1260"/>
          <w:tab w:val="left" w:pos="1418"/>
        </w:tabs>
        <w:spacing w:line="480" w:lineRule="auto"/>
        <w:ind w:right="-420" w:rightChars="-200"/>
        <w:rPr>
          <w:rFonts w:ascii="宋体" w:hAnsi="宋体" w:cs="宋体"/>
          <w:b/>
          <w:bCs/>
          <w:sz w:val="24"/>
          <w:szCs w:val="22"/>
          <w:lang w:val="fr-CH"/>
        </w:rPr>
      </w:pPr>
      <w:r>
        <w:rPr>
          <w:rFonts w:ascii="宋体" w:hAnsi="宋体" w:cs="宋体"/>
          <w:b/>
          <w:bCs/>
          <w:sz w:val="24"/>
          <w:lang w:val="fr-CH"/>
        </w:rPr>
        <w:t>5</w:t>
      </w:r>
      <w:r>
        <w:rPr>
          <w:rFonts w:hint="eastAsia" w:ascii="宋体" w:hAnsi="宋体" w:cs="宋体"/>
          <w:b/>
          <w:bCs/>
          <w:sz w:val="24"/>
          <w:lang w:val="fr-CH"/>
        </w:rPr>
        <w:t>、投标人认为有必要提</w:t>
      </w:r>
      <w:r>
        <w:rPr>
          <w:rFonts w:hint="eastAsia" w:ascii="宋体" w:hAnsi="宋体" w:cs="宋体"/>
          <w:b/>
          <w:bCs/>
          <w:sz w:val="24"/>
          <w:szCs w:val="22"/>
          <w:lang w:val="fr-CH"/>
        </w:rPr>
        <w:t>供的其他材料.</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5"/>
      <w:bookmarkStart w:id="30" w:name="_Toc3166"/>
      <w:bookmarkStart w:id="31" w:name="_Toc6251"/>
      <w:r>
        <w:rPr>
          <w:rFonts w:hint="eastAsia" w:ascii="宋体" w:hAnsi="宋体" w:cs="宋体"/>
          <w:b/>
          <w:bCs/>
          <w:sz w:val="24"/>
        </w:rPr>
        <w:t>（1）附件：相关政策</w:t>
      </w:r>
      <w:bookmarkEnd w:id="30"/>
      <w:bookmarkEnd w:id="31"/>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rPr>
      </w:pP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rPr>
      </w:pPr>
    </w:p>
    <w:p>
      <w:pPr>
        <w:pStyle w:val="6"/>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b/>
                <w:sz w:val="24"/>
                <w:szCs w:val="24"/>
              </w:rPr>
            </w:pPr>
            <w:r>
              <w:rPr>
                <w:rFonts w:hint="eastAsia"/>
                <w:b/>
                <w:sz w:val="24"/>
                <w:szCs w:val="24"/>
              </w:rPr>
              <w:t>序号</w:t>
            </w:r>
          </w:p>
        </w:tc>
        <w:tc>
          <w:tcPr>
            <w:tcW w:w="1866" w:type="dxa"/>
            <w:vAlign w:val="center"/>
          </w:tcPr>
          <w:p>
            <w:pPr>
              <w:pStyle w:val="27"/>
              <w:jc w:val="center"/>
              <w:rPr>
                <w:b/>
                <w:sz w:val="24"/>
                <w:szCs w:val="24"/>
              </w:rPr>
            </w:pPr>
            <w:r>
              <w:rPr>
                <w:rFonts w:hint="eastAsia"/>
                <w:b/>
                <w:sz w:val="24"/>
                <w:szCs w:val="24"/>
              </w:rPr>
              <w:t>项目名称</w:t>
            </w:r>
          </w:p>
        </w:tc>
        <w:tc>
          <w:tcPr>
            <w:tcW w:w="2010" w:type="dxa"/>
            <w:vAlign w:val="center"/>
          </w:tcPr>
          <w:p>
            <w:pPr>
              <w:pStyle w:val="27"/>
              <w:jc w:val="center"/>
              <w:rPr>
                <w:b/>
                <w:sz w:val="24"/>
                <w:szCs w:val="24"/>
              </w:rPr>
            </w:pPr>
            <w:r>
              <w:rPr>
                <w:rFonts w:hint="eastAsia"/>
                <w:b/>
                <w:sz w:val="24"/>
                <w:szCs w:val="24"/>
              </w:rPr>
              <w:t>预留选项</w:t>
            </w:r>
          </w:p>
        </w:tc>
        <w:tc>
          <w:tcPr>
            <w:tcW w:w="2296" w:type="dxa"/>
            <w:vAlign w:val="center"/>
          </w:tcPr>
          <w:p>
            <w:pPr>
              <w:pStyle w:val="27"/>
              <w:jc w:val="center"/>
              <w:rPr>
                <w:b/>
                <w:sz w:val="24"/>
                <w:szCs w:val="24"/>
              </w:rPr>
            </w:pPr>
            <w:r>
              <w:rPr>
                <w:rFonts w:hint="eastAsia"/>
                <w:b/>
                <w:sz w:val="24"/>
                <w:szCs w:val="24"/>
              </w:rPr>
              <w:t>面向中小企业采购金额</w:t>
            </w:r>
          </w:p>
        </w:tc>
        <w:tc>
          <w:tcPr>
            <w:tcW w:w="1784" w:type="dxa"/>
            <w:vAlign w:val="center"/>
          </w:tcPr>
          <w:p>
            <w:pPr>
              <w:pStyle w:val="27"/>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7"/>
              <w:jc w:val="center"/>
              <w:rPr>
                <w:sz w:val="24"/>
                <w:szCs w:val="24"/>
              </w:rPr>
            </w:pPr>
          </w:p>
        </w:tc>
        <w:tc>
          <w:tcPr>
            <w:tcW w:w="1866" w:type="dxa"/>
            <w:tcBorders>
              <w:bottom w:val="nil"/>
            </w:tcBorders>
            <w:vAlign w:val="center"/>
          </w:tcPr>
          <w:p>
            <w:pPr>
              <w:pStyle w:val="27"/>
              <w:jc w:val="center"/>
              <w:rPr>
                <w:sz w:val="24"/>
                <w:szCs w:val="24"/>
              </w:rPr>
            </w:pPr>
          </w:p>
        </w:tc>
        <w:tc>
          <w:tcPr>
            <w:tcW w:w="2010" w:type="dxa"/>
            <w:tcBorders>
              <w:bottom w:val="nil"/>
            </w:tcBorders>
            <w:vAlign w:val="center"/>
          </w:tcPr>
          <w:p>
            <w:pPr>
              <w:pStyle w:val="27"/>
              <w:jc w:val="center"/>
              <w:rPr>
                <w:sz w:val="24"/>
                <w:szCs w:val="24"/>
              </w:rPr>
            </w:pPr>
            <w:r>
              <w:rPr>
                <w:rFonts w:hint="eastAsia"/>
                <w:sz w:val="24"/>
                <w:szCs w:val="24"/>
              </w:rPr>
              <w:t>（填写“采购项</w:t>
            </w:r>
          </w:p>
        </w:tc>
        <w:tc>
          <w:tcPr>
            <w:tcW w:w="2296" w:type="dxa"/>
            <w:tcBorders>
              <w:bottom w:val="nil"/>
            </w:tcBorders>
            <w:vAlign w:val="center"/>
          </w:tcPr>
          <w:p>
            <w:pPr>
              <w:pStyle w:val="27"/>
              <w:jc w:val="center"/>
              <w:rPr>
                <w:sz w:val="24"/>
                <w:szCs w:val="24"/>
              </w:rPr>
            </w:pPr>
          </w:p>
        </w:tc>
        <w:tc>
          <w:tcPr>
            <w:tcW w:w="1784" w:type="dxa"/>
            <w:vMerge w:val="restart"/>
            <w:vAlign w:val="center"/>
          </w:tcPr>
          <w:p>
            <w:pPr>
              <w:pStyle w:val="27"/>
              <w:jc w:val="center"/>
              <w:rPr>
                <w:sz w:val="24"/>
                <w:szCs w:val="24"/>
              </w:rPr>
            </w:pPr>
          </w:p>
          <w:p>
            <w:pPr>
              <w:pStyle w:val="27"/>
              <w:jc w:val="center"/>
              <w:rPr>
                <w:sz w:val="24"/>
                <w:szCs w:val="24"/>
              </w:rPr>
            </w:pPr>
          </w:p>
          <w:p>
            <w:pPr>
              <w:pStyle w:val="27"/>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目整体预留”、</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“设置专门采购</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r>
              <w:rPr>
                <w:rFonts w:hint="eastAsia"/>
                <w:sz w:val="24"/>
                <w:szCs w:val="24"/>
              </w:rPr>
              <w:t>（填写集中采</w:t>
            </w:r>
          </w:p>
        </w:tc>
        <w:tc>
          <w:tcPr>
            <w:tcW w:w="2010" w:type="dxa"/>
            <w:tcBorders>
              <w:top w:val="nil"/>
              <w:bottom w:val="nil"/>
            </w:tcBorders>
            <w:vAlign w:val="center"/>
          </w:tcPr>
          <w:p>
            <w:pPr>
              <w:pStyle w:val="27"/>
              <w:jc w:val="center"/>
              <w:rPr>
                <w:sz w:val="24"/>
                <w:szCs w:val="24"/>
              </w:rPr>
            </w:pPr>
            <w:r>
              <w:rPr>
                <w:rFonts w:hint="eastAsia"/>
                <w:sz w:val="24"/>
                <w:szCs w:val="24"/>
              </w:rPr>
              <w:t>包”、“要求以</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r>
              <w:rPr>
                <w:rFonts w:hint="eastAsia"/>
                <w:sz w:val="24"/>
                <w:szCs w:val="24"/>
              </w:rPr>
              <w:t>购目录以内或</w:t>
            </w:r>
          </w:p>
        </w:tc>
        <w:tc>
          <w:tcPr>
            <w:tcW w:w="2010" w:type="dxa"/>
            <w:tcBorders>
              <w:top w:val="nil"/>
              <w:bottom w:val="nil"/>
            </w:tcBorders>
            <w:vAlign w:val="center"/>
          </w:tcPr>
          <w:p>
            <w:pPr>
              <w:pStyle w:val="27"/>
              <w:jc w:val="center"/>
              <w:rPr>
                <w:sz w:val="24"/>
                <w:szCs w:val="24"/>
              </w:rPr>
            </w:pPr>
            <w:r>
              <w:rPr>
                <w:rFonts w:hint="eastAsia"/>
                <w:sz w:val="24"/>
                <w:szCs w:val="24"/>
              </w:rPr>
              <w:t>联合体形式参</w:t>
            </w:r>
          </w:p>
        </w:tc>
        <w:tc>
          <w:tcPr>
            <w:tcW w:w="2296" w:type="dxa"/>
            <w:tcBorders>
              <w:top w:val="nil"/>
              <w:bottom w:val="nil"/>
            </w:tcBorders>
            <w:vAlign w:val="center"/>
          </w:tcPr>
          <w:p>
            <w:pPr>
              <w:pStyle w:val="27"/>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r>
              <w:rPr>
                <w:rFonts w:hint="eastAsia"/>
                <w:sz w:val="24"/>
                <w:szCs w:val="24"/>
              </w:rPr>
              <w:t>者采购限额标</w:t>
            </w:r>
          </w:p>
        </w:tc>
        <w:tc>
          <w:tcPr>
            <w:tcW w:w="2010" w:type="dxa"/>
            <w:tcBorders>
              <w:top w:val="nil"/>
              <w:bottom w:val="nil"/>
            </w:tcBorders>
            <w:vAlign w:val="center"/>
          </w:tcPr>
          <w:p>
            <w:pPr>
              <w:pStyle w:val="27"/>
              <w:jc w:val="center"/>
              <w:rPr>
                <w:sz w:val="24"/>
                <w:szCs w:val="24"/>
              </w:rPr>
            </w:pPr>
            <w:r>
              <w:rPr>
                <w:rFonts w:hint="eastAsia"/>
                <w:sz w:val="24"/>
                <w:szCs w:val="24"/>
              </w:rPr>
              <w:t>加”或者“要求</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7"/>
              <w:jc w:val="center"/>
              <w:rPr>
                <w:sz w:val="24"/>
                <w:szCs w:val="24"/>
              </w:rPr>
            </w:pPr>
            <w:r>
              <w:rPr>
                <w:rFonts w:hint="eastAsia"/>
                <w:sz w:val="24"/>
                <w:szCs w:val="24"/>
              </w:rPr>
              <w:t>合同分包”，除</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“采购项目全部</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预留”外，还应</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7"/>
              <w:jc w:val="center"/>
              <w:rPr>
                <w:sz w:val="24"/>
                <w:szCs w:val="24"/>
              </w:rPr>
            </w:pPr>
          </w:p>
        </w:tc>
        <w:tc>
          <w:tcPr>
            <w:tcW w:w="2010" w:type="dxa"/>
            <w:tcBorders>
              <w:top w:val="nil"/>
              <w:bottom w:val="nil"/>
            </w:tcBorders>
            <w:vAlign w:val="center"/>
          </w:tcPr>
          <w:p>
            <w:pPr>
              <w:pStyle w:val="27"/>
              <w:jc w:val="center"/>
              <w:rPr>
                <w:sz w:val="24"/>
                <w:szCs w:val="24"/>
              </w:rPr>
            </w:pPr>
            <w:r>
              <w:rPr>
                <w:rFonts w:hint="eastAsia"/>
                <w:sz w:val="24"/>
                <w:szCs w:val="24"/>
              </w:rPr>
              <w:t>当填写预留给中</w:t>
            </w:r>
          </w:p>
        </w:tc>
        <w:tc>
          <w:tcPr>
            <w:tcW w:w="2296" w:type="dxa"/>
            <w:tcBorders>
              <w:top w:val="nil"/>
              <w:bottom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7"/>
              <w:jc w:val="center"/>
              <w:rPr>
                <w:sz w:val="24"/>
                <w:szCs w:val="24"/>
              </w:rPr>
            </w:pPr>
          </w:p>
        </w:tc>
        <w:tc>
          <w:tcPr>
            <w:tcW w:w="2010" w:type="dxa"/>
            <w:tcBorders>
              <w:top w:val="nil"/>
            </w:tcBorders>
            <w:vAlign w:val="center"/>
          </w:tcPr>
          <w:p>
            <w:pPr>
              <w:pStyle w:val="27"/>
              <w:jc w:val="center"/>
              <w:rPr>
                <w:sz w:val="24"/>
                <w:szCs w:val="24"/>
              </w:rPr>
            </w:pPr>
            <w:r>
              <w:rPr>
                <w:rFonts w:hint="eastAsia"/>
                <w:sz w:val="24"/>
                <w:szCs w:val="24"/>
              </w:rPr>
              <w:t>小企业的比例）</w:t>
            </w:r>
          </w:p>
        </w:tc>
        <w:tc>
          <w:tcPr>
            <w:tcW w:w="2296" w:type="dxa"/>
            <w:tcBorders>
              <w:top w:val="nil"/>
            </w:tcBorders>
            <w:vAlign w:val="center"/>
          </w:tcPr>
          <w:p>
            <w:pPr>
              <w:pStyle w:val="2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sz w:val="24"/>
                <w:szCs w:val="24"/>
              </w:rPr>
            </w:pPr>
            <w:r>
              <w:rPr>
                <w:rFonts w:hint="eastAsia"/>
                <w:sz w:val="24"/>
                <w:szCs w:val="24"/>
              </w:rPr>
              <w:t>……</w:t>
            </w:r>
          </w:p>
        </w:tc>
        <w:tc>
          <w:tcPr>
            <w:tcW w:w="1866" w:type="dxa"/>
            <w:vAlign w:val="center"/>
          </w:tcPr>
          <w:p>
            <w:pPr>
              <w:pStyle w:val="27"/>
              <w:jc w:val="center"/>
              <w:rPr>
                <w:sz w:val="24"/>
                <w:szCs w:val="24"/>
              </w:rPr>
            </w:pPr>
            <w:r>
              <w:rPr>
                <w:rFonts w:hint="eastAsia"/>
                <w:sz w:val="24"/>
                <w:szCs w:val="24"/>
              </w:rPr>
              <w:t>……</w:t>
            </w:r>
          </w:p>
        </w:tc>
        <w:tc>
          <w:tcPr>
            <w:tcW w:w="2010" w:type="dxa"/>
            <w:vAlign w:val="center"/>
          </w:tcPr>
          <w:p>
            <w:pPr>
              <w:pStyle w:val="27"/>
              <w:jc w:val="center"/>
              <w:rPr>
                <w:sz w:val="24"/>
                <w:szCs w:val="24"/>
              </w:rPr>
            </w:pPr>
            <w:r>
              <w:rPr>
                <w:rFonts w:hint="eastAsia"/>
                <w:sz w:val="24"/>
                <w:szCs w:val="24"/>
              </w:rPr>
              <w:t>……</w:t>
            </w:r>
          </w:p>
        </w:tc>
        <w:tc>
          <w:tcPr>
            <w:tcW w:w="2296" w:type="dxa"/>
            <w:vAlign w:val="center"/>
          </w:tcPr>
          <w:p>
            <w:pPr>
              <w:pStyle w:val="27"/>
              <w:jc w:val="center"/>
              <w:rPr>
                <w:sz w:val="24"/>
                <w:szCs w:val="24"/>
              </w:rPr>
            </w:pPr>
            <w:r>
              <w:rPr>
                <w:rFonts w:hint="eastAsia"/>
                <w:sz w:val="24"/>
                <w:szCs w:val="24"/>
              </w:rPr>
              <w:t>……</w:t>
            </w:r>
          </w:p>
        </w:tc>
        <w:tc>
          <w:tcPr>
            <w:tcW w:w="1784" w:type="dxa"/>
            <w:vAlign w:val="center"/>
          </w:tcPr>
          <w:p>
            <w:pPr>
              <w:pStyle w:val="27"/>
              <w:jc w:val="center"/>
              <w:rPr>
                <w:sz w:val="24"/>
                <w:szCs w:val="24"/>
              </w:rPr>
            </w:pPr>
            <w:r>
              <w:rPr>
                <w:rFonts w:hint="eastAsia"/>
                <w:sz w:val="24"/>
                <w:szCs w:val="24"/>
              </w:rPr>
              <w:t>……</w:t>
            </w:r>
          </w:p>
        </w:tc>
      </w:tr>
    </w:tbl>
    <w:p>
      <w:pPr>
        <w:pStyle w:val="6"/>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6"/>
        <w:tabs>
          <w:tab w:val="left" w:pos="562"/>
          <w:tab w:val="left" w:pos="3372"/>
          <w:tab w:val="left" w:pos="3653"/>
        </w:tabs>
        <w:rPr>
          <w:rFonts w:ascii="宋体" w:hAnsi="宋体" w:cs="宋体"/>
          <w:sz w:val="24"/>
        </w:rPr>
      </w:pPr>
    </w:p>
    <w:p>
      <w:pPr>
        <w:pStyle w:val="16"/>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6"/>
        <w:rPr>
          <w:rFonts w:ascii="宋体" w:hAnsi="宋体" w:cs="宋体"/>
          <w:sz w:val="24"/>
        </w:rPr>
      </w:pPr>
    </w:p>
    <w:p>
      <w:pPr>
        <w:rPr>
          <w:rFonts w:ascii="宋体" w:hAnsi="宋体" w:cs="宋体"/>
          <w:sz w:val="24"/>
        </w:rPr>
      </w:pPr>
    </w:p>
    <w:p>
      <w:pPr>
        <w:pStyle w:val="6"/>
        <w:rPr>
          <w:rFonts w:ascii="宋体" w:hAnsi="宋体" w:cs="宋体"/>
          <w:sz w:val="24"/>
        </w:rPr>
      </w:pPr>
    </w:p>
    <w:p>
      <w:pPr>
        <w:rPr>
          <w:rFonts w:ascii="宋体" w:hAnsi="宋体" w:cs="宋体"/>
          <w:sz w:val="24"/>
        </w:rPr>
      </w:pPr>
    </w:p>
    <w:p/>
    <w:p>
      <w:pPr>
        <w:pStyle w:val="6"/>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6"/>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6"/>
        <w:rPr>
          <w:rFonts w:ascii="宋体" w:hAnsi="宋体" w:cs="宋体"/>
          <w:kern w:val="0"/>
          <w:sz w:val="24"/>
        </w:rPr>
      </w:pPr>
    </w:p>
    <w:p>
      <w:pPr>
        <w:rPr>
          <w:rFonts w:ascii="宋体" w:hAnsi="宋体" w:cs="宋体"/>
          <w:kern w:val="0"/>
          <w:sz w:val="24"/>
        </w:rPr>
      </w:pPr>
    </w:p>
    <w:p>
      <w:pPr>
        <w:pStyle w:val="6"/>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6"/>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5"/>
        <w:shd w:val="clear" w:color="auto" w:fill="FFFFFF"/>
        <w:spacing w:before="0" w:beforeAutospacing="0" w:after="0" w:afterAutospacing="0" w:line="360" w:lineRule="auto"/>
        <w:jc w:val="center"/>
      </w:pPr>
      <w:r>
        <w:rPr>
          <w:rFonts w:hint="eastAsia"/>
        </w:rPr>
        <w:t>　　</w:t>
      </w:r>
      <w:bookmarkStart w:id="32" w:name="sendNo"/>
      <w:r>
        <w:rPr>
          <w:rFonts w:hint="eastAsia"/>
        </w:rPr>
        <w:t>财库〔</w:t>
      </w:r>
      <w:bookmarkEnd w:id="32"/>
      <w:r>
        <w:rPr>
          <w:rFonts w:hint="eastAsia"/>
        </w:rPr>
        <w:t>2017〕141号</w:t>
      </w:r>
    </w:p>
    <w:p>
      <w:pPr>
        <w:pStyle w:val="15"/>
        <w:shd w:val="clear" w:color="auto" w:fill="FFFFFF"/>
        <w:spacing w:before="0" w:beforeAutospacing="0" w:after="0" w:afterAutospacing="0" w:line="360" w:lineRule="auto"/>
        <w:ind w:firstLine="480" w:firstLineChars="200"/>
      </w:pPr>
      <w:bookmarkStart w:id="3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3"/>
      <w:r>
        <w:rPr>
          <w:rFonts w:hint="eastAsia"/>
        </w:rPr>
        <w:t>：</w:t>
      </w:r>
    </w:p>
    <w:p>
      <w:pPr>
        <w:pStyle w:val="15"/>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5"/>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5"/>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5"/>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360" w:lineRule="auto"/>
        <w:ind w:firstLine="480" w:firstLineChars="200"/>
      </w:pPr>
      <w:r>
        <w:rPr>
          <w:rFonts w:hint="eastAsia"/>
        </w:rPr>
        <w:t>七、本通知自2017年10月1日起执行。</w:t>
      </w:r>
    </w:p>
    <w:p>
      <w:pPr>
        <w:pStyle w:val="15"/>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5"/>
        <w:shd w:val="clear" w:color="auto" w:fill="FFFFFF"/>
        <w:spacing w:before="0" w:beforeAutospacing="0" w:after="0" w:afterAutospacing="0" w:line="360" w:lineRule="auto"/>
        <w:ind w:firstLine="480" w:firstLineChars="200"/>
        <w:jc w:val="right"/>
      </w:pPr>
      <w:r>
        <w:rPr>
          <w:rFonts w:hint="eastAsia"/>
        </w:rPr>
        <w:t>2017年8月22日</w:t>
      </w: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p>
    <w:p>
      <w:pPr>
        <w:pStyle w:val="28"/>
        <w:shd w:val="clear" w:color="auto" w:fill="FFFFFF"/>
        <w:spacing w:before="0" w:beforeAutospacing="0" w:after="0" w:afterAutospacing="0" w:line="360" w:lineRule="auto"/>
        <w:jc w:val="both"/>
      </w:pPr>
      <w:r>
        <w:rPr>
          <w:rFonts w:hint="eastAsia"/>
        </w:rPr>
        <w:t>附件：</w:t>
      </w:r>
    </w:p>
    <w:p>
      <w:pPr>
        <w:pStyle w:val="28"/>
        <w:shd w:val="clear" w:color="auto" w:fill="FFFFFF"/>
        <w:spacing w:before="0" w:beforeAutospacing="0" w:after="0" w:afterAutospacing="0" w:line="360" w:lineRule="auto"/>
        <w:ind w:firstLine="482" w:firstLineChars="200"/>
        <w:jc w:val="center"/>
      </w:pPr>
      <w:r>
        <w:rPr>
          <w:rStyle w:val="29"/>
          <w:rFonts w:hint="eastAsia"/>
          <w:b/>
          <w:bCs/>
        </w:rPr>
        <w:t>残疾人福利性单位声明函</w:t>
      </w:r>
    </w:p>
    <w:p>
      <w:pPr>
        <w:pStyle w:val="28"/>
        <w:shd w:val="clear" w:color="auto" w:fill="FFFFFF"/>
        <w:spacing w:before="0" w:beforeAutospacing="0" w:after="0" w:afterAutospacing="0" w:line="360" w:lineRule="auto"/>
        <w:ind w:firstLine="480" w:firstLineChars="200"/>
        <w:jc w:val="both"/>
      </w:pPr>
    </w:p>
    <w:p>
      <w:pPr>
        <w:pStyle w:val="28"/>
        <w:shd w:val="clear" w:color="auto" w:fill="FFFFFF"/>
        <w:spacing w:before="0" w:beforeAutospacing="0" w:after="0" w:afterAutospacing="0" w:line="360" w:lineRule="auto"/>
        <w:ind w:firstLine="480" w:firstLineChars="200"/>
        <w:jc w:val="both"/>
      </w:pPr>
      <w:r>
        <w:rPr>
          <w:rStyle w:val="29"/>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hd w:val="clear" w:color="auto" w:fill="FFFFFF"/>
        <w:spacing w:before="0" w:beforeAutospacing="0" w:after="0" w:afterAutospacing="0" w:line="360" w:lineRule="auto"/>
        <w:ind w:firstLine="480" w:firstLineChars="200"/>
        <w:jc w:val="both"/>
      </w:pPr>
      <w:r>
        <w:rPr>
          <w:rStyle w:val="29"/>
          <w:rFonts w:hint="eastAsia"/>
        </w:rPr>
        <w:t>本单位对上述声明的真实性负责。如有虚假，将依法承担相应责任。</w:t>
      </w:r>
    </w:p>
    <w:p>
      <w:pPr>
        <w:pStyle w:val="28"/>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8"/>
        <w:shd w:val="clear" w:color="auto" w:fill="FFFFFF"/>
        <w:spacing w:before="0" w:beforeAutospacing="0" w:after="0" w:afterAutospacing="0" w:line="360" w:lineRule="auto"/>
        <w:ind w:firstLine="480" w:firstLineChars="200"/>
        <w:jc w:val="both"/>
      </w:pPr>
    </w:p>
    <w:p>
      <w:pPr>
        <w:pStyle w:val="28"/>
        <w:shd w:val="clear" w:color="auto" w:fill="FFFFFF"/>
        <w:spacing w:before="0" w:beforeAutospacing="0" w:after="0" w:afterAutospacing="0" w:line="360" w:lineRule="auto"/>
        <w:ind w:right="2100" w:rightChars="1000"/>
        <w:jc w:val="right"/>
      </w:pPr>
      <w:r>
        <w:rPr>
          <w:rStyle w:val="29"/>
          <w:rFonts w:hint="eastAsia"/>
        </w:rPr>
        <w:t>单位名称（盖章）：</w:t>
      </w:r>
    </w:p>
    <w:p>
      <w:pPr>
        <w:pStyle w:val="28"/>
        <w:shd w:val="clear" w:color="auto" w:fill="FFFFFF"/>
        <w:spacing w:before="0" w:beforeAutospacing="0" w:after="0" w:afterAutospacing="0" w:line="360" w:lineRule="auto"/>
        <w:ind w:right="2100" w:rightChars="1000"/>
        <w:jc w:val="right"/>
        <w:rPr>
          <w:lang w:val="fr-CH"/>
        </w:rPr>
      </w:pPr>
      <w:r>
        <w:rPr>
          <w:rStyle w:val="29"/>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DB6E9556"/>
    <w:multiLevelType w:val="singleLevel"/>
    <w:tmpl w:val="DB6E9556"/>
    <w:lvl w:ilvl="0" w:tentative="0">
      <w:start w:val="1"/>
      <w:numFmt w:val="decimal"/>
      <w:suff w:val="nothing"/>
      <w:lvlText w:val="%1、"/>
      <w:lvlJc w:val="left"/>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MmFjYjU1NjU2MmJmY2RlMGE4MGJiYTY2Zjg3NmUifQ=="/>
  </w:docVars>
  <w:rsids>
    <w:rsidRoot w:val="6EAF2D51"/>
    <w:rsid w:val="00017FCE"/>
    <w:rsid w:val="0008107B"/>
    <w:rsid w:val="00124EC9"/>
    <w:rsid w:val="001776C6"/>
    <w:rsid w:val="001A3E13"/>
    <w:rsid w:val="001F6E1E"/>
    <w:rsid w:val="00225CBB"/>
    <w:rsid w:val="002535E0"/>
    <w:rsid w:val="00374261"/>
    <w:rsid w:val="003B3A58"/>
    <w:rsid w:val="003D3ACE"/>
    <w:rsid w:val="003F4390"/>
    <w:rsid w:val="00427844"/>
    <w:rsid w:val="00432A7B"/>
    <w:rsid w:val="004E1485"/>
    <w:rsid w:val="0052207C"/>
    <w:rsid w:val="0057673D"/>
    <w:rsid w:val="00591B04"/>
    <w:rsid w:val="005B78EF"/>
    <w:rsid w:val="00605413"/>
    <w:rsid w:val="006C082E"/>
    <w:rsid w:val="006C611C"/>
    <w:rsid w:val="006D4FC8"/>
    <w:rsid w:val="006E0BD9"/>
    <w:rsid w:val="006F391A"/>
    <w:rsid w:val="00717EEE"/>
    <w:rsid w:val="00737EA8"/>
    <w:rsid w:val="00796F4B"/>
    <w:rsid w:val="007A2E35"/>
    <w:rsid w:val="00827F8D"/>
    <w:rsid w:val="00850E6D"/>
    <w:rsid w:val="00902ECA"/>
    <w:rsid w:val="009A5ACE"/>
    <w:rsid w:val="009E7AED"/>
    <w:rsid w:val="00A17195"/>
    <w:rsid w:val="00A365E5"/>
    <w:rsid w:val="00A6203B"/>
    <w:rsid w:val="00A80FFB"/>
    <w:rsid w:val="00AA273F"/>
    <w:rsid w:val="00AC6EFE"/>
    <w:rsid w:val="00B73AE6"/>
    <w:rsid w:val="00C00A5E"/>
    <w:rsid w:val="00CE15CF"/>
    <w:rsid w:val="00D00C86"/>
    <w:rsid w:val="00D059B6"/>
    <w:rsid w:val="00D1029E"/>
    <w:rsid w:val="00E46C5B"/>
    <w:rsid w:val="00E50781"/>
    <w:rsid w:val="00E75D82"/>
    <w:rsid w:val="00F07AB5"/>
    <w:rsid w:val="00FE3412"/>
    <w:rsid w:val="060D23DD"/>
    <w:rsid w:val="06201D67"/>
    <w:rsid w:val="077AF5D6"/>
    <w:rsid w:val="098B02D9"/>
    <w:rsid w:val="0BF67D6A"/>
    <w:rsid w:val="0C945850"/>
    <w:rsid w:val="0DBFF8A4"/>
    <w:rsid w:val="0E0D1416"/>
    <w:rsid w:val="0E356C2E"/>
    <w:rsid w:val="0E504C32"/>
    <w:rsid w:val="0E787B3D"/>
    <w:rsid w:val="0F9B909F"/>
    <w:rsid w:val="0FA94F43"/>
    <w:rsid w:val="0FFE3C2D"/>
    <w:rsid w:val="10A818CA"/>
    <w:rsid w:val="126D9995"/>
    <w:rsid w:val="128D4A95"/>
    <w:rsid w:val="134461C3"/>
    <w:rsid w:val="14F740F5"/>
    <w:rsid w:val="14FB7E32"/>
    <w:rsid w:val="157D0874"/>
    <w:rsid w:val="15A81ECE"/>
    <w:rsid w:val="16A00A42"/>
    <w:rsid w:val="17550B15"/>
    <w:rsid w:val="1797A8E8"/>
    <w:rsid w:val="17AFCD58"/>
    <w:rsid w:val="17BF9709"/>
    <w:rsid w:val="17DFB82A"/>
    <w:rsid w:val="17F917F2"/>
    <w:rsid w:val="17FF6273"/>
    <w:rsid w:val="19FA3545"/>
    <w:rsid w:val="1A035868"/>
    <w:rsid w:val="1B7F54A3"/>
    <w:rsid w:val="1B7FF535"/>
    <w:rsid w:val="1B907DF0"/>
    <w:rsid w:val="1BBFE1C1"/>
    <w:rsid w:val="1BFDEAE4"/>
    <w:rsid w:val="1BFFE856"/>
    <w:rsid w:val="1CBF97F2"/>
    <w:rsid w:val="1D182F96"/>
    <w:rsid w:val="1D1A536A"/>
    <w:rsid w:val="1DEBDB17"/>
    <w:rsid w:val="1E7EB620"/>
    <w:rsid w:val="1EF7CA78"/>
    <w:rsid w:val="1EFC5D4C"/>
    <w:rsid w:val="1EFF6F72"/>
    <w:rsid w:val="1F25C25A"/>
    <w:rsid w:val="1F465BC5"/>
    <w:rsid w:val="1F5BAC61"/>
    <w:rsid w:val="1F6EF29D"/>
    <w:rsid w:val="1F7F4BF3"/>
    <w:rsid w:val="1FAFF4B3"/>
    <w:rsid w:val="1FB7081D"/>
    <w:rsid w:val="1FBAC58D"/>
    <w:rsid w:val="1FBBF8DB"/>
    <w:rsid w:val="1FD6A300"/>
    <w:rsid w:val="1FD96C40"/>
    <w:rsid w:val="1FFF9FA2"/>
    <w:rsid w:val="208F7C39"/>
    <w:rsid w:val="21627873"/>
    <w:rsid w:val="21A67760"/>
    <w:rsid w:val="222161F8"/>
    <w:rsid w:val="23BF0D43"/>
    <w:rsid w:val="23CC4D16"/>
    <w:rsid w:val="24881C5E"/>
    <w:rsid w:val="256A272A"/>
    <w:rsid w:val="265C58ED"/>
    <w:rsid w:val="2675E140"/>
    <w:rsid w:val="271F938A"/>
    <w:rsid w:val="27E880B4"/>
    <w:rsid w:val="27F26299"/>
    <w:rsid w:val="27F55E0F"/>
    <w:rsid w:val="27FE33CE"/>
    <w:rsid w:val="298E0936"/>
    <w:rsid w:val="2AADC391"/>
    <w:rsid w:val="2AD614A7"/>
    <w:rsid w:val="2ADF707C"/>
    <w:rsid w:val="2B7D0165"/>
    <w:rsid w:val="2BB9C8F2"/>
    <w:rsid w:val="2BD0470D"/>
    <w:rsid w:val="2BFB6E8B"/>
    <w:rsid w:val="2BFFB032"/>
    <w:rsid w:val="2C5FE643"/>
    <w:rsid w:val="2C667A3B"/>
    <w:rsid w:val="2CC45737"/>
    <w:rsid w:val="2D213A67"/>
    <w:rsid w:val="2D47353E"/>
    <w:rsid w:val="2DFF5839"/>
    <w:rsid w:val="2E3E806D"/>
    <w:rsid w:val="2EEF79C5"/>
    <w:rsid w:val="2EF7EE3A"/>
    <w:rsid w:val="2F4C0476"/>
    <w:rsid w:val="2F6F2DA0"/>
    <w:rsid w:val="2F6F565C"/>
    <w:rsid w:val="2F7FF788"/>
    <w:rsid w:val="2F9B0E34"/>
    <w:rsid w:val="2FB77A4C"/>
    <w:rsid w:val="2FEAA120"/>
    <w:rsid w:val="2FFDCAA5"/>
    <w:rsid w:val="3007760F"/>
    <w:rsid w:val="302E45EC"/>
    <w:rsid w:val="317F7117"/>
    <w:rsid w:val="31B72E5C"/>
    <w:rsid w:val="32186458"/>
    <w:rsid w:val="3239017C"/>
    <w:rsid w:val="32472E6A"/>
    <w:rsid w:val="32FF0317"/>
    <w:rsid w:val="337AE2D6"/>
    <w:rsid w:val="33DEF139"/>
    <w:rsid w:val="33F915CE"/>
    <w:rsid w:val="33F9C19C"/>
    <w:rsid w:val="346DC6E6"/>
    <w:rsid w:val="35C40479"/>
    <w:rsid w:val="35DF543B"/>
    <w:rsid w:val="35E75334"/>
    <w:rsid w:val="35EB6C31"/>
    <w:rsid w:val="35F7ACF4"/>
    <w:rsid w:val="36B772DB"/>
    <w:rsid w:val="36BDDA7C"/>
    <w:rsid w:val="36F7F178"/>
    <w:rsid w:val="36FDBDE3"/>
    <w:rsid w:val="373DBD37"/>
    <w:rsid w:val="3774DA36"/>
    <w:rsid w:val="377DF0D3"/>
    <w:rsid w:val="3780519E"/>
    <w:rsid w:val="37BFE1FD"/>
    <w:rsid w:val="37EBD977"/>
    <w:rsid w:val="37F73822"/>
    <w:rsid w:val="37FF5767"/>
    <w:rsid w:val="38791C4D"/>
    <w:rsid w:val="38DCE36B"/>
    <w:rsid w:val="397B1CE6"/>
    <w:rsid w:val="39FF7352"/>
    <w:rsid w:val="3A1F7773"/>
    <w:rsid w:val="3A8F174A"/>
    <w:rsid w:val="3ABA224D"/>
    <w:rsid w:val="3B3FC881"/>
    <w:rsid w:val="3B6E5B2D"/>
    <w:rsid w:val="3B7BF8D1"/>
    <w:rsid w:val="3BF3F690"/>
    <w:rsid w:val="3BFFAFAC"/>
    <w:rsid w:val="3C6FA9D3"/>
    <w:rsid w:val="3C7E738D"/>
    <w:rsid w:val="3C9FAAB0"/>
    <w:rsid w:val="3CBF52AA"/>
    <w:rsid w:val="3CCE4B5F"/>
    <w:rsid w:val="3D3E76CA"/>
    <w:rsid w:val="3D4A76E1"/>
    <w:rsid w:val="3D6F35BF"/>
    <w:rsid w:val="3DBDE794"/>
    <w:rsid w:val="3DBFC698"/>
    <w:rsid w:val="3DDF4999"/>
    <w:rsid w:val="3DEAAE5D"/>
    <w:rsid w:val="3DFEF73F"/>
    <w:rsid w:val="3E31A9C9"/>
    <w:rsid w:val="3EAA77CB"/>
    <w:rsid w:val="3ECC6910"/>
    <w:rsid w:val="3EDE3B0B"/>
    <w:rsid w:val="3EDF52C5"/>
    <w:rsid w:val="3EDF680B"/>
    <w:rsid w:val="3EEF766D"/>
    <w:rsid w:val="3EF34746"/>
    <w:rsid w:val="3EF91C35"/>
    <w:rsid w:val="3F576BF2"/>
    <w:rsid w:val="3F6AA244"/>
    <w:rsid w:val="3F772D4C"/>
    <w:rsid w:val="3F77813E"/>
    <w:rsid w:val="3F7E6325"/>
    <w:rsid w:val="3F7FFD3F"/>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F4CB3"/>
    <w:rsid w:val="42164AE8"/>
    <w:rsid w:val="441A61D8"/>
    <w:rsid w:val="445D262B"/>
    <w:rsid w:val="44B02E77"/>
    <w:rsid w:val="46ED03CC"/>
    <w:rsid w:val="46FA25B2"/>
    <w:rsid w:val="476F5AB7"/>
    <w:rsid w:val="479B37BF"/>
    <w:rsid w:val="47C114FE"/>
    <w:rsid w:val="47E9A1A0"/>
    <w:rsid w:val="497448F3"/>
    <w:rsid w:val="49BEA124"/>
    <w:rsid w:val="4A4D3D1A"/>
    <w:rsid w:val="4BC349BE"/>
    <w:rsid w:val="4BF55F86"/>
    <w:rsid w:val="4CFB6B2C"/>
    <w:rsid w:val="4D1DB812"/>
    <w:rsid w:val="4D7DD605"/>
    <w:rsid w:val="4DAFC284"/>
    <w:rsid w:val="4DBB3E33"/>
    <w:rsid w:val="4DE3154B"/>
    <w:rsid w:val="4DF5D2BF"/>
    <w:rsid w:val="4E7947F1"/>
    <w:rsid w:val="4ECD7EB5"/>
    <w:rsid w:val="4EDE35AC"/>
    <w:rsid w:val="4F7E3902"/>
    <w:rsid w:val="4F9F214B"/>
    <w:rsid w:val="4FF395E6"/>
    <w:rsid w:val="4FFA569E"/>
    <w:rsid w:val="4FFF7B66"/>
    <w:rsid w:val="515F1481"/>
    <w:rsid w:val="51AC3FF8"/>
    <w:rsid w:val="51BCFBE2"/>
    <w:rsid w:val="51C42588"/>
    <w:rsid w:val="51FF628E"/>
    <w:rsid w:val="5217321C"/>
    <w:rsid w:val="522BBFAA"/>
    <w:rsid w:val="52D06D27"/>
    <w:rsid w:val="53401509"/>
    <w:rsid w:val="536F6462"/>
    <w:rsid w:val="53BD2119"/>
    <w:rsid w:val="545000DE"/>
    <w:rsid w:val="5567BD2F"/>
    <w:rsid w:val="557D857A"/>
    <w:rsid w:val="557F84E0"/>
    <w:rsid w:val="55E7D38E"/>
    <w:rsid w:val="55F80356"/>
    <w:rsid w:val="55FF196E"/>
    <w:rsid w:val="56C7BF65"/>
    <w:rsid w:val="56DA22B6"/>
    <w:rsid w:val="56DEF74B"/>
    <w:rsid w:val="56F52AF0"/>
    <w:rsid w:val="575DDB48"/>
    <w:rsid w:val="57A782E9"/>
    <w:rsid w:val="57BD2EED"/>
    <w:rsid w:val="57F758DB"/>
    <w:rsid w:val="57FF3DFF"/>
    <w:rsid w:val="57FFB7BC"/>
    <w:rsid w:val="591F781C"/>
    <w:rsid w:val="592D3CE7"/>
    <w:rsid w:val="593739B8"/>
    <w:rsid w:val="595E7097"/>
    <w:rsid w:val="5979D25B"/>
    <w:rsid w:val="59DFFD93"/>
    <w:rsid w:val="59F00968"/>
    <w:rsid w:val="5A2E2673"/>
    <w:rsid w:val="5A934FE4"/>
    <w:rsid w:val="5ABB1050"/>
    <w:rsid w:val="5AF93469"/>
    <w:rsid w:val="5B5D2F92"/>
    <w:rsid w:val="5B7DDC28"/>
    <w:rsid w:val="5B7F624A"/>
    <w:rsid w:val="5BA40562"/>
    <w:rsid w:val="5BE72AE1"/>
    <w:rsid w:val="5BEB75A4"/>
    <w:rsid w:val="5BFFD5F5"/>
    <w:rsid w:val="5C7A68E1"/>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B46CC"/>
    <w:rsid w:val="5EFD63A1"/>
    <w:rsid w:val="5F2D046E"/>
    <w:rsid w:val="5F3EE51C"/>
    <w:rsid w:val="5F4E1719"/>
    <w:rsid w:val="5F4ED10A"/>
    <w:rsid w:val="5F585836"/>
    <w:rsid w:val="5F622E52"/>
    <w:rsid w:val="5F7D5BE8"/>
    <w:rsid w:val="5F7F3DD2"/>
    <w:rsid w:val="5F7F49C8"/>
    <w:rsid w:val="5FDF10FF"/>
    <w:rsid w:val="5FDFE6D0"/>
    <w:rsid w:val="5FED422E"/>
    <w:rsid w:val="5FF6893A"/>
    <w:rsid w:val="5FF8AACB"/>
    <w:rsid w:val="5FFB4E30"/>
    <w:rsid w:val="5FFB4F3D"/>
    <w:rsid w:val="5FFB4F7C"/>
    <w:rsid w:val="5FFD8CB0"/>
    <w:rsid w:val="5FFF5037"/>
    <w:rsid w:val="5FFFE862"/>
    <w:rsid w:val="60782256"/>
    <w:rsid w:val="60A87AC0"/>
    <w:rsid w:val="61FE736A"/>
    <w:rsid w:val="61FF5178"/>
    <w:rsid w:val="62B6657B"/>
    <w:rsid w:val="62BD4574"/>
    <w:rsid w:val="63275C4B"/>
    <w:rsid w:val="63B63069"/>
    <w:rsid w:val="64003139"/>
    <w:rsid w:val="65655C60"/>
    <w:rsid w:val="6593F782"/>
    <w:rsid w:val="65BE74B1"/>
    <w:rsid w:val="65FD1E19"/>
    <w:rsid w:val="65FE0871"/>
    <w:rsid w:val="6609095A"/>
    <w:rsid w:val="66E4231F"/>
    <w:rsid w:val="66E7865B"/>
    <w:rsid w:val="66F7B9BD"/>
    <w:rsid w:val="66FF70F4"/>
    <w:rsid w:val="676B1D9F"/>
    <w:rsid w:val="67757A6C"/>
    <w:rsid w:val="67CD7F64"/>
    <w:rsid w:val="67E75822"/>
    <w:rsid w:val="67FBCA81"/>
    <w:rsid w:val="67FEC540"/>
    <w:rsid w:val="67FF8842"/>
    <w:rsid w:val="68A613C0"/>
    <w:rsid w:val="6905532F"/>
    <w:rsid w:val="69114AB7"/>
    <w:rsid w:val="692A7449"/>
    <w:rsid w:val="6AF80857"/>
    <w:rsid w:val="6B0F7019"/>
    <w:rsid w:val="6B631502"/>
    <w:rsid w:val="6B687273"/>
    <w:rsid w:val="6B7DB2B6"/>
    <w:rsid w:val="6BA60BF0"/>
    <w:rsid w:val="6BAD01AB"/>
    <w:rsid w:val="6BB585A9"/>
    <w:rsid w:val="6BBB65E2"/>
    <w:rsid w:val="6BEC1818"/>
    <w:rsid w:val="6BEEC337"/>
    <w:rsid w:val="6BF71DDA"/>
    <w:rsid w:val="6BFB3942"/>
    <w:rsid w:val="6BFDD94E"/>
    <w:rsid w:val="6BFE6227"/>
    <w:rsid w:val="6BFF005A"/>
    <w:rsid w:val="6BFF12B7"/>
    <w:rsid w:val="6C1FE371"/>
    <w:rsid w:val="6C7B0821"/>
    <w:rsid w:val="6CE82EB9"/>
    <w:rsid w:val="6CF9A775"/>
    <w:rsid w:val="6D7809CD"/>
    <w:rsid w:val="6DBDB722"/>
    <w:rsid w:val="6DDFE8A4"/>
    <w:rsid w:val="6DF5168E"/>
    <w:rsid w:val="6DFF2102"/>
    <w:rsid w:val="6E6B3D34"/>
    <w:rsid w:val="6EAF2D51"/>
    <w:rsid w:val="6EB255EB"/>
    <w:rsid w:val="6EFDCD2D"/>
    <w:rsid w:val="6EFF612F"/>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13F17D9"/>
    <w:rsid w:val="71AA1E67"/>
    <w:rsid w:val="71BF5DB7"/>
    <w:rsid w:val="728903FA"/>
    <w:rsid w:val="72BD5FD5"/>
    <w:rsid w:val="72BF09DC"/>
    <w:rsid w:val="72EB5790"/>
    <w:rsid w:val="72F3DFB7"/>
    <w:rsid w:val="733EE3F5"/>
    <w:rsid w:val="735EF94D"/>
    <w:rsid w:val="735F9F05"/>
    <w:rsid w:val="737B2761"/>
    <w:rsid w:val="73AF6EDB"/>
    <w:rsid w:val="73B384CE"/>
    <w:rsid w:val="73DF4221"/>
    <w:rsid w:val="73F4BBD3"/>
    <w:rsid w:val="73F5007A"/>
    <w:rsid w:val="73FEB008"/>
    <w:rsid w:val="73FF3C21"/>
    <w:rsid w:val="74A11942"/>
    <w:rsid w:val="74AE9EF4"/>
    <w:rsid w:val="74FE88D1"/>
    <w:rsid w:val="757B8C15"/>
    <w:rsid w:val="75B556EC"/>
    <w:rsid w:val="75B7E9C3"/>
    <w:rsid w:val="75DE6D1A"/>
    <w:rsid w:val="75FF3FD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BF7E56"/>
    <w:rsid w:val="77C57B61"/>
    <w:rsid w:val="77CB4C74"/>
    <w:rsid w:val="77CFED9C"/>
    <w:rsid w:val="77DFC49B"/>
    <w:rsid w:val="77DFE8D3"/>
    <w:rsid w:val="77DFF2A1"/>
    <w:rsid w:val="77E6C2A5"/>
    <w:rsid w:val="77EF7EB5"/>
    <w:rsid w:val="77F79727"/>
    <w:rsid w:val="77F93DFF"/>
    <w:rsid w:val="77FC164C"/>
    <w:rsid w:val="77FD6ECE"/>
    <w:rsid w:val="77FF00E7"/>
    <w:rsid w:val="77FF90F0"/>
    <w:rsid w:val="77FFD954"/>
    <w:rsid w:val="79526DB8"/>
    <w:rsid w:val="7972DF47"/>
    <w:rsid w:val="797BCC08"/>
    <w:rsid w:val="799E691A"/>
    <w:rsid w:val="79EF2068"/>
    <w:rsid w:val="79EFC2ED"/>
    <w:rsid w:val="79FF532C"/>
    <w:rsid w:val="7A3EA76F"/>
    <w:rsid w:val="7A6BC49B"/>
    <w:rsid w:val="7AF1A2F4"/>
    <w:rsid w:val="7B1DA959"/>
    <w:rsid w:val="7B4C1BE3"/>
    <w:rsid w:val="7B755887"/>
    <w:rsid w:val="7B770434"/>
    <w:rsid w:val="7B7E4325"/>
    <w:rsid w:val="7B9B4F39"/>
    <w:rsid w:val="7B9BD476"/>
    <w:rsid w:val="7B9E4B6E"/>
    <w:rsid w:val="7BAFAC10"/>
    <w:rsid w:val="7BD4FE36"/>
    <w:rsid w:val="7BE865F2"/>
    <w:rsid w:val="7BEB6994"/>
    <w:rsid w:val="7BF2742E"/>
    <w:rsid w:val="7BF33EBA"/>
    <w:rsid w:val="7BF542A0"/>
    <w:rsid w:val="7BF73396"/>
    <w:rsid w:val="7BFBC874"/>
    <w:rsid w:val="7BFE24D0"/>
    <w:rsid w:val="7BFE7EFB"/>
    <w:rsid w:val="7C6BE0FE"/>
    <w:rsid w:val="7C7531B8"/>
    <w:rsid w:val="7C7B6AC3"/>
    <w:rsid w:val="7C7BA9C8"/>
    <w:rsid w:val="7C9BD21E"/>
    <w:rsid w:val="7CA13F21"/>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EFD2D8"/>
    <w:rsid w:val="7DF2C0B3"/>
    <w:rsid w:val="7DF49A4E"/>
    <w:rsid w:val="7DF65F5D"/>
    <w:rsid w:val="7DF74A7A"/>
    <w:rsid w:val="7DFB68E7"/>
    <w:rsid w:val="7DFBCA38"/>
    <w:rsid w:val="7DFC33CF"/>
    <w:rsid w:val="7DFE35DE"/>
    <w:rsid w:val="7DFEBE00"/>
    <w:rsid w:val="7E396F10"/>
    <w:rsid w:val="7E9F9FFA"/>
    <w:rsid w:val="7EA1C8FE"/>
    <w:rsid w:val="7EB588E9"/>
    <w:rsid w:val="7ECFC5A0"/>
    <w:rsid w:val="7EDF81E0"/>
    <w:rsid w:val="7EDFB9CE"/>
    <w:rsid w:val="7EF73F35"/>
    <w:rsid w:val="7EFA749D"/>
    <w:rsid w:val="7EFD617A"/>
    <w:rsid w:val="7EFDD9F4"/>
    <w:rsid w:val="7F4F6B62"/>
    <w:rsid w:val="7F557C0B"/>
    <w:rsid w:val="7F5FC9E5"/>
    <w:rsid w:val="7F66F75E"/>
    <w:rsid w:val="7F68349B"/>
    <w:rsid w:val="7F6B747D"/>
    <w:rsid w:val="7F7668EF"/>
    <w:rsid w:val="7F77536D"/>
    <w:rsid w:val="7F7A3E65"/>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E7E07"/>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73FEF8F"/>
    <w:rsid w:val="888FAC59"/>
    <w:rsid w:val="88EF3050"/>
    <w:rsid w:val="8BF793E2"/>
    <w:rsid w:val="8CDD2D42"/>
    <w:rsid w:val="8DDFC2B8"/>
    <w:rsid w:val="8EFD6DDD"/>
    <w:rsid w:val="8EFDF1F3"/>
    <w:rsid w:val="8F1BA822"/>
    <w:rsid w:val="8FB9DA41"/>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EE156"/>
    <w:rsid w:val="CFE73BA4"/>
    <w:rsid w:val="CFE93B53"/>
    <w:rsid w:val="CFF23669"/>
    <w:rsid w:val="CFFE68F2"/>
    <w:rsid w:val="CFFEF7FD"/>
    <w:rsid w:val="D11A01C8"/>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11EF"/>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EC1AA7"/>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7FFB785"/>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962D00"/>
    <w:rsid w:val="FEBA87C3"/>
    <w:rsid w:val="FEBE347B"/>
    <w:rsid w:val="FECF8C6A"/>
    <w:rsid w:val="FEDD8D01"/>
    <w:rsid w:val="FEE7881F"/>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7085F"/>
    <w:rsid w:val="FFAFA0BC"/>
    <w:rsid w:val="FFB69FCA"/>
    <w:rsid w:val="FFB7425B"/>
    <w:rsid w:val="FFB750E2"/>
    <w:rsid w:val="FFB7C282"/>
    <w:rsid w:val="FFBAB4ED"/>
    <w:rsid w:val="FFBBFE98"/>
    <w:rsid w:val="FFBD163F"/>
    <w:rsid w:val="FFBD8792"/>
    <w:rsid w:val="FFBDA173"/>
    <w:rsid w:val="FFBDE45F"/>
    <w:rsid w:val="FFBE13DA"/>
    <w:rsid w:val="FFBED280"/>
    <w:rsid w:val="FFBFD07B"/>
    <w:rsid w:val="FFBFD265"/>
    <w:rsid w:val="FFCB30B4"/>
    <w:rsid w:val="FFCBCBF6"/>
    <w:rsid w:val="FFCD5AE9"/>
    <w:rsid w:val="FFCF1F06"/>
    <w:rsid w:val="FFCF2DF7"/>
    <w:rsid w:val="FFD3259D"/>
    <w:rsid w:val="FFD5038E"/>
    <w:rsid w:val="FFD78112"/>
    <w:rsid w:val="FFD9D6BA"/>
    <w:rsid w:val="FFDA6E28"/>
    <w:rsid w:val="FFDB52D7"/>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line="360" w:lineRule="auto"/>
      <w:jc w:val="center"/>
      <w:outlineLvl w:val="1"/>
    </w:pPr>
    <w:rPr>
      <w:rFonts w:ascii="黑体" w:hAnsi="宋体" w:cs="Arial"/>
      <w:sz w:val="28"/>
      <w:szCs w:val="21"/>
    </w:rPr>
  </w:style>
  <w:style w:type="paragraph" w:styleId="3">
    <w:name w:val="heading 3"/>
    <w:basedOn w:val="4"/>
    <w:next w:val="1"/>
    <w:qFormat/>
    <w:uiPriority w:val="0"/>
    <w:pPr>
      <w:spacing w:before="260" w:after="260" w:line="416" w:lineRule="auto"/>
      <w:outlineLvl w:val="2"/>
    </w:pPr>
    <w:rPr>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unhideWhenUsed/>
    <w:qFormat/>
    <w:uiPriority w:val="0"/>
    <w:pPr>
      <w:jc w:val="left"/>
    </w:pPr>
    <w:rPr>
      <w:kern w:val="0"/>
      <w:sz w:val="20"/>
    </w:rPr>
  </w:style>
  <w:style w:type="paragraph" w:styleId="6">
    <w:name w:val="Body Text"/>
    <w:basedOn w:val="1"/>
    <w:next w:val="1"/>
    <w:link w:val="35"/>
    <w:unhideWhenUsed/>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Balloon Text"/>
    <w:basedOn w:val="1"/>
    <w:link w:val="30"/>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annotation subject"/>
    <w:basedOn w:val="5"/>
    <w:next w:val="5"/>
    <w:link w:val="33"/>
    <w:qFormat/>
    <w:uiPriority w:val="0"/>
    <w:rPr>
      <w:b/>
      <w:bCs/>
      <w:kern w:val="2"/>
      <w:sz w:val="21"/>
    </w:rPr>
  </w:style>
  <w:style w:type="paragraph" w:styleId="18">
    <w:name w:val="Body Text First Indent"/>
    <w:basedOn w:val="6"/>
    <w:qFormat/>
    <w:uiPriority w:val="0"/>
    <w:pPr>
      <w:ind w:firstLine="420" w:firstLineChars="100"/>
    </w:pPr>
  </w:style>
  <w:style w:type="paragraph" w:styleId="19">
    <w:name w:val="Body Text First Indent 2"/>
    <w:basedOn w:val="7"/>
    <w:qFormat/>
    <w:uiPriority w:val="0"/>
    <w:pPr>
      <w:spacing w:after="160" w:line="360" w:lineRule="auto"/>
      <w:ind w:firstLine="480" w:firstLineChars="200"/>
    </w:pPr>
    <w:rPr>
      <w:kern w:val="0"/>
      <w:sz w:val="24"/>
    </w:rPr>
  </w:style>
  <w:style w:type="character" w:styleId="22">
    <w:name w:val="page number"/>
    <w:qFormat/>
    <w:uiPriority w:val="0"/>
  </w:style>
  <w:style w:type="character" w:styleId="23">
    <w:name w:val="Emphasis"/>
    <w:basedOn w:val="21"/>
    <w:qFormat/>
    <w:uiPriority w:val="0"/>
    <w:rPr>
      <w:i/>
    </w:rPr>
  </w:style>
  <w:style w:type="character" w:styleId="24">
    <w:name w:val="annotation reference"/>
    <w:unhideWhenUsed/>
    <w:qFormat/>
    <w:uiPriority w:val="0"/>
    <w:rPr>
      <w:sz w:val="21"/>
      <w:szCs w:val="21"/>
    </w:r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6">
    <w:name w:val="列出段落2"/>
    <w:basedOn w:val="1"/>
    <w:qFormat/>
    <w:uiPriority w:val="34"/>
    <w:pPr>
      <w:ind w:firstLine="420" w:firstLineChars="200"/>
    </w:pPr>
  </w:style>
  <w:style w:type="paragraph" w:customStyle="1" w:styleId="27">
    <w:name w:val="Table Paragraph"/>
    <w:basedOn w:val="1"/>
    <w:qFormat/>
    <w:uiPriority w:val="0"/>
    <w:pPr>
      <w:autoSpaceDE w:val="0"/>
      <w:autoSpaceDN w:val="0"/>
      <w:jc w:val="left"/>
    </w:pPr>
    <w:rPr>
      <w:rFonts w:ascii="宋体" w:hAnsi="宋体" w:cs="宋体"/>
      <w:kern w:val="0"/>
      <w:sz w:val="22"/>
      <w:szCs w:val="22"/>
    </w:rPr>
  </w:style>
  <w:style w:type="paragraph" w:customStyle="1" w:styleId="28">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qowt-font5-gb2312"/>
    <w:qFormat/>
    <w:uiPriority w:val="0"/>
  </w:style>
  <w:style w:type="character" w:customStyle="1" w:styleId="30">
    <w:name w:val="批注框文本 字符"/>
    <w:basedOn w:val="21"/>
    <w:link w:val="10"/>
    <w:qFormat/>
    <w:uiPriority w:val="0"/>
    <w:rPr>
      <w:kern w:val="2"/>
      <w:sz w:val="18"/>
      <w:szCs w:val="18"/>
    </w:rPr>
  </w:style>
  <w:style w:type="character" w:customStyle="1" w:styleId="31">
    <w:name w:val="页眉 字符"/>
    <w:basedOn w:val="21"/>
    <w:link w:val="12"/>
    <w:qFormat/>
    <w:uiPriority w:val="0"/>
    <w:rPr>
      <w:kern w:val="2"/>
      <w:sz w:val="18"/>
      <w:szCs w:val="18"/>
    </w:rPr>
  </w:style>
  <w:style w:type="character" w:customStyle="1" w:styleId="32">
    <w:name w:val="批注文字 字符"/>
    <w:basedOn w:val="21"/>
    <w:link w:val="5"/>
    <w:qFormat/>
    <w:uiPriority w:val="0"/>
    <w:rPr>
      <w:szCs w:val="24"/>
    </w:rPr>
  </w:style>
  <w:style w:type="character" w:customStyle="1" w:styleId="33">
    <w:name w:val="批注主题 字符"/>
    <w:basedOn w:val="32"/>
    <w:link w:val="17"/>
    <w:qFormat/>
    <w:uiPriority w:val="0"/>
    <w:rPr>
      <w:b/>
      <w:bCs/>
      <w:kern w:val="2"/>
      <w:sz w:val="21"/>
      <w:szCs w:val="24"/>
    </w:rPr>
  </w:style>
  <w:style w:type="paragraph" w:customStyle="1" w:styleId="34">
    <w:name w:val="msolistparagraph"/>
    <w:basedOn w:val="1"/>
    <w:qFormat/>
    <w:uiPriority w:val="0"/>
    <w:pPr>
      <w:ind w:firstLine="420" w:firstLineChars="200"/>
    </w:pPr>
  </w:style>
  <w:style w:type="character" w:customStyle="1" w:styleId="35">
    <w:name w:val="正文文本 字符"/>
    <w:basedOn w:val="21"/>
    <w:link w:val="6"/>
    <w:qFormat/>
    <w:uiPriority w:val="0"/>
    <w:rPr>
      <w:kern w:val="2"/>
      <w:sz w:val="21"/>
      <w:szCs w:val="24"/>
    </w:rPr>
  </w:style>
  <w:style w:type="paragraph" w:customStyle="1" w:styleId="36">
    <w:name w:val="列出段落1"/>
    <w:basedOn w:val="1"/>
    <w:qFormat/>
    <w:uiPriority w:val="0"/>
    <w:pPr>
      <w:ind w:firstLine="420" w:firstLineChars="200"/>
    </w:p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6880</Words>
  <Characters>39219</Characters>
  <Lines>326</Lines>
  <Paragraphs>92</Paragraphs>
  <TotalTime>4</TotalTime>
  <ScaleCrop>false</ScaleCrop>
  <LinksUpToDate>false</LinksUpToDate>
  <CharactersWithSpaces>46007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2023-07-05T03:33:00Z</dcterms:created>
  <dc:creator>黄雅静</dc:creator>
  <cp:lastModifiedBy>陈可欣</cp:lastModifiedBy>
  <cp:lastPrinted>2023-04-22T16:51:00Z</cp:lastPrinted>
  <dcterms:modified xsi:type="dcterms:W3CDTF">2024-07-10T08:30:26Z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70E0EA32511845D3AEC14F4C86C8D5FD_13</vt:lpwstr>
  </property>
</Properties>
</file>