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附件3</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2"/>
        <w:ind w:firstLine="420"/>
        <w:rPr>
          <w:rFonts w:ascii="宋体" w:hAnsi="宋体" w:cs="宋体"/>
        </w:rPr>
      </w:pPr>
    </w:p>
    <w:p>
      <w:pPr>
        <w:pStyle w:val="22"/>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招标编号：QH2023050</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2"/>
        <w:ind w:firstLine="420"/>
        <w:rPr>
          <w:rFonts w:ascii="宋体" w:hAnsi="宋体" w:cs="宋体"/>
        </w:rPr>
      </w:pPr>
    </w:p>
    <w:p>
      <w:pPr>
        <w:pStyle w:val="22"/>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招标项目：前海科技创新产业运行监测分析服务项目</w:t>
      </w:r>
    </w:p>
    <w:p>
      <w:pPr>
        <w:ind w:firstLine="3264" w:firstLineChars="739"/>
        <w:rPr>
          <w:rFonts w:ascii="宋体" w:hAnsi="宋体" w:cs="宋体"/>
          <w:b/>
          <w:sz w:val="44"/>
        </w:rPr>
      </w:pPr>
    </w:p>
    <w:p>
      <w:pPr>
        <w:pStyle w:val="22"/>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5</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6"/>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二、《深圳经济特区政府采购条例实施细则》</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r>
        <w:rPr>
          <w:rFonts w:hint="eastAsia" w:ascii="宋体" w:hAnsi="宋体" w:cs="宋体"/>
          <w:sz w:val="24"/>
        </w:rPr>
        <w:t>。</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2"/>
        <w:tabs>
          <w:tab w:val="right" w:leader="dot" w:pos="8306"/>
        </w:tabs>
        <w:spacing w:line="480" w:lineRule="auto"/>
        <w:rPr>
          <w:b/>
          <w:bCs/>
          <w:sz w:val="24"/>
          <w:szCs w:val="32"/>
        </w:rPr>
      </w:pPr>
    </w:p>
    <w:p>
      <w:pPr>
        <w:pStyle w:val="12"/>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前海科技创新产业运行监测分析服务项目（招标编号：QH2023050）采用公开征集供应商简易招标方式采购，欢迎符合投标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sz w:val="24"/>
              </w:rPr>
              <w:t>QH2023050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前海科技创新产业运行监测分析服务项目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sz w:val="24"/>
              </w:rPr>
            </w:pPr>
            <w:bookmarkStart w:id="3" w:name="_Hlk109907681"/>
            <w:r>
              <w:rPr>
                <w:rFonts w:hint="eastAsia"/>
                <w:b/>
                <w:bCs/>
                <w:sz w:val="24"/>
              </w:rPr>
              <w:t>项目背景</w:t>
            </w:r>
            <w:r>
              <w:rPr>
                <w:rFonts w:hint="eastAsia"/>
                <w:sz w:val="24"/>
              </w:rPr>
              <w:t>：</w:t>
            </w:r>
          </w:p>
          <w:p>
            <w:pPr>
              <w:widowControl/>
              <w:spacing w:line="500" w:lineRule="exact"/>
              <w:jc w:val="left"/>
              <w:rPr>
                <w:rFonts w:ascii="宋体" w:hAnsi="宋体" w:cs="宋体"/>
                <w:kern w:val="0"/>
                <w:sz w:val="24"/>
              </w:rPr>
            </w:pPr>
            <w:r>
              <w:rPr>
                <w:rFonts w:hint="eastAsia" w:ascii="长城仿宋" w:hAnsi="Calibri"/>
                <w:sz w:val="24"/>
              </w:rPr>
              <w:t>2021年9月，中共中央、国务院印发《全面深化前海深港现代服务业合作区改革开放方案》，前海发展空间扩大，产业业态更加丰富，工业、信息服务业、科技服务业等重点产业成为支撑前海经济增长的重要力量。</w:t>
            </w:r>
          </w:p>
          <w:p>
            <w:pPr>
              <w:widowControl/>
              <w:spacing w:line="500" w:lineRule="exact"/>
              <w:jc w:val="left"/>
              <w:rPr>
                <w:sz w:val="24"/>
              </w:rPr>
            </w:pPr>
            <w:r>
              <w:rPr>
                <w:rFonts w:hint="eastAsia"/>
                <w:b/>
                <w:bCs/>
                <w:sz w:val="24"/>
              </w:rPr>
              <w:t>项目内容</w:t>
            </w:r>
            <w:r>
              <w:rPr>
                <w:rFonts w:hint="eastAsia"/>
                <w:sz w:val="24"/>
              </w:rPr>
              <w:t>：</w:t>
            </w:r>
          </w:p>
          <w:bookmarkEnd w:id="3"/>
          <w:p>
            <w:pPr>
              <w:widowControl/>
              <w:spacing w:line="500" w:lineRule="exact"/>
              <w:jc w:val="left"/>
              <w:rPr>
                <w:sz w:val="24"/>
              </w:rPr>
            </w:pPr>
            <w:r>
              <w:rPr>
                <w:rFonts w:hint="eastAsia"/>
                <w:sz w:val="24"/>
              </w:rPr>
              <w:t>本项目通过对前海工业、信息服务业、科技服务业各项业务数据进行处理分析，开展前海工业、信息服务业、科技服务业运行情况数据监测，按季度、年度形成前海合作区工业、信息服务业、科技服务业监测分析报告，为经济调度提供决策参考。</w:t>
            </w:r>
          </w:p>
          <w:p>
            <w:pPr>
              <w:widowControl/>
              <w:spacing w:line="500" w:lineRule="exact"/>
              <w:jc w:val="left"/>
              <w:rPr>
                <w:sz w:val="24"/>
              </w:rPr>
            </w:pPr>
            <w:r>
              <w:rPr>
                <w:rFonts w:hint="eastAsia"/>
                <w:sz w:val="24"/>
              </w:rPr>
              <w:t>（一）数据综合服务</w:t>
            </w:r>
          </w:p>
          <w:p>
            <w:pPr>
              <w:widowControl/>
              <w:spacing w:line="500" w:lineRule="exact"/>
              <w:jc w:val="left"/>
              <w:rPr>
                <w:sz w:val="24"/>
              </w:rPr>
            </w:pPr>
            <w:r>
              <w:rPr>
                <w:rFonts w:hint="eastAsia"/>
                <w:sz w:val="24"/>
              </w:rPr>
              <w:t>1.规模以上企业数据统计服务。通过将南山区、宝安区数据与前海企业名录比对，并与公开数据交叉比对，进行多源数据验证。数据以月度为单位更新。</w:t>
            </w:r>
          </w:p>
          <w:p>
            <w:pPr>
              <w:widowControl/>
              <w:spacing w:line="500" w:lineRule="exact"/>
              <w:jc w:val="left"/>
              <w:rPr>
                <w:sz w:val="24"/>
              </w:rPr>
            </w:pPr>
            <w:r>
              <w:rPr>
                <w:rFonts w:hint="eastAsia"/>
                <w:sz w:val="24"/>
              </w:rPr>
              <w:t>2．“小升规”企业入库纳统排查服务。通过历史数据筛选样本、重点企业走访，以及新注册或新开业且未入库企业排查，</w:t>
            </w:r>
            <w:r>
              <w:rPr>
                <w:rFonts w:hint="eastAsia"/>
                <w:sz w:val="24"/>
                <w:lang w:eastAsia="zh-Hans"/>
              </w:rPr>
              <w:t>结合相关部门数据，筛查</w:t>
            </w:r>
            <w:r>
              <w:rPr>
                <w:rFonts w:hint="eastAsia"/>
                <w:sz w:val="24"/>
              </w:rPr>
              <w:t>符合纳统条件的规模以下企业。数据以年度为单位更新。</w:t>
            </w:r>
          </w:p>
          <w:p>
            <w:pPr>
              <w:widowControl/>
              <w:spacing w:line="500" w:lineRule="exact"/>
              <w:jc w:val="left"/>
              <w:rPr>
                <w:sz w:val="24"/>
              </w:rPr>
            </w:pPr>
            <w:r>
              <w:rPr>
                <w:rFonts w:hint="eastAsia"/>
                <w:sz w:val="24"/>
              </w:rPr>
              <w:t>3.科技创新数据服务。梳理前海重点科技创新数据</w:t>
            </w:r>
            <w:r>
              <w:rPr>
                <w:rFonts w:hint="eastAsia"/>
                <w:sz w:val="24"/>
                <w:lang w:eastAsia="zh-Hans"/>
              </w:rPr>
              <w:t>（以与采购方确认的官方数据途径为准）</w:t>
            </w:r>
            <w:r>
              <w:rPr>
                <w:rFonts w:hint="eastAsia"/>
                <w:sz w:val="24"/>
              </w:rPr>
              <w:t>包括但不限于创新载体、国家高新技术企业、专精特新企业、上市企业、独角兽企业等创新主体以及专利等数据服务。</w:t>
            </w:r>
          </w:p>
          <w:p>
            <w:pPr>
              <w:widowControl/>
              <w:spacing w:line="500" w:lineRule="exact"/>
              <w:jc w:val="left"/>
              <w:rPr>
                <w:sz w:val="24"/>
              </w:rPr>
            </w:pPr>
            <w:r>
              <w:rPr>
                <w:rFonts w:hint="eastAsia"/>
                <w:sz w:val="24"/>
              </w:rPr>
              <w:t>4.其他数据服务。根据采购方需求，</w:t>
            </w:r>
            <w:r>
              <w:rPr>
                <w:rFonts w:hint="eastAsia"/>
                <w:sz w:val="24"/>
                <w:lang w:eastAsia="zh-Hans"/>
              </w:rPr>
              <w:t>提供相关数据服务</w:t>
            </w:r>
            <w:r>
              <w:rPr>
                <w:rFonts w:hint="eastAsia"/>
                <w:sz w:val="24"/>
              </w:rPr>
              <w:t>。</w:t>
            </w:r>
          </w:p>
          <w:p>
            <w:pPr>
              <w:widowControl/>
              <w:spacing w:line="500" w:lineRule="exact"/>
              <w:jc w:val="left"/>
              <w:rPr>
                <w:sz w:val="24"/>
              </w:rPr>
            </w:pPr>
            <w:r>
              <w:rPr>
                <w:rFonts w:hint="eastAsia"/>
                <w:sz w:val="24"/>
              </w:rPr>
              <w:t>（二）经济调度分析</w:t>
            </w:r>
          </w:p>
          <w:p>
            <w:pPr>
              <w:widowControl/>
              <w:spacing w:line="500" w:lineRule="exact"/>
              <w:jc w:val="left"/>
              <w:rPr>
                <w:sz w:val="24"/>
              </w:rPr>
            </w:pPr>
            <w:r>
              <w:rPr>
                <w:rFonts w:hint="eastAsia"/>
                <w:sz w:val="24"/>
              </w:rPr>
              <w:t>根据采购方需求，按照事前预判、事中监测调度、事后总结推广的全程监测、全面调度的思路，对采购方要求的重点监测指标进行重点监测。协助做好区域内工业、科学研究和技术服务业、软件和信息技术服务业企业走访调研、摸排企业经营情况及重点经济指标工作，跟踪行业龙头企业、高成长企业等相关经营情况，有效建立重点企业沟通渠道。综合分析区域内工业、科学研究和技术服务业、软件和信息技术服务业运行走势，并配合采购方经济调度工作，及时提供经济调度分析报告：包括工业产业发展情况，重点工业行业、产业生产运行情况，大中型企业生产运行以及营利情况，主要工业产品市场供需变化情况、工业企业就业情况、企业用工情况，企业科技创新情况，新模式、新业态发展以及需重点关注的企业异常情况等。</w:t>
            </w:r>
          </w:p>
          <w:p>
            <w:pPr>
              <w:widowControl/>
              <w:spacing w:line="500" w:lineRule="exact"/>
              <w:jc w:val="left"/>
              <w:rPr>
                <w:sz w:val="24"/>
              </w:rPr>
            </w:pPr>
            <w:r>
              <w:rPr>
                <w:rFonts w:hint="eastAsia"/>
                <w:sz w:val="24"/>
              </w:rPr>
              <w:t>（三）产业监测分析</w:t>
            </w:r>
          </w:p>
          <w:p>
            <w:pPr>
              <w:widowControl/>
              <w:spacing w:line="500" w:lineRule="exact"/>
              <w:jc w:val="left"/>
              <w:rPr>
                <w:sz w:val="24"/>
              </w:rPr>
            </w:pPr>
            <w:r>
              <w:rPr>
                <w:rFonts w:hint="eastAsia"/>
                <w:sz w:val="24"/>
              </w:rPr>
              <w:t>围绕前海的工业及重点产业尤其是科学研究和技术服务业、软件和信息技术服务业，分析重点细分产业现状和产业整体情况形成前海产业画像，分析重点产业链发展趋势，探明今后需重点关注的企业、重点关注的行业走势，并对前海未来的产业方向、招商引资、产业空间布局、政策方向等建言献策。</w:t>
            </w:r>
          </w:p>
          <w:p>
            <w:pPr>
              <w:widowControl/>
              <w:spacing w:line="500" w:lineRule="exact"/>
              <w:jc w:val="left"/>
              <w:rPr>
                <w:sz w:val="24"/>
              </w:rPr>
            </w:pPr>
            <w:r>
              <w:rPr>
                <w:rFonts w:hint="eastAsia"/>
                <w:sz w:val="24"/>
              </w:rPr>
              <w:t>（四）投资项目挖潜</w:t>
            </w:r>
          </w:p>
          <w:p>
            <w:pPr>
              <w:widowControl/>
              <w:spacing w:line="500" w:lineRule="exact"/>
              <w:ind w:firstLine="480" w:firstLineChars="200"/>
              <w:jc w:val="left"/>
              <w:rPr>
                <w:sz w:val="24"/>
              </w:rPr>
            </w:pPr>
            <w:r>
              <w:rPr>
                <w:rFonts w:hint="eastAsia"/>
                <w:sz w:val="24"/>
              </w:rPr>
              <w:t>协助搜集挖掘重大项目相关线索，识别确认区内投资项目，包括但不限于工业投资、科技服务业和信息服务业企业重大项目等数据材料。一是及时形成投资项目清单，二是对清单中的重大项目、工业投资项目等开展具体研究分析工作，包括项目基本情况、项目进展，总结项目运行中存在的问题、经验成效，以加快项目落地纳统，加速项目建设</w:t>
            </w:r>
            <w:r>
              <w:rPr>
                <w:rFonts w:hint="eastAsia" w:ascii="长城仿宋" w:hAnsi="Calibri"/>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w:t>
            </w:r>
            <w:r>
              <w:rPr>
                <w:rFonts w:ascii="宋体" w:hAnsi="宋体" w:cs="宋体"/>
                <w:sz w:val="24"/>
              </w:rPr>
              <w:t>87</w:t>
            </w:r>
            <w:r>
              <w:rPr>
                <w:rFonts w:hint="eastAsia" w:ascii="宋体" w:hAnsi="宋体" w:cs="宋体"/>
                <w:sz w:val="24"/>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年5月22日</w:t>
            </w:r>
            <w:r>
              <w:rPr>
                <w:rFonts w:hint="eastAsia" w:ascii="宋体" w:hAnsi="宋体" w:cs="宋体"/>
                <w:b/>
                <w:kern w:val="0"/>
                <w:sz w:val="24"/>
                <w:lang w:val="en-US" w:eastAsia="zh-CN" w:bidi="ar"/>
              </w:rPr>
              <w:t>下</w:t>
            </w:r>
            <w:r>
              <w:rPr>
                <w:rFonts w:hint="eastAsia" w:ascii="宋体" w:hAnsi="宋体" w:cs="宋体"/>
                <w:b/>
                <w:kern w:val="0"/>
                <w:sz w:val="24"/>
                <w:lang w:bidi="ar"/>
              </w:rPr>
              <w:t>午</w:t>
            </w:r>
            <w:r>
              <w:rPr>
                <w:rFonts w:hint="eastAsia" w:ascii="宋体" w:hAnsi="宋体" w:cs="宋体"/>
                <w:b/>
                <w:kern w:val="0"/>
                <w:sz w:val="24"/>
                <w:lang w:val="en-US" w:eastAsia="zh-CN" w:bidi="ar"/>
              </w:rPr>
              <w:t>17</w:t>
            </w:r>
            <w:r>
              <w:rPr>
                <w:rFonts w:hint="eastAsia" w:ascii="宋体" w:hAnsi="宋体" w:cs="宋体"/>
                <w:b/>
                <w:kern w:val="0"/>
                <w:sz w:val="24"/>
                <w:lang w:bidi="ar"/>
              </w:rPr>
              <w:t>:</w:t>
            </w:r>
            <w:r>
              <w:rPr>
                <w:rFonts w:hint="eastAsia" w:ascii="宋体" w:hAnsi="宋体" w:cs="宋体"/>
                <w:b/>
                <w:kern w:val="0"/>
                <w:sz w:val="24"/>
                <w:lang w:val="en-US" w:eastAsia="zh-CN" w:bidi="ar"/>
              </w:rPr>
              <w:t>0</w:t>
            </w:r>
            <w:r>
              <w:rPr>
                <w:rFonts w:hint="eastAsia" w:ascii="宋体" w:hAnsi="宋体" w:cs="宋体"/>
                <w:b/>
                <w:kern w:val="0"/>
                <w:sz w:val="24"/>
                <w:lang w:bidi="ar"/>
              </w:rPr>
              <w:t>0时（北京时间）前送达（现场递交）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2419</w:t>
            </w:r>
            <w:r>
              <w:rPr>
                <w:rFonts w:hint="eastAsia" w:ascii="宋体" w:hAnsi="宋体" w:cs="宋体"/>
                <w:b/>
                <w:kern w:val="0"/>
                <w:sz w:val="24"/>
                <w:lang w:bidi="ar"/>
              </w:rPr>
              <w:t xml:space="preserve"> 室。</w:t>
            </w:r>
          </w:p>
          <w:p>
            <w:pPr>
              <w:spacing w:line="500" w:lineRule="exact"/>
              <w:jc w:val="left"/>
              <w:rPr>
                <w:rFonts w:ascii="宋体" w:hAnsi="宋体" w:cs="宋体"/>
                <w:kern w:val="0"/>
                <w:sz w:val="24"/>
              </w:rPr>
            </w:pPr>
            <w:r>
              <w:rPr>
                <w:rFonts w:hint="eastAsia" w:ascii="宋体" w:hAnsi="宋体" w:cs="宋体"/>
                <w:kern w:val="0"/>
                <w:sz w:val="24"/>
                <w:lang w:bidi="ar"/>
              </w:rPr>
              <w:t>联系人：曹先生</w:t>
            </w:r>
          </w:p>
          <w:p>
            <w:pPr>
              <w:spacing w:line="500" w:lineRule="exact"/>
              <w:jc w:val="left"/>
              <w:rPr>
                <w:rFonts w:ascii="宋体" w:hAnsi="宋体" w:cs="宋体"/>
                <w:kern w:val="0"/>
                <w:sz w:val="24"/>
              </w:rPr>
            </w:pPr>
            <w:r>
              <w:rPr>
                <w:rFonts w:hint="eastAsia" w:ascii="宋体" w:hAnsi="宋体" w:cs="宋体"/>
                <w:kern w:val="0"/>
                <w:sz w:val="24"/>
                <w:lang w:bidi="ar"/>
              </w:rPr>
              <w:t>联系电话：0755-88105277</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 曹先生</w:t>
            </w:r>
          </w:p>
          <w:p>
            <w:pPr>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0755-88105277</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ascii="宋体" w:hAnsi="宋体" w:cs="宋体"/>
                <w:kern w:val="0"/>
                <w:sz w:val="24"/>
              </w:rPr>
            </w:pPr>
            <w:r>
              <w:rPr>
                <w:rFonts w:hint="eastAsia" w:ascii="宋体" w:hAnsi="宋体" w:cs="宋体"/>
                <w:kern w:val="0"/>
                <w:sz w:val="24"/>
              </w:rPr>
              <w:t>联  系  人： 黎先生、温先生</w:t>
            </w:r>
          </w:p>
          <w:p>
            <w:pPr>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6</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1、本项目是深圳市前海深港现代服务业合作区管理局的前海科技创新产业运行监测分析服务项目。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不足3家的，将重新发布采购公告。重新公告后仍不足3家的：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2"/>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2"/>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34" w:name="_GoBack"/>
      <w:bookmarkEnd w:id="34"/>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pStyle w:val="13"/>
        <w:widowControl/>
        <w:shd w:val="clear" w:color="auto" w:fill="FFFFFF"/>
        <w:rPr>
          <w:rFonts w:hint="default"/>
          <w:color w:val="000000"/>
          <w:sz w:val="21"/>
          <w:szCs w:val="21"/>
        </w:rPr>
      </w:pPr>
      <w:r>
        <w:rPr>
          <w:rFonts w:cs="宋体"/>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年5月22日下午17:00时（北京时间）。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年5月22日下午17:00时（北京时间）前送达（现场递交前海大厦T1栋</w:t>
      </w:r>
      <w:r>
        <w:rPr>
          <w:rFonts w:ascii="宋体" w:hAnsi="宋体" w:cs="宋体"/>
          <w:sz w:val="24"/>
        </w:rPr>
        <w:t>2419</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应委派代表参加，参加开标的代表应签名报到以证明出席。开标时，招标代理机构将当众宣读投标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101074886"/>
      <w:bookmarkStart w:id="8" w:name="_Toc73521592"/>
      <w:bookmarkStart w:id="9" w:name="_Toc100052414"/>
      <w:bookmarkStart w:id="10" w:name="_Toc73517685"/>
      <w:bookmarkStart w:id="11" w:name="_Toc73518163"/>
      <w:bookmarkStart w:id="12" w:name="_Toc84303603"/>
      <w:bookmarkStart w:id="13" w:name="_Toc73521680"/>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2"/>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2"/>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2"/>
        <w:spacing w:line="360" w:lineRule="auto"/>
        <w:ind w:left="1470" w:right="1470" w:firstLine="482"/>
        <w:jc w:val="center"/>
        <w:rPr>
          <w:rFonts w:ascii="宋体" w:hAnsi="宋体" w:cs="宋体"/>
          <w:b/>
          <w:sz w:val="24"/>
          <w:szCs w:val="24"/>
        </w:rPr>
      </w:pP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前海科技创新产业运行监测分析服务项目委托合同</w:t>
      </w:r>
    </w:p>
    <w:p>
      <w:pPr>
        <w:spacing w:line="360" w:lineRule="auto"/>
        <w:rPr>
          <w:rFonts w:ascii="宋体" w:hAnsi="宋体" w:cs="宋体"/>
          <w:sz w:val="24"/>
        </w:rPr>
      </w:pPr>
      <w:r>
        <w:rPr>
          <w:rFonts w:hint="eastAsia" w:ascii="宋体" w:hAnsi="宋体" w:cs="宋体"/>
          <w:sz w:val="24"/>
        </w:rPr>
        <w:t xml:space="preserve"> </w:t>
      </w:r>
    </w:p>
    <w:p>
      <w:pPr>
        <w:pStyle w:val="22"/>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rPr>
        <w:t>前海科技创新产业运行监测分析服务项目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共同承担前海科技创新产业运行监测分析服务项目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eastAsia" w:ascii="宋体" w:hAnsi="宋体" w:cs="宋体"/>
          <w:sz w:val="24"/>
        </w:rPr>
        <w:t>2021年9月，中共中央、国务院印发《全面深化前海深港现代服务业合作区改革开放方案》，前海发展空间扩大，产业业态更加丰富，我处负责的工业、信息服务业、科技服务业等重点产业GDP占前海经济总量约40%。2022年全年，前海工业增长7.0%，信息服务业增长65.7%，科技服务业增长7.1%，是支撑前海经济增长的重要力量。为推动前海高质量发展，发挥产业对前海经济支撑的重要作用，我处拟采购前海科技创新产业运行监测分析服务项目，通过摸查、挖掘和更新工业、科技服务业和信息服务业有关数据以及分析经济运行调度、产业发展状况和重大项目基本情况，为经济调度工作提供支撑。</w:t>
      </w:r>
    </w:p>
    <w:p>
      <w:pPr>
        <w:pStyle w:val="22"/>
        <w:ind w:firstLine="482"/>
        <w:rPr>
          <w:sz w:val="24"/>
          <w:szCs w:val="24"/>
        </w:rPr>
      </w:pPr>
      <w:r>
        <w:rPr>
          <w:b/>
          <w:bCs/>
          <w:sz w:val="24"/>
          <w:szCs w:val="24"/>
        </w:rPr>
        <w:t>2、</w:t>
      </w:r>
      <w:r>
        <w:rPr>
          <w:rFonts w:hint="eastAsia"/>
          <w:b/>
          <w:bCs/>
          <w:sz w:val="24"/>
          <w:szCs w:val="24"/>
        </w:rPr>
        <w:t>项目内容</w:t>
      </w:r>
      <w:r>
        <w:rPr>
          <w:rFonts w:hint="eastAsia"/>
          <w:sz w:val="24"/>
          <w:szCs w:val="24"/>
        </w:rPr>
        <w:t>：</w:t>
      </w:r>
    </w:p>
    <w:p>
      <w:pPr>
        <w:pStyle w:val="22"/>
        <w:ind w:firstLine="480"/>
        <w:rPr>
          <w:sz w:val="24"/>
          <w:szCs w:val="24"/>
        </w:rPr>
      </w:pPr>
      <w:r>
        <w:rPr>
          <w:rFonts w:hint="eastAsia"/>
          <w:sz w:val="24"/>
          <w:szCs w:val="24"/>
        </w:rPr>
        <w:t>本项目通过对前海工业、信息服务业、科技服务业各项业务数据进行处理分析，开展前海工业、信息服务业、科技服务业运行情况数据监测，按季度、年度形成前海合作区工业、信息服务业、科技服务业监测分析报告，为经济调度提供决策参考。</w:t>
      </w:r>
    </w:p>
    <w:p>
      <w:pPr>
        <w:pStyle w:val="22"/>
        <w:ind w:firstLine="480"/>
        <w:rPr>
          <w:sz w:val="24"/>
          <w:szCs w:val="24"/>
        </w:rPr>
      </w:pPr>
      <w:r>
        <w:rPr>
          <w:rFonts w:hint="eastAsia"/>
          <w:sz w:val="24"/>
          <w:szCs w:val="24"/>
        </w:rPr>
        <w:t>（一）数据综合服务</w:t>
      </w:r>
    </w:p>
    <w:p>
      <w:pPr>
        <w:pStyle w:val="22"/>
        <w:ind w:firstLine="480"/>
        <w:rPr>
          <w:sz w:val="24"/>
          <w:szCs w:val="24"/>
        </w:rPr>
      </w:pPr>
      <w:r>
        <w:rPr>
          <w:rFonts w:hint="eastAsia"/>
          <w:sz w:val="24"/>
          <w:szCs w:val="24"/>
        </w:rPr>
        <w:t>1.规模以上企业数据统计服务。通过将南山区、宝安区数据与前海企业名录比对，并与公开数据交叉比对，进行多源数据验证。数据以月度为单位更新。</w:t>
      </w:r>
    </w:p>
    <w:p>
      <w:pPr>
        <w:pStyle w:val="22"/>
        <w:ind w:firstLine="480"/>
        <w:rPr>
          <w:sz w:val="24"/>
          <w:szCs w:val="24"/>
        </w:rPr>
      </w:pPr>
      <w:r>
        <w:rPr>
          <w:rFonts w:hint="eastAsia"/>
          <w:sz w:val="24"/>
          <w:szCs w:val="24"/>
        </w:rPr>
        <w:t>2．“小升规”企业入库纳统排查服务。通过历史数据筛选样本、重点企业走访，以及新注册或新开业且未入库企业排查，了解符合纳统条件的规模以下企业数据。数据以年度为单位更新。</w:t>
      </w:r>
    </w:p>
    <w:p>
      <w:pPr>
        <w:pStyle w:val="22"/>
        <w:ind w:firstLine="480"/>
        <w:rPr>
          <w:sz w:val="24"/>
          <w:szCs w:val="24"/>
        </w:rPr>
      </w:pPr>
      <w:r>
        <w:rPr>
          <w:rFonts w:hint="eastAsia"/>
          <w:sz w:val="24"/>
          <w:szCs w:val="24"/>
        </w:rPr>
        <w:t>3.科技创新数据服务。梳理前海重点科技创新数据，包括但不限于创新载体、国家高新技术企业、专精特新企业、上市企业、独角兽企业等创新主体以及专利、R&amp;D等数据服务。</w:t>
      </w:r>
    </w:p>
    <w:p>
      <w:pPr>
        <w:pStyle w:val="22"/>
        <w:ind w:firstLine="480"/>
        <w:rPr>
          <w:sz w:val="24"/>
          <w:szCs w:val="24"/>
        </w:rPr>
      </w:pPr>
      <w:r>
        <w:rPr>
          <w:rFonts w:hint="eastAsia"/>
          <w:sz w:val="24"/>
          <w:szCs w:val="24"/>
        </w:rPr>
        <w:t>4.其他数据服务。根据采购方需求，基于已有数据、公开数据提供定制化数据处理服务。</w:t>
      </w:r>
    </w:p>
    <w:p>
      <w:pPr>
        <w:pStyle w:val="22"/>
        <w:ind w:firstLine="480"/>
        <w:rPr>
          <w:sz w:val="24"/>
          <w:szCs w:val="24"/>
        </w:rPr>
      </w:pPr>
      <w:r>
        <w:rPr>
          <w:rFonts w:hint="eastAsia"/>
          <w:sz w:val="24"/>
          <w:szCs w:val="24"/>
        </w:rPr>
        <w:t>（二）经济调度分析</w:t>
      </w:r>
    </w:p>
    <w:p>
      <w:pPr>
        <w:pStyle w:val="22"/>
        <w:ind w:firstLine="480"/>
        <w:rPr>
          <w:sz w:val="24"/>
          <w:szCs w:val="24"/>
        </w:rPr>
      </w:pPr>
      <w:r>
        <w:rPr>
          <w:rFonts w:hint="eastAsia"/>
          <w:sz w:val="24"/>
          <w:szCs w:val="24"/>
        </w:rPr>
        <w:t>根据采购方需求，按照事前预判、事中监测调度、事后总结推广的全程监测、全面调度的思路，对采购方要求的重点监测指标进行重点监测。协助做好区域内工业、科学研究和技术服务业、软件和信息技术服务业企业走访调研、摸排企业经营情况及重点经济指标工作，跟踪行业龙头企业、高成长企业等相关经营情况，有效建立重点企业沟通渠道。综合分析区域内工业、科学研究和技术服务业、软件和信息技术服务业运行走势，并配合采购方经济调度工作，及时提供经济调度分析报告：包括工业产业发展情况，重点工业行业、产业生产运行情况，大中型企业生产运行以及营利情况，主要工业产品市场供需变化情况、工业企业就业情况、企业用工情况，企业科技创新情况，新模式、新业态发展以及需重点关注的企业异常情况等。</w:t>
      </w:r>
    </w:p>
    <w:p>
      <w:pPr>
        <w:pStyle w:val="22"/>
        <w:ind w:firstLine="480"/>
        <w:rPr>
          <w:sz w:val="24"/>
          <w:szCs w:val="24"/>
        </w:rPr>
      </w:pPr>
      <w:r>
        <w:rPr>
          <w:rFonts w:hint="eastAsia"/>
          <w:sz w:val="24"/>
          <w:szCs w:val="24"/>
        </w:rPr>
        <w:t>（三）产业监测分析</w:t>
      </w:r>
    </w:p>
    <w:p>
      <w:pPr>
        <w:pStyle w:val="22"/>
        <w:ind w:firstLine="480"/>
        <w:rPr>
          <w:sz w:val="24"/>
          <w:szCs w:val="24"/>
        </w:rPr>
      </w:pPr>
      <w:r>
        <w:rPr>
          <w:rFonts w:hint="eastAsia"/>
          <w:sz w:val="24"/>
          <w:szCs w:val="24"/>
        </w:rPr>
        <w:t>围绕前海的工业及重点产业尤其是科学研究和技术服务业、软件和信息技术服务业，分析重点细分产业现状和产业整体情况形成前海产业画像，分析重点产业链发展趋势，探明今后需重点关注的企业、重点关注的行业走势，并对前海未来的产业方向、招商引资、产业空间布局、政策方向等建言献策。</w:t>
      </w:r>
    </w:p>
    <w:p>
      <w:pPr>
        <w:pStyle w:val="22"/>
        <w:ind w:firstLine="480"/>
        <w:rPr>
          <w:sz w:val="24"/>
          <w:szCs w:val="24"/>
        </w:rPr>
      </w:pPr>
      <w:r>
        <w:rPr>
          <w:rFonts w:hint="eastAsia"/>
          <w:sz w:val="24"/>
          <w:szCs w:val="24"/>
        </w:rPr>
        <w:t>（四）投资项目挖潜</w:t>
      </w:r>
    </w:p>
    <w:p>
      <w:pPr>
        <w:pStyle w:val="22"/>
        <w:ind w:firstLine="480"/>
        <w:rPr>
          <w:sz w:val="24"/>
          <w:szCs w:val="24"/>
        </w:rPr>
      </w:pPr>
      <w:r>
        <w:rPr>
          <w:rFonts w:hint="eastAsia"/>
          <w:sz w:val="24"/>
          <w:szCs w:val="24"/>
        </w:rPr>
        <w:t>协助搜集挖掘重大项目相关线索，识别确认区内投资项目，包括但不限于工业投资、科技服务业和信息服务业企业重大项目等数据材料。一是及时形成投资项目清单，二是对清单中的重大项目、工业投资项目等开展具体研究分析工作，包括项目基本情况、项目进展，总结项目运行中存在的问题、经验成效，以加快项目落地纳统，加速项目建设。</w:t>
      </w:r>
    </w:p>
    <w:p>
      <w:pPr>
        <w:spacing w:line="360" w:lineRule="auto"/>
        <w:ind w:firstLine="482" w:firstLineChars="200"/>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7"/>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7"/>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7"/>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7"/>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7"/>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7"/>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第十条  付款方式</w:t>
      </w:r>
    </w:p>
    <w:p>
      <w:pPr>
        <w:adjustRightInd w:val="0"/>
        <w:snapToGrid w:val="0"/>
        <w:spacing w:line="360" w:lineRule="auto"/>
        <w:ind w:firstLine="480" w:firstLineChars="200"/>
        <w:rPr>
          <w:rFonts w:ascii="宋体" w:hAnsi="宋体"/>
          <w:sz w:val="24"/>
        </w:rPr>
      </w:pPr>
      <w:bookmarkStart w:id="17" w:name="_Hlk32923729"/>
      <w:r>
        <w:rPr>
          <w:rFonts w:ascii="宋体" w:hAnsi="宋体"/>
          <w:sz w:val="24"/>
        </w:rPr>
        <w:t>合同生效后30个工作日内向</w:t>
      </w:r>
      <w:r>
        <w:rPr>
          <w:rFonts w:hint="eastAsia" w:ascii="宋体" w:hAnsi="宋体"/>
          <w:sz w:val="24"/>
        </w:rPr>
        <w:t>乙</w:t>
      </w:r>
      <w:r>
        <w:rPr>
          <w:rFonts w:ascii="宋体" w:hAnsi="宋体"/>
          <w:sz w:val="24"/>
        </w:rPr>
        <w:t>方支付合同总费用的50%；在</w:t>
      </w:r>
      <w:r>
        <w:rPr>
          <w:rFonts w:hint="eastAsia" w:ascii="宋体" w:hAnsi="宋体"/>
          <w:sz w:val="24"/>
        </w:rPr>
        <w:t>乙方</w:t>
      </w:r>
      <w:r>
        <w:rPr>
          <w:rFonts w:ascii="宋体" w:hAnsi="宋体"/>
          <w:sz w:val="24"/>
        </w:rPr>
        <w:t>提交通过审查的成果后，向</w:t>
      </w:r>
      <w:r>
        <w:rPr>
          <w:rFonts w:hint="eastAsia" w:ascii="宋体" w:hAnsi="宋体"/>
          <w:sz w:val="24"/>
        </w:rPr>
        <w:t>乙方</w:t>
      </w:r>
      <w:r>
        <w:rPr>
          <w:rFonts w:ascii="宋体" w:hAnsi="宋体"/>
          <w:sz w:val="24"/>
        </w:rPr>
        <w:t>支付合同总费用的50%。</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明相应金额的合格发票后15个工作日内</w:t>
      </w:r>
      <w:r>
        <w:rPr>
          <w:rFonts w:hint="eastAsia" w:ascii="宋体" w:hAnsi="宋体"/>
          <w:sz w:val="24"/>
        </w:rPr>
        <w:t>付至乙方指定银行账户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600" w:firstLineChars="250"/>
        <w:rPr>
          <w:rFonts w:ascii="宋体" w:hAnsi="宋体"/>
          <w:sz w:val="24"/>
        </w:rPr>
      </w:pPr>
    </w:p>
    <w:p>
      <w:pPr>
        <w:tabs>
          <w:tab w:val="left" w:pos="720"/>
        </w:tabs>
        <w:autoSpaceDE w:val="0"/>
        <w:autoSpaceDN w:val="0"/>
        <w:adjustRightInd w:val="0"/>
        <w:spacing w:line="360" w:lineRule="auto"/>
        <w:ind w:right="17" w:firstLine="420" w:firstLineChars="200"/>
      </w:pPr>
    </w:p>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22"/>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2"/>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2"/>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2"/>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2"/>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2"/>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2"/>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2"/>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sz w:val="24"/>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2"/>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2"/>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2"/>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2"/>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2"/>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23"/>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23726"/>
      <w:bookmarkStart w:id="20" w:name="_Toc11045"/>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pacing w:line="360" w:lineRule="auto"/>
        <w:ind w:firstLine="480" w:firstLineChars="200"/>
        <w:rPr>
          <w:rFonts w:ascii="宋体" w:hAnsi="宋体" w:cs="宋体"/>
          <w:kern w:val="0"/>
          <w:sz w:val="24"/>
        </w:rPr>
      </w:pPr>
      <w:r>
        <w:rPr>
          <w:rFonts w:hint="eastAsia" w:ascii="宋体" w:hAnsi="宋体" w:cs="宋体"/>
          <w:sz w:val="24"/>
        </w:rPr>
        <w:t>2021年9月，中共中央、国务院印发《全面深化前海深港现代服务业合作区改革开放方案》，前海发展空间扩大，产业业态更加丰富，我处负责的工业、信息服务业、科技服务业等重点产业GDP占前海经济总量约40%。2022年全年，前海工业增长7.0%，信息服务业增长65.7%，科技服务业增长7.1%，是支撑前海经济增长的重要力量。为推动前海高质量发展，发挥产业对前海经济支撑的重要作用，我处拟采购前海科技创新产业运行监测分析服务项目，通过摸查、挖掘和更新工业、科技服务业和信息服务业有关数据以及分析经济运行调度、产业发展状况和重大项目基本情况，为经济调度工作提供支撑</w:t>
      </w:r>
      <w:r>
        <w:rPr>
          <w:rFonts w:hint="eastAsia" w:ascii="宋体" w:hAnsi="宋体" w:cs="宋体"/>
          <w:kern w:val="0"/>
          <w:sz w:val="24"/>
        </w:rPr>
        <w:t>。</w:t>
      </w:r>
    </w:p>
    <w:p>
      <w:pPr>
        <w:pStyle w:val="22"/>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2"/>
    <w:p>
      <w:pPr>
        <w:pStyle w:val="22"/>
        <w:ind w:firstLine="480"/>
        <w:rPr>
          <w:sz w:val="24"/>
          <w:szCs w:val="24"/>
        </w:rPr>
      </w:pPr>
      <w:r>
        <w:rPr>
          <w:rFonts w:hint="eastAsia"/>
          <w:sz w:val="24"/>
          <w:szCs w:val="24"/>
        </w:rPr>
        <w:t>本项目通过对前海工业、信息服务业、科技服务业各项业务数据进行处理分析，开展前海工业、信息服务业、科技服务业运行情况数据监测，按季度、年度形成前海合作区工业、信息服务业、科技服务业监测分析报告，为经济调度提供决策参考。</w:t>
      </w:r>
    </w:p>
    <w:p>
      <w:pPr>
        <w:pStyle w:val="22"/>
        <w:ind w:firstLine="480"/>
        <w:rPr>
          <w:sz w:val="24"/>
          <w:szCs w:val="24"/>
        </w:rPr>
      </w:pPr>
      <w:r>
        <w:rPr>
          <w:rFonts w:hint="eastAsia"/>
          <w:sz w:val="24"/>
          <w:szCs w:val="24"/>
        </w:rPr>
        <w:t>（1）数据综合服务</w:t>
      </w:r>
    </w:p>
    <w:p>
      <w:pPr>
        <w:pStyle w:val="22"/>
        <w:ind w:firstLine="480"/>
        <w:rPr>
          <w:sz w:val="24"/>
          <w:szCs w:val="24"/>
        </w:rPr>
      </w:pPr>
      <w:r>
        <w:rPr>
          <w:rFonts w:hint="eastAsia"/>
          <w:sz w:val="24"/>
          <w:szCs w:val="24"/>
        </w:rPr>
        <w:t>1.规模以上企业数据统计服务。通过将南山区、宝安区数据与前海企业名录比对，并与公开数据交叉比对，进行多源数据验证。数据以月度为单位更新。</w:t>
      </w:r>
    </w:p>
    <w:p>
      <w:pPr>
        <w:pStyle w:val="22"/>
        <w:ind w:firstLine="480"/>
        <w:rPr>
          <w:sz w:val="24"/>
          <w:szCs w:val="24"/>
        </w:rPr>
      </w:pPr>
      <w:r>
        <w:rPr>
          <w:rFonts w:hint="eastAsia"/>
          <w:sz w:val="24"/>
          <w:szCs w:val="24"/>
        </w:rPr>
        <w:t>2．“小升规”企业入库纳统排查服务。通过历史数据筛选样本、重点企业走访，以及新注册或新开业且未入库企业排查，</w:t>
      </w:r>
      <w:r>
        <w:rPr>
          <w:rFonts w:hint="eastAsia"/>
          <w:sz w:val="24"/>
          <w:szCs w:val="24"/>
          <w:lang w:eastAsia="zh-Hans"/>
        </w:rPr>
        <w:t>结合相关部门数据，筛查</w:t>
      </w:r>
      <w:r>
        <w:rPr>
          <w:rFonts w:hint="eastAsia"/>
          <w:sz w:val="24"/>
          <w:szCs w:val="24"/>
        </w:rPr>
        <w:t>符合纳统条件的规模以下企业。数据以年度为单位更新。</w:t>
      </w:r>
    </w:p>
    <w:p>
      <w:pPr>
        <w:pStyle w:val="22"/>
        <w:ind w:firstLine="480"/>
        <w:rPr>
          <w:sz w:val="24"/>
          <w:szCs w:val="24"/>
        </w:rPr>
      </w:pPr>
      <w:r>
        <w:rPr>
          <w:rFonts w:hint="eastAsia"/>
          <w:sz w:val="24"/>
          <w:szCs w:val="24"/>
        </w:rPr>
        <w:t>3.科技创新数据服务。梳理前海重点科技创新数据</w:t>
      </w:r>
      <w:r>
        <w:rPr>
          <w:rFonts w:hint="eastAsia"/>
          <w:sz w:val="24"/>
          <w:szCs w:val="24"/>
          <w:lang w:eastAsia="zh-Hans"/>
        </w:rPr>
        <w:t>（以与采购方确认的官方数据途径为准）</w:t>
      </w:r>
      <w:r>
        <w:rPr>
          <w:rFonts w:hint="eastAsia"/>
          <w:sz w:val="24"/>
          <w:szCs w:val="24"/>
        </w:rPr>
        <w:t>包括但不限于创新载体、国家高新技术企业、专精特新企业、上市企业、独角兽企业等创新主体以及专利等数据服务。</w:t>
      </w:r>
    </w:p>
    <w:p>
      <w:pPr>
        <w:pStyle w:val="22"/>
        <w:ind w:firstLine="480"/>
        <w:rPr>
          <w:sz w:val="24"/>
          <w:szCs w:val="24"/>
        </w:rPr>
      </w:pPr>
      <w:r>
        <w:rPr>
          <w:rFonts w:hint="eastAsia"/>
          <w:sz w:val="24"/>
          <w:szCs w:val="24"/>
        </w:rPr>
        <w:t>4.其他数据服务。根据采购方需求，</w:t>
      </w:r>
      <w:r>
        <w:rPr>
          <w:rFonts w:hint="eastAsia"/>
          <w:sz w:val="24"/>
          <w:szCs w:val="24"/>
          <w:lang w:eastAsia="zh-Hans"/>
        </w:rPr>
        <w:t>提供相关数据服务</w:t>
      </w:r>
      <w:r>
        <w:rPr>
          <w:rFonts w:hint="eastAsia"/>
          <w:sz w:val="24"/>
          <w:szCs w:val="24"/>
        </w:rPr>
        <w:t>。</w:t>
      </w:r>
    </w:p>
    <w:p>
      <w:pPr>
        <w:pStyle w:val="22"/>
        <w:ind w:firstLine="480"/>
        <w:rPr>
          <w:sz w:val="24"/>
          <w:szCs w:val="24"/>
        </w:rPr>
      </w:pPr>
      <w:r>
        <w:rPr>
          <w:rFonts w:hint="eastAsia"/>
          <w:sz w:val="24"/>
          <w:szCs w:val="24"/>
        </w:rPr>
        <w:t>（2）经济调度分析</w:t>
      </w:r>
    </w:p>
    <w:p>
      <w:pPr>
        <w:pStyle w:val="22"/>
        <w:ind w:firstLine="480"/>
        <w:rPr>
          <w:sz w:val="24"/>
          <w:szCs w:val="24"/>
        </w:rPr>
      </w:pPr>
      <w:r>
        <w:rPr>
          <w:rFonts w:hint="eastAsia"/>
          <w:sz w:val="24"/>
          <w:szCs w:val="24"/>
        </w:rPr>
        <w:t>根据采购方需求，按照事前预判、事中监测调度、事后总结推广的全程监测、全面调度的思路，对采购方要求的重点监测指标进行重点监测。协助做好区域内工业、科学研究和技术服务业、软件和信息技术服务业企业走访调研、摸排企业经营情况及重点经济指标工作，跟踪行业龙头企业、高成长企业等相关经营情况，有效建立重点企业沟通渠道。综合分析区域内工业、科学研究和技术服务业、软件和信息技术服务业运行走势，并配合采购方经济调度工作，及时提供经济调度分析报告：包括工业产业发展情况，重点工业行业、产业生产运行情况，大中型企业生产运行以及营利情况，主要工业产品市场供需变化情况、工业企业就业情况、企业用工情况，企业科技创新情况，新模式、新业态发展以及需重点关注的企业异常情况等。</w:t>
      </w:r>
    </w:p>
    <w:p>
      <w:pPr>
        <w:pStyle w:val="22"/>
        <w:ind w:firstLine="480"/>
        <w:rPr>
          <w:sz w:val="24"/>
          <w:szCs w:val="24"/>
        </w:rPr>
      </w:pPr>
      <w:r>
        <w:rPr>
          <w:rFonts w:hint="eastAsia"/>
          <w:sz w:val="24"/>
          <w:szCs w:val="24"/>
        </w:rPr>
        <w:t>（3）产业监测分析</w:t>
      </w:r>
    </w:p>
    <w:p>
      <w:pPr>
        <w:pStyle w:val="22"/>
        <w:ind w:firstLine="480"/>
        <w:rPr>
          <w:sz w:val="24"/>
          <w:szCs w:val="24"/>
        </w:rPr>
      </w:pPr>
      <w:r>
        <w:rPr>
          <w:rFonts w:hint="eastAsia"/>
          <w:sz w:val="24"/>
          <w:szCs w:val="24"/>
        </w:rPr>
        <w:t>围绕前海的工业及重点产业尤其是科学研究和技术服务业、软件和信息技术服务业，分析重点细分产业现状和产业整体情况形成前海产业画像，分析重点产业链发展趋势，探明今后需重点关注的企业、重点关注的行业走势，并对前海未来的产业方向、招商引资、产业空间布局、政策方向等建言献策。</w:t>
      </w:r>
    </w:p>
    <w:p>
      <w:pPr>
        <w:pStyle w:val="22"/>
        <w:ind w:firstLine="480"/>
        <w:rPr>
          <w:sz w:val="24"/>
          <w:szCs w:val="24"/>
        </w:rPr>
      </w:pPr>
      <w:r>
        <w:rPr>
          <w:rFonts w:hint="eastAsia"/>
          <w:sz w:val="24"/>
          <w:szCs w:val="24"/>
        </w:rPr>
        <w:t>（4）投资项目挖潜</w:t>
      </w:r>
    </w:p>
    <w:p>
      <w:pPr>
        <w:pStyle w:val="22"/>
        <w:ind w:firstLine="480"/>
        <w:rPr>
          <w:sz w:val="24"/>
          <w:szCs w:val="24"/>
        </w:rPr>
      </w:pPr>
      <w:r>
        <w:rPr>
          <w:rFonts w:hint="eastAsia"/>
          <w:sz w:val="24"/>
          <w:szCs w:val="24"/>
        </w:rPr>
        <w:t>协助搜集挖掘重大项目相关线索，识别确认区内投资项目，包括但不限于工业投资、科技服务业和信息服务业企业重大项目等数据材料。一是及时形成投资项目清单，二是对清单中的重大项目、工业投资项目等开展具体研究分析工作，包括项目基本情况、项目进展，总结项目运行中存在的问题、经验成效，以加快项目落地纳统，加速项目建设。</w:t>
      </w:r>
    </w:p>
    <w:p>
      <w:pPr>
        <w:pStyle w:val="23"/>
        <w:tabs>
          <w:tab w:val="left" w:pos="720"/>
        </w:tabs>
        <w:autoSpaceDE w:val="0"/>
        <w:autoSpaceDN w:val="0"/>
        <w:adjustRightInd w:val="0"/>
        <w:spacing w:line="360" w:lineRule="auto"/>
        <w:ind w:right="17"/>
      </w:pPr>
    </w:p>
    <w:p>
      <w:pPr>
        <w:pStyle w:val="23"/>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本项目工作期限为自合同签订之日起1</w:t>
      </w:r>
      <w:r>
        <w:rPr>
          <w:rFonts w:ascii="宋体" w:hAnsi="宋体" w:cs="宋体"/>
          <w:bCs/>
          <w:kern w:val="0"/>
          <w:sz w:val="24"/>
          <w:szCs w:val="20"/>
        </w:rPr>
        <w:t>2</w:t>
      </w:r>
      <w:r>
        <w:rPr>
          <w:rFonts w:hint="eastAsia" w:ascii="宋体" w:hAnsi="宋体" w:cs="宋体"/>
          <w:bCs/>
          <w:kern w:val="0"/>
          <w:sz w:val="24"/>
          <w:szCs w:val="20"/>
        </w:rPr>
        <w:t>个月。</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w:t>
      </w:r>
      <w:r>
        <w:rPr>
          <w:rFonts w:ascii="宋体" w:hAnsi="宋体" w:cs="宋体"/>
          <w:kern w:val="0"/>
          <w:sz w:val="24"/>
          <w:szCs w:val="20"/>
        </w:rPr>
        <w:t>投标</w:t>
      </w:r>
      <w:r>
        <w:rPr>
          <w:rFonts w:hint="eastAsia" w:ascii="宋体" w:hAnsi="宋体" w:cs="宋体"/>
          <w:kern w:val="0"/>
          <w:sz w:val="24"/>
          <w:szCs w:val="20"/>
        </w:rPr>
        <w:t>单位的报价不可高于限价，否则</w:t>
      </w:r>
      <w:r>
        <w:rPr>
          <w:rFonts w:ascii="宋体" w:hAnsi="宋体" w:cs="宋体"/>
          <w:kern w:val="0"/>
          <w:sz w:val="24"/>
          <w:szCs w:val="20"/>
        </w:rPr>
        <w:t>投标</w:t>
      </w:r>
      <w:r>
        <w:rPr>
          <w:rFonts w:hint="eastAsia" w:ascii="宋体" w:hAnsi="宋体" w:cs="宋体"/>
          <w:kern w:val="0"/>
          <w:sz w:val="24"/>
          <w:szCs w:val="20"/>
        </w:rPr>
        <w:t>单位的投标文件视同无效，项目服务费包括项目实施过程中有关设计制作、印刷、人员车辆、资料、税费等最终交付用户验收合格的一切费用；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w:t>
      </w:r>
      <w:r>
        <w:rPr>
          <w:rFonts w:ascii="宋体" w:hAnsi="宋体" w:cs="宋体"/>
          <w:kern w:val="0"/>
          <w:sz w:val="24"/>
          <w:szCs w:val="20"/>
        </w:rPr>
        <w:t>单位</w:t>
      </w:r>
      <w:r>
        <w:rPr>
          <w:rFonts w:hint="eastAsia" w:ascii="宋体" w:hAnsi="宋体" w:cs="宋体"/>
          <w:kern w:val="0"/>
          <w:sz w:val="24"/>
          <w:szCs w:val="20"/>
        </w:rPr>
        <w:t>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w:t>
      </w:r>
      <w:r>
        <w:rPr>
          <w:rFonts w:ascii="宋体" w:hAnsi="宋体" w:cs="宋体"/>
          <w:kern w:val="0"/>
          <w:sz w:val="24"/>
          <w:szCs w:val="20"/>
        </w:rPr>
        <w:t>单位</w:t>
      </w:r>
      <w:r>
        <w:rPr>
          <w:rFonts w:hint="eastAsia" w:ascii="宋体" w:hAnsi="宋体" w:cs="宋体"/>
          <w:kern w:val="0"/>
          <w:sz w:val="24"/>
          <w:szCs w:val="20"/>
        </w:rPr>
        <w:t>不得期望通过索赔等方式获取补偿，否则，除可能遭到拒绝外，还可能将被作为不良行为记录在案，并可能影响其以后参加政府采购的项目投标。各投标</w:t>
      </w:r>
      <w:r>
        <w:rPr>
          <w:rFonts w:ascii="宋体" w:hAnsi="宋体" w:cs="宋体"/>
          <w:kern w:val="0"/>
          <w:sz w:val="24"/>
          <w:szCs w:val="20"/>
        </w:rPr>
        <w:t>单位</w:t>
      </w:r>
      <w:r>
        <w:rPr>
          <w:rFonts w:hint="eastAsia" w:ascii="宋体" w:hAnsi="宋体" w:cs="宋体"/>
          <w:kern w:val="0"/>
          <w:sz w:val="24"/>
          <w:szCs w:val="20"/>
        </w:rPr>
        <w:t>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adjustRightInd w:val="0"/>
        <w:snapToGrid w:val="0"/>
        <w:spacing w:line="360" w:lineRule="auto"/>
        <w:ind w:firstLine="480" w:firstLineChars="200"/>
        <w:rPr>
          <w:rFonts w:ascii="宋体" w:hAnsi="宋体"/>
          <w:sz w:val="24"/>
        </w:rPr>
      </w:pPr>
      <w:r>
        <w:rPr>
          <w:rFonts w:hint="eastAsia" w:ascii="宋体" w:hAnsi="宋体"/>
          <w:sz w:val="24"/>
        </w:rPr>
        <w:t>合同生效后30个工作日内向中标</w:t>
      </w:r>
      <w:r>
        <w:rPr>
          <w:rFonts w:ascii="宋体" w:hAnsi="宋体"/>
          <w:sz w:val="24"/>
        </w:rPr>
        <w:t>单位</w:t>
      </w:r>
      <w:r>
        <w:rPr>
          <w:rFonts w:hint="eastAsia" w:ascii="宋体" w:hAnsi="宋体"/>
          <w:sz w:val="24"/>
        </w:rPr>
        <w:t>支付合同总费用的</w:t>
      </w:r>
      <w:r>
        <w:rPr>
          <w:rFonts w:ascii="宋体" w:hAnsi="宋体"/>
          <w:sz w:val="24"/>
        </w:rPr>
        <w:t>50</w:t>
      </w:r>
      <w:r>
        <w:rPr>
          <w:rFonts w:hint="eastAsia" w:ascii="宋体" w:hAnsi="宋体"/>
          <w:sz w:val="24"/>
        </w:rPr>
        <w:t>%；在中标</w:t>
      </w:r>
      <w:r>
        <w:rPr>
          <w:rFonts w:ascii="宋体" w:hAnsi="宋体"/>
          <w:sz w:val="24"/>
        </w:rPr>
        <w:t>单位</w:t>
      </w:r>
      <w:r>
        <w:rPr>
          <w:rFonts w:hint="eastAsia" w:ascii="宋体" w:hAnsi="宋体"/>
          <w:sz w:val="24"/>
        </w:rPr>
        <w:t>提交通过审查的成果后，向中标</w:t>
      </w:r>
      <w:r>
        <w:rPr>
          <w:rFonts w:ascii="宋体" w:hAnsi="宋体"/>
          <w:sz w:val="24"/>
        </w:rPr>
        <w:t>单位</w:t>
      </w:r>
      <w:r>
        <w:rPr>
          <w:rFonts w:hint="eastAsia" w:ascii="宋体" w:hAnsi="宋体"/>
          <w:sz w:val="24"/>
        </w:rPr>
        <w:t>支付合同总费用的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w:t>
      </w:r>
      <w:r>
        <w:rPr>
          <w:rFonts w:ascii="宋体" w:hAnsi="宋体"/>
          <w:sz w:val="24"/>
        </w:rPr>
        <w:t>单位收到</w:t>
      </w:r>
      <w:r>
        <w:rPr>
          <w:rFonts w:hint="eastAsia" w:ascii="宋体" w:hAnsi="宋体"/>
          <w:sz w:val="24"/>
        </w:rPr>
        <w:t>中标</w:t>
      </w:r>
      <w:r>
        <w:rPr>
          <w:rFonts w:ascii="宋体" w:hAnsi="宋体"/>
          <w:sz w:val="24"/>
        </w:rPr>
        <w:t>单位</w:t>
      </w:r>
      <w:r>
        <w:rPr>
          <w:rFonts w:hint="eastAsia" w:ascii="宋体" w:hAnsi="宋体"/>
          <w:sz w:val="24"/>
        </w:rPr>
        <w:t>开具的载</w:t>
      </w:r>
      <w:r>
        <w:rPr>
          <w:rFonts w:ascii="宋体" w:hAnsi="宋体"/>
          <w:sz w:val="24"/>
        </w:rPr>
        <w:t>明相应金额的合格发票后15个工作日内</w:t>
      </w:r>
      <w:r>
        <w:rPr>
          <w:rFonts w:hint="eastAsia" w:ascii="宋体" w:hAnsi="宋体"/>
          <w:sz w:val="24"/>
        </w:rPr>
        <w:t>付至中标</w:t>
      </w:r>
      <w:r>
        <w:rPr>
          <w:rFonts w:ascii="宋体" w:hAnsi="宋体"/>
          <w:sz w:val="24"/>
        </w:rPr>
        <w:t>单位</w:t>
      </w:r>
      <w:r>
        <w:rPr>
          <w:rFonts w:hint="eastAsia" w:ascii="宋体" w:hAnsi="宋体"/>
          <w:sz w:val="24"/>
        </w:rPr>
        <w:t>指定银行账户</w:t>
      </w:r>
      <w:r>
        <w:rPr>
          <w:rFonts w:ascii="宋体" w:hAnsi="宋体"/>
          <w:sz w:val="24"/>
        </w:rPr>
        <w:t>。如未及时收到发票，则</w:t>
      </w:r>
      <w:r>
        <w:rPr>
          <w:rFonts w:hint="eastAsia" w:ascii="宋体" w:hAnsi="宋体"/>
          <w:sz w:val="24"/>
        </w:rPr>
        <w:t>采购</w:t>
      </w:r>
      <w:r>
        <w:rPr>
          <w:rFonts w:ascii="宋体" w:hAnsi="宋体"/>
          <w:sz w:val="24"/>
        </w:rPr>
        <w:t>单位相应付款时间顺延。</w:t>
      </w:r>
      <w:r>
        <w:rPr>
          <w:rFonts w:hint="eastAsia" w:ascii="宋体" w:hAnsi="宋体"/>
          <w:sz w:val="24"/>
        </w:rPr>
        <w:t>若因采购</w:t>
      </w:r>
      <w:r>
        <w:rPr>
          <w:rFonts w:ascii="宋体" w:hAnsi="宋体"/>
          <w:sz w:val="24"/>
        </w:rPr>
        <w:t>单位</w:t>
      </w:r>
      <w:r>
        <w:rPr>
          <w:rFonts w:hint="eastAsia" w:ascii="宋体" w:hAnsi="宋体"/>
          <w:sz w:val="24"/>
        </w:rPr>
        <w:t>付款审批影响支付进度，中标单位不得就此向索赔</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pStyle w:val="14"/>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6"/>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8"/>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8"/>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10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投标报价得分=(评标基准价／投标报价)×10</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pPr>
            <w:r>
              <w:rPr>
                <w:rFonts w:hint="eastAsia"/>
              </w:rPr>
              <w:t>2、投标报价得分四舍五入后，小数点后保留两位有效数。</w:t>
            </w:r>
          </w:p>
          <w:p>
            <w:pPr>
              <w:rPr>
                <w:lang w:eastAsia="zh-Hans"/>
              </w:rPr>
            </w:pPr>
            <w:r>
              <w:rPr>
                <w:b/>
                <w:bCs/>
                <w:szCs w:val="21"/>
              </w:rPr>
              <w:t>3、</w:t>
            </w:r>
            <w:r>
              <w:rPr>
                <w:rFonts w:hint="eastAsia"/>
                <w:b/>
                <w:bCs/>
                <w:szCs w:val="21"/>
                <w:lang w:eastAsia="zh-Hans"/>
              </w:rPr>
              <w:t>本项目所属行业</w:t>
            </w:r>
            <w:r>
              <w:rPr>
                <w:b/>
                <w:bCs/>
                <w:szCs w:val="21"/>
                <w:lang w:eastAsia="zh-Hans"/>
              </w:rPr>
              <w:t>：</w:t>
            </w:r>
            <w:r>
              <w:rPr>
                <w:rFonts w:hint="eastAsia" w:ascii="宋体" w:hAnsi="宋体" w:cs="宋体"/>
                <w:b/>
                <w:bCs/>
                <w:spacing w:val="-2"/>
                <w:szCs w:val="21"/>
                <w:u w:val="single"/>
              </w:rPr>
              <w:t>其他未列明行业</w:t>
            </w:r>
            <w:r>
              <w:rPr>
                <w:rFonts w:ascii="宋体" w:hAnsi="宋体" w:cs="宋体"/>
                <w:b/>
                <w:bCs/>
                <w:spacing w:val="-2"/>
                <w:szCs w:val="21"/>
                <w:u w:val="singl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ascii="宋体" w:hAnsi="宋体" w:cs="宋体"/>
                <w:b/>
                <w:bCs/>
                <w:kern w:val="0"/>
                <w:sz w:val="22"/>
                <w:szCs w:val="22"/>
                <w:lang w:bidi="ar"/>
              </w:rPr>
              <w:t>50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836" w:type="dxa"/>
            <w:tcBorders>
              <w:top w:val="single" w:color="000000" w:sz="4" w:space="0"/>
              <w:left w:val="single" w:color="000000" w:sz="4" w:space="0"/>
              <w:right w:val="single" w:color="000000" w:sz="4" w:space="0"/>
            </w:tcBorders>
            <w:vAlign w:val="center"/>
          </w:tcPr>
          <w:p>
            <w:pPr>
              <w:pStyle w:val="31"/>
              <w:widowControl/>
              <w:ind w:firstLine="0" w:firstLineChars="0"/>
              <w:jc w:val="left"/>
              <w:rPr>
                <w:rFonts w:ascii="宋体" w:hAnsi="宋体" w:cs="宋体"/>
                <w:b/>
                <w:szCs w:val="21"/>
                <w:lang w:val="zh-CN"/>
              </w:rPr>
            </w:pPr>
            <w:r>
              <w:rPr>
                <w:rFonts w:hint="eastAsia" w:ascii="宋体" w:hAnsi="宋体" w:cs="宋体"/>
                <w:b/>
                <w:szCs w:val="21"/>
                <w:lang w:val="zh-CN"/>
              </w:rPr>
              <w:t>评审标准：</w:t>
            </w:r>
          </w:p>
          <w:p>
            <w:pPr>
              <w:rPr>
                <w:szCs w:val="21"/>
              </w:rPr>
            </w:pPr>
            <w:r>
              <w:rPr>
                <w:rFonts w:hint="eastAsia"/>
                <w:szCs w:val="21"/>
              </w:rPr>
              <w:t>1</w:t>
            </w:r>
            <w:r>
              <w:rPr>
                <w:szCs w:val="21"/>
              </w:rPr>
              <w:t>.</w:t>
            </w:r>
            <w:r>
              <w:rPr>
                <w:rFonts w:hint="eastAsia"/>
                <w:szCs w:val="21"/>
              </w:rPr>
              <w:t>每提供一项两年内同类</w:t>
            </w:r>
            <w:r>
              <w:rPr>
                <w:rFonts w:hint="eastAsia"/>
                <w:szCs w:val="21"/>
                <w:lang w:eastAsia="zh-Hans"/>
              </w:rPr>
              <w:t>统计服务</w:t>
            </w:r>
            <w:r>
              <w:rPr>
                <w:rFonts w:hint="eastAsia"/>
                <w:szCs w:val="21"/>
              </w:rPr>
              <w:t>项目业绩，得</w:t>
            </w:r>
            <w:r>
              <w:rPr>
                <w:szCs w:val="21"/>
              </w:rPr>
              <w:t>2</w:t>
            </w:r>
            <w:r>
              <w:rPr>
                <w:rFonts w:hint="eastAsia"/>
                <w:szCs w:val="21"/>
              </w:rPr>
              <w:t>分。</w:t>
            </w:r>
          </w:p>
          <w:p>
            <w:pPr>
              <w:rPr>
                <w:szCs w:val="21"/>
              </w:rPr>
            </w:pPr>
            <w:r>
              <w:rPr>
                <w:rFonts w:hint="eastAsia"/>
                <w:szCs w:val="21"/>
              </w:rPr>
              <w:t>2</w:t>
            </w:r>
            <w:r>
              <w:rPr>
                <w:szCs w:val="21"/>
              </w:rPr>
              <w:t>.</w:t>
            </w:r>
            <w:r>
              <w:rPr>
                <w:rFonts w:hint="eastAsia"/>
                <w:szCs w:val="21"/>
              </w:rPr>
              <w:t>本项累计最高得</w:t>
            </w:r>
            <w:r>
              <w:rPr>
                <w:szCs w:val="21"/>
              </w:rPr>
              <w:t>10</w:t>
            </w:r>
            <w:r>
              <w:rPr>
                <w:rFonts w:hint="eastAsia"/>
                <w:szCs w:val="21"/>
              </w:rPr>
              <w:t>分，不提供或者不能有效证明的，得0分。</w:t>
            </w:r>
          </w:p>
          <w:p>
            <w:pPr>
              <w:pStyle w:val="31"/>
              <w:widowControl/>
              <w:ind w:firstLine="0" w:firstLineChars="0"/>
              <w:jc w:val="left"/>
              <w:rPr>
                <w:rFonts w:ascii="宋体" w:hAnsi="宋体" w:cs="宋体"/>
                <w:b/>
                <w:szCs w:val="21"/>
                <w:lang w:val="zh-CN"/>
              </w:rPr>
            </w:pPr>
            <w:r>
              <w:rPr>
                <w:rFonts w:hint="eastAsia" w:ascii="宋体" w:hAnsi="宋体" w:cs="宋体"/>
                <w:b/>
                <w:szCs w:val="21"/>
                <w:lang w:val="zh-CN"/>
              </w:rPr>
              <w:t>证明文件：</w:t>
            </w:r>
          </w:p>
          <w:p>
            <w:pPr>
              <w:adjustRightInd w:val="0"/>
              <w:snapToGrid w:val="0"/>
              <w:spacing w:line="360" w:lineRule="exact"/>
              <w:rPr>
                <w:rFonts w:ascii="宋体" w:hAnsi="宋体" w:cs="仿宋"/>
                <w:szCs w:val="21"/>
              </w:rPr>
            </w:pPr>
            <w:r>
              <w:rPr>
                <w:rFonts w:hint="eastAsia" w:ascii="宋体" w:hAnsi="宋体" w:cs="仿宋"/>
                <w:szCs w:val="21"/>
              </w:rPr>
              <w:t>1.提供合同关键页</w:t>
            </w:r>
            <w:r>
              <w:rPr>
                <w:rFonts w:ascii="宋体" w:hAnsi="宋体" w:cs="仿宋"/>
                <w:szCs w:val="21"/>
              </w:rPr>
              <w:t>（关键信息包括但不仅限于合同的项目名称、服务内容、合同服务期限、合同签订日期</w:t>
            </w:r>
            <w:r>
              <w:rPr>
                <w:rFonts w:hint="eastAsia" w:ascii="宋体" w:hAnsi="宋体" w:cs="仿宋"/>
                <w:szCs w:val="21"/>
              </w:rPr>
              <w:t>、</w:t>
            </w:r>
            <w:r>
              <w:rPr>
                <w:rFonts w:ascii="宋体" w:hAnsi="宋体" w:cs="仿宋"/>
                <w:szCs w:val="21"/>
              </w:rPr>
              <w:t>甲乙双方签字盖章页）</w:t>
            </w:r>
            <w:r>
              <w:rPr>
                <w:rFonts w:hint="eastAsia" w:ascii="宋体" w:hAnsi="宋体" w:cs="仿宋"/>
                <w:szCs w:val="21"/>
              </w:rPr>
              <w:t>且提供的材料各项信息不得有任何遮挡；</w:t>
            </w:r>
          </w:p>
          <w:p>
            <w:pPr>
              <w:adjustRightInd w:val="0"/>
              <w:snapToGrid w:val="0"/>
              <w:spacing w:line="360" w:lineRule="exact"/>
              <w:rPr>
                <w:rFonts w:ascii="宋体" w:hAnsi="宋体" w:cs="仿宋"/>
                <w:szCs w:val="21"/>
              </w:rPr>
            </w:pPr>
            <w:r>
              <w:rPr>
                <w:rFonts w:hint="eastAsia" w:ascii="宋体" w:hAnsi="宋体" w:cs="仿宋"/>
                <w:szCs w:val="21"/>
              </w:rPr>
              <w:t>2.通过合同关键信息无法判断是否得分的，也可以提供能证明得分的其它证明资料，如项目报告或合同甲方出具的证明文件；</w:t>
            </w:r>
          </w:p>
          <w:p>
            <w:pPr>
              <w:adjustRightInd w:val="0"/>
              <w:snapToGrid w:val="0"/>
              <w:spacing w:line="360" w:lineRule="exact"/>
              <w:rPr>
                <w:rFonts w:ascii="宋体" w:hAnsi="宋体"/>
                <w:szCs w:val="21"/>
              </w:rPr>
            </w:pPr>
            <w:r>
              <w:rPr>
                <w:rFonts w:hint="eastAsia" w:ascii="宋体" w:hAnsi="宋体"/>
                <w:szCs w:val="21"/>
              </w:rPr>
              <w:t>3.</w:t>
            </w:r>
            <w:r>
              <w:rPr>
                <w:rFonts w:hint="eastAsia" w:ascii="宋体" w:hAnsi="宋体" w:cs="仿宋"/>
                <w:szCs w:val="21"/>
              </w:rPr>
              <w:t xml:space="preserve"> 提供加盖采购单位公章或业务章的</w:t>
            </w:r>
            <w:r>
              <w:rPr>
                <w:rFonts w:hint="eastAsia" w:ascii="宋体" w:hAnsi="宋体" w:cs="宋体"/>
                <w:szCs w:val="21"/>
              </w:rPr>
              <w:t>履约评价证明材料；</w:t>
            </w:r>
          </w:p>
          <w:p>
            <w:pPr>
              <w:textAlignment w:val="center"/>
            </w:pPr>
            <w:r>
              <w:rPr>
                <w:rFonts w:hint="eastAsia" w:ascii="宋体" w:hAnsi="宋体"/>
                <w:szCs w:val="21"/>
              </w:rPr>
              <w:t>4.</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仿宋"/>
                <w:szCs w:val="21"/>
              </w:rPr>
              <w:t>投标人自主知识产权产品(创新、设计)情况</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评审标准: </w:t>
            </w:r>
          </w:p>
          <w:p>
            <w:pPr>
              <w:tabs>
                <w:tab w:val="left" w:pos="175"/>
              </w:tabs>
              <w:spacing w:line="360" w:lineRule="exact"/>
              <w:ind w:left="33"/>
              <w:jc w:val="left"/>
              <w:rPr>
                <w:rFonts w:ascii="宋体" w:hAnsi="宋体"/>
                <w:szCs w:val="21"/>
              </w:rPr>
            </w:pPr>
            <w:r>
              <w:rPr>
                <w:rFonts w:hint="eastAsia" w:ascii="宋体" w:hAnsi="宋体"/>
                <w:szCs w:val="21"/>
              </w:rPr>
              <w:t xml:space="preserve">投标人获得中华人民共和国国家版权局颁发的 《软件著作权登记证书》中，具有统计业务专业相关的，且证书需含有“工业”、“服务业”、“固定资产投资”的字样，每提供 1 个得 </w:t>
            </w:r>
            <w:r>
              <w:rPr>
                <w:rFonts w:ascii="宋体" w:hAnsi="宋体"/>
                <w:szCs w:val="21"/>
              </w:rPr>
              <w:t>3</w:t>
            </w:r>
            <w:r>
              <w:rPr>
                <w:rFonts w:hint="eastAsia" w:ascii="宋体" w:hAnsi="宋体"/>
                <w:szCs w:val="21"/>
              </w:rPr>
              <w:t>分，其他不得分，且同一类别不可重复得分，最高得</w:t>
            </w:r>
            <w:r>
              <w:rPr>
                <w:rFonts w:ascii="宋体" w:hAnsi="宋体"/>
                <w:szCs w:val="21"/>
              </w:rPr>
              <w:t>9</w:t>
            </w:r>
            <w:r>
              <w:rPr>
                <w:rFonts w:hint="eastAsia" w:ascii="宋体" w:hAnsi="宋体"/>
                <w:szCs w:val="21"/>
              </w:rPr>
              <w:t>分。</w:t>
            </w:r>
          </w:p>
          <w:p/>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证明文件: </w:t>
            </w:r>
          </w:p>
          <w:p>
            <w:pPr>
              <w:widowControl/>
              <w:spacing w:line="36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提供相关证明材料，如行业主管部门出具的文件证明材料、公示公告等，以及证明投标人为获奖项目参与者的评价证明材料。</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未按照要求提供或提供不清晰导致</w:t>
            </w:r>
            <w:r>
              <w:rPr>
                <w:rFonts w:hint="eastAsia" w:ascii="宋体" w:hAnsi="宋体"/>
                <w:szCs w:val="21"/>
              </w:rPr>
              <w:t>评委</w:t>
            </w:r>
            <w:r>
              <w:rPr>
                <w:rFonts w:hint="eastAsia" w:ascii="宋体" w:hAnsi="宋体" w:cs="宋体"/>
                <w:color w:val="000000"/>
                <w:kern w:val="0"/>
                <w:szCs w:val="21"/>
                <w:lang w:bidi="ar"/>
              </w:rPr>
              <w:t>无法判断的不得分。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9</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获奖情况</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评审标准: </w:t>
            </w:r>
          </w:p>
          <w:p>
            <w:pPr>
              <w:tabs>
                <w:tab w:val="left" w:pos="175"/>
              </w:tabs>
              <w:spacing w:line="360" w:lineRule="exact"/>
              <w:ind w:left="33"/>
              <w:jc w:val="left"/>
              <w:rPr>
                <w:rFonts w:ascii="宋体" w:hAnsi="宋体" w:cs="宋体"/>
                <w:bCs/>
                <w:kern w:val="0"/>
                <w:szCs w:val="21"/>
              </w:rPr>
            </w:pPr>
            <w:r>
              <w:rPr>
                <w:rFonts w:hint="eastAsia" w:ascii="宋体" w:hAnsi="宋体" w:cs="宋体"/>
                <w:bCs/>
                <w:kern w:val="0"/>
                <w:szCs w:val="21"/>
              </w:rPr>
              <w:t>投标人</w:t>
            </w:r>
            <w:r>
              <w:rPr>
                <w:rFonts w:hint="eastAsia" w:ascii="宋体" w:hAnsi="宋体" w:cs="宋体"/>
                <w:bCs/>
                <w:kern w:val="0"/>
                <w:szCs w:val="21"/>
                <w:lang w:eastAsia="zh-Hans"/>
              </w:rPr>
              <w:t>或其员工</w:t>
            </w:r>
            <w:r>
              <w:rPr>
                <w:rFonts w:hint="eastAsia" w:ascii="宋体" w:hAnsi="宋体" w:cs="宋体"/>
                <w:bCs/>
                <w:kern w:val="0"/>
                <w:szCs w:val="21"/>
              </w:rPr>
              <w:t>获得</w:t>
            </w:r>
            <w:r>
              <w:rPr>
                <w:rFonts w:ascii="宋体" w:hAnsi="宋体"/>
                <w:kern w:val="0"/>
                <w:szCs w:val="21"/>
              </w:rPr>
              <w:t>统计类相关荣誉</w:t>
            </w:r>
            <w:r>
              <w:rPr>
                <w:rFonts w:hint="eastAsia" w:ascii="宋体" w:hAnsi="宋体"/>
                <w:kern w:val="0"/>
                <w:szCs w:val="21"/>
              </w:rPr>
              <w:t>的</w:t>
            </w:r>
            <w:r>
              <w:rPr>
                <w:rFonts w:hint="eastAsia" w:ascii="宋体" w:hAnsi="宋体" w:cs="宋体"/>
                <w:bCs/>
                <w:kern w:val="0"/>
                <w:szCs w:val="21"/>
              </w:rPr>
              <w:t>：</w:t>
            </w:r>
          </w:p>
          <w:p>
            <w:pPr>
              <w:tabs>
                <w:tab w:val="left" w:pos="175"/>
              </w:tabs>
              <w:spacing w:line="360" w:lineRule="exact"/>
              <w:ind w:left="33"/>
              <w:jc w:val="left"/>
              <w:rPr>
                <w:rFonts w:ascii="宋体" w:hAnsi="宋体" w:cs="宋体"/>
                <w:bCs/>
                <w:kern w:val="0"/>
                <w:szCs w:val="21"/>
              </w:rPr>
            </w:pPr>
            <w:r>
              <w:rPr>
                <w:rFonts w:hint="eastAsia" w:ascii="宋体" w:hAnsi="宋体" w:cs="宋体"/>
                <w:bCs/>
                <w:kern w:val="0"/>
                <w:szCs w:val="21"/>
              </w:rPr>
              <w:t xml:space="preserve">1、获得区县级荣誉的，每提供1个得1分，最高得1分； </w:t>
            </w:r>
          </w:p>
          <w:p>
            <w:pPr>
              <w:tabs>
                <w:tab w:val="left" w:pos="175"/>
              </w:tabs>
              <w:spacing w:line="360" w:lineRule="exact"/>
              <w:ind w:left="33"/>
              <w:jc w:val="left"/>
              <w:rPr>
                <w:rFonts w:ascii="宋体" w:hAnsi="宋体" w:cs="宋体"/>
                <w:bCs/>
                <w:kern w:val="0"/>
                <w:szCs w:val="21"/>
              </w:rPr>
            </w:pPr>
            <w:r>
              <w:rPr>
                <w:rFonts w:hint="eastAsia" w:ascii="宋体" w:hAnsi="宋体" w:cs="宋体"/>
                <w:bCs/>
                <w:kern w:val="0"/>
                <w:szCs w:val="21"/>
              </w:rPr>
              <w:t xml:space="preserve">2、获得地市级荣誉的，每提供1个得2分，最高得4分； </w:t>
            </w:r>
          </w:p>
          <w:p>
            <w:pPr>
              <w:tabs>
                <w:tab w:val="left" w:pos="175"/>
              </w:tabs>
              <w:spacing w:line="360" w:lineRule="exact"/>
              <w:ind w:left="33"/>
              <w:jc w:val="left"/>
              <w:rPr>
                <w:rFonts w:ascii="宋体" w:hAnsi="宋体" w:cs="宋体"/>
                <w:bCs/>
                <w:kern w:val="0"/>
                <w:szCs w:val="21"/>
              </w:rPr>
            </w:pPr>
            <w:r>
              <w:rPr>
                <w:rFonts w:hint="eastAsia" w:ascii="宋体" w:hAnsi="宋体" w:cs="宋体"/>
                <w:bCs/>
                <w:kern w:val="0"/>
                <w:szCs w:val="21"/>
              </w:rPr>
              <w:t>3、获得省级或以上荣誉的，每提供1个得5分。</w:t>
            </w:r>
          </w:p>
          <w:p>
            <w:pPr>
              <w:widowControl/>
              <w:spacing w:line="360" w:lineRule="exact"/>
              <w:textAlignment w:val="center"/>
              <w:rPr>
                <w:rFonts w:ascii="宋体" w:hAnsi="宋体" w:cs="宋体"/>
                <w:bCs/>
                <w:kern w:val="0"/>
                <w:szCs w:val="21"/>
              </w:rPr>
            </w:pPr>
            <w:r>
              <w:rPr>
                <w:rFonts w:hint="eastAsia" w:ascii="宋体" w:hAnsi="宋体" w:cs="宋体"/>
                <w:bCs/>
                <w:kern w:val="0"/>
                <w:szCs w:val="21"/>
              </w:rPr>
              <w:t>以上三项累加计分，最高得10分。</w:t>
            </w:r>
          </w:p>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 xml:space="preserve">证明文件: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1.要求提供奖项照片或获奖（荣誉）证书作为得分依据；</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2.以上资料均要求提供复印件或扫描件（或官方网站截图）加盖投标人公章，原件备查。评分中出现无证明资料或</w:t>
            </w:r>
            <w:r>
              <w:rPr>
                <w:rFonts w:hint="eastAsia" w:ascii="宋体" w:hAnsi="宋体"/>
                <w:szCs w:val="21"/>
              </w:rPr>
              <w:t>评委</w:t>
            </w:r>
            <w:r>
              <w:rPr>
                <w:rFonts w:hint="eastAsia" w:ascii="宋体" w:hAnsi="宋体" w:cs="宋体"/>
                <w:color w:val="000000"/>
                <w:kern w:val="0"/>
                <w:szCs w:val="21"/>
                <w:lang w:bidi="ar"/>
              </w:rPr>
              <w:t>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0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4</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项目团队成员（包括项目负责人）</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评审标准：</w:t>
            </w:r>
          </w:p>
          <w:p>
            <w:pPr>
              <w:widowControl/>
              <w:spacing w:line="36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拟投入本项目</w:t>
            </w:r>
            <w:r>
              <w:rPr>
                <w:rFonts w:ascii="宋体" w:hAnsi="宋体" w:cs="宋体"/>
                <w:color w:val="000000"/>
                <w:kern w:val="0"/>
                <w:szCs w:val="21"/>
                <w:lang w:bidi="ar"/>
              </w:rPr>
              <w:t>团队</w:t>
            </w:r>
            <w:r>
              <w:rPr>
                <w:rFonts w:hint="eastAsia" w:ascii="宋体" w:hAnsi="宋体" w:cs="宋体"/>
                <w:color w:val="000000"/>
                <w:kern w:val="0"/>
                <w:szCs w:val="21"/>
                <w:lang w:bidi="ar"/>
              </w:rPr>
              <w:t>须为投标人自有员工</w:t>
            </w:r>
            <w:r>
              <w:rPr>
                <w:rFonts w:ascii="宋体" w:hAnsi="宋体" w:cs="宋体"/>
                <w:color w:val="000000"/>
                <w:kern w:val="0"/>
                <w:szCs w:val="21"/>
                <w:lang w:bidi="ar"/>
              </w:rPr>
              <w:t>，如</w:t>
            </w:r>
            <w:r>
              <w:rPr>
                <w:rFonts w:hint="eastAsia" w:ascii="宋体" w:hAnsi="宋体" w:cs="宋体"/>
                <w:color w:val="000000"/>
                <w:kern w:val="0"/>
                <w:szCs w:val="21"/>
                <w:lang w:bidi="ar"/>
              </w:rPr>
              <w:t>不满足</w:t>
            </w:r>
            <w:r>
              <w:rPr>
                <w:rFonts w:ascii="宋体" w:hAnsi="宋体" w:cs="宋体"/>
                <w:color w:val="000000"/>
                <w:kern w:val="0"/>
                <w:szCs w:val="21"/>
                <w:lang w:bidi="ar"/>
              </w:rPr>
              <w:t>此项</w:t>
            </w:r>
            <w:r>
              <w:rPr>
                <w:rFonts w:hint="eastAsia" w:ascii="宋体" w:hAnsi="宋体" w:cs="宋体"/>
                <w:color w:val="000000"/>
                <w:kern w:val="0"/>
                <w:szCs w:val="21"/>
                <w:lang w:bidi="ar"/>
              </w:rPr>
              <w:t>不得分。</w:t>
            </w:r>
          </w:p>
          <w:p>
            <w:pPr>
              <w:pStyle w:val="6"/>
              <w:jc w:val="left"/>
              <w:rPr>
                <w:rFonts w:ascii="宋体" w:hAnsi="宋体" w:cs="宋体"/>
                <w:color w:val="000000"/>
                <w:kern w:val="0"/>
                <w:szCs w:val="21"/>
                <w:lang w:bidi="ar"/>
              </w:rPr>
            </w:pPr>
            <w:r>
              <w:rPr>
                <w:rFonts w:hint="eastAsia" w:ascii="宋体" w:hAnsi="宋体" w:cs="宋体"/>
                <w:color w:val="000000"/>
                <w:kern w:val="0"/>
                <w:szCs w:val="21"/>
                <w:lang w:bidi="ar"/>
              </w:rPr>
              <w:t>职称情况：具有中级职称，每提供一人得</w:t>
            </w:r>
            <w:r>
              <w:rPr>
                <w:rFonts w:ascii="宋体" w:hAnsi="宋体" w:cs="宋体"/>
                <w:color w:val="000000"/>
                <w:kern w:val="0"/>
                <w:szCs w:val="21"/>
                <w:lang w:bidi="ar"/>
              </w:rPr>
              <w:t>1</w:t>
            </w:r>
            <w:r>
              <w:rPr>
                <w:rFonts w:hint="eastAsia" w:ascii="宋体" w:hAnsi="宋体" w:cs="宋体"/>
                <w:color w:val="000000"/>
                <w:kern w:val="0"/>
                <w:szCs w:val="21"/>
                <w:lang w:bidi="ar"/>
              </w:rPr>
              <w:t>分</w:t>
            </w:r>
            <w:r>
              <w:rPr>
                <w:rFonts w:hint="eastAsia" w:ascii="宋体" w:hAnsi="宋体" w:cs="宋体"/>
                <w:color w:val="000000"/>
                <w:kern w:val="0"/>
                <w:szCs w:val="21"/>
                <w:lang w:eastAsia="zh-Hans" w:bidi="ar"/>
              </w:rPr>
              <w:t>；具有副高级职称，每提供一人得</w:t>
            </w:r>
            <w:r>
              <w:rPr>
                <w:rFonts w:hint="eastAsia" w:ascii="宋体" w:hAnsi="宋体" w:cs="宋体"/>
                <w:color w:val="000000"/>
                <w:kern w:val="0"/>
                <w:szCs w:val="21"/>
                <w:lang w:bidi="ar"/>
              </w:rPr>
              <w:t>2分；具有</w:t>
            </w:r>
            <w:r>
              <w:rPr>
                <w:rFonts w:hint="eastAsia" w:ascii="宋体" w:hAnsi="宋体" w:cs="宋体"/>
                <w:color w:val="000000"/>
                <w:kern w:val="0"/>
                <w:szCs w:val="21"/>
                <w:lang w:eastAsia="zh-Hans" w:bidi="ar"/>
              </w:rPr>
              <w:t>高级职称，每提供一人得</w:t>
            </w:r>
            <w:r>
              <w:rPr>
                <w:rFonts w:ascii="宋体" w:hAnsi="宋体" w:cs="宋体"/>
                <w:color w:val="000000"/>
                <w:kern w:val="0"/>
                <w:szCs w:val="21"/>
                <w:lang w:eastAsia="zh-Hans" w:bidi="ar"/>
              </w:rPr>
              <w:t>3</w:t>
            </w:r>
            <w:r>
              <w:rPr>
                <w:rFonts w:hint="eastAsia" w:ascii="宋体" w:hAnsi="宋体" w:cs="宋体"/>
                <w:color w:val="000000"/>
                <w:kern w:val="0"/>
                <w:szCs w:val="21"/>
                <w:lang w:eastAsia="zh-Hans" w:bidi="ar"/>
              </w:rPr>
              <w:t>分，</w:t>
            </w:r>
            <w:r>
              <w:rPr>
                <w:rFonts w:hint="eastAsia" w:ascii="宋体" w:hAnsi="宋体" w:cs="宋体"/>
                <w:color w:val="000000"/>
                <w:kern w:val="0"/>
                <w:szCs w:val="21"/>
                <w:lang w:bidi="ar"/>
              </w:rPr>
              <w:t>此项最高</w:t>
            </w:r>
            <w:r>
              <w:rPr>
                <w:rFonts w:ascii="宋体" w:hAnsi="宋体" w:cs="宋体"/>
                <w:color w:val="000000"/>
                <w:kern w:val="0"/>
                <w:szCs w:val="21"/>
                <w:lang w:bidi="ar"/>
              </w:rPr>
              <w:t>11</w:t>
            </w:r>
            <w:r>
              <w:rPr>
                <w:rFonts w:hint="eastAsia" w:ascii="宋体" w:hAnsi="宋体" w:cs="宋体"/>
                <w:color w:val="000000"/>
                <w:kern w:val="0"/>
                <w:szCs w:val="21"/>
                <w:lang w:bidi="ar"/>
              </w:rPr>
              <w:t>分。</w:t>
            </w:r>
          </w:p>
          <w:p>
            <w:pPr>
              <w:rPr>
                <w:rFonts w:ascii="宋体" w:hAnsi="宋体" w:cs="宋体"/>
                <w:color w:val="000000"/>
                <w:kern w:val="0"/>
                <w:szCs w:val="21"/>
                <w:lang w:bidi="ar"/>
              </w:rPr>
            </w:pPr>
            <w:r>
              <w:rPr>
                <w:rFonts w:hint="eastAsia" w:ascii="宋体" w:hAnsi="宋体" w:cs="宋体"/>
                <w:color w:val="000000"/>
                <w:kern w:val="0"/>
                <w:szCs w:val="21"/>
                <w:lang w:bidi="ar"/>
              </w:rPr>
              <w:t>②获得区县级政府部门颁发的统计相关荣誉，每提供1个得0.5分，最高得1分；获得地市级（含副省级）政府部门颁发的统计相关荣誉，每提供1个得1分，最高得3分；获得省级及以上政府部门颁发的统计相关荣誉，每提供1个得2分，最高得</w:t>
            </w:r>
            <w:r>
              <w:rPr>
                <w:rFonts w:ascii="宋体" w:hAnsi="宋体" w:cs="宋体"/>
                <w:color w:val="000000"/>
                <w:kern w:val="0"/>
                <w:szCs w:val="21"/>
                <w:lang w:bidi="ar"/>
              </w:rPr>
              <w:t>6</w:t>
            </w:r>
            <w:r>
              <w:rPr>
                <w:rFonts w:hint="eastAsia" w:ascii="宋体" w:hAnsi="宋体" w:cs="宋体"/>
                <w:color w:val="000000"/>
                <w:kern w:val="0"/>
                <w:szCs w:val="21"/>
                <w:lang w:bidi="ar"/>
              </w:rPr>
              <w:t>分；本项最高得</w:t>
            </w:r>
            <w:r>
              <w:rPr>
                <w:rFonts w:ascii="宋体" w:hAnsi="宋体" w:cs="宋体"/>
                <w:color w:val="000000"/>
                <w:kern w:val="0"/>
                <w:szCs w:val="21"/>
                <w:lang w:bidi="ar"/>
              </w:rPr>
              <w:t>10</w:t>
            </w:r>
            <w:r>
              <w:rPr>
                <w:rFonts w:hint="eastAsia" w:ascii="宋体" w:hAnsi="宋体" w:cs="宋体"/>
                <w:color w:val="000000"/>
                <w:kern w:val="0"/>
                <w:szCs w:val="21"/>
                <w:lang w:bidi="ar"/>
              </w:rPr>
              <w:t>分。</w:t>
            </w:r>
          </w:p>
          <w:p/>
          <w:p>
            <w:pPr>
              <w:pStyle w:val="6"/>
              <w:rPr>
                <w:rFonts w:ascii="宋体" w:hAnsi="宋体" w:cs="宋体"/>
                <w:b/>
                <w:bCs/>
                <w:color w:val="000000"/>
                <w:kern w:val="0"/>
                <w:szCs w:val="21"/>
                <w:lang w:bidi="ar"/>
              </w:rPr>
            </w:pPr>
            <w:r>
              <w:rPr>
                <w:rFonts w:hint="eastAsia" w:ascii="宋体" w:hAnsi="宋体" w:cs="宋体"/>
                <w:b/>
                <w:bCs/>
                <w:color w:val="000000"/>
                <w:kern w:val="0"/>
                <w:szCs w:val="21"/>
                <w:lang w:bidi="ar"/>
              </w:rPr>
              <w:t>证明文件:</w:t>
            </w:r>
          </w:p>
          <w:p>
            <w:pPr>
              <w:snapToGrid w:val="0"/>
              <w:spacing w:line="300" w:lineRule="auto"/>
              <w:rPr>
                <w:rFonts w:ascii="宋体" w:hAnsi="宋体" w:cs="宋体"/>
                <w:bCs/>
                <w:szCs w:val="21"/>
              </w:rPr>
            </w:pPr>
            <w:r>
              <w:rPr>
                <w:rFonts w:hint="eastAsia" w:ascii="宋体" w:hAnsi="宋体"/>
                <w:szCs w:val="21"/>
              </w:rPr>
              <w:t>1、投标文件提供项目团队成员近三个月社保证明复印件（2023年</w:t>
            </w:r>
            <w:r>
              <w:rPr>
                <w:rFonts w:ascii="宋体" w:hAnsi="宋体"/>
                <w:szCs w:val="21"/>
              </w:rPr>
              <w:t>2</w:t>
            </w:r>
            <w:r>
              <w:rPr>
                <w:rFonts w:hint="eastAsia" w:ascii="宋体" w:hAnsi="宋体"/>
                <w:szCs w:val="21"/>
              </w:rPr>
              <w:t>月-2023年</w:t>
            </w:r>
            <w:r>
              <w:rPr>
                <w:rFonts w:ascii="宋体" w:hAnsi="宋体"/>
                <w:szCs w:val="21"/>
              </w:rPr>
              <w:t>4</w:t>
            </w:r>
            <w:r>
              <w:rPr>
                <w:rFonts w:hint="eastAsia" w:ascii="宋体" w:hAnsi="宋体"/>
                <w:szCs w:val="21"/>
              </w:rPr>
              <w:t>月，必须是投标人为其缴纳的社保），不提供不得分。如开标日上一个月的社保材料因社保部门原因暂时无法取得，则可以往前顺延一个月。原件备查。</w:t>
            </w:r>
            <w:r>
              <w:rPr>
                <w:rFonts w:hint="eastAsia" w:ascii="宋体" w:hAnsi="宋体" w:cs="宋体"/>
                <w:bCs/>
                <w:szCs w:val="21"/>
              </w:rPr>
              <w:t>成立不足三个月的，提供自投标人成立以来为该员工缴纳的社保证明或情况说明。</w:t>
            </w:r>
          </w:p>
          <w:p>
            <w:pPr>
              <w:snapToGrid w:val="0"/>
              <w:spacing w:line="300" w:lineRule="auto"/>
              <w:rPr>
                <w:rFonts w:ascii="宋体" w:hAnsi="宋体" w:cs="宋体"/>
                <w:bCs/>
                <w:szCs w:val="21"/>
              </w:rPr>
            </w:pPr>
            <w:r>
              <w:rPr>
                <w:rFonts w:hint="eastAsia" w:ascii="宋体" w:hAnsi="宋体" w:cs="宋体"/>
                <w:bCs/>
                <w:szCs w:val="21"/>
              </w:rPr>
              <w:t>2、涉及职称的，要求投标文件提供职称证书复印件，如职称证书颁发机构为非人力资源和社会保障厅（局）的：还需提供证书官网或权威机构（如“中国社会组织公共服务平台”“中国国家认证认可监督管理委员会”等）等合法查询渠道的查询记录（原件备查），相关证书在公开渠道无法查询的，需提供具备职称颁发权限的部门或者人力资源和社会保障厅（局）的相关证明，证明证书真实有效且为合法机构颁发，原件备查。</w:t>
            </w:r>
          </w:p>
          <w:p>
            <w:pPr>
              <w:textAlignment w:val="center"/>
              <w:rPr>
                <w:rFonts w:ascii="宋体" w:hAnsi="宋体" w:cs="宋体"/>
                <w:color w:val="000000"/>
                <w:kern w:val="0"/>
                <w:szCs w:val="21"/>
                <w:lang w:bidi="ar"/>
              </w:rPr>
            </w:pPr>
            <w:r>
              <w:rPr>
                <w:rFonts w:hint="eastAsia" w:ascii="宋体" w:hAnsi="宋体" w:cs="宋体"/>
                <w:bCs/>
                <w:szCs w:val="21"/>
              </w:rPr>
              <w:t>3、涉及奖励的，要求要求提供奖项照片或获奖（荣誉）证书作为得分依据。</w:t>
            </w:r>
          </w:p>
          <w:p>
            <w:pPr>
              <w:textAlignment w:val="center"/>
              <w:rPr>
                <w:rFonts w:ascii="宋体" w:hAnsi="宋体" w:cs="宋体"/>
                <w:sz w:val="22"/>
                <w:szCs w:val="22"/>
              </w:rPr>
            </w:pPr>
            <w:r>
              <w:rPr>
                <w:rFonts w:hint="eastAsia" w:ascii="宋体" w:hAnsi="宋体" w:cs="宋体"/>
                <w:color w:val="000000"/>
                <w:kern w:val="0"/>
                <w:szCs w:val="21"/>
                <w:lang w:bidi="ar"/>
              </w:rPr>
              <w:t>4、涉及业绩的，须提供能证明团队成员为业绩参与者得合同关键页（合同签订时间、签署方或委托方、内容页、签章页）等证明材料扫描件并加盖投标人公章（原件备查）。</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21</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35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对项目的整体理解</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考察对项目需求、研究目的、研究内容是否有完整的理解，进行横向综合比较。包含但不限于以下内容：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1.对背景的理解；</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2.对项目需求及目的解读；</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3.对研究内容整体解读。</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12</w:t>
            </w:r>
            <w:r>
              <w:rPr>
                <w:rFonts w:hint="eastAsia" w:ascii="宋体" w:hAnsi="宋体" w:cs="宋体"/>
                <w:szCs w:val="21"/>
              </w:rPr>
              <w:t>分，满足任意两项内容得</w:t>
            </w:r>
            <w:r>
              <w:rPr>
                <w:rFonts w:ascii="宋体" w:hAnsi="宋体" w:cs="宋体"/>
                <w:szCs w:val="21"/>
              </w:rPr>
              <w:t>8</w:t>
            </w:r>
            <w:r>
              <w:rPr>
                <w:rFonts w:hint="eastAsia" w:ascii="宋体" w:hAnsi="宋体" w:cs="宋体"/>
                <w:szCs w:val="21"/>
              </w:rPr>
              <w:t>分，满足任意一项内容得</w:t>
            </w:r>
            <w:r>
              <w:rPr>
                <w:rFonts w:ascii="宋体" w:hAnsi="宋体" w:cs="宋体"/>
                <w:szCs w:val="21"/>
              </w:rPr>
              <w:t>4</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w:t>
            </w:r>
            <w:r>
              <w:rPr>
                <w:rFonts w:ascii="宋体" w:hAnsi="宋体" w:cs="宋体"/>
                <w:szCs w:val="21"/>
              </w:rPr>
              <w:t>8</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2.良评分标准：理解到位，具有一定概括性，加</w:t>
            </w:r>
            <w:r>
              <w:rPr>
                <w:rFonts w:ascii="宋体" w:hAnsi="宋体" w:cs="宋体"/>
                <w:szCs w:val="21"/>
              </w:rPr>
              <w:t>6</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w:t>
            </w:r>
            <w:r>
              <w:rPr>
                <w:rFonts w:ascii="宋体" w:hAnsi="宋体" w:cs="宋体"/>
                <w:szCs w:val="21"/>
              </w:rPr>
              <w:t>4</w:t>
            </w:r>
            <w:r>
              <w:rPr>
                <w:rFonts w:hint="eastAsia" w:ascii="宋体" w:hAnsi="宋体" w:cs="宋体"/>
                <w:szCs w:val="21"/>
              </w:rPr>
              <w:t>分。</w:t>
            </w:r>
          </w:p>
          <w:p>
            <w:pPr>
              <w:pStyle w:val="6"/>
              <w:spacing w:after="0"/>
              <w:rPr>
                <w:rFonts w:ascii="宋体" w:hAnsi="宋体" w:cs="宋体"/>
                <w:kern w:val="0"/>
                <w:sz w:val="22"/>
                <w:szCs w:val="22"/>
                <w:lang w:bidi="ar"/>
              </w:rPr>
            </w:pPr>
            <w:r>
              <w:rPr>
                <w:rFonts w:hint="eastAsia" w:ascii="宋体" w:hAnsi="宋体" w:cs="宋体"/>
                <w:szCs w:val="21"/>
              </w:rPr>
              <w:t>4.差评分标准：理解有严重缺漏，无概括性，不加分。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1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1.分析项目难点、重点情况；</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2.提出应对措施；</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6</w:t>
            </w:r>
            <w:r>
              <w:rPr>
                <w:rFonts w:hint="eastAsia" w:ascii="宋体" w:hAnsi="宋体" w:cs="宋体"/>
                <w:szCs w:val="21"/>
              </w:rPr>
              <w:t>分，满足任意两项内容得</w:t>
            </w:r>
            <w:r>
              <w:rPr>
                <w:rFonts w:ascii="宋体" w:hAnsi="宋体" w:cs="宋体"/>
                <w:szCs w:val="21"/>
              </w:rPr>
              <w:t>4</w:t>
            </w:r>
            <w:r>
              <w:rPr>
                <w:rFonts w:hint="eastAsia" w:ascii="宋体" w:hAnsi="宋体" w:cs="宋体"/>
                <w:szCs w:val="21"/>
              </w:rPr>
              <w:t>分，满足任意一项内容得</w:t>
            </w:r>
            <w:r>
              <w:rPr>
                <w:rFonts w:ascii="宋体" w:hAnsi="宋体" w:cs="宋体"/>
                <w:szCs w:val="21"/>
              </w:rPr>
              <w:t>2</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w:t>
            </w:r>
            <w:r>
              <w:rPr>
                <w:rFonts w:ascii="宋体" w:hAnsi="宋体" w:cs="宋体"/>
                <w:szCs w:val="21"/>
              </w:rPr>
              <w:t>4</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w:t>
            </w:r>
            <w:r>
              <w:rPr>
                <w:rFonts w:ascii="宋体" w:hAnsi="宋体" w:cs="宋体"/>
                <w:szCs w:val="21"/>
              </w:rPr>
              <w:t>3</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w:t>
            </w:r>
            <w:r>
              <w:rPr>
                <w:rFonts w:ascii="宋体" w:hAnsi="宋体" w:cs="宋体"/>
                <w:szCs w:val="21"/>
              </w:rPr>
              <w:t>2</w:t>
            </w:r>
            <w:r>
              <w:rPr>
                <w:rFonts w:hint="eastAsia" w:ascii="宋体" w:hAnsi="宋体" w:cs="宋体"/>
                <w:szCs w:val="21"/>
              </w:rPr>
              <w:t>分。</w:t>
            </w:r>
          </w:p>
          <w:p>
            <w:pPr>
              <w:pStyle w:val="6"/>
              <w:rPr>
                <w:rFonts w:ascii="宋体" w:hAnsi="宋体" w:cs="宋体"/>
                <w:kern w:val="0"/>
                <w:sz w:val="22"/>
                <w:szCs w:val="22"/>
                <w:lang w:bidi="ar"/>
              </w:rPr>
            </w:pPr>
            <w:r>
              <w:rPr>
                <w:rFonts w:hint="eastAsia" w:ascii="宋体" w:hAnsi="宋体" w:cs="宋体"/>
                <w:szCs w:val="21"/>
              </w:rPr>
              <w:t>4.差评分标准：分析有严重缺漏，措施不合理，建议可操作性差，不加分。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szCs w:val="21"/>
                <w:lang w:val="zh-CN"/>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szCs w:val="21"/>
              </w:rPr>
              <w:t>项目进度计划</w:t>
            </w:r>
          </w:p>
        </w:tc>
        <w:tc>
          <w:tcPr>
            <w:tcW w:w="5836" w:type="dxa"/>
            <w:tcBorders>
              <w:top w:val="single" w:color="000000" w:sz="4" w:space="0"/>
              <w:left w:val="single" w:color="000000" w:sz="4" w:space="0"/>
              <w:right w:val="single" w:color="000000" w:sz="4" w:space="0"/>
            </w:tcBorders>
            <w:vAlign w:val="center"/>
          </w:tcPr>
          <w:p>
            <w:pPr>
              <w:widowControl/>
              <w:jc w:val="left"/>
            </w:pPr>
            <w:r>
              <w:rPr>
                <w:rFonts w:hint="eastAsia"/>
              </w:rPr>
              <w:t>项目整体实施时间是否紧凑、合理，根据项目进度的切合程度进行比较评价。</w:t>
            </w:r>
          </w:p>
          <w:p>
            <w:pPr>
              <w:widowControl/>
              <w:jc w:val="left"/>
            </w:pPr>
            <w:r>
              <w:rPr>
                <w:rFonts w:hint="eastAsia"/>
              </w:rPr>
              <w:t>1.具备完备的项目进度计划体系文档，得</w:t>
            </w:r>
            <w:r>
              <w:t>2</w:t>
            </w:r>
            <w:r>
              <w:rPr>
                <w:rFonts w:hint="eastAsia"/>
              </w:rPr>
              <w:t>分；</w:t>
            </w:r>
          </w:p>
          <w:p>
            <w:pPr>
              <w:widowControl/>
              <w:jc w:val="left"/>
            </w:pPr>
            <w:r>
              <w:rPr>
                <w:rFonts w:hint="eastAsia"/>
              </w:rPr>
              <w:t>2.项目进度计划紧凑，时间安排合理，得3分。</w:t>
            </w:r>
          </w:p>
          <w:p>
            <w:pPr>
              <w:widowControl/>
              <w:spacing w:line="360" w:lineRule="exact"/>
              <w:textAlignment w:val="center"/>
              <w:rPr>
                <w:rFonts w:ascii="宋体" w:hAnsi="宋体" w:cs="宋体"/>
                <w:b/>
                <w:bCs/>
                <w:color w:val="000000"/>
                <w:kern w:val="0"/>
                <w:szCs w:val="21"/>
                <w:lang w:bidi="ar"/>
              </w:rPr>
            </w:pPr>
            <w:r>
              <w:rPr>
                <w:rFonts w:hint="eastAsia"/>
              </w:rPr>
              <w:t>满足上述两项的得</w:t>
            </w:r>
            <w:r>
              <w:t>5</w:t>
            </w:r>
            <w:r>
              <w:rPr>
                <w:rFonts w:hint="eastAsia"/>
              </w:rPr>
              <w:t>分，全部不满足的不得分。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四、诚信部分（5分）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color w:val="000000"/>
                <w:kern w:val="0"/>
                <w:szCs w:val="21"/>
                <w:lang w:bidi="ar"/>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color w:val="000000"/>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31827"/>
      <w:bookmarkStart w:id="27" w:name="_Toc19494"/>
      <w:bookmarkStart w:id="28" w:name="_Toc5116"/>
      <w:bookmarkStart w:id="29" w:name="_Toc6548"/>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4、政府采购违法行为风险知悉确认书</w:t>
      </w:r>
      <w:r>
        <w:rPr>
          <w:rFonts w:hint="eastAsia" w:ascii="宋体" w:hAnsi="宋体" w:cs="宋体"/>
          <w:sz w:val="24"/>
          <w:lang w:val="fr-CH"/>
        </w:rPr>
        <w:t>；</w:t>
      </w:r>
    </w:p>
    <w:p>
      <w:pPr>
        <w:pStyle w:val="22"/>
        <w:spacing w:line="360" w:lineRule="auto"/>
        <w:ind w:firstLine="480"/>
        <w:rPr>
          <w:lang w:val="fr-CH"/>
        </w:rPr>
      </w:pPr>
      <w:r>
        <w:rPr>
          <w:rFonts w:hint="eastAsia" w:ascii="宋体" w:hAnsi="宋体" w:cs="宋体"/>
          <w:kern w:val="2"/>
          <w:sz w:val="24"/>
          <w:szCs w:val="24"/>
          <w:lang w:val="fr-CH"/>
        </w:rPr>
        <w:t>5、关于资格的声明函；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法定代表人证明书；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w:t>
      </w:r>
      <w:r>
        <w:rPr>
          <w:rFonts w:ascii="宋体" w:hAnsi="宋体" w:cs="宋体"/>
          <w:sz w:val="24"/>
          <w:lang w:val="fr-CH"/>
        </w:rPr>
        <w:t>/</w:t>
      </w:r>
      <w:r>
        <w:rPr>
          <w:rFonts w:hint="eastAsia" w:ascii="宋体" w:hAnsi="宋体" w:cs="宋体"/>
          <w:sz w:val="24"/>
          <w:lang w:val="fr-CH"/>
        </w:rPr>
        <w:t>单位负责人授权书；</w:t>
      </w:r>
    </w:p>
    <w:p>
      <w:pPr>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、企业资质情况</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fr-CH"/>
        </w:rPr>
        <w:t>、</w:t>
      </w:r>
      <w:r>
        <w:rPr>
          <w:rFonts w:ascii="宋体" w:hAnsi="宋体" w:cs="宋体"/>
          <w:sz w:val="24"/>
        </w:rPr>
        <w:t>同类项目业绩相关证明材料</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2</w:t>
      </w:r>
      <w:r>
        <w:rPr>
          <w:rFonts w:hint="eastAsia" w:ascii="宋体" w:hAnsi="宋体" w:cs="宋体"/>
          <w:sz w:val="24"/>
          <w:lang w:val="fr-CH"/>
        </w:rPr>
        <w:t>、拟</w:t>
      </w:r>
      <w:r>
        <w:rPr>
          <w:rFonts w:ascii="宋体" w:hAnsi="宋体" w:cs="宋体"/>
          <w:sz w:val="24"/>
        </w:rPr>
        <w:t>投入</w:t>
      </w:r>
      <w:r>
        <w:rPr>
          <w:rFonts w:hint="eastAsia" w:ascii="宋体" w:hAnsi="宋体" w:cs="宋体"/>
          <w:sz w:val="24"/>
          <w:lang w:val="fr-CH"/>
        </w:rPr>
        <w:t>的项目团队成员</w:t>
      </w:r>
      <w:r>
        <w:rPr>
          <w:rFonts w:ascii="宋体" w:hAnsi="宋体" w:cs="宋体"/>
          <w:sz w:val="24"/>
        </w:rPr>
        <w:t>职称</w:t>
      </w:r>
      <w:r>
        <w:rPr>
          <w:rFonts w:hint="eastAsia" w:ascii="宋体" w:hAnsi="宋体" w:cs="宋体"/>
          <w:sz w:val="24"/>
          <w:lang w:val="fr-CH"/>
        </w:rPr>
        <w:t>情况</w:t>
      </w:r>
      <w:r>
        <w:rPr>
          <w:rFonts w:ascii="宋体" w:hAnsi="宋体" w:cs="宋体"/>
          <w:sz w:val="24"/>
        </w:rPr>
        <w:t>及相关工作经历</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3</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ascii="宋体" w:hAnsi="宋体" w:cs="宋体"/>
          <w:sz w:val="24"/>
        </w:rPr>
        <w:t>服务方案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3</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2"/>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总体方案策划费或设计费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数据采集、处理费（包括企业基础数据采集、处理，以及根据采购方需求定制数据采集、购买、处理等）</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数据统计分析费（包括上机、统计、制表、作图等）</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调研实施费（调研费、交通费、专家费、误餐费等）</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研究报告撰写费（经济调度分析、产业分析报告、具体项目分析等）</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资料费、复印费、通讯联络等办公费用</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rPr>
              <w:t>管理费及税金（项目费用的10%）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bidi="ar"/>
              </w:rPr>
            </w:pPr>
            <w:r>
              <w:rPr>
                <w:rFonts w:hint="eastAsia" w:ascii="宋体" w:hAnsi="宋体" w:cs="仿宋_GB2312"/>
                <w:color w:val="000000"/>
                <w:kern w:val="0"/>
                <w:lang w:bidi="ar"/>
              </w:rPr>
              <w:t>其他费用（如有）</w:t>
            </w: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val="zh-CN" w:bidi="zh-CN"/>
              </w:rPr>
            </w:pPr>
            <w:r>
              <w:rPr>
                <w:rFonts w:hint="eastAsia" w:ascii="宋体" w:hAnsi="宋体" w:cs="仿宋_GB2312"/>
                <w:color w:val="000000"/>
                <w:kern w:val="0"/>
                <w:lang w:bidi="ar"/>
              </w:rPr>
              <w:t>含税总计（RMB）</w:t>
            </w: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7"/>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2"/>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7"/>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pStyle w:val="22"/>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7"/>
        <w:spacing w:line="360" w:lineRule="auto"/>
        <w:jc w:val="center"/>
        <w:rPr>
          <w:rFonts w:hAnsi="宋体" w:cs="宋体"/>
          <w:sz w:val="24"/>
        </w:rPr>
      </w:pPr>
      <w:r>
        <w:rPr>
          <w:rFonts w:hint="eastAsia" w:hAnsi="宋体" w:cs="宋体"/>
          <w:sz w:val="24"/>
        </w:rPr>
        <w:t xml:space="preserve">                                  承诺日期：    年  月  日</w:t>
      </w:r>
    </w:p>
    <w:p>
      <w:pPr>
        <w:pStyle w:val="7"/>
        <w:spacing w:line="360" w:lineRule="auto"/>
        <w:jc w:val="left"/>
        <w:rPr>
          <w:rFonts w:hAnsi="宋体" w:cs="宋体"/>
          <w:sz w:val="24"/>
        </w:rPr>
      </w:pPr>
    </w:p>
    <w:p>
      <w:pPr>
        <w:pStyle w:val="7"/>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22"/>
        <w:ind w:firstLine="420"/>
        <w:rPr>
          <w:lang w:val="fr-CH"/>
        </w:rPr>
      </w:pPr>
    </w:p>
    <w:p>
      <w:pPr>
        <w:pStyle w:val="22"/>
        <w:ind w:firstLine="420"/>
        <w:rPr>
          <w:lang w:val="fr-CH"/>
        </w:rPr>
      </w:pPr>
    </w:p>
    <w:p>
      <w:pPr>
        <w:pStyle w:val="22"/>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pStyle w:val="6"/>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pacing w:line="360" w:lineRule="auto"/>
              <w:rPr>
                <w:rFonts w:ascii="Arial Narrow" w:hAnsi="Arial Narrow"/>
                <w:b/>
                <w:bCs/>
                <w:szCs w:val="21"/>
              </w:rPr>
            </w:pPr>
          </w:p>
        </w:tc>
        <w:tc>
          <w:tcPr>
            <w:tcW w:w="4677" w:type="dxa"/>
          </w:tcPr>
          <w:p>
            <w:pPr>
              <w:pStyle w:val="7"/>
              <w:spacing w:line="360" w:lineRule="auto"/>
              <w:rPr>
                <w:rFonts w:ascii="Arial Narrow" w:hAnsi="Arial Narrow"/>
                <w:b/>
                <w:bCs/>
                <w:szCs w:val="21"/>
              </w:rPr>
            </w:pPr>
          </w:p>
        </w:tc>
      </w:tr>
    </w:tbl>
    <w:p>
      <w:pPr>
        <w:pStyle w:val="6"/>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p>
    <w:p>
      <w:pPr>
        <w:pStyle w:val="7"/>
        <w:spacing w:line="360" w:lineRule="auto"/>
        <w:jc w:val="center"/>
        <w:rPr>
          <w:rFonts w:hAnsi="宋体" w:cs="宋体"/>
          <w:b/>
          <w:sz w:val="24"/>
        </w:rPr>
      </w:pPr>
      <w:r>
        <w:rPr>
          <w:rFonts w:hint="eastAsia" w:hAnsi="宋体" w:cs="宋体"/>
          <w:b/>
          <w:sz w:val="24"/>
        </w:rPr>
        <w:t>8、法定代表人/单位负责人授权书</w:t>
      </w:r>
    </w:p>
    <w:p>
      <w:pPr>
        <w:pStyle w:val="7"/>
        <w:spacing w:line="360" w:lineRule="auto"/>
        <w:rPr>
          <w:rFonts w:hAnsi="宋体" w:cs="宋体"/>
          <w:sz w:val="24"/>
        </w:rPr>
      </w:pPr>
    </w:p>
    <w:p>
      <w:pPr>
        <w:pStyle w:val="7"/>
        <w:spacing w:line="360" w:lineRule="auto"/>
        <w:rPr>
          <w:rFonts w:hAnsi="宋体" w:cs="宋体"/>
          <w:sz w:val="24"/>
        </w:rPr>
      </w:pPr>
      <w:r>
        <w:rPr>
          <w:rFonts w:hint="eastAsia" w:hAnsi="宋体" w:cs="宋体"/>
          <w:b/>
          <w:sz w:val="24"/>
        </w:rPr>
        <w:t>深圳市前海深港现代服务业合作区管理局：</w:t>
      </w:r>
    </w:p>
    <w:p>
      <w:pPr>
        <w:pStyle w:val="7"/>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7"/>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6"/>
        <w:rPr>
          <w:rFonts w:ascii="宋体" w:hAnsi="宋体" w:cs="宋体"/>
          <w:b/>
          <w:sz w:val="24"/>
        </w:rPr>
      </w:pPr>
    </w:p>
    <w:p>
      <w:pPr>
        <w:rPr>
          <w:rFonts w:ascii="宋体" w:hAnsi="宋体" w:cs="宋体"/>
          <w:b/>
          <w:sz w:val="24"/>
        </w:rPr>
      </w:pPr>
    </w:p>
    <w:p>
      <w:pPr>
        <w:pStyle w:val="6"/>
        <w:rPr>
          <w:rFonts w:ascii="宋体" w:hAnsi="宋体" w:cs="宋体"/>
          <w:b/>
          <w:sz w:val="24"/>
        </w:rPr>
      </w:pPr>
    </w:p>
    <w:p>
      <w:pPr>
        <w:rPr>
          <w:rFonts w:ascii="宋体" w:hAnsi="宋体" w:cs="宋体"/>
          <w:b/>
          <w:sz w:val="24"/>
        </w:rPr>
      </w:pPr>
    </w:p>
    <w:p>
      <w:pPr>
        <w:pStyle w:val="6"/>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pacing w:line="360" w:lineRule="auto"/>
              <w:rPr>
                <w:rFonts w:ascii="Arial Narrow" w:hAnsi="Arial Narrow"/>
                <w:b/>
                <w:bCs/>
                <w:szCs w:val="21"/>
              </w:rPr>
            </w:pPr>
          </w:p>
        </w:tc>
        <w:tc>
          <w:tcPr>
            <w:tcW w:w="4677" w:type="dxa"/>
          </w:tcPr>
          <w:p>
            <w:pPr>
              <w:pStyle w:val="7"/>
              <w:spacing w:line="360" w:lineRule="auto"/>
              <w:rPr>
                <w:rFonts w:ascii="Arial Narrow" w:hAnsi="Arial Narrow"/>
                <w:b/>
                <w:bCs/>
                <w:szCs w:val="21"/>
              </w:rPr>
            </w:pPr>
          </w:p>
        </w:tc>
      </w:tr>
    </w:tbl>
    <w:p>
      <w:pPr>
        <w:pStyle w:val="6"/>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22"/>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pStyle w:val="6"/>
        <w:rPr>
          <w:rFonts w:ascii="宋体" w:hAnsi="宋体" w:cs="宋体"/>
          <w:b/>
          <w:bCs/>
          <w:sz w:val="24"/>
        </w:rPr>
      </w:pPr>
    </w:p>
    <w:p>
      <w:pPr>
        <w:rPr>
          <w:rFonts w:ascii="宋体" w:hAnsi="宋体" w:cs="宋体"/>
          <w:b/>
          <w:bCs/>
          <w:sz w:val="24"/>
        </w:rPr>
      </w:pPr>
    </w:p>
    <w:p>
      <w:pPr>
        <w:pStyle w:val="6"/>
        <w:rPr>
          <w:rFonts w:ascii="宋体" w:hAnsi="宋体" w:cs="宋体"/>
          <w:b/>
          <w:bCs/>
          <w:sz w:val="24"/>
        </w:rPr>
      </w:pPr>
    </w:p>
    <w:p>
      <w:pPr>
        <w:rPr>
          <w:rFonts w:ascii="宋体" w:hAnsi="宋体" w:cs="宋体"/>
          <w:b/>
          <w:bCs/>
          <w:sz w:val="24"/>
        </w:rPr>
      </w:pPr>
    </w:p>
    <w:p>
      <w:pPr>
        <w:pStyle w:val="6"/>
        <w:rPr>
          <w:rFonts w:ascii="宋体" w:hAnsi="宋体" w:cs="宋体"/>
          <w:b/>
          <w:bCs/>
          <w:sz w:val="24"/>
        </w:rPr>
      </w:pPr>
    </w:p>
    <w:p>
      <w:pPr>
        <w:rPr>
          <w:rFonts w:ascii="宋体" w:hAnsi="宋体" w:cs="宋体"/>
          <w:b/>
          <w:bCs/>
          <w:sz w:val="24"/>
        </w:rPr>
      </w:pPr>
    </w:p>
    <w:p>
      <w:pPr>
        <w:pStyle w:val="6"/>
        <w:rPr>
          <w:rFonts w:ascii="宋体" w:hAnsi="宋体" w:cs="宋体"/>
          <w:b/>
          <w:bCs/>
          <w:sz w:val="24"/>
        </w:rPr>
      </w:pPr>
    </w:p>
    <w:p>
      <w:pPr>
        <w:rPr>
          <w:rFonts w:ascii="宋体" w:hAnsi="宋体" w:cs="宋体"/>
          <w:b/>
          <w:bCs/>
          <w:sz w:val="24"/>
        </w:rPr>
      </w:pPr>
    </w:p>
    <w:p>
      <w:pPr>
        <w:pStyle w:val="6"/>
        <w:rPr>
          <w:rFonts w:ascii="宋体" w:hAnsi="宋体" w:cs="宋体"/>
          <w:b/>
          <w:bCs/>
          <w:sz w:val="24"/>
        </w:rPr>
      </w:pPr>
    </w:p>
    <w:p>
      <w:pPr>
        <w:rPr>
          <w:rFonts w:ascii="宋体" w:hAnsi="宋体" w:cs="宋体"/>
          <w:b/>
          <w:bCs/>
          <w:sz w:val="24"/>
        </w:rPr>
      </w:pPr>
    </w:p>
    <w:p>
      <w:pPr>
        <w:pStyle w:val="6"/>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），我们保证在收到中标通知书后5日内按招标文件的规定，以现金或电汇向贵公司即中国远东国际招标有限公司深圳分公司指定的银行帐号支付全额招标代理服务费。招标代理服务费按照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w:t>
      </w:r>
      <w:r>
        <w:rPr>
          <w:rFonts w:ascii="宋体" w:hAnsi="宋体" w:cs="宋体"/>
          <w:b/>
          <w:bCs/>
          <w:sz w:val="24"/>
          <w:lang w:val="fr-CH"/>
        </w:rPr>
        <w:t>同类项目业绩</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2</w:t>
      </w:r>
      <w:r>
        <w:rPr>
          <w:rFonts w:hint="eastAsia" w:ascii="宋体" w:hAnsi="宋体" w:cs="宋体"/>
          <w:b/>
          <w:bCs/>
          <w:sz w:val="24"/>
          <w:lang w:val="fr-CH"/>
        </w:rPr>
        <w:t>、获奖情况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3</w:t>
      </w:r>
      <w:r>
        <w:rPr>
          <w:rFonts w:hint="eastAsia" w:ascii="宋体" w:hAnsi="宋体" w:cs="宋体"/>
          <w:b/>
          <w:bCs/>
          <w:sz w:val="24"/>
          <w:lang w:val="fr-CH"/>
        </w:rPr>
        <w:t>、项目团队成员（包括项目负责人）</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7"/>
        <w:spacing w:line="360" w:lineRule="auto"/>
        <w:rPr>
          <w:rFonts w:hAnsi="宋体" w:cs="宋体"/>
          <w:bCs/>
          <w:sz w:val="24"/>
        </w:rPr>
      </w:pPr>
    </w:p>
    <w:p>
      <w:pPr>
        <w:pStyle w:val="7"/>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6"/>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2、实施</w:t>
      </w:r>
      <w:r>
        <w:rPr>
          <w:rFonts w:hint="eastAsia" w:ascii="宋体" w:hAnsi="宋体" w:cs="宋体"/>
          <w:b/>
          <w:bCs/>
          <w:sz w:val="24"/>
          <w:lang w:val="sq-AL"/>
        </w:rPr>
        <w:t>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lang w:val="fr-CH"/>
        </w:rPr>
      </w:pPr>
      <w:r>
        <w:rPr>
          <w:rFonts w:ascii="宋体" w:hAnsi="宋体" w:cs="宋体"/>
          <w:b/>
          <w:bCs/>
          <w:sz w:val="24"/>
        </w:rPr>
        <w:t>4</w:t>
      </w:r>
      <w:r>
        <w:rPr>
          <w:rFonts w:hint="eastAsia" w:ascii="宋体" w:hAnsi="宋体" w:cs="宋体"/>
          <w:b/>
          <w:bCs/>
          <w:sz w:val="24"/>
          <w:lang w:val="fr-CH"/>
        </w:rPr>
        <w:t>、质量保障措施及方案</w:t>
      </w:r>
    </w:p>
    <w:p>
      <w:pPr>
        <w:tabs>
          <w:tab w:val="left" w:pos="640"/>
          <w:tab w:val="left" w:pos="1260"/>
          <w:tab w:val="left" w:pos="1418"/>
        </w:tabs>
        <w:spacing w:line="480" w:lineRule="auto"/>
        <w:ind w:right="-420" w:rightChars="-200"/>
        <w:rPr>
          <w:rFonts w:ascii="宋体" w:hAnsi="宋体" w:cs="宋体"/>
          <w:b/>
          <w:bCs/>
          <w:sz w:val="24"/>
          <w:lang w:val="fr-CH"/>
        </w:rPr>
      </w:pPr>
      <w:r>
        <w:rPr>
          <w:rFonts w:hint="eastAsia" w:ascii="宋体" w:hAnsi="宋体" w:cs="宋体"/>
          <w:b/>
          <w:bCs/>
          <w:sz w:val="24"/>
          <w:lang w:val="fr-CH"/>
        </w:rPr>
        <w:t>5、项目完成（服务期满）后的服务承诺</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ascii="宋体" w:hAnsi="宋体" w:cs="宋体"/>
          <w:b/>
          <w:bCs/>
          <w:sz w:val="24"/>
          <w:lang w:val="fr-CH"/>
        </w:rPr>
        <w:t>6</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0" w:name="_Toc6251"/>
      <w:bookmarkStart w:id="31" w:name="_Toc3166"/>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rPr>
      </w:pP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rPr>
      </w:pPr>
    </w:p>
    <w:p>
      <w:pPr>
        <w:pStyle w:val="6"/>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8"/>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jc w:val="center"/>
              <w:rPr>
                <w:b/>
                <w:sz w:val="24"/>
                <w:szCs w:val="24"/>
              </w:rPr>
            </w:pPr>
            <w:r>
              <w:rPr>
                <w:rFonts w:hint="eastAsia"/>
                <w:b/>
                <w:sz w:val="24"/>
                <w:szCs w:val="24"/>
              </w:rPr>
              <w:t>序号</w:t>
            </w:r>
          </w:p>
        </w:tc>
        <w:tc>
          <w:tcPr>
            <w:tcW w:w="1866" w:type="dxa"/>
            <w:vAlign w:val="center"/>
          </w:tcPr>
          <w:p>
            <w:pPr>
              <w:pStyle w:val="24"/>
              <w:jc w:val="center"/>
              <w:rPr>
                <w:b/>
                <w:sz w:val="24"/>
                <w:szCs w:val="24"/>
              </w:rPr>
            </w:pPr>
            <w:r>
              <w:rPr>
                <w:rFonts w:hint="eastAsia"/>
                <w:b/>
                <w:sz w:val="24"/>
                <w:szCs w:val="24"/>
              </w:rPr>
              <w:t>项目名称</w:t>
            </w:r>
          </w:p>
        </w:tc>
        <w:tc>
          <w:tcPr>
            <w:tcW w:w="2010" w:type="dxa"/>
            <w:vAlign w:val="center"/>
          </w:tcPr>
          <w:p>
            <w:pPr>
              <w:pStyle w:val="24"/>
              <w:jc w:val="center"/>
              <w:rPr>
                <w:b/>
                <w:sz w:val="24"/>
                <w:szCs w:val="24"/>
              </w:rPr>
            </w:pPr>
            <w:r>
              <w:rPr>
                <w:rFonts w:hint="eastAsia"/>
                <w:b/>
                <w:sz w:val="24"/>
                <w:szCs w:val="24"/>
              </w:rPr>
              <w:t>预留选项</w:t>
            </w:r>
          </w:p>
        </w:tc>
        <w:tc>
          <w:tcPr>
            <w:tcW w:w="2296" w:type="dxa"/>
            <w:vAlign w:val="center"/>
          </w:tcPr>
          <w:p>
            <w:pPr>
              <w:pStyle w:val="24"/>
              <w:jc w:val="center"/>
              <w:rPr>
                <w:b/>
                <w:sz w:val="24"/>
                <w:szCs w:val="24"/>
              </w:rPr>
            </w:pPr>
            <w:r>
              <w:rPr>
                <w:rFonts w:hint="eastAsia"/>
                <w:b/>
                <w:sz w:val="24"/>
                <w:szCs w:val="24"/>
              </w:rPr>
              <w:t>面向中小企业采购金额</w:t>
            </w:r>
          </w:p>
        </w:tc>
        <w:tc>
          <w:tcPr>
            <w:tcW w:w="1784" w:type="dxa"/>
            <w:vAlign w:val="center"/>
          </w:tcPr>
          <w:p>
            <w:pPr>
              <w:pStyle w:val="24"/>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4"/>
              <w:jc w:val="center"/>
              <w:rPr>
                <w:sz w:val="24"/>
                <w:szCs w:val="24"/>
              </w:rPr>
            </w:pPr>
          </w:p>
        </w:tc>
        <w:tc>
          <w:tcPr>
            <w:tcW w:w="1866" w:type="dxa"/>
            <w:tcBorders>
              <w:bottom w:val="nil"/>
            </w:tcBorders>
            <w:vAlign w:val="center"/>
          </w:tcPr>
          <w:p>
            <w:pPr>
              <w:pStyle w:val="24"/>
              <w:jc w:val="center"/>
              <w:rPr>
                <w:sz w:val="24"/>
                <w:szCs w:val="24"/>
              </w:rPr>
            </w:pPr>
          </w:p>
        </w:tc>
        <w:tc>
          <w:tcPr>
            <w:tcW w:w="2010" w:type="dxa"/>
            <w:tcBorders>
              <w:bottom w:val="nil"/>
            </w:tcBorders>
            <w:vAlign w:val="center"/>
          </w:tcPr>
          <w:p>
            <w:pPr>
              <w:pStyle w:val="24"/>
              <w:jc w:val="center"/>
              <w:rPr>
                <w:sz w:val="24"/>
                <w:szCs w:val="24"/>
              </w:rPr>
            </w:pPr>
            <w:r>
              <w:rPr>
                <w:rFonts w:hint="eastAsia"/>
                <w:sz w:val="24"/>
                <w:szCs w:val="24"/>
              </w:rPr>
              <w:t>（填写“采购项</w:t>
            </w:r>
          </w:p>
        </w:tc>
        <w:tc>
          <w:tcPr>
            <w:tcW w:w="2296" w:type="dxa"/>
            <w:tcBorders>
              <w:bottom w:val="nil"/>
            </w:tcBorders>
            <w:vAlign w:val="center"/>
          </w:tcPr>
          <w:p>
            <w:pPr>
              <w:pStyle w:val="24"/>
              <w:jc w:val="center"/>
              <w:rPr>
                <w:sz w:val="24"/>
                <w:szCs w:val="24"/>
              </w:rPr>
            </w:pPr>
          </w:p>
        </w:tc>
        <w:tc>
          <w:tcPr>
            <w:tcW w:w="1784" w:type="dxa"/>
            <w:vMerge w:val="restart"/>
            <w:vAlign w:val="center"/>
          </w:tcPr>
          <w:p>
            <w:pPr>
              <w:pStyle w:val="24"/>
              <w:jc w:val="center"/>
              <w:rPr>
                <w:sz w:val="24"/>
                <w:szCs w:val="24"/>
              </w:rPr>
            </w:pPr>
          </w:p>
          <w:p>
            <w:pPr>
              <w:pStyle w:val="24"/>
              <w:jc w:val="center"/>
              <w:rPr>
                <w:sz w:val="24"/>
                <w:szCs w:val="24"/>
              </w:rPr>
            </w:pPr>
          </w:p>
          <w:p>
            <w:pPr>
              <w:pStyle w:val="24"/>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p>
        </w:tc>
        <w:tc>
          <w:tcPr>
            <w:tcW w:w="2010" w:type="dxa"/>
            <w:tcBorders>
              <w:top w:val="nil"/>
              <w:bottom w:val="nil"/>
            </w:tcBorders>
            <w:vAlign w:val="center"/>
          </w:tcPr>
          <w:p>
            <w:pPr>
              <w:pStyle w:val="24"/>
              <w:jc w:val="center"/>
              <w:rPr>
                <w:sz w:val="24"/>
                <w:szCs w:val="24"/>
              </w:rPr>
            </w:pPr>
            <w:r>
              <w:rPr>
                <w:rFonts w:hint="eastAsia"/>
                <w:sz w:val="24"/>
                <w:szCs w:val="24"/>
              </w:rPr>
              <w:t>目整体预留”、</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p>
        </w:tc>
        <w:tc>
          <w:tcPr>
            <w:tcW w:w="2010" w:type="dxa"/>
            <w:tcBorders>
              <w:top w:val="nil"/>
              <w:bottom w:val="nil"/>
            </w:tcBorders>
            <w:vAlign w:val="center"/>
          </w:tcPr>
          <w:p>
            <w:pPr>
              <w:pStyle w:val="24"/>
              <w:jc w:val="center"/>
              <w:rPr>
                <w:sz w:val="24"/>
                <w:szCs w:val="24"/>
              </w:rPr>
            </w:pPr>
            <w:r>
              <w:rPr>
                <w:rFonts w:hint="eastAsia"/>
                <w:sz w:val="24"/>
                <w:szCs w:val="24"/>
              </w:rPr>
              <w:t>“设置专门采购</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r>
              <w:rPr>
                <w:rFonts w:hint="eastAsia"/>
                <w:sz w:val="24"/>
                <w:szCs w:val="24"/>
              </w:rPr>
              <w:t>（填写集中采</w:t>
            </w:r>
          </w:p>
        </w:tc>
        <w:tc>
          <w:tcPr>
            <w:tcW w:w="2010" w:type="dxa"/>
            <w:tcBorders>
              <w:top w:val="nil"/>
              <w:bottom w:val="nil"/>
            </w:tcBorders>
            <w:vAlign w:val="center"/>
          </w:tcPr>
          <w:p>
            <w:pPr>
              <w:pStyle w:val="24"/>
              <w:jc w:val="center"/>
              <w:rPr>
                <w:sz w:val="24"/>
                <w:szCs w:val="24"/>
              </w:rPr>
            </w:pPr>
            <w:r>
              <w:rPr>
                <w:rFonts w:hint="eastAsia"/>
                <w:sz w:val="24"/>
                <w:szCs w:val="24"/>
              </w:rPr>
              <w:t>包”、“要求以</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r>
              <w:rPr>
                <w:rFonts w:hint="eastAsia"/>
                <w:sz w:val="24"/>
                <w:szCs w:val="24"/>
              </w:rPr>
              <w:t>购目录以内或</w:t>
            </w:r>
          </w:p>
        </w:tc>
        <w:tc>
          <w:tcPr>
            <w:tcW w:w="2010" w:type="dxa"/>
            <w:tcBorders>
              <w:top w:val="nil"/>
              <w:bottom w:val="nil"/>
            </w:tcBorders>
            <w:vAlign w:val="center"/>
          </w:tcPr>
          <w:p>
            <w:pPr>
              <w:pStyle w:val="24"/>
              <w:jc w:val="center"/>
              <w:rPr>
                <w:sz w:val="24"/>
                <w:szCs w:val="24"/>
              </w:rPr>
            </w:pPr>
            <w:r>
              <w:rPr>
                <w:rFonts w:hint="eastAsia"/>
                <w:sz w:val="24"/>
                <w:szCs w:val="24"/>
              </w:rPr>
              <w:t>联合体形式参</w:t>
            </w:r>
          </w:p>
        </w:tc>
        <w:tc>
          <w:tcPr>
            <w:tcW w:w="2296" w:type="dxa"/>
            <w:tcBorders>
              <w:top w:val="nil"/>
              <w:bottom w:val="nil"/>
            </w:tcBorders>
            <w:vAlign w:val="center"/>
          </w:tcPr>
          <w:p>
            <w:pPr>
              <w:pStyle w:val="24"/>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r>
              <w:rPr>
                <w:rFonts w:hint="eastAsia"/>
                <w:sz w:val="24"/>
                <w:szCs w:val="24"/>
              </w:rPr>
              <w:t>者采购限额标</w:t>
            </w:r>
          </w:p>
        </w:tc>
        <w:tc>
          <w:tcPr>
            <w:tcW w:w="2010" w:type="dxa"/>
            <w:tcBorders>
              <w:top w:val="nil"/>
              <w:bottom w:val="nil"/>
            </w:tcBorders>
            <w:vAlign w:val="center"/>
          </w:tcPr>
          <w:p>
            <w:pPr>
              <w:pStyle w:val="24"/>
              <w:jc w:val="center"/>
              <w:rPr>
                <w:sz w:val="24"/>
                <w:szCs w:val="24"/>
              </w:rPr>
            </w:pPr>
            <w:r>
              <w:rPr>
                <w:rFonts w:hint="eastAsia"/>
                <w:sz w:val="24"/>
                <w:szCs w:val="24"/>
              </w:rPr>
              <w:t>加”或者“要求</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4"/>
              <w:jc w:val="center"/>
              <w:rPr>
                <w:sz w:val="24"/>
                <w:szCs w:val="24"/>
              </w:rPr>
            </w:pPr>
            <w:r>
              <w:rPr>
                <w:rFonts w:hint="eastAsia"/>
                <w:sz w:val="24"/>
                <w:szCs w:val="24"/>
              </w:rPr>
              <w:t>合同分包”，除</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p>
        </w:tc>
        <w:tc>
          <w:tcPr>
            <w:tcW w:w="2010" w:type="dxa"/>
            <w:tcBorders>
              <w:top w:val="nil"/>
              <w:bottom w:val="nil"/>
            </w:tcBorders>
            <w:vAlign w:val="center"/>
          </w:tcPr>
          <w:p>
            <w:pPr>
              <w:pStyle w:val="24"/>
              <w:jc w:val="center"/>
              <w:rPr>
                <w:sz w:val="24"/>
                <w:szCs w:val="24"/>
              </w:rPr>
            </w:pPr>
            <w:r>
              <w:rPr>
                <w:rFonts w:hint="eastAsia"/>
                <w:sz w:val="24"/>
                <w:szCs w:val="24"/>
              </w:rPr>
              <w:t>“采购项目全部</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p>
        </w:tc>
        <w:tc>
          <w:tcPr>
            <w:tcW w:w="2010" w:type="dxa"/>
            <w:tcBorders>
              <w:top w:val="nil"/>
              <w:bottom w:val="nil"/>
            </w:tcBorders>
            <w:vAlign w:val="center"/>
          </w:tcPr>
          <w:p>
            <w:pPr>
              <w:pStyle w:val="24"/>
              <w:jc w:val="center"/>
              <w:rPr>
                <w:sz w:val="24"/>
                <w:szCs w:val="24"/>
              </w:rPr>
            </w:pPr>
            <w:r>
              <w:rPr>
                <w:rFonts w:hint="eastAsia"/>
                <w:sz w:val="24"/>
                <w:szCs w:val="24"/>
              </w:rPr>
              <w:t>预留”外，还应</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4"/>
              <w:jc w:val="center"/>
              <w:rPr>
                <w:sz w:val="24"/>
                <w:szCs w:val="24"/>
              </w:rPr>
            </w:pPr>
          </w:p>
        </w:tc>
        <w:tc>
          <w:tcPr>
            <w:tcW w:w="2010" w:type="dxa"/>
            <w:tcBorders>
              <w:top w:val="nil"/>
              <w:bottom w:val="nil"/>
            </w:tcBorders>
            <w:vAlign w:val="center"/>
          </w:tcPr>
          <w:p>
            <w:pPr>
              <w:pStyle w:val="24"/>
              <w:jc w:val="center"/>
              <w:rPr>
                <w:sz w:val="24"/>
                <w:szCs w:val="24"/>
              </w:rPr>
            </w:pPr>
            <w:r>
              <w:rPr>
                <w:rFonts w:hint="eastAsia"/>
                <w:sz w:val="24"/>
                <w:szCs w:val="24"/>
              </w:rPr>
              <w:t>当填写预留给中</w:t>
            </w:r>
          </w:p>
        </w:tc>
        <w:tc>
          <w:tcPr>
            <w:tcW w:w="2296" w:type="dxa"/>
            <w:tcBorders>
              <w:top w:val="nil"/>
              <w:bottom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4"/>
              <w:jc w:val="center"/>
              <w:rPr>
                <w:sz w:val="24"/>
                <w:szCs w:val="24"/>
              </w:rPr>
            </w:pPr>
          </w:p>
        </w:tc>
        <w:tc>
          <w:tcPr>
            <w:tcW w:w="2010" w:type="dxa"/>
            <w:tcBorders>
              <w:top w:val="nil"/>
            </w:tcBorders>
            <w:vAlign w:val="center"/>
          </w:tcPr>
          <w:p>
            <w:pPr>
              <w:pStyle w:val="24"/>
              <w:jc w:val="center"/>
              <w:rPr>
                <w:sz w:val="24"/>
                <w:szCs w:val="24"/>
              </w:rPr>
            </w:pPr>
            <w:r>
              <w:rPr>
                <w:rFonts w:hint="eastAsia"/>
                <w:sz w:val="24"/>
                <w:szCs w:val="24"/>
              </w:rPr>
              <w:t>小企业的比例）</w:t>
            </w:r>
          </w:p>
        </w:tc>
        <w:tc>
          <w:tcPr>
            <w:tcW w:w="2296" w:type="dxa"/>
            <w:tcBorders>
              <w:top w:val="nil"/>
            </w:tcBorders>
            <w:vAlign w:val="center"/>
          </w:tcPr>
          <w:p>
            <w:pPr>
              <w:pStyle w:val="24"/>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jc w:val="center"/>
              <w:rPr>
                <w:sz w:val="24"/>
                <w:szCs w:val="24"/>
              </w:rPr>
            </w:pPr>
            <w:r>
              <w:rPr>
                <w:rFonts w:hint="eastAsia"/>
                <w:sz w:val="24"/>
                <w:szCs w:val="24"/>
              </w:rPr>
              <w:t>……</w:t>
            </w:r>
          </w:p>
        </w:tc>
        <w:tc>
          <w:tcPr>
            <w:tcW w:w="1866" w:type="dxa"/>
            <w:vAlign w:val="center"/>
          </w:tcPr>
          <w:p>
            <w:pPr>
              <w:pStyle w:val="24"/>
              <w:jc w:val="center"/>
              <w:rPr>
                <w:sz w:val="24"/>
                <w:szCs w:val="24"/>
              </w:rPr>
            </w:pPr>
            <w:r>
              <w:rPr>
                <w:rFonts w:hint="eastAsia"/>
                <w:sz w:val="24"/>
                <w:szCs w:val="24"/>
              </w:rPr>
              <w:t>……</w:t>
            </w:r>
          </w:p>
        </w:tc>
        <w:tc>
          <w:tcPr>
            <w:tcW w:w="2010" w:type="dxa"/>
            <w:vAlign w:val="center"/>
          </w:tcPr>
          <w:p>
            <w:pPr>
              <w:pStyle w:val="24"/>
              <w:jc w:val="center"/>
              <w:rPr>
                <w:sz w:val="24"/>
                <w:szCs w:val="24"/>
              </w:rPr>
            </w:pPr>
            <w:r>
              <w:rPr>
                <w:rFonts w:hint="eastAsia"/>
                <w:sz w:val="24"/>
                <w:szCs w:val="24"/>
              </w:rPr>
              <w:t>……</w:t>
            </w:r>
          </w:p>
        </w:tc>
        <w:tc>
          <w:tcPr>
            <w:tcW w:w="2296" w:type="dxa"/>
            <w:vAlign w:val="center"/>
          </w:tcPr>
          <w:p>
            <w:pPr>
              <w:pStyle w:val="24"/>
              <w:jc w:val="center"/>
              <w:rPr>
                <w:sz w:val="24"/>
                <w:szCs w:val="24"/>
              </w:rPr>
            </w:pPr>
            <w:r>
              <w:rPr>
                <w:rFonts w:hint="eastAsia"/>
                <w:sz w:val="24"/>
                <w:szCs w:val="24"/>
              </w:rPr>
              <w:t>……</w:t>
            </w:r>
          </w:p>
        </w:tc>
        <w:tc>
          <w:tcPr>
            <w:tcW w:w="1784" w:type="dxa"/>
            <w:vAlign w:val="center"/>
          </w:tcPr>
          <w:p>
            <w:pPr>
              <w:pStyle w:val="24"/>
              <w:jc w:val="center"/>
              <w:rPr>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6"/>
        <w:tabs>
          <w:tab w:val="left" w:pos="562"/>
          <w:tab w:val="left" w:pos="3372"/>
          <w:tab w:val="left" w:pos="3653"/>
        </w:tabs>
        <w:rPr>
          <w:rFonts w:ascii="宋体" w:hAnsi="宋体" w:cs="宋体"/>
          <w:sz w:val="24"/>
        </w:rPr>
      </w:pPr>
    </w:p>
    <w:p>
      <w:pPr>
        <w:pStyle w:val="15"/>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
      <w:pPr>
        <w:pStyle w:val="6"/>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5"/>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6"/>
        <w:rPr>
          <w:rFonts w:ascii="宋体" w:hAnsi="宋体" w:cs="宋体"/>
          <w:kern w:val="0"/>
          <w:sz w:val="24"/>
        </w:rPr>
      </w:pPr>
    </w:p>
    <w:p>
      <w:pPr>
        <w:rPr>
          <w:rFonts w:ascii="宋体" w:hAnsi="宋体" w:cs="宋体"/>
          <w:kern w:val="0"/>
          <w:sz w:val="24"/>
        </w:rPr>
      </w:pPr>
    </w:p>
    <w:p>
      <w:pPr>
        <w:pStyle w:val="6"/>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6"/>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4"/>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4"/>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4"/>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4"/>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4"/>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4"/>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360" w:lineRule="auto"/>
        <w:ind w:firstLine="480" w:firstLineChars="200"/>
      </w:pPr>
      <w:r>
        <w:rPr>
          <w:rFonts w:hint="eastAsia"/>
        </w:rPr>
        <w:t>七、本通知自2017年10月1日起执行。</w:t>
      </w:r>
    </w:p>
    <w:p>
      <w:pPr>
        <w:pStyle w:val="14"/>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4"/>
        <w:shd w:val="clear" w:color="auto" w:fill="FFFFFF"/>
        <w:spacing w:before="0" w:beforeAutospacing="0" w:after="0" w:afterAutospacing="0" w:line="360" w:lineRule="auto"/>
        <w:ind w:firstLine="480" w:firstLineChars="200"/>
        <w:jc w:val="right"/>
      </w:pPr>
      <w:r>
        <w:rPr>
          <w:rFonts w:hint="eastAsia"/>
        </w:rPr>
        <w:t>2017年8月22日</w:t>
      </w: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p>
    <w:p>
      <w:pPr>
        <w:pStyle w:val="25"/>
        <w:shd w:val="clear" w:color="auto" w:fill="FFFFFF"/>
        <w:spacing w:before="0" w:beforeAutospacing="0" w:after="0" w:afterAutospacing="0" w:line="360" w:lineRule="auto"/>
        <w:jc w:val="both"/>
      </w:pPr>
      <w:r>
        <w:rPr>
          <w:rFonts w:hint="eastAsia"/>
        </w:rPr>
        <w:t>附件：</w:t>
      </w:r>
    </w:p>
    <w:p>
      <w:pPr>
        <w:pStyle w:val="25"/>
        <w:shd w:val="clear" w:color="auto" w:fill="FFFFFF"/>
        <w:spacing w:before="0" w:beforeAutospacing="0" w:after="0" w:afterAutospacing="0" w:line="360" w:lineRule="auto"/>
        <w:ind w:firstLine="482" w:firstLineChars="200"/>
        <w:jc w:val="center"/>
      </w:pPr>
      <w:r>
        <w:rPr>
          <w:rStyle w:val="26"/>
          <w:rFonts w:hint="eastAsia"/>
          <w:b/>
          <w:bCs/>
        </w:rPr>
        <w:t>残疾人福利性单位声明函</w:t>
      </w:r>
    </w:p>
    <w:p>
      <w:pPr>
        <w:pStyle w:val="25"/>
        <w:shd w:val="clear" w:color="auto" w:fill="FFFFFF"/>
        <w:spacing w:before="0" w:beforeAutospacing="0" w:after="0" w:afterAutospacing="0" w:line="360" w:lineRule="auto"/>
        <w:ind w:firstLine="480" w:firstLineChars="200"/>
        <w:jc w:val="both"/>
      </w:pPr>
    </w:p>
    <w:p>
      <w:pPr>
        <w:pStyle w:val="25"/>
        <w:shd w:val="clear" w:color="auto" w:fill="FFFFFF"/>
        <w:spacing w:before="0" w:beforeAutospacing="0" w:after="0" w:afterAutospacing="0" w:line="360" w:lineRule="auto"/>
        <w:ind w:firstLine="480" w:firstLineChars="200"/>
        <w:jc w:val="both"/>
      </w:pPr>
      <w:r>
        <w:rPr>
          <w:rStyle w:val="26"/>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hd w:val="clear" w:color="auto" w:fill="FFFFFF"/>
        <w:spacing w:before="0" w:beforeAutospacing="0" w:after="0" w:afterAutospacing="0" w:line="360" w:lineRule="auto"/>
        <w:ind w:firstLine="480" w:firstLineChars="200"/>
        <w:jc w:val="both"/>
      </w:pPr>
      <w:r>
        <w:rPr>
          <w:rStyle w:val="26"/>
          <w:rFonts w:hint="eastAsia"/>
        </w:rPr>
        <w:t>本单位对上述声明的真实性负责。如有虚假，将依法承担相应责任。</w:t>
      </w:r>
    </w:p>
    <w:p>
      <w:pPr>
        <w:pStyle w:val="25"/>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5"/>
        <w:shd w:val="clear" w:color="auto" w:fill="FFFFFF"/>
        <w:spacing w:before="0" w:beforeAutospacing="0" w:after="0" w:afterAutospacing="0" w:line="360" w:lineRule="auto"/>
        <w:ind w:firstLine="480" w:firstLineChars="200"/>
        <w:jc w:val="both"/>
      </w:pPr>
    </w:p>
    <w:p>
      <w:pPr>
        <w:pStyle w:val="25"/>
        <w:shd w:val="clear" w:color="auto" w:fill="FFFFFF"/>
        <w:spacing w:before="0" w:beforeAutospacing="0" w:after="0" w:afterAutospacing="0" w:line="360" w:lineRule="auto"/>
        <w:ind w:right="2100" w:rightChars="1000"/>
        <w:jc w:val="right"/>
      </w:pPr>
      <w:r>
        <w:rPr>
          <w:rStyle w:val="26"/>
          <w:rFonts w:hint="eastAsia"/>
        </w:rPr>
        <w:t>单位名称（盖章）：</w:t>
      </w:r>
    </w:p>
    <w:p>
      <w:pPr>
        <w:pStyle w:val="25"/>
        <w:shd w:val="clear" w:color="auto" w:fill="FFFFFF"/>
        <w:spacing w:before="0" w:beforeAutospacing="0" w:after="0" w:afterAutospacing="0" w:line="360" w:lineRule="auto"/>
        <w:ind w:right="2100" w:rightChars="1000"/>
        <w:jc w:val="right"/>
        <w:rPr>
          <w:lang w:val="fr-CH"/>
        </w:rPr>
      </w:pPr>
      <w:r>
        <w:rPr>
          <w:rStyle w:val="26"/>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4">
    <w:nsid w:val="557559BE"/>
    <w:multiLevelType w:val="singleLevel"/>
    <w:tmpl w:val="557559BE"/>
    <w:lvl w:ilvl="0" w:tentative="0">
      <w:start w:val="2"/>
      <w:numFmt w:val="chineseCounting"/>
      <w:suff w:val="nothing"/>
      <w:lvlText w:val="（%1）"/>
      <w:lvlJc w:val="left"/>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YmQyNDUzMGYxYWIxNjRiZjk1NzE3MDAwNmE1MzIifQ=="/>
  </w:docVars>
  <w:rsids>
    <w:rsidRoot w:val="6EAF2D51"/>
    <w:rsid w:val="00017FCE"/>
    <w:rsid w:val="00124EC9"/>
    <w:rsid w:val="001776C6"/>
    <w:rsid w:val="001A3E13"/>
    <w:rsid w:val="001F6E1E"/>
    <w:rsid w:val="00225CBB"/>
    <w:rsid w:val="002535E0"/>
    <w:rsid w:val="002F4EA6"/>
    <w:rsid w:val="00374261"/>
    <w:rsid w:val="003B25D5"/>
    <w:rsid w:val="003D3ACE"/>
    <w:rsid w:val="00427844"/>
    <w:rsid w:val="00432A7B"/>
    <w:rsid w:val="004423B7"/>
    <w:rsid w:val="004D7AF3"/>
    <w:rsid w:val="0052207C"/>
    <w:rsid w:val="00591B04"/>
    <w:rsid w:val="005B78EF"/>
    <w:rsid w:val="005C5C0A"/>
    <w:rsid w:val="006C082E"/>
    <w:rsid w:val="006C611C"/>
    <w:rsid w:val="006D4FC8"/>
    <w:rsid w:val="00703097"/>
    <w:rsid w:val="00717EEE"/>
    <w:rsid w:val="00737EA8"/>
    <w:rsid w:val="00746103"/>
    <w:rsid w:val="00796F4B"/>
    <w:rsid w:val="007A2E35"/>
    <w:rsid w:val="007D66E0"/>
    <w:rsid w:val="007F7398"/>
    <w:rsid w:val="00827F8D"/>
    <w:rsid w:val="00850E6D"/>
    <w:rsid w:val="00880733"/>
    <w:rsid w:val="00902ECA"/>
    <w:rsid w:val="0096006E"/>
    <w:rsid w:val="009E7AED"/>
    <w:rsid w:val="00A03BB2"/>
    <w:rsid w:val="00A80FFB"/>
    <w:rsid w:val="00AA16E5"/>
    <w:rsid w:val="00AC6EFE"/>
    <w:rsid w:val="00B73AE6"/>
    <w:rsid w:val="00BA1E1C"/>
    <w:rsid w:val="00C65D2D"/>
    <w:rsid w:val="00CE15CF"/>
    <w:rsid w:val="00D059B6"/>
    <w:rsid w:val="00D2752B"/>
    <w:rsid w:val="00E42C72"/>
    <w:rsid w:val="00E46C5B"/>
    <w:rsid w:val="00E50781"/>
    <w:rsid w:val="00E75D82"/>
    <w:rsid w:val="00F07AB5"/>
    <w:rsid w:val="00F75C11"/>
    <w:rsid w:val="00FE3412"/>
    <w:rsid w:val="00FF1583"/>
    <w:rsid w:val="077AF5D6"/>
    <w:rsid w:val="0BF67D6A"/>
    <w:rsid w:val="0DBFF8A4"/>
    <w:rsid w:val="0F9B909F"/>
    <w:rsid w:val="0FA94F43"/>
    <w:rsid w:val="0FFE3C2D"/>
    <w:rsid w:val="126D9995"/>
    <w:rsid w:val="1797A8E8"/>
    <w:rsid w:val="17AFCD58"/>
    <w:rsid w:val="17BF9709"/>
    <w:rsid w:val="17DFB82A"/>
    <w:rsid w:val="17F917F2"/>
    <w:rsid w:val="18143FCB"/>
    <w:rsid w:val="19FA3545"/>
    <w:rsid w:val="1A035868"/>
    <w:rsid w:val="1B7F54A3"/>
    <w:rsid w:val="1B7FF535"/>
    <w:rsid w:val="1BBFE1C1"/>
    <w:rsid w:val="1BFDEAE4"/>
    <w:rsid w:val="1BFFE856"/>
    <w:rsid w:val="1CBF97F2"/>
    <w:rsid w:val="1DEBDB17"/>
    <w:rsid w:val="1E7EB620"/>
    <w:rsid w:val="1EF7CA78"/>
    <w:rsid w:val="1EFF6F72"/>
    <w:rsid w:val="1F25C25A"/>
    <w:rsid w:val="1F5BAC61"/>
    <w:rsid w:val="1F6EF29D"/>
    <w:rsid w:val="1F7F4BF3"/>
    <w:rsid w:val="1FAFF4B3"/>
    <w:rsid w:val="1FB7081D"/>
    <w:rsid w:val="1FBAC58D"/>
    <w:rsid w:val="1FBBF8DB"/>
    <w:rsid w:val="1FD6A300"/>
    <w:rsid w:val="1FD96C40"/>
    <w:rsid w:val="1FFF9FA2"/>
    <w:rsid w:val="23BF0D43"/>
    <w:rsid w:val="2675E140"/>
    <w:rsid w:val="271F938A"/>
    <w:rsid w:val="27E880B4"/>
    <w:rsid w:val="27F26299"/>
    <w:rsid w:val="27F55E0F"/>
    <w:rsid w:val="27FE33CE"/>
    <w:rsid w:val="2AADC391"/>
    <w:rsid w:val="2ADF707C"/>
    <w:rsid w:val="2B7D0165"/>
    <w:rsid w:val="2BB9C8F2"/>
    <w:rsid w:val="2BFB6E8B"/>
    <w:rsid w:val="2BFFB032"/>
    <w:rsid w:val="2C5FE643"/>
    <w:rsid w:val="2C667A3B"/>
    <w:rsid w:val="2DFF5839"/>
    <w:rsid w:val="2E3E806D"/>
    <w:rsid w:val="2EEF79C5"/>
    <w:rsid w:val="2EF7EE3A"/>
    <w:rsid w:val="2F4C0476"/>
    <w:rsid w:val="2F6F2DA0"/>
    <w:rsid w:val="2F6F565C"/>
    <w:rsid w:val="2F7FF788"/>
    <w:rsid w:val="2F9B0E34"/>
    <w:rsid w:val="2FB77A4C"/>
    <w:rsid w:val="2FEAA120"/>
    <w:rsid w:val="2FFDCAA5"/>
    <w:rsid w:val="317F7117"/>
    <w:rsid w:val="31B72E5C"/>
    <w:rsid w:val="32FF0317"/>
    <w:rsid w:val="337AE2D6"/>
    <w:rsid w:val="33DEF139"/>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97B1CE6"/>
    <w:rsid w:val="39FF7352"/>
    <w:rsid w:val="3A8F174A"/>
    <w:rsid w:val="3B3FC881"/>
    <w:rsid w:val="3B6E5B2D"/>
    <w:rsid w:val="3B7BF8D1"/>
    <w:rsid w:val="3BF3F690"/>
    <w:rsid w:val="3BFFAFAC"/>
    <w:rsid w:val="3C6FA9D3"/>
    <w:rsid w:val="3C7E738D"/>
    <w:rsid w:val="3C9FAAB0"/>
    <w:rsid w:val="3CBF52AA"/>
    <w:rsid w:val="3D6F35BF"/>
    <w:rsid w:val="3DBDE794"/>
    <w:rsid w:val="3DBFC698"/>
    <w:rsid w:val="3DDF4999"/>
    <w:rsid w:val="3DEAAE5D"/>
    <w:rsid w:val="3DFEF73F"/>
    <w:rsid w:val="3E31A9C9"/>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11D6E52"/>
    <w:rsid w:val="42164AE8"/>
    <w:rsid w:val="4295484B"/>
    <w:rsid w:val="46ED03CC"/>
    <w:rsid w:val="47E9A1A0"/>
    <w:rsid w:val="49BEA124"/>
    <w:rsid w:val="4CFB6B2C"/>
    <w:rsid w:val="4D1DB812"/>
    <w:rsid w:val="4D7DD605"/>
    <w:rsid w:val="4DAFC284"/>
    <w:rsid w:val="4DBB3E33"/>
    <w:rsid w:val="4DE3154B"/>
    <w:rsid w:val="4DF5D2BF"/>
    <w:rsid w:val="4ECD7EB5"/>
    <w:rsid w:val="4EDE35AC"/>
    <w:rsid w:val="4F7E3902"/>
    <w:rsid w:val="4F9F214B"/>
    <w:rsid w:val="4FF395E6"/>
    <w:rsid w:val="4FFA569E"/>
    <w:rsid w:val="4FFF7B66"/>
    <w:rsid w:val="51BCFBE2"/>
    <w:rsid w:val="51FF628E"/>
    <w:rsid w:val="522BBFAA"/>
    <w:rsid w:val="53401509"/>
    <w:rsid w:val="536F6462"/>
    <w:rsid w:val="53BD2119"/>
    <w:rsid w:val="5567BD2F"/>
    <w:rsid w:val="557D857A"/>
    <w:rsid w:val="557F84E0"/>
    <w:rsid w:val="55E7D38E"/>
    <w:rsid w:val="55F80356"/>
    <w:rsid w:val="55FF196E"/>
    <w:rsid w:val="56C7BF65"/>
    <w:rsid w:val="56DEF74B"/>
    <w:rsid w:val="56F52AF0"/>
    <w:rsid w:val="575DDB48"/>
    <w:rsid w:val="57A782E9"/>
    <w:rsid w:val="57BD2EED"/>
    <w:rsid w:val="57F758DB"/>
    <w:rsid w:val="57FF3DFF"/>
    <w:rsid w:val="57FFB7BC"/>
    <w:rsid w:val="593739B8"/>
    <w:rsid w:val="59DFFD93"/>
    <w:rsid w:val="5ABB1050"/>
    <w:rsid w:val="5AF93469"/>
    <w:rsid w:val="5B5D2F92"/>
    <w:rsid w:val="5B7DDC28"/>
    <w:rsid w:val="5B7F624A"/>
    <w:rsid w:val="5BE72AE1"/>
    <w:rsid w:val="5BEB75A4"/>
    <w:rsid w:val="5BFFD5F5"/>
    <w:rsid w:val="5C13747D"/>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63A1"/>
    <w:rsid w:val="5F2D046E"/>
    <w:rsid w:val="5F3EE51C"/>
    <w:rsid w:val="5F4E1719"/>
    <w:rsid w:val="5F4ED10A"/>
    <w:rsid w:val="5F622E52"/>
    <w:rsid w:val="5F7D5BE8"/>
    <w:rsid w:val="5F7F3DD2"/>
    <w:rsid w:val="5F7F49C8"/>
    <w:rsid w:val="5FDF10FF"/>
    <w:rsid w:val="5FDFE6D0"/>
    <w:rsid w:val="5FED422E"/>
    <w:rsid w:val="5FF6893A"/>
    <w:rsid w:val="5FF8AACB"/>
    <w:rsid w:val="5FFB4E30"/>
    <w:rsid w:val="5FFB4F3D"/>
    <w:rsid w:val="5FFB4F7C"/>
    <w:rsid w:val="5FFD8CB0"/>
    <w:rsid w:val="5FFF5037"/>
    <w:rsid w:val="5FFFE862"/>
    <w:rsid w:val="61FF5178"/>
    <w:rsid w:val="62BD4574"/>
    <w:rsid w:val="63B63069"/>
    <w:rsid w:val="65655C60"/>
    <w:rsid w:val="6593F782"/>
    <w:rsid w:val="65BE74B1"/>
    <w:rsid w:val="65FD1E19"/>
    <w:rsid w:val="65FE0871"/>
    <w:rsid w:val="6609095A"/>
    <w:rsid w:val="66E7865B"/>
    <w:rsid w:val="66F7B9BD"/>
    <w:rsid w:val="66FF70F4"/>
    <w:rsid w:val="67CD7F64"/>
    <w:rsid w:val="67E75822"/>
    <w:rsid w:val="67FBCA81"/>
    <w:rsid w:val="67FEC540"/>
    <w:rsid w:val="67FF8842"/>
    <w:rsid w:val="692A7449"/>
    <w:rsid w:val="6B0F7019"/>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BF5DB7"/>
    <w:rsid w:val="72BD5FD5"/>
    <w:rsid w:val="72BF09DC"/>
    <w:rsid w:val="72EB5790"/>
    <w:rsid w:val="72F3DFB7"/>
    <w:rsid w:val="733EE3F5"/>
    <w:rsid w:val="735EF94D"/>
    <w:rsid w:val="735F9F05"/>
    <w:rsid w:val="737B2761"/>
    <w:rsid w:val="73AF6EDB"/>
    <w:rsid w:val="73B384CE"/>
    <w:rsid w:val="73DF4221"/>
    <w:rsid w:val="73F4BBD3"/>
    <w:rsid w:val="73F5007A"/>
    <w:rsid w:val="73FEB008"/>
    <w:rsid w:val="73FF3C21"/>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F1A2F4"/>
    <w:rsid w:val="7B1DA959"/>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96FA24"/>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60" w:line="360" w:lineRule="auto"/>
      <w:ind w:firstLine="480" w:firstLineChars="200"/>
    </w:pPr>
    <w:rPr>
      <w:kern w:val="0"/>
      <w:sz w:val="24"/>
    </w:rPr>
  </w:style>
  <w:style w:type="paragraph" w:styleId="3">
    <w:name w:val="Body Text Indent"/>
    <w:basedOn w:val="1"/>
    <w:qFormat/>
    <w:uiPriority w:val="0"/>
    <w:pPr>
      <w:spacing w:after="120"/>
      <w:ind w:left="420" w:leftChars="200"/>
    </w:pPr>
  </w:style>
  <w:style w:type="paragraph" w:styleId="5">
    <w:name w:val="annotation text"/>
    <w:basedOn w:val="1"/>
    <w:link w:val="29"/>
    <w:unhideWhenUsed/>
    <w:qFormat/>
    <w:uiPriority w:val="0"/>
    <w:pPr>
      <w:jc w:val="left"/>
    </w:pPr>
    <w:rPr>
      <w:kern w:val="0"/>
      <w:sz w:val="20"/>
    </w:rPr>
  </w:style>
  <w:style w:type="paragraph" w:styleId="6">
    <w:name w:val="Body Text"/>
    <w:basedOn w:val="1"/>
    <w:next w:val="1"/>
    <w:link w:val="32"/>
    <w:unhideWhenUsed/>
    <w:qFormat/>
    <w:uiPriority w:val="0"/>
    <w:pPr>
      <w:spacing w:after="120"/>
    </w:p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Balloon Text"/>
    <w:basedOn w:val="1"/>
    <w:link w:val="27"/>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5"/>
    <w:next w:val="5"/>
    <w:link w:val="30"/>
    <w:qFormat/>
    <w:uiPriority w:val="0"/>
    <w:rPr>
      <w:b/>
      <w:bCs/>
      <w:kern w:val="2"/>
      <w:sz w:val="21"/>
    </w:rPr>
  </w:style>
  <w:style w:type="paragraph" w:styleId="17">
    <w:name w:val="Body Text First Indent"/>
    <w:basedOn w:val="6"/>
    <w:qFormat/>
    <w:uiPriority w:val="0"/>
    <w:pPr>
      <w:ind w:firstLine="420" w:firstLineChars="100"/>
    </w:pPr>
  </w:style>
  <w:style w:type="character" w:styleId="20">
    <w:name w:val="page number"/>
    <w:qFormat/>
    <w:uiPriority w:val="0"/>
  </w:style>
  <w:style w:type="character" w:styleId="21">
    <w:name w:val="annotation reference"/>
    <w:unhideWhenUsed/>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3">
    <w:name w:val="列出段落2"/>
    <w:basedOn w:val="1"/>
    <w:qFormat/>
    <w:uiPriority w:val="34"/>
    <w:pPr>
      <w:ind w:firstLine="420" w:firstLineChars="200"/>
    </w:pPr>
  </w:style>
  <w:style w:type="paragraph" w:customStyle="1" w:styleId="24">
    <w:name w:val="Table Paragraph"/>
    <w:basedOn w:val="1"/>
    <w:qFormat/>
    <w:uiPriority w:val="0"/>
    <w:pPr>
      <w:autoSpaceDE w:val="0"/>
      <w:autoSpaceDN w:val="0"/>
      <w:jc w:val="left"/>
    </w:pPr>
    <w:rPr>
      <w:rFonts w:ascii="宋体" w:hAnsi="宋体" w:cs="宋体"/>
      <w:kern w:val="0"/>
      <w:sz w:val="22"/>
      <w:szCs w:val="22"/>
    </w:rPr>
  </w:style>
  <w:style w:type="paragraph" w:customStyle="1" w:styleId="2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qowt-font5-gb2312"/>
    <w:qFormat/>
    <w:uiPriority w:val="0"/>
  </w:style>
  <w:style w:type="character" w:customStyle="1" w:styleId="27">
    <w:name w:val="批注框文本 字符"/>
    <w:basedOn w:val="19"/>
    <w:link w:val="9"/>
    <w:qFormat/>
    <w:uiPriority w:val="0"/>
    <w:rPr>
      <w:kern w:val="2"/>
      <w:sz w:val="18"/>
      <w:szCs w:val="18"/>
    </w:rPr>
  </w:style>
  <w:style w:type="character" w:customStyle="1" w:styleId="28">
    <w:name w:val="页眉 字符"/>
    <w:basedOn w:val="19"/>
    <w:link w:val="11"/>
    <w:qFormat/>
    <w:uiPriority w:val="0"/>
    <w:rPr>
      <w:kern w:val="2"/>
      <w:sz w:val="18"/>
      <w:szCs w:val="18"/>
    </w:rPr>
  </w:style>
  <w:style w:type="character" w:customStyle="1" w:styleId="29">
    <w:name w:val="批注文字 字符"/>
    <w:basedOn w:val="19"/>
    <w:link w:val="5"/>
    <w:qFormat/>
    <w:uiPriority w:val="0"/>
    <w:rPr>
      <w:szCs w:val="24"/>
    </w:rPr>
  </w:style>
  <w:style w:type="character" w:customStyle="1" w:styleId="30">
    <w:name w:val="批注主题 字符"/>
    <w:basedOn w:val="29"/>
    <w:link w:val="16"/>
    <w:qFormat/>
    <w:uiPriority w:val="0"/>
    <w:rPr>
      <w:b/>
      <w:bCs/>
      <w:kern w:val="2"/>
      <w:sz w:val="21"/>
      <w:szCs w:val="24"/>
    </w:rPr>
  </w:style>
  <w:style w:type="paragraph" w:customStyle="1" w:styleId="31">
    <w:name w:val="msolistparagraph"/>
    <w:basedOn w:val="1"/>
    <w:qFormat/>
    <w:uiPriority w:val="0"/>
    <w:pPr>
      <w:ind w:firstLine="420" w:firstLineChars="200"/>
    </w:pPr>
  </w:style>
  <w:style w:type="character" w:customStyle="1" w:styleId="32">
    <w:name w:val="正文文本 字符"/>
    <w:basedOn w:val="19"/>
    <w:link w:val="6"/>
    <w:qFormat/>
    <w:uiPriority w:val="0"/>
    <w:rPr>
      <w:kern w:val="2"/>
      <w:sz w:val="21"/>
      <w:szCs w:val="24"/>
    </w:rPr>
  </w:style>
  <w:style w:type="paragraph" w:customStyle="1" w:styleId="33">
    <w:name w:val="列出段落1"/>
    <w:basedOn w:val="1"/>
    <w:qFormat/>
    <w:uiPriority w:val="0"/>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6771</Words>
  <Characters>38595</Characters>
  <Lines>321</Lines>
  <Paragraphs>90</Paragraphs>
  <TotalTime>0</TotalTime>
  <ScaleCrop>false</ScaleCrop>
  <LinksUpToDate>false</LinksUpToDate>
  <CharactersWithSpaces>45276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2023-05-15T00:46:00Z</dcterms:created>
  <dc:creator>黄雅静</dc:creator>
  <cp:lastModifiedBy>陈可欣</cp:lastModifiedBy>
  <cp:lastPrinted>2023-04-21T16:51:00Z</cp:lastPrinted>
  <dcterms:modified xsi:type="dcterms:W3CDTF">2024-07-10T08:26:49Z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965FC8DB942B48BFAED08BCFCFDDD2EC_13</vt:lpwstr>
  </property>
</Properties>
</file>