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41"/>
        <w:ind w:firstLine="420"/>
        <w:rPr>
          <w:rFonts w:ascii="宋体" w:hAnsi="宋体" w:cs="宋体"/>
        </w:rPr>
      </w:pPr>
    </w:p>
    <w:p>
      <w:pPr>
        <w:pStyle w:val="41"/>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招标编号：QH2023073</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41"/>
        <w:ind w:firstLine="420"/>
        <w:rPr>
          <w:rFonts w:ascii="宋体" w:hAnsi="宋体" w:cs="宋体"/>
        </w:rPr>
      </w:pPr>
    </w:p>
    <w:p>
      <w:pPr>
        <w:pStyle w:val="41"/>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ascii="宋体" w:hAnsi="宋体" w:cs="宋体"/>
          <w:b/>
          <w:sz w:val="36"/>
          <w:szCs w:val="36"/>
          <w:lang w:eastAsia="zh-Hans"/>
        </w:rPr>
        <w:t>前海成立十三周年城市变化专题影片制作项目</w:t>
      </w:r>
    </w:p>
    <w:p>
      <w:pPr>
        <w:ind w:firstLine="3264" w:firstLineChars="739"/>
        <w:rPr>
          <w:rFonts w:ascii="宋体" w:hAnsi="宋体" w:cs="宋体"/>
          <w:b/>
          <w:sz w:val="44"/>
        </w:rPr>
      </w:pPr>
    </w:p>
    <w:p>
      <w:pPr>
        <w:pStyle w:val="41"/>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7</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8</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11</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24</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29</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57</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文件编码: </w:t>
      </w:r>
      <w:r>
        <w:rPr>
          <w:rFonts w:ascii="宋体" w:hAnsi="宋体" w:cs="宋体"/>
          <w:sz w:val="24"/>
        </w:rPr>
        <w:t>QH2023073</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前海成立十三周年城市变化专题影片制作项目（招标编号：</w:t>
      </w:r>
      <w:r>
        <w:rPr>
          <w:rFonts w:ascii="宋体" w:hAnsi="宋体" w:cs="宋体"/>
          <w:sz w:val="24"/>
        </w:rPr>
        <w:t>QH2023073</w:t>
      </w:r>
      <w:r>
        <w:rPr>
          <w:rFonts w:hint="eastAsia" w:ascii="宋体" w:hAnsi="宋体" w:cs="宋体"/>
          <w:sz w:val="24"/>
        </w:rPr>
        <w:t>）采用公开征集供应商简易招标方式采购，欢迎符合投标人资格要求的专业供应商积极参加投标。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ascii="宋体" w:hAnsi="宋体" w:cs="宋体"/>
                <w:sz w:val="24"/>
              </w:rPr>
              <w:t>QH2023073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前海成立十三周年城市变化专题影片制作项目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41"/>
              <w:ind w:firstLine="0" w:firstLineChars="0"/>
              <w:rPr>
                <w:sz w:val="24"/>
                <w:szCs w:val="24"/>
              </w:rPr>
            </w:pPr>
            <w:bookmarkStart w:id="3" w:name="_Hlk109907681"/>
            <w:r>
              <w:rPr>
                <w:rFonts w:hint="eastAsia"/>
                <w:b/>
                <w:bCs/>
                <w:sz w:val="24"/>
                <w:szCs w:val="24"/>
              </w:rPr>
              <w:t>项目背景</w:t>
            </w:r>
            <w:r>
              <w:rPr>
                <w:rFonts w:hint="eastAsia"/>
                <w:sz w:val="24"/>
                <w:szCs w:val="24"/>
              </w:rPr>
              <w:t>：</w:t>
            </w:r>
          </w:p>
          <w:p>
            <w:pPr>
              <w:spacing w:line="360" w:lineRule="auto"/>
              <w:ind w:firstLine="480" w:firstLineChars="200"/>
              <w:rPr>
                <w:rFonts w:ascii="宋体" w:hAnsi="宋体" w:cs="宋体"/>
                <w:sz w:val="24"/>
              </w:rPr>
            </w:pPr>
            <w:r>
              <w:rPr>
                <w:rFonts w:ascii="宋体" w:hAnsi="宋体" w:cs="宋体"/>
                <w:sz w:val="24"/>
              </w:rPr>
              <w:t>2012</w:t>
            </w:r>
            <w:r>
              <w:rPr>
                <w:rFonts w:hint="eastAsia" w:ascii="宋体" w:hAnsi="宋体" w:cs="宋体"/>
                <w:sz w:val="24"/>
                <w:lang w:eastAsia="zh-Hans"/>
              </w:rPr>
              <w:t>年</w:t>
            </w:r>
            <w:r>
              <w:rPr>
                <w:rFonts w:hint="eastAsia" w:ascii="宋体" w:hAnsi="宋体" w:cs="宋体"/>
                <w:sz w:val="24"/>
              </w:rPr>
              <w:t>，党的十八大后，习近平总书记首次离京视察，第一站就来到前海，在前海石旁，他深情寄语前海：“精耕细作，精雕细琢，一年一个样，一张白纸，从零开始，画出最美最好的图画。</w:t>
            </w:r>
            <w:r>
              <w:rPr>
                <w:rFonts w:ascii="宋体" w:hAnsi="宋体" w:cs="宋体"/>
                <w:sz w:val="24"/>
              </w:rPr>
              <w:t>2022</w:t>
            </w:r>
            <w:r>
              <w:rPr>
                <w:rFonts w:hint="eastAsia" w:ascii="宋体" w:hAnsi="宋体" w:cs="宋体"/>
                <w:sz w:val="24"/>
                <w:lang w:eastAsia="zh-Hans"/>
              </w:rPr>
              <w:t>年</w:t>
            </w:r>
            <w:r>
              <w:rPr>
                <w:rFonts w:ascii="宋体" w:hAnsi="宋体" w:cs="宋体"/>
                <w:sz w:val="24"/>
                <w:lang w:eastAsia="zh-Hans"/>
              </w:rPr>
              <w:t>，《</w:t>
            </w:r>
            <w:r>
              <w:rPr>
                <w:rFonts w:hint="eastAsia" w:ascii="宋体" w:hAnsi="宋体" w:cs="宋体"/>
                <w:sz w:val="24"/>
                <w:lang w:eastAsia="zh-Hans"/>
              </w:rPr>
              <w:t>新闻联播</w:t>
            </w:r>
            <w:r>
              <w:rPr>
                <w:rFonts w:ascii="宋体" w:hAnsi="宋体" w:cs="宋体"/>
                <w:sz w:val="24"/>
                <w:lang w:eastAsia="zh-Hans"/>
              </w:rPr>
              <w:t>》</w:t>
            </w:r>
            <w:r>
              <w:rPr>
                <w:rFonts w:hint="eastAsia" w:ascii="宋体" w:hAnsi="宋体" w:cs="宋体"/>
                <w:sz w:val="24"/>
                <w:lang w:eastAsia="zh-Hans"/>
              </w:rPr>
              <w:t>报道称</w:t>
            </w:r>
            <w:r>
              <w:rPr>
                <w:rFonts w:ascii="宋体" w:hAnsi="宋体" w:cs="宋体"/>
                <w:sz w:val="24"/>
                <w:lang w:eastAsia="zh-Hans"/>
              </w:rPr>
              <w:t>，</w:t>
            </w:r>
            <w:r>
              <w:rPr>
                <w:rFonts w:hint="eastAsia" w:ascii="宋体" w:hAnsi="宋体" w:cs="宋体"/>
                <w:sz w:val="24"/>
              </w:rPr>
              <w:t>前海是中国城市空间形态变化最大的区域之一。前海已从一片泥泞滩涂、工地到树影婆娑、高楼林立，俨然成为国际化城市新中心。</w:t>
            </w:r>
          </w:p>
          <w:p>
            <w:pPr>
              <w:spacing w:line="360" w:lineRule="auto"/>
              <w:ind w:firstLine="480" w:firstLineChars="200"/>
              <w:rPr>
                <w:rFonts w:ascii="宋体" w:hAnsi="宋体" w:cs="宋体"/>
                <w:kern w:val="0"/>
                <w:sz w:val="24"/>
              </w:rPr>
            </w:pPr>
            <w:r>
              <w:rPr>
                <w:rFonts w:hint="eastAsia" w:ascii="宋体" w:hAnsi="宋体" w:cs="宋体"/>
                <w:sz w:val="24"/>
              </w:rPr>
              <w:t>为全面展现前海深入</w:t>
            </w:r>
            <w:r>
              <w:rPr>
                <w:rFonts w:hint="eastAsia" w:ascii="宋体" w:hAnsi="宋体" w:cs="宋体"/>
                <w:sz w:val="24"/>
                <w:lang w:eastAsia="zh-Hans"/>
              </w:rPr>
              <w:t>学习</w:t>
            </w:r>
            <w:r>
              <w:rPr>
                <w:rFonts w:hint="eastAsia" w:ascii="宋体" w:hAnsi="宋体" w:cs="宋体"/>
                <w:sz w:val="24"/>
              </w:rPr>
              <w:t>贯彻落实党的二十大精神，坚持依托香港、服务内地、面向世界，牢牢把握“扩区”和“改革开放”两个重点，奋力将前海打造</w:t>
            </w:r>
            <w:r>
              <w:rPr>
                <w:rFonts w:hint="eastAsia" w:ascii="宋体" w:hAnsi="宋体" w:cs="宋体"/>
                <w:sz w:val="24"/>
                <w:lang w:eastAsia="zh-Hans"/>
              </w:rPr>
              <w:t>国际化城市新中心</w:t>
            </w:r>
            <w:r>
              <w:rPr>
                <w:rFonts w:hint="eastAsia" w:ascii="宋体" w:hAnsi="宋体" w:cs="宋体"/>
                <w:sz w:val="24"/>
              </w:rPr>
              <w:t>，拟</w:t>
            </w:r>
            <w:r>
              <w:rPr>
                <w:rFonts w:hint="eastAsia" w:ascii="宋体" w:hAnsi="宋体" w:cs="宋体"/>
                <w:sz w:val="24"/>
                <w:lang w:eastAsia="zh-Hans"/>
              </w:rPr>
              <w:t>采购</w:t>
            </w:r>
            <w:r>
              <w:rPr>
                <w:rFonts w:hint="eastAsia" w:ascii="宋体" w:hAnsi="宋体" w:cs="宋体"/>
                <w:sz w:val="24"/>
              </w:rPr>
              <w:t>前海成立十三周年城市变化专题影片制作项目，</w:t>
            </w:r>
            <w:r>
              <w:rPr>
                <w:rFonts w:hint="eastAsia" w:ascii="宋体" w:hAnsi="宋体" w:cs="宋体"/>
                <w:sz w:val="24"/>
                <w:lang w:eastAsia="zh-Hans"/>
              </w:rPr>
              <w:t>通过制作专题影片</w:t>
            </w:r>
            <w:r>
              <w:rPr>
                <w:rFonts w:ascii="宋体" w:hAnsi="宋体" w:cs="宋体"/>
                <w:sz w:val="24"/>
                <w:lang w:eastAsia="zh-Hans"/>
              </w:rPr>
              <w:t>，</w:t>
            </w:r>
            <w:r>
              <w:rPr>
                <w:rFonts w:hint="eastAsia" w:ascii="宋体" w:hAnsi="宋体" w:cs="宋体"/>
                <w:sz w:val="24"/>
              </w:rPr>
              <w:t>全方位、立体化呈现</w:t>
            </w:r>
            <w:r>
              <w:rPr>
                <w:rFonts w:hint="eastAsia" w:ascii="宋体" w:hAnsi="宋体" w:cs="宋体"/>
                <w:sz w:val="24"/>
                <w:lang w:eastAsia="zh-Hans"/>
              </w:rPr>
              <w:t>前海的</w:t>
            </w:r>
            <w:r>
              <w:rPr>
                <w:rFonts w:hint="eastAsia" w:ascii="宋体" w:hAnsi="宋体" w:cs="宋体"/>
                <w:sz w:val="24"/>
              </w:rPr>
              <w:t>发展态势，用于</w:t>
            </w:r>
            <w:r>
              <w:rPr>
                <w:rFonts w:hint="eastAsia" w:ascii="宋体" w:hAnsi="宋体" w:cs="宋体"/>
                <w:sz w:val="24"/>
                <w:lang w:eastAsia="zh-Hans"/>
              </w:rPr>
              <w:t>官方宣传和形象展示</w:t>
            </w:r>
            <w:r>
              <w:rPr>
                <w:rFonts w:hint="eastAsia" w:ascii="宋体" w:hAnsi="宋体" w:cs="宋体"/>
                <w:sz w:val="24"/>
              </w:rPr>
              <w:t>等</w:t>
            </w:r>
            <w:r>
              <w:rPr>
                <w:rFonts w:hint="eastAsia" w:ascii="宋体" w:hAnsi="宋体" w:cs="宋体"/>
                <w:kern w:val="0"/>
                <w:sz w:val="24"/>
              </w:rPr>
              <w:t>。</w:t>
            </w:r>
          </w:p>
          <w:p>
            <w:pPr>
              <w:pStyle w:val="41"/>
              <w:ind w:firstLine="0" w:firstLineChars="0"/>
              <w:rPr>
                <w:sz w:val="24"/>
                <w:szCs w:val="24"/>
              </w:rPr>
            </w:pPr>
            <w:r>
              <w:rPr>
                <w:rFonts w:hint="eastAsia"/>
                <w:b/>
                <w:bCs/>
                <w:sz w:val="24"/>
                <w:szCs w:val="24"/>
              </w:rPr>
              <w:t>项目内容</w:t>
            </w:r>
            <w:r>
              <w:rPr>
                <w:rFonts w:hint="eastAsia"/>
                <w:sz w:val="24"/>
                <w:szCs w:val="24"/>
              </w:rPr>
              <w:t>：</w:t>
            </w:r>
          </w:p>
          <w:bookmarkEnd w:id="3"/>
          <w:p>
            <w:pPr>
              <w:pStyle w:val="41"/>
              <w:ind w:firstLine="480"/>
              <w:rPr>
                <w:sz w:val="24"/>
                <w:szCs w:val="24"/>
              </w:rPr>
            </w:pPr>
            <w:r>
              <w:rPr>
                <w:rFonts w:hint="eastAsia"/>
                <w:sz w:val="24"/>
                <w:szCs w:val="24"/>
              </w:rPr>
              <w:t>项目主要工作内容为结合</w:t>
            </w:r>
            <w:r>
              <w:rPr>
                <w:rFonts w:hint="eastAsia"/>
                <w:sz w:val="24"/>
                <w:szCs w:val="24"/>
                <w:lang w:eastAsia="zh-Hans"/>
              </w:rPr>
              <w:t>前海</w:t>
            </w:r>
            <w:r>
              <w:rPr>
                <w:rFonts w:hint="eastAsia"/>
                <w:sz w:val="24"/>
                <w:szCs w:val="24"/>
              </w:rPr>
              <w:t>最新</w:t>
            </w:r>
            <w:r>
              <w:rPr>
                <w:rFonts w:hint="eastAsia"/>
                <w:sz w:val="24"/>
                <w:szCs w:val="24"/>
                <w:lang w:eastAsia="zh-Hans"/>
              </w:rPr>
              <w:t>建设成果</w:t>
            </w:r>
            <w:r>
              <w:rPr>
                <w:sz w:val="24"/>
                <w:szCs w:val="24"/>
                <w:lang w:eastAsia="zh-Hans"/>
              </w:rPr>
              <w:t>、</w:t>
            </w:r>
            <w:r>
              <w:rPr>
                <w:rFonts w:hint="eastAsia"/>
                <w:sz w:val="24"/>
                <w:szCs w:val="24"/>
                <w:lang w:eastAsia="zh-Hans"/>
              </w:rPr>
              <w:t>扩区后城市变化制作前海专题影片</w:t>
            </w:r>
            <w:r>
              <w:rPr>
                <w:rFonts w:hint="eastAsia"/>
                <w:sz w:val="24"/>
                <w:szCs w:val="24"/>
              </w:rPr>
              <w:t>。具体制作要求如下：</w:t>
            </w:r>
          </w:p>
          <w:p>
            <w:pPr>
              <w:pStyle w:val="41"/>
              <w:ind w:firstLine="480"/>
              <w:rPr>
                <w:sz w:val="24"/>
                <w:szCs w:val="24"/>
              </w:rPr>
            </w:pPr>
            <w:r>
              <w:rPr>
                <w:rFonts w:hint="eastAsia"/>
                <w:sz w:val="24"/>
                <w:szCs w:val="24"/>
              </w:rPr>
              <w:t>1.负责</w:t>
            </w:r>
            <w:r>
              <w:rPr>
                <w:rFonts w:hint="eastAsia"/>
                <w:sz w:val="24"/>
                <w:szCs w:val="24"/>
                <w:lang w:eastAsia="zh-Hans"/>
              </w:rPr>
              <w:t>前海</w:t>
            </w:r>
            <w:r>
              <w:rPr>
                <w:rFonts w:hint="eastAsia" w:ascii="宋体" w:hAnsi="宋体" w:cs="宋体"/>
                <w:sz w:val="24"/>
              </w:rPr>
              <w:t>成立13周年城市变化专题影片</w:t>
            </w:r>
            <w:r>
              <w:rPr>
                <w:rFonts w:hint="eastAsia"/>
                <w:sz w:val="24"/>
                <w:szCs w:val="24"/>
                <w:lang w:eastAsia="zh-Hans"/>
              </w:rPr>
              <w:t>的设计和制作</w:t>
            </w:r>
            <w:r>
              <w:rPr>
                <w:rFonts w:hint="eastAsia"/>
                <w:sz w:val="24"/>
                <w:szCs w:val="24"/>
              </w:rPr>
              <w:t>（含</w:t>
            </w:r>
            <w:r>
              <w:rPr>
                <w:rFonts w:hint="eastAsia"/>
                <w:sz w:val="24"/>
                <w:szCs w:val="24"/>
                <w:lang w:eastAsia="zh-Hans"/>
              </w:rPr>
              <w:t>形象设计</w:t>
            </w:r>
            <w:r>
              <w:rPr>
                <w:rFonts w:hint="eastAsia"/>
                <w:sz w:val="24"/>
                <w:szCs w:val="24"/>
              </w:rPr>
              <w:t>、</w:t>
            </w:r>
            <w:r>
              <w:rPr>
                <w:rFonts w:hint="eastAsia"/>
                <w:sz w:val="24"/>
                <w:szCs w:val="24"/>
                <w:lang w:eastAsia="zh-Hans"/>
              </w:rPr>
              <w:t>脚本策划</w:t>
            </w:r>
            <w:r>
              <w:rPr>
                <w:sz w:val="24"/>
                <w:szCs w:val="24"/>
                <w:lang w:eastAsia="zh-Hans"/>
              </w:rPr>
              <w:t>、</w:t>
            </w:r>
            <w:r>
              <w:rPr>
                <w:rFonts w:hint="eastAsia"/>
                <w:sz w:val="24"/>
                <w:szCs w:val="24"/>
                <w:lang w:eastAsia="zh-Hans"/>
              </w:rPr>
              <w:t>文字内容</w:t>
            </w:r>
            <w:r>
              <w:rPr>
                <w:rFonts w:hint="eastAsia"/>
                <w:sz w:val="24"/>
                <w:szCs w:val="24"/>
              </w:rPr>
              <w:t>、</w:t>
            </w:r>
            <w:r>
              <w:rPr>
                <w:rFonts w:hint="eastAsia"/>
                <w:sz w:val="24"/>
                <w:szCs w:val="24"/>
                <w:lang w:eastAsia="zh-Hans"/>
              </w:rPr>
              <w:t>画面拍摄</w:t>
            </w:r>
            <w:r>
              <w:rPr>
                <w:sz w:val="24"/>
                <w:szCs w:val="24"/>
                <w:lang w:eastAsia="zh-Hans"/>
              </w:rPr>
              <w:t>、</w:t>
            </w:r>
            <w:r>
              <w:rPr>
                <w:rFonts w:hint="eastAsia"/>
                <w:sz w:val="24"/>
                <w:szCs w:val="24"/>
                <w:lang w:eastAsia="zh-Hans"/>
              </w:rPr>
              <w:t>后期更新</w:t>
            </w:r>
            <w:r>
              <w:rPr>
                <w:rFonts w:hint="eastAsia"/>
                <w:sz w:val="24"/>
                <w:szCs w:val="24"/>
              </w:rPr>
              <w:t>等）</w:t>
            </w:r>
            <w:r>
              <w:rPr>
                <w:sz w:val="24"/>
                <w:szCs w:val="24"/>
              </w:rPr>
              <w:t>，</w:t>
            </w:r>
            <w:r>
              <w:rPr>
                <w:rFonts w:hint="eastAsia"/>
                <w:sz w:val="24"/>
                <w:szCs w:val="24"/>
                <w:lang w:eastAsia="zh-Hans"/>
              </w:rPr>
              <w:t>影片要求分辨率不少于</w:t>
            </w:r>
            <w:r>
              <w:rPr>
                <w:sz w:val="24"/>
                <w:szCs w:val="24"/>
                <w:lang w:eastAsia="zh-Hans"/>
              </w:rPr>
              <w:t>4</w:t>
            </w:r>
            <w:r>
              <w:rPr>
                <w:rFonts w:hint="eastAsia"/>
                <w:sz w:val="24"/>
                <w:szCs w:val="24"/>
                <w:lang w:eastAsia="zh-Hans"/>
              </w:rPr>
              <w:t>k高清分辨率</w:t>
            </w:r>
            <w:r>
              <w:rPr>
                <w:sz w:val="24"/>
                <w:szCs w:val="24"/>
                <w:lang w:eastAsia="zh-Hans"/>
              </w:rPr>
              <w:t>，</w:t>
            </w:r>
            <w:r>
              <w:rPr>
                <w:rFonts w:hint="eastAsia"/>
                <w:sz w:val="24"/>
                <w:szCs w:val="24"/>
                <w:lang w:eastAsia="zh-Hans"/>
              </w:rPr>
              <w:t>时常不低于</w:t>
            </w:r>
            <w:r>
              <w:rPr>
                <w:sz w:val="24"/>
                <w:szCs w:val="24"/>
                <w:lang w:eastAsia="zh-Hans"/>
              </w:rPr>
              <w:t>4</w:t>
            </w:r>
            <w:r>
              <w:rPr>
                <w:rFonts w:hint="eastAsia"/>
                <w:sz w:val="24"/>
                <w:szCs w:val="24"/>
                <w:lang w:eastAsia="zh-Hans"/>
              </w:rPr>
              <w:t>分钟</w:t>
            </w:r>
            <w:r>
              <w:rPr>
                <w:sz w:val="24"/>
                <w:szCs w:val="24"/>
                <w:lang w:eastAsia="zh-Hans"/>
              </w:rPr>
              <w:t>，</w:t>
            </w:r>
            <w:r>
              <w:rPr>
                <w:rFonts w:hint="eastAsia"/>
                <w:sz w:val="24"/>
                <w:szCs w:val="24"/>
                <w:lang w:eastAsia="zh-Hans"/>
              </w:rPr>
              <w:t>超出部分属于</w:t>
            </w:r>
            <w:r>
              <w:rPr>
                <w:rFonts w:hint="eastAsia"/>
                <w:sz w:val="24"/>
                <w:szCs w:val="24"/>
              </w:rPr>
              <w:t>中标人</w:t>
            </w:r>
            <w:r>
              <w:rPr>
                <w:rFonts w:hint="eastAsia"/>
                <w:sz w:val="24"/>
                <w:szCs w:val="24"/>
                <w:lang w:eastAsia="zh-Hans"/>
              </w:rPr>
              <w:t>免费赠送性质</w:t>
            </w:r>
            <w:r>
              <w:rPr>
                <w:sz w:val="24"/>
                <w:szCs w:val="24"/>
                <w:lang w:eastAsia="zh-Hans"/>
              </w:rPr>
              <w:t>，</w:t>
            </w:r>
            <w:r>
              <w:rPr>
                <w:rFonts w:hint="eastAsia"/>
                <w:sz w:val="24"/>
                <w:szCs w:val="24"/>
                <w:lang w:eastAsia="zh-Hans"/>
              </w:rPr>
              <w:t>不单独计费</w:t>
            </w:r>
            <w:r>
              <w:rPr>
                <w:rFonts w:hint="eastAsia"/>
                <w:sz w:val="24"/>
                <w:szCs w:val="24"/>
              </w:rPr>
              <w:t>。</w:t>
            </w:r>
          </w:p>
          <w:p>
            <w:pPr>
              <w:pStyle w:val="41"/>
              <w:ind w:firstLine="480"/>
              <w:rPr>
                <w:sz w:val="24"/>
                <w:szCs w:val="24"/>
              </w:rPr>
            </w:pPr>
            <w:r>
              <w:rPr>
                <w:rFonts w:hint="eastAsia"/>
                <w:sz w:val="24"/>
                <w:szCs w:val="24"/>
              </w:rPr>
              <w:t>2.</w:t>
            </w:r>
            <w:r>
              <w:rPr>
                <w:rFonts w:hint="eastAsia"/>
                <w:sz w:val="24"/>
                <w:szCs w:val="24"/>
                <w:lang w:eastAsia="zh-Hans"/>
              </w:rPr>
              <w:t>负责整理前海成立以来的反映城市形象变化的镜头</w:t>
            </w:r>
            <w:r>
              <w:rPr>
                <w:sz w:val="24"/>
                <w:szCs w:val="24"/>
                <w:lang w:eastAsia="zh-Hans"/>
              </w:rPr>
              <w:t>（</w:t>
            </w:r>
            <w:r>
              <w:rPr>
                <w:rFonts w:hint="eastAsia"/>
                <w:sz w:val="24"/>
                <w:szCs w:val="24"/>
                <w:lang w:eastAsia="zh-Hans"/>
              </w:rPr>
              <w:t>包括但不限于航拍画面</w:t>
            </w:r>
            <w:r>
              <w:rPr>
                <w:sz w:val="24"/>
                <w:szCs w:val="24"/>
                <w:lang w:eastAsia="zh-Hans"/>
              </w:rPr>
              <w:t>、</w:t>
            </w:r>
            <w:r>
              <w:rPr>
                <w:rFonts w:hint="eastAsia"/>
                <w:sz w:val="24"/>
                <w:szCs w:val="24"/>
                <w:lang w:eastAsia="zh-Hans"/>
              </w:rPr>
              <w:t>地面拍摄</w:t>
            </w:r>
            <w:r>
              <w:rPr>
                <w:sz w:val="24"/>
                <w:szCs w:val="24"/>
                <w:lang w:eastAsia="zh-Hans"/>
              </w:rPr>
              <w:t>、</w:t>
            </w:r>
            <w:r>
              <w:rPr>
                <w:rFonts w:hint="eastAsia"/>
                <w:sz w:val="24"/>
                <w:szCs w:val="24"/>
                <w:lang w:eastAsia="zh-Hans"/>
              </w:rPr>
              <w:t>新闻镜头等</w:t>
            </w:r>
            <w:r>
              <w:rPr>
                <w:sz w:val="24"/>
                <w:szCs w:val="24"/>
                <w:lang w:eastAsia="zh-Hans"/>
              </w:rPr>
              <w:t>），</w:t>
            </w:r>
            <w:r>
              <w:rPr>
                <w:rFonts w:hint="eastAsia"/>
                <w:sz w:val="24"/>
                <w:szCs w:val="24"/>
                <w:lang w:eastAsia="zh-Hans"/>
              </w:rPr>
              <w:t>并在影片中生动呈现</w:t>
            </w:r>
            <w:r>
              <w:rPr>
                <w:sz w:val="24"/>
                <w:szCs w:val="24"/>
                <w:lang w:eastAsia="zh-Hans"/>
              </w:rPr>
              <w:t>，</w:t>
            </w:r>
            <w:r>
              <w:rPr>
                <w:rFonts w:hint="eastAsia"/>
                <w:sz w:val="24"/>
                <w:szCs w:val="24"/>
                <w:lang w:eastAsia="zh-Hans"/>
              </w:rPr>
              <w:t>全面展示城市形象的变化</w:t>
            </w:r>
            <w:r>
              <w:rPr>
                <w:rFonts w:hint="eastAsia"/>
                <w:sz w:val="24"/>
                <w:szCs w:val="24"/>
              </w:rPr>
              <w:t>。</w:t>
            </w:r>
          </w:p>
          <w:p>
            <w:pPr>
              <w:pStyle w:val="41"/>
              <w:ind w:firstLine="480"/>
              <w:rPr>
                <w:sz w:val="24"/>
                <w:szCs w:val="24"/>
              </w:rPr>
            </w:pPr>
            <w:r>
              <w:rPr>
                <w:rFonts w:hint="eastAsia"/>
                <w:sz w:val="24"/>
                <w:szCs w:val="24"/>
              </w:rPr>
              <w:t>3.按要求及时完成提升</w:t>
            </w:r>
            <w:r>
              <w:rPr>
                <w:rFonts w:hint="eastAsia"/>
                <w:sz w:val="24"/>
                <w:szCs w:val="24"/>
                <w:lang w:eastAsia="zh-Hans"/>
              </w:rPr>
              <w:t>影片</w:t>
            </w:r>
            <w:r>
              <w:rPr>
                <w:rFonts w:hint="eastAsia"/>
                <w:sz w:val="24"/>
                <w:szCs w:val="24"/>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ascii="宋体" w:hAnsi="宋体" w:cs="宋体"/>
                <w:sz w:val="24"/>
              </w:rPr>
              <w:t>960000</w:t>
            </w:r>
            <w:r>
              <w:rPr>
                <w:rFonts w:hint="eastAsia" w:ascii="宋体" w:hAnsi="宋体" w:cs="宋体"/>
                <w:sz w:val="24"/>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招标文件为电子版，投标人可在前海管理局官网（政务公开-采购信息栏目）(http://qh.sz.gov.cn/)和深圳交易咨询集团有限公司官网（https://new.sztc.com/)免费下载。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hint="eastAsia" w:ascii="宋体" w:hAnsi="宋体" w:cs="宋体"/>
                <w:b/>
                <w:kern w:val="0"/>
                <w:sz w:val="24"/>
                <w:lang w:val="en-US" w:eastAsia="zh-CN" w:bidi="ar"/>
              </w:rPr>
              <w:t>7</w:t>
            </w:r>
            <w:r>
              <w:rPr>
                <w:rFonts w:hint="eastAsia" w:ascii="宋体" w:hAnsi="宋体" w:cs="宋体"/>
                <w:b/>
                <w:kern w:val="0"/>
                <w:sz w:val="24"/>
                <w:lang w:bidi="ar"/>
              </w:rPr>
              <w:t>月</w:t>
            </w:r>
            <w:r>
              <w:rPr>
                <w:rFonts w:hint="eastAsia" w:ascii="宋体" w:hAnsi="宋体" w:cs="宋体"/>
                <w:b/>
                <w:kern w:val="0"/>
                <w:sz w:val="24"/>
                <w:lang w:val="en-US" w:eastAsia="zh-CN" w:bidi="ar"/>
              </w:rPr>
              <w:t>17</w:t>
            </w:r>
            <w:r>
              <w:rPr>
                <w:rFonts w:hint="eastAsia" w:ascii="宋体" w:hAnsi="宋体" w:cs="宋体"/>
                <w:b/>
                <w:kern w:val="0"/>
                <w:sz w:val="24"/>
                <w:lang w:bidi="ar"/>
              </w:rPr>
              <w:t>日下午17:00时（北京时间）前送达（现场递交）</w:t>
            </w:r>
            <w:r>
              <w:rPr>
                <w:rFonts w:hint="eastAsia" w:ascii="宋体" w:hAnsi="宋体" w:cs="宋体"/>
                <w:kern w:val="0"/>
                <w:sz w:val="24"/>
                <w:lang w:bidi="ar"/>
              </w:rPr>
              <w:t>至</w:t>
            </w:r>
            <w:r>
              <w:rPr>
                <w:rFonts w:hint="eastAsia" w:ascii="宋体" w:hAnsi="宋体" w:cs="宋体"/>
                <w:b/>
                <w:kern w:val="0"/>
                <w:sz w:val="24"/>
                <w:lang w:bidi="ar"/>
              </w:rPr>
              <w:t xml:space="preserve">深圳市前海深港现代服务业合作区桂湾五路123号前海大厦T1栋 </w:t>
            </w:r>
            <w:r>
              <w:rPr>
                <w:rFonts w:ascii="宋体" w:hAnsi="宋体" w:cs="宋体"/>
                <w:b/>
                <w:kern w:val="0"/>
                <w:sz w:val="24"/>
                <w:lang w:bidi="ar"/>
              </w:rPr>
              <w:t>250</w:t>
            </w:r>
            <w:r>
              <w:rPr>
                <w:rFonts w:hint="eastAsia" w:ascii="宋体" w:hAnsi="宋体" w:cs="宋体"/>
                <w:b/>
                <w:kern w:val="0"/>
                <w:sz w:val="24"/>
                <w:lang w:bidi="ar"/>
              </w:rPr>
              <w:t>5室。</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联系人：黎主任</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rPr>
              <w:t>0755-88105105</w:t>
            </w:r>
          </w:p>
          <w:p>
            <w:pPr>
              <w:widowControl/>
              <w:jc w:val="left"/>
              <w:rPr>
                <w:rFonts w:ascii="宋体" w:hAnsi="宋体" w:cs="宋体"/>
                <w:kern w:val="0"/>
                <w:sz w:val="24"/>
              </w:rPr>
            </w:pPr>
            <w:r>
              <w:rPr>
                <w:rFonts w:hint="eastAsia" w:ascii="宋体" w:hAnsi="宋体" w:cs="宋体"/>
                <w:sz w:val="24"/>
                <w:lang w:bidi="ar"/>
              </w:rPr>
              <w:t>注：本项目要求投标人需现场投标，投标截止时间前半小时开始接收投标文件，如遇特殊情况，请联系采购代理机构。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www.zfcg.sz.gov.cn）和国家企业信用信息公示系统（www.gsxt.gov.cn）等4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kern w:val="0"/>
                <w:sz w:val="24"/>
              </w:rPr>
            </w:pPr>
            <w:r>
              <w:rPr>
                <w:rFonts w:hint="eastAsia" w:ascii="宋体" w:hAnsi="宋体" w:cs="宋体"/>
                <w:kern w:val="0"/>
                <w:sz w:val="24"/>
              </w:rPr>
              <w:t>本次投标为总价包干，投标报价总价作为中标人与采购人签订的合同金额。投标人</w:t>
            </w:r>
            <w:r>
              <w:rPr>
                <w:rFonts w:hint="eastAsia" w:ascii="宋体" w:hAnsi="宋体" w:cs="宋体"/>
                <w:kern w:val="0"/>
                <w:sz w:val="24"/>
                <w:lang w:val="zh-CN"/>
              </w:rPr>
              <w:t>的报价不可高于限价，否则</w:t>
            </w:r>
            <w:r>
              <w:rPr>
                <w:rFonts w:hint="eastAsia" w:ascii="宋体" w:hAnsi="宋体" w:cs="宋体"/>
                <w:kern w:val="0"/>
                <w:sz w:val="24"/>
              </w:rPr>
              <w:t>投标人</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360" w:lineRule="auto"/>
              <w:rPr>
                <w:rFonts w:ascii="宋体" w:hAnsi="宋体" w:cs="宋体"/>
                <w:kern w:val="0"/>
                <w:sz w:val="24"/>
              </w:rPr>
            </w:pPr>
            <w:r>
              <w:rPr>
                <w:rFonts w:hint="eastAsia" w:ascii="宋体" w:hAnsi="宋体" w:cs="宋体"/>
                <w:kern w:val="0"/>
                <w:sz w:val="24"/>
              </w:rPr>
              <w:t>投标人应根据本机构的成本自行决定报价，不得以低于服务成本的报价投标。</w:t>
            </w:r>
          </w:p>
          <w:p>
            <w:pPr>
              <w:numPr>
                <w:ilvl w:val="0"/>
                <w:numId w:val="3"/>
              </w:numPr>
              <w:spacing w:line="360" w:lineRule="auto"/>
              <w:rPr>
                <w:rFonts w:ascii="宋体" w:hAnsi="宋体" w:cs="宋体"/>
                <w:sz w:val="24"/>
              </w:rPr>
            </w:pPr>
            <w:r>
              <w:rPr>
                <w:rFonts w:hint="eastAsia" w:ascii="宋体" w:hAnsi="宋体" w:cs="宋体"/>
                <w:kern w:val="0"/>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黎主任</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0755-88105105</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深圳交易咨询集团有限公司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 黎先生、温先生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1、本项目是深圳市前海深港现代服务业合作区管理局的前海成立十三周年城市变化专题影片制作项目。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及采购单位的有关规定，深圳交易咨询集团有限公司受深圳市前海深港现代服务业合作区管理局委托以简易招标方式组织采购，本次采购公开征集供应商，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6、项目的报价要求。本次投标为总价包干，投标报价总价作为中标人与采购人签订的合同金额。投标人</w:t>
      </w:r>
      <w:r>
        <w:rPr>
          <w:rFonts w:hint="eastAsia" w:ascii="宋体" w:hAnsi="宋体" w:cs="宋体"/>
          <w:sz w:val="24"/>
          <w:lang w:val="zh-CN"/>
        </w:rPr>
        <w:t>的报价不可高于限价，否则</w:t>
      </w:r>
      <w:r>
        <w:rPr>
          <w:rFonts w:hint="eastAsia" w:ascii="宋体" w:hAnsi="宋体" w:cs="宋体"/>
          <w:sz w:val="24"/>
        </w:rPr>
        <w:t>投标人</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41"/>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41"/>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hint="eastAsia" w:ascii="宋体" w:hAnsi="宋体" w:cs="宋体"/>
          <w:sz w:val="24"/>
          <w:lang w:val="en-US" w:eastAsia="zh-CN"/>
        </w:rPr>
        <w:t>账号</w:t>
      </w:r>
      <w:bookmarkStart w:id="33" w:name="_GoBack"/>
      <w:bookmarkEnd w:id="33"/>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rPr>
          <w:rFonts w:ascii="宋体" w:hAnsi="宋体" w:cs="宋体"/>
          <w:sz w:val="24"/>
        </w:rPr>
      </w:pPr>
      <w:r>
        <w:rPr>
          <w:rFonts w:hint="eastAsia" w:ascii="宋体" w:hAnsi="宋体" w:cs="宋体"/>
          <w:sz w:val="24"/>
        </w:rPr>
        <w:t>一、依法成立评审委员会。根据采购单位最新版采购工作指引的要求，评审委员会由招标代理在深圳市政府采购评审专家库中抽取专家，组建不少于3人（单数）的评审委员会，其中专家人数为1人，采购主办部门委派2人。采购主办部门委派的专家应当符合《深圳市财政局采购评审专家管理实施办法》要求，对涉及利害关系的应当予以回避。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日下午17:00时（北京时间）。</w:t>
      </w:r>
    </w:p>
    <w:p>
      <w:pPr>
        <w:spacing w:line="360" w:lineRule="auto"/>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五、投标文件的递交。投标人应将投标文件正本和副本密封，并标明项目编号、招标项目名称及“正本”或“副本”，采购单位业务处室工作人员接收投标人递交的投标文件，投标人应在202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日下午17:00时（北京时间）前送达（现场递交前海大厦T1栋</w:t>
      </w:r>
      <w:r>
        <w:rPr>
          <w:rFonts w:ascii="宋体" w:hAnsi="宋体" w:cs="宋体"/>
          <w:sz w:val="24"/>
        </w:rPr>
        <w:t>250</w:t>
      </w:r>
      <w:r>
        <w:rPr>
          <w:rFonts w:hint="eastAsia" w:ascii="宋体" w:hAnsi="宋体" w:cs="宋体"/>
          <w:sz w:val="24"/>
        </w:rPr>
        <w:t>5室）。截标后不再接收任何投标文件。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7"/>
        </w:numPr>
        <w:spacing w:line="560" w:lineRule="exact"/>
        <w:rPr>
          <w:rFonts w:ascii="宋体" w:hAnsi="宋体" w:cs="宋体"/>
          <w:sz w:val="24"/>
        </w:rPr>
      </w:pPr>
      <w:r>
        <w:rPr>
          <w:rFonts w:hint="eastAsia" w:ascii="宋体" w:hAnsi="宋体" w:cs="宋体"/>
          <w:sz w:val="24"/>
        </w:rPr>
        <w:t>采用谈判的情况：如参与投标且符合招标文件要求的供应商仅有一家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73521592"/>
      <w:bookmarkStart w:id="8" w:name="_Toc101074886"/>
      <w:bookmarkStart w:id="9" w:name="_Toc73517685"/>
      <w:bookmarkStart w:id="10" w:name="_Toc100052414"/>
      <w:bookmarkStart w:id="11" w:name="_Toc73521680"/>
      <w:bookmarkStart w:id="12" w:name="_Toc73518163"/>
      <w:bookmarkStart w:id="13" w:name="_Toc84303603"/>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41"/>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41"/>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41"/>
        <w:spacing w:line="360" w:lineRule="auto"/>
        <w:ind w:left="1470" w:right="1470" w:firstLine="482"/>
        <w:jc w:val="center"/>
        <w:rPr>
          <w:rFonts w:ascii="宋体" w:hAnsi="宋体" w:cs="宋体"/>
          <w:b/>
          <w:sz w:val="24"/>
          <w:szCs w:val="24"/>
        </w:rPr>
      </w:pPr>
    </w:p>
    <w:p>
      <w:pPr>
        <w:pStyle w:val="4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4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4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36"/>
          <w:szCs w:val="36"/>
          <w:lang w:eastAsia="zh-Hans"/>
        </w:rPr>
        <w:t>前海成立十三周年城市变化专题影片制作项目</w:t>
      </w:r>
    </w:p>
    <w:p>
      <w:pPr>
        <w:spacing w:line="360" w:lineRule="auto"/>
        <w:rPr>
          <w:rFonts w:ascii="宋体" w:hAnsi="宋体" w:cs="宋体"/>
          <w:sz w:val="24"/>
        </w:rPr>
      </w:pPr>
      <w:r>
        <w:rPr>
          <w:rFonts w:hint="eastAsia" w:ascii="宋体" w:hAnsi="宋体" w:cs="宋体"/>
          <w:sz w:val="24"/>
        </w:rPr>
        <w:t xml:space="preserve"> </w:t>
      </w:r>
    </w:p>
    <w:p>
      <w:pPr>
        <w:pStyle w:val="41"/>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lang w:eastAsia="zh-Hans"/>
        </w:rPr>
        <w:t>前海成立十三周年城市变化专题影片制作项目</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深圳市前海深港合作区前湾一路23号前海管理局综合办公楼</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2023】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承担前海成立十三周年城市变化专题影片制作项目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lang w:eastAsia="zh-Hans"/>
        </w:rPr>
        <w:t>前海成立十三周年城市变化专题影片制作项目</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spacing w:line="360" w:lineRule="auto"/>
        <w:ind w:firstLine="480" w:firstLineChars="200"/>
        <w:rPr>
          <w:rFonts w:ascii="宋体" w:hAnsi="宋体" w:cs="宋体"/>
          <w:sz w:val="24"/>
        </w:rPr>
      </w:pPr>
      <w:r>
        <w:rPr>
          <w:rFonts w:ascii="宋体" w:hAnsi="宋体" w:cs="宋体"/>
          <w:sz w:val="24"/>
        </w:rPr>
        <w:t>2012</w:t>
      </w:r>
      <w:r>
        <w:rPr>
          <w:rFonts w:hint="eastAsia" w:ascii="宋体" w:hAnsi="宋体" w:cs="宋体"/>
          <w:sz w:val="24"/>
          <w:lang w:eastAsia="zh-Hans"/>
        </w:rPr>
        <w:t>年</w:t>
      </w:r>
      <w:r>
        <w:rPr>
          <w:rFonts w:hint="eastAsia" w:ascii="宋体" w:hAnsi="宋体" w:cs="宋体"/>
          <w:sz w:val="24"/>
        </w:rPr>
        <w:t>，党的十八大后，习近平总书记首次离京视察，第一站就来到前海，在前海石旁，他深情寄语前海：“精耕细作，精雕细琢，一年一个样，一张白纸，从零开始，画出最美最好的图画。</w:t>
      </w:r>
      <w:r>
        <w:rPr>
          <w:rFonts w:ascii="宋体" w:hAnsi="宋体" w:cs="宋体"/>
          <w:sz w:val="24"/>
        </w:rPr>
        <w:t>2022</w:t>
      </w:r>
      <w:r>
        <w:rPr>
          <w:rFonts w:hint="eastAsia" w:ascii="宋体" w:hAnsi="宋体" w:cs="宋体"/>
          <w:sz w:val="24"/>
          <w:lang w:eastAsia="zh-Hans"/>
        </w:rPr>
        <w:t>年</w:t>
      </w:r>
      <w:r>
        <w:rPr>
          <w:rFonts w:ascii="宋体" w:hAnsi="宋体" w:cs="宋体"/>
          <w:sz w:val="24"/>
          <w:lang w:eastAsia="zh-Hans"/>
        </w:rPr>
        <w:t>，《</w:t>
      </w:r>
      <w:r>
        <w:rPr>
          <w:rFonts w:hint="eastAsia" w:ascii="宋体" w:hAnsi="宋体" w:cs="宋体"/>
          <w:sz w:val="24"/>
          <w:lang w:eastAsia="zh-Hans"/>
        </w:rPr>
        <w:t>新闻联播</w:t>
      </w:r>
      <w:r>
        <w:rPr>
          <w:rFonts w:ascii="宋体" w:hAnsi="宋体" w:cs="宋体"/>
          <w:sz w:val="24"/>
          <w:lang w:eastAsia="zh-Hans"/>
        </w:rPr>
        <w:t>》</w:t>
      </w:r>
      <w:r>
        <w:rPr>
          <w:rFonts w:hint="eastAsia" w:ascii="宋体" w:hAnsi="宋体" w:cs="宋体"/>
          <w:sz w:val="24"/>
          <w:lang w:eastAsia="zh-Hans"/>
        </w:rPr>
        <w:t>报道称</w:t>
      </w:r>
      <w:r>
        <w:rPr>
          <w:rFonts w:ascii="宋体" w:hAnsi="宋体" w:cs="宋体"/>
          <w:sz w:val="24"/>
          <w:lang w:eastAsia="zh-Hans"/>
        </w:rPr>
        <w:t>，</w:t>
      </w:r>
      <w:r>
        <w:rPr>
          <w:rFonts w:hint="eastAsia" w:ascii="宋体" w:hAnsi="宋体" w:cs="宋体"/>
          <w:sz w:val="24"/>
        </w:rPr>
        <w:t>前海是中国城市空间形态变化最大的区域之一。前海已从一片泥泞滩涂、工地到树影婆娑、高楼林立，俨然成为国际化城市新中心。</w:t>
      </w:r>
    </w:p>
    <w:p>
      <w:pPr>
        <w:spacing w:line="360" w:lineRule="auto"/>
        <w:ind w:firstLine="480" w:firstLineChars="200"/>
        <w:rPr>
          <w:rFonts w:ascii="宋体" w:hAnsi="宋体" w:cs="宋体"/>
          <w:kern w:val="0"/>
          <w:sz w:val="24"/>
        </w:rPr>
      </w:pPr>
      <w:r>
        <w:rPr>
          <w:rFonts w:hint="eastAsia" w:ascii="宋体" w:hAnsi="宋体" w:cs="宋体"/>
          <w:sz w:val="24"/>
        </w:rPr>
        <w:t>为全面展现前海深入</w:t>
      </w:r>
      <w:r>
        <w:rPr>
          <w:rFonts w:hint="eastAsia" w:ascii="宋体" w:hAnsi="宋体" w:cs="宋体"/>
          <w:sz w:val="24"/>
          <w:lang w:eastAsia="zh-Hans"/>
        </w:rPr>
        <w:t>学习</w:t>
      </w:r>
      <w:r>
        <w:rPr>
          <w:rFonts w:hint="eastAsia" w:ascii="宋体" w:hAnsi="宋体" w:cs="宋体"/>
          <w:sz w:val="24"/>
        </w:rPr>
        <w:t>贯彻落实党的二十大精神，坚持依托香港、服务内地、面向世界，牢牢把握“扩区”和“改革开放”两个重点，奋力将前海打造</w:t>
      </w:r>
      <w:r>
        <w:rPr>
          <w:rFonts w:hint="eastAsia" w:ascii="宋体" w:hAnsi="宋体" w:cs="宋体"/>
          <w:sz w:val="24"/>
          <w:lang w:eastAsia="zh-Hans"/>
        </w:rPr>
        <w:t>国际化城市新中心</w:t>
      </w:r>
      <w:r>
        <w:rPr>
          <w:rFonts w:hint="eastAsia" w:ascii="宋体" w:hAnsi="宋体" w:cs="宋体"/>
          <w:sz w:val="24"/>
        </w:rPr>
        <w:t>，拟</w:t>
      </w:r>
      <w:r>
        <w:rPr>
          <w:rFonts w:hint="eastAsia" w:ascii="宋体" w:hAnsi="宋体" w:cs="宋体"/>
          <w:sz w:val="24"/>
          <w:lang w:eastAsia="zh-Hans"/>
        </w:rPr>
        <w:t>采购</w:t>
      </w:r>
      <w:r>
        <w:rPr>
          <w:rFonts w:hint="eastAsia" w:ascii="宋体" w:hAnsi="宋体" w:cs="宋体"/>
          <w:sz w:val="24"/>
        </w:rPr>
        <w:t>前海成立十三周年城市变化专题影片制作项目，</w:t>
      </w:r>
      <w:r>
        <w:rPr>
          <w:rFonts w:hint="eastAsia" w:ascii="宋体" w:hAnsi="宋体" w:cs="宋体"/>
          <w:sz w:val="24"/>
          <w:lang w:eastAsia="zh-Hans"/>
        </w:rPr>
        <w:t>通过制作专题影片</w:t>
      </w:r>
      <w:r>
        <w:rPr>
          <w:rFonts w:ascii="宋体" w:hAnsi="宋体" w:cs="宋体"/>
          <w:sz w:val="24"/>
          <w:lang w:eastAsia="zh-Hans"/>
        </w:rPr>
        <w:t>，</w:t>
      </w:r>
      <w:r>
        <w:rPr>
          <w:rFonts w:hint="eastAsia" w:ascii="宋体" w:hAnsi="宋体" w:cs="宋体"/>
          <w:sz w:val="24"/>
        </w:rPr>
        <w:t>全方位、立体化呈现</w:t>
      </w:r>
      <w:r>
        <w:rPr>
          <w:rFonts w:hint="eastAsia" w:ascii="宋体" w:hAnsi="宋体" w:cs="宋体"/>
          <w:sz w:val="24"/>
          <w:lang w:eastAsia="zh-Hans"/>
        </w:rPr>
        <w:t>前海的</w:t>
      </w:r>
      <w:r>
        <w:rPr>
          <w:rFonts w:hint="eastAsia" w:ascii="宋体" w:hAnsi="宋体" w:cs="宋体"/>
          <w:sz w:val="24"/>
        </w:rPr>
        <w:t>发展态势，用于</w:t>
      </w:r>
      <w:r>
        <w:rPr>
          <w:rFonts w:hint="eastAsia" w:ascii="宋体" w:hAnsi="宋体" w:cs="宋体"/>
          <w:sz w:val="24"/>
          <w:lang w:eastAsia="zh-Hans"/>
        </w:rPr>
        <w:t>官方宣传和形象展示</w:t>
      </w:r>
      <w:r>
        <w:rPr>
          <w:rFonts w:hint="eastAsia" w:ascii="宋体" w:hAnsi="宋体" w:cs="宋体"/>
          <w:sz w:val="24"/>
        </w:rPr>
        <w:t>等</w:t>
      </w:r>
      <w:r>
        <w:rPr>
          <w:rFonts w:hint="eastAsia" w:ascii="宋体" w:hAnsi="宋体" w:cs="宋体"/>
          <w:kern w:val="0"/>
          <w:sz w:val="24"/>
        </w:rPr>
        <w:t>。</w:t>
      </w:r>
    </w:p>
    <w:p>
      <w:pPr>
        <w:pStyle w:val="41"/>
        <w:ind w:firstLine="482"/>
        <w:rPr>
          <w:sz w:val="24"/>
          <w:szCs w:val="24"/>
        </w:rPr>
      </w:pPr>
      <w:r>
        <w:rPr>
          <w:b/>
          <w:bCs/>
          <w:sz w:val="24"/>
          <w:szCs w:val="24"/>
        </w:rPr>
        <w:t>2、</w:t>
      </w:r>
      <w:r>
        <w:rPr>
          <w:rFonts w:hint="eastAsia"/>
          <w:b/>
          <w:bCs/>
          <w:sz w:val="24"/>
          <w:szCs w:val="24"/>
        </w:rPr>
        <w:t>项目内容</w:t>
      </w:r>
      <w:r>
        <w:rPr>
          <w:rFonts w:hint="eastAsia"/>
          <w:sz w:val="24"/>
          <w:szCs w:val="24"/>
        </w:rPr>
        <w:t>：</w:t>
      </w:r>
    </w:p>
    <w:p>
      <w:pPr>
        <w:pStyle w:val="41"/>
        <w:ind w:firstLine="480"/>
        <w:rPr>
          <w:sz w:val="24"/>
          <w:szCs w:val="24"/>
        </w:rPr>
      </w:pPr>
      <w:r>
        <w:rPr>
          <w:rFonts w:hint="eastAsia"/>
          <w:sz w:val="24"/>
          <w:szCs w:val="24"/>
        </w:rPr>
        <w:t>项目主要工作内容为结合</w:t>
      </w:r>
      <w:r>
        <w:rPr>
          <w:rFonts w:hint="eastAsia"/>
          <w:sz w:val="24"/>
          <w:szCs w:val="24"/>
          <w:lang w:eastAsia="zh-Hans"/>
        </w:rPr>
        <w:t>前海</w:t>
      </w:r>
      <w:r>
        <w:rPr>
          <w:rFonts w:hint="eastAsia"/>
          <w:sz w:val="24"/>
          <w:szCs w:val="24"/>
        </w:rPr>
        <w:t>最新</w:t>
      </w:r>
      <w:r>
        <w:rPr>
          <w:rFonts w:hint="eastAsia"/>
          <w:sz w:val="24"/>
          <w:szCs w:val="24"/>
          <w:lang w:eastAsia="zh-Hans"/>
        </w:rPr>
        <w:t>建设成果</w:t>
      </w:r>
      <w:r>
        <w:rPr>
          <w:sz w:val="24"/>
          <w:szCs w:val="24"/>
          <w:lang w:eastAsia="zh-Hans"/>
        </w:rPr>
        <w:t>、</w:t>
      </w:r>
      <w:r>
        <w:rPr>
          <w:rFonts w:hint="eastAsia"/>
          <w:sz w:val="24"/>
          <w:szCs w:val="24"/>
          <w:lang w:eastAsia="zh-Hans"/>
        </w:rPr>
        <w:t>扩区后城市变化制作前海专题影片</w:t>
      </w:r>
      <w:r>
        <w:rPr>
          <w:rFonts w:hint="eastAsia"/>
          <w:sz w:val="24"/>
          <w:szCs w:val="24"/>
        </w:rPr>
        <w:t>。具体制作要求如下：</w:t>
      </w:r>
    </w:p>
    <w:p>
      <w:pPr>
        <w:pStyle w:val="41"/>
        <w:ind w:firstLine="480"/>
        <w:rPr>
          <w:sz w:val="24"/>
          <w:szCs w:val="24"/>
        </w:rPr>
      </w:pPr>
      <w:r>
        <w:rPr>
          <w:rFonts w:hint="eastAsia"/>
          <w:sz w:val="24"/>
          <w:szCs w:val="24"/>
        </w:rPr>
        <w:t>1.负责</w:t>
      </w:r>
      <w:r>
        <w:rPr>
          <w:rFonts w:hint="eastAsia"/>
          <w:sz w:val="24"/>
          <w:szCs w:val="24"/>
          <w:lang w:eastAsia="zh-Hans"/>
        </w:rPr>
        <w:t>前海</w:t>
      </w:r>
      <w:r>
        <w:rPr>
          <w:rFonts w:hint="eastAsia" w:ascii="宋体" w:hAnsi="宋体" w:cs="宋体"/>
          <w:sz w:val="24"/>
        </w:rPr>
        <w:t>成立13周年城市变化专题影片</w:t>
      </w:r>
      <w:r>
        <w:rPr>
          <w:rFonts w:hint="eastAsia"/>
          <w:sz w:val="24"/>
          <w:szCs w:val="24"/>
          <w:lang w:eastAsia="zh-Hans"/>
        </w:rPr>
        <w:t>的设计和制作</w:t>
      </w:r>
      <w:r>
        <w:rPr>
          <w:rFonts w:hint="eastAsia"/>
          <w:sz w:val="24"/>
          <w:szCs w:val="24"/>
        </w:rPr>
        <w:t>（含</w:t>
      </w:r>
      <w:r>
        <w:rPr>
          <w:rFonts w:hint="eastAsia"/>
          <w:sz w:val="24"/>
          <w:szCs w:val="24"/>
          <w:lang w:eastAsia="zh-Hans"/>
        </w:rPr>
        <w:t>形象设计</w:t>
      </w:r>
      <w:r>
        <w:rPr>
          <w:rFonts w:hint="eastAsia"/>
          <w:sz w:val="24"/>
          <w:szCs w:val="24"/>
        </w:rPr>
        <w:t>、</w:t>
      </w:r>
      <w:r>
        <w:rPr>
          <w:rFonts w:hint="eastAsia"/>
          <w:sz w:val="24"/>
          <w:szCs w:val="24"/>
          <w:lang w:eastAsia="zh-Hans"/>
        </w:rPr>
        <w:t>脚本策划</w:t>
      </w:r>
      <w:r>
        <w:rPr>
          <w:sz w:val="24"/>
          <w:szCs w:val="24"/>
          <w:lang w:eastAsia="zh-Hans"/>
        </w:rPr>
        <w:t>、</w:t>
      </w:r>
      <w:r>
        <w:rPr>
          <w:rFonts w:hint="eastAsia"/>
          <w:sz w:val="24"/>
          <w:szCs w:val="24"/>
          <w:lang w:eastAsia="zh-Hans"/>
        </w:rPr>
        <w:t>文字内容</w:t>
      </w:r>
      <w:r>
        <w:rPr>
          <w:rFonts w:hint="eastAsia"/>
          <w:sz w:val="24"/>
          <w:szCs w:val="24"/>
        </w:rPr>
        <w:t>、</w:t>
      </w:r>
      <w:r>
        <w:rPr>
          <w:rFonts w:hint="eastAsia"/>
          <w:sz w:val="24"/>
          <w:szCs w:val="24"/>
          <w:lang w:eastAsia="zh-Hans"/>
        </w:rPr>
        <w:t>画面拍摄</w:t>
      </w:r>
      <w:r>
        <w:rPr>
          <w:sz w:val="24"/>
          <w:szCs w:val="24"/>
          <w:lang w:eastAsia="zh-Hans"/>
        </w:rPr>
        <w:t>、</w:t>
      </w:r>
      <w:r>
        <w:rPr>
          <w:rFonts w:hint="eastAsia"/>
          <w:sz w:val="24"/>
          <w:szCs w:val="24"/>
          <w:lang w:eastAsia="zh-Hans"/>
        </w:rPr>
        <w:t>后期更新</w:t>
      </w:r>
      <w:r>
        <w:rPr>
          <w:rFonts w:hint="eastAsia"/>
          <w:sz w:val="24"/>
          <w:szCs w:val="24"/>
        </w:rPr>
        <w:t>等）</w:t>
      </w:r>
      <w:r>
        <w:rPr>
          <w:sz w:val="24"/>
          <w:szCs w:val="24"/>
        </w:rPr>
        <w:t>，</w:t>
      </w:r>
      <w:r>
        <w:rPr>
          <w:rFonts w:hint="eastAsia"/>
          <w:sz w:val="24"/>
          <w:szCs w:val="24"/>
          <w:lang w:eastAsia="zh-Hans"/>
        </w:rPr>
        <w:t>影片要求分辨率不少于</w:t>
      </w:r>
      <w:r>
        <w:rPr>
          <w:sz w:val="24"/>
          <w:szCs w:val="24"/>
          <w:lang w:eastAsia="zh-Hans"/>
        </w:rPr>
        <w:t>4</w:t>
      </w:r>
      <w:r>
        <w:rPr>
          <w:rFonts w:hint="eastAsia"/>
          <w:sz w:val="24"/>
          <w:szCs w:val="24"/>
          <w:lang w:eastAsia="zh-Hans"/>
        </w:rPr>
        <w:t>k高清分辨率</w:t>
      </w:r>
      <w:r>
        <w:rPr>
          <w:sz w:val="24"/>
          <w:szCs w:val="24"/>
          <w:lang w:eastAsia="zh-Hans"/>
        </w:rPr>
        <w:t>，</w:t>
      </w:r>
      <w:r>
        <w:rPr>
          <w:rFonts w:hint="eastAsia"/>
          <w:sz w:val="24"/>
          <w:szCs w:val="24"/>
          <w:lang w:eastAsia="zh-Hans"/>
        </w:rPr>
        <w:t>时常不低于</w:t>
      </w:r>
      <w:r>
        <w:rPr>
          <w:sz w:val="24"/>
          <w:szCs w:val="24"/>
          <w:lang w:eastAsia="zh-Hans"/>
        </w:rPr>
        <w:t>4</w:t>
      </w:r>
      <w:r>
        <w:rPr>
          <w:rFonts w:hint="eastAsia"/>
          <w:sz w:val="24"/>
          <w:szCs w:val="24"/>
          <w:lang w:eastAsia="zh-Hans"/>
        </w:rPr>
        <w:t>分钟</w:t>
      </w:r>
      <w:r>
        <w:rPr>
          <w:sz w:val="24"/>
          <w:szCs w:val="24"/>
          <w:lang w:eastAsia="zh-Hans"/>
        </w:rPr>
        <w:t>，</w:t>
      </w:r>
      <w:r>
        <w:rPr>
          <w:rFonts w:hint="eastAsia"/>
          <w:sz w:val="24"/>
          <w:szCs w:val="24"/>
          <w:lang w:eastAsia="zh-Hans"/>
        </w:rPr>
        <w:t>超出部分乙方免费赠予甲方</w:t>
      </w:r>
      <w:r>
        <w:rPr>
          <w:sz w:val="24"/>
          <w:szCs w:val="24"/>
          <w:lang w:eastAsia="zh-Hans"/>
        </w:rPr>
        <w:t>，</w:t>
      </w:r>
      <w:r>
        <w:rPr>
          <w:rFonts w:hint="eastAsia"/>
          <w:sz w:val="24"/>
          <w:szCs w:val="24"/>
          <w:lang w:eastAsia="zh-Hans"/>
        </w:rPr>
        <w:t>不单独计费</w:t>
      </w:r>
      <w:r>
        <w:rPr>
          <w:rFonts w:hint="eastAsia"/>
          <w:sz w:val="24"/>
          <w:szCs w:val="24"/>
        </w:rPr>
        <w:t>。</w:t>
      </w:r>
    </w:p>
    <w:p>
      <w:pPr>
        <w:pStyle w:val="41"/>
        <w:ind w:firstLine="480"/>
        <w:rPr>
          <w:sz w:val="24"/>
          <w:szCs w:val="24"/>
        </w:rPr>
      </w:pPr>
      <w:r>
        <w:rPr>
          <w:rFonts w:hint="eastAsia"/>
          <w:sz w:val="24"/>
          <w:szCs w:val="24"/>
        </w:rPr>
        <w:t>2.</w:t>
      </w:r>
      <w:r>
        <w:rPr>
          <w:rFonts w:hint="eastAsia"/>
          <w:sz w:val="24"/>
          <w:szCs w:val="24"/>
          <w:lang w:eastAsia="zh-Hans"/>
        </w:rPr>
        <w:t>负责整理前海成立以来的反映城市形象变化的镜头</w:t>
      </w:r>
      <w:r>
        <w:rPr>
          <w:sz w:val="24"/>
          <w:szCs w:val="24"/>
          <w:lang w:eastAsia="zh-Hans"/>
        </w:rPr>
        <w:t>（</w:t>
      </w:r>
      <w:r>
        <w:rPr>
          <w:rFonts w:hint="eastAsia"/>
          <w:sz w:val="24"/>
          <w:szCs w:val="24"/>
          <w:lang w:eastAsia="zh-Hans"/>
        </w:rPr>
        <w:t>包括但不限于航拍画面</w:t>
      </w:r>
      <w:r>
        <w:rPr>
          <w:sz w:val="24"/>
          <w:szCs w:val="24"/>
          <w:lang w:eastAsia="zh-Hans"/>
        </w:rPr>
        <w:t>、</w:t>
      </w:r>
      <w:r>
        <w:rPr>
          <w:rFonts w:hint="eastAsia"/>
          <w:sz w:val="24"/>
          <w:szCs w:val="24"/>
          <w:lang w:eastAsia="zh-Hans"/>
        </w:rPr>
        <w:t>地面拍摄</w:t>
      </w:r>
      <w:r>
        <w:rPr>
          <w:sz w:val="24"/>
          <w:szCs w:val="24"/>
          <w:lang w:eastAsia="zh-Hans"/>
        </w:rPr>
        <w:t>、</w:t>
      </w:r>
      <w:r>
        <w:rPr>
          <w:rFonts w:hint="eastAsia"/>
          <w:sz w:val="24"/>
          <w:szCs w:val="24"/>
          <w:lang w:eastAsia="zh-Hans"/>
        </w:rPr>
        <w:t>新闻镜头等</w:t>
      </w:r>
      <w:r>
        <w:rPr>
          <w:sz w:val="24"/>
          <w:szCs w:val="24"/>
          <w:lang w:eastAsia="zh-Hans"/>
        </w:rPr>
        <w:t>），</w:t>
      </w:r>
      <w:r>
        <w:rPr>
          <w:rFonts w:hint="eastAsia"/>
          <w:sz w:val="24"/>
          <w:szCs w:val="24"/>
          <w:lang w:eastAsia="zh-Hans"/>
        </w:rPr>
        <w:t>并在影片中生动呈现</w:t>
      </w:r>
      <w:r>
        <w:rPr>
          <w:sz w:val="24"/>
          <w:szCs w:val="24"/>
          <w:lang w:eastAsia="zh-Hans"/>
        </w:rPr>
        <w:t>，</w:t>
      </w:r>
      <w:r>
        <w:rPr>
          <w:rFonts w:hint="eastAsia"/>
          <w:sz w:val="24"/>
          <w:szCs w:val="24"/>
          <w:lang w:eastAsia="zh-Hans"/>
        </w:rPr>
        <w:t>全面展示城市形象的变化</w:t>
      </w:r>
      <w:r>
        <w:rPr>
          <w:rFonts w:hint="eastAsia"/>
          <w:sz w:val="24"/>
          <w:szCs w:val="24"/>
        </w:rPr>
        <w:t>。</w:t>
      </w:r>
    </w:p>
    <w:p>
      <w:pPr>
        <w:spacing w:line="360" w:lineRule="auto"/>
        <w:ind w:firstLine="480" w:firstLineChars="200"/>
        <w:rPr>
          <w:sz w:val="24"/>
        </w:rPr>
      </w:pPr>
      <w:r>
        <w:rPr>
          <w:rFonts w:hint="eastAsia"/>
          <w:sz w:val="24"/>
        </w:rPr>
        <w:t>3.按要求及时完成</w:t>
      </w:r>
      <w:r>
        <w:rPr>
          <w:rFonts w:hint="eastAsia"/>
          <w:sz w:val="24"/>
          <w:lang w:eastAsia="zh-Hans"/>
        </w:rPr>
        <w:t>影片提升</w:t>
      </w:r>
      <w:r>
        <w:rPr>
          <w:rFonts w:hint="eastAsia"/>
          <w:sz w:val="24"/>
        </w:rPr>
        <w:t>修改。</w:t>
      </w:r>
    </w:p>
    <w:p>
      <w:pPr>
        <w:pStyle w:val="2"/>
        <w:ind w:firstLine="480"/>
        <w:rPr>
          <w:rFonts w:ascii="长城仿宋" w:hAnsi="Calibri"/>
          <w:b/>
          <w:bCs/>
          <w:kern w:val="0"/>
          <w:sz w:val="24"/>
        </w:rPr>
      </w:pPr>
      <w:r>
        <w:rPr>
          <w:rFonts w:hint="eastAsia" w:ascii="长城仿宋" w:hAnsi="Calibri"/>
          <w:b/>
          <w:bCs/>
          <w:kern w:val="0"/>
          <w:sz w:val="24"/>
        </w:rPr>
        <w:t>3、服务期限：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项目服务周期自合同签订之日起至202</w:t>
      </w:r>
      <w:r>
        <w:rPr>
          <w:rFonts w:ascii="宋体" w:hAnsi="宋体" w:cs="宋体"/>
          <w:bCs/>
          <w:kern w:val="0"/>
          <w:sz w:val="24"/>
          <w:szCs w:val="20"/>
        </w:rPr>
        <w:t>3</w:t>
      </w:r>
      <w:r>
        <w:rPr>
          <w:rFonts w:hint="eastAsia" w:ascii="宋体" w:hAnsi="宋体" w:cs="宋体"/>
          <w:bCs/>
          <w:kern w:val="0"/>
          <w:sz w:val="24"/>
          <w:szCs w:val="20"/>
        </w:rPr>
        <w:t>年</w:t>
      </w:r>
      <w:r>
        <w:rPr>
          <w:rFonts w:ascii="宋体" w:hAnsi="宋体" w:cs="宋体"/>
          <w:bCs/>
          <w:kern w:val="0"/>
          <w:sz w:val="24"/>
          <w:szCs w:val="20"/>
        </w:rPr>
        <w:t>12</w:t>
      </w:r>
      <w:r>
        <w:rPr>
          <w:rFonts w:hint="eastAsia" w:ascii="宋体" w:hAnsi="宋体" w:cs="宋体"/>
          <w:bCs/>
          <w:kern w:val="0"/>
          <w:sz w:val="24"/>
          <w:szCs w:val="20"/>
        </w:rPr>
        <w:t>月</w:t>
      </w:r>
      <w:r>
        <w:rPr>
          <w:rFonts w:ascii="宋体" w:hAnsi="宋体" w:cs="宋体"/>
          <w:bCs/>
          <w:kern w:val="0"/>
          <w:sz w:val="24"/>
          <w:szCs w:val="20"/>
        </w:rPr>
        <w:t>30日</w:t>
      </w:r>
      <w:r>
        <w:rPr>
          <w:rFonts w:hint="eastAsia" w:ascii="宋体" w:hAnsi="宋体" w:cs="宋体"/>
          <w:bCs/>
          <w:kern w:val="0"/>
          <w:sz w:val="24"/>
          <w:szCs w:val="20"/>
        </w:rPr>
        <w:t>。</w:t>
      </w:r>
    </w:p>
    <w:p>
      <w:pPr>
        <w:ind w:firstLine="480"/>
      </w:pPr>
    </w:p>
    <w:p>
      <w:pPr>
        <w:spacing w:line="360" w:lineRule="auto"/>
        <w:ind w:firstLine="482" w:firstLineChars="200"/>
        <w:rPr>
          <w:rFonts w:ascii="宋体" w:hAnsi="宋体" w:cs="宋体"/>
          <w:b/>
          <w:bCs/>
          <w:sz w:val="24"/>
        </w:rPr>
      </w:pP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w:t>
      </w:r>
    </w:p>
    <w:p>
      <w:pPr>
        <w:spacing w:line="360" w:lineRule="auto"/>
        <w:ind w:firstLine="482" w:firstLineChars="200"/>
        <w:rPr>
          <w:rFonts w:ascii="宋体" w:hAnsi="宋体" w:cs="宋体"/>
          <w:b/>
          <w:bCs/>
          <w:sz w:val="24"/>
        </w:rPr>
      </w:pPr>
      <w:r>
        <w:rPr>
          <w:rFonts w:hint="eastAsia" w:ascii="宋体" w:hAnsi="宋体" w:cs="宋体"/>
          <w:b/>
          <w:bCs/>
          <w:sz w:val="24"/>
        </w:rPr>
        <w:t>第三条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第四条 乙方的义务</w:t>
      </w:r>
    </w:p>
    <w:p>
      <w:pPr>
        <w:spacing w:line="360" w:lineRule="auto"/>
        <w:ind w:firstLine="480" w:firstLineChars="200"/>
        <w:rPr>
          <w:rFonts w:ascii="宋体" w:hAnsi="宋体" w:cs="宋体"/>
          <w:sz w:val="24"/>
        </w:rPr>
      </w:pPr>
      <w:r>
        <w:rPr>
          <w:rFonts w:hint="eastAsia" w:ascii="宋体" w:hAnsi="宋体" w:cs="宋体"/>
          <w:sz w:val="24"/>
        </w:rPr>
        <w:t>1、应按照【QH2023】号招标文件、乙方投标文件以及本合同的要求按期完成本项目服务工作。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项目负责人负责对项目实施全过程进行组织和指导，并承担课题研究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第五条  甲方的权利</w:t>
      </w:r>
    </w:p>
    <w:p>
      <w:pPr>
        <w:pStyle w:val="12"/>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12"/>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12"/>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12"/>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12"/>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12"/>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第六条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第七条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sz w:val="24"/>
        </w:rPr>
      </w:pPr>
      <w:r>
        <w:rPr>
          <w:rFonts w:hint="eastAsia" w:ascii="宋体" w:hAnsi="宋体" w:cs="宋体"/>
          <w:b/>
          <w:bCs/>
          <w:sz w:val="24"/>
        </w:rPr>
        <w:t>第八条  保密条款</w:t>
      </w:r>
    </w:p>
    <w:p>
      <w:pPr>
        <w:widowControl/>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、乙方实施项目的程序应符合国家安全、保密的有关规定和标准。</w:t>
      </w:r>
    </w:p>
    <w:p>
      <w:pPr>
        <w:widowControl/>
        <w:spacing w:line="360" w:lineRule="auto"/>
        <w:ind w:firstLine="480" w:firstLineChars="200"/>
        <w:rPr>
          <w:rFonts w:ascii="宋体" w:hAnsi="宋体" w:cs="宋体"/>
          <w:sz w:val="24"/>
        </w:rPr>
      </w:pPr>
      <w:bookmarkStart w:id="14" w:name="_Toc216520226"/>
      <w:r>
        <w:rPr>
          <w:rFonts w:ascii="宋体" w:hAnsi="宋体" w:cs="宋体"/>
          <w:sz w:val="24"/>
        </w:rPr>
        <w:t>4</w:t>
      </w:r>
      <w:r>
        <w:rPr>
          <w:rFonts w:hint="eastAsia" w:ascii="宋体" w:hAnsi="宋体" w:cs="宋体"/>
          <w:sz w:val="24"/>
        </w:rPr>
        <w:t>、上述保密义务不适用以下情况：</w:t>
      </w:r>
      <w:bookmarkEnd w:id="14"/>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第九条  验收     </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甲方负责对乙方提交的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2、甲方按照双方约定确认项目最终成果。甲方如需乙方增加交付成果的数量，应由双方协商解决</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、验收依据为【QH2023】号招标文件</w:t>
      </w:r>
      <w:r>
        <w:rPr>
          <w:rFonts w:ascii="宋体" w:hAnsi="宋体" w:cs="宋体"/>
          <w:sz w:val="24"/>
        </w:rPr>
        <w:t>、</w:t>
      </w:r>
      <w:r>
        <w:rPr>
          <w:rFonts w:hint="eastAsia" w:ascii="宋体" w:hAnsi="宋体" w:cs="宋体"/>
          <w:sz w:val="24"/>
        </w:rPr>
        <w:t>乙方投标文件</w:t>
      </w:r>
      <w:r>
        <w:rPr>
          <w:rFonts w:hint="eastAsia" w:ascii="宋体" w:hAnsi="宋体" w:cs="宋体"/>
          <w:sz w:val="24"/>
          <w:lang w:eastAsia="zh-Hans"/>
        </w:rPr>
        <w:t>及本合同</w:t>
      </w:r>
      <w:r>
        <w:rPr>
          <w:rFonts w:hint="eastAsia" w:ascii="宋体" w:hAnsi="宋体" w:cs="宋体"/>
          <w:sz w:val="24"/>
        </w:rPr>
        <w:t>约定的相关内容。</w:t>
      </w:r>
    </w:p>
    <w:p>
      <w:pPr>
        <w:pStyle w:val="2"/>
        <w:ind w:firstLine="480" w:firstLineChars="200"/>
      </w:pPr>
      <w:r>
        <w:rPr>
          <w:rFonts w:hint="eastAsia" w:ascii="宋体" w:hAnsi="宋体" w:cs="宋体"/>
          <w:sz w:val="24"/>
        </w:rPr>
        <w:t>4、最终成果验收合格的标志为甲方审查通过。</w:t>
      </w:r>
    </w:p>
    <w:p>
      <w:pPr>
        <w:spacing w:line="360" w:lineRule="auto"/>
        <w:ind w:firstLine="482" w:firstLineChars="200"/>
        <w:rPr>
          <w:rFonts w:ascii="宋体" w:hAnsi="宋体" w:cs="宋体"/>
          <w:b/>
          <w:bCs/>
          <w:sz w:val="24"/>
        </w:rPr>
      </w:pPr>
      <w:r>
        <w:rPr>
          <w:rFonts w:hint="eastAsia" w:ascii="宋体" w:hAnsi="宋体" w:cs="宋体"/>
          <w:b/>
          <w:bCs/>
          <w:sz w:val="24"/>
        </w:rPr>
        <w:t>第十条  项目服务费用及付款方式</w:t>
      </w:r>
    </w:p>
    <w:p>
      <w:pPr>
        <w:snapToGrid w:val="0"/>
        <w:spacing w:line="360" w:lineRule="auto"/>
        <w:ind w:firstLine="480" w:firstLineChars="200"/>
        <w:rPr>
          <w:rFonts w:ascii="宋体" w:hAnsi="宋体"/>
          <w:sz w:val="24"/>
        </w:rPr>
      </w:pPr>
      <w:bookmarkStart w:id="15" w:name="_Hlk32923729"/>
      <w:r>
        <w:rPr>
          <w:rFonts w:hint="eastAsia" w:ascii="宋体" w:hAnsi="宋体"/>
          <w:sz w:val="24"/>
        </w:rPr>
        <w:t>1、本合同项下服务费总金额共计人民币    万元整(￥0000.00)。服务费已包含乙方提供本合同项下服务的全部费用，包括但不限于如下内容：</w:t>
      </w:r>
    </w:p>
    <w:p>
      <w:pPr>
        <w:snapToGrid w:val="0"/>
        <w:spacing w:line="360" w:lineRule="auto"/>
        <w:ind w:firstLine="480" w:firstLineChars="200"/>
        <w:rPr>
          <w:rFonts w:ascii="宋体" w:hAnsi="宋体"/>
          <w:sz w:val="24"/>
        </w:rPr>
      </w:pPr>
      <w:r>
        <w:rPr>
          <w:rFonts w:hint="eastAsia" w:ascii="宋体" w:hAnsi="宋体"/>
          <w:sz w:val="24"/>
        </w:rPr>
        <w:t>（1）乙方为甲方所提供的所有服务和技术支持费用；</w:t>
      </w:r>
    </w:p>
    <w:p>
      <w:pPr>
        <w:snapToGrid w:val="0"/>
        <w:spacing w:line="360" w:lineRule="auto"/>
        <w:ind w:firstLine="480" w:firstLineChars="200"/>
        <w:rPr>
          <w:rFonts w:ascii="宋体" w:hAnsi="宋体"/>
          <w:sz w:val="24"/>
        </w:rPr>
      </w:pPr>
      <w:r>
        <w:rPr>
          <w:rFonts w:hint="eastAsia" w:ascii="宋体" w:hAnsi="宋体"/>
          <w:sz w:val="24"/>
        </w:rPr>
        <w:t>（2）项目研讨会费用；</w:t>
      </w:r>
    </w:p>
    <w:p>
      <w:pPr>
        <w:snapToGrid w:val="0"/>
        <w:spacing w:line="360" w:lineRule="auto"/>
        <w:ind w:firstLine="480" w:firstLineChars="200"/>
        <w:rPr>
          <w:rFonts w:ascii="宋体" w:hAnsi="宋体"/>
          <w:sz w:val="24"/>
        </w:rPr>
      </w:pPr>
      <w:r>
        <w:rPr>
          <w:rFonts w:hint="eastAsia" w:ascii="宋体" w:hAnsi="宋体"/>
          <w:sz w:val="24"/>
        </w:rPr>
        <w:t>（3）乙方工作人员工资、差旅费；</w:t>
      </w:r>
    </w:p>
    <w:p>
      <w:pPr>
        <w:snapToGrid w:val="0"/>
        <w:spacing w:line="360" w:lineRule="auto"/>
        <w:ind w:firstLine="480" w:firstLineChars="200"/>
        <w:rPr>
          <w:rFonts w:ascii="宋体" w:hAnsi="宋体"/>
          <w:sz w:val="24"/>
        </w:rPr>
      </w:pPr>
      <w:r>
        <w:rPr>
          <w:rFonts w:hint="eastAsia" w:ascii="宋体" w:hAnsi="宋体"/>
          <w:sz w:val="24"/>
        </w:rPr>
        <w:t>（4）乙方的办公、通讯、交通费用；</w:t>
      </w:r>
    </w:p>
    <w:p>
      <w:pPr>
        <w:snapToGrid w:val="0"/>
        <w:spacing w:line="360" w:lineRule="auto"/>
        <w:ind w:firstLine="480" w:firstLineChars="200"/>
        <w:rPr>
          <w:rFonts w:ascii="宋体" w:hAnsi="宋体"/>
          <w:sz w:val="24"/>
        </w:rPr>
      </w:pPr>
      <w:r>
        <w:rPr>
          <w:rFonts w:hint="eastAsia" w:ascii="宋体" w:hAnsi="宋体"/>
          <w:sz w:val="24"/>
        </w:rPr>
        <w:t>（5）项目材料统计、分析费用；</w:t>
      </w:r>
    </w:p>
    <w:p>
      <w:pPr>
        <w:snapToGrid w:val="0"/>
        <w:spacing w:line="360" w:lineRule="auto"/>
        <w:ind w:firstLine="480" w:firstLineChars="200"/>
        <w:rPr>
          <w:rFonts w:ascii="宋体" w:hAnsi="宋体"/>
          <w:sz w:val="24"/>
        </w:rPr>
      </w:pPr>
      <w:r>
        <w:rPr>
          <w:rFonts w:hint="eastAsia" w:ascii="宋体" w:hAnsi="宋体"/>
          <w:sz w:val="24"/>
        </w:rPr>
        <w:t>（6）项目成果文本印刷费用；</w:t>
      </w:r>
    </w:p>
    <w:p>
      <w:pPr>
        <w:snapToGrid w:val="0"/>
        <w:spacing w:line="360" w:lineRule="auto"/>
        <w:ind w:firstLine="480" w:firstLineChars="200"/>
        <w:rPr>
          <w:rFonts w:ascii="宋体" w:hAnsi="宋体"/>
          <w:sz w:val="24"/>
        </w:rPr>
      </w:pPr>
      <w:r>
        <w:rPr>
          <w:rFonts w:hint="eastAsia" w:ascii="宋体" w:hAnsi="宋体"/>
          <w:sz w:val="24"/>
        </w:rPr>
        <w:t>（7）乙方以各种方式将文件资料发送至甲方的费用；</w:t>
      </w:r>
    </w:p>
    <w:p>
      <w:pPr>
        <w:snapToGrid w:val="0"/>
        <w:spacing w:line="360" w:lineRule="auto"/>
        <w:ind w:firstLine="480" w:firstLineChars="200"/>
        <w:rPr>
          <w:rFonts w:ascii="宋体" w:hAnsi="宋体"/>
          <w:sz w:val="24"/>
        </w:rPr>
      </w:pPr>
      <w:r>
        <w:rPr>
          <w:rFonts w:hint="eastAsia" w:ascii="宋体" w:hAnsi="宋体"/>
          <w:sz w:val="24"/>
        </w:rPr>
        <w:t>（8）本合同项下产生的一切税费。</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付款方式：</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本合同签订后，甲方在收到乙方开具的载明相应金额的合格发票后，向乙方指定银行账户支付人民币  元整（￥00000.00），即本合同服务费总金额的</w:t>
      </w:r>
      <w:r>
        <w:rPr>
          <w:rFonts w:hint="eastAsia" w:ascii="宋体" w:hAnsi="宋体"/>
          <w:sz w:val="24"/>
        </w:rPr>
        <w:t>5</w:t>
      </w:r>
      <w:r>
        <w:rPr>
          <w:rFonts w:ascii="宋体" w:hAnsi="宋体"/>
          <w:sz w:val="24"/>
        </w:rPr>
        <w:t>0%。</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乙方将本项目最终成果全部提交给甲方，经甲方</w:t>
      </w:r>
      <w:r>
        <w:rPr>
          <w:rFonts w:hint="eastAsia" w:ascii="宋体" w:hAnsi="宋体"/>
          <w:sz w:val="24"/>
        </w:rPr>
        <w:t>审查通过</w:t>
      </w:r>
      <w:r>
        <w:rPr>
          <w:rFonts w:ascii="宋体" w:hAnsi="宋体"/>
          <w:sz w:val="24"/>
        </w:rPr>
        <w:t>后，甲方应在收到乙方开具的载明相应金额的合格发票后，向乙方指定银行账户支付人民币  元整（￥00000.00），即本合同服务费总金额的</w:t>
      </w:r>
      <w:r>
        <w:rPr>
          <w:rFonts w:hint="eastAsia" w:ascii="宋体" w:hAnsi="宋体"/>
          <w:sz w:val="24"/>
        </w:rPr>
        <w:t>5</w:t>
      </w:r>
      <w:r>
        <w:rPr>
          <w:rFonts w:ascii="宋体" w:hAnsi="宋体"/>
          <w:sz w:val="24"/>
        </w:rPr>
        <w:t>0%。</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上述每期款项均在</w:t>
      </w:r>
      <w:r>
        <w:rPr>
          <w:rFonts w:hint="eastAsia" w:ascii="宋体" w:hAnsi="宋体"/>
          <w:sz w:val="24"/>
        </w:rPr>
        <w:t>满足付款条件，且</w:t>
      </w:r>
      <w:r>
        <w:rPr>
          <w:rFonts w:hint="eastAsia" w:ascii="宋体" w:hAnsi="宋体"/>
          <w:sz w:val="24"/>
          <w:lang w:eastAsia="zh-Hans"/>
        </w:rPr>
        <w:t>甲方</w:t>
      </w:r>
      <w:r>
        <w:rPr>
          <w:rFonts w:ascii="宋体" w:hAnsi="宋体"/>
          <w:sz w:val="24"/>
        </w:rPr>
        <w:t>收到</w:t>
      </w:r>
      <w:r>
        <w:rPr>
          <w:rFonts w:hint="eastAsia" w:ascii="宋体" w:hAnsi="宋体"/>
          <w:sz w:val="24"/>
          <w:lang w:eastAsia="zh-Hans"/>
        </w:rPr>
        <w:t>乙方</w:t>
      </w:r>
      <w:r>
        <w:rPr>
          <w:rFonts w:hint="eastAsia" w:ascii="宋体" w:hAnsi="宋体"/>
          <w:sz w:val="24"/>
        </w:rPr>
        <w:t>开具的载</w:t>
      </w:r>
      <w:r>
        <w:rPr>
          <w:rFonts w:ascii="宋体" w:hAnsi="宋体"/>
          <w:sz w:val="24"/>
        </w:rPr>
        <w:t>明相应金额的合格发票后15个工作日内</w:t>
      </w:r>
      <w:r>
        <w:rPr>
          <w:rFonts w:hint="eastAsia" w:ascii="宋体" w:hAnsi="宋体"/>
          <w:sz w:val="24"/>
        </w:rPr>
        <w:t>付至乙方指定银行账户</w:t>
      </w:r>
      <w:r>
        <w:rPr>
          <w:rFonts w:ascii="宋体" w:hAnsi="宋体"/>
          <w:sz w:val="24"/>
        </w:rPr>
        <w:t>。如未及时收到发票，则</w:t>
      </w:r>
      <w:r>
        <w:rPr>
          <w:rFonts w:hint="eastAsia" w:ascii="宋体" w:hAnsi="宋体"/>
          <w:sz w:val="24"/>
          <w:lang w:eastAsia="zh-Hans"/>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highlight w:val="yellow"/>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tabs>
          <w:tab w:val="left" w:pos="720"/>
        </w:tabs>
        <w:autoSpaceDE w:val="0"/>
        <w:autoSpaceDN w:val="0"/>
        <w:adjustRightInd w:val="0"/>
        <w:spacing w:line="360" w:lineRule="auto"/>
        <w:ind w:right="17" w:firstLine="720" w:firstLineChars="300"/>
      </w:pPr>
      <w:r>
        <w:rPr>
          <w:rFonts w:hint="eastAsia" w:ascii="宋体" w:hAnsi="宋体" w:cs="宋体"/>
          <w:sz w:val="24"/>
        </w:rPr>
        <w:t>开户银行：</w:t>
      </w:r>
      <w:bookmarkEnd w:id="15"/>
    </w:p>
    <w:p>
      <w:pPr>
        <w:spacing w:line="360" w:lineRule="auto"/>
        <w:ind w:firstLine="482" w:firstLineChars="200"/>
        <w:rPr>
          <w:rFonts w:ascii="宋体" w:hAnsi="宋体" w:cs="宋体"/>
          <w:b/>
          <w:bCs/>
          <w:sz w:val="24"/>
        </w:rPr>
      </w:pPr>
      <w:r>
        <w:rPr>
          <w:rFonts w:hint="eastAsia" w:ascii="宋体" w:hAnsi="宋体" w:cs="宋体"/>
          <w:b/>
          <w:bCs/>
          <w:sz w:val="24"/>
        </w:rPr>
        <w:t>第十一条 合同提前终止</w:t>
      </w:r>
    </w:p>
    <w:p>
      <w:pPr>
        <w:pStyle w:val="41"/>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41"/>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41"/>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41"/>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41"/>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41"/>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41"/>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41"/>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41"/>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41"/>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１、乙方应完全地按照【QH2023】号招标文件的要求</w:t>
      </w:r>
      <w:r>
        <w:rPr>
          <w:rFonts w:ascii="宋体" w:hAnsi="宋体" w:cs="宋体"/>
          <w:sz w:val="24"/>
        </w:rPr>
        <w:t>、</w:t>
      </w:r>
      <w:r>
        <w:rPr>
          <w:rFonts w:hint="eastAsia" w:ascii="宋体" w:hAnsi="宋体" w:cs="宋体"/>
          <w:sz w:val="24"/>
        </w:rPr>
        <w:t>乙方投标文件的承诺</w:t>
      </w:r>
      <w:r>
        <w:rPr>
          <w:rFonts w:hint="eastAsia" w:ascii="宋体" w:hAnsi="宋体" w:cs="宋体"/>
          <w:sz w:val="24"/>
          <w:lang w:eastAsia="zh-Hans"/>
        </w:rPr>
        <w:t>及本合同的约定</w:t>
      </w:r>
      <w:r>
        <w:rPr>
          <w:rFonts w:hint="eastAsia" w:ascii="宋体" w:hAnsi="宋体" w:cs="宋体"/>
          <w:sz w:val="24"/>
        </w:rPr>
        <w:t>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1、甲方违约责任</w:t>
      </w:r>
    </w:p>
    <w:p>
      <w:pPr>
        <w:spacing w:line="360" w:lineRule="auto"/>
        <w:ind w:firstLine="480" w:firstLineChars="200"/>
        <w:rPr>
          <w:rFonts w:ascii="宋体" w:hAnsi="宋体" w:cs="宋体"/>
          <w:sz w:val="24"/>
        </w:rPr>
      </w:pPr>
      <w:r>
        <w:rPr>
          <w:rFonts w:hint="eastAsia" w:ascii="宋体" w:hAnsi="宋体" w:cs="宋体"/>
          <w:sz w:val="24"/>
        </w:rPr>
        <w:t>（1）甲方无故未按本合同约定支付合同价款，经乙方书面催告后15个工作日内仍未支付合同款项的，从合同约定的付款期限届满之日起，每逾期1天，甲方应向乙方偿付合同总金额1‰的违约金。</w:t>
      </w:r>
    </w:p>
    <w:p>
      <w:pPr>
        <w:spacing w:line="360" w:lineRule="auto"/>
        <w:ind w:firstLine="480" w:firstLineChars="200"/>
        <w:rPr>
          <w:rFonts w:ascii="宋体" w:hAnsi="宋体"/>
          <w:sz w:val="24"/>
        </w:rPr>
      </w:pPr>
      <w:r>
        <w:rPr>
          <w:rFonts w:hint="eastAsia" w:ascii="宋体" w:hAnsi="宋体" w:cs="宋体"/>
          <w:sz w:val="24"/>
        </w:rPr>
        <w:t>（2）</w:t>
      </w:r>
      <w:r>
        <w:rPr>
          <w:rFonts w:hint="eastAsia" w:ascii="宋体" w:hAnsi="宋体"/>
          <w:sz w:val="24"/>
        </w:rPr>
        <w:t>甲方无正当理由拒绝项目验收或拒绝支付合同款项的，除应支付对应阶段的款项外，甲方应向乙方偿付合同总金额5%的违约金。</w:t>
      </w:r>
    </w:p>
    <w:p>
      <w:pPr>
        <w:spacing w:line="360" w:lineRule="auto"/>
        <w:ind w:firstLine="480" w:firstLineChars="200"/>
        <w:rPr>
          <w:rFonts w:ascii="宋体" w:hAnsi="宋体" w:cs="宋体"/>
          <w:sz w:val="24"/>
        </w:rPr>
      </w:pPr>
      <w:r>
        <w:rPr>
          <w:rFonts w:hint="eastAsia" w:ascii="宋体" w:hAnsi="宋体" w:cs="宋体"/>
          <w:sz w:val="24"/>
        </w:rPr>
        <w:t>2、乙方违约责任</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本合同项下的工作内容不可分割，任一成果的迟延交付均视为整个项目的迟延交付。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3）乙方虽如期提交阶段性成果和最终成果，但最终成果连续二次未能通过甲方评审验收的；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5） 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pStyle w:val="2"/>
        <w:ind w:firstLine="480" w:firstLineChars="200"/>
      </w:pPr>
      <w:r>
        <w:rPr>
          <w:rFonts w:hint="eastAsia" w:ascii="宋体" w:hAnsi="宋体" w:cs="宋体"/>
          <w:sz w:val="24"/>
        </w:rPr>
        <w:t>3.上述违约责任各自独立且可累加。如本合同所约定的违约金无法弥补因违约行为所造成的损失，违约方应补偿上述不足部分的损失。</w:t>
      </w:r>
    </w:p>
    <w:p>
      <w:pPr>
        <w:pStyle w:val="2"/>
      </w:pP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（3）招标文件（编号：QH2023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41"/>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41"/>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41"/>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41"/>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41"/>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41"/>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xxxxxxxxxx有限公司</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bookmarkStart w:id="16" w:name="_Toc793"/>
      <w:r>
        <w:rPr>
          <w:rFonts w:hint="eastAsia" w:ascii="宋体" w:hAnsi="宋体" w:cs="宋体"/>
          <w:b/>
          <w:bCs/>
          <w:sz w:val="24"/>
        </w:rPr>
        <w:t>用户需求书</w:t>
      </w:r>
      <w:bookmarkEnd w:id="16"/>
    </w:p>
    <w:p>
      <w:pPr>
        <w:pStyle w:val="54"/>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7" w:name="_Toc11045"/>
      <w:bookmarkStart w:id="18" w:name="_Toc23726"/>
      <w:r>
        <w:rPr>
          <w:rFonts w:hint="eastAsia" w:ascii="宋体" w:hAnsi="宋体" w:cs="宋体"/>
          <w:b/>
          <w:sz w:val="24"/>
        </w:rPr>
        <w:t>一、</w:t>
      </w:r>
      <w:bookmarkEnd w:id="17"/>
      <w:bookmarkEnd w:id="18"/>
      <w:bookmarkStart w:id="19" w:name="_Toc96337997"/>
      <w:bookmarkStart w:id="20" w:name="_Toc51746099"/>
      <w:r>
        <w:rPr>
          <w:rFonts w:hint="eastAsia" w:ascii="宋体" w:hAnsi="宋体" w:cs="宋体"/>
          <w:b/>
          <w:sz w:val="24"/>
        </w:rPr>
        <w:t>项目背景</w:t>
      </w:r>
      <w:bookmarkEnd w:id="19"/>
      <w:r>
        <w:rPr>
          <w:rFonts w:hint="eastAsia" w:ascii="宋体" w:hAnsi="宋体" w:cs="宋体"/>
          <w:b/>
          <w:sz w:val="24"/>
        </w:rPr>
        <w:t>及内容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bookmarkEnd w:id="20"/>
    <w:p>
      <w:pPr>
        <w:spacing w:line="360" w:lineRule="auto"/>
        <w:ind w:firstLine="480" w:firstLineChars="200"/>
        <w:rPr>
          <w:rFonts w:ascii="宋体" w:hAnsi="宋体" w:cs="宋体"/>
          <w:sz w:val="24"/>
        </w:rPr>
      </w:pPr>
      <w:r>
        <w:rPr>
          <w:rFonts w:ascii="宋体" w:hAnsi="宋体" w:cs="宋体"/>
          <w:sz w:val="24"/>
        </w:rPr>
        <w:t>2012</w:t>
      </w:r>
      <w:r>
        <w:rPr>
          <w:rFonts w:hint="eastAsia" w:ascii="宋体" w:hAnsi="宋体" w:cs="宋体"/>
          <w:sz w:val="24"/>
          <w:lang w:eastAsia="zh-Hans"/>
        </w:rPr>
        <w:t>年</w:t>
      </w:r>
      <w:r>
        <w:rPr>
          <w:rFonts w:hint="eastAsia" w:ascii="宋体" w:hAnsi="宋体" w:cs="宋体"/>
          <w:sz w:val="24"/>
        </w:rPr>
        <w:t>，党的十八大后，习近平总书记首次离京视察，第一站就来到前海，在前海石旁，他深情寄语前海：“精耕细作，精雕细琢，一年一个样，一张白纸，从零开始，画出最美最好的图画。</w:t>
      </w:r>
      <w:r>
        <w:rPr>
          <w:rFonts w:ascii="宋体" w:hAnsi="宋体" w:cs="宋体"/>
          <w:sz w:val="24"/>
        </w:rPr>
        <w:t>2022</w:t>
      </w:r>
      <w:r>
        <w:rPr>
          <w:rFonts w:hint="eastAsia" w:ascii="宋体" w:hAnsi="宋体" w:cs="宋体"/>
          <w:sz w:val="24"/>
          <w:lang w:eastAsia="zh-Hans"/>
        </w:rPr>
        <w:t>年</w:t>
      </w:r>
      <w:r>
        <w:rPr>
          <w:rFonts w:ascii="宋体" w:hAnsi="宋体" w:cs="宋体"/>
          <w:sz w:val="24"/>
          <w:lang w:eastAsia="zh-Hans"/>
        </w:rPr>
        <w:t>，《</w:t>
      </w:r>
      <w:r>
        <w:rPr>
          <w:rFonts w:hint="eastAsia" w:ascii="宋体" w:hAnsi="宋体" w:cs="宋体"/>
          <w:sz w:val="24"/>
          <w:lang w:eastAsia="zh-Hans"/>
        </w:rPr>
        <w:t>新闻联播</w:t>
      </w:r>
      <w:r>
        <w:rPr>
          <w:rFonts w:ascii="宋体" w:hAnsi="宋体" w:cs="宋体"/>
          <w:sz w:val="24"/>
          <w:lang w:eastAsia="zh-Hans"/>
        </w:rPr>
        <w:t>》</w:t>
      </w:r>
      <w:r>
        <w:rPr>
          <w:rFonts w:hint="eastAsia" w:ascii="宋体" w:hAnsi="宋体" w:cs="宋体"/>
          <w:sz w:val="24"/>
          <w:lang w:eastAsia="zh-Hans"/>
        </w:rPr>
        <w:t>报道称</w:t>
      </w:r>
      <w:r>
        <w:rPr>
          <w:rFonts w:ascii="宋体" w:hAnsi="宋体" w:cs="宋体"/>
          <w:sz w:val="24"/>
          <w:lang w:eastAsia="zh-Hans"/>
        </w:rPr>
        <w:t>，</w:t>
      </w:r>
      <w:r>
        <w:rPr>
          <w:rFonts w:hint="eastAsia" w:ascii="宋体" w:hAnsi="宋体" w:cs="宋体"/>
          <w:sz w:val="24"/>
        </w:rPr>
        <w:t>前海是中国城市空间形态变化最大的区域之一。前海已从一片泥泞滩涂、工地到树影婆娑、高楼林立，俨然成为国际化城市新中心。</w:t>
      </w:r>
    </w:p>
    <w:p>
      <w:pPr>
        <w:spacing w:line="360" w:lineRule="auto"/>
        <w:ind w:firstLine="480" w:firstLineChars="200"/>
        <w:rPr>
          <w:rFonts w:ascii="宋体" w:hAnsi="宋体" w:cs="宋体"/>
          <w:kern w:val="0"/>
          <w:sz w:val="24"/>
        </w:rPr>
      </w:pPr>
      <w:r>
        <w:rPr>
          <w:rFonts w:hint="eastAsia" w:ascii="宋体" w:hAnsi="宋体" w:cs="宋体"/>
          <w:sz w:val="24"/>
        </w:rPr>
        <w:t>为全面展现前海深入</w:t>
      </w:r>
      <w:r>
        <w:rPr>
          <w:rFonts w:hint="eastAsia" w:ascii="宋体" w:hAnsi="宋体" w:cs="宋体"/>
          <w:sz w:val="24"/>
          <w:lang w:eastAsia="zh-Hans"/>
        </w:rPr>
        <w:t>学习</w:t>
      </w:r>
      <w:r>
        <w:rPr>
          <w:rFonts w:hint="eastAsia" w:ascii="宋体" w:hAnsi="宋体" w:cs="宋体"/>
          <w:sz w:val="24"/>
        </w:rPr>
        <w:t>贯彻落实党的二十大精神，坚持依托香港、服务内地、面向世界，牢牢把握“扩区”和“改革开放”两个重点，奋力将前海打造</w:t>
      </w:r>
      <w:r>
        <w:rPr>
          <w:rFonts w:hint="eastAsia" w:ascii="宋体" w:hAnsi="宋体" w:cs="宋体"/>
          <w:sz w:val="24"/>
          <w:lang w:eastAsia="zh-Hans"/>
        </w:rPr>
        <w:t>国际化城市新中心</w:t>
      </w:r>
      <w:r>
        <w:rPr>
          <w:rFonts w:hint="eastAsia" w:ascii="宋体" w:hAnsi="宋体" w:cs="宋体"/>
          <w:sz w:val="24"/>
        </w:rPr>
        <w:t>，拟</w:t>
      </w:r>
      <w:r>
        <w:rPr>
          <w:rFonts w:hint="eastAsia" w:ascii="宋体" w:hAnsi="宋体" w:cs="宋体"/>
          <w:sz w:val="24"/>
          <w:lang w:eastAsia="zh-Hans"/>
        </w:rPr>
        <w:t>采购</w:t>
      </w:r>
      <w:r>
        <w:rPr>
          <w:rFonts w:hint="eastAsia" w:ascii="宋体" w:hAnsi="宋体" w:cs="宋体"/>
          <w:sz w:val="24"/>
        </w:rPr>
        <w:t>前海成立十三周年城市变化专题影片制作项目，</w:t>
      </w:r>
      <w:r>
        <w:rPr>
          <w:rFonts w:hint="eastAsia" w:ascii="宋体" w:hAnsi="宋体" w:cs="宋体"/>
          <w:sz w:val="24"/>
          <w:lang w:eastAsia="zh-Hans"/>
        </w:rPr>
        <w:t>通过制作专题影片</w:t>
      </w:r>
      <w:r>
        <w:rPr>
          <w:rFonts w:ascii="宋体" w:hAnsi="宋体" w:cs="宋体"/>
          <w:sz w:val="24"/>
          <w:lang w:eastAsia="zh-Hans"/>
        </w:rPr>
        <w:t>，</w:t>
      </w:r>
      <w:r>
        <w:rPr>
          <w:rFonts w:hint="eastAsia" w:ascii="宋体" w:hAnsi="宋体" w:cs="宋体"/>
          <w:sz w:val="24"/>
        </w:rPr>
        <w:t>全方位、立体化呈现</w:t>
      </w:r>
      <w:r>
        <w:rPr>
          <w:rFonts w:hint="eastAsia" w:ascii="宋体" w:hAnsi="宋体" w:cs="宋体"/>
          <w:sz w:val="24"/>
          <w:lang w:eastAsia="zh-Hans"/>
        </w:rPr>
        <w:t>前海的</w:t>
      </w:r>
      <w:r>
        <w:rPr>
          <w:rFonts w:hint="eastAsia" w:ascii="宋体" w:hAnsi="宋体" w:cs="宋体"/>
          <w:sz w:val="24"/>
        </w:rPr>
        <w:t>发展态势，用于</w:t>
      </w:r>
      <w:r>
        <w:rPr>
          <w:rFonts w:hint="eastAsia" w:ascii="宋体" w:hAnsi="宋体" w:cs="宋体"/>
          <w:sz w:val="24"/>
          <w:lang w:eastAsia="zh-Hans"/>
        </w:rPr>
        <w:t>官方宣传和形象展示</w:t>
      </w:r>
      <w:r>
        <w:rPr>
          <w:rFonts w:hint="eastAsia" w:ascii="宋体" w:hAnsi="宋体" w:cs="宋体"/>
          <w:sz w:val="24"/>
        </w:rPr>
        <w:t>等</w:t>
      </w:r>
      <w:r>
        <w:rPr>
          <w:rFonts w:hint="eastAsia" w:ascii="宋体" w:hAnsi="宋体" w:cs="宋体"/>
          <w:kern w:val="0"/>
          <w:sz w:val="24"/>
        </w:rPr>
        <w:t>。</w:t>
      </w:r>
    </w:p>
    <w:p>
      <w:pPr>
        <w:pStyle w:val="41"/>
        <w:ind w:firstLine="482"/>
        <w:rPr>
          <w:sz w:val="24"/>
          <w:szCs w:val="24"/>
        </w:rPr>
      </w:pPr>
      <w:r>
        <w:rPr>
          <w:b/>
          <w:bCs/>
          <w:sz w:val="24"/>
          <w:szCs w:val="24"/>
        </w:rPr>
        <w:t>（</w:t>
      </w:r>
      <w:r>
        <w:rPr>
          <w:rFonts w:hint="eastAsia"/>
          <w:b/>
          <w:bCs/>
          <w:sz w:val="24"/>
          <w:szCs w:val="24"/>
          <w:lang w:eastAsia="zh-Hans"/>
        </w:rPr>
        <w:t>二</w:t>
      </w:r>
      <w:r>
        <w:rPr>
          <w:b/>
          <w:bCs/>
          <w:sz w:val="24"/>
          <w:szCs w:val="24"/>
          <w:lang w:eastAsia="zh-Hans"/>
        </w:rPr>
        <w:t>）</w:t>
      </w:r>
      <w:r>
        <w:rPr>
          <w:rFonts w:hint="eastAsia"/>
          <w:b/>
          <w:bCs/>
          <w:sz w:val="24"/>
          <w:szCs w:val="24"/>
        </w:rPr>
        <w:t>项目内容</w:t>
      </w:r>
      <w:r>
        <w:rPr>
          <w:rFonts w:hint="eastAsia"/>
          <w:sz w:val="24"/>
          <w:szCs w:val="24"/>
        </w:rPr>
        <w:t>：</w:t>
      </w:r>
    </w:p>
    <w:p>
      <w:pPr>
        <w:pStyle w:val="41"/>
        <w:ind w:firstLine="480"/>
        <w:rPr>
          <w:sz w:val="24"/>
          <w:szCs w:val="24"/>
        </w:rPr>
      </w:pPr>
      <w:r>
        <w:rPr>
          <w:rFonts w:hint="eastAsia"/>
          <w:sz w:val="24"/>
          <w:szCs w:val="24"/>
        </w:rPr>
        <w:t>项目主要工作内容为结合</w:t>
      </w:r>
      <w:r>
        <w:rPr>
          <w:rFonts w:hint="eastAsia"/>
          <w:sz w:val="24"/>
          <w:szCs w:val="24"/>
          <w:lang w:eastAsia="zh-Hans"/>
        </w:rPr>
        <w:t>前海</w:t>
      </w:r>
      <w:r>
        <w:rPr>
          <w:rFonts w:hint="eastAsia"/>
          <w:sz w:val="24"/>
          <w:szCs w:val="24"/>
        </w:rPr>
        <w:t>最新</w:t>
      </w:r>
      <w:r>
        <w:rPr>
          <w:rFonts w:hint="eastAsia"/>
          <w:sz w:val="24"/>
          <w:szCs w:val="24"/>
          <w:lang w:eastAsia="zh-Hans"/>
        </w:rPr>
        <w:t>建设成果</w:t>
      </w:r>
      <w:r>
        <w:rPr>
          <w:sz w:val="24"/>
          <w:szCs w:val="24"/>
          <w:lang w:eastAsia="zh-Hans"/>
        </w:rPr>
        <w:t>、</w:t>
      </w:r>
      <w:r>
        <w:rPr>
          <w:rFonts w:hint="eastAsia"/>
          <w:sz w:val="24"/>
          <w:szCs w:val="24"/>
          <w:lang w:eastAsia="zh-Hans"/>
        </w:rPr>
        <w:t>扩区后城市变化制作前海专题影片</w:t>
      </w:r>
      <w:r>
        <w:rPr>
          <w:rFonts w:hint="eastAsia"/>
          <w:sz w:val="24"/>
          <w:szCs w:val="24"/>
        </w:rPr>
        <w:t>。具体制作要求如下：</w:t>
      </w:r>
    </w:p>
    <w:p>
      <w:pPr>
        <w:pStyle w:val="41"/>
        <w:ind w:firstLine="480"/>
        <w:rPr>
          <w:sz w:val="24"/>
          <w:szCs w:val="24"/>
        </w:rPr>
      </w:pPr>
      <w:r>
        <w:rPr>
          <w:rFonts w:hint="eastAsia"/>
          <w:sz w:val="24"/>
          <w:szCs w:val="24"/>
        </w:rPr>
        <w:t>1.负责</w:t>
      </w:r>
      <w:r>
        <w:rPr>
          <w:rFonts w:hint="eastAsia"/>
          <w:sz w:val="24"/>
          <w:szCs w:val="24"/>
          <w:lang w:eastAsia="zh-Hans"/>
        </w:rPr>
        <w:t>前海</w:t>
      </w:r>
      <w:r>
        <w:rPr>
          <w:rFonts w:hint="eastAsia" w:ascii="宋体" w:hAnsi="宋体" w:cs="宋体"/>
          <w:sz w:val="24"/>
        </w:rPr>
        <w:t>成立十三周年城市变化专题影片</w:t>
      </w:r>
      <w:r>
        <w:rPr>
          <w:rFonts w:hint="eastAsia"/>
          <w:sz w:val="24"/>
          <w:szCs w:val="24"/>
          <w:lang w:eastAsia="zh-Hans"/>
        </w:rPr>
        <w:t>的设计和制作</w:t>
      </w:r>
      <w:r>
        <w:rPr>
          <w:rFonts w:hint="eastAsia"/>
          <w:sz w:val="24"/>
          <w:szCs w:val="24"/>
        </w:rPr>
        <w:t>（含</w:t>
      </w:r>
      <w:r>
        <w:rPr>
          <w:rFonts w:hint="eastAsia"/>
          <w:sz w:val="24"/>
          <w:szCs w:val="24"/>
          <w:lang w:eastAsia="zh-Hans"/>
        </w:rPr>
        <w:t>形象设计</w:t>
      </w:r>
      <w:r>
        <w:rPr>
          <w:rFonts w:hint="eastAsia"/>
          <w:sz w:val="24"/>
          <w:szCs w:val="24"/>
        </w:rPr>
        <w:t>、</w:t>
      </w:r>
      <w:r>
        <w:rPr>
          <w:rFonts w:hint="eastAsia"/>
          <w:sz w:val="24"/>
          <w:szCs w:val="24"/>
          <w:lang w:eastAsia="zh-Hans"/>
        </w:rPr>
        <w:t>脚本策划</w:t>
      </w:r>
      <w:r>
        <w:rPr>
          <w:sz w:val="24"/>
          <w:szCs w:val="24"/>
          <w:lang w:eastAsia="zh-Hans"/>
        </w:rPr>
        <w:t>、</w:t>
      </w:r>
      <w:r>
        <w:rPr>
          <w:rFonts w:hint="eastAsia"/>
          <w:sz w:val="24"/>
          <w:szCs w:val="24"/>
          <w:lang w:eastAsia="zh-Hans"/>
        </w:rPr>
        <w:t>文字内容</w:t>
      </w:r>
      <w:r>
        <w:rPr>
          <w:rFonts w:hint="eastAsia"/>
          <w:sz w:val="24"/>
          <w:szCs w:val="24"/>
        </w:rPr>
        <w:t>、</w:t>
      </w:r>
      <w:r>
        <w:rPr>
          <w:rFonts w:hint="eastAsia"/>
          <w:sz w:val="24"/>
          <w:szCs w:val="24"/>
          <w:lang w:eastAsia="zh-Hans"/>
        </w:rPr>
        <w:t>画面拍摄</w:t>
      </w:r>
      <w:r>
        <w:rPr>
          <w:sz w:val="24"/>
          <w:szCs w:val="24"/>
          <w:lang w:eastAsia="zh-Hans"/>
        </w:rPr>
        <w:t>、</w:t>
      </w:r>
      <w:r>
        <w:rPr>
          <w:rFonts w:hint="eastAsia"/>
          <w:sz w:val="24"/>
          <w:szCs w:val="24"/>
          <w:lang w:eastAsia="zh-Hans"/>
        </w:rPr>
        <w:t>后期更新</w:t>
      </w:r>
      <w:r>
        <w:rPr>
          <w:rFonts w:hint="eastAsia"/>
          <w:sz w:val="24"/>
          <w:szCs w:val="24"/>
        </w:rPr>
        <w:t>等）</w:t>
      </w:r>
      <w:r>
        <w:rPr>
          <w:sz w:val="24"/>
          <w:szCs w:val="24"/>
        </w:rPr>
        <w:t>，</w:t>
      </w:r>
      <w:r>
        <w:rPr>
          <w:rFonts w:hint="eastAsia"/>
          <w:sz w:val="24"/>
          <w:szCs w:val="24"/>
          <w:lang w:eastAsia="zh-Hans"/>
        </w:rPr>
        <w:t>影片要求分辨率不少于</w:t>
      </w:r>
      <w:r>
        <w:rPr>
          <w:sz w:val="24"/>
          <w:szCs w:val="24"/>
          <w:lang w:eastAsia="zh-Hans"/>
        </w:rPr>
        <w:t>4</w:t>
      </w:r>
      <w:r>
        <w:rPr>
          <w:rFonts w:hint="eastAsia"/>
          <w:sz w:val="24"/>
          <w:szCs w:val="24"/>
          <w:lang w:eastAsia="zh-Hans"/>
        </w:rPr>
        <w:t>k高清分辨率</w:t>
      </w:r>
      <w:r>
        <w:rPr>
          <w:sz w:val="24"/>
          <w:szCs w:val="24"/>
          <w:lang w:eastAsia="zh-Hans"/>
        </w:rPr>
        <w:t>，</w:t>
      </w:r>
      <w:r>
        <w:rPr>
          <w:rFonts w:hint="eastAsia"/>
          <w:sz w:val="24"/>
          <w:szCs w:val="24"/>
          <w:lang w:eastAsia="zh-Hans"/>
        </w:rPr>
        <w:t>时常不低于</w:t>
      </w:r>
      <w:r>
        <w:rPr>
          <w:sz w:val="24"/>
          <w:szCs w:val="24"/>
          <w:lang w:eastAsia="zh-Hans"/>
        </w:rPr>
        <w:t>4</w:t>
      </w:r>
      <w:r>
        <w:rPr>
          <w:rFonts w:hint="eastAsia"/>
          <w:sz w:val="24"/>
          <w:szCs w:val="24"/>
          <w:lang w:eastAsia="zh-Hans"/>
        </w:rPr>
        <w:t>分钟</w:t>
      </w:r>
      <w:r>
        <w:rPr>
          <w:sz w:val="24"/>
          <w:szCs w:val="24"/>
          <w:lang w:eastAsia="zh-Hans"/>
        </w:rPr>
        <w:t>，</w:t>
      </w:r>
      <w:r>
        <w:rPr>
          <w:rFonts w:hint="eastAsia"/>
          <w:sz w:val="24"/>
          <w:szCs w:val="24"/>
          <w:lang w:eastAsia="zh-Hans"/>
        </w:rPr>
        <w:t>超出部分属于</w:t>
      </w:r>
      <w:r>
        <w:rPr>
          <w:rFonts w:hint="eastAsia"/>
          <w:sz w:val="24"/>
          <w:szCs w:val="24"/>
        </w:rPr>
        <w:t>中标人</w:t>
      </w:r>
      <w:r>
        <w:rPr>
          <w:rFonts w:hint="eastAsia"/>
          <w:sz w:val="24"/>
          <w:szCs w:val="24"/>
          <w:lang w:eastAsia="zh-Hans"/>
        </w:rPr>
        <w:t>免费赠送性质</w:t>
      </w:r>
      <w:r>
        <w:rPr>
          <w:sz w:val="24"/>
          <w:szCs w:val="24"/>
          <w:lang w:eastAsia="zh-Hans"/>
        </w:rPr>
        <w:t>，</w:t>
      </w:r>
      <w:r>
        <w:rPr>
          <w:rFonts w:hint="eastAsia"/>
          <w:sz w:val="24"/>
          <w:szCs w:val="24"/>
          <w:lang w:eastAsia="zh-Hans"/>
        </w:rPr>
        <w:t>不单独计费</w:t>
      </w:r>
      <w:r>
        <w:rPr>
          <w:rFonts w:hint="eastAsia"/>
          <w:sz w:val="24"/>
          <w:szCs w:val="24"/>
        </w:rPr>
        <w:t>。</w:t>
      </w:r>
    </w:p>
    <w:p>
      <w:pPr>
        <w:pStyle w:val="41"/>
        <w:ind w:firstLine="480"/>
        <w:rPr>
          <w:sz w:val="24"/>
          <w:szCs w:val="24"/>
        </w:rPr>
      </w:pPr>
      <w:r>
        <w:rPr>
          <w:rFonts w:hint="eastAsia"/>
          <w:sz w:val="24"/>
          <w:szCs w:val="24"/>
        </w:rPr>
        <w:t>2.</w:t>
      </w:r>
      <w:r>
        <w:rPr>
          <w:rFonts w:hint="eastAsia"/>
          <w:sz w:val="24"/>
          <w:szCs w:val="24"/>
          <w:lang w:eastAsia="zh-Hans"/>
        </w:rPr>
        <w:t>负责整理前海成立以来的反映城市形象变化的镜头</w:t>
      </w:r>
      <w:r>
        <w:rPr>
          <w:sz w:val="24"/>
          <w:szCs w:val="24"/>
          <w:lang w:eastAsia="zh-Hans"/>
        </w:rPr>
        <w:t>（</w:t>
      </w:r>
      <w:r>
        <w:rPr>
          <w:rFonts w:hint="eastAsia"/>
          <w:sz w:val="24"/>
          <w:szCs w:val="24"/>
          <w:lang w:eastAsia="zh-Hans"/>
        </w:rPr>
        <w:t>包括但不限于航拍画面</w:t>
      </w:r>
      <w:r>
        <w:rPr>
          <w:sz w:val="24"/>
          <w:szCs w:val="24"/>
          <w:lang w:eastAsia="zh-Hans"/>
        </w:rPr>
        <w:t>、</w:t>
      </w:r>
      <w:r>
        <w:rPr>
          <w:rFonts w:hint="eastAsia"/>
          <w:sz w:val="24"/>
          <w:szCs w:val="24"/>
          <w:lang w:eastAsia="zh-Hans"/>
        </w:rPr>
        <w:t>地面拍摄</w:t>
      </w:r>
      <w:r>
        <w:rPr>
          <w:sz w:val="24"/>
          <w:szCs w:val="24"/>
          <w:lang w:eastAsia="zh-Hans"/>
        </w:rPr>
        <w:t>、</w:t>
      </w:r>
      <w:r>
        <w:rPr>
          <w:rFonts w:hint="eastAsia"/>
          <w:sz w:val="24"/>
          <w:szCs w:val="24"/>
          <w:lang w:eastAsia="zh-Hans"/>
        </w:rPr>
        <w:t>新闻镜头等</w:t>
      </w:r>
      <w:r>
        <w:rPr>
          <w:sz w:val="24"/>
          <w:szCs w:val="24"/>
          <w:lang w:eastAsia="zh-Hans"/>
        </w:rPr>
        <w:t>），</w:t>
      </w:r>
      <w:r>
        <w:rPr>
          <w:rFonts w:hint="eastAsia"/>
          <w:sz w:val="24"/>
          <w:szCs w:val="24"/>
          <w:lang w:eastAsia="zh-Hans"/>
        </w:rPr>
        <w:t>并在影片中生动呈现</w:t>
      </w:r>
      <w:r>
        <w:rPr>
          <w:sz w:val="24"/>
          <w:szCs w:val="24"/>
          <w:lang w:eastAsia="zh-Hans"/>
        </w:rPr>
        <w:t>，</w:t>
      </w:r>
      <w:r>
        <w:rPr>
          <w:rFonts w:hint="eastAsia"/>
          <w:sz w:val="24"/>
          <w:szCs w:val="24"/>
          <w:lang w:eastAsia="zh-Hans"/>
        </w:rPr>
        <w:t>全面展示城市形象的变化</w:t>
      </w:r>
      <w:r>
        <w:rPr>
          <w:rFonts w:hint="eastAsia"/>
          <w:sz w:val="24"/>
          <w:szCs w:val="24"/>
        </w:rPr>
        <w:t>。</w:t>
      </w:r>
    </w:p>
    <w:p>
      <w:pPr>
        <w:pStyle w:val="54"/>
        <w:tabs>
          <w:tab w:val="left" w:pos="720"/>
        </w:tabs>
        <w:autoSpaceDE w:val="0"/>
        <w:autoSpaceDN w:val="0"/>
        <w:adjustRightInd w:val="0"/>
        <w:spacing w:line="360" w:lineRule="auto"/>
        <w:ind w:right="17" w:firstLine="480"/>
        <w:outlineLvl w:val="1"/>
        <w:rPr>
          <w:sz w:val="24"/>
        </w:rPr>
      </w:pPr>
      <w:r>
        <w:rPr>
          <w:rFonts w:hint="eastAsia"/>
          <w:sz w:val="24"/>
        </w:rPr>
        <w:t>3.按要求及时完成提升</w:t>
      </w:r>
      <w:r>
        <w:rPr>
          <w:rFonts w:hint="eastAsia"/>
          <w:sz w:val="24"/>
          <w:lang w:eastAsia="zh-Hans"/>
        </w:rPr>
        <w:t>影片</w:t>
      </w:r>
      <w:r>
        <w:rPr>
          <w:rFonts w:hint="eastAsia"/>
          <w:sz w:val="24"/>
        </w:rPr>
        <w:t>修改。</w:t>
      </w:r>
    </w:p>
    <w:p>
      <w:pPr>
        <w:pStyle w:val="54"/>
        <w:tabs>
          <w:tab w:val="left" w:pos="720"/>
        </w:tabs>
        <w:autoSpaceDE w:val="0"/>
        <w:autoSpaceDN w:val="0"/>
        <w:adjustRightInd w:val="0"/>
        <w:spacing w:line="360" w:lineRule="auto"/>
        <w:ind w:right="17" w:firstLine="0" w:firstLineChars="0"/>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项目服务周期自合同签订之日起至202</w:t>
      </w:r>
      <w:r>
        <w:rPr>
          <w:rFonts w:ascii="宋体" w:hAnsi="宋体" w:cs="宋体"/>
          <w:bCs/>
          <w:kern w:val="0"/>
          <w:sz w:val="24"/>
          <w:szCs w:val="20"/>
        </w:rPr>
        <w:t>3</w:t>
      </w:r>
      <w:r>
        <w:rPr>
          <w:rFonts w:hint="eastAsia" w:ascii="宋体" w:hAnsi="宋体" w:cs="宋体"/>
          <w:bCs/>
          <w:kern w:val="0"/>
          <w:sz w:val="24"/>
          <w:szCs w:val="20"/>
        </w:rPr>
        <w:t>年</w:t>
      </w:r>
      <w:r>
        <w:rPr>
          <w:rFonts w:ascii="宋体" w:hAnsi="宋体" w:cs="宋体"/>
          <w:bCs/>
          <w:kern w:val="0"/>
          <w:sz w:val="24"/>
          <w:szCs w:val="20"/>
        </w:rPr>
        <w:t>12</w:t>
      </w:r>
      <w:r>
        <w:rPr>
          <w:rFonts w:hint="eastAsia" w:ascii="宋体" w:hAnsi="宋体" w:cs="宋体"/>
          <w:bCs/>
          <w:kern w:val="0"/>
          <w:sz w:val="24"/>
          <w:szCs w:val="20"/>
        </w:rPr>
        <w:t>月</w:t>
      </w:r>
      <w:r>
        <w:rPr>
          <w:rFonts w:ascii="宋体" w:hAnsi="宋体" w:cs="宋体"/>
          <w:bCs/>
          <w:kern w:val="0"/>
          <w:sz w:val="24"/>
          <w:szCs w:val="20"/>
        </w:rPr>
        <w:t>30日</w:t>
      </w:r>
      <w:r>
        <w:rPr>
          <w:rFonts w:hint="eastAsia" w:ascii="宋体" w:hAnsi="宋体" w:cs="宋体"/>
          <w:bCs/>
          <w:kern w:val="0"/>
          <w:sz w:val="24"/>
          <w:szCs w:val="20"/>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总价作为中标单位与采购单位签订的合同金额。参加单位的报价不可高于限价，否则参加单位的投标文件视同无效，项目服务费包括项目实施过程中有关调研、差旅、打印、人员车辆、资料、税费等一切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（三）付款方式</w:t>
      </w:r>
    </w:p>
    <w:p>
      <w:pPr>
        <w:snapToGrid w:val="0"/>
        <w:spacing w:line="360" w:lineRule="auto"/>
        <w:ind w:firstLine="480" w:firstLineChars="200"/>
        <w:rPr>
          <w:rFonts w:ascii="宋体" w:hAnsi="宋体"/>
          <w:sz w:val="24"/>
        </w:rPr>
      </w:pPr>
      <w:r>
        <w:rPr>
          <w:rFonts w:hint="eastAsia" w:ascii="宋体" w:hAnsi="宋体"/>
          <w:sz w:val="24"/>
        </w:rPr>
        <w:t>1、合同签订后15个工作日内，采购人收到中标人出具的正规发票后，支付合同总金额的50%。</w:t>
      </w:r>
    </w:p>
    <w:p>
      <w:pPr>
        <w:snapToGrid w:val="0"/>
        <w:spacing w:line="360" w:lineRule="auto"/>
        <w:ind w:firstLine="480" w:firstLineChars="200"/>
        <w:rPr>
          <w:rFonts w:ascii="宋体" w:hAnsi="宋体"/>
          <w:sz w:val="24"/>
        </w:rPr>
      </w:pPr>
      <w:r>
        <w:rPr>
          <w:rFonts w:hint="eastAsia" w:ascii="宋体" w:hAnsi="宋体"/>
          <w:sz w:val="24"/>
        </w:rPr>
        <w:t>2、经采购人确认中标人全面、充分履行合同义务，验收合格后15个工作日内再次启动付款程序，支付</w:t>
      </w:r>
      <w:r>
        <w:rPr>
          <w:rFonts w:ascii="宋体" w:hAnsi="宋体"/>
          <w:sz w:val="24"/>
        </w:rPr>
        <w:t>5</w:t>
      </w:r>
      <w:r>
        <w:rPr>
          <w:rFonts w:hint="eastAsia" w:ascii="宋体" w:hAnsi="宋体"/>
          <w:sz w:val="24"/>
        </w:rPr>
        <w:t>0%合同款。</w:t>
      </w:r>
    </w:p>
    <w:p>
      <w:pPr>
        <w:adjustRightInd w:val="0"/>
        <w:snapToGrid w:val="0"/>
        <w:spacing w:line="360" w:lineRule="auto"/>
        <w:ind w:firstLine="480" w:firstLineChars="200"/>
        <w:rPr>
          <w:rFonts w:ascii="宋体" w:hAnsi="宋体" w:cs="宋体"/>
          <w:kern w:val="0"/>
          <w:sz w:val="24"/>
          <w:szCs w:val="20"/>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采购人</w:t>
      </w:r>
      <w:r>
        <w:rPr>
          <w:rFonts w:ascii="宋体" w:hAnsi="宋体"/>
          <w:sz w:val="24"/>
        </w:rPr>
        <w:t>相应付款时间顺延。</w:t>
      </w:r>
      <w:r>
        <w:rPr>
          <w:rFonts w:hint="eastAsia" w:ascii="宋体" w:hAnsi="宋体"/>
          <w:sz w:val="24"/>
        </w:rPr>
        <w:t>若因采购人付款审批影响支付进度，中标单位不得就此向索赔</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人有权利用中标人按照本合同约定提供的项目成果，进行后续改进。由此产生的具有实质性或创造性技术进步特征的新的技术成果及其权利归属，全部由采购人享有。具体相关利益的分配办法如下：采购人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4、未经采购人书面在先同意，中标人不得将本项目的中间成果和最终成果文件及任何数据、资料、软件向任何第三方转让、授权任何第三方使用或用于本合同项目外的其他项目。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中标人须以保密方式处理在编制本项目成果文件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3、中标人实施项目的程序应符合国家安全、保密的有关规定和标准。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6、无论本合同或本合同其他条款是否有效，本保密条款始终约束双方。国家秘密的保密期限由国家有关部门确定，工作秘密的保密期限由采购人确定。</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1、采购人违约责任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（1）采购人无故未按本合同约定支付合同价款，经中标人书面催告后15个工作日内仍未支付合同款项的，从合同约定的付款期限届满之日起，每逾期1天，采购人应向中标人偿付合同总金额1‰的违约金。</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（2）采购人无正当理由拒绝项目验收或拒绝支付合同款项的，除应支付对应阶段的款项外，采购人应向中标人偿付合同总金额5%的违约金。</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2、乙方违约责任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乙方原因，中标人未按照本合同约定的时间完成本项目各阶段工作，每延迟一日，采购人有权在付款时扣除合同余款1‰的逾期违约金。如中标人已完成阶段性成果且经采购人验收合格的，中标人有权要求采购人支付该阶段成果的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（2）本合同项下的工作内容不可分割，任一成果的迟延交付均视为整个项目的迟延交付。</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1）中标人未能按合同约定的日期(含协商延缓的日期)提交成果，延误时间超过15个工作日；</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2）因中标人工作的错误或遗漏造成成果质量不符合本合同要求，且中标人未按采购人要求采取及时有效的补救措施的；</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3）中标人虽如期提交阶段性成果和最终成果，但最终成果连续二次未能通过采购人评审验收的；</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4）未经采购人书面在先同意，中标人擅自将本合同项目与任何第三方合作，或将本合同标的的全部或部分擅自转包或分包给任何第三方，且未按采购人的要求终止与第三方的协议的；</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 项目负责人未承担本合同项目实质性工作，或未经采购人书面在先同意，中标人擅自更换项目负责人的；</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6）发现中标人或中标人工作人员出现全部或部分丧失履行委托服务能力的情况，采购人有权通知中标人限期整改或更换工作人员，期限届满中标人并未进行改善的；</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7）中标人明确表示或者以自己的行为表明不履行本合同的。</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3.上述违约责任各自独立且可累加。如本合同所约定的违约金无法弥补因违约行为所造成的损失，违约方应补偿上述不足部分的损失。</w:t>
      </w:r>
    </w:p>
    <w:p>
      <w:pPr>
        <w:ind w:firstLine="422" w:firstLineChars="200"/>
        <w:rPr>
          <w:b/>
        </w:rPr>
      </w:pPr>
      <w:r>
        <w:rPr>
          <w:rFonts w:hint="eastAsia"/>
          <w:b/>
        </w:rPr>
        <w:t>三、其他要求</w:t>
      </w:r>
    </w:p>
    <w:p>
      <w:pPr>
        <w:spacing w:line="360" w:lineRule="auto"/>
        <w:ind w:firstLine="480" w:firstLineChars="200"/>
        <w:rPr>
          <w:rFonts w:ascii="宋体" w:hAnsi="宋体" w:cs="宋体"/>
          <w:sz w:val="24"/>
          <w:lang w:val="zh-TW"/>
        </w:rPr>
      </w:pPr>
      <w:r>
        <w:rPr>
          <w:rFonts w:hint="eastAsia" w:ascii="宋体" w:hAnsi="宋体" w:cs="宋体"/>
          <w:sz w:val="24"/>
          <w:lang w:val="zh-CN"/>
        </w:rPr>
        <w:t>1、供应商不得将项目非法分包或转包给任何单位和个人。否则，采购单位有权即刻终止合同，并要求供应商赔偿相应损失</w:t>
      </w:r>
      <w:r>
        <w:rPr>
          <w:rFonts w:hint="eastAsia" w:ascii="宋体" w:hAnsi="宋体" w:cs="宋体"/>
          <w:sz w:val="24"/>
          <w:lang w:val="zh-TW"/>
        </w:rPr>
        <w:t>。</w:t>
      </w: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1" w:name="_Toc6457"/>
      <w:r>
        <w:rPr>
          <w:rFonts w:hint="eastAsia" w:ascii="宋体" w:cs="宋体"/>
          <w:b/>
          <w:bCs/>
          <w:sz w:val="24"/>
        </w:rPr>
        <w:t>第六章 投标文件初审及招标项目评分表</w:t>
      </w:r>
      <w:bookmarkEnd w:id="21"/>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5"/>
        <w:jc w:val="center"/>
        <w:rPr>
          <w:rFonts w:ascii="黑体" w:eastAsia="黑体"/>
          <w:sz w:val="28"/>
          <w:szCs w:val="28"/>
        </w:rPr>
      </w:pPr>
      <w:r>
        <w:rPr>
          <w:rFonts w:hint="eastAsia" w:ascii="宋体" w:hAnsi="宋体" w:cs="宋体"/>
          <w:sz w:val="24"/>
        </w:rPr>
        <w:br w:type="page"/>
      </w:r>
      <w:bookmarkStart w:id="22" w:name="_Toc834"/>
      <w:bookmarkStart w:id="23" w:name="_Hlk28269117"/>
      <w:r>
        <w:rPr>
          <w:rFonts w:hint="eastAsia" w:ascii="黑体" w:eastAsia="黑体"/>
          <w:sz w:val="28"/>
          <w:szCs w:val="28"/>
        </w:rPr>
        <w:t>评标信息</w:t>
      </w:r>
    </w:p>
    <w:p>
      <w:pPr>
        <w:ind w:firstLine="420" w:firstLineChars="200"/>
        <w:rPr>
          <w:rFonts w:ascii="宋体" w:hAnsi="宋体"/>
          <w:szCs w:val="21"/>
        </w:rPr>
      </w:pPr>
      <w:r>
        <w:rPr>
          <w:rFonts w:hint="eastAsia" w:ascii="宋体" w:hAnsi="宋体"/>
          <w:szCs w:val="21"/>
        </w:rPr>
        <w:t>本次评标采用综合评分法，按照招标文件中规定的各项因素进行量化打分，</w:t>
      </w:r>
      <w:r>
        <w:rPr>
          <w:rFonts w:hint="eastAsia" w:ascii="宋体" w:hAnsi="宋体"/>
          <w:bCs/>
          <w:szCs w:val="21"/>
        </w:rPr>
        <w:t>以评标总得分前三名投标供应商作为候选中标供应商。</w:t>
      </w:r>
    </w:p>
    <w:p>
      <w:pPr>
        <w:ind w:firstLine="420" w:firstLineChars="200"/>
        <w:rPr>
          <w:rFonts w:ascii="宋体" w:hAnsi="宋体"/>
          <w:szCs w:val="21"/>
        </w:rPr>
      </w:pPr>
      <w:r>
        <w:rPr>
          <w:rFonts w:hint="eastAsia" w:ascii="宋体" w:hAnsi="宋体"/>
          <w:szCs w:val="21"/>
        </w:rPr>
        <w:t>候选中标供应商按评审后得分由高到低顺序排列。得分相同的，按投标报价由低到高顺序排列。得分且投标报价相同的，按技术指标或服务方案优劣顺序排列。</w:t>
      </w:r>
    </w:p>
    <w:p>
      <w:pPr>
        <w:ind w:firstLine="420" w:firstLineChars="200"/>
        <w:rPr>
          <w:rFonts w:ascii="宋体" w:hAnsi="宋体"/>
          <w:szCs w:val="21"/>
        </w:rPr>
      </w:pPr>
      <w:r>
        <w:rPr>
          <w:rFonts w:hint="eastAsia" w:ascii="宋体" w:hAnsi="宋体"/>
          <w:szCs w:val="21"/>
        </w:rPr>
        <w:t>评审委员会对每个通过资格性检查和符合性检查且报价不超过预算控制金额的投标供应商进行评审、打分，然后汇总每个投标供应商每项评分因素的评分。</w:t>
      </w:r>
    </w:p>
    <w:p>
      <w:pPr>
        <w:ind w:firstLine="420" w:firstLineChars="200"/>
        <w:rPr>
          <w:szCs w:val="21"/>
        </w:rPr>
      </w:pPr>
      <w:r>
        <w:rPr>
          <w:rFonts w:hint="eastAsia"/>
          <w:szCs w:val="21"/>
        </w:rPr>
        <w:t>评委会在评标时，按照以下量化的评审因素，对进入该阶段评审的各投标文件进行分析和比较：</w:t>
      </w:r>
    </w:p>
    <w:p>
      <w:pPr>
        <w:spacing w:before="159" w:beforeLines="50" w:after="159" w:afterLines="50"/>
        <w:ind w:firstLine="413" w:firstLineChars="196"/>
        <w:jc w:val="center"/>
        <w:rPr>
          <w:rFonts w:ascii="宋体" w:hAnsi="宋体"/>
          <w:b/>
          <w:bCs/>
          <w:szCs w:val="21"/>
        </w:rPr>
      </w:pPr>
      <w:r>
        <w:rPr>
          <w:rFonts w:hint="eastAsia" w:ascii="宋体" w:hAnsi="宋体"/>
          <w:b/>
          <w:bCs/>
          <w:szCs w:val="21"/>
        </w:rPr>
        <w:t>评分细则表</w:t>
      </w:r>
    </w:p>
    <w:tbl>
      <w:tblPr>
        <w:tblStyle w:val="23"/>
        <w:tblW w:w="88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9"/>
        <w:gridCol w:w="1347"/>
        <w:gridCol w:w="992"/>
        <w:gridCol w:w="4197"/>
        <w:gridCol w:w="15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305" w:type="dxa"/>
            <w:gridSpan w:val="4"/>
            <w:tcBorders>
              <w:top w:val="single" w:color="auto" w:sz="6" w:space="0"/>
              <w:left w:val="single" w:color="auto" w:sz="6" w:space="0"/>
              <w:bottom w:val="single" w:color="auto" w:sz="6" w:space="0"/>
              <w:right w:val="single" w:color="auto" w:sz="6" w:space="0"/>
            </w:tcBorders>
            <w:vAlign w:val="center"/>
          </w:tcPr>
          <w:p>
            <w:pPr>
              <w:tabs>
                <w:tab w:val="left" w:pos="426"/>
              </w:tabs>
              <w:autoSpaceDE w:val="0"/>
              <w:autoSpaceDN w:val="0"/>
              <w:jc w:val="center"/>
              <w:rPr>
                <w:b/>
                <w:szCs w:val="21"/>
                <w:lang w:val="zh-CN"/>
              </w:rPr>
            </w:pPr>
            <w:r>
              <w:rPr>
                <w:rFonts w:hint="eastAsia"/>
                <w:b/>
                <w:szCs w:val="21"/>
                <w:lang w:val="zh-CN"/>
              </w:rPr>
              <w:t>评分项及评分规则</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426"/>
              </w:tabs>
              <w:autoSpaceDE w:val="0"/>
              <w:autoSpaceDN w:val="0"/>
              <w:jc w:val="center"/>
              <w:rPr>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305" w:type="dxa"/>
            <w:gridSpan w:val="4"/>
            <w:tcBorders>
              <w:top w:val="single" w:color="auto" w:sz="6" w:space="0"/>
              <w:left w:val="single" w:color="auto" w:sz="6" w:space="0"/>
              <w:bottom w:val="single" w:color="auto" w:sz="6" w:space="0"/>
              <w:right w:val="single" w:color="auto" w:sz="6" w:space="0"/>
            </w:tcBorders>
            <w:vAlign w:val="center"/>
          </w:tcPr>
          <w:p>
            <w:pPr>
              <w:tabs>
                <w:tab w:val="left" w:pos="426"/>
              </w:tabs>
              <w:autoSpaceDE w:val="0"/>
              <w:autoSpaceDN w:val="0"/>
              <w:jc w:val="center"/>
              <w:rPr>
                <w:b/>
                <w:szCs w:val="21"/>
                <w:lang w:val="zh-CN"/>
              </w:rPr>
            </w:pPr>
            <w:r>
              <w:rPr>
                <w:rFonts w:hint="eastAsia"/>
                <w:b/>
                <w:szCs w:val="21"/>
                <w:lang w:val="zh-CN"/>
              </w:rPr>
              <w:t>一、投标报价</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426"/>
              </w:tabs>
              <w:autoSpaceDE w:val="0"/>
              <w:autoSpaceDN w:val="0"/>
              <w:jc w:val="center"/>
              <w:rPr>
                <w:b/>
                <w:szCs w:val="21"/>
              </w:rPr>
            </w:pPr>
            <w:r>
              <w:rPr>
                <w:rFonts w:hint="eastAsia"/>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852" w:type="dxa"/>
            <w:gridSpan w:val="5"/>
            <w:tcBorders>
              <w:top w:val="single" w:color="auto" w:sz="6" w:space="0"/>
              <w:left w:val="single" w:color="auto" w:sz="6" w:space="0"/>
              <w:bottom w:val="single" w:color="auto" w:sz="6" w:space="0"/>
              <w:right w:val="single" w:color="auto" w:sz="6" w:space="0"/>
            </w:tcBorders>
            <w:vAlign w:val="center"/>
          </w:tcPr>
          <w:p>
            <w:pPr>
              <w:tabs>
                <w:tab w:val="left" w:pos="426"/>
              </w:tabs>
              <w:autoSpaceDE w:val="0"/>
              <w:autoSpaceDN w:val="0"/>
              <w:jc w:val="left"/>
              <w:rPr>
                <w:rFonts w:ascii="宋体" w:hAnsi="宋体"/>
                <w:szCs w:val="21"/>
              </w:rPr>
            </w:pPr>
            <w:r>
              <w:rPr>
                <w:rFonts w:ascii="宋体" w:hAnsi="宋体"/>
                <w:szCs w:val="21"/>
              </w:rPr>
              <w:t>综合评分法中的价格分统一采用低价优先法计算,即满足招标文件要求且投标价格最低的投标报价为评标基准价,其价格分为满分。其他投标人的价格分统一按照下列公式计算</w:t>
            </w:r>
            <w:r>
              <w:rPr>
                <w:rFonts w:hint="eastAsia" w:ascii="宋体" w:hAnsi="宋体"/>
                <w:szCs w:val="21"/>
              </w:rPr>
              <w:t>：</w:t>
            </w:r>
            <w:r>
              <w:rPr>
                <w:rFonts w:ascii="宋体" w:hAnsi="宋体"/>
                <w:szCs w:val="21"/>
              </w:rPr>
              <w:t>投标报价得分=(评标基准价/投标报价)×</w:t>
            </w:r>
            <w:r>
              <w:rPr>
                <w:rFonts w:hint="eastAsia" w:ascii="宋体" w:hAnsi="宋体"/>
                <w:szCs w:val="21"/>
              </w:rPr>
              <w:t>20</w:t>
            </w:r>
          </w:p>
          <w:p>
            <w:pPr>
              <w:widowControl/>
              <w:shd w:val="clear" w:color="auto" w:fill="FFFFFF" w:themeFill="background1"/>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numPr>
                <w:ilvl w:val="0"/>
                <w:numId w:val="8"/>
              </w:numPr>
              <w:shd w:val="clear" w:color="auto" w:fill="FFFFFF" w:themeFill="background1"/>
            </w:pPr>
            <w:r>
              <w:rPr>
                <w:rFonts w:hint="eastAsia"/>
              </w:rPr>
              <w:t>投标报价得分四舍五入后，小数点后保留两位有效数。</w:t>
            </w:r>
          </w:p>
          <w:p>
            <w:pPr>
              <w:tabs>
                <w:tab w:val="left" w:pos="426"/>
              </w:tabs>
              <w:autoSpaceDE w:val="0"/>
              <w:autoSpaceDN w:val="0"/>
              <w:jc w:val="left"/>
              <w:rPr>
                <w:b/>
                <w:szCs w:val="21"/>
              </w:rPr>
            </w:pPr>
            <w:r>
              <w:rPr>
                <w:rFonts w:hint="eastAsia"/>
              </w:rPr>
              <w:t>3、本项目所属行业：</w:t>
            </w:r>
            <w:r>
              <w:rPr>
                <w:rFonts w:hint="eastAsia"/>
                <w:u w:val="single"/>
              </w:rPr>
              <w:t>其他未列明行业</w:t>
            </w:r>
            <w:r>
              <w:rPr>
                <w:rFonts w:hint="eastAsia" w:ascii="宋体" w:hAns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305" w:type="dxa"/>
            <w:gridSpan w:val="4"/>
            <w:tcBorders>
              <w:top w:val="single" w:color="auto" w:sz="6" w:space="0"/>
              <w:left w:val="single" w:color="auto" w:sz="6" w:space="0"/>
              <w:bottom w:val="single" w:color="auto" w:sz="6" w:space="0"/>
              <w:right w:val="single" w:color="auto" w:sz="6" w:space="0"/>
            </w:tcBorders>
            <w:vAlign w:val="center"/>
          </w:tcPr>
          <w:p>
            <w:pPr>
              <w:tabs>
                <w:tab w:val="left" w:pos="426"/>
              </w:tabs>
              <w:autoSpaceDE w:val="0"/>
              <w:autoSpaceDN w:val="0"/>
              <w:jc w:val="center"/>
              <w:rPr>
                <w:b/>
                <w:szCs w:val="21"/>
                <w:lang w:val="zh-CN"/>
              </w:rPr>
            </w:pPr>
            <w:r>
              <w:rPr>
                <w:rFonts w:hint="eastAsia"/>
                <w:b/>
                <w:szCs w:val="21"/>
                <w:lang w:val="zh-CN"/>
              </w:rPr>
              <w:t>二、商务部分</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426"/>
              </w:tabs>
              <w:autoSpaceDE w:val="0"/>
              <w:autoSpaceDN w:val="0"/>
              <w:jc w:val="center"/>
              <w:rPr>
                <w:b/>
                <w:szCs w:val="21"/>
              </w:rPr>
            </w:pPr>
            <w:r>
              <w:rPr>
                <w:rFonts w:hint="eastAsia"/>
                <w:b/>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69" w:type="dxa"/>
            <w:vAlign w:val="center"/>
          </w:tcPr>
          <w:p>
            <w:pPr>
              <w:tabs>
                <w:tab w:val="left" w:pos="426"/>
              </w:tabs>
              <w:autoSpaceDE w:val="0"/>
              <w:autoSpaceDN w:val="0"/>
              <w:jc w:val="center"/>
              <w:rPr>
                <w:szCs w:val="21"/>
              </w:rPr>
            </w:pPr>
            <w:r>
              <w:rPr>
                <w:rFonts w:hint="eastAsia"/>
                <w:szCs w:val="21"/>
                <w:lang w:val="zh-CN"/>
              </w:rPr>
              <w:t>序号</w:t>
            </w:r>
          </w:p>
        </w:tc>
        <w:tc>
          <w:tcPr>
            <w:tcW w:w="1347" w:type="dxa"/>
            <w:vAlign w:val="center"/>
          </w:tcPr>
          <w:p>
            <w:pPr>
              <w:tabs>
                <w:tab w:val="left" w:pos="426"/>
              </w:tabs>
              <w:autoSpaceDE w:val="0"/>
              <w:autoSpaceDN w:val="0"/>
              <w:jc w:val="center"/>
              <w:rPr>
                <w:szCs w:val="21"/>
              </w:rPr>
            </w:pPr>
            <w:r>
              <w:rPr>
                <w:rFonts w:hint="eastAsia"/>
                <w:szCs w:val="21"/>
                <w:lang w:val="zh-CN"/>
              </w:rPr>
              <w:t>内容</w:t>
            </w:r>
          </w:p>
        </w:tc>
        <w:tc>
          <w:tcPr>
            <w:tcW w:w="992" w:type="dxa"/>
            <w:vAlign w:val="center"/>
          </w:tcPr>
          <w:p>
            <w:pPr>
              <w:tabs>
                <w:tab w:val="left" w:pos="426"/>
              </w:tabs>
              <w:autoSpaceDE w:val="0"/>
              <w:autoSpaceDN w:val="0"/>
              <w:jc w:val="center"/>
              <w:rPr>
                <w:szCs w:val="21"/>
              </w:rPr>
            </w:pPr>
            <w:r>
              <w:rPr>
                <w:rFonts w:hint="eastAsia"/>
                <w:szCs w:val="21"/>
                <w:lang w:val="zh-CN"/>
              </w:rPr>
              <w:t>权重</w:t>
            </w:r>
          </w:p>
        </w:tc>
        <w:tc>
          <w:tcPr>
            <w:tcW w:w="4197" w:type="dxa"/>
            <w:vAlign w:val="center"/>
          </w:tcPr>
          <w:p>
            <w:pPr>
              <w:tabs>
                <w:tab w:val="left" w:pos="426"/>
              </w:tabs>
              <w:autoSpaceDE w:val="0"/>
              <w:autoSpaceDN w:val="0"/>
              <w:jc w:val="center"/>
              <w:rPr>
                <w:szCs w:val="21"/>
              </w:rPr>
            </w:pPr>
            <w:r>
              <w:rPr>
                <w:rFonts w:hint="eastAsia"/>
                <w:szCs w:val="21"/>
                <w:lang w:val="zh-CN"/>
              </w:rPr>
              <w:t>评分规则</w:t>
            </w:r>
          </w:p>
        </w:tc>
        <w:tc>
          <w:tcPr>
            <w:tcW w:w="1547" w:type="dxa"/>
            <w:vAlign w:val="center"/>
          </w:tcPr>
          <w:p>
            <w:pPr>
              <w:tabs>
                <w:tab w:val="left" w:pos="426"/>
              </w:tabs>
              <w:autoSpaceDE w:val="0"/>
              <w:autoSpaceDN w:val="0"/>
              <w:jc w:val="center"/>
              <w:rPr>
                <w:szCs w:val="21"/>
              </w:rPr>
            </w:pPr>
            <w:r>
              <w:rPr>
                <w:rFonts w:hint="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69" w:type="dxa"/>
            <w:vAlign w:val="center"/>
          </w:tcPr>
          <w:p>
            <w:pPr>
              <w:tabs>
                <w:tab w:val="left" w:pos="426"/>
              </w:tabs>
              <w:autoSpaceDE w:val="0"/>
              <w:autoSpaceDN w:val="0"/>
              <w:jc w:val="center"/>
              <w:rPr>
                <w:szCs w:val="21"/>
                <w:lang w:val="zh-CN"/>
              </w:rPr>
            </w:pPr>
            <w:r>
              <w:rPr>
                <w:rFonts w:hint="eastAsia"/>
                <w:szCs w:val="21"/>
                <w:lang w:val="zh-CN"/>
              </w:rPr>
              <w:t>1</w:t>
            </w:r>
          </w:p>
        </w:tc>
        <w:tc>
          <w:tcPr>
            <w:tcW w:w="1347" w:type="dxa"/>
            <w:vAlign w:val="center"/>
          </w:tcPr>
          <w:p>
            <w:pPr>
              <w:pStyle w:val="60"/>
              <w:jc w:val="center"/>
              <w:rPr>
                <w:rFonts w:hint="default" w:ascii="宋体" w:hAnsi="宋体"/>
              </w:rPr>
            </w:pPr>
            <w:r>
              <w:rPr>
                <w:rFonts w:ascii="宋体" w:hAnsi="宋体" w:eastAsia="宋体"/>
              </w:rPr>
              <w:t>投标人获奖</w:t>
            </w:r>
            <w:r>
              <w:rPr>
                <w:rFonts w:ascii="宋体" w:hAnsi="宋体"/>
              </w:rPr>
              <w:t>情况</w:t>
            </w:r>
          </w:p>
        </w:tc>
        <w:tc>
          <w:tcPr>
            <w:tcW w:w="992" w:type="dxa"/>
            <w:vAlign w:val="center"/>
          </w:tcPr>
          <w:p>
            <w:pPr>
              <w:tabs>
                <w:tab w:val="left" w:pos="426"/>
              </w:tabs>
              <w:autoSpaceDE w:val="0"/>
              <w:autoSpaceDN w:val="0"/>
              <w:jc w:val="center"/>
              <w:rPr>
                <w:szCs w:val="21"/>
              </w:rPr>
            </w:pPr>
            <w:r>
              <w:rPr>
                <w:rFonts w:hint="eastAsia"/>
                <w:szCs w:val="21"/>
              </w:rPr>
              <w:t>10</w:t>
            </w:r>
          </w:p>
        </w:tc>
        <w:tc>
          <w:tcPr>
            <w:tcW w:w="4197" w:type="dxa"/>
            <w:vAlign w:val="center"/>
          </w:tcPr>
          <w:p>
            <w:pPr>
              <w:rPr>
                <w:szCs w:val="21"/>
              </w:rPr>
            </w:pPr>
            <w:r>
              <w:rPr>
                <w:szCs w:val="21"/>
              </w:rPr>
              <w:t>201</w:t>
            </w:r>
            <w:r>
              <w:rPr>
                <w:rFonts w:hint="eastAsia"/>
                <w:szCs w:val="21"/>
              </w:rPr>
              <w:t>8</w:t>
            </w:r>
            <w:r>
              <w:rPr>
                <w:rFonts w:hAnsi="宋体"/>
                <w:szCs w:val="21"/>
              </w:rPr>
              <w:t>年</w:t>
            </w:r>
            <w:r>
              <w:rPr>
                <w:szCs w:val="21"/>
              </w:rPr>
              <w:t>1</w:t>
            </w:r>
            <w:r>
              <w:rPr>
                <w:rFonts w:hAnsi="宋体"/>
                <w:szCs w:val="21"/>
              </w:rPr>
              <w:t>月</w:t>
            </w:r>
            <w:r>
              <w:rPr>
                <w:szCs w:val="21"/>
              </w:rPr>
              <w:t>1</w:t>
            </w:r>
            <w:r>
              <w:rPr>
                <w:rFonts w:hAnsi="宋体"/>
                <w:szCs w:val="21"/>
              </w:rPr>
              <w:t>日至今，获得国际级影视、动漫、广告、视效技术类专业奖项的，每项得</w:t>
            </w:r>
            <w:r>
              <w:rPr>
                <w:szCs w:val="21"/>
              </w:rPr>
              <w:t>0.5</w:t>
            </w:r>
            <w:r>
              <w:rPr>
                <w:rFonts w:hAnsi="宋体"/>
                <w:szCs w:val="21"/>
              </w:rPr>
              <w:t>分，最高得</w:t>
            </w:r>
            <w:r>
              <w:rPr>
                <w:szCs w:val="21"/>
              </w:rPr>
              <w:t>10</w:t>
            </w:r>
            <w:r>
              <w:rPr>
                <w:rFonts w:hAnsi="宋体"/>
                <w:szCs w:val="21"/>
              </w:rPr>
              <w:t>分。</w:t>
            </w:r>
          </w:p>
          <w:p>
            <w:pPr>
              <w:tabs>
                <w:tab w:val="left" w:pos="426"/>
              </w:tabs>
              <w:rPr>
                <w:szCs w:val="21"/>
              </w:rPr>
            </w:pPr>
            <w:r>
              <w:rPr>
                <w:rFonts w:hAnsi="宋体"/>
                <w:szCs w:val="21"/>
              </w:rPr>
              <w:t>（国际级奖项是指国际行业认可的专业的影视广告、动画短片、数字视效组织主办的全球性奖项。奖项类型包括全场大奖、金奖、银奖、铜奖、提名奖等拥有由赛事主办方颁发的奖杯或证书的奖项，未获得奖杯或证书的不计。同一作品获得多个奖项的以奖项数量计算。）</w:t>
            </w:r>
          </w:p>
          <w:p>
            <w:pPr>
              <w:tabs>
                <w:tab w:val="left" w:pos="426"/>
              </w:tabs>
              <w:rPr>
                <w:szCs w:val="21"/>
              </w:rPr>
            </w:pPr>
            <w:r>
              <w:rPr>
                <w:rFonts w:hAnsi="宋体"/>
                <w:szCs w:val="21"/>
              </w:rPr>
              <w:t>本项可累计得分，最高得</w:t>
            </w:r>
            <w:r>
              <w:rPr>
                <w:szCs w:val="21"/>
              </w:rPr>
              <w:t>10</w:t>
            </w:r>
            <w:r>
              <w:rPr>
                <w:rFonts w:hAnsi="宋体"/>
                <w:szCs w:val="21"/>
              </w:rPr>
              <w:t>分。须提供奖项专业承办机构颁发的获奖证书复印件，原件备查。）</w:t>
            </w:r>
          </w:p>
        </w:tc>
        <w:tc>
          <w:tcPr>
            <w:tcW w:w="1547" w:type="dxa"/>
            <w:vAlign w:val="center"/>
          </w:tcPr>
          <w:p>
            <w:pPr>
              <w:tabs>
                <w:tab w:val="left" w:pos="426"/>
              </w:tabs>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769" w:type="dxa"/>
            <w:tcBorders>
              <w:bottom w:val="single" w:color="auto" w:sz="4" w:space="0"/>
            </w:tcBorders>
            <w:vAlign w:val="center"/>
          </w:tcPr>
          <w:p>
            <w:pPr>
              <w:tabs>
                <w:tab w:val="left" w:pos="426"/>
              </w:tabs>
              <w:autoSpaceDE w:val="0"/>
              <w:autoSpaceDN w:val="0"/>
              <w:jc w:val="center"/>
              <w:rPr>
                <w:color w:val="FF0000"/>
                <w:szCs w:val="21"/>
              </w:rPr>
            </w:pPr>
            <w:r>
              <w:rPr>
                <w:rFonts w:hint="eastAsia"/>
                <w:b/>
                <w:szCs w:val="21"/>
              </w:rPr>
              <w:t>2</w:t>
            </w:r>
          </w:p>
        </w:tc>
        <w:tc>
          <w:tcPr>
            <w:tcW w:w="1347" w:type="dxa"/>
            <w:tcBorders>
              <w:bottom w:val="single" w:color="auto" w:sz="4" w:space="0"/>
            </w:tcBorders>
            <w:vAlign w:val="center"/>
          </w:tcPr>
          <w:p>
            <w:pPr>
              <w:tabs>
                <w:tab w:val="left" w:pos="426"/>
              </w:tabs>
              <w:jc w:val="center"/>
              <w:rPr>
                <w:szCs w:val="21"/>
              </w:rPr>
            </w:pPr>
            <w:r>
              <w:rPr>
                <w:rFonts w:hint="eastAsia"/>
                <w:szCs w:val="21"/>
              </w:rPr>
              <w:t>项目负责人情况</w:t>
            </w:r>
          </w:p>
        </w:tc>
        <w:tc>
          <w:tcPr>
            <w:tcW w:w="992" w:type="dxa"/>
            <w:tcBorders>
              <w:bottom w:val="single" w:color="auto" w:sz="4" w:space="0"/>
            </w:tcBorders>
            <w:vAlign w:val="center"/>
          </w:tcPr>
          <w:p>
            <w:pPr>
              <w:tabs>
                <w:tab w:val="left" w:pos="426"/>
              </w:tabs>
              <w:autoSpaceDE w:val="0"/>
              <w:autoSpaceDN w:val="0"/>
              <w:jc w:val="center"/>
              <w:rPr>
                <w:color w:val="FF0000"/>
                <w:szCs w:val="21"/>
              </w:rPr>
            </w:pPr>
            <w:r>
              <w:rPr>
                <w:rFonts w:hint="eastAsia"/>
                <w:szCs w:val="21"/>
              </w:rPr>
              <w:t>15</w:t>
            </w:r>
          </w:p>
        </w:tc>
        <w:tc>
          <w:tcPr>
            <w:tcW w:w="4197" w:type="dxa"/>
            <w:tcBorders>
              <w:bottom w:val="single" w:color="auto" w:sz="4" w:space="0"/>
            </w:tcBorders>
            <w:vAlign w:val="center"/>
          </w:tcPr>
          <w:p>
            <w:pPr>
              <w:tabs>
                <w:tab w:val="left" w:pos="426"/>
              </w:tabs>
              <w:jc w:val="left"/>
              <w:rPr>
                <w:szCs w:val="21"/>
              </w:rPr>
            </w:pPr>
            <w:r>
              <w:rPr>
                <w:rFonts w:hAnsi="宋体"/>
                <w:szCs w:val="21"/>
              </w:rPr>
              <w:t>（</w:t>
            </w:r>
            <w:r>
              <w:rPr>
                <w:szCs w:val="21"/>
              </w:rPr>
              <w:t>1</w:t>
            </w:r>
            <w:r>
              <w:rPr>
                <w:rFonts w:hAnsi="宋体"/>
                <w:szCs w:val="21"/>
              </w:rPr>
              <w:t>）</w:t>
            </w:r>
            <w:r>
              <w:rPr>
                <w:rFonts w:hint="eastAsia"/>
                <w:szCs w:val="21"/>
              </w:rPr>
              <w:t>项目负责人</w:t>
            </w:r>
            <w:r>
              <w:rPr>
                <w:rFonts w:hAnsi="宋体"/>
                <w:szCs w:val="21"/>
              </w:rPr>
              <w:t>从业十年</w:t>
            </w:r>
            <w:r>
              <w:rPr>
                <w:rFonts w:hint="eastAsia" w:hAnsi="宋体"/>
                <w:szCs w:val="21"/>
              </w:rPr>
              <w:t>及</w:t>
            </w:r>
            <w:r>
              <w:rPr>
                <w:rFonts w:hAnsi="宋体"/>
                <w:szCs w:val="21"/>
              </w:rPr>
              <w:t>以上的得</w:t>
            </w:r>
            <w:r>
              <w:rPr>
                <w:szCs w:val="21"/>
              </w:rPr>
              <w:t>1</w:t>
            </w:r>
            <w:r>
              <w:rPr>
                <w:rFonts w:hAnsi="宋体"/>
                <w:szCs w:val="21"/>
              </w:rPr>
              <w:t>分；</w:t>
            </w:r>
          </w:p>
          <w:p>
            <w:pPr>
              <w:tabs>
                <w:tab w:val="left" w:pos="426"/>
              </w:tabs>
              <w:jc w:val="left"/>
              <w:rPr>
                <w:szCs w:val="21"/>
              </w:rPr>
            </w:pPr>
            <w:r>
              <w:rPr>
                <w:rFonts w:hAnsi="宋体"/>
                <w:szCs w:val="21"/>
              </w:rPr>
              <w:t>（</w:t>
            </w:r>
            <w:r>
              <w:rPr>
                <w:szCs w:val="21"/>
              </w:rPr>
              <w:t>2</w:t>
            </w:r>
            <w:r>
              <w:rPr>
                <w:rFonts w:hAnsi="宋体"/>
                <w:szCs w:val="21"/>
              </w:rPr>
              <w:t>）</w:t>
            </w:r>
            <w:r>
              <w:rPr>
                <w:rFonts w:hint="eastAsia"/>
                <w:szCs w:val="21"/>
              </w:rPr>
              <w:t>项目负责人</w:t>
            </w:r>
            <w:r>
              <w:rPr>
                <w:rFonts w:hAnsi="宋体"/>
                <w:szCs w:val="21"/>
              </w:rPr>
              <w:t>曾获得国际级专业荣誉称号认定的，每项得</w:t>
            </w:r>
            <w:r>
              <w:rPr>
                <w:szCs w:val="21"/>
              </w:rPr>
              <w:t>1</w:t>
            </w:r>
            <w:r>
              <w:rPr>
                <w:rFonts w:hAnsi="宋体"/>
                <w:szCs w:val="21"/>
              </w:rPr>
              <w:t>分；最高得</w:t>
            </w:r>
            <w:r>
              <w:rPr>
                <w:szCs w:val="21"/>
              </w:rPr>
              <w:t>2</w:t>
            </w:r>
            <w:r>
              <w:rPr>
                <w:rFonts w:hAnsi="宋体"/>
                <w:szCs w:val="21"/>
              </w:rPr>
              <w:t>分；</w:t>
            </w:r>
          </w:p>
          <w:p>
            <w:pPr>
              <w:tabs>
                <w:tab w:val="left" w:pos="426"/>
              </w:tabs>
              <w:jc w:val="left"/>
              <w:rPr>
                <w:szCs w:val="21"/>
              </w:rPr>
            </w:pPr>
            <w:r>
              <w:rPr>
                <w:rFonts w:hAnsi="宋体"/>
                <w:szCs w:val="21"/>
              </w:rPr>
              <w:t>（</w:t>
            </w:r>
            <w:r>
              <w:rPr>
                <w:szCs w:val="21"/>
              </w:rPr>
              <w:t>3</w:t>
            </w:r>
            <w:r>
              <w:rPr>
                <w:rFonts w:hAnsi="宋体"/>
                <w:szCs w:val="21"/>
              </w:rPr>
              <w:t>）</w:t>
            </w:r>
            <w:r>
              <w:rPr>
                <w:rFonts w:hint="eastAsia"/>
                <w:szCs w:val="21"/>
              </w:rPr>
              <w:t>2018</w:t>
            </w:r>
            <w:r>
              <w:rPr>
                <w:rFonts w:hAnsi="宋体"/>
                <w:szCs w:val="21"/>
              </w:rPr>
              <w:t>年</w:t>
            </w:r>
            <w:r>
              <w:rPr>
                <w:szCs w:val="21"/>
              </w:rPr>
              <w:t>1</w:t>
            </w:r>
            <w:r>
              <w:rPr>
                <w:rFonts w:hAnsi="宋体"/>
                <w:szCs w:val="21"/>
              </w:rPr>
              <w:t>月</w:t>
            </w:r>
            <w:r>
              <w:rPr>
                <w:szCs w:val="21"/>
              </w:rPr>
              <w:t>1</w:t>
            </w:r>
            <w:r>
              <w:rPr>
                <w:rFonts w:hAnsi="宋体"/>
                <w:szCs w:val="21"/>
              </w:rPr>
              <w:t>日至</w:t>
            </w:r>
            <w:r>
              <w:rPr>
                <w:rFonts w:hint="eastAsia" w:hAnsi="宋体"/>
                <w:szCs w:val="21"/>
              </w:rPr>
              <w:t>投标截止时间</w:t>
            </w:r>
            <w:r>
              <w:rPr>
                <w:rFonts w:hint="eastAsia"/>
                <w:szCs w:val="21"/>
              </w:rPr>
              <w:t>项目负责人</w:t>
            </w:r>
            <w:r>
              <w:rPr>
                <w:rFonts w:hAnsi="宋体"/>
                <w:szCs w:val="21"/>
              </w:rPr>
              <w:t>担任国际级比赛、短片节、广告节、创意节评委的，每项得</w:t>
            </w:r>
            <w:r>
              <w:rPr>
                <w:szCs w:val="21"/>
              </w:rPr>
              <w:t>1</w:t>
            </w:r>
            <w:r>
              <w:rPr>
                <w:rFonts w:hAnsi="宋体"/>
                <w:szCs w:val="21"/>
              </w:rPr>
              <w:t>分，最高得</w:t>
            </w:r>
            <w:r>
              <w:rPr>
                <w:szCs w:val="21"/>
              </w:rPr>
              <w:t>4</w:t>
            </w:r>
            <w:r>
              <w:rPr>
                <w:rFonts w:hAnsi="宋体"/>
                <w:szCs w:val="21"/>
              </w:rPr>
              <w:t>分；</w:t>
            </w:r>
          </w:p>
          <w:p>
            <w:pPr>
              <w:tabs>
                <w:tab w:val="left" w:pos="426"/>
              </w:tabs>
              <w:jc w:val="left"/>
              <w:rPr>
                <w:szCs w:val="21"/>
              </w:rPr>
            </w:pPr>
            <w:r>
              <w:rPr>
                <w:rFonts w:hAnsi="宋体"/>
                <w:szCs w:val="21"/>
              </w:rPr>
              <w:t>（</w:t>
            </w:r>
            <w:r>
              <w:rPr>
                <w:szCs w:val="21"/>
              </w:rPr>
              <w:t>4</w:t>
            </w:r>
            <w:r>
              <w:rPr>
                <w:rFonts w:hAnsi="宋体"/>
                <w:szCs w:val="21"/>
              </w:rPr>
              <w:t>）</w:t>
            </w:r>
            <w:r>
              <w:rPr>
                <w:rFonts w:hint="eastAsia"/>
                <w:szCs w:val="21"/>
              </w:rPr>
              <w:t>2018</w:t>
            </w:r>
            <w:r>
              <w:rPr>
                <w:rFonts w:hAnsi="宋体"/>
                <w:szCs w:val="21"/>
              </w:rPr>
              <w:t>年</w:t>
            </w:r>
            <w:r>
              <w:rPr>
                <w:szCs w:val="21"/>
              </w:rPr>
              <w:t>1</w:t>
            </w:r>
            <w:r>
              <w:rPr>
                <w:rFonts w:hAnsi="宋体"/>
                <w:szCs w:val="21"/>
              </w:rPr>
              <w:t>月</w:t>
            </w:r>
            <w:r>
              <w:rPr>
                <w:szCs w:val="21"/>
              </w:rPr>
              <w:t>1</w:t>
            </w:r>
            <w:r>
              <w:rPr>
                <w:rFonts w:hAnsi="宋体"/>
                <w:szCs w:val="21"/>
              </w:rPr>
              <w:t>日至</w:t>
            </w:r>
            <w:r>
              <w:rPr>
                <w:rFonts w:hint="eastAsia" w:hAnsi="宋体"/>
                <w:szCs w:val="21"/>
              </w:rPr>
              <w:t>投标截止时间</w:t>
            </w:r>
            <w:r>
              <w:rPr>
                <w:rFonts w:hint="eastAsia"/>
                <w:szCs w:val="21"/>
              </w:rPr>
              <w:t>项目负责人</w:t>
            </w:r>
            <w:r>
              <w:rPr>
                <w:rFonts w:hAnsi="宋体"/>
                <w:szCs w:val="21"/>
              </w:rPr>
              <w:t>所创作的作品获得国际级专业赛事奖项的，每项得</w:t>
            </w:r>
            <w:r>
              <w:rPr>
                <w:szCs w:val="21"/>
              </w:rPr>
              <w:t>0.5</w:t>
            </w:r>
            <w:r>
              <w:rPr>
                <w:rFonts w:hAnsi="宋体"/>
                <w:szCs w:val="21"/>
              </w:rPr>
              <w:t>分，最高得</w:t>
            </w:r>
            <w:r>
              <w:rPr>
                <w:szCs w:val="21"/>
              </w:rPr>
              <w:t>8</w:t>
            </w:r>
            <w:r>
              <w:rPr>
                <w:rFonts w:hAnsi="宋体"/>
                <w:szCs w:val="21"/>
              </w:rPr>
              <w:t>分。</w:t>
            </w:r>
          </w:p>
          <w:p>
            <w:pPr>
              <w:tabs>
                <w:tab w:val="left" w:pos="426"/>
              </w:tabs>
              <w:rPr>
                <w:szCs w:val="21"/>
              </w:rPr>
            </w:pPr>
            <w:r>
              <w:rPr>
                <w:rFonts w:hAnsi="宋体"/>
                <w:szCs w:val="21"/>
              </w:rPr>
              <w:t>（国际级奖项是指国外专业的影视广告、动画短片、数字视效组织主办的全球性奖项。奖项类型包括全场大奖、金奖、银奖、铜奖、提名奖等拥有由赛事主办方颁发的奖杯或证书的奖项，未获得奖杯或证书的不计。）</w:t>
            </w:r>
          </w:p>
          <w:p>
            <w:pPr>
              <w:tabs>
                <w:tab w:val="left" w:pos="426"/>
              </w:tabs>
              <w:rPr>
                <w:szCs w:val="21"/>
              </w:rPr>
            </w:pPr>
            <w:r>
              <w:rPr>
                <w:rFonts w:hAnsi="宋体"/>
                <w:szCs w:val="21"/>
              </w:rPr>
              <w:t>本项可累计得分，最高得</w:t>
            </w:r>
            <w:r>
              <w:rPr>
                <w:szCs w:val="21"/>
              </w:rPr>
              <w:t>15</w:t>
            </w:r>
            <w:r>
              <w:rPr>
                <w:rFonts w:hAnsi="宋体"/>
                <w:szCs w:val="21"/>
              </w:rPr>
              <w:t>分，提供项目负责人</w:t>
            </w:r>
            <w:r>
              <w:rPr>
                <w:rFonts w:hint="eastAsia" w:hAnsi="宋体"/>
                <w:szCs w:val="21"/>
              </w:rPr>
              <w:t>毕业证书</w:t>
            </w:r>
            <w:r>
              <w:rPr>
                <w:rFonts w:hAnsi="宋体"/>
                <w:szCs w:val="21"/>
              </w:rPr>
              <w:t>、劳动合同复印件和</w:t>
            </w:r>
            <w:r>
              <w:rPr>
                <w:rFonts w:hint="eastAsia" w:hAnsi="宋体"/>
                <w:szCs w:val="21"/>
              </w:rPr>
              <w:t>由投标人为其缴纳的</w:t>
            </w:r>
            <w:r>
              <w:rPr>
                <w:rFonts w:hAnsi="宋体"/>
                <w:szCs w:val="21"/>
              </w:rPr>
              <w:t>社保证明；获奖情况须提供奖项专业承办机构颁发的获奖证书复印件，原件备查</w:t>
            </w:r>
            <w:r>
              <w:rPr>
                <w:rFonts w:hint="eastAsia" w:hAnsi="宋体"/>
                <w:szCs w:val="21"/>
              </w:rPr>
              <w:t>；担任评委情况，要求提供聘书或者比赛（活动）官网截图等证明文件复印件</w:t>
            </w:r>
            <w:r>
              <w:rPr>
                <w:rFonts w:hAnsi="宋体"/>
                <w:szCs w:val="21"/>
              </w:rPr>
              <w:t>。</w:t>
            </w:r>
          </w:p>
        </w:tc>
        <w:tc>
          <w:tcPr>
            <w:tcW w:w="1547" w:type="dxa"/>
            <w:tcBorders>
              <w:bottom w:val="single" w:color="auto" w:sz="4" w:space="0"/>
            </w:tcBorders>
            <w:vAlign w:val="center"/>
          </w:tcPr>
          <w:p>
            <w:pPr>
              <w:tabs>
                <w:tab w:val="left" w:pos="426"/>
              </w:tabs>
              <w:autoSpaceDE w:val="0"/>
              <w:autoSpaceDN w:val="0"/>
              <w:jc w:val="center"/>
              <w:rPr>
                <w:color w:val="FF0000"/>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9" w:type="dxa"/>
            <w:tcBorders>
              <w:bottom w:val="single" w:color="auto" w:sz="4" w:space="0"/>
            </w:tcBorders>
            <w:vAlign w:val="center"/>
          </w:tcPr>
          <w:p>
            <w:pPr>
              <w:tabs>
                <w:tab w:val="left" w:pos="426"/>
              </w:tabs>
              <w:autoSpaceDE w:val="0"/>
              <w:autoSpaceDN w:val="0"/>
              <w:jc w:val="center"/>
              <w:rPr>
                <w:b/>
                <w:szCs w:val="21"/>
              </w:rPr>
            </w:pPr>
            <w:r>
              <w:rPr>
                <w:rFonts w:hint="eastAsia"/>
                <w:b/>
                <w:szCs w:val="21"/>
              </w:rPr>
              <w:t>3</w:t>
            </w:r>
          </w:p>
        </w:tc>
        <w:tc>
          <w:tcPr>
            <w:tcW w:w="1347" w:type="dxa"/>
            <w:tcBorders>
              <w:bottom w:val="single" w:color="auto" w:sz="4" w:space="0"/>
            </w:tcBorders>
            <w:vAlign w:val="center"/>
          </w:tcPr>
          <w:p>
            <w:pPr>
              <w:tabs>
                <w:tab w:val="left" w:pos="426"/>
              </w:tabs>
              <w:jc w:val="center"/>
              <w:rPr>
                <w:szCs w:val="21"/>
              </w:rPr>
            </w:pPr>
            <w:r>
              <w:rPr>
                <w:rFonts w:hint="eastAsia" w:ascii="宋体" w:hAnsi="宋体"/>
                <w:szCs w:val="21"/>
              </w:rPr>
              <w:t>团队配置</w:t>
            </w:r>
          </w:p>
        </w:tc>
        <w:tc>
          <w:tcPr>
            <w:tcW w:w="992" w:type="dxa"/>
            <w:tcBorders>
              <w:bottom w:val="single" w:color="auto" w:sz="4" w:space="0"/>
            </w:tcBorders>
            <w:vAlign w:val="center"/>
          </w:tcPr>
          <w:p>
            <w:pPr>
              <w:tabs>
                <w:tab w:val="left" w:pos="426"/>
              </w:tabs>
              <w:autoSpaceDE w:val="0"/>
              <w:autoSpaceDN w:val="0"/>
              <w:jc w:val="center"/>
              <w:rPr>
                <w:szCs w:val="21"/>
              </w:rPr>
            </w:pPr>
            <w:r>
              <w:rPr>
                <w:rFonts w:hint="eastAsia"/>
                <w:szCs w:val="21"/>
              </w:rPr>
              <w:t>5</w:t>
            </w:r>
          </w:p>
        </w:tc>
        <w:tc>
          <w:tcPr>
            <w:tcW w:w="4197" w:type="dxa"/>
            <w:tcBorders>
              <w:bottom w:val="single" w:color="auto" w:sz="4" w:space="0"/>
            </w:tcBorders>
            <w:vAlign w:val="center"/>
          </w:tcPr>
          <w:p>
            <w:pPr>
              <w:tabs>
                <w:tab w:val="left" w:pos="426"/>
              </w:tabs>
              <w:jc w:val="left"/>
              <w:rPr>
                <w:szCs w:val="21"/>
              </w:rPr>
            </w:pPr>
            <w:r>
              <w:rPr>
                <w:szCs w:val="21"/>
              </w:rPr>
              <w:t>（1）拥有</w:t>
            </w:r>
            <w:r>
              <w:rPr>
                <w:rFonts w:hint="eastAsia"/>
                <w:szCs w:val="21"/>
              </w:rPr>
              <w:t>从</w:t>
            </w:r>
            <w:r>
              <w:rPr>
                <w:szCs w:val="21"/>
              </w:rPr>
              <w:t>业10年及以上的资深摄影师1名及以上的得1分。不具备的不得分；</w:t>
            </w:r>
          </w:p>
          <w:p>
            <w:pPr>
              <w:tabs>
                <w:tab w:val="left" w:pos="426"/>
              </w:tabs>
              <w:jc w:val="left"/>
              <w:rPr>
                <w:szCs w:val="21"/>
              </w:rPr>
            </w:pPr>
            <w:r>
              <w:rPr>
                <w:szCs w:val="21"/>
              </w:rPr>
              <w:t>（2）拥有在投标供应商从业10年及以上资深剪辑师1名及以上的得1分。不具备的不得分；</w:t>
            </w:r>
          </w:p>
          <w:p>
            <w:pPr>
              <w:tabs>
                <w:tab w:val="left" w:pos="426"/>
              </w:tabs>
              <w:jc w:val="left"/>
              <w:rPr>
                <w:szCs w:val="21"/>
              </w:rPr>
            </w:pPr>
            <w:r>
              <w:rPr>
                <w:szCs w:val="21"/>
              </w:rPr>
              <w:t>（3）拥有在投标供应商从业10年及以上资深后期合成师2名及以上的得1分。不具备的不得分；</w:t>
            </w:r>
          </w:p>
          <w:p>
            <w:pPr>
              <w:tabs>
                <w:tab w:val="left" w:pos="426"/>
              </w:tabs>
              <w:jc w:val="left"/>
              <w:rPr>
                <w:szCs w:val="21"/>
              </w:rPr>
            </w:pPr>
            <w:r>
              <w:rPr>
                <w:szCs w:val="21"/>
              </w:rPr>
              <w:t>（4）拥有在投标供应商从业10年及以上资深三维动画师2名及以上的得1分。不具备的不得分；</w:t>
            </w:r>
          </w:p>
          <w:p>
            <w:pPr>
              <w:tabs>
                <w:tab w:val="left" w:pos="426"/>
              </w:tabs>
              <w:jc w:val="left"/>
              <w:rPr>
                <w:szCs w:val="21"/>
              </w:rPr>
            </w:pPr>
            <w:r>
              <w:rPr>
                <w:szCs w:val="21"/>
              </w:rPr>
              <w:t>（5）拥有在投标供应商从业10年及以上资深特效师1名及以上的得1分。不具备的不得分。</w:t>
            </w:r>
          </w:p>
          <w:p>
            <w:pPr>
              <w:tabs>
                <w:tab w:val="left" w:pos="426"/>
              </w:tabs>
              <w:jc w:val="left"/>
              <w:rPr>
                <w:szCs w:val="21"/>
              </w:rPr>
            </w:pPr>
            <w:r>
              <w:rPr>
                <w:szCs w:val="21"/>
              </w:rPr>
              <w:t>（须提供</w:t>
            </w:r>
            <w:r>
              <w:rPr>
                <w:rFonts w:hint="eastAsia"/>
                <w:szCs w:val="21"/>
              </w:rPr>
              <w:t>团队配置清单及毕业证书</w:t>
            </w:r>
            <w:r>
              <w:rPr>
                <w:szCs w:val="21"/>
              </w:rPr>
              <w:t>等复印件，并加盖单位公章。）</w:t>
            </w:r>
          </w:p>
          <w:p>
            <w:pPr>
              <w:tabs>
                <w:tab w:val="left" w:pos="426"/>
              </w:tabs>
              <w:jc w:val="left"/>
              <w:rPr>
                <w:szCs w:val="21"/>
              </w:rPr>
            </w:pPr>
            <w:r>
              <w:rPr>
                <w:szCs w:val="21"/>
              </w:rPr>
              <w:t>本项最终评分为上述子项评分的总和，最高5分。</w:t>
            </w:r>
          </w:p>
        </w:tc>
        <w:tc>
          <w:tcPr>
            <w:tcW w:w="1547" w:type="dxa"/>
            <w:tcBorders>
              <w:bottom w:val="single" w:color="auto" w:sz="4" w:space="0"/>
            </w:tcBorders>
            <w:vAlign w:val="center"/>
          </w:tcPr>
          <w:p>
            <w:pPr>
              <w:tabs>
                <w:tab w:val="left" w:pos="426"/>
              </w:tabs>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2" w:hRule="atLeast"/>
          <w:jc w:val="center"/>
        </w:trPr>
        <w:tc>
          <w:tcPr>
            <w:tcW w:w="769" w:type="dxa"/>
            <w:tcBorders>
              <w:bottom w:val="single" w:color="auto" w:sz="4" w:space="0"/>
            </w:tcBorders>
            <w:vAlign w:val="center"/>
          </w:tcPr>
          <w:p>
            <w:pPr>
              <w:tabs>
                <w:tab w:val="left" w:pos="426"/>
              </w:tabs>
              <w:autoSpaceDE w:val="0"/>
              <w:autoSpaceDN w:val="0"/>
              <w:jc w:val="center"/>
              <w:rPr>
                <w:b/>
                <w:szCs w:val="21"/>
              </w:rPr>
            </w:pPr>
            <w:r>
              <w:rPr>
                <w:rFonts w:hint="eastAsia"/>
                <w:b/>
                <w:szCs w:val="21"/>
              </w:rPr>
              <w:t>4</w:t>
            </w:r>
          </w:p>
        </w:tc>
        <w:tc>
          <w:tcPr>
            <w:tcW w:w="1347" w:type="dxa"/>
            <w:tcBorders>
              <w:bottom w:val="single" w:color="auto" w:sz="4" w:space="0"/>
            </w:tcBorders>
            <w:vAlign w:val="center"/>
          </w:tcPr>
          <w:p>
            <w:pPr>
              <w:tabs>
                <w:tab w:val="left" w:pos="426"/>
              </w:tabs>
              <w:jc w:val="center"/>
              <w:rPr>
                <w:rFonts w:ascii="宋体" w:hAnsi="宋体"/>
                <w:szCs w:val="21"/>
              </w:rPr>
            </w:pPr>
            <w:r>
              <w:rPr>
                <w:rFonts w:hint="eastAsia" w:ascii="宋体" w:hAnsi="宋体"/>
                <w:szCs w:val="21"/>
              </w:rPr>
              <w:t>投标人资质情况</w:t>
            </w:r>
          </w:p>
        </w:tc>
        <w:tc>
          <w:tcPr>
            <w:tcW w:w="992" w:type="dxa"/>
            <w:tcBorders>
              <w:bottom w:val="single" w:color="auto" w:sz="4" w:space="0"/>
            </w:tcBorders>
            <w:vAlign w:val="center"/>
          </w:tcPr>
          <w:p>
            <w:pPr>
              <w:tabs>
                <w:tab w:val="left" w:pos="426"/>
              </w:tabs>
              <w:autoSpaceDE w:val="0"/>
              <w:autoSpaceDN w:val="0"/>
              <w:jc w:val="center"/>
              <w:rPr>
                <w:szCs w:val="21"/>
              </w:rPr>
            </w:pPr>
            <w:r>
              <w:rPr>
                <w:rFonts w:hint="eastAsia"/>
                <w:szCs w:val="21"/>
              </w:rPr>
              <w:t>5</w:t>
            </w:r>
          </w:p>
        </w:tc>
        <w:tc>
          <w:tcPr>
            <w:tcW w:w="4197" w:type="dxa"/>
            <w:tcBorders>
              <w:bottom w:val="single" w:color="auto" w:sz="4" w:space="0"/>
            </w:tcBorders>
            <w:vAlign w:val="center"/>
          </w:tcPr>
          <w:p>
            <w:pPr>
              <w:tabs>
                <w:tab w:val="left" w:pos="426"/>
              </w:tabs>
              <w:jc w:val="left"/>
              <w:rPr>
                <w:szCs w:val="21"/>
              </w:rPr>
            </w:pPr>
            <w:r>
              <w:rPr>
                <w:rFonts w:hint="eastAsia"/>
                <w:szCs w:val="21"/>
              </w:rPr>
              <w:t>（1）获得国家级动漫、高新技术企业等行业资质认证的，每项2分。</w:t>
            </w:r>
          </w:p>
          <w:p>
            <w:pPr>
              <w:tabs>
                <w:tab w:val="left" w:pos="426"/>
              </w:tabs>
              <w:jc w:val="left"/>
              <w:rPr>
                <w:szCs w:val="21"/>
              </w:rPr>
            </w:pPr>
            <w:r>
              <w:rPr>
                <w:rFonts w:hint="eastAsia"/>
                <w:szCs w:val="21"/>
              </w:rPr>
              <w:t>（2）获得省市级动漫、高新技术企业等行业资质认证的，每项1分。</w:t>
            </w:r>
          </w:p>
          <w:p>
            <w:pPr>
              <w:tabs>
                <w:tab w:val="left" w:pos="426"/>
              </w:tabs>
              <w:jc w:val="left"/>
              <w:rPr>
                <w:szCs w:val="21"/>
              </w:rPr>
            </w:pPr>
            <w:r>
              <w:rPr>
                <w:rFonts w:hint="eastAsia"/>
                <w:szCs w:val="21"/>
              </w:rPr>
              <w:t>（3）没有以上资质的不得分。</w:t>
            </w:r>
          </w:p>
          <w:p>
            <w:pPr>
              <w:tabs>
                <w:tab w:val="left" w:pos="426"/>
              </w:tabs>
              <w:jc w:val="left"/>
              <w:rPr>
                <w:szCs w:val="21"/>
              </w:rPr>
            </w:pPr>
            <w:r>
              <w:rPr>
                <w:rFonts w:hint="eastAsia"/>
                <w:szCs w:val="21"/>
              </w:rPr>
              <w:t>本项可累计得分，最高得5分，提供资质认证复印件，原件备查。</w:t>
            </w:r>
          </w:p>
        </w:tc>
        <w:tc>
          <w:tcPr>
            <w:tcW w:w="1547" w:type="dxa"/>
            <w:tcBorders>
              <w:bottom w:val="single" w:color="auto" w:sz="4" w:space="0"/>
            </w:tcBorders>
            <w:vAlign w:val="center"/>
          </w:tcPr>
          <w:p>
            <w:pPr>
              <w:tabs>
                <w:tab w:val="left" w:pos="426"/>
              </w:tabs>
              <w:autoSpaceDE w:val="0"/>
              <w:autoSpaceDN w:val="0"/>
              <w:jc w:val="center"/>
              <w:rPr>
                <w:szCs w:val="21"/>
                <w:lang w:val="zh-CN"/>
              </w:rPr>
            </w:pPr>
            <w:r>
              <w:rPr>
                <w:rFonts w:hint="eastAsia" w:ascii="宋体" w:hAnsi="宋体"/>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9" w:type="dxa"/>
            <w:tcBorders>
              <w:top w:val="single" w:color="auto" w:sz="4" w:space="0"/>
            </w:tcBorders>
            <w:vAlign w:val="center"/>
          </w:tcPr>
          <w:p>
            <w:pPr>
              <w:autoSpaceDE w:val="0"/>
              <w:autoSpaceDN w:val="0"/>
              <w:jc w:val="center"/>
              <w:rPr>
                <w:b/>
                <w:szCs w:val="21"/>
              </w:rPr>
            </w:pPr>
            <w:r>
              <w:rPr>
                <w:rFonts w:hint="eastAsia"/>
                <w:b/>
                <w:szCs w:val="21"/>
              </w:rPr>
              <w:t>5</w:t>
            </w:r>
          </w:p>
        </w:tc>
        <w:tc>
          <w:tcPr>
            <w:tcW w:w="1347" w:type="dxa"/>
            <w:tcBorders>
              <w:top w:val="single" w:color="auto" w:sz="4" w:space="0"/>
            </w:tcBorders>
            <w:vAlign w:val="center"/>
          </w:tcPr>
          <w:p>
            <w:pPr>
              <w:tabs>
                <w:tab w:val="left" w:pos="426"/>
              </w:tabs>
              <w:jc w:val="center"/>
              <w:rPr>
                <w:szCs w:val="21"/>
              </w:rPr>
            </w:pPr>
            <w:r>
              <w:rPr>
                <w:rFonts w:hint="eastAsia" w:ascii="宋体" w:hAnsi="宋体"/>
                <w:szCs w:val="21"/>
              </w:rPr>
              <w:t>知识产权拥有情况</w:t>
            </w:r>
          </w:p>
        </w:tc>
        <w:tc>
          <w:tcPr>
            <w:tcW w:w="992" w:type="dxa"/>
            <w:tcBorders>
              <w:top w:val="single" w:color="auto" w:sz="4" w:space="0"/>
            </w:tcBorders>
            <w:vAlign w:val="center"/>
          </w:tcPr>
          <w:p>
            <w:pPr>
              <w:tabs>
                <w:tab w:val="left" w:pos="426"/>
              </w:tabs>
              <w:jc w:val="center"/>
              <w:rPr>
                <w:szCs w:val="21"/>
              </w:rPr>
            </w:pPr>
            <w:r>
              <w:rPr>
                <w:rFonts w:hint="eastAsia"/>
                <w:szCs w:val="21"/>
              </w:rPr>
              <w:t>5</w:t>
            </w:r>
          </w:p>
        </w:tc>
        <w:tc>
          <w:tcPr>
            <w:tcW w:w="4197" w:type="dxa"/>
            <w:tcBorders>
              <w:top w:val="single" w:color="auto" w:sz="4" w:space="0"/>
            </w:tcBorders>
          </w:tcPr>
          <w:p>
            <w:pPr>
              <w:tabs>
                <w:tab w:val="left" w:pos="426"/>
              </w:tabs>
              <w:jc w:val="left"/>
              <w:rPr>
                <w:szCs w:val="21"/>
              </w:rPr>
            </w:pPr>
            <w:r>
              <w:rPr>
                <w:szCs w:val="21"/>
              </w:rPr>
              <w:t>201</w:t>
            </w:r>
            <w:r>
              <w:rPr>
                <w:rFonts w:hint="eastAsia"/>
                <w:szCs w:val="21"/>
              </w:rPr>
              <w:t>8年1月1日</w:t>
            </w:r>
            <w:r>
              <w:rPr>
                <w:rFonts w:hint="eastAsia" w:ascii="宋体" w:hAnsi="宋体" w:cs="宋体"/>
                <w:szCs w:val="21"/>
              </w:rPr>
              <w:t>至投标截止时间获得作品类别为“电影和类似摄制电影方法创作的作品”的作品著作权的，每提供1项得</w:t>
            </w:r>
            <w:r>
              <w:rPr>
                <w:rFonts w:hint="eastAsia" w:cs="宋体"/>
                <w:szCs w:val="21"/>
              </w:rPr>
              <w:t>0.5分，</w:t>
            </w:r>
            <w:r>
              <w:rPr>
                <w:rFonts w:hint="eastAsia" w:ascii="宋体" w:hAnsi="宋体" w:cs="宋体"/>
                <w:szCs w:val="21"/>
              </w:rPr>
              <w:t>最高</w:t>
            </w:r>
            <w:r>
              <w:rPr>
                <w:rFonts w:hint="eastAsia" w:cs="宋体"/>
                <w:szCs w:val="21"/>
              </w:rPr>
              <w:t>得5分</w:t>
            </w:r>
            <w:r>
              <w:rPr>
                <w:rFonts w:hint="eastAsia" w:ascii="宋体" w:hAnsi="宋体" w:cs="宋体"/>
                <w:szCs w:val="21"/>
              </w:rPr>
              <w:t>。</w:t>
            </w:r>
          </w:p>
        </w:tc>
        <w:tc>
          <w:tcPr>
            <w:tcW w:w="1547" w:type="dxa"/>
            <w:tcBorders>
              <w:top w:val="single" w:color="auto" w:sz="4" w:space="0"/>
            </w:tcBorders>
            <w:vAlign w:val="center"/>
          </w:tcPr>
          <w:p>
            <w:pPr>
              <w:tabs>
                <w:tab w:val="left" w:pos="426"/>
              </w:tabs>
              <w:autoSpaceDE w:val="0"/>
              <w:autoSpaceDN w:val="0"/>
              <w:jc w:val="center"/>
              <w:rPr>
                <w:szCs w:val="21"/>
                <w:lang w:val="zh-CN"/>
              </w:rPr>
            </w:pPr>
            <w:r>
              <w:rPr>
                <w:rFonts w:hint="eastAsia" w:ascii="宋体" w:hAnsi="宋体"/>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9" w:type="dxa"/>
            <w:tcBorders>
              <w:top w:val="single" w:color="auto" w:sz="4" w:space="0"/>
            </w:tcBorders>
            <w:vAlign w:val="center"/>
          </w:tcPr>
          <w:p>
            <w:pPr>
              <w:autoSpaceDE w:val="0"/>
              <w:autoSpaceDN w:val="0"/>
              <w:jc w:val="center"/>
              <w:rPr>
                <w:b/>
                <w:szCs w:val="21"/>
              </w:rPr>
            </w:pPr>
            <w:r>
              <w:rPr>
                <w:rFonts w:hint="eastAsia"/>
                <w:b/>
                <w:szCs w:val="21"/>
              </w:rPr>
              <w:t>6</w:t>
            </w:r>
          </w:p>
        </w:tc>
        <w:tc>
          <w:tcPr>
            <w:tcW w:w="1347" w:type="dxa"/>
            <w:tcBorders>
              <w:top w:val="single" w:color="auto" w:sz="4" w:space="0"/>
            </w:tcBorders>
            <w:vAlign w:val="center"/>
          </w:tcPr>
          <w:p>
            <w:pPr>
              <w:jc w:val="center"/>
              <w:rPr>
                <w:szCs w:val="21"/>
              </w:rPr>
            </w:pPr>
            <w:r>
              <w:rPr>
                <w:rFonts w:hint="eastAsia"/>
                <w:szCs w:val="21"/>
              </w:rPr>
              <w:t>投标人诚信评价</w:t>
            </w:r>
          </w:p>
        </w:tc>
        <w:tc>
          <w:tcPr>
            <w:tcW w:w="992" w:type="dxa"/>
            <w:tcBorders>
              <w:top w:val="single" w:color="auto" w:sz="4" w:space="0"/>
            </w:tcBorders>
            <w:vAlign w:val="center"/>
          </w:tcPr>
          <w:p>
            <w:pPr>
              <w:jc w:val="center"/>
              <w:rPr>
                <w:szCs w:val="21"/>
              </w:rPr>
            </w:pPr>
            <w:r>
              <w:rPr>
                <w:rFonts w:hint="eastAsia"/>
                <w:szCs w:val="21"/>
              </w:rPr>
              <w:t>5</w:t>
            </w:r>
          </w:p>
        </w:tc>
        <w:tc>
          <w:tcPr>
            <w:tcW w:w="4197" w:type="dxa"/>
            <w:tcBorders>
              <w:top w:val="single" w:color="auto" w:sz="4" w:space="0"/>
            </w:tcBorders>
          </w:tcPr>
          <w:p>
            <w:pPr>
              <w:rPr>
                <w:szCs w:val="21"/>
              </w:rPr>
            </w:pPr>
            <w:r>
              <w:rPr>
                <w:rFonts w:hint="eastAsia"/>
                <w:szCs w:val="21"/>
              </w:rPr>
              <w:t>根据《深圳市财政委员会关于加强招投标评审环节诚信管理的通知》（深财购</w:t>
            </w:r>
            <w:r>
              <w:rPr>
                <w:szCs w:val="21"/>
              </w:rPr>
              <w:t>[2013]27号）的要求，投标人在参与政府采购活动中存在诚信相关问题的，本项不得分，未出现相关诚信问题的得满分。以深圳市政府采购中心供应商库中的处罚记录为准。投标人无需提供任何证明材料，由</w:t>
            </w:r>
            <w:r>
              <w:rPr>
                <w:rFonts w:hint="eastAsia"/>
                <w:szCs w:val="21"/>
              </w:rPr>
              <w:t>招标代理</w:t>
            </w:r>
            <w:r>
              <w:rPr>
                <w:szCs w:val="21"/>
              </w:rPr>
              <w:t>工作人员向评委会提供相关信息。</w:t>
            </w:r>
          </w:p>
        </w:tc>
        <w:tc>
          <w:tcPr>
            <w:tcW w:w="1547" w:type="dxa"/>
            <w:tcBorders>
              <w:top w:val="single" w:color="auto" w:sz="4" w:space="0"/>
            </w:tcBorders>
            <w:vAlign w:val="center"/>
          </w:tcPr>
          <w:p>
            <w:pPr>
              <w:autoSpaceDE w:val="0"/>
              <w:autoSpaceDN w:val="0"/>
              <w:jc w:val="center"/>
              <w:rPr>
                <w:szCs w:val="21"/>
              </w:rPr>
            </w:pPr>
            <w:r>
              <w:rPr>
                <w:rFonts w:hint="eastAsia" w:ascii="宋体" w:hAnsi="宋体"/>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305" w:type="dxa"/>
            <w:gridSpan w:val="4"/>
            <w:vAlign w:val="center"/>
          </w:tcPr>
          <w:p>
            <w:pPr>
              <w:tabs>
                <w:tab w:val="left" w:pos="426"/>
              </w:tabs>
              <w:autoSpaceDE w:val="0"/>
              <w:autoSpaceDN w:val="0"/>
              <w:jc w:val="center"/>
              <w:rPr>
                <w:b/>
                <w:szCs w:val="21"/>
                <w:lang w:val="zh-CN"/>
              </w:rPr>
            </w:pPr>
            <w:r>
              <w:rPr>
                <w:rFonts w:hint="eastAsia"/>
                <w:b/>
                <w:szCs w:val="21"/>
                <w:lang w:val="zh-CN"/>
              </w:rPr>
              <w:t>二、技术部分</w:t>
            </w:r>
          </w:p>
        </w:tc>
        <w:tc>
          <w:tcPr>
            <w:tcW w:w="1547" w:type="dxa"/>
            <w:vAlign w:val="center"/>
          </w:tcPr>
          <w:p>
            <w:pPr>
              <w:tabs>
                <w:tab w:val="left" w:pos="426"/>
              </w:tabs>
              <w:autoSpaceDE w:val="0"/>
              <w:autoSpaceDN w:val="0"/>
              <w:jc w:val="center"/>
              <w:rPr>
                <w:szCs w:val="21"/>
              </w:rPr>
            </w:pPr>
            <w:r>
              <w:rPr>
                <w:rFonts w:hint="eastAsia"/>
                <w:szCs w:val="21"/>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69" w:type="dxa"/>
            <w:vAlign w:val="center"/>
          </w:tcPr>
          <w:p>
            <w:pPr>
              <w:tabs>
                <w:tab w:val="left" w:pos="426"/>
              </w:tabs>
              <w:autoSpaceDE w:val="0"/>
              <w:autoSpaceDN w:val="0"/>
              <w:jc w:val="center"/>
              <w:rPr>
                <w:szCs w:val="21"/>
              </w:rPr>
            </w:pPr>
            <w:r>
              <w:rPr>
                <w:rFonts w:hint="eastAsia"/>
                <w:szCs w:val="21"/>
                <w:lang w:val="zh-CN"/>
              </w:rPr>
              <w:t>序号</w:t>
            </w:r>
          </w:p>
        </w:tc>
        <w:tc>
          <w:tcPr>
            <w:tcW w:w="1347" w:type="dxa"/>
            <w:vAlign w:val="center"/>
          </w:tcPr>
          <w:p>
            <w:pPr>
              <w:tabs>
                <w:tab w:val="left" w:pos="426"/>
              </w:tabs>
              <w:autoSpaceDE w:val="0"/>
              <w:autoSpaceDN w:val="0"/>
              <w:jc w:val="center"/>
              <w:rPr>
                <w:szCs w:val="21"/>
              </w:rPr>
            </w:pPr>
            <w:r>
              <w:rPr>
                <w:rFonts w:hint="eastAsia"/>
                <w:szCs w:val="21"/>
                <w:lang w:val="zh-CN"/>
              </w:rPr>
              <w:t>内容</w:t>
            </w:r>
          </w:p>
        </w:tc>
        <w:tc>
          <w:tcPr>
            <w:tcW w:w="992" w:type="dxa"/>
            <w:vAlign w:val="center"/>
          </w:tcPr>
          <w:p>
            <w:pPr>
              <w:tabs>
                <w:tab w:val="left" w:pos="426"/>
              </w:tabs>
              <w:autoSpaceDE w:val="0"/>
              <w:autoSpaceDN w:val="0"/>
              <w:jc w:val="center"/>
              <w:rPr>
                <w:szCs w:val="21"/>
              </w:rPr>
            </w:pPr>
            <w:r>
              <w:rPr>
                <w:rFonts w:hint="eastAsia"/>
                <w:szCs w:val="21"/>
                <w:lang w:val="zh-CN"/>
              </w:rPr>
              <w:t>权重</w:t>
            </w:r>
          </w:p>
        </w:tc>
        <w:tc>
          <w:tcPr>
            <w:tcW w:w="4197" w:type="dxa"/>
            <w:vAlign w:val="center"/>
          </w:tcPr>
          <w:p>
            <w:pPr>
              <w:tabs>
                <w:tab w:val="left" w:pos="426"/>
              </w:tabs>
              <w:autoSpaceDE w:val="0"/>
              <w:autoSpaceDN w:val="0"/>
              <w:jc w:val="center"/>
              <w:rPr>
                <w:szCs w:val="21"/>
                <w:lang w:val="zh-CN"/>
              </w:rPr>
            </w:pPr>
            <w:r>
              <w:rPr>
                <w:rFonts w:hint="eastAsia"/>
                <w:szCs w:val="21"/>
                <w:lang w:val="zh-CN"/>
              </w:rPr>
              <w:t>评分规则</w:t>
            </w:r>
          </w:p>
        </w:tc>
        <w:tc>
          <w:tcPr>
            <w:tcW w:w="1547" w:type="dxa"/>
            <w:vAlign w:val="center"/>
          </w:tcPr>
          <w:p>
            <w:pPr>
              <w:tabs>
                <w:tab w:val="left" w:pos="426"/>
              </w:tabs>
              <w:autoSpaceDE w:val="0"/>
              <w:autoSpaceDN w:val="0"/>
              <w:jc w:val="center"/>
              <w:rPr>
                <w:szCs w:val="21"/>
                <w:lang w:val="zh-CN"/>
              </w:rPr>
            </w:pPr>
            <w:r>
              <w:rPr>
                <w:rFonts w:hint="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9" w:type="dxa"/>
            <w:vAlign w:val="center"/>
          </w:tcPr>
          <w:p>
            <w:pPr>
              <w:tabs>
                <w:tab w:val="left" w:pos="426"/>
              </w:tabs>
              <w:autoSpaceDE w:val="0"/>
              <w:autoSpaceDN w:val="0"/>
              <w:jc w:val="center"/>
              <w:rPr>
                <w:strike/>
                <w:szCs w:val="21"/>
                <w:lang w:val="zh-CN"/>
              </w:rPr>
            </w:pPr>
            <w:r>
              <w:rPr>
                <w:szCs w:val="21"/>
                <w:lang w:val="zh-CN"/>
              </w:rPr>
              <w:t>1</w:t>
            </w:r>
          </w:p>
        </w:tc>
        <w:tc>
          <w:tcPr>
            <w:tcW w:w="1347" w:type="dxa"/>
            <w:vAlign w:val="center"/>
          </w:tcPr>
          <w:p>
            <w:pPr>
              <w:pStyle w:val="61"/>
              <w:jc w:val="center"/>
              <w:rPr>
                <w:rFonts w:ascii="宋体" w:hAnsi="宋体"/>
                <w:strike/>
                <w:szCs w:val="21"/>
                <w:lang w:val="zh-CN"/>
              </w:rPr>
            </w:pPr>
            <w:r>
              <w:rPr>
                <w:rFonts w:hint="eastAsia" w:ascii="宋体" w:hAnsi="宋体"/>
                <w:szCs w:val="21"/>
                <w:lang w:val="zh-CN"/>
              </w:rPr>
              <w:t>专业拍摄实施方案</w:t>
            </w:r>
          </w:p>
        </w:tc>
        <w:tc>
          <w:tcPr>
            <w:tcW w:w="992" w:type="dxa"/>
            <w:vAlign w:val="center"/>
          </w:tcPr>
          <w:p>
            <w:pPr>
              <w:tabs>
                <w:tab w:val="left" w:pos="426"/>
              </w:tabs>
              <w:autoSpaceDE w:val="0"/>
              <w:autoSpaceDN w:val="0"/>
              <w:jc w:val="center"/>
              <w:rPr>
                <w:strike/>
                <w:szCs w:val="21"/>
              </w:rPr>
            </w:pPr>
            <w:r>
              <w:rPr>
                <w:rFonts w:hint="eastAsia"/>
                <w:szCs w:val="21"/>
              </w:rPr>
              <w:t>1</w:t>
            </w:r>
            <w:r>
              <w:rPr>
                <w:szCs w:val="21"/>
              </w:rPr>
              <w:t>2</w:t>
            </w:r>
          </w:p>
        </w:tc>
        <w:tc>
          <w:tcPr>
            <w:tcW w:w="4197" w:type="dxa"/>
            <w:vAlign w:val="center"/>
          </w:tcPr>
          <w:p>
            <w:pPr>
              <w:tabs>
                <w:tab w:val="left" w:pos="426"/>
              </w:tabs>
              <w:rPr>
                <w:rFonts w:ascii="宋体" w:hAnsi="宋体"/>
                <w:szCs w:val="21"/>
              </w:rPr>
            </w:pPr>
            <w:r>
              <w:rPr>
                <w:rFonts w:hint="eastAsia" w:ascii="宋体" w:hAnsi="宋体"/>
                <w:szCs w:val="21"/>
              </w:rPr>
              <w:t>依据招标文件要求，提出</w:t>
            </w:r>
            <w:r>
              <w:rPr>
                <w:rFonts w:hint="eastAsia"/>
                <w:szCs w:val="21"/>
              </w:rPr>
              <w:t>专业</w:t>
            </w:r>
            <w:r>
              <w:rPr>
                <w:rFonts w:hint="eastAsia" w:ascii="宋体" w:hAnsi="宋体"/>
                <w:szCs w:val="21"/>
              </w:rPr>
              <w:t>的项目</w:t>
            </w:r>
            <w:r>
              <w:rPr>
                <w:rFonts w:hint="eastAsia"/>
                <w:szCs w:val="21"/>
              </w:rPr>
              <w:t>拍摄</w:t>
            </w:r>
            <w:r>
              <w:rPr>
                <w:rFonts w:hint="eastAsia" w:ascii="宋体" w:hAnsi="宋体"/>
                <w:szCs w:val="21"/>
              </w:rPr>
              <w:t>实施方案，包括但不限于：</w:t>
            </w:r>
          </w:p>
          <w:p>
            <w:pPr>
              <w:tabs>
                <w:tab w:val="left" w:pos="426"/>
              </w:tabs>
              <w:rPr>
                <w:rFonts w:ascii="宋体" w:hAnsi="宋体"/>
                <w:szCs w:val="21"/>
              </w:rPr>
            </w:pPr>
            <w:r>
              <w:rPr>
                <w:rFonts w:hint="eastAsia" w:ascii="宋体" w:hAnsi="宋体"/>
                <w:szCs w:val="21"/>
              </w:rPr>
              <w:t>1.拍摄频次；</w:t>
            </w:r>
          </w:p>
          <w:p>
            <w:pPr>
              <w:tabs>
                <w:tab w:val="left" w:pos="426"/>
              </w:tabs>
              <w:rPr>
                <w:rFonts w:ascii="宋体" w:hAnsi="宋体"/>
                <w:szCs w:val="21"/>
              </w:rPr>
            </w:pPr>
            <w:r>
              <w:rPr>
                <w:rFonts w:hint="eastAsia" w:ascii="宋体" w:hAnsi="宋体"/>
                <w:szCs w:val="21"/>
              </w:rPr>
              <w:t>2.人员安排；</w:t>
            </w:r>
          </w:p>
          <w:p>
            <w:pPr>
              <w:tabs>
                <w:tab w:val="left" w:pos="426"/>
              </w:tabs>
              <w:rPr>
                <w:rFonts w:ascii="宋体" w:hAnsi="宋体"/>
                <w:szCs w:val="21"/>
              </w:rPr>
            </w:pPr>
            <w:r>
              <w:rPr>
                <w:rFonts w:hint="eastAsia" w:ascii="宋体" w:hAnsi="宋体"/>
                <w:szCs w:val="21"/>
              </w:rPr>
              <w:t>3.重难点分析；</w:t>
            </w:r>
          </w:p>
          <w:p>
            <w:pPr>
              <w:tabs>
                <w:tab w:val="left" w:pos="426"/>
              </w:tabs>
              <w:rPr>
                <w:rFonts w:ascii="宋体" w:hAnsi="宋体"/>
                <w:szCs w:val="21"/>
              </w:rPr>
            </w:pPr>
            <w:r>
              <w:rPr>
                <w:rFonts w:hint="eastAsia" w:ascii="宋体" w:hAnsi="宋体"/>
                <w:szCs w:val="21"/>
              </w:rPr>
              <w:t>4.应对措施及合理化建议。</w:t>
            </w:r>
          </w:p>
          <w:p>
            <w:pPr>
              <w:tabs>
                <w:tab w:val="left" w:pos="426"/>
              </w:tabs>
              <w:rPr>
                <w:rFonts w:ascii="宋体" w:hAnsi="宋体"/>
                <w:szCs w:val="21"/>
              </w:rPr>
            </w:pPr>
            <w:r>
              <w:rPr>
                <w:rFonts w:hint="eastAsia" w:ascii="宋体" w:hAnsi="宋体"/>
                <w:szCs w:val="21"/>
              </w:rPr>
              <w:t>满足以上4点得</w:t>
            </w:r>
            <w:r>
              <w:rPr>
                <w:rFonts w:ascii="宋体" w:hAnsi="宋体"/>
                <w:szCs w:val="21"/>
              </w:rPr>
              <w:t>8</w:t>
            </w:r>
            <w:r>
              <w:rPr>
                <w:rFonts w:hint="eastAsia" w:ascii="宋体" w:hAnsi="宋体"/>
                <w:szCs w:val="21"/>
              </w:rPr>
              <w:t>分，满足任意3点得</w:t>
            </w:r>
            <w:r>
              <w:rPr>
                <w:rFonts w:ascii="宋体" w:hAnsi="宋体"/>
                <w:szCs w:val="21"/>
              </w:rPr>
              <w:t>6</w:t>
            </w:r>
            <w:r>
              <w:rPr>
                <w:rFonts w:hint="eastAsia" w:ascii="宋体" w:hAnsi="宋体"/>
                <w:szCs w:val="21"/>
              </w:rPr>
              <w:t>分，满足任意2点得</w:t>
            </w:r>
            <w:r>
              <w:rPr>
                <w:rFonts w:ascii="宋体" w:hAnsi="宋体"/>
                <w:szCs w:val="21"/>
              </w:rPr>
              <w:t>4</w:t>
            </w:r>
            <w:r>
              <w:rPr>
                <w:rFonts w:hint="eastAsia" w:ascii="宋体" w:hAnsi="宋体"/>
                <w:szCs w:val="21"/>
              </w:rPr>
              <w:t>分，满足任意1点得</w:t>
            </w:r>
            <w:r>
              <w:rPr>
                <w:rFonts w:ascii="宋体" w:hAnsi="宋体"/>
                <w:szCs w:val="21"/>
              </w:rPr>
              <w:t>2</w:t>
            </w:r>
            <w:r>
              <w:rPr>
                <w:rFonts w:hint="eastAsia" w:ascii="宋体" w:hAnsi="宋体"/>
                <w:szCs w:val="21"/>
              </w:rPr>
              <w:t>分；在此基础上，评委对方案进行横向比较及专业评审：</w:t>
            </w:r>
          </w:p>
          <w:p>
            <w:pPr>
              <w:tabs>
                <w:tab w:val="left" w:pos="426"/>
              </w:tabs>
              <w:rPr>
                <w:rFonts w:ascii="宋体" w:hAnsi="宋体"/>
                <w:szCs w:val="21"/>
              </w:rPr>
            </w:pPr>
            <w:r>
              <w:rPr>
                <w:rFonts w:hint="eastAsia" w:ascii="宋体" w:hAnsi="宋体"/>
                <w:szCs w:val="21"/>
              </w:rPr>
              <w:t>1.方案的总体实施表述完整、清晰、</w:t>
            </w:r>
            <w:r>
              <w:rPr>
                <w:rFonts w:hint="eastAsia"/>
                <w:szCs w:val="21"/>
              </w:rPr>
              <w:t>拍摄频次、人员安排合理、</w:t>
            </w:r>
            <w:r>
              <w:rPr>
                <w:rFonts w:hint="eastAsia" w:ascii="宋体" w:hAnsi="宋体"/>
                <w:szCs w:val="21"/>
              </w:rPr>
              <w:t>具有可操作性，重点难点分析有条理、应对措施及合理化建议可行性强，评审为优，得</w:t>
            </w:r>
            <w:r>
              <w:rPr>
                <w:rFonts w:ascii="宋体" w:hAnsi="宋体"/>
                <w:szCs w:val="21"/>
              </w:rPr>
              <w:t>4</w:t>
            </w:r>
            <w:r>
              <w:rPr>
                <w:rFonts w:hint="eastAsia" w:ascii="宋体" w:hAnsi="宋体"/>
                <w:szCs w:val="21"/>
              </w:rPr>
              <w:t>分；</w:t>
            </w:r>
          </w:p>
          <w:p>
            <w:pPr>
              <w:tabs>
                <w:tab w:val="left" w:pos="426"/>
              </w:tabs>
              <w:rPr>
                <w:rFonts w:ascii="宋体" w:hAnsi="宋体"/>
                <w:szCs w:val="21"/>
              </w:rPr>
            </w:pPr>
            <w:r>
              <w:rPr>
                <w:rFonts w:hint="eastAsia" w:ascii="宋体" w:hAnsi="宋体"/>
                <w:szCs w:val="21"/>
              </w:rPr>
              <w:t>2.方案的总体实施表述比较完整、清晰、</w:t>
            </w:r>
            <w:r>
              <w:rPr>
                <w:rFonts w:hint="eastAsia"/>
                <w:szCs w:val="21"/>
              </w:rPr>
              <w:t>拍摄频次、人员安排比较合理、</w:t>
            </w:r>
            <w:r>
              <w:rPr>
                <w:rFonts w:hint="eastAsia" w:ascii="宋体" w:hAnsi="宋体"/>
                <w:szCs w:val="21"/>
              </w:rPr>
              <w:t>具有可操作性，重点难点分析有条理、应对措施及合理化建议可行性较强，评审为良，得</w:t>
            </w:r>
            <w:r>
              <w:rPr>
                <w:rFonts w:ascii="宋体" w:hAnsi="宋体"/>
                <w:szCs w:val="21"/>
              </w:rPr>
              <w:t>3</w:t>
            </w:r>
            <w:r>
              <w:rPr>
                <w:rFonts w:hint="eastAsia" w:ascii="宋体" w:hAnsi="宋体"/>
                <w:szCs w:val="21"/>
              </w:rPr>
              <w:t>分；</w:t>
            </w:r>
          </w:p>
          <w:p>
            <w:pPr>
              <w:tabs>
                <w:tab w:val="left" w:pos="426"/>
              </w:tabs>
              <w:rPr>
                <w:rFonts w:ascii="宋体" w:hAnsi="宋体"/>
                <w:szCs w:val="21"/>
              </w:rPr>
            </w:pPr>
            <w:r>
              <w:rPr>
                <w:rFonts w:hint="eastAsia" w:ascii="宋体" w:hAnsi="宋体"/>
                <w:szCs w:val="21"/>
              </w:rPr>
              <w:t>3.方案的总体实施表述不够完整、清晰、</w:t>
            </w:r>
            <w:r>
              <w:rPr>
                <w:rFonts w:hint="eastAsia"/>
                <w:szCs w:val="21"/>
              </w:rPr>
              <w:t>拍摄频次、人员安排不够合理、</w:t>
            </w:r>
            <w:r>
              <w:rPr>
                <w:rFonts w:hint="eastAsia" w:ascii="宋体" w:hAnsi="宋体"/>
                <w:szCs w:val="21"/>
              </w:rPr>
              <w:t>具有一定可操作性，重点难点分析条理性一般、应对措施及合理化建议可行性一般，评审为中，得</w:t>
            </w:r>
            <w:r>
              <w:rPr>
                <w:rFonts w:ascii="宋体" w:hAnsi="宋体"/>
                <w:szCs w:val="21"/>
              </w:rPr>
              <w:t>2</w:t>
            </w:r>
            <w:r>
              <w:rPr>
                <w:rFonts w:hint="eastAsia" w:ascii="宋体" w:hAnsi="宋体"/>
                <w:szCs w:val="21"/>
              </w:rPr>
              <w:t>分；</w:t>
            </w:r>
          </w:p>
          <w:p>
            <w:pPr>
              <w:tabs>
                <w:tab w:val="left" w:pos="426"/>
              </w:tabs>
              <w:rPr>
                <w:strike/>
                <w:szCs w:val="21"/>
              </w:rPr>
            </w:pPr>
            <w:r>
              <w:rPr>
                <w:rFonts w:hint="eastAsia" w:ascii="宋体" w:hAnsi="宋体"/>
                <w:szCs w:val="21"/>
              </w:rPr>
              <w:t>4.方案的总体实施表述不完整、</w:t>
            </w:r>
            <w:r>
              <w:rPr>
                <w:rFonts w:hint="eastAsia"/>
                <w:szCs w:val="21"/>
              </w:rPr>
              <w:t>拍摄频次、人员安排不合理、不</w:t>
            </w:r>
            <w:r>
              <w:rPr>
                <w:rFonts w:hint="eastAsia" w:ascii="宋体" w:hAnsi="宋体"/>
                <w:szCs w:val="21"/>
              </w:rPr>
              <w:t>具有可操作性，重点难点分析没有条理、应对措施及合理化建议可行性差，评审为差，不得分。</w:t>
            </w:r>
          </w:p>
        </w:tc>
        <w:tc>
          <w:tcPr>
            <w:tcW w:w="1547" w:type="dxa"/>
            <w:vAlign w:val="center"/>
          </w:tcPr>
          <w:p>
            <w:pPr>
              <w:tabs>
                <w:tab w:val="left" w:pos="426"/>
              </w:tabs>
              <w:autoSpaceDE w:val="0"/>
              <w:autoSpaceDN w:val="0"/>
              <w:jc w:val="center"/>
              <w:rPr>
                <w:strike/>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9" w:type="dxa"/>
            <w:vAlign w:val="center"/>
          </w:tcPr>
          <w:p>
            <w:pPr>
              <w:tabs>
                <w:tab w:val="left" w:pos="426"/>
              </w:tabs>
              <w:autoSpaceDE w:val="0"/>
              <w:autoSpaceDN w:val="0"/>
              <w:jc w:val="center"/>
              <w:rPr>
                <w:strike/>
                <w:szCs w:val="21"/>
              </w:rPr>
            </w:pPr>
            <w:r>
              <w:rPr>
                <w:rFonts w:hint="eastAsia"/>
                <w:strike/>
                <w:szCs w:val="21"/>
              </w:rPr>
              <w:t>2</w:t>
            </w:r>
          </w:p>
        </w:tc>
        <w:tc>
          <w:tcPr>
            <w:tcW w:w="1347" w:type="dxa"/>
            <w:vAlign w:val="center"/>
          </w:tcPr>
          <w:p>
            <w:pPr>
              <w:pStyle w:val="61"/>
              <w:jc w:val="center"/>
              <w:rPr>
                <w:rFonts w:ascii="宋体" w:hAnsi="宋体"/>
                <w:szCs w:val="21"/>
              </w:rPr>
            </w:pPr>
            <w:r>
              <w:rPr>
                <w:rFonts w:hint="eastAsia" w:ascii="宋体" w:hAnsi="宋体"/>
                <w:szCs w:val="21"/>
              </w:rPr>
              <w:t>专业案例</w:t>
            </w:r>
          </w:p>
        </w:tc>
        <w:tc>
          <w:tcPr>
            <w:tcW w:w="992" w:type="dxa"/>
            <w:vAlign w:val="center"/>
          </w:tcPr>
          <w:p>
            <w:pPr>
              <w:tabs>
                <w:tab w:val="left" w:pos="426"/>
              </w:tabs>
              <w:autoSpaceDE w:val="0"/>
              <w:autoSpaceDN w:val="0"/>
              <w:jc w:val="center"/>
              <w:rPr>
                <w:szCs w:val="21"/>
              </w:rPr>
            </w:pPr>
            <w:r>
              <w:rPr>
                <w:rFonts w:hint="eastAsia"/>
                <w:szCs w:val="21"/>
              </w:rPr>
              <w:t>10</w:t>
            </w:r>
          </w:p>
        </w:tc>
        <w:tc>
          <w:tcPr>
            <w:tcW w:w="4197" w:type="dxa"/>
            <w:vAlign w:val="center"/>
          </w:tcPr>
          <w:p>
            <w:pPr>
              <w:tabs>
                <w:tab w:val="left" w:pos="426"/>
              </w:tabs>
              <w:rPr>
                <w:rFonts w:ascii="宋体" w:hAnsi="宋体"/>
                <w:szCs w:val="21"/>
              </w:rPr>
            </w:pPr>
            <w:r>
              <w:rPr>
                <w:rFonts w:hint="eastAsia" w:ascii="宋体" w:hAnsi="宋体"/>
                <w:szCs w:val="21"/>
              </w:rPr>
              <w:t>近五年有制作过城市政府部门宣传片，或拍摄过城市、城区变化的案例，并结合类似案例进行相关技术描述，作为项目技术支撑，其中，每个技术案例得1分，最高得6分（须提供合同关键页（服务内容页、日期页、签章页）清晰复印件并加盖投标供应商公章，原件备查，不提供的或无盖章的一律不得分）</w:t>
            </w:r>
          </w:p>
          <w:p>
            <w:pPr>
              <w:tabs>
                <w:tab w:val="left" w:pos="426"/>
              </w:tabs>
              <w:rPr>
                <w:rFonts w:ascii="宋体" w:hAnsi="宋体"/>
                <w:szCs w:val="21"/>
              </w:rPr>
            </w:pPr>
            <w:r>
              <w:rPr>
                <w:rFonts w:hint="eastAsia" w:ascii="宋体" w:hAnsi="宋体"/>
                <w:szCs w:val="21"/>
              </w:rPr>
              <w:t>制作的城市政府部门形象宣传专题影片，对外播出且有1000w以上曝光量</w:t>
            </w:r>
            <w:r>
              <w:t>（</w:t>
            </w:r>
            <w:r>
              <w:rPr>
                <w:rFonts w:hint="eastAsia"/>
                <w:lang w:eastAsia="zh-Hans"/>
              </w:rPr>
              <w:t>提供截图证明</w:t>
            </w:r>
            <w:r>
              <w:rPr>
                <w:lang w:eastAsia="zh-Hans"/>
              </w:rPr>
              <w:t>）</w:t>
            </w:r>
            <w:r>
              <w:rPr>
                <w:rFonts w:hint="eastAsia" w:ascii="宋体" w:hAnsi="宋体"/>
                <w:szCs w:val="21"/>
              </w:rPr>
              <w:t>，每项得2分，最高得4分。</w:t>
            </w:r>
          </w:p>
        </w:tc>
        <w:tc>
          <w:tcPr>
            <w:tcW w:w="1547" w:type="dxa"/>
            <w:vAlign w:val="center"/>
          </w:tcPr>
          <w:p>
            <w:pPr>
              <w:tabs>
                <w:tab w:val="left" w:pos="426"/>
              </w:tabs>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9" w:type="dxa"/>
            <w:vAlign w:val="center"/>
          </w:tcPr>
          <w:p>
            <w:pPr>
              <w:tabs>
                <w:tab w:val="left" w:pos="426"/>
              </w:tabs>
              <w:autoSpaceDE w:val="0"/>
              <w:autoSpaceDN w:val="0"/>
              <w:jc w:val="center"/>
              <w:rPr>
                <w:strike/>
                <w:szCs w:val="21"/>
              </w:rPr>
            </w:pPr>
            <w:r>
              <w:rPr>
                <w:strike/>
                <w:szCs w:val="21"/>
              </w:rPr>
              <w:t>3</w:t>
            </w:r>
          </w:p>
        </w:tc>
        <w:tc>
          <w:tcPr>
            <w:tcW w:w="1347" w:type="dxa"/>
            <w:vAlign w:val="center"/>
          </w:tcPr>
          <w:p>
            <w:pPr>
              <w:pStyle w:val="61"/>
              <w:jc w:val="center"/>
              <w:rPr>
                <w:rFonts w:ascii="宋体" w:hAnsi="宋体"/>
                <w:szCs w:val="21"/>
                <w:lang w:eastAsia="zh-Hans"/>
              </w:rPr>
            </w:pPr>
            <w:r>
              <w:rPr>
                <w:rFonts w:hint="eastAsia" w:ascii="宋体" w:hAnsi="宋体"/>
                <w:szCs w:val="21"/>
                <w:lang w:eastAsia="zh-Hans"/>
              </w:rPr>
              <w:t>专业设备</w:t>
            </w:r>
          </w:p>
        </w:tc>
        <w:tc>
          <w:tcPr>
            <w:tcW w:w="992" w:type="dxa"/>
            <w:vAlign w:val="center"/>
          </w:tcPr>
          <w:p>
            <w:pPr>
              <w:tabs>
                <w:tab w:val="left" w:pos="426"/>
              </w:tabs>
              <w:autoSpaceDE w:val="0"/>
              <w:autoSpaceDN w:val="0"/>
              <w:jc w:val="center"/>
              <w:rPr>
                <w:szCs w:val="21"/>
              </w:rPr>
            </w:pPr>
            <w:r>
              <w:rPr>
                <w:szCs w:val="21"/>
              </w:rPr>
              <w:t>3</w:t>
            </w:r>
          </w:p>
        </w:tc>
        <w:tc>
          <w:tcPr>
            <w:tcW w:w="4197" w:type="dxa"/>
            <w:vAlign w:val="center"/>
          </w:tcPr>
          <w:p>
            <w:pPr>
              <w:tabs>
                <w:tab w:val="left" w:pos="426"/>
              </w:tabs>
              <w:rPr>
                <w:rFonts w:ascii="宋体" w:hAnsi="宋体"/>
                <w:szCs w:val="21"/>
              </w:rPr>
            </w:pPr>
            <w:r>
              <w:rPr>
                <w:rFonts w:hint="eastAsia" w:ascii="宋体" w:hAnsi="宋体"/>
                <w:szCs w:val="21"/>
              </w:rPr>
              <w:t>关于影片渲染设备保障部分，最高得3分，评分细则如下：</w:t>
            </w:r>
          </w:p>
          <w:p>
            <w:pPr>
              <w:tabs>
                <w:tab w:val="left" w:pos="426"/>
              </w:tabs>
              <w:rPr>
                <w:rFonts w:ascii="宋体" w:hAnsi="宋体"/>
                <w:szCs w:val="21"/>
              </w:rPr>
            </w:pPr>
            <w:r>
              <w:rPr>
                <w:rFonts w:hint="eastAsia" w:ascii="宋体" w:hAnsi="宋体"/>
                <w:szCs w:val="21"/>
              </w:rPr>
              <w:t>（A）自有4K高清全自动航拍专业无人机器材6台以上的（含6台），得1分；不足6台的不得分。</w:t>
            </w:r>
          </w:p>
          <w:p>
            <w:pPr>
              <w:tabs>
                <w:tab w:val="left" w:pos="426"/>
              </w:tabs>
              <w:rPr>
                <w:rFonts w:ascii="宋体" w:hAnsi="宋体"/>
                <w:szCs w:val="21"/>
              </w:rPr>
            </w:pPr>
            <w:r>
              <w:rPr>
                <w:rFonts w:hint="eastAsia" w:ascii="宋体" w:hAnsi="宋体"/>
                <w:szCs w:val="21"/>
              </w:rPr>
              <w:t>(B)自有5K大画幅高帧摄像机1台以上的（含1台），得1分；否则不得分。</w:t>
            </w:r>
          </w:p>
          <w:p>
            <w:pPr>
              <w:tabs>
                <w:tab w:val="left" w:pos="426"/>
              </w:tabs>
              <w:rPr>
                <w:rFonts w:ascii="宋体" w:hAnsi="宋体"/>
                <w:szCs w:val="21"/>
              </w:rPr>
            </w:pPr>
            <w:r>
              <w:rPr>
                <w:rFonts w:hint="eastAsia" w:ascii="宋体" w:hAnsi="宋体"/>
                <w:szCs w:val="21"/>
              </w:rPr>
              <w:t>(C)自有</w:t>
            </w:r>
            <w:r>
              <w:rPr>
                <w:szCs w:val="21"/>
              </w:rPr>
              <w:t>8</w:t>
            </w:r>
            <w:r>
              <w:rPr>
                <w:rFonts w:hAnsi="宋体"/>
                <w:szCs w:val="21"/>
              </w:rPr>
              <w:t>核</w:t>
            </w:r>
            <w:r>
              <w:rPr>
                <w:szCs w:val="21"/>
              </w:rPr>
              <w:t>56</w:t>
            </w:r>
            <w:r>
              <w:rPr>
                <w:rFonts w:hAnsi="宋体"/>
                <w:szCs w:val="21"/>
              </w:rPr>
              <w:t>线程服务器或</w:t>
            </w:r>
            <w:r>
              <w:rPr>
                <w:szCs w:val="21"/>
              </w:rPr>
              <w:t>40</w:t>
            </w:r>
            <w:r>
              <w:rPr>
                <w:rFonts w:hAnsi="宋体"/>
                <w:szCs w:val="21"/>
              </w:rPr>
              <w:t>核</w:t>
            </w:r>
            <w:r>
              <w:rPr>
                <w:szCs w:val="21"/>
              </w:rPr>
              <w:t>80</w:t>
            </w:r>
            <w:r>
              <w:rPr>
                <w:rFonts w:hAnsi="宋体"/>
                <w:szCs w:val="21"/>
              </w:rPr>
              <w:t>线程</w:t>
            </w:r>
            <w:r>
              <w:rPr>
                <w:rFonts w:hint="eastAsia" w:ascii="宋体" w:hAnsi="宋体"/>
                <w:color w:val="0000FF"/>
                <w:szCs w:val="21"/>
              </w:rPr>
              <w:t>。</w:t>
            </w:r>
            <w:r>
              <w:rPr>
                <w:rFonts w:hint="eastAsia" w:ascii="宋体" w:hAnsi="宋体"/>
                <w:szCs w:val="21"/>
              </w:rPr>
              <w:t>每拥有一项得0.25分，最多得1分。</w:t>
            </w:r>
          </w:p>
          <w:p>
            <w:pPr>
              <w:tabs>
                <w:tab w:val="left" w:pos="426"/>
              </w:tabs>
              <w:rPr>
                <w:rFonts w:ascii="宋体" w:hAnsi="宋体"/>
                <w:szCs w:val="21"/>
              </w:rPr>
            </w:pPr>
            <w:r>
              <w:rPr>
                <w:rFonts w:hint="eastAsia" w:ascii="宋体" w:hAnsi="宋体"/>
                <w:szCs w:val="21"/>
              </w:rPr>
              <w:t>（须提供带投标供应商抬头的相对应设备的发票的清晰复印件，原件备查。设备分最高得3分。）</w:t>
            </w:r>
          </w:p>
        </w:tc>
        <w:tc>
          <w:tcPr>
            <w:tcW w:w="1547" w:type="dxa"/>
            <w:vAlign w:val="center"/>
          </w:tcPr>
          <w:p>
            <w:pPr>
              <w:tabs>
                <w:tab w:val="left" w:pos="426"/>
              </w:tabs>
              <w:autoSpaceDE w:val="0"/>
              <w:autoSpaceDN w:val="0"/>
              <w:jc w:val="center"/>
              <w:rPr>
                <w:szCs w:val="21"/>
                <w:lang w:eastAsia="zh-Hans"/>
              </w:rPr>
            </w:pPr>
            <w:r>
              <w:rPr>
                <w:rFonts w:hint="eastAsia"/>
                <w:szCs w:val="21"/>
                <w:lang w:eastAsia="zh-Hans"/>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9" w:type="dxa"/>
            <w:vAlign w:val="center"/>
          </w:tcPr>
          <w:p>
            <w:pPr>
              <w:tabs>
                <w:tab w:val="left" w:pos="426"/>
              </w:tabs>
              <w:autoSpaceDE w:val="0"/>
              <w:autoSpaceDN w:val="0"/>
              <w:jc w:val="center"/>
              <w:rPr>
                <w:szCs w:val="21"/>
                <w:lang w:val="zh-CN"/>
              </w:rPr>
            </w:pPr>
            <w:r>
              <w:rPr>
                <w:rFonts w:hint="eastAsia"/>
                <w:szCs w:val="21"/>
              </w:rPr>
              <w:t>3</w:t>
            </w:r>
          </w:p>
        </w:tc>
        <w:tc>
          <w:tcPr>
            <w:tcW w:w="1347" w:type="dxa"/>
            <w:vAlign w:val="center"/>
          </w:tcPr>
          <w:p>
            <w:pPr>
              <w:pStyle w:val="61"/>
              <w:jc w:val="center"/>
              <w:rPr>
                <w:rFonts w:ascii="宋体" w:hAnsi="宋体"/>
                <w:szCs w:val="21"/>
                <w:lang w:val="zh-CN"/>
              </w:rPr>
            </w:pPr>
            <w:r>
              <w:rPr>
                <w:rFonts w:hint="eastAsia" w:ascii="宋体" w:hAnsi="宋体"/>
                <w:szCs w:val="21"/>
                <w:lang w:val="zh-CN"/>
              </w:rPr>
              <w:t>项目质量保障措施及方案</w:t>
            </w:r>
          </w:p>
        </w:tc>
        <w:tc>
          <w:tcPr>
            <w:tcW w:w="992" w:type="dxa"/>
            <w:vAlign w:val="center"/>
          </w:tcPr>
          <w:p>
            <w:pPr>
              <w:tabs>
                <w:tab w:val="left" w:pos="426"/>
              </w:tabs>
              <w:autoSpaceDE w:val="0"/>
              <w:autoSpaceDN w:val="0"/>
              <w:jc w:val="center"/>
              <w:rPr>
                <w:szCs w:val="21"/>
              </w:rPr>
            </w:pPr>
            <w:r>
              <w:rPr>
                <w:rFonts w:hint="eastAsia"/>
                <w:szCs w:val="21"/>
              </w:rPr>
              <w:t>5</w:t>
            </w:r>
          </w:p>
        </w:tc>
        <w:tc>
          <w:tcPr>
            <w:tcW w:w="4197" w:type="dxa"/>
            <w:vAlign w:val="center"/>
          </w:tcPr>
          <w:p>
            <w:pPr>
              <w:tabs>
                <w:tab w:val="left" w:pos="426"/>
              </w:tabs>
              <w:rPr>
                <w:rFonts w:ascii="宋体" w:hAnsi="宋体"/>
                <w:szCs w:val="21"/>
              </w:rPr>
            </w:pPr>
            <w:r>
              <w:rPr>
                <w:rFonts w:hint="eastAsia" w:ascii="宋体" w:hAnsi="宋体"/>
                <w:szCs w:val="21"/>
              </w:rPr>
              <w:t>需根据项目要求，提出关于质量保障的措施及方案，包括：1.质量把控措施、2.影片制作。</w:t>
            </w:r>
          </w:p>
          <w:p>
            <w:pPr>
              <w:tabs>
                <w:tab w:val="left" w:pos="426"/>
              </w:tabs>
              <w:rPr>
                <w:rFonts w:ascii="宋体" w:hAnsi="宋体"/>
                <w:szCs w:val="21"/>
              </w:rPr>
            </w:pPr>
            <w:r>
              <w:rPr>
                <w:rFonts w:hint="eastAsia" w:ascii="宋体" w:hAnsi="宋体"/>
                <w:szCs w:val="21"/>
              </w:rPr>
              <w:t>满足以上2点得</w:t>
            </w:r>
            <w:r>
              <w:rPr>
                <w:rFonts w:ascii="宋体" w:hAnsi="宋体"/>
                <w:szCs w:val="21"/>
              </w:rPr>
              <w:t>2</w:t>
            </w:r>
            <w:r>
              <w:rPr>
                <w:rFonts w:hint="eastAsia" w:ascii="宋体" w:hAnsi="宋体"/>
                <w:szCs w:val="21"/>
              </w:rPr>
              <w:t>分，满足任意1点得</w:t>
            </w:r>
            <w:r>
              <w:rPr>
                <w:rFonts w:ascii="宋体" w:hAnsi="宋体"/>
                <w:szCs w:val="21"/>
              </w:rPr>
              <w:t>1</w:t>
            </w:r>
            <w:r>
              <w:rPr>
                <w:rFonts w:hint="eastAsia" w:ascii="宋体" w:hAnsi="宋体"/>
                <w:szCs w:val="21"/>
              </w:rPr>
              <w:t>分；在此基础上，评委对方案进行横向比较及专业评审：</w:t>
            </w:r>
          </w:p>
          <w:p>
            <w:pPr>
              <w:tabs>
                <w:tab w:val="left" w:pos="426"/>
              </w:tabs>
              <w:rPr>
                <w:rFonts w:ascii="宋体" w:hAnsi="宋体"/>
                <w:szCs w:val="21"/>
              </w:rPr>
            </w:pPr>
            <w:r>
              <w:rPr>
                <w:rFonts w:hint="eastAsia" w:ascii="宋体" w:hAnsi="宋体"/>
                <w:szCs w:val="21"/>
              </w:rPr>
              <w:t>1.方案的总体实施表述完整、质量把控措施科学完善</w:t>
            </w:r>
            <w:r>
              <w:rPr>
                <w:rFonts w:hint="eastAsia"/>
                <w:szCs w:val="21"/>
              </w:rPr>
              <w:t>、</w:t>
            </w:r>
            <w:r>
              <w:rPr>
                <w:rFonts w:hint="eastAsia" w:ascii="宋体" w:hAnsi="宋体"/>
                <w:szCs w:val="21"/>
              </w:rPr>
              <w:t>影片制作质量高，评审为优，得</w:t>
            </w:r>
            <w:r>
              <w:rPr>
                <w:rFonts w:ascii="宋体" w:hAnsi="宋体"/>
                <w:szCs w:val="21"/>
              </w:rPr>
              <w:t>2</w:t>
            </w:r>
            <w:r>
              <w:rPr>
                <w:rFonts w:hint="eastAsia" w:ascii="宋体" w:hAnsi="宋体"/>
                <w:szCs w:val="21"/>
              </w:rPr>
              <w:t>分；</w:t>
            </w:r>
          </w:p>
          <w:p>
            <w:pPr>
              <w:tabs>
                <w:tab w:val="left" w:pos="426"/>
              </w:tabs>
              <w:rPr>
                <w:rFonts w:ascii="宋体" w:hAnsi="宋体"/>
                <w:szCs w:val="21"/>
              </w:rPr>
            </w:pPr>
            <w:r>
              <w:rPr>
                <w:rFonts w:hint="eastAsia" w:ascii="宋体" w:hAnsi="宋体"/>
                <w:szCs w:val="21"/>
              </w:rPr>
              <w:t>2.方案的总体实施比较表述完整、质量把控措施比较科学完善</w:t>
            </w:r>
            <w:r>
              <w:rPr>
                <w:rFonts w:hint="eastAsia"/>
                <w:szCs w:val="21"/>
              </w:rPr>
              <w:t>、</w:t>
            </w:r>
            <w:r>
              <w:rPr>
                <w:rFonts w:hint="eastAsia" w:ascii="宋体" w:hAnsi="宋体"/>
                <w:szCs w:val="21"/>
              </w:rPr>
              <w:t>影片制作质量较高，评审为良，得</w:t>
            </w:r>
            <w:r>
              <w:rPr>
                <w:rFonts w:ascii="宋体" w:hAnsi="宋体"/>
                <w:szCs w:val="21"/>
              </w:rPr>
              <w:t>1</w:t>
            </w:r>
            <w:r>
              <w:rPr>
                <w:rFonts w:hint="eastAsia" w:ascii="宋体" w:hAnsi="宋体"/>
                <w:szCs w:val="21"/>
              </w:rPr>
              <w:t>分；</w:t>
            </w:r>
          </w:p>
          <w:p>
            <w:pPr>
              <w:tabs>
                <w:tab w:val="left" w:pos="426"/>
              </w:tabs>
              <w:rPr>
                <w:rFonts w:ascii="宋体" w:hAnsi="宋体"/>
                <w:szCs w:val="21"/>
              </w:rPr>
            </w:pPr>
            <w:r>
              <w:rPr>
                <w:rFonts w:hint="eastAsia" w:ascii="宋体" w:hAnsi="宋体"/>
                <w:szCs w:val="21"/>
              </w:rPr>
              <w:t>3.方案的总体实施表述不够完整、质量把控措施不够科学完善</w:t>
            </w:r>
            <w:r>
              <w:rPr>
                <w:rFonts w:hint="eastAsia"/>
                <w:szCs w:val="21"/>
              </w:rPr>
              <w:t>、</w:t>
            </w:r>
            <w:r>
              <w:rPr>
                <w:rFonts w:hint="eastAsia" w:ascii="宋体" w:hAnsi="宋体"/>
                <w:szCs w:val="21"/>
              </w:rPr>
              <w:t>影片制作质量一般，评审为中，不得分</w:t>
            </w:r>
            <w:r>
              <w:rPr>
                <w:rFonts w:hint="eastAsia"/>
                <w:szCs w:val="21"/>
              </w:rPr>
              <w:t>。</w:t>
            </w:r>
          </w:p>
          <w:p>
            <w:pPr>
              <w:tabs>
                <w:tab w:val="left" w:pos="426"/>
              </w:tabs>
              <w:rPr>
                <w:rFonts w:ascii="宋体" w:hAnsi="宋体"/>
                <w:szCs w:val="21"/>
              </w:rPr>
            </w:pPr>
          </w:p>
        </w:tc>
        <w:tc>
          <w:tcPr>
            <w:tcW w:w="1547" w:type="dxa"/>
            <w:vAlign w:val="center"/>
          </w:tcPr>
          <w:p>
            <w:pPr>
              <w:tabs>
                <w:tab w:val="left" w:pos="426"/>
              </w:tabs>
              <w:autoSpaceDE w:val="0"/>
              <w:autoSpaceDN w:val="0"/>
              <w:jc w:val="center"/>
              <w:rPr>
                <w:szCs w:val="21"/>
                <w:lang w:val="zh-CN"/>
              </w:rPr>
            </w:pPr>
            <w:r>
              <w:rPr>
                <w:rFonts w:hint="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769" w:type="dxa"/>
            <w:vAlign w:val="center"/>
          </w:tcPr>
          <w:p>
            <w:pPr>
              <w:tabs>
                <w:tab w:val="left" w:pos="426"/>
              </w:tabs>
              <w:autoSpaceDE w:val="0"/>
              <w:autoSpaceDN w:val="0"/>
              <w:jc w:val="center"/>
              <w:rPr>
                <w:szCs w:val="21"/>
              </w:rPr>
            </w:pPr>
            <w:r>
              <w:rPr>
                <w:rFonts w:hint="eastAsia"/>
                <w:szCs w:val="21"/>
              </w:rPr>
              <w:t>4</w:t>
            </w:r>
          </w:p>
        </w:tc>
        <w:tc>
          <w:tcPr>
            <w:tcW w:w="1347" w:type="dxa"/>
            <w:vAlign w:val="center"/>
          </w:tcPr>
          <w:p>
            <w:pPr>
              <w:pStyle w:val="61"/>
              <w:rPr>
                <w:rFonts w:ascii="宋体" w:hAnsi="宋体"/>
                <w:szCs w:val="21"/>
                <w:lang w:val="zh-CN"/>
              </w:rPr>
            </w:pPr>
            <w:r>
              <w:rPr>
                <w:rFonts w:hint="eastAsia" w:ascii="宋体" w:hAnsi="宋体"/>
                <w:szCs w:val="21"/>
                <w:lang w:val="zh-CN"/>
              </w:rPr>
              <w:t>项目服务方案</w:t>
            </w:r>
          </w:p>
        </w:tc>
        <w:tc>
          <w:tcPr>
            <w:tcW w:w="992" w:type="dxa"/>
            <w:vAlign w:val="center"/>
          </w:tcPr>
          <w:p>
            <w:pPr>
              <w:tabs>
                <w:tab w:val="left" w:pos="426"/>
              </w:tabs>
              <w:autoSpaceDE w:val="0"/>
              <w:autoSpaceDN w:val="0"/>
              <w:jc w:val="center"/>
              <w:rPr>
                <w:szCs w:val="21"/>
              </w:rPr>
            </w:pPr>
            <w:r>
              <w:rPr>
                <w:rFonts w:hint="eastAsia"/>
                <w:szCs w:val="21"/>
              </w:rPr>
              <w:t>5</w:t>
            </w:r>
          </w:p>
        </w:tc>
        <w:tc>
          <w:tcPr>
            <w:tcW w:w="4197" w:type="dxa"/>
            <w:vAlign w:val="center"/>
          </w:tcPr>
          <w:p>
            <w:pPr>
              <w:tabs>
                <w:tab w:val="left" w:pos="426"/>
              </w:tabs>
              <w:rPr>
                <w:rFonts w:ascii="宋体" w:hAnsi="宋体"/>
                <w:szCs w:val="21"/>
              </w:rPr>
            </w:pPr>
            <w:r>
              <w:rPr>
                <w:rFonts w:hint="eastAsia" w:ascii="宋体" w:hAnsi="宋体"/>
                <w:szCs w:val="21"/>
              </w:rPr>
              <w:t>需要结合项目的实际情况提出服务管理制度及后续服务承诺。</w:t>
            </w:r>
          </w:p>
          <w:p>
            <w:pPr>
              <w:tabs>
                <w:tab w:val="left" w:pos="426"/>
              </w:tabs>
              <w:rPr>
                <w:rFonts w:ascii="宋体" w:hAnsi="宋体"/>
                <w:szCs w:val="21"/>
              </w:rPr>
            </w:pPr>
            <w:r>
              <w:rPr>
                <w:rFonts w:hint="eastAsia" w:ascii="宋体" w:hAnsi="宋体"/>
                <w:szCs w:val="21"/>
              </w:rPr>
              <w:t>满足以上2点得</w:t>
            </w:r>
            <w:r>
              <w:rPr>
                <w:rFonts w:ascii="宋体" w:hAnsi="宋体"/>
                <w:szCs w:val="21"/>
              </w:rPr>
              <w:t>2</w:t>
            </w:r>
            <w:r>
              <w:rPr>
                <w:rFonts w:hint="eastAsia" w:ascii="宋体" w:hAnsi="宋体"/>
                <w:szCs w:val="21"/>
              </w:rPr>
              <w:t>分，满足任意1点得</w:t>
            </w:r>
            <w:r>
              <w:rPr>
                <w:rFonts w:ascii="宋体" w:hAnsi="宋体"/>
                <w:szCs w:val="21"/>
              </w:rPr>
              <w:t>1</w:t>
            </w:r>
            <w:r>
              <w:rPr>
                <w:rFonts w:hint="eastAsia" w:ascii="宋体" w:hAnsi="宋体"/>
                <w:szCs w:val="21"/>
              </w:rPr>
              <w:t>分；在此基础上，评委对方案进行横向比较及专业评审：</w:t>
            </w:r>
          </w:p>
          <w:p>
            <w:pPr>
              <w:tabs>
                <w:tab w:val="left" w:pos="426"/>
              </w:tabs>
              <w:rPr>
                <w:rFonts w:ascii="宋体" w:hAnsi="宋体"/>
                <w:szCs w:val="21"/>
              </w:rPr>
            </w:pPr>
            <w:r>
              <w:rPr>
                <w:rFonts w:hint="eastAsia" w:ascii="宋体" w:hAnsi="宋体"/>
                <w:szCs w:val="21"/>
              </w:rPr>
              <w:t>1.方案的总体实施表述完整、服务管理制度科学完善</w:t>
            </w:r>
            <w:r>
              <w:rPr>
                <w:rFonts w:hint="eastAsia"/>
                <w:szCs w:val="21"/>
              </w:rPr>
              <w:t>、</w:t>
            </w:r>
            <w:r>
              <w:rPr>
                <w:rFonts w:hint="eastAsia" w:ascii="宋体" w:hAnsi="宋体"/>
                <w:szCs w:val="21"/>
              </w:rPr>
              <w:t>后续服务承诺可行性强，评审为优，得</w:t>
            </w:r>
            <w:r>
              <w:rPr>
                <w:rFonts w:ascii="宋体" w:hAnsi="宋体"/>
                <w:szCs w:val="21"/>
              </w:rPr>
              <w:t>3</w:t>
            </w:r>
            <w:r>
              <w:rPr>
                <w:rFonts w:hint="eastAsia" w:ascii="宋体" w:hAnsi="宋体"/>
                <w:szCs w:val="21"/>
              </w:rPr>
              <w:t>分；</w:t>
            </w:r>
          </w:p>
          <w:p>
            <w:pPr>
              <w:tabs>
                <w:tab w:val="left" w:pos="426"/>
              </w:tabs>
              <w:rPr>
                <w:rFonts w:ascii="宋体" w:hAnsi="宋体"/>
                <w:szCs w:val="21"/>
              </w:rPr>
            </w:pPr>
            <w:r>
              <w:rPr>
                <w:rFonts w:hint="eastAsia" w:ascii="宋体" w:hAnsi="宋体"/>
                <w:szCs w:val="21"/>
              </w:rPr>
              <w:t>2.方案的总体实施表述比较完整、服务管理制度比较科学完善</w:t>
            </w:r>
            <w:r>
              <w:rPr>
                <w:rFonts w:hint="eastAsia"/>
                <w:szCs w:val="21"/>
              </w:rPr>
              <w:t>、</w:t>
            </w:r>
            <w:r>
              <w:rPr>
                <w:rFonts w:hint="eastAsia" w:ascii="宋体" w:hAnsi="宋体"/>
                <w:szCs w:val="21"/>
              </w:rPr>
              <w:t>后续服务承诺可行性较强，评审为良，得</w:t>
            </w:r>
            <w:r>
              <w:rPr>
                <w:rFonts w:ascii="宋体" w:hAnsi="宋体"/>
                <w:szCs w:val="21"/>
              </w:rPr>
              <w:t>2</w:t>
            </w:r>
            <w:r>
              <w:rPr>
                <w:rFonts w:hint="eastAsia" w:ascii="宋体" w:hAnsi="宋体"/>
                <w:szCs w:val="21"/>
              </w:rPr>
              <w:t>分；</w:t>
            </w:r>
          </w:p>
          <w:p>
            <w:pPr>
              <w:tabs>
                <w:tab w:val="left" w:pos="426"/>
              </w:tabs>
              <w:rPr>
                <w:rFonts w:ascii="宋体" w:hAnsi="宋体"/>
                <w:szCs w:val="21"/>
              </w:rPr>
            </w:pPr>
            <w:r>
              <w:rPr>
                <w:rFonts w:hint="eastAsia" w:ascii="宋体" w:hAnsi="宋体"/>
                <w:szCs w:val="21"/>
              </w:rPr>
              <w:t>3.方案的总体实施表述不够完整、服务管理制度不够科学完善</w:t>
            </w:r>
            <w:r>
              <w:rPr>
                <w:rFonts w:hint="eastAsia"/>
                <w:szCs w:val="21"/>
              </w:rPr>
              <w:t>、</w:t>
            </w:r>
            <w:r>
              <w:rPr>
                <w:rFonts w:hint="eastAsia" w:ascii="宋体" w:hAnsi="宋体"/>
                <w:szCs w:val="21"/>
              </w:rPr>
              <w:t>后续服务承诺可行性一般，评审为中，得</w:t>
            </w:r>
            <w:r>
              <w:rPr>
                <w:rFonts w:ascii="宋体" w:hAnsi="宋体"/>
                <w:szCs w:val="21"/>
              </w:rPr>
              <w:t>1</w:t>
            </w:r>
            <w:r>
              <w:rPr>
                <w:rFonts w:hint="eastAsia" w:ascii="宋体" w:hAnsi="宋体"/>
                <w:szCs w:val="21"/>
              </w:rPr>
              <w:t>分；</w:t>
            </w:r>
          </w:p>
          <w:p>
            <w:pPr>
              <w:tabs>
                <w:tab w:val="left" w:pos="426"/>
              </w:tabs>
              <w:rPr>
                <w:szCs w:val="21"/>
              </w:rPr>
            </w:pPr>
            <w:r>
              <w:rPr>
                <w:rFonts w:hint="eastAsia" w:ascii="宋体" w:hAnsi="宋体"/>
                <w:szCs w:val="21"/>
              </w:rPr>
              <w:t>4.方案的总体实施表述不完整、服务管理制度不科学完善</w:t>
            </w:r>
            <w:r>
              <w:rPr>
                <w:rFonts w:hint="eastAsia"/>
                <w:szCs w:val="21"/>
              </w:rPr>
              <w:t>、</w:t>
            </w:r>
            <w:r>
              <w:rPr>
                <w:rFonts w:hint="eastAsia" w:ascii="宋体" w:hAnsi="宋体"/>
                <w:szCs w:val="21"/>
              </w:rPr>
              <w:t>后续服务承诺可行性差，评审为差，不得分。</w:t>
            </w:r>
          </w:p>
        </w:tc>
        <w:tc>
          <w:tcPr>
            <w:tcW w:w="1547" w:type="dxa"/>
            <w:vAlign w:val="center"/>
          </w:tcPr>
          <w:p>
            <w:pPr>
              <w:tabs>
                <w:tab w:val="left" w:pos="426"/>
              </w:tabs>
              <w:autoSpaceDE w:val="0"/>
              <w:autoSpaceDN w:val="0"/>
              <w:jc w:val="center"/>
              <w:rPr>
                <w:szCs w:val="21"/>
                <w:lang w:val="zh-CN"/>
              </w:rPr>
            </w:pPr>
            <w:r>
              <w:rPr>
                <w:rFonts w:hint="eastAsia"/>
                <w:szCs w:val="21"/>
                <w:lang w:val="zh-CN"/>
              </w:rPr>
              <w:t>专家打分</w:t>
            </w:r>
          </w:p>
        </w:tc>
      </w:tr>
    </w:tbl>
    <w:p>
      <w:pPr>
        <w:rPr>
          <w:rFonts w:ascii="宋体" w:hAnsi="宋体"/>
        </w:rPr>
      </w:pPr>
      <w:r>
        <w:rPr>
          <w:rFonts w:hint="eastAsia" w:ascii="宋体" w:hAnsi="宋体"/>
        </w:rPr>
        <w:t>注：</w:t>
      </w:r>
    </w:p>
    <w:p>
      <w:pPr>
        <w:ind w:firstLine="420" w:firstLineChars="200"/>
        <w:rPr>
          <w:rFonts w:ascii="宋体" w:hAnsi="宋体"/>
        </w:rPr>
      </w:pPr>
      <w:r>
        <w:rPr>
          <w:rFonts w:hint="eastAsia" w:ascii="宋体" w:hAnsi="宋体"/>
        </w:rPr>
        <w:t>1. 每一项的得分均不能超过该项最高分值。</w:t>
      </w:r>
    </w:p>
    <w:p>
      <w:pPr>
        <w:ind w:firstLine="420" w:firstLineChars="200"/>
        <w:rPr>
          <w:rFonts w:ascii="宋体" w:hAnsi="宋体"/>
        </w:rPr>
      </w:pPr>
      <w:r>
        <w:rPr>
          <w:rFonts w:hint="eastAsia" w:ascii="宋体" w:hAnsi="宋体"/>
        </w:rPr>
        <w:t>2. 缺项则该项为0分或不合格为0分。</w:t>
      </w:r>
    </w:p>
    <w:p>
      <w:pPr>
        <w:ind w:firstLine="420" w:firstLineChars="200"/>
        <w:rPr>
          <w:rFonts w:ascii="宋体" w:hAnsi="宋体"/>
        </w:rPr>
      </w:pPr>
      <w:r>
        <w:rPr>
          <w:rFonts w:hint="eastAsia" w:ascii="宋体" w:hAnsi="宋体"/>
        </w:rPr>
        <w:t>3. 价格、技术、商务部分为针对项目具体情况设置项目，累加满分为100分。</w:t>
      </w:r>
    </w:p>
    <w:p>
      <w:pPr>
        <w:ind w:firstLine="420" w:firstLineChars="200"/>
        <w:rPr>
          <w:rFonts w:ascii="宋体" w:hAnsi="宋体"/>
        </w:rPr>
      </w:pPr>
      <w:r>
        <w:rPr>
          <w:rFonts w:hint="eastAsia" w:ascii="宋体" w:hAnsi="宋体"/>
        </w:rPr>
        <w:t>4. 综合以上</w:t>
      </w:r>
      <w:r>
        <w:rPr>
          <w:rFonts w:hint="eastAsia"/>
          <w:snapToGrid w:val="0"/>
          <w:kern w:val="0"/>
        </w:rPr>
        <w:t>分析比较，评委会将对各投标文件进行书面的量化评定，得分</w:t>
      </w:r>
      <w:r>
        <w:rPr>
          <w:rFonts w:ascii="Arial" w:hAnsi="Arial" w:cs="Arial"/>
          <w:snapToGrid w:val="0"/>
          <w:kern w:val="0"/>
          <w:szCs w:val="18"/>
        </w:rPr>
        <w:t>精确到小数点后一位</w:t>
      </w:r>
      <w:r>
        <w:rPr>
          <w:rFonts w:hint="eastAsia" w:ascii="Arial" w:hAnsi="Arial" w:cs="Arial"/>
          <w:snapToGrid w:val="0"/>
          <w:kern w:val="0"/>
          <w:szCs w:val="18"/>
        </w:rPr>
        <w:t>。</w:t>
      </w: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2"/>
    </w:p>
    <w:p>
      <w:pPr>
        <w:keepNext/>
        <w:keepLines/>
        <w:spacing w:before="260" w:after="260" w:line="360" w:lineRule="auto"/>
        <w:jc w:val="center"/>
        <w:outlineLvl w:val="1"/>
        <w:rPr>
          <w:rFonts w:ascii="宋体" w:hAnsi="宋体" w:cs="宋体"/>
          <w:b/>
          <w:bCs/>
          <w:sz w:val="24"/>
        </w:rPr>
      </w:pPr>
      <w:bookmarkStart w:id="24" w:name="_Toc6548"/>
      <w:bookmarkStart w:id="25" w:name="_Toc5116"/>
      <w:bookmarkStart w:id="26" w:name="_Toc19494"/>
      <w:bookmarkStart w:id="27" w:name="_Toc31827"/>
      <w:r>
        <w:rPr>
          <w:rFonts w:hint="eastAsia" w:ascii="宋体" w:hAnsi="宋体" w:cs="宋体"/>
          <w:b/>
          <w:sz w:val="24"/>
        </w:rPr>
        <w:t>一、</w:t>
      </w:r>
      <w:r>
        <w:rPr>
          <w:rFonts w:hint="eastAsia" w:ascii="宋体" w:hAnsi="宋体" w:cs="宋体"/>
          <w:b/>
          <w:bCs/>
          <w:sz w:val="24"/>
        </w:rPr>
        <w:t>投标文件包装封面参考</w:t>
      </w:r>
      <w:bookmarkEnd w:id="24"/>
      <w:bookmarkEnd w:id="25"/>
      <w:bookmarkEnd w:id="26"/>
      <w:bookmarkEnd w:id="27"/>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bookmarkStart w:id="28" w:name="_Toc16724"/>
    </w:p>
    <w:p>
      <w:pPr>
        <w:pStyle w:val="4"/>
        <w:rPr>
          <w:rFonts w:ascii="宋体" w:eastAsia="宋体" w:cs="宋体"/>
          <w:b/>
          <w:sz w:val="24"/>
        </w:rPr>
        <w:sectPr>
          <w:pgSz w:w="11906" w:h="16838"/>
          <w:pgMar w:top="1440" w:right="1650" w:bottom="1440" w:left="1650" w:header="851" w:footer="992" w:gutter="0"/>
          <w:cols w:space="720" w:num="1"/>
          <w:docGrid w:type="lines" w:linePitch="319" w:charSpace="0"/>
        </w:sectPr>
      </w:pPr>
    </w:p>
    <w:p>
      <w:pPr>
        <w:pStyle w:val="4"/>
        <w:rPr>
          <w:rFonts w:ascii="宋体" w:cs="宋体"/>
          <w:b/>
          <w:sz w:val="24"/>
        </w:rPr>
      </w:pPr>
      <w:r>
        <w:rPr>
          <w:rFonts w:hint="eastAsia" w:ascii="宋体" w:eastAsia="宋体" w:cs="宋体"/>
          <w:b/>
          <w:sz w:val="24"/>
        </w:rPr>
        <w:t>二、投标文件—目录</w:t>
      </w:r>
      <w:bookmarkEnd w:id="28"/>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2、分项报价清单；</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5</w:t>
      </w:r>
      <w:r>
        <w:rPr>
          <w:rFonts w:hint="eastAsia" w:ascii="宋体" w:hAnsi="宋体" w:cs="宋体"/>
          <w:sz w:val="24"/>
        </w:rPr>
        <w:t>、</w:t>
      </w:r>
      <w:r>
        <w:rPr>
          <w:rFonts w:hint="eastAsia" w:ascii="宋体" w:hAnsi="宋体" w:cs="宋体"/>
          <w:sz w:val="24"/>
          <w:lang w:val="fr-CH"/>
        </w:rPr>
        <w:t>关于资格的声明函；</w:t>
      </w:r>
    </w:p>
    <w:p>
      <w:pPr>
        <w:pStyle w:val="41"/>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、投标人获奖情况</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、项目负责人情况</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、团队配置</w:t>
      </w:r>
    </w:p>
    <w:p>
      <w:pPr>
        <w:spacing w:line="360" w:lineRule="auto"/>
        <w:ind w:firstLine="480" w:firstLineChars="200"/>
        <w:rPr>
          <w:rFonts w:ascii="宋体" w:hAnsi="宋体" w:cs="宋体"/>
          <w:sz w:val="24"/>
          <w:lang w:val="fr-CH"/>
        </w:rPr>
      </w:pPr>
      <w:r>
        <w:rPr>
          <w:rFonts w:hint="eastAsia" w:ascii="宋体" w:hAnsi="宋体" w:cs="宋体"/>
          <w:sz w:val="24"/>
        </w:rPr>
        <w:t>14</w:t>
      </w:r>
      <w:r>
        <w:rPr>
          <w:rFonts w:hint="eastAsia" w:ascii="宋体" w:hAnsi="宋体" w:cs="宋体"/>
          <w:sz w:val="24"/>
          <w:lang w:val="fr-CH"/>
        </w:rPr>
        <w:t>、投标人资质情况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5</w:t>
      </w:r>
      <w:r>
        <w:rPr>
          <w:rFonts w:hint="eastAsia" w:ascii="宋体" w:hAnsi="宋体" w:cs="宋体"/>
          <w:sz w:val="24"/>
          <w:lang w:val="fr-CH"/>
        </w:rPr>
        <w:t>、知识产权拥有情况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6</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专业拍摄实施方案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专业案例</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sq-AL"/>
        </w:rPr>
        <w:t>项目质量保障措施及方案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5、项目服务方案；</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投标人认为有必要提供的其他材料。</w:t>
      </w:r>
    </w:p>
    <w:p>
      <w:pPr>
        <w:pStyle w:val="41"/>
        <w:ind w:firstLine="480"/>
        <w:rPr>
          <w:rFonts w:ascii="宋体" w:hAnsi="宋体" w:cs="宋体"/>
          <w:sz w:val="24"/>
          <w:lang w:val="fr-CH"/>
        </w:rPr>
      </w:pPr>
    </w:p>
    <w:p>
      <w:pPr>
        <w:pStyle w:val="41"/>
        <w:ind w:firstLine="480"/>
        <w:rPr>
          <w:rFonts w:ascii="宋体" w:hAnsi="宋体" w:cs="宋体"/>
          <w:sz w:val="24"/>
          <w:lang w:val="fr-CH"/>
        </w:rPr>
      </w:pPr>
    </w:p>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3"/>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tabs>
          <w:tab w:val="left" w:pos="640"/>
        </w:tabs>
        <w:spacing w:line="360" w:lineRule="auto"/>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3"/>
        <w:tblW w:w="5000" w:type="pct"/>
        <w:tblInd w:w="0" w:type="dxa"/>
        <w:tblLayout w:type="autofit"/>
        <w:tblCellMar>
          <w:top w:w="0" w:type="dxa"/>
          <w:left w:w="108" w:type="dxa"/>
          <w:bottom w:w="0" w:type="dxa"/>
          <w:right w:w="108" w:type="dxa"/>
        </w:tblCellMar>
      </w:tblPr>
      <w:tblGrid>
        <w:gridCol w:w="3671"/>
        <w:gridCol w:w="1135"/>
        <w:gridCol w:w="1059"/>
        <w:gridCol w:w="970"/>
        <w:gridCol w:w="1987"/>
      </w:tblGrid>
      <w:tr>
        <w:tblPrEx>
          <w:tblCellMar>
            <w:top w:w="0" w:type="dxa"/>
            <w:left w:w="108" w:type="dxa"/>
            <w:bottom w:w="0" w:type="dxa"/>
            <w:right w:w="108" w:type="dxa"/>
          </w:tblCellMar>
        </w:tblPrEx>
        <w:trPr>
          <w:trHeight w:val="927"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b/>
                <w:bCs/>
                <w:color w:val="000000"/>
                <w:kern w:val="0"/>
                <w:sz w:val="24"/>
                <w:lang w:bidi="ar"/>
              </w:rPr>
            </w:pPr>
            <w:r>
              <w:rPr>
                <w:rFonts w:hint="eastAsia" w:ascii="黑体" w:hAnsi="黑体" w:eastAsia="黑体" w:cs="黑体"/>
                <w:b/>
                <w:bCs/>
                <w:color w:val="000000"/>
                <w:kern w:val="0"/>
                <w:sz w:val="28"/>
                <w:szCs w:val="28"/>
                <w:lang w:bidi="ar"/>
              </w:rPr>
              <w:t xml:space="preserve"> 分项报价清单</w:t>
            </w: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项目</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创意策划</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撰稿费</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设备费</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导演组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摄像组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灯光组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制片组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后期剪辑</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配音</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整体视觉设计</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动画特效制作</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音乐制作</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工作人员餐饮交通</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其他费用（如有）</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r>
              <w:rPr>
                <w:rFonts w:hint="eastAsia" w:ascii="仿宋_GB2312" w:hAnsi="仿宋_GB2312" w:eastAsia="仿宋_GB2312" w:cs="仿宋_GB2312"/>
                <w:color w:val="000000"/>
                <w:kern w:val="0"/>
                <w:sz w:val="24"/>
                <w:lang w:bidi="ar"/>
              </w:rPr>
              <w:t>含税总计（RMB）</w:t>
            </w:r>
          </w:p>
        </w:tc>
        <w:tc>
          <w:tcPr>
            <w:tcW w:w="2918" w:type="pct"/>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3、《中小企业声明函》或《残疾人福利性单位声明函》或《监狱企业声明函》</w:t>
      </w:r>
    </w:p>
    <w:p>
      <w:pPr>
        <w:spacing w:after="319" w:afterLines="100" w:line="360" w:lineRule="auto"/>
        <w:jc w:val="center"/>
        <w:rPr>
          <w:rFonts w:ascii="宋体" w:hAnsi="宋体" w:cs="宋体"/>
          <w:b/>
          <w:sz w:val="24"/>
        </w:rPr>
      </w:pPr>
    </w:p>
    <w:p>
      <w:pPr>
        <w:spacing w:after="319" w:afterLines="100" w:line="360" w:lineRule="auto"/>
        <w:jc w:val="center"/>
        <w:rPr>
          <w:rFonts w:ascii="宋体" w:hAnsi="宋体" w:cs="宋体"/>
          <w:b/>
          <w:sz w:val="24"/>
        </w:rPr>
      </w:pPr>
      <w:r>
        <w:rPr>
          <w:rFonts w:hint="eastAsia" w:ascii="宋体" w:hAnsi="宋体" w:cs="宋体"/>
          <w:b/>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57"/>
        <w:spacing w:before="0" w:beforeAutospacing="0" w:after="0" w:afterAutospacing="0" w:line="360" w:lineRule="auto"/>
        <w:ind w:firstLine="472" w:firstLineChars="200"/>
        <w:rPr>
          <w:rStyle w:val="58"/>
          <w:b/>
          <w:bCs/>
        </w:rPr>
      </w:pPr>
      <w:r>
        <w:rPr>
          <w:rFonts w:hint="eastAsia"/>
          <w:spacing w:val="-2"/>
        </w:rPr>
        <w:t>从业人员、营业收入、资产总额填报上一年度数据，无上一年度数据的新成立企业可不填报。</w:t>
      </w:r>
    </w:p>
    <w:p>
      <w:pPr>
        <w:pStyle w:val="57"/>
        <w:spacing w:before="0" w:beforeAutospacing="0" w:after="0" w:afterAutospacing="0" w:line="360" w:lineRule="auto"/>
        <w:ind w:firstLine="482" w:firstLineChars="200"/>
        <w:jc w:val="center"/>
        <w:rPr>
          <w:rStyle w:val="58"/>
          <w:b/>
          <w:bCs/>
        </w:rPr>
      </w:pPr>
    </w:p>
    <w:p>
      <w:pPr>
        <w:pStyle w:val="57"/>
        <w:spacing w:before="0" w:beforeAutospacing="0" w:after="0" w:afterAutospacing="0" w:line="360" w:lineRule="auto"/>
        <w:ind w:firstLine="482" w:firstLineChars="200"/>
        <w:jc w:val="center"/>
      </w:pPr>
      <w:r>
        <w:rPr>
          <w:rStyle w:val="58"/>
          <w:rFonts w:hint="eastAsia"/>
          <w:b/>
          <w:bCs/>
        </w:rPr>
        <w:t>残疾人福利性单位声明函</w:t>
      </w:r>
    </w:p>
    <w:p>
      <w:pPr>
        <w:pStyle w:val="57"/>
        <w:spacing w:before="0" w:beforeAutospacing="0" w:after="0" w:afterAutospacing="0" w:line="360" w:lineRule="auto"/>
        <w:ind w:firstLine="480" w:firstLineChars="200"/>
        <w:jc w:val="both"/>
      </w:pPr>
    </w:p>
    <w:p>
      <w:pPr>
        <w:pStyle w:val="57"/>
        <w:spacing w:before="0" w:beforeAutospacing="0" w:after="0" w:afterAutospacing="0" w:line="360" w:lineRule="auto"/>
        <w:ind w:firstLine="480" w:firstLineChars="200"/>
        <w:jc w:val="both"/>
      </w:pPr>
      <w:r>
        <w:rPr>
          <w:rStyle w:val="58"/>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pacing w:before="0" w:beforeAutospacing="0" w:after="0" w:afterAutospacing="0" w:line="360" w:lineRule="auto"/>
        <w:ind w:firstLine="480" w:firstLineChars="200"/>
        <w:jc w:val="both"/>
      </w:pPr>
      <w:r>
        <w:rPr>
          <w:rStyle w:val="58"/>
          <w:rFonts w:hint="eastAsia"/>
        </w:rPr>
        <w:t>本单位对上述声明的真实性负责。如有虚假，将依法承担相应责任。</w:t>
      </w:r>
    </w:p>
    <w:p>
      <w:pPr>
        <w:pStyle w:val="57"/>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7"/>
        <w:spacing w:before="0" w:beforeAutospacing="0" w:after="0" w:afterAutospacing="0" w:line="360" w:lineRule="auto"/>
        <w:ind w:firstLine="480" w:firstLineChars="200"/>
        <w:jc w:val="both"/>
      </w:pPr>
    </w:p>
    <w:p>
      <w:pPr>
        <w:pStyle w:val="57"/>
        <w:spacing w:before="0" w:beforeAutospacing="0" w:after="0" w:afterAutospacing="0" w:line="360" w:lineRule="auto"/>
        <w:ind w:right="2100" w:rightChars="1000"/>
        <w:jc w:val="right"/>
      </w:pPr>
      <w:r>
        <w:rPr>
          <w:rStyle w:val="58"/>
          <w:rFonts w:hint="eastAsia"/>
        </w:rPr>
        <w:t>单位名称（盖章）：</w:t>
      </w:r>
    </w:p>
    <w:p>
      <w:pPr>
        <w:pStyle w:val="57"/>
        <w:spacing w:before="0" w:beforeAutospacing="0" w:after="0" w:afterAutospacing="0" w:line="360" w:lineRule="auto"/>
        <w:ind w:right="2100" w:rightChars="1000"/>
        <w:jc w:val="right"/>
        <w:rPr>
          <w:lang w:val="fr-CH"/>
        </w:rPr>
      </w:pPr>
      <w:r>
        <w:rPr>
          <w:rStyle w:val="58"/>
          <w:rFonts w:hint="eastAsia"/>
        </w:rPr>
        <w:t>日 期：</w:t>
      </w:r>
    </w:p>
    <w:p>
      <w:pPr>
        <w:rPr>
          <w:rFonts w:ascii="宋体" w:hAnsi="宋体" w:cs="宋体"/>
          <w:b/>
          <w:bCs/>
          <w:sz w:val="24"/>
          <w:lang w:val="fr-CH"/>
        </w:rPr>
      </w:pP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41"/>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jc w:val="center"/>
        <w:rPr>
          <w:lang w:val="fr-CH"/>
        </w:rPr>
      </w:pPr>
      <w:r>
        <w:rPr>
          <w:rFonts w:hint="eastAsia"/>
          <w:b/>
          <w:sz w:val="24"/>
          <w:lang w:val="fr-CH"/>
        </w:rPr>
        <w:t>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pStyle w:val="41"/>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41"/>
        <w:ind w:firstLine="420"/>
        <w:rPr>
          <w:lang w:val="fr-CH"/>
        </w:rPr>
      </w:pPr>
    </w:p>
    <w:p>
      <w:pPr>
        <w:pStyle w:val="41"/>
        <w:ind w:firstLine="420"/>
        <w:rPr>
          <w:lang w:val="fr-CH"/>
        </w:rPr>
      </w:pPr>
    </w:p>
    <w:p>
      <w:pPr>
        <w:pStyle w:val="41"/>
        <w:ind w:firstLine="420"/>
        <w:rPr>
          <w:lang w:val="fr-CH"/>
        </w:rPr>
      </w:pPr>
    </w:p>
    <w:p>
      <w:pPr>
        <w:pStyle w:val="41"/>
        <w:ind w:firstLine="420"/>
        <w:rPr>
          <w:lang w:val="fr-CH"/>
        </w:rPr>
      </w:pPr>
    </w:p>
    <w:p>
      <w:pPr>
        <w:pStyle w:val="41"/>
        <w:ind w:firstLine="420"/>
        <w:rPr>
          <w:lang w:val="fr-CH"/>
        </w:rPr>
      </w:pPr>
    </w:p>
    <w:p>
      <w:pPr>
        <w:pStyle w:val="41"/>
        <w:ind w:firstLine="420"/>
        <w:rPr>
          <w:lang w:val="fr-CH"/>
        </w:rPr>
      </w:pPr>
    </w:p>
    <w:p>
      <w:pPr>
        <w:pStyle w:val="41"/>
        <w:ind w:firstLine="420"/>
        <w:rPr>
          <w:lang w:val="fr-CH"/>
        </w:rPr>
      </w:pPr>
    </w:p>
    <w:p>
      <w:pPr>
        <w:pStyle w:val="41"/>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12"/>
        <w:spacing w:line="360" w:lineRule="auto"/>
        <w:jc w:val="center"/>
        <w:rPr>
          <w:rFonts w:hAnsi="宋体" w:cs="宋体"/>
          <w:b/>
          <w:sz w:val="24"/>
        </w:rPr>
      </w:pPr>
    </w:p>
    <w:p>
      <w:pPr>
        <w:pStyle w:val="12"/>
        <w:spacing w:line="360" w:lineRule="auto"/>
        <w:jc w:val="center"/>
        <w:rPr>
          <w:rFonts w:hAnsi="宋体" w:cs="宋体"/>
          <w:b/>
          <w:sz w:val="24"/>
        </w:rPr>
      </w:pPr>
      <w:r>
        <w:rPr>
          <w:rFonts w:hint="eastAsia" w:hAnsi="宋体" w:cs="宋体"/>
          <w:b/>
          <w:sz w:val="24"/>
        </w:rPr>
        <w:t>8、法定代表人/单位负责人授权书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pStyle w:val="41"/>
        <w:ind w:firstLine="482"/>
        <w:rPr>
          <w:rFonts w:ascii="宋体" w:hAnsi="宋体" w:cs="宋体"/>
          <w:b/>
          <w:bCs/>
          <w:sz w:val="24"/>
          <w:lang w:val="fr-CH"/>
        </w:rPr>
      </w:pPr>
    </w:p>
    <w:p>
      <w:pPr>
        <w:widowControl/>
        <w:autoSpaceDE w:val="0"/>
        <w:autoSpaceDN w:val="0"/>
        <w:spacing w:line="360" w:lineRule="auto"/>
        <w:ind w:right="26"/>
        <w:textAlignment w:val="bottom"/>
        <w:rPr>
          <w:rFonts w:ascii="宋体" w:hAnsi="宋体" w:cs="宋体"/>
          <w:b/>
          <w:bCs/>
          <w:sz w:val="24"/>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），我们保证在收到中标通知书后5日内按招标文件的规定，以现金或电汇向贵公司即中国远东国际招标有限公司深圳分公司指定的银行帐号支付全额招标代理服务费。招标代理服务费按照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、投标人获奖情况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12</w:t>
      </w:r>
      <w:r>
        <w:rPr>
          <w:rFonts w:hint="eastAsia" w:ascii="宋体" w:hAnsi="宋体" w:cs="宋体"/>
          <w:b/>
          <w:bCs/>
          <w:sz w:val="24"/>
          <w:lang w:val="fr-CH"/>
        </w:rPr>
        <w:t>、项目负责人情况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13</w:t>
      </w:r>
      <w:r>
        <w:rPr>
          <w:rFonts w:hint="eastAsia" w:ascii="宋体" w:hAnsi="宋体" w:cs="宋体"/>
          <w:b/>
          <w:bCs/>
          <w:sz w:val="24"/>
          <w:lang w:val="fr-CH"/>
        </w:rPr>
        <w:t>、团队配置</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14、投标人资质情况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15、知识产权拥有情况</w:t>
      </w:r>
    </w:p>
    <w:p>
      <w:pPr>
        <w:tabs>
          <w:tab w:val="left" w:pos="640"/>
          <w:tab w:val="left" w:pos="1260"/>
          <w:tab w:val="left" w:pos="1418"/>
        </w:tabs>
        <w:spacing w:line="360" w:lineRule="auto"/>
        <w:rPr>
          <w:rFonts w:ascii="宋体" w:hAnsi="宋体" w:cs="宋体"/>
          <w:b/>
          <w:bCs/>
          <w:sz w:val="24"/>
          <w:lang w:val="fr-CH"/>
        </w:rPr>
      </w:pPr>
      <w:r>
        <w:rPr>
          <w:rFonts w:ascii="宋体" w:hAnsi="宋体" w:cs="宋体"/>
          <w:b/>
          <w:bCs/>
          <w:sz w:val="24"/>
          <w:lang w:val="fr-CH"/>
        </w:rPr>
        <w:t>16</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sz w:val="24"/>
          <w:lang w:val="fr-CH"/>
        </w:rPr>
      </w:pPr>
      <w:r>
        <w:rPr>
          <w:rFonts w:hint="eastAsia" w:ascii="宋体" w:hAnsi="宋体" w:cs="宋体"/>
          <w:sz w:val="24"/>
          <w:lang w:val="sq-AL"/>
        </w:rPr>
        <w:br w:type="page"/>
      </w:r>
      <w:r>
        <w:rPr>
          <w:rFonts w:hint="eastAsia" w:ascii="宋体" w:hAnsi="宋体" w:cs="宋体"/>
          <w:b/>
          <w:bCs/>
          <w:sz w:val="24"/>
        </w:rPr>
        <w:t>2、</w:t>
      </w:r>
      <w:r>
        <w:rPr>
          <w:rFonts w:hint="eastAsia" w:ascii="宋体" w:hAnsi="宋体" w:cs="宋体"/>
          <w:b/>
          <w:bCs/>
          <w:sz w:val="24"/>
          <w:lang w:val="sq-AL"/>
        </w:rPr>
        <w:t>专业拍摄实施方案</w:t>
      </w:r>
    </w:p>
    <w:p>
      <w:pPr>
        <w:tabs>
          <w:tab w:val="left" w:pos="640"/>
          <w:tab w:val="left" w:pos="1260"/>
          <w:tab w:val="left" w:pos="1418"/>
        </w:tabs>
        <w:spacing w:line="480" w:lineRule="auto"/>
        <w:ind w:right="-420" w:rightChars="-200"/>
        <w:rPr>
          <w:rFonts w:ascii="宋体" w:hAnsi="宋体" w:cs="宋体"/>
          <w:b/>
          <w:bCs/>
          <w:sz w:val="24"/>
          <w:lang w:val="fr-CH"/>
        </w:rPr>
      </w:pPr>
      <w:r>
        <w:rPr>
          <w:rFonts w:hint="eastAsia" w:ascii="宋体" w:hAnsi="宋体" w:cs="宋体"/>
          <w:b/>
          <w:bCs/>
          <w:sz w:val="24"/>
        </w:rPr>
        <w:t>3、</w:t>
      </w:r>
      <w:r>
        <w:rPr>
          <w:rFonts w:hint="eastAsia" w:ascii="宋体" w:hAnsi="宋体" w:cs="宋体"/>
          <w:b/>
          <w:bCs/>
          <w:sz w:val="24"/>
          <w:lang w:val="sq-AL"/>
        </w:rPr>
        <w:t>专业案例</w:t>
      </w:r>
    </w:p>
    <w:p>
      <w:pPr>
        <w:tabs>
          <w:tab w:val="left" w:pos="640"/>
          <w:tab w:val="left" w:pos="1260"/>
          <w:tab w:val="left" w:pos="1418"/>
        </w:tabs>
        <w:spacing w:line="480" w:lineRule="auto"/>
        <w:ind w:right="-420" w:rightChars="-200"/>
        <w:rPr>
          <w:rFonts w:ascii="宋体" w:hAnsi="宋体" w:cs="宋体"/>
          <w:b/>
          <w:bCs/>
          <w:sz w:val="24"/>
          <w:lang w:val="sq-AL"/>
        </w:rPr>
      </w:pPr>
      <w:r>
        <w:rPr>
          <w:rFonts w:hint="eastAsia" w:ascii="宋体" w:hAnsi="宋体" w:cs="宋体"/>
          <w:b/>
          <w:bCs/>
          <w:sz w:val="24"/>
          <w:lang w:val="sq-AL"/>
        </w:rPr>
        <w:t>4、项目质量保障措施及方案</w:t>
      </w:r>
    </w:p>
    <w:p>
      <w:pPr>
        <w:tabs>
          <w:tab w:val="left" w:pos="640"/>
          <w:tab w:val="left" w:pos="1260"/>
          <w:tab w:val="left" w:pos="1418"/>
        </w:tabs>
        <w:spacing w:line="480" w:lineRule="auto"/>
        <w:ind w:right="-420" w:rightChars="-200"/>
        <w:rPr>
          <w:rFonts w:ascii="宋体" w:hAnsi="宋体" w:cs="宋体"/>
          <w:b/>
          <w:bCs/>
          <w:sz w:val="24"/>
          <w:lang w:val="sq-AL"/>
        </w:rPr>
      </w:pPr>
      <w:r>
        <w:rPr>
          <w:rFonts w:hint="eastAsia" w:ascii="宋体" w:hAnsi="宋体" w:cs="宋体"/>
          <w:b/>
          <w:bCs/>
          <w:sz w:val="24"/>
        </w:rPr>
        <w:t>5、项目服务方案</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hint="eastAsia" w:ascii="宋体" w:hAnsi="宋体" w:cs="宋体"/>
          <w:b/>
          <w:bCs/>
          <w:sz w:val="24"/>
        </w:rPr>
        <w:t>6、</w:t>
      </w:r>
      <w:r>
        <w:rPr>
          <w:rFonts w:hint="eastAsia" w:ascii="宋体" w:hAnsi="宋体" w:cs="宋体"/>
          <w:b/>
          <w:bCs/>
          <w:sz w:val="24"/>
          <w:lang w:val="fr-CH"/>
        </w:rPr>
        <w:t>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400" w:lineRule="exact"/>
        <w:ind w:right="-420" w:rightChars="-200"/>
        <w:rPr>
          <w:rFonts w:ascii="宋体" w:hAnsi="宋体" w:cs="仿宋_GB2312"/>
          <w:sz w:val="24"/>
          <w:lang w:val="fr-CH"/>
        </w:rPr>
      </w:pPr>
      <w:r>
        <w:rPr>
          <w:rFonts w:hint="eastAsia" w:ascii="宋体" w:hAnsi="宋体" w:cs="仿宋_GB2312"/>
          <w:sz w:val="24"/>
          <w:lang w:val="fr-CH"/>
        </w:rPr>
        <w:t>（投标人可根据实际情况按照附件的格式提供中小微企业声明函）</w:t>
      </w:r>
    </w:p>
    <w:p>
      <w:pPr>
        <w:spacing w:line="440" w:lineRule="exact"/>
        <w:ind w:firstLine="482" w:firstLineChars="200"/>
        <w:rPr>
          <w:rFonts w:ascii="宋体" w:hAnsi="宋体" w:cs="宋体"/>
          <w:b/>
          <w:bCs/>
          <w:sz w:val="24"/>
        </w:rPr>
      </w:pPr>
      <w:r>
        <w:rPr>
          <w:rFonts w:hint="eastAsia" w:ascii="宋体" w:hAnsi="宋体" w:cs="宋体"/>
          <w:b/>
          <w:bCs/>
          <w:sz w:val="24"/>
        </w:rPr>
        <w:t>填写指引：</w:t>
      </w:r>
    </w:p>
    <w:p>
      <w:pPr>
        <w:spacing w:line="440" w:lineRule="exact"/>
        <w:ind w:firstLine="480" w:firstLineChars="200"/>
        <w:rPr>
          <w:rFonts w:ascii="宋体" w:hAnsi="宋体"/>
          <w:sz w:val="24"/>
        </w:rPr>
      </w:pPr>
      <w:r>
        <w:rPr>
          <w:rFonts w:hint="eastAsia" w:ascii="宋体" w:hAnsi="宋体"/>
          <w:sz w:val="24"/>
        </w:rPr>
        <w:t>1、该部分内容供填写</w:t>
      </w:r>
      <w:r>
        <w:rPr>
          <w:rFonts w:ascii="宋体" w:hAnsi="宋体"/>
          <w:sz w:val="24"/>
        </w:rPr>
        <w:t>参考，</w:t>
      </w:r>
      <w:r>
        <w:rPr>
          <w:rFonts w:hint="eastAsia" w:ascii="宋体" w:hAnsi="宋体"/>
          <w:sz w:val="24"/>
        </w:rPr>
        <w:t>由供应商根据项目</w:t>
      </w:r>
      <w:r>
        <w:rPr>
          <w:rFonts w:ascii="宋体" w:hAnsi="宋体"/>
          <w:sz w:val="24"/>
        </w:rPr>
        <w:t>特点和</w:t>
      </w:r>
      <w:r>
        <w:rPr>
          <w:rFonts w:hint="eastAsia" w:ascii="宋体" w:hAnsi="宋体"/>
          <w:sz w:val="24"/>
        </w:rPr>
        <w:t>自身实际情况填写，不符合要求的供应商可以不填写或直接删除相应的声明函。投标人自行对声明内容的真实性负责；如提供虚假声明，将报送主管部门进行行政处罚。</w:t>
      </w:r>
    </w:p>
    <w:p>
      <w:pPr>
        <w:spacing w:line="440" w:lineRule="exact"/>
        <w:ind w:firstLine="480" w:firstLineChars="200"/>
        <w:rPr>
          <w:rFonts w:ascii="宋体" w:hAnsi="宋体"/>
          <w:sz w:val="24"/>
        </w:rPr>
      </w:pPr>
      <w:r>
        <w:rPr>
          <w:rFonts w:hint="eastAsia" w:ascii="宋体" w:hAnsi="宋体"/>
          <w:sz w:val="24"/>
        </w:rPr>
        <w:t>2、请依照提供的格式和内容填写声明函，满足多项优惠政策的企业，不重复享受多项价格扣除政策。</w:t>
      </w:r>
    </w:p>
    <w:p>
      <w:pPr>
        <w:spacing w:line="440" w:lineRule="exact"/>
        <w:ind w:firstLine="480" w:firstLineChars="200"/>
        <w:rPr>
          <w:rFonts w:ascii="宋体" w:hAnsi="宋体"/>
          <w:sz w:val="24"/>
        </w:rPr>
      </w:pPr>
      <w:r>
        <w:rPr>
          <w:rFonts w:hint="eastAsia" w:ascii="宋体" w:hAnsi="宋体"/>
          <w:sz w:val="24"/>
        </w:rPr>
        <w:t>3、本项目采购标的对应的中小企业划分标准所属行业为</w:t>
      </w:r>
      <w:r>
        <w:rPr>
          <w:rFonts w:ascii="宋体" w:hAnsi="宋体"/>
          <w:sz w:val="24"/>
          <w:u w:val="single"/>
        </w:rPr>
        <w:t xml:space="preserve">  </w:t>
      </w:r>
      <w:r>
        <w:rPr>
          <w:rFonts w:hint="eastAsia" w:ascii="宋体" w:hAnsi="宋体"/>
          <w:sz w:val="24"/>
          <w:u w:val="single"/>
        </w:rPr>
        <w:t xml:space="preserve"> 其他未列明行业   </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4、声明是残疾人福利性单位、监狱企业须填写《残疾人福利性单位声明函》《监狱企业声明函》。</w:t>
      </w:r>
    </w:p>
    <w:p>
      <w:pPr>
        <w:spacing w:line="440" w:lineRule="exact"/>
        <w:ind w:firstLine="480" w:firstLineChars="200"/>
        <w:rPr>
          <w:rFonts w:ascii="宋体" w:hAnsi="宋体"/>
          <w:b/>
          <w:bCs/>
          <w:kern w:val="0"/>
          <w:sz w:val="24"/>
        </w:rPr>
      </w:pPr>
      <w:r>
        <w:rPr>
          <w:rFonts w:hint="eastAsia" w:ascii="宋体" w:hAnsi="宋体"/>
          <w:sz w:val="24"/>
        </w:rPr>
        <w:t>5、声明函的有效性最终由评审委员会判定；如评审委员会判定声明函无效，相关供应商不享受价格扣除（但不作投标无效处理）。</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3"/>
      <w:bookmarkStart w:id="29" w:name="_Toc6251"/>
      <w:bookmarkStart w:id="30" w:name="_Toc3166"/>
      <w:r>
        <w:rPr>
          <w:rFonts w:hint="eastAsia" w:ascii="宋体" w:hAnsi="宋体" w:cs="宋体"/>
          <w:b/>
          <w:bCs/>
          <w:sz w:val="24"/>
        </w:rPr>
        <w:t>（1）附件：相关政策</w:t>
      </w:r>
      <w:bookmarkEnd w:id="29"/>
      <w:bookmarkEnd w:id="30"/>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center"/>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3"/>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b/>
                <w:sz w:val="24"/>
                <w:szCs w:val="24"/>
              </w:rPr>
            </w:pPr>
            <w:r>
              <w:rPr>
                <w:rFonts w:hint="eastAsia"/>
                <w:b/>
                <w:sz w:val="24"/>
                <w:szCs w:val="24"/>
              </w:rPr>
              <w:t>序号</w:t>
            </w:r>
          </w:p>
        </w:tc>
        <w:tc>
          <w:tcPr>
            <w:tcW w:w="1866" w:type="dxa"/>
            <w:vAlign w:val="center"/>
          </w:tcPr>
          <w:p>
            <w:pPr>
              <w:pStyle w:val="56"/>
              <w:jc w:val="center"/>
              <w:rPr>
                <w:b/>
                <w:sz w:val="24"/>
                <w:szCs w:val="24"/>
              </w:rPr>
            </w:pPr>
            <w:r>
              <w:rPr>
                <w:rFonts w:hint="eastAsia"/>
                <w:b/>
                <w:sz w:val="24"/>
                <w:szCs w:val="24"/>
              </w:rPr>
              <w:t>项目名称</w:t>
            </w:r>
          </w:p>
        </w:tc>
        <w:tc>
          <w:tcPr>
            <w:tcW w:w="2010" w:type="dxa"/>
            <w:vAlign w:val="center"/>
          </w:tcPr>
          <w:p>
            <w:pPr>
              <w:pStyle w:val="56"/>
              <w:jc w:val="center"/>
              <w:rPr>
                <w:b/>
                <w:sz w:val="24"/>
                <w:szCs w:val="24"/>
              </w:rPr>
            </w:pPr>
            <w:r>
              <w:rPr>
                <w:rFonts w:hint="eastAsia"/>
                <w:b/>
                <w:sz w:val="24"/>
                <w:szCs w:val="24"/>
              </w:rPr>
              <w:t>预留选项</w:t>
            </w:r>
          </w:p>
        </w:tc>
        <w:tc>
          <w:tcPr>
            <w:tcW w:w="2296" w:type="dxa"/>
            <w:vAlign w:val="center"/>
          </w:tcPr>
          <w:p>
            <w:pPr>
              <w:pStyle w:val="56"/>
              <w:jc w:val="center"/>
              <w:rPr>
                <w:b/>
                <w:sz w:val="24"/>
                <w:szCs w:val="24"/>
              </w:rPr>
            </w:pPr>
            <w:r>
              <w:rPr>
                <w:rFonts w:hint="eastAsia"/>
                <w:b/>
                <w:sz w:val="24"/>
                <w:szCs w:val="24"/>
              </w:rPr>
              <w:t>面向中小企业采购金额</w:t>
            </w:r>
          </w:p>
        </w:tc>
        <w:tc>
          <w:tcPr>
            <w:tcW w:w="1784" w:type="dxa"/>
            <w:vAlign w:val="center"/>
          </w:tcPr>
          <w:p>
            <w:pPr>
              <w:pStyle w:val="56"/>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6"/>
              <w:jc w:val="center"/>
              <w:rPr>
                <w:sz w:val="24"/>
                <w:szCs w:val="24"/>
              </w:rPr>
            </w:pPr>
          </w:p>
        </w:tc>
        <w:tc>
          <w:tcPr>
            <w:tcW w:w="1866" w:type="dxa"/>
            <w:tcBorders>
              <w:bottom w:val="nil"/>
            </w:tcBorders>
            <w:vAlign w:val="center"/>
          </w:tcPr>
          <w:p>
            <w:pPr>
              <w:pStyle w:val="56"/>
              <w:jc w:val="center"/>
              <w:rPr>
                <w:sz w:val="24"/>
                <w:szCs w:val="24"/>
              </w:rPr>
            </w:pPr>
          </w:p>
        </w:tc>
        <w:tc>
          <w:tcPr>
            <w:tcW w:w="2010" w:type="dxa"/>
            <w:tcBorders>
              <w:bottom w:val="nil"/>
            </w:tcBorders>
            <w:vAlign w:val="center"/>
          </w:tcPr>
          <w:p>
            <w:pPr>
              <w:pStyle w:val="56"/>
              <w:jc w:val="center"/>
              <w:rPr>
                <w:sz w:val="24"/>
                <w:szCs w:val="24"/>
              </w:rPr>
            </w:pPr>
            <w:r>
              <w:rPr>
                <w:rFonts w:hint="eastAsia"/>
                <w:sz w:val="24"/>
                <w:szCs w:val="24"/>
              </w:rPr>
              <w:t>（填写“采购项</w:t>
            </w:r>
          </w:p>
        </w:tc>
        <w:tc>
          <w:tcPr>
            <w:tcW w:w="2296" w:type="dxa"/>
            <w:tcBorders>
              <w:bottom w:val="nil"/>
            </w:tcBorders>
            <w:vAlign w:val="center"/>
          </w:tcPr>
          <w:p>
            <w:pPr>
              <w:pStyle w:val="56"/>
              <w:jc w:val="center"/>
              <w:rPr>
                <w:sz w:val="24"/>
                <w:szCs w:val="24"/>
              </w:rPr>
            </w:pPr>
          </w:p>
        </w:tc>
        <w:tc>
          <w:tcPr>
            <w:tcW w:w="1784" w:type="dxa"/>
            <w:vMerge w:val="restart"/>
            <w:vAlign w:val="center"/>
          </w:tcPr>
          <w:p>
            <w:pPr>
              <w:pStyle w:val="56"/>
              <w:jc w:val="center"/>
              <w:rPr>
                <w:sz w:val="24"/>
                <w:szCs w:val="24"/>
              </w:rPr>
            </w:pPr>
          </w:p>
          <w:p>
            <w:pPr>
              <w:pStyle w:val="56"/>
              <w:jc w:val="center"/>
              <w:rPr>
                <w:sz w:val="24"/>
                <w:szCs w:val="24"/>
              </w:rPr>
            </w:pPr>
          </w:p>
          <w:p>
            <w:pPr>
              <w:pStyle w:val="56"/>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目整体预留”、</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“设置专门采购</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（填写集中采</w:t>
            </w:r>
          </w:p>
        </w:tc>
        <w:tc>
          <w:tcPr>
            <w:tcW w:w="2010" w:type="dxa"/>
            <w:tcBorders>
              <w:top w:val="nil"/>
              <w:bottom w:val="nil"/>
            </w:tcBorders>
            <w:vAlign w:val="center"/>
          </w:tcPr>
          <w:p>
            <w:pPr>
              <w:pStyle w:val="56"/>
              <w:jc w:val="center"/>
              <w:rPr>
                <w:sz w:val="24"/>
                <w:szCs w:val="24"/>
              </w:rPr>
            </w:pPr>
            <w:r>
              <w:rPr>
                <w:rFonts w:hint="eastAsia"/>
                <w:sz w:val="24"/>
                <w:szCs w:val="24"/>
              </w:rPr>
              <w:t>包”、“要求以</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购目录以内或</w:t>
            </w:r>
          </w:p>
        </w:tc>
        <w:tc>
          <w:tcPr>
            <w:tcW w:w="2010" w:type="dxa"/>
            <w:tcBorders>
              <w:top w:val="nil"/>
              <w:bottom w:val="nil"/>
            </w:tcBorders>
            <w:vAlign w:val="center"/>
          </w:tcPr>
          <w:p>
            <w:pPr>
              <w:pStyle w:val="56"/>
              <w:jc w:val="center"/>
              <w:rPr>
                <w:sz w:val="24"/>
                <w:szCs w:val="24"/>
              </w:rPr>
            </w:pPr>
            <w:r>
              <w:rPr>
                <w:rFonts w:hint="eastAsia"/>
                <w:sz w:val="24"/>
                <w:szCs w:val="24"/>
              </w:rPr>
              <w:t>联合体形式参</w:t>
            </w:r>
          </w:p>
        </w:tc>
        <w:tc>
          <w:tcPr>
            <w:tcW w:w="2296" w:type="dxa"/>
            <w:tcBorders>
              <w:top w:val="nil"/>
              <w:bottom w:val="nil"/>
            </w:tcBorders>
            <w:vAlign w:val="center"/>
          </w:tcPr>
          <w:p>
            <w:pPr>
              <w:pStyle w:val="56"/>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者采购限额标</w:t>
            </w:r>
          </w:p>
        </w:tc>
        <w:tc>
          <w:tcPr>
            <w:tcW w:w="2010" w:type="dxa"/>
            <w:tcBorders>
              <w:top w:val="nil"/>
              <w:bottom w:val="nil"/>
            </w:tcBorders>
            <w:vAlign w:val="center"/>
          </w:tcPr>
          <w:p>
            <w:pPr>
              <w:pStyle w:val="56"/>
              <w:jc w:val="center"/>
              <w:rPr>
                <w:sz w:val="24"/>
                <w:szCs w:val="24"/>
              </w:rPr>
            </w:pPr>
            <w:r>
              <w:rPr>
                <w:rFonts w:hint="eastAsia"/>
                <w:sz w:val="24"/>
                <w:szCs w:val="24"/>
              </w:rPr>
              <w:t>加”或者“要求</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6"/>
              <w:jc w:val="center"/>
              <w:rPr>
                <w:sz w:val="24"/>
                <w:szCs w:val="24"/>
              </w:rPr>
            </w:pPr>
            <w:r>
              <w:rPr>
                <w:rFonts w:hint="eastAsia"/>
                <w:sz w:val="24"/>
                <w:szCs w:val="24"/>
              </w:rPr>
              <w:t>合同分包”，除</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“采购项目全部</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预留”外，还应</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当填写预留给中</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6"/>
              <w:jc w:val="center"/>
              <w:rPr>
                <w:sz w:val="24"/>
                <w:szCs w:val="24"/>
              </w:rPr>
            </w:pPr>
          </w:p>
        </w:tc>
        <w:tc>
          <w:tcPr>
            <w:tcW w:w="2010" w:type="dxa"/>
            <w:tcBorders>
              <w:top w:val="nil"/>
            </w:tcBorders>
            <w:vAlign w:val="center"/>
          </w:tcPr>
          <w:p>
            <w:pPr>
              <w:pStyle w:val="56"/>
              <w:jc w:val="center"/>
              <w:rPr>
                <w:sz w:val="24"/>
                <w:szCs w:val="24"/>
              </w:rPr>
            </w:pPr>
            <w:r>
              <w:rPr>
                <w:rFonts w:hint="eastAsia"/>
                <w:sz w:val="24"/>
                <w:szCs w:val="24"/>
              </w:rPr>
              <w:t>小企业的比例）</w:t>
            </w:r>
          </w:p>
        </w:tc>
        <w:tc>
          <w:tcPr>
            <w:tcW w:w="2296" w:type="dxa"/>
            <w:tcBorders>
              <w:top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sz w:val="24"/>
                <w:szCs w:val="24"/>
              </w:rPr>
            </w:pPr>
            <w:r>
              <w:rPr>
                <w:rFonts w:hint="eastAsia"/>
                <w:sz w:val="24"/>
                <w:szCs w:val="24"/>
              </w:rPr>
              <w:t>……</w:t>
            </w:r>
          </w:p>
        </w:tc>
        <w:tc>
          <w:tcPr>
            <w:tcW w:w="1866" w:type="dxa"/>
            <w:vAlign w:val="center"/>
          </w:tcPr>
          <w:p>
            <w:pPr>
              <w:pStyle w:val="56"/>
              <w:jc w:val="center"/>
              <w:rPr>
                <w:sz w:val="24"/>
                <w:szCs w:val="24"/>
              </w:rPr>
            </w:pPr>
            <w:r>
              <w:rPr>
                <w:rFonts w:hint="eastAsia"/>
                <w:sz w:val="24"/>
                <w:szCs w:val="24"/>
              </w:rPr>
              <w:t>……</w:t>
            </w:r>
          </w:p>
        </w:tc>
        <w:tc>
          <w:tcPr>
            <w:tcW w:w="2010" w:type="dxa"/>
            <w:vAlign w:val="center"/>
          </w:tcPr>
          <w:p>
            <w:pPr>
              <w:pStyle w:val="56"/>
              <w:jc w:val="center"/>
              <w:rPr>
                <w:sz w:val="24"/>
                <w:szCs w:val="24"/>
              </w:rPr>
            </w:pPr>
            <w:r>
              <w:rPr>
                <w:rFonts w:hint="eastAsia"/>
                <w:sz w:val="24"/>
                <w:szCs w:val="24"/>
              </w:rPr>
              <w:t>……</w:t>
            </w:r>
          </w:p>
        </w:tc>
        <w:tc>
          <w:tcPr>
            <w:tcW w:w="2296" w:type="dxa"/>
            <w:vAlign w:val="center"/>
          </w:tcPr>
          <w:p>
            <w:pPr>
              <w:pStyle w:val="56"/>
              <w:jc w:val="center"/>
              <w:rPr>
                <w:sz w:val="24"/>
                <w:szCs w:val="24"/>
              </w:rPr>
            </w:pPr>
            <w:r>
              <w:rPr>
                <w:rFonts w:hint="eastAsia"/>
                <w:sz w:val="24"/>
                <w:szCs w:val="24"/>
              </w:rPr>
              <w:t>……</w:t>
            </w:r>
          </w:p>
        </w:tc>
        <w:tc>
          <w:tcPr>
            <w:tcW w:w="1784" w:type="dxa"/>
            <w:vAlign w:val="center"/>
          </w:tcPr>
          <w:p>
            <w:pPr>
              <w:pStyle w:val="56"/>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tabs>
          <w:tab w:val="left" w:pos="562"/>
          <w:tab w:val="left" w:pos="3372"/>
          <w:tab w:val="left" w:pos="3653"/>
        </w:tabs>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31" w:name="sendNo"/>
      <w:r>
        <w:rPr>
          <w:rFonts w:hint="eastAsia"/>
        </w:rPr>
        <w:t>财库〔</w:t>
      </w:r>
      <w:bookmarkEnd w:id="31"/>
      <w:r>
        <w:rPr>
          <w:rFonts w:hint="eastAsia"/>
        </w:rPr>
        <w:t>2017〕141号</w:t>
      </w:r>
    </w:p>
    <w:p>
      <w:pPr>
        <w:pStyle w:val="19"/>
        <w:shd w:val="clear" w:color="auto" w:fill="FFFFFF"/>
        <w:spacing w:before="0" w:beforeAutospacing="0" w:after="0" w:afterAutospacing="0" w:line="360" w:lineRule="auto"/>
        <w:ind w:firstLine="480" w:firstLineChars="200"/>
      </w:pPr>
      <w:bookmarkStart w:id="32"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7"/>
        <w:shd w:val="clear" w:color="auto" w:fill="FFFFFF"/>
        <w:spacing w:before="0" w:beforeAutospacing="0" w:after="0" w:afterAutospacing="0" w:line="360" w:lineRule="auto"/>
        <w:jc w:val="both"/>
      </w:pPr>
    </w:p>
    <w:p>
      <w:pPr>
        <w:pStyle w:val="57"/>
        <w:shd w:val="clear" w:color="auto" w:fill="FFFFFF"/>
        <w:spacing w:before="0" w:beforeAutospacing="0" w:after="0" w:afterAutospacing="0" w:line="360" w:lineRule="auto"/>
        <w:jc w:val="both"/>
      </w:pPr>
    </w:p>
    <w:p>
      <w:pPr>
        <w:pStyle w:val="57"/>
        <w:shd w:val="clear" w:color="auto" w:fill="FFFFFF"/>
        <w:spacing w:before="0" w:beforeAutospacing="0" w:after="0" w:afterAutospacing="0" w:line="360" w:lineRule="auto"/>
        <w:jc w:val="both"/>
      </w:pPr>
    </w:p>
    <w:p>
      <w:pPr>
        <w:pStyle w:val="57"/>
        <w:shd w:val="clear" w:color="auto" w:fill="FFFFFF"/>
        <w:spacing w:before="0" w:beforeAutospacing="0" w:after="0" w:afterAutospacing="0" w:line="360" w:lineRule="auto"/>
        <w:jc w:val="both"/>
      </w:pPr>
    </w:p>
    <w:p>
      <w:pPr>
        <w:pStyle w:val="57"/>
        <w:shd w:val="clear" w:color="auto" w:fill="FFFFFF"/>
        <w:spacing w:before="0" w:beforeAutospacing="0" w:after="0" w:afterAutospacing="0" w:line="360" w:lineRule="auto"/>
        <w:jc w:val="both"/>
      </w:pPr>
    </w:p>
    <w:p>
      <w:pPr>
        <w:pStyle w:val="57"/>
        <w:shd w:val="clear" w:color="auto" w:fill="FFFFFF"/>
        <w:spacing w:before="0" w:beforeAutospacing="0" w:after="0" w:afterAutospacing="0" w:line="360" w:lineRule="auto"/>
        <w:jc w:val="both"/>
      </w:pPr>
      <w:r>
        <w:rPr>
          <w:rFonts w:hint="eastAsia"/>
        </w:rPr>
        <w:t>附件：</w:t>
      </w:r>
    </w:p>
    <w:p>
      <w:pPr>
        <w:pStyle w:val="57"/>
        <w:shd w:val="clear" w:color="auto" w:fill="FFFFFF"/>
        <w:spacing w:before="0" w:beforeAutospacing="0" w:after="0" w:afterAutospacing="0" w:line="360" w:lineRule="auto"/>
        <w:ind w:firstLine="482" w:firstLineChars="200"/>
        <w:jc w:val="center"/>
      </w:pPr>
      <w:r>
        <w:rPr>
          <w:rStyle w:val="58"/>
          <w:rFonts w:hint="eastAsia"/>
          <w:b/>
          <w:bCs/>
        </w:rPr>
        <w:t>残疾人福利性单位声明函</w:t>
      </w:r>
    </w:p>
    <w:p>
      <w:pPr>
        <w:pStyle w:val="57"/>
        <w:shd w:val="clear" w:color="auto" w:fill="FFFFFF"/>
        <w:spacing w:before="0" w:beforeAutospacing="0" w:after="0" w:afterAutospacing="0" w:line="360" w:lineRule="auto"/>
        <w:ind w:firstLine="480" w:firstLineChars="200"/>
        <w:jc w:val="both"/>
      </w:pPr>
    </w:p>
    <w:p>
      <w:pPr>
        <w:pStyle w:val="57"/>
        <w:shd w:val="clear" w:color="auto" w:fill="FFFFFF"/>
        <w:spacing w:before="0" w:beforeAutospacing="0" w:after="0" w:afterAutospacing="0" w:line="360" w:lineRule="auto"/>
        <w:ind w:firstLine="480" w:firstLineChars="200"/>
        <w:jc w:val="both"/>
      </w:pPr>
      <w:r>
        <w:rPr>
          <w:rStyle w:val="58"/>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FFFFFF"/>
        <w:spacing w:before="0" w:beforeAutospacing="0" w:after="0" w:afterAutospacing="0" w:line="360" w:lineRule="auto"/>
        <w:ind w:firstLine="480" w:firstLineChars="200"/>
        <w:jc w:val="both"/>
      </w:pPr>
      <w:r>
        <w:rPr>
          <w:rStyle w:val="58"/>
          <w:rFonts w:hint="eastAsia"/>
        </w:rPr>
        <w:t>本单位对上述声明的真实性负责。如有虚假，将依法承担相应责任。</w:t>
      </w:r>
    </w:p>
    <w:p>
      <w:pPr>
        <w:pStyle w:val="57"/>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7"/>
        <w:shd w:val="clear" w:color="auto" w:fill="FFFFFF"/>
        <w:spacing w:before="0" w:beforeAutospacing="0" w:after="0" w:afterAutospacing="0" w:line="360" w:lineRule="auto"/>
        <w:ind w:firstLine="480" w:firstLineChars="200"/>
        <w:jc w:val="both"/>
      </w:pPr>
    </w:p>
    <w:p>
      <w:pPr>
        <w:pStyle w:val="57"/>
        <w:shd w:val="clear" w:color="auto" w:fill="FFFFFF"/>
        <w:spacing w:before="0" w:beforeAutospacing="0" w:after="0" w:afterAutospacing="0" w:line="360" w:lineRule="auto"/>
        <w:ind w:right="2100" w:rightChars="1000"/>
        <w:jc w:val="right"/>
      </w:pPr>
      <w:r>
        <w:rPr>
          <w:rStyle w:val="58"/>
          <w:rFonts w:hint="eastAsia"/>
        </w:rPr>
        <w:t>单位名称（盖章）：</w:t>
      </w:r>
    </w:p>
    <w:p>
      <w:pPr>
        <w:pStyle w:val="57"/>
        <w:shd w:val="clear" w:color="auto" w:fill="FFFFFF"/>
        <w:spacing w:before="0" w:beforeAutospacing="0" w:after="0" w:afterAutospacing="0" w:line="360" w:lineRule="auto"/>
        <w:ind w:right="2100" w:rightChars="1000"/>
        <w:jc w:val="right"/>
        <w:rPr>
          <w:lang w:val="fr-CH"/>
        </w:rPr>
      </w:pPr>
      <w:r>
        <w:rPr>
          <w:rStyle w:val="58"/>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24</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CBCC1AFC"/>
    <w:multiLevelType w:val="singleLevel"/>
    <w:tmpl w:val="CBCC1AFC"/>
    <w:lvl w:ilvl="0" w:tentative="0">
      <w:start w:val="5"/>
      <w:numFmt w:val="decimal"/>
      <w:suff w:val="nothing"/>
      <w:lvlText w:val="%1、"/>
      <w:lvlJc w:val="left"/>
    </w:lvl>
  </w:abstractNum>
  <w:abstractNum w:abstractNumId="4">
    <w:nsid w:val="FBFBC15E"/>
    <w:multiLevelType w:val="singleLevel"/>
    <w:tmpl w:val="FBFBC15E"/>
    <w:lvl w:ilvl="0" w:tentative="0">
      <w:start w:val="2"/>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8"/>
  </w:num>
  <w:num w:numId="2">
    <w:abstractNumId w:val="2"/>
  </w:num>
  <w:num w:numId="3">
    <w:abstractNumId w:val="1"/>
  </w:num>
  <w:num w:numId="4">
    <w:abstractNumId w:val="0"/>
  </w:num>
  <w:num w:numId="5">
    <w:abstractNumId w:val="7"/>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evenAndOddHeaders w:val="1"/>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M2IzYTg4Y2VlODMxNWQ4MDFjNzhlOTJkOGEyNDcifQ=="/>
  </w:docVars>
  <w:rsids>
    <w:rsidRoot w:val="000A03C9"/>
    <w:rsid w:val="000571BA"/>
    <w:rsid w:val="00060D38"/>
    <w:rsid w:val="00073733"/>
    <w:rsid w:val="000A03C9"/>
    <w:rsid w:val="0011760F"/>
    <w:rsid w:val="001A082F"/>
    <w:rsid w:val="001C583F"/>
    <w:rsid w:val="00247A96"/>
    <w:rsid w:val="00254AF5"/>
    <w:rsid w:val="00255188"/>
    <w:rsid w:val="002F4668"/>
    <w:rsid w:val="00345639"/>
    <w:rsid w:val="0042043F"/>
    <w:rsid w:val="00433FC9"/>
    <w:rsid w:val="004C0153"/>
    <w:rsid w:val="004E47EA"/>
    <w:rsid w:val="00505C6A"/>
    <w:rsid w:val="00533EC8"/>
    <w:rsid w:val="005A50E6"/>
    <w:rsid w:val="005B3CEE"/>
    <w:rsid w:val="005E5749"/>
    <w:rsid w:val="006304E7"/>
    <w:rsid w:val="0063274D"/>
    <w:rsid w:val="006F66DA"/>
    <w:rsid w:val="00733C86"/>
    <w:rsid w:val="00783F19"/>
    <w:rsid w:val="007A44EE"/>
    <w:rsid w:val="00802608"/>
    <w:rsid w:val="00825761"/>
    <w:rsid w:val="008346EA"/>
    <w:rsid w:val="00834FB1"/>
    <w:rsid w:val="008B201C"/>
    <w:rsid w:val="008C2C7C"/>
    <w:rsid w:val="008D6FAF"/>
    <w:rsid w:val="008E1CB5"/>
    <w:rsid w:val="00917FB3"/>
    <w:rsid w:val="00950495"/>
    <w:rsid w:val="0099563D"/>
    <w:rsid w:val="00A1139E"/>
    <w:rsid w:val="00A80887"/>
    <w:rsid w:val="00AB0384"/>
    <w:rsid w:val="00AB324C"/>
    <w:rsid w:val="00AD18B6"/>
    <w:rsid w:val="00B259ED"/>
    <w:rsid w:val="00B262F5"/>
    <w:rsid w:val="00B4366C"/>
    <w:rsid w:val="00B61BB7"/>
    <w:rsid w:val="00C009DE"/>
    <w:rsid w:val="00C0786E"/>
    <w:rsid w:val="00C43044"/>
    <w:rsid w:val="00C73E9F"/>
    <w:rsid w:val="00C81E5B"/>
    <w:rsid w:val="00CC17FA"/>
    <w:rsid w:val="00CE28B5"/>
    <w:rsid w:val="00CF1E2B"/>
    <w:rsid w:val="00D016E9"/>
    <w:rsid w:val="00D3456B"/>
    <w:rsid w:val="00D577A0"/>
    <w:rsid w:val="00D643C3"/>
    <w:rsid w:val="00D94C2E"/>
    <w:rsid w:val="00DB2131"/>
    <w:rsid w:val="00DB3E07"/>
    <w:rsid w:val="00E53A25"/>
    <w:rsid w:val="00EB5CD8"/>
    <w:rsid w:val="00EC4BC9"/>
    <w:rsid w:val="00EF619D"/>
    <w:rsid w:val="00F213C6"/>
    <w:rsid w:val="00F25031"/>
    <w:rsid w:val="00F440CE"/>
    <w:rsid w:val="00F4605D"/>
    <w:rsid w:val="00FB213B"/>
    <w:rsid w:val="00FD5E7D"/>
    <w:rsid w:val="00FE6869"/>
    <w:rsid w:val="02F0044D"/>
    <w:rsid w:val="053C21BF"/>
    <w:rsid w:val="064A228E"/>
    <w:rsid w:val="068B6CC4"/>
    <w:rsid w:val="071023CF"/>
    <w:rsid w:val="0790598C"/>
    <w:rsid w:val="082A3964"/>
    <w:rsid w:val="089D7C92"/>
    <w:rsid w:val="08F62CB1"/>
    <w:rsid w:val="092D54BA"/>
    <w:rsid w:val="0CD81BE1"/>
    <w:rsid w:val="0DC01900"/>
    <w:rsid w:val="0DCE6580"/>
    <w:rsid w:val="0ED938D7"/>
    <w:rsid w:val="0F9D4375"/>
    <w:rsid w:val="10491542"/>
    <w:rsid w:val="104B7F8B"/>
    <w:rsid w:val="108F7E67"/>
    <w:rsid w:val="141077A2"/>
    <w:rsid w:val="14B922F8"/>
    <w:rsid w:val="150572EB"/>
    <w:rsid w:val="158C17BA"/>
    <w:rsid w:val="163C6D3C"/>
    <w:rsid w:val="168166F7"/>
    <w:rsid w:val="168B0076"/>
    <w:rsid w:val="16D83A0F"/>
    <w:rsid w:val="173F0957"/>
    <w:rsid w:val="185F6D12"/>
    <w:rsid w:val="188C4DE8"/>
    <w:rsid w:val="19992EF1"/>
    <w:rsid w:val="1A880AA7"/>
    <w:rsid w:val="1ADA4BD4"/>
    <w:rsid w:val="1C191192"/>
    <w:rsid w:val="1DA67191"/>
    <w:rsid w:val="1E59657F"/>
    <w:rsid w:val="1F046865"/>
    <w:rsid w:val="2045142B"/>
    <w:rsid w:val="20533494"/>
    <w:rsid w:val="207A6477"/>
    <w:rsid w:val="20987265"/>
    <w:rsid w:val="20F3093F"/>
    <w:rsid w:val="22BE6CE5"/>
    <w:rsid w:val="22D075AB"/>
    <w:rsid w:val="245D46A9"/>
    <w:rsid w:val="24883A94"/>
    <w:rsid w:val="257F2EB4"/>
    <w:rsid w:val="25FF38E2"/>
    <w:rsid w:val="2697673B"/>
    <w:rsid w:val="27022876"/>
    <w:rsid w:val="27886BE0"/>
    <w:rsid w:val="28872A6B"/>
    <w:rsid w:val="28A54C15"/>
    <w:rsid w:val="2A982906"/>
    <w:rsid w:val="2C5B0D57"/>
    <w:rsid w:val="2D42E741"/>
    <w:rsid w:val="2D8417C1"/>
    <w:rsid w:val="2EED10C4"/>
    <w:rsid w:val="2EFD600E"/>
    <w:rsid w:val="2F754B98"/>
    <w:rsid w:val="2FFD70E5"/>
    <w:rsid w:val="301D1535"/>
    <w:rsid w:val="31087096"/>
    <w:rsid w:val="31A723A1"/>
    <w:rsid w:val="31AF440F"/>
    <w:rsid w:val="356B6AA1"/>
    <w:rsid w:val="360776D8"/>
    <w:rsid w:val="37201B14"/>
    <w:rsid w:val="377C3469"/>
    <w:rsid w:val="37BF760C"/>
    <w:rsid w:val="37F8670E"/>
    <w:rsid w:val="38B94633"/>
    <w:rsid w:val="397734CF"/>
    <w:rsid w:val="3A9B7C26"/>
    <w:rsid w:val="3BC3996D"/>
    <w:rsid w:val="3BF55EAB"/>
    <w:rsid w:val="3C1934F8"/>
    <w:rsid w:val="3DF78C75"/>
    <w:rsid w:val="3F7647BE"/>
    <w:rsid w:val="3FE698EB"/>
    <w:rsid w:val="40D82C46"/>
    <w:rsid w:val="414A7D39"/>
    <w:rsid w:val="415853C3"/>
    <w:rsid w:val="434E77E4"/>
    <w:rsid w:val="436C03B1"/>
    <w:rsid w:val="44226CC2"/>
    <w:rsid w:val="45336CAD"/>
    <w:rsid w:val="46B61944"/>
    <w:rsid w:val="4760647F"/>
    <w:rsid w:val="480D5E8A"/>
    <w:rsid w:val="4814724D"/>
    <w:rsid w:val="49163737"/>
    <w:rsid w:val="49404324"/>
    <w:rsid w:val="49862820"/>
    <w:rsid w:val="4A3E412A"/>
    <w:rsid w:val="4ACE6F39"/>
    <w:rsid w:val="4AEFAD1C"/>
    <w:rsid w:val="4AF676F8"/>
    <w:rsid w:val="4CD554F4"/>
    <w:rsid w:val="4DA93125"/>
    <w:rsid w:val="4DD059E1"/>
    <w:rsid w:val="4FFF269A"/>
    <w:rsid w:val="50A32F39"/>
    <w:rsid w:val="516A3CD7"/>
    <w:rsid w:val="525025E4"/>
    <w:rsid w:val="53411E97"/>
    <w:rsid w:val="53581187"/>
    <w:rsid w:val="54041933"/>
    <w:rsid w:val="542E520F"/>
    <w:rsid w:val="54A85A59"/>
    <w:rsid w:val="55CA2D77"/>
    <w:rsid w:val="574134AB"/>
    <w:rsid w:val="58BB18C5"/>
    <w:rsid w:val="58FE1D69"/>
    <w:rsid w:val="594176B1"/>
    <w:rsid w:val="59BA3148"/>
    <w:rsid w:val="5B157F2A"/>
    <w:rsid w:val="5D7063B0"/>
    <w:rsid w:val="5D8C2987"/>
    <w:rsid w:val="5DB93B00"/>
    <w:rsid w:val="5DDC5CDC"/>
    <w:rsid w:val="5E5D0BCB"/>
    <w:rsid w:val="5EBD394D"/>
    <w:rsid w:val="5FDCFF98"/>
    <w:rsid w:val="601D22B9"/>
    <w:rsid w:val="62FE2804"/>
    <w:rsid w:val="63F773CC"/>
    <w:rsid w:val="63FF5EE3"/>
    <w:rsid w:val="64E37A4B"/>
    <w:rsid w:val="650709E2"/>
    <w:rsid w:val="67566AFF"/>
    <w:rsid w:val="6757544D"/>
    <w:rsid w:val="6790410F"/>
    <w:rsid w:val="67EC2FBF"/>
    <w:rsid w:val="67F7D9EB"/>
    <w:rsid w:val="69076303"/>
    <w:rsid w:val="69CC7E02"/>
    <w:rsid w:val="6B695FD0"/>
    <w:rsid w:val="6C4258A4"/>
    <w:rsid w:val="6D7CAFCF"/>
    <w:rsid w:val="6DEF63AF"/>
    <w:rsid w:val="6DF736A9"/>
    <w:rsid w:val="6EA45800"/>
    <w:rsid w:val="6F1F2743"/>
    <w:rsid w:val="6F5C0A2B"/>
    <w:rsid w:val="6FE7310C"/>
    <w:rsid w:val="6FF34ACD"/>
    <w:rsid w:val="6FFA3C8D"/>
    <w:rsid w:val="7116527F"/>
    <w:rsid w:val="718F3078"/>
    <w:rsid w:val="71FF6675"/>
    <w:rsid w:val="72334DCA"/>
    <w:rsid w:val="73C83B2C"/>
    <w:rsid w:val="73EB5D87"/>
    <w:rsid w:val="74E76064"/>
    <w:rsid w:val="75E613B1"/>
    <w:rsid w:val="77375650"/>
    <w:rsid w:val="77DFE232"/>
    <w:rsid w:val="77F16B51"/>
    <w:rsid w:val="77FB97EF"/>
    <w:rsid w:val="78EC3267"/>
    <w:rsid w:val="79AC5210"/>
    <w:rsid w:val="79EDD446"/>
    <w:rsid w:val="7A3547D1"/>
    <w:rsid w:val="7A5E7D4D"/>
    <w:rsid w:val="7A763B8C"/>
    <w:rsid w:val="7AED5CDC"/>
    <w:rsid w:val="7BFC38F2"/>
    <w:rsid w:val="7D66E2A7"/>
    <w:rsid w:val="7E2117BD"/>
    <w:rsid w:val="7E3BF026"/>
    <w:rsid w:val="7EFB661C"/>
    <w:rsid w:val="7EFDA940"/>
    <w:rsid w:val="7F7D47C7"/>
    <w:rsid w:val="7FA24749"/>
    <w:rsid w:val="7FCE1EB7"/>
    <w:rsid w:val="7FCF094A"/>
    <w:rsid w:val="7FD9F5BC"/>
    <w:rsid w:val="7FEF3C32"/>
    <w:rsid w:val="7FFB7747"/>
    <w:rsid w:val="7FFBED9E"/>
    <w:rsid w:val="7FFF7ADB"/>
    <w:rsid w:val="945F6FFB"/>
    <w:rsid w:val="987C8D6B"/>
    <w:rsid w:val="9CEA1F8E"/>
    <w:rsid w:val="9FFF4CC5"/>
    <w:rsid w:val="ABDF74A1"/>
    <w:rsid w:val="ACF742ED"/>
    <w:rsid w:val="B7BF1571"/>
    <w:rsid w:val="B7EF7656"/>
    <w:rsid w:val="B7FB7B02"/>
    <w:rsid w:val="BEFAEC70"/>
    <w:rsid w:val="BFAB37A6"/>
    <w:rsid w:val="BFEB186D"/>
    <w:rsid w:val="C0F3C865"/>
    <w:rsid w:val="CDBB8758"/>
    <w:rsid w:val="DB7F364C"/>
    <w:rsid w:val="E7FFDAFC"/>
    <w:rsid w:val="EBF92D84"/>
    <w:rsid w:val="EF9F3890"/>
    <w:rsid w:val="EFFDE327"/>
    <w:rsid w:val="F39FDE71"/>
    <w:rsid w:val="F3E10F42"/>
    <w:rsid w:val="F4DF58A4"/>
    <w:rsid w:val="F7F70416"/>
    <w:rsid w:val="F9F4FB01"/>
    <w:rsid w:val="FA7FD689"/>
    <w:rsid w:val="FAFDCA08"/>
    <w:rsid w:val="FBFF9B33"/>
    <w:rsid w:val="FCF5F034"/>
    <w:rsid w:val="FE598508"/>
    <w:rsid w:val="FEFF9DE3"/>
    <w:rsid w:val="FF6E13BF"/>
    <w:rsid w:val="FF7D9267"/>
    <w:rsid w:val="FFA79133"/>
    <w:rsid w:val="FFDDB184"/>
    <w:rsid w:val="FFE3B4FB"/>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4"/>
    <w:unhideWhenUsed/>
    <w:qFormat/>
    <w:uiPriority w:val="99"/>
    <w:rPr>
      <w:rFonts w:ascii="宋体"/>
      <w:sz w:val="18"/>
      <w:szCs w:val="18"/>
    </w:rPr>
  </w:style>
  <w:style w:type="paragraph" w:styleId="10">
    <w:name w:val="annotation text"/>
    <w:basedOn w:val="1"/>
    <w:link w:val="35"/>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6"/>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7"/>
    <w:unhideWhenUsed/>
    <w:qFormat/>
    <w:uiPriority w:val="99"/>
    <w:rPr>
      <w:kern w:val="0"/>
      <w:sz w:val="18"/>
      <w:szCs w:val="18"/>
    </w:rPr>
  </w:style>
  <w:style w:type="paragraph" w:styleId="15">
    <w:name w:val="footer"/>
    <w:basedOn w:val="1"/>
    <w:link w:val="38"/>
    <w:unhideWhenUsed/>
    <w:qFormat/>
    <w:uiPriority w:val="99"/>
    <w:pPr>
      <w:tabs>
        <w:tab w:val="center" w:pos="4153"/>
        <w:tab w:val="right" w:pos="8306"/>
      </w:tabs>
      <w:snapToGrid w:val="0"/>
      <w:jc w:val="left"/>
    </w:pPr>
    <w:rPr>
      <w:kern w:val="0"/>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40"/>
    <w:unhideWhenUsed/>
    <w:qFormat/>
    <w:uiPriority w:val="99"/>
    <w:rPr>
      <w:b/>
      <w:bCs/>
    </w:rPr>
  </w:style>
  <w:style w:type="paragraph" w:styleId="22">
    <w:name w:val="Body Text First Indent"/>
    <w:basedOn w:val="2"/>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qFormat/>
    <w:uiPriority w:val="0"/>
  </w:style>
  <w:style w:type="character" w:styleId="28">
    <w:name w:val="FollowedHyperlink"/>
    <w:unhideWhenUsed/>
    <w:qFormat/>
    <w:uiPriority w:val="99"/>
    <w:rPr>
      <w:color w:val="954F72"/>
      <w:u w:val="single"/>
    </w:rPr>
  </w:style>
  <w:style w:type="character" w:styleId="29">
    <w:name w:val="Emphasis"/>
    <w:basedOn w:val="25"/>
    <w:qFormat/>
    <w:uiPriority w:val="20"/>
    <w:rPr>
      <w:i/>
    </w:rPr>
  </w:style>
  <w:style w:type="character" w:styleId="30">
    <w:name w:val="Hyperlink"/>
    <w:qFormat/>
    <w:uiPriority w:val="0"/>
    <w:rPr>
      <w:color w:val="0000FF"/>
      <w:u w:val="none"/>
    </w:rPr>
  </w:style>
  <w:style w:type="character" w:styleId="31">
    <w:name w:val="annotation reference"/>
    <w:unhideWhenUsed/>
    <w:qFormat/>
    <w:uiPriority w:val="0"/>
    <w:rPr>
      <w:sz w:val="21"/>
      <w:szCs w:val="21"/>
    </w:rPr>
  </w:style>
  <w:style w:type="character" w:customStyle="1" w:styleId="32">
    <w:name w:val="正文文本 字符"/>
    <w:link w:val="2"/>
    <w:qFormat/>
    <w:uiPriority w:val="0"/>
    <w:rPr>
      <w:kern w:val="2"/>
      <w:sz w:val="21"/>
      <w:szCs w:val="24"/>
    </w:rPr>
  </w:style>
  <w:style w:type="character" w:customStyle="1" w:styleId="33">
    <w:name w:val="标题 5 字符"/>
    <w:link w:val="7"/>
    <w:semiHidden/>
    <w:qFormat/>
    <w:uiPriority w:val="9"/>
    <w:rPr>
      <w:b/>
      <w:bCs/>
      <w:kern w:val="2"/>
      <w:sz w:val="28"/>
      <w:szCs w:val="28"/>
    </w:rPr>
  </w:style>
  <w:style w:type="character" w:customStyle="1" w:styleId="34">
    <w:name w:val="文档结构图 字符"/>
    <w:link w:val="9"/>
    <w:semiHidden/>
    <w:qFormat/>
    <w:uiPriority w:val="99"/>
    <w:rPr>
      <w:rFonts w:ascii="宋体"/>
      <w:kern w:val="2"/>
      <w:sz w:val="18"/>
      <w:szCs w:val="18"/>
    </w:rPr>
  </w:style>
  <w:style w:type="character" w:customStyle="1" w:styleId="35">
    <w:name w:val="批注文字 字符"/>
    <w:link w:val="10"/>
    <w:qFormat/>
    <w:uiPriority w:val="0"/>
    <w:rPr>
      <w:rFonts w:ascii="Times New Roman" w:hAnsi="Times New Roman" w:eastAsia="宋体" w:cs="Times New Roman"/>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批注框文本 字符"/>
    <w:link w:val="14"/>
    <w:semiHidden/>
    <w:qFormat/>
    <w:uiPriority w:val="99"/>
    <w:rPr>
      <w:rFonts w:ascii="Times New Roman" w:hAnsi="Times New Roman" w:eastAsia="宋体" w:cs="Times New Roman"/>
      <w:sz w:val="18"/>
      <w:szCs w:val="18"/>
    </w:rPr>
  </w:style>
  <w:style w:type="character" w:customStyle="1" w:styleId="38">
    <w:name w:val="页脚 字符1"/>
    <w:link w:val="15"/>
    <w:qFormat/>
    <w:uiPriority w:val="99"/>
    <w:rPr>
      <w:sz w:val="18"/>
      <w:szCs w:val="18"/>
    </w:rPr>
  </w:style>
  <w:style w:type="character" w:customStyle="1" w:styleId="39">
    <w:name w:val="页眉 字符"/>
    <w:link w:val="16"/>
    <w:qFormat/>
    <w:uiPriority w:val="99"/>
    <w:rPr>
      <w:sz w:val="18"/>
      <w:szCs w:val="18"/>
    </w:rPr>
  </w:style>
  <w:style w:type="character" w:customStyle="1" w:styleId="40">
    <w:name w:val="批注主题 字符"/>
    <w:link w:val="21"/>
    <w:semiHidden/>
    <w:qFormat/>
    <w:uiPriority w:val="99"/>
    <w:rPr>
      <w:rFonts w:ascii="Times New Roman" w:hAnsi="Times New Roman" w:eastAsia="宋体" w:cs="Times New Roman"/>
      <w:b/>
      <w:bCs/>
      <w:szCs w:val="24"/>
    </w:rPr>
  </w:style>
  <w:style w:type="paragraph" w:customStyle="1" w:styleId="4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42">
    <w:name w:val="Char"/>
    <w:basedOn w:val="1"/>
    <w:qFormat/>
    <w:uiPriority w:val="0"/>
    <w:pPr>
      <w:widowControl/>
      <w:spacing w:after="160" w:line="240" w:lineRule="exact"/>
      <w:jc w:val="left"/>
    </w:pPr>
  </w:style>
  <w:style w:type="paragraph" w:customStyle="1" w:styleId="43">
    <w:name w:val="正文格式"/>
    <w:basedOn w:val="11"/>
    <w:qFormat/>
    <w:uiPriority w:val="99"/>
    <w:pPr>
      <w:spacing w:after="0" w:line="360" w:lineRule="auto"/>
      <w:ind w:left="0" w:leftChars="0" w:firstLine="600"/>
    </w:pPr>
    <w:rPr>
      <w:rFonts w:eastAsia="仿宋_GB2312"/>
      <w:sz w:val="30"/>
      <w:szCs w:val="30"/>
    </w:rPr>
  </w:style>
  <w:style w:type="character" w:customStyle="1" w:styleId="44">
    <w:name w:val="页脚 字符"/>
    <w:qFormat/>
    <w:uiPriority w:val="99"/>
    <w:rPr>
      <w:rFonts w:ascii="Calibri" w:hAnsi="Calibri"/>
      <w:kern w:val="2"/>
      <w:sz w:val="18"/>
      <w:szCs w:val="18"/>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character" w:customStyle="1" w:styleId="47">
    <w:name w:val="纯文本 字符"/>
    <w:semiHidden/>
    <w:qFormat/>
    <w:uiPriority w:val="99"/>
    <w:rPr>
      <w:rFonts w:ascii="宋体" w:hAnsi="Courier New" w:cs="Courier New"/>
      <w:kern w:val="2"/>
      <w:sz w:val="21"/>
      <w:szCs w:val="21"/>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1">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52">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2"/>
    <w:basedOn w:val="1"/>
    <w:qFormat/>
    <w:uiPriority w:val="34"/>
    <w:pPr>
      <w:ind w:firstLine="420" w:firstLineChars="200"/>
    </w:pPr>
  </w:style>
  <w:style w:type="character" w:customStyle="1" w:styleId="55">
    <w:name w:val="标题1"/>
    <w:qFormat/>
    <w:uiPriority w:val="0"/>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qowt-font5-gb2312"/>
    <w:qFormat/>
    <w:uiPriority w:val="0"/>
  </w:style>
  <w:style w:type="paragraph" w:customStyle="1" w:styleId="59">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60">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6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77</Pages>
  <Words>38997</Words>
  <Characters>40953</Characters>
  <Lines>317</Lines>
  <Paragraphs>89</Paragraphs>
  <TotalTime>47</TotalTime>
  <ScaleCrop>false</ScaleCrop>
  <LinksUpToDate>false</LinksUpToDate>
  <CharactersWithSpaces>42698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2023-06-30T23:16:00Z</dcterms:created>
  <dc:creator>胡佳</dc:creator>
  <cp:lastModifiedBy>陈可欣</cp:lastModifiedBy>
  <cp:lastPrinted>2022-07-31T23:25:00Z</cp:lastPrinted>
  <dcterms:modified xsi:type="dcterms:W3CDTF">2024-07-10T07:51:42Z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0A269DA761F7493B95F0DE26C24934DE_13</vt:lpwstr>
  </property>
</Properties>
</file>