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Cs/>
          <w:sz w:val="32"/>
          <w:szCs w:val="32"/>
          <w:highlight w:val="none"/>
        </w:rPr>
        <w:t>附件2</w:t>
      </w:r>
    </w:p>
    <w:p>
      <w:pPr>
        <w:pStyle w:val="2"/>
        <w:rPr>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14"/>
        <w:ind w:firstLine="420"/>
        <w:rPr>
          <w:rFonts w:ascii="宋体" w:hAnsi="宋体" w:cs="宋体"/>
          <w:highlight w:val="none"/>
        </w:rPr>
      </w:pPr>
    </w:p>
    <w:p>
      <w:pPr>
        <w:pStyle w:val="14"/>
        <w:ind w:firstLine="420"/>
        <w:rPr>
          <w:rFonts w:ascii="宋体" w:hAnsi="宋体" w:cs="宋体"/>
          <w:highlight w:val="none"/>
        </w:rPr>
      </w:pPr>
    </w:p>
    <w:p>
      <w:pPr>
        <w:rPr>
          <w:rFonts w:ascii="宋体" w:hAnsi="宋体" w:cs="宋体"/>
          <w:b/>
          <w:sz w:val="44"/>
          <w:highlight w:val="none"/>
        </w:rPr>
      </w:pPr>
    </w:p>
    <w:p>
      <w:pPr>
        <w:ind w:left="2326" w:leftChars="247" w:hanging="1807" w:hangingChars="500"/>
        <w:rPr>
          <w:rFonts w:ascii="宋体" w:hAnsi="宋体" w:cs="宋体"/>
          <w:b/>
          <w:sz w:val="36"/>
          <w:szCs w:val="36"/>
          <w:highlight w:val="none"/>
        </w:rPr>
      </w:pPr>
      <w:r>
        <w:rPr>
          <w:rFonts w:hint="eastAsia" w:ascii="宋体" w:hAnsi="宋体" w:cs="宋体"/>
          <w:b/>
          <w:sz w:val="36"/>
          <w:szCs w:val="36"/>
          <w:highlight w:val="none"/>
        </w:rPr>
        <w:t>招标编号：QH2023009</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14"/>
        <w:ind w:firstLine="420"/>
        <w:rPr>
          <w:rFonts w:ascii="宋体" w:hAnsi="宋体" w:cs="宋体"/>
          <w:highlight w:val="none"/>
        </w:rPr>
      </w:pPr>
    </w:p>
    <w:p>
      <w:pPr>
        <w:pStyle w:val="14"/>
        <w:ind w:firstLine="420"/>
        <w:rPr>
          <w:rFonts w:ascii="宋体" w:hAnsi="宋体" w:cs="宋体"/>
          <w:highlight w:val="none"/>
        </w:rPr>
      </w:pPr>
    </w:p>
    <w:p>
      <w:pPr>
        <w:ind w:left="2326" w:leftChars="247" w:right="-319" w:rightChars="-152" w:hanging="1807" w:hangingChars="500"/>
        <w:rPr>
          <w:rFonts w:ascii="宋体" w:hAnsi="宋体" w:cs="宋体"/>
          <w:b/>
          <w:sz w:val="36"/>
          <w:szCs w:val="36"/>
          <w:highlight w:val="none"/>
        </w:rPr>
      </w:pPr>
      <w:r>
        <w:rPr>
          <w:rFonts w:hint="eastAsia" w:ascii="宋体" w:hAnsi="宋体" w:cs="宋体"/>
          <w:b/>
          <w:sz w:val="36"/>
          <w:szCs w:val="36"/>
          <w:highlight w:val="none"/>
        </w:rPr>
        <w:t>招标项目：</w:t>
      </w:r>
      <w:r>
        <w:rPr>
          <w:rFonts w:hint="eastAsia"/>
          <w:b/>
          <w:sz w:val="36"/>
          <w:szCs w:val="36"/>
          <w:highlight w:val="none"/>
        </w:rPr>
        <w:t>2023年度前海--南山信息采集及发布服务项目</w:t>
      </w:r>
    </w:p>
    <w:p>
      <w:pPr>
        <w:ind w:firstLine="3264" w:firstLineChars="739"/>
        <w:rPr>
          <w:rFonts w:ascii="宋体" w:hAnsi="宋体" w:cs="宋体"/>
          <w:b/>
          <w:sz w:val="44"/>
          <w:highlight w:val="none"/>
        </w:rPr>
      </w:pPr>
    </w:p>
    <w:p>
      <w:pPr>
        <w:pStyle w:val="14"/>
        <w:ind w:firstLine="0" w:firstLineChars="0"/>
        <w:rPr>
          <w:rFonts w:ascii="宋体" w:hAnsi="宋体" w:cs="宋体"/>
          <w:highlight w:val="none"/>
        </w:rPr>
      </w:pPr>
    </w:p>
    <w:p>
      <w:pPr>
        <w:rPr>
          <w:rFonts w:ascii="宋体" w:hAnsi="宋体" w:cs="宋体"/>
          <w:b/>
          <w:sz w:val="44"/>
          <w:highlight w:val="none"/>
        </w:rPr>
      </w:pPr>
    </w:p>
    <w:p>
      <w:pPr>
        <w:pStyle w:val="2"/>
        <w:rPr>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2023年</w:t>
      </w:r>
      <w:r>
        <w:rPr>
          <w:rFonts w:hint="eastAsia" w:ascii="宋体" w:hAnsi="宋体" w:cs="宋体"/>
          <w:b/>
          <w:bCs/>
          <w:sz w:val="36"/>
          <w:szCs w:val="36"/>
          <w:highlight w:val="none"/>
          <w:lang w:val="en-US" w:eastAsia="zh-CN"/>
        </w:rPr>
        <w:t>3</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2"/>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（一）投标供应商之间相互约定给予未中标的供应商利益补偿。</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（四）不同投标供应商的投标文件或部分投标文件相互混装。</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（五）不同投标供应商的投标文件内容存在非正常一致。</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（七）主管部门依照法律、法规认定的其他情形。</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（三）项目负责人或者主要技术人员不是本单位人员的。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（四）投标保证金不是从投标供应商基本账户转出的。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（五）其他隐瞒真实情况、提供虚假资料的行为。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8"/>
        <w:tabs>
          <w:tab w:val="right" w:leader="dot" w:pos="8306"/>
        </w:tabs>
        <w:spacing w:line="480" w:lineRule="auto"/>
        <w:rPr>
          <w:b/>
          <w:bCs/>
          <w:sz w:val="24"/>
          <w:szCs w:val="32"/>
          <w:highlight w:val="none"/>
        </w:rPr>
      </w:pPr>
    </w:p>
    <w:p>
      <w:pPr>
        <w:pStyle w:val="8"/>
        <w:tabs>
          <w:tab w:val="right" w:leader="dot" w:pos="8306"/>
        </w:tabs>
        <w:spacing w:line="360" w:lineRule="auto"/>
        <w:rPr>
          <w:rFonts w:ascii="宋体" w:hAnsi="宋体" w:cs="宋体"/>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招标公告</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_Toc28255 \h </w:instrText>
      </w:r>
      <w:r>
        <w:rPr>
          <w:rFonts w:hint="eastAsia" w:ascii="宋体" w:hAnsi="宋体" w:cs="宋体"/>
          <w:b/>
          <w:bCs/>
          <w:sz w:val="24"/>
          <w:highlight w:val="none"/>
        </w:rPr>
        <w:fldChar w:fldCharType="separate"/>
      </w:r>
      <w:r>
        <w:rPr>
          <w:rFonts w:hint="eastAsia" w:ascii="宋体" w:hAnsi="宋体" w:cs="宋体"/>
          <w:b/>
          <w:bCs/>
          <w:sz w:val="24"/>
          <w:highlight w:val="none"/>
        </w:rPr>
        <w:t>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10</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13</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15</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31</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8"/>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_Toc3166 \h </w:instrText>
      </w:r>
      <w:r>
        <w:rPr>
          <w:rFonts w:hint="eastAsia" w:ascii="宋体" w:hAnsi="宋体" w:cs="宋体"/>
          <w:b/>
          <w:bCs/>
          <w:sz w:val="24"/>
          <w:highlight w:val="none"/>
        </w:rPr>
        <w:fldChar w:fldCharType="separate"/>
      </w:r>
      <w:r>
        <w:rPr>
          <w:rFonts w:hint="eastAsia" w:ascii="宋体" w:hAnsi="宋体" w:cs="宋体"/>
          <w:b/>
          <w:bCs/>
          <w:sz w:val="24"/>
          <w:highlight w:val="none"/>
        </w:rPr>
        <w:t>52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spacing w:line="360" w:lineRule="auto"/>
        <w:rPr>
          <w:highlight w:val="none"/>
        </w:rPr>
      </w:pPr>
      <w:r>
        <w:rPr>
          <w:rFonts w:hint="eastAsia" w:ascii="宋体" w:hAnsi="宋体" w:cs="宋体"/>
          <w:b/>
          <w:bCs/>
          <w:sz w:val="24"/>
          <w:highlight w:val="none"/>
        </w:rPr>
        <w:fldChar w:fldCharType="end"/>
      </w:r>
    </w:p>
    <w:p>
      <w:pPr>
        <w:numPr>
          <w:ilvl w:val="0"/>
          <w:numId w:val="1"/>
        </w:numPr>
        <w:spacing w:line="360" w:lineRule="auto"/>
        <w:jc w:val="center"/>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wordWrap w:val="0"/>
        <w:spacing w:line="360" w:lineRule="auto"/>
        <w:ind w:firstLine="480" w:firstLineChars="200"/>
        <w:jc w:val="righ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2023年度前海--南山信息采集及发布服务项目（招标编号：</w:t>
      </w:r>
      <w:r>
        <w:rPr>
          <w:rFonts w:hint="eastAsia" w:ascii="宋体" w:hAnsi="宋体" w:cs="宋体"/>
          <w:sz w:val="24"/>
          <w:highlight w:val="none"/>
          <w:lang w:val="en-US" w:eastAsia="zh-CN"/>
        </w:rPr>
        <w:t>QH2023009</w:t>
      </w:r>
      <w:r>
        <w:rPr>
          <w:rFonts w:hint="eastAsia" w:ascii="宋体" w:hAnsi="宋体" w:cs="宋体"/>
          <w:sz w:val="24"/>
          <w:highlight w:val="none"/>
        </w:rPr>
        <w:t>）采用</w:t>
      </w:r>
      <w:r>
        <w:rPr>
          <w:rFonts w:hint="eastAsia" w:ascii="宋体" w:hAnsi="宋体" w:cs="宋体"/>
          <w:sz w:val="24"/>
          <w:highlight w:val="none"/>
          <w:lang w:eastAsia="zh-CN"/>
        </w:rPr>
        <w:t>公开征集供应商</w:t>
      </w:r>
      <w:r>
        <w:rPr>
          <w:rFonts w:hint="eastAsia" w:ascii="宋体" w:hAnsi="宋体" w:cs="宋体"/>
          <w:sz w:val="24"/>
          <w:highlight w:val="none"/>
        </w:rPr>
        <w:t>简易招标方式采购，欢迎符合投标人资格要求的专业供应商积极参加投标。</w:t>
      </w:r>
    </w:p>
    <w:tbl>
      <w:tblPr>
        <w:tblStyle w:val="1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招标文件编号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QH2023009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2023年度前海--南山信息采集及发布服务项目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pStyle w:val="14"/>
              <w:ind w:firstLine="0" w:firstLineChars="0"/>
              <w:rPr>
                <w:b/>
                <w:bCs/>
                <w:sz w:val="24"/>
                <w:szCs w:val="24"/>
                <w:highlight w:val="none"/>
              </w:rPr>
            </w:pPr>
            <w:r>
              <w:rPr>
                <w:rFonts w:hint="eastAsia"/>
                <w:b/>
                <w:bCs/>
                <w:sz w:val="24"/>
                <w:szCs w:val="24"/>
                <w:highlight w:val="none"/>
              </w:rPr>
              <w:t>项目背景：</w:t>
            </w:r>
          </w:p>
          <w:p>
            <w:pPr>
              <w:pStyle w:val="14"/>
              <w:ind w:firstLine="480"/>
              <w:rPr>
                <w:bCs/>
                <w:sz w:val="24"/>
                <w:szCs w:val="24"/>
                <w:highlight w:val="none"/>
              </w:rPr>
            </w:pPr>
            <w:r>
              <w:rPr>
                <w:rFonts w:hint="eastAsia"/>
                <w:bCs/>
                <w:sz w:val="24"/>
                <w:szCs w:val="24"/>
                <w:highlight w:val="none"/>
              </w:rPr>
              <w:t xml:space="preserve"> （一）项目背景</w:t>
            </w:r>
          </w:p>
          <w:p>
            <w:pPr>
              <w:pStyle w:val="14"/>
              <w:ind w:firstLine="480"/>
              <w:rPr>
                <w:bCs/>
                <w:sz w:val="24"/>
                <w:szCs w:val="24"/>
                <w:highlight w:val="none"/>
              </w:rPr>
            </w:pPr>
            <w:r>
              <w:rPr>
                <w:rFonts w:hint="eastAsia"/>
                <w:bCs/>
                <w:sz w:val="24"/>
                <w:szCs w:val="24"/>
                <w:highlight w:val="none"/>
              </w:rPr>
              <w:t>前海作为习近平总书记亲自谋划、亲自部署、亲自推动的新时代国家改革开放战略平台，十年间，从一片滩涂起步，到现在已经成为中国发展最快、质量最高、效益最好的区域之一。为更好呈现前海扩区后的发展成就，打造展示前海形象的对外窗口，拟通过信息采集及发布服务项目，助力前海打造创意先行、融媒互动的信息采集、发布平台。</w:t>
            </w:r>
          </w:p>
          <w:p>
            <w:pPr>
              <w:pStyle w:val="14"/>
              <w:ind w:firstLine="480"/>
              <w:rPr>
                <w:bCs/>
                <w:sz w:val="24"/>
                <w:szCs w:val="24"/>
                <w:highlight w:val="none"/>
              </w:rPr>
            </w:pPr>
            <w:r>
              <w:rPr>
                <w:rFonts w:hint="eastAsia"/>
                <w:bCs/>
                <w:sz w:val="24"/>
                <w:szCs w:val="24"/>
                <w:highlight w:val="none"/>
              </w:rPr>
              <w:t>（二）项目目标</w:t>
            </w:r>
          </w:p>
          <w:p>
            <w:pPr>
              <w:pStyle w:val="14"/>
              <w:ind w:firstLine="480"/>
              <w:rPr>
                <w:bCs/>
                <w:sz w:val="24"/>
                <w:szCs w:val="24"/>
                <w:highlight w:val="none"/>
              </w:rPr>
            </w:pPr>
            <w:r>
              <w:rPr>
                <w:rFonts w:hint="eastAsia"/>
                <w:bCs/>
                <w:sz w:val="24"/>
                <w:szCs w:val="24"/>
                <w:highlight w:val="none"/>
              </w:rPr>
              <w:t>通过开展项目，建立前海－南山”新闻信息库，在纸媒发布系列特刊，围绕前海扩区后的改革开放各项工作，开展深入持续的宣传推广，进一步促进前海扩区深入人心。</w:t>
            </w:r>
          </w:p>
          <w:p>
            <w:pPr>
              <w:pStyle w:val="14"/>
              <w:ind w:firstLine="0" w:firstLineChars="0"/>
              <w:rPr>
                <w:b/>
                <w:bCs/>
                <w:sz w:val="24"/>
                <w:szCs w:val="24"/>
                <w:highlight w:val="none"/>
              </w:rPr>
            </w:pPr>
            <w:r>
              <w:rPr>
                <w:rFonts w:hint="eastAsia"/>
                <w:b/>
                <w:bCs/>
                <w:sz w:val="24"/>
                <w:szCs w:val="24"/>
                <w:highlight w:val="none"/>
              </w:rPr>
              <w:t>项目内容：</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1.“前海－南山”新闻信息库的建立及日常信息采集、更新，信息包括但不限于媒体报道、文字、图片、活动视频、空镜头等；全年采写图文产品120条。</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2.搭建“1+1+1”传媒团队，即一组驻站记者团队、一组新媒体团队、一组后端技术支撑团队（包含1名驻站记者，3-4人后端团队）。</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3. 以新城建设、衣食住行等角度，推出短视频（1-3分钟）6条，其中每1条视频全网浏览量不低于10万。</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4. 根据提供的新媒体产品，通过</w:t>
            </w:r>
            <w:r>
              <w:rPr>
                <w:rFonts w:hint="eastAsia" w:ascii="长城仿宋" w:hAnsi="Calibri"/>
                <w:bCs/>
                <w:kern w:val="0"/>
                <w:sz w:val="24"/>
                <w:highlight w:val="none"/>
                <w:lang w:eastAsia="zh-Hans"/>
              </w:rPr>
              <w:t>南山区级官方报纸</w:t>
            </w:r>
            <w:r>
              <w:rPr>
                <w:rFonts w:hint="eastAsia" w:ascii="长城仿宋" w:hAnsi="Calibri"/>
                <w:bCs/>
                <w:kern w:val="0"/>
                <w:sz w:val="24"/>
                <w:highlight w:val="none"/>
              </w:rPr>
              <w:t>、官方微信公众号和视频号，以及Ap</w:t>
            </w:r>
            <w:r>
              <w:rPr>
                <w:rFonts w:hint="eastAsia" w:ascii="长城仿宋" w:hAnsi="Calibri"/>
                <w:bCs/>
                <w:kern w:val="0"/>
                <w:sz w:val="24"/>
                <w:highlight w:val="none"/>
                <w:lang w:eastAsia="zh-Hans"/>
              </w:rPr>
              <w:t>p</w:t>
            </w:r>
            <w:r>
              <w:rPr>
                <w:rFonts w:hint="eastAsia" w:ascii="长城仿宋" w:hAnsi="Calibri"/>
                <w:bCs/>
                <w:kern w:val="0"/>
                <w:sz w:val="24"/>
                <w:highlight w:val="none"/>
              </w:rPr>
              <w:t>、人民日报客户端等新媒体平台全年发布各类信息50条。</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5.策划在</w:t>
            </w:r>
            <w:r>
              <w:rPr>
                <w:rFonts w:hint="eastAsia" w:ascii="长城仿宋" w:hAnsi="Calibri"/>
                <w:bCs/>
                <w:kern w:val="0"/>
                <w:sz w:val="24"/>
                <w:highlight w:val="none"/>
                <w:lang w:eastAsia="zh-Hans"/>
              </w:rPr>
              <w:t>南山区级报纸</w:t>
            </w:r>
            <w:r>
              <w:rPr>
                <w:rFonts w:hint="eastAsia" w:ascii="长城仿宋" w:hAnsi="Calibri"/>
                <w:bCs/>
                <w:kern w:val="0"/>
                <w:sz w:val="24"/>
                <w:highlight w:val="none"/>
              </w:rPr>
              <w:t>、微信公众号上推出五期特刊，以每期一主题的方式，深入观察前海的政策优势与南山的资源禀赋如何有机结合，在教育、医疗、产业、综合执法、安全、社区等方面取得了哪些工作成效，以小切口、大视角的方式呈现给读者扩区后前海的变化和魅力。</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6、策划一期线下活动，组织前海香港青年看前海南山活动，联合居深港人联谊会，走进前海南山，看企业、观人文，了解扩区后的前海和蓬勃发展的前海南山。</w:t>
            </w:r>
          </w:p>
          <w:p>
            <w:pPr>
              <w:spacing w:line="560" w:lineRule="exact"/>
              <w:ind w:firstLine="480" w:firstLineChars="200"/>
              <w:rPr>
                <w:rFonts w:ascii="长城仿宋" w:hAnsi="Calibri"/>
                <w:bCs/>
                <w:kern w:val="0"/>
                <w:sz w:val="24"/>
                <w:highlight w:val="none"/>
              </w:rPr>
            </w:pPr>
            <w:r>
              <w:rPr>
                <w:rFonts w:hint="eastAsia" w:ascii="长城仿宋" w:hAnsi="Calibri"/>
                <w:bCs/>
                <w:kern w:val="0"/>
                <w:sz w:val="24"/>
                <w:highlight w:val="none"/>
              </w:rPr>
              <w:t>7、根据需要，不定期在</w:t>
            </w:r>
            <w:r>
              <w:rPr>
                <w:rFonts w:hint="eastAsia" w:ascii="长城仿宋" w:hAnsi="Calibri"/>
                <w:bCs/>
                <w:kern w:val="0"/>
                <w:sz w:val="24"/>
                <w:highlight w:val="none"/>
                <w:lang w:eastAsia="zh-Hans"/>
              </w:rPr>
              <w:t>南山区级官方报纸</w:t>
            </w:r>
            <w:r>
              <w:rPr>
                <w:rFonts w:hint="eastAsia" w:ascii="长城仿宋" w:hAnsi="Calibri"/>
                <w:bCs/>
                <w:kern w:val="0"/>
                <w:sz w:val="24"/>
                <w:highlight w:val="none"/>
              </w:rPr>
              <w:t>推出设定栏目名和LOGO的前海专栏。</w:t>
            </w:r>
          </w:p>
          <w:p>
            <w:pPr>
              <w:spacing w:line="560" w:lineRule="exact"/>
              <w:ind w:firstLine="480" w:firstLineChars="200"/>
              <w:rPr>
                <w:sz w:val="24"/>
                <w:highlight w:val="none"/>
              </w:rPr>
            </w:pPr>
            <w:r>
              <w:rPr>
                <w:rFonts w:hint="eastAsia" w:ascii="长城仿宋" w:hAnsi="Calibri"/>
                <w:bCs/>
                <w:kern w:val="0"/>
                <w:sz w:val="24"/>
                <w:highlight w:val="none"/>
              </w:rPr>
              <w:t>8、根据安排，服务好主要领导重要活动新闻，提供通稿</w:t>
            </w:r>
            <w:r>
              <w:rPr>
                <w:rFonts w:hint="eastAsia"/>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项目预算</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¥800000.00（人民币）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adjustRightInd w:val="0"/>
              <w:snapToGrid w:val="0"/>
              <w:spacing w:line="560" w:lineRule="exact"/>
              <w:jc w:val="left"/>
              <w:rPr>
                <w:rFonts w:ascii="宋体" w:hAnsi="宋体" w:cs="宋体"/>
                <w:b/>
                <w:kern w:val="0"/>
                <w:sz w:val="24"/>
                <w:highlight w:val="none"/>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highlight w:val="none"/>
                <w:lang w:bidi="ar"/>
              </w:rPr>
              <w:t>2023年</w:t>
            </w:r>
            <w:r>
              <w:rPr>
                <w:rFonts w:hint="eastAsia" w:ascii="宋体" w:hAnsi="宋体" w:cs="宋体"/>
                <w:b/>
                <w:kern w:val="0"/>
                <w:sz w:val="24"/>
                <w:highlight w:val="none"/>
                <w:lang w:val="en-US" w:eastAsia="zh-CN" w:bidi="ar"/>
              </w:rPr>
              <w:t>3</w:t>
            </w:r>
            <w:r>
              <w:rPr>
                <w:rFonts w:hint="eastAsia" w:ascii="宋体" w:hAnsi="宋体" w:cs="宋体"/>
                <w:b/>
                <w:kern w:val="0"/>
                <w:sz w:val="24"/>
                <w:highlight w:val="none"/>
                <w:lang w:bidi="ar"/>
              </w:rPr>
              <w:t>月</w:t>
            </w:r>
            <w:r>
              <w:rPr>
                <w:rFonts w:hint="eastAsia" w:ascii="宋体" w:hAnsi="宋体" w:cs="宋体"/>
                <w:b/>
                <w:kern w:val="0"/>
                <w:sz w:val="24"/>
                <w:highlight w:val="none"/>
                <w:lang w:val="en-US" w:eastAsia="zh-CN" w:bidi="ar"/>
              </w:rPr>
              <w:t>9</w:t>
            </w:r>
            <w:r>
              <w:rPr>
                <w:rFonts w:hint="eastAsia" w:ascii="宋体" w:hAnsi="宋体" w:cs="宋体"/>
                <w:b/>
                <w:kern w:val="0"/>
                <w:sz w:val="24"/>
                <w:highlight w:val="none"/>
                <w:lang w:bidi="ar"/>
              </w:rPr>
              <w:t>日下午</w:t>
            </w:r>
            <w:r>
              <w:rPr>
                <w:rFonts w:ascii="宋体" w:hAnsi="宋体" w:cs="宋体"/>
                <w:b/>
                <w:kern w:val="0"/>
                <w:sz w:val="24"/>
                <w:highlight w:val="none"/>
                <w:lang w:bidi="ar"/>
              </w:rPr>
              <w:t>14</w:t>
            </w:r>
            <w:r>
              <w:rPr>
                <w:rFonts w:hint="eastAsia" w:ascii="宋体" w:hAnsi="宋体" w:cs="宋体"/>
                <w:b/>
                <w:kern w:val="0"/>
                <w:sz w:val="24"/>
                <w:highlight w:val="none"/>
                <w:lang w:bidi="ar"/>
              </w:rPr>
              <w:t>：30时（北京时间）前送达（现场递交或邮寄）</w:t>
            </w:r>
            <w:r>
              <w:rPr>
                <w:rFonts w:hint="eastAsia" w:ascii="宋体" w:hAnsi="宋体" w:cs="宋体"/>
                <w:kern w:val="0"/>
                <w:sz w:val="24"/>
                <w:highlight w:val="none"/>
                <w:lang w:bidi="ar"/>
              </w:rPr>
              <w:t>至</w:t>
            </w:r>
            <w:r>
              <w:rPr>
                <w:rFonts w:hint="eastAsia" w:ascii="宋体" w:hAnsi="宋体" w:cs="宋体"/>
                <w:b/>
                <w:kern w:val="0"/>
                <w:sz w:val="24"/>
                <w:highlight w:val="none"/>
                <w:lang w:bidi="ar"/>
              </w:rPr>
              <w:t>前海大厦</w:t>
            </w:r>
            <w:r>
              <w:rPr>
                <w:rFonts w:hint="eastAsia" w:ascii="宋体" w:hAnsi="宋体" w:cs="宋体"/>
                <w:b/>
                <w:kern w:val="0"/>
                <w:sz w:val="24"/>
                <w:highlight w:val="none"/>
                <w:lang w:val="en-US" w:eastAsia="zh-CN" w:bidi="ar"/>
              </w:rPr>
              <w:t xml:space="preserve">T1栋 </w:t>
            </w:r>
            <w:r>
              <w:rPr>
                <w:rFonts w:hint="eastAsia" w:ascii="宋体" w:hAnsi="宋体" w:cs="宋体"/>
                <w:b/>
                <w:kern w:val="0"/>
                <w:sz w:val="24"/>
                <w:highlight w:val="none"/>
                <w:lang w:bidi="ar"/>
              </w:rPr>
              <w:t>2505室。</w:t>
            </w:r>
          </w:p>
          <w:p>
            <w:pPr>
              <w:adjustRightInd w:val="0"/>
              <w:snapToGrid w:val="0"/>
              <w:spacing w:line="560" w:lineRule="exact"/>
              <w:jc w:val="left"/>
              <w:rPr>
                <w:rFonts w:ascii="宋体" w:hAnsi="宋体" w:cs="宋体"/>
                <w:kern w:val="0"/>
                <w:sz w:val="24"/>
                <w:highlight w:val="none"/>
              </w:rPr>
            </w:pPr>
            <w:r>
              <w:rPr>
                <w:rFonts w:hint="eastAsia" w:ascii="宋体" w:hAnsi="宋体" w:cs="宋体"/>
                <w:kern w:val="0"/>
                <w:sz w:val="24"/>
                <w:highlight w:val="none"/>
                <w:lang w:bidi="ar"/>
              </w:rPr>
              <w:t>联系人：</w:t>
            </w:r>
            <w:r>
              <w:rPr>
                <w:rFonts w:hint="eastAsia" w:ascii="宋体" w:hAnsi="宋体" w:cs="宋体"/>
                <w:kern w:val="0"/>
                <w:sz w:val="24"/>
                <w:highlight w:val="none"/>
              </w:rPr>
              <w:t>黎主任</w:t>
            </w:r>
          </w:p>
          <w:p>
            <w:pPr>
              <w:adjustRightInd w:val="0"/>
              <w:snapToGrid w:val="0"/>
              <w:spacing w:line="560" w:lineRule="exact"/>
              <w:jc w:val="left"/>
              <w:rPr>
                <w:rFonts w:ascii="宋体" w:hAnsi="宋体" w:cs="宋体"/>
                <w:kern w:val="0"/>
                <w:sz w:val="24"/>
                <w:highlight w:val="none"/>
              </w:rPr>
            </w:pPr>
            <w:r>
              <w:rPr>
                <w:rFonts w:hint="eastAsia" w:ascii="宋体" w:hAnsi="宋体" w:cs="宋体"/>
                <w:kern w:val="0"/>
                <w:sz w:val="24"/>
                <w:highlight w:val="none"/>
                <w:lang w:bidi="ar"/>
              </w:rPr>
              <w:t>联系电话：</w:t>
            </w:r>
            <w:r>
              <w:rPr>
                <w:rFonts w:hint="eastAsia" w:ascii="宋体" w:hAnsi="宋体" w:cs="宋体"/>
                <w:kern w:val="0"/>
                <w:sz w:val="24"/>
                <w:highlight w:val="none"/>
              </w:rPr>
              <w:t>0755-</w:t>
            </w:r>
            <w:r>
              <w:rPr>
                <w:rFonts w:ascii="宋体" w:hAnsi="宋体" w:cs="宋体"/>
                <w:kern w:val="0"/>
                <w:sz w:val="24"/>
                <w:highlight w:val="none"/>
              </w:rPr>
              <w:t>88105105</w:t>
            </w:r>
          </w:p>
          <w:p>
            <w:pPr>
              <w:widowControl/>
              <w:jc w:val="left"/>
              <w:rPr>
                <w:rFonts w:ascii="宋体" w:hAnsi="宋体" w:cs="宋体"/>
                <w:kern w:val="0"/>
                <w:sz w:val="24"/>
                <w:highlight w:val="none"/>
              </w:rPr>
            </w:pPr>
            <w:r>
              <w:rPr>
                <w:rFonts w:hint="eastAsia" w:ascii="宋体" w:hAnsi="宋体" w:cs="宋体"/>
                <w:sz w:val="24"/>
                <w:highlight w:val="none"/>
                <w:lang w:bidi="ar"/>
              </w:rPr>
              <w:t>注：如需现场谈判，投标人需在评标半小时内到达评标现场。若因疫情等特殊原因，可进行视频谈判。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在中华人民共和国境内注册的具有独立法人资格或具有独立承担民事责任的能力的其它组织（提供营业证照或事业单位法人证等证明复印件加盖投标人公章）；供应商应</w:t>
            </w:r>
            <w:r>
              <w:rPr>
                <w:rFonts w:ascii="宋体" w:hAnsi="宋体" w:cs="宋体"/>
                <w:kern w:val="0"/>
                <w:sz w:val="24"/>
                <w:highlight w:val="none"/>
              </w:rPr>
              <w:t>具备国家新闻出版署颁发的报纸出版</w:t>
            </w:r>
            <w:r>
              <w:rPr>
                <w:rFonts w:hint="eastAsia" w:ascii="宋体" w:hAnsi="宋体" w:cs="宋体"/>
                <w:kern w:val="0"/>
                <w:sz w:val="24"/>
                <w:highlight w:val="none"/>
              </w:rPr>
              <w:t>许可证，谈判响应文件提供有效的</w:t>
            </w:r>
            <w:r>
              <w:rPr>
                <w:rFonts w:ascii="宋体" w:hAnsi="宋体" w:cs="宋体"/>
                <w:kern w:val="0"/>
                <w:sz w:val="24"/>
                <w:highlight w:val="none"/>
              </w:rPr>
              <w:t>报纸出版</w:t>
            </w:r>
            <w:r>
              <w:rPr>
                <w:rFonts w:hint="eastAsia" w:ascii="宋体" w:hAnsi="宋体" w:cs="宋体"/>
                <w:kern w:val="0"/>
                <w:sz w:val="24"/>
                <w:highlight w:val="none"/>
              </w:rPr>
              <w:t>许可证复印件加盖供应商公章。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参与政府采购项目投标的供应商近三年内无行贿犯罪记录</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参与本项目投标前三年内，在经营活动中没有重大违法记录</w:t>
            </w:r>
            <w:bookmarkStart w:id="32" w:name="_GoBack"/>
            <w:bookmarkEnd w:id="32"/>
            <w:r>
              <w:rPr>
                <w:rFonts w:hint="eastAsia" w:ascii="宋体" w:hAnsi="宋体" w:cs="宋体"/>
                <w:kern w:val="0"/>
                <w:sz w:val="24"/>
                <w:highlight w:val="none"/>
              </w:rPr>
              <w:t>以及不存在被有关部门禁止参与政府采购活动且在有效期内的情况</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采购人信息：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 深圳市前海深港现代服务业合作区管理局</w:t>
            </w:r>
          </w:p>
          <w:p>
            <w:pPr>
              <w:spacing w:line="360" w:lineRule="auto"/>
              <w:rPr>
                <w:rFonts w:ascii="宋体" w:hAnsi="宋体" w:cs="宋体"/>
                <w:kern w:val="0"/>
                <w:sz w:val="24"/>
                <w:highlight w:val="none"/>
              </w:rPr>
            </w:pPr>
            <w:r>
              <w:rPr>
                <w:rFonts w:hint="eastAsia" w:ascii="宋体" w:hAnsi="宋体" w:cs="宋体"/>
                <w:kern w:val="0"/>
                <w:sz w:val="24"/>
                <w:highlight w:val="none"/>
              </w:rPr>
              <w:t>联  系  人：黎主任</w:t>
            </w:r>
          </w:p>
          <w:p>
            <w:pPr>
              <w:spacing w:line="360" w:lineRule="auto"/>
              <w:rPr>
                <w:rFonts w:ascii="宋体" w:hAnsi="宋体" w:cs="宋体"/>
                <w:kern w:val="0"/>
                <w:sz w:val="24"/>
                <w:highlight w:val="none"/>
              </w:rPr>
            </w:pPr>
            <w:r>
              <w:rPr>
                <w:rFonts w:hint="eastAsia" w:ascii="宋体" w:hAnsi="宋体" w:cs="宋体"/>
                <w:kern w:val="0"/>
                <w:sz w:val="24"/>
                <w:highlight w:val="none"/>
              </w:rPr>
              <w:t xml:space="preserve">电      话： </w:t>
            </w:r>
            <w:r>
              <w:rPr>
                <w:rFonts w:ascii="宋体" w:hAnsi="宋体" w:cs="宋体"/>
                <w:kern w:val="0"/>
                <w:sz w:val="24"/>
                <w:highlight w:val="none"/>
              </w:rPr>
              <w:t>0755-88105105</w:t>
            </w:r>
          </w:p>
          <w:p>
            <w:pPr>
              <w:spacing w:line="360" w:lineRule="auto"/>
              <w:rPr>
                <w:rFonts w:ascii="宋体" w:hAnsi="宋体" w:cs="宋体"/>
                <w:kern w:val="0"/>
                <w:sz w:val="24"/>
                <w:highlight w:val="none"/>
              </w:rPr>
            </w:pPr>
            <w:r>
              <w:rPr>
                <w:rFonts w:hint="eastAsia" w:ascii="宋体" w:hAnsi="宋体" w:cs="宋体"/>
                <w:kern w:val="0"/>
                <w:sz w:val="24"/>
                <w:highlight w:val="none"/>
              </w:rPr>
              <w:t>采购代理机构信息：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 深圳交易咨询集团有限公司</w:t>
            </w:r>
          </w:p>
          <w:p>
            <w:pPr>
              <w:spacing w:line="360" w:lineRule="auto"/>
              <w:rPr>
                <w:rFonts w:ascii="宋体" w:hAnsi="宋体" w:cs="宋体"/>
                <w:kern w:val="0"/>
                <w:sz w:val="24"/>
                <w:highlight w:val="none"/>
              </w:rPr>
            </w:pPr>
            <w:r>
              <w:rPr>
                <w:rFonts w:hint="eastAsia" w:ascii="宋体" w:hAnsi="宋体" w:cs="宋体"/>
                <w:kern w:val="0"/>
                <w:sz w:val="24"/>
                <w:highlight w:val="none"/>
              </w:rPr>
              <w:t>地      址： 深圳市南山区沙河西路与白石路交汇处深圳湾科技生态园9栋B4座6楼</w:t>
            </w:r>
          </w:p>
          <w:p>
            <w:pPr>
              <w:spacing w:line="360" w:lineRule="auto"/>
              <w:rPr>
                <w:rFonts w:ascii="宋体" w:hAnsi="宋体" w:cs="宋体"/>
                <w:kern w:val="0"/>
                <w:sz w:val="24"/>
                <w:highlight w:val="none"/>
              </w:rPr>
            </w:pPr>
            <w:r>
              <w:rPr>
                <w:rFonts w:hint="eastAsia" w:ascii="宋体" w:hAnsi="宋体" w:cs="宋体"/>
                <w:kern w:val="0"/>
                <w:sz w:val="24"/>
                <w:highlight w:val="none"/>
              </w:rPr>
              <w:t>联  系  人：黎先生、温先生</w:t>
            </w:r>
          </w:p>
          <w:p>
            <w:pPr>
              <w:spacing w:line="360" w:lineRule="auto"/>
              <w:rPr>
                <w:rFonts w:ascii="宋体" w:hAnsi="宋体" w:cs="宋体"/>
                <w:kern w:val="0"/>
                <w:sz w:val="24"/>
                <w:highlight w:val="none"/>
              </w:rPr>
            </w:pPr>
            <w:r>
              <w:rPr>
                <w:rFonts w:hint="eastAsia" w:ascii="宋体" w:hAnsi="宋体" w:cs="宋体"/>
                <w:kern w:val="0"/>
                <w:sz w:val="24"/>
                <w:highlight w:val="none"/>
              </w:rPr>
              <w:t>电      话：1</w:t>
            </w:r>
            <w:r>
              <w:rPr>
                <w:rFonts w:ascii="宋体" w:hAnsi="宋体" w:cs="宋体"/>
                <w:kern w:val="0"/>
                <w:sz w:val="24"/>
                <w:highlight w:val="none"/>
              </w:rPr>
              <w:t>8598091126</w:t>
            </w:r>
            <w:r>
              <w:rPr>
                <w:rFonts w:hint="eastAsia" w:ascii="宋体" w:hAnsi="宋体" w:cs="宋体"/>
                <w:kern w:val="0"/>
                <w:sz w:val="24"/>
                <w:highlight w:val="none"/>
              </w:rPr>
              <w:t>、13590182490</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2023年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3</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3" w:name="_Toc16734"/>
      <w:r>
        <w:rPr>
          <w:rFonts w:hint="eastAsia" w:ascii="宋体" w:hAnsi="宋体" w:cs="宋体"/>
          <w:b/>
          <w:bCs/>
          <w:sz w:val="24"/>
          <w:highlight w:val="none"/>
        </w:rPr>
        <w:t>投标须知</w:t>
      </w:r>
      <w:bookmarkEnd w:id="3"/>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1、本项目是深圳市前海深港现代服务业合作区管理局的2023年度前海--南山信息采集及发布服务项目。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2、本项目不属于深圳市2023—2024年集中采购目录，根据《中华人民共和国政府采购法》、</w:t>
      </w:r>
      <w:r>
        <w:rPr>
          <w:rFonts w:hint="eastAsia" w:ascii="宋体" w:hAnsi="宋体" w:cs="宋体"/>
          <w:sz w:val="24"/>
          <w:highlight w:val="none"/>
          <w:lang w:eastAsia="zh-CN"/>
        </w:rPr>
        <w:t>《深圳经济特区政府采购条例》</w:t>
      </w:r>
      <w:r>
        <w:rPr>
          <w:rFonts w:hint="eastAsia" w:ascii="宋体" w:hAnsi="宋体" w:cs="宋体"/>
          <w:sz w:val="24"/>
          <w:highlight w:val="none"/>
        </w:rPr>
        <w:t>的有关规定，深圳交易咨询集团有限公司受深圳市前海深港现代服务业合作区管理局委托组织采购，本次采购公开征集供应商，报名且符合招标文件初审的供应商在两家或两家以上，采用综合评分法的方式进行。</w:t>
      </w:r>
      <w:r>
        <w:rPr>
          <w:rFonts w:hint="eastAsia" w:ascii="宋体" w:hAnsi="宋体" w:cs="宋体"/>
          <w:b/>
          <w:bCs/>
          <w:sz w:val="24"/>
          <w:highlight w:val="none"/>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3"/>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3"/>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3"/>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11、采购人将组成评审委员会，评审工作由评审委员会独立负责。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14"/>
        <w:numPr>
          <w:ilvl w:val="1"/>
          <w:numId w:val="4"/>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14"/>
        <w:numPr>
          <w:ilvl w:val="1"/>
          <w:numId w:val="4"/>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4"/>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原则上成交价应在最初报价基础上自动下浮5%。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 xml:space="preserve">   </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ascii="宋体" w:hAnsi="宋体" w:cs="宋体"/>
          <w:sz w:val="24"/>
          <w:highlight w:val="none"/>
        </w:rPr>
        <w:t>账</w:t>
      </w:r>
      <w:r>
        <w:rPr>
          <w:rFonts w:hint="eastAsia" w:ascii="宋体" w:hAnsi="宋体" w:cs="宋体"/>
          <w:sz w:val="24"/>
          <w:highlight w:val="none"/>
        </w:rPr>
        <w:t>号：平安银行深圳江苏大厦支行</w:t>
      </w:r>
    </w:p>
    <w:p>
      <w:pPr>
        <w:spacing w:line="360" w:lineRule="auto"/>
        <w:rPr>
          <w:rFonts w:ascii="宋体" w:hAnsi="宋体" w:cs="宋体"/>
          <w:b/>
          <w:bCs/>
          <w:sz w:val="24"/>
          <w:highlight w:val="none"/>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w:t>
      </w:r>
      <w:r>
        <w:rPr>
          <w:rFonts w:ascii="宋体" w:hAnsi="宋体" w:cs="宋体"/>
          <w:sz w:val="24"/>
          <w:highlight w:val="none"/>
        </w:rPr>
        <w:t>11002982389701</w:t>
      </w:r>
      <w:r>
        <w:rPr>
          <w:rFonts w:hint="eastAsia" w:ascii="宋体" w:hAnsi="宋体" w:cs="宋体"/>
          <w:sz w:val="24"/>
          <w:highlight w:val="none"/>
        </w:rPr>
        <w:t>（用于支付中标服务费）</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4" w:name="_Toc18857"/>
      <w:r>
        <w:rPr>
          <w:rFonts w:hint="eastAsia" w:ascii="宋体" w:hAnsi="宋体" w:cs="宋体"/>
          <w:b/>
          <w:bCs/>
          <w:sz w:val="24"/>
          <w:highlight w:val="none"/>
        </w:rPr>
        <w:t>评标程序</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一、依法成立评审委员会。评审委员会由前海管理局相关工作人员构成，人数要求为三人或三人以上的单数，评审委员会在开标开始前一天组成</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0"/>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四、开标时间：2023年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日下午</w:t>
      </w:r>
      <w:r>
        <w:rPr>
          <w:rFonts w:ascii="宋体" w:hAnsi="宋体" w:cs="宋体"/>
          <w:sz w:val="24"/>
          <w:highlight w:val="none"/>
        </w:rPr>
        <w:t>14</w:t>
      </w:r>
      <w:r>
        <w:rPr>
          <w:rFonts w:hint="eastAsia" w:ascii="宋体" w:hAnsi="宋体" w:cs="宋体"/>
          <w:sz w:val="24"/>
          <w:highlight w:val="none"/>
        </w:rPr>
        <w:t>：30时（北京时间）。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五、投标文件的递交。投标人应将投标文件正本和副本密封，并标明项目编号、招标项目名称及“正本”或“副本”。投标文件提交到采购单位指定办公室（前海大厦</w:t>
      </w:r>
      <w:r>
        <w:rPr>
          <w:rFonts w:hint="eastAsia" w:ascii="宋体" w:hAnsi="宋体" w:cs="宋体"/>
          <w:sz w:val="24"/>
          <w:highlight w:val="none"/>
          <w:lang w:val="en-US" w:eastAsia="zh-CN"/>
        </w:rPr>
        <w:t>T1栋</w:t>
      </w:r>
      <w:r>
        <w:rPr>
          <w:rFonts w:hint="eastAsia" w:ascii="宋体" w:hAnsi="宋体" w:cs="宋体"/>
          <w:sz w:val="24"/>
          <w:highlight w:val="none"/>
        </w:rPr>
        <w:t>2505室），由采购单位工作人员接收投标人递交的投标文件，投标人应在2023年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日下午</w:t>
      </w:r>
      <w:r>
        <w:rPr>
          <w:rFonts w:ascii="宋体" w:hAnsi="宋体" w:cs="宋体"/>
          <w:sz w:val="24"/>
          <w:highlight w:val="none"/>
        </w:rPr>
        <w:t>14</w:t>
      </w:r>
      <w:r>
        <w:rPr>
          <w:rFonts w:hint="eastAsia" w:ascii="宋体" w:hAnsi="宋体" w:cs="宋体"/>
          <w:sz w:val="24"/>
          <w:highlight w:val="none"/>
        </w:rPr>
        <w:t>：30时（北京时间）前送达（现场递交或邮寄）。截标后不再接收任何投标文件。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采用谈判的情况：评审委员会将与投标供应商进行谈判。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 原则上成交价应为最初报价的95%。</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635"/>
      <w:r>
        <w:rPr>
          <w:rFonts w:hint="eastAsia" w:ascii="宋体" w:hAnsi="宋体" w:cs="宋体"/>
          <w:b/>
          <w:bCs/>
          <w:sz w:val="24"/>
          <w:highlight w:val="none"/>
        </w:rPr>
        <w:t>合同格式及合同条款</w:t>
      </w:r>
      <w:bookmarkEnd w:id="5"/>
    </w:p>
    <w:p>
      <w:pPr>
        <w:spacing w:line="360" w:lineRule="auto"/>
        <w:ind w:firstLine="470" w:firstLineChars="196"/>
        <w:jc w:val="center"/>
        <w:rPr>
          <w:rFonts w:ascii="宋体" w:hAnsi="宋体" w:cs="宋体"/>
          <w:sz w:val="24"/>
          <w:highlight w:val="none"/>
        </w:rPr>
      </w:pPr>
      <w:bookmarkStart w:id="6" w:name="_Toc73521680"/>
      <w:bookmarkStart w:id="7" w:name="_Toc101074886"/>
      <w:bookmarkStart w:id="8" w:name="_Toc84303603"/>
      <w:bookmarkStart w:id="9" w:name="_Toc100052414"/>
      <w:bookmarkStart w:id="10" w:name="_Toc73521592"/>
      <w:bookmarkStart w:id="11" w:name="_Toc73518163"/>
      <w:bookmarkStart w:id="12" w:name="_Toc73517685"/>
    </w:p>
    <w:bookmarkEnd w:id="6"/>
    <w:bookmarkEnd w:id="7"/>
    <w:bookmarkEnd w:id="8"/>
    <w:bookmarkEnd w:id="9"/>
    <w:bookmarkEnd w:id="10"/>
    <w:bookmarkEnd w:id="11"/>
    <w:bookmarkEnd w:id="12"/>
    <w:p>
      <w:pPr>
        <w:spacing w:line="360" w:lineRule="auto"/>
        <w:ind w:firstLine="470" w:firstLineChars="196"/>
        <w:rPr>
          <w:rFonts w:ascii="宋体" w:hAnsi="宋体" w:cs="宋体"/>
          <w:sz w:val="24"/>
          <w:highlight w:val="none"/>
        </w:rPr>
      </w:pPr>
    </w:p>
    <w:p>
      <w:pPr>
        <w:pStyle w:val="14"/>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14"/>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14"/>
        <w:spacing w:line="360" w:lineRule="auto"/>
        <w:ind w:left="1470" w:right="1470" w:firstLine="482"/>
        <w:jc w:val="center"/>
        <w:rPr>
          <w:rFonts w:ascii="宋体" w:hAnsi="宋体" w:cs="宋体"/>
          <w:b/>
          <w:sz w:val="24"/>
          <w:szCs w:val="24"/>
          <w:highlight w:val="none"/>
        </w:rPr>
      </w:pPr>
    </w:p>
    <w:p>
      <w:pPr>
        <w:pStyle w:val="14"/>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14"/>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14"/>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bookmarkStart w:id="13" w:name="_Hlk126695682"/>
      <w:r>
        <w:rPr>
          <w:rFonts w:hint="eastAsia" w:ascii="宋体" w:hAnsi="宋体" w:cs="宋体"/>
          <w:b/>
          <w:sz w:val="28"/>
          <w:szCs w:val="28"/>
          <w:highlight w:val="none"/>
        </w:rPr>
        <w:t>2023年度前海--南山信息采集及发布服务项目</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委托合同</w:t>
      </w:r>
    </w:p>
    <w:bookmarkEnd w:id="13"/>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14"/>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2023年度前海--南山信息采集及发布服务项目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二〇二三年  月</w:t>
      </w:r>
    </w:p>
    <w:p>
      <w:pPr>
        <w:spacing w:line="360" w:lineRule="auto"/>
        <w:ind w:firstLine="482" w:firstLineChars="200"/>
        <w:rPr>
          <w:rFonts w:ascii="宋体" w:hAnsi="宋体"/>
          <w:sz w:val="22"/>
          <w:szCs w:val="21"/>
          <w:highlight w:val="none"/>
        </w:rPr>
      </w:pPr>
      <w:r>
        <w:rPr>
          <w:rFonts w:hint="eastAsia" w:ascii="宋体" w:hAnsi="宋体" w:cs="宋体"/>
          <w:b/>
          <w:bCs/>
          <w:sz w:val="24"/>
          <w:highlight w:val="none"/>
        </w:rPr>
        <w:br w:type="page"/>
      </w:r>
      <w:r>
        <w:rPr>
          <w:rFonts w:hint="eastAsia" w:ascii="宋体" w:hAnsi="宋体"/>
          <w:sz w:val="22"/>
          <w:szCs w:val="21"/>
          <w:highlight w:val="none"/>
        </w:rPr>
        <w:t>甲方：深圳市前海深港现代服务业合作区管理局</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地址：深圳市</w:t>
      </w:r>
      <w:r>
        <w:rPr>
          <w:rFonts w:ascii="宋体" w:hAnsi="宋体"/>
          <w:sz w:val="22"/>
          <w:szCs w:val="21"/>
          <w:highlight w:val="none"/>
        </w:rPr>
        <w:t>桂湾五路123号</w:t>
      </w:r>
    </w:p>
    <w:p>
      <w:pPr>
        <w:spacing w:after="120"/>
        <w:rPr>
          <w:rFonts w:ascii="宋体" w:hAnsi="宋体"/>
          <w:sz w:val="22"/>
          <w:szCs w:val="21"/>
          <w:highlight w:val="none"/>
        </w:rPr>
      </w:pP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乙方：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地址：</w:t>
      </w:r>
      <w:r>
        <w:rPr>
          <w:rFonts w:ascii="宋体" w:hAnsi="宋体"/>
          <w:sz w:val="22"/>
          <w:szCs w:val="21"/>
          <w:highlight w:val="none"/>
        </w:rPr>
        <w:t xml:space="preserve"> </w:t>
      </w:r>
    </w:p>
    <w:p>
      <w:pPr>
        <w:spacing w:line="360" w:lineRule="auto"/>
        <w:ind w:firstLine="440" w:firstLineChars="200"/>
        <w:rPr>
          <w:rFonts w:ascii="宋体" w:hAnsi="宋体"/>
          <w:sz w:val="22"/>
          <w:szCs w:val="21"/>
          <w:highlight w:val="none"/>
        </w:rPr>
      </w:pP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根据《中华人民共和国</w:t>
      </w:r>
      <w:r>
        <w:rPr>
          <w:rFonts w:ascii="宋体" w:hAnsi="宋体"/>
          <w:sz w:val="22"/>
          <w:szCs w:val="21"/>
          <w:highlight w:val="none"/>
        </w:rPr>
        <w:t>民法典</w:t>
      </w:r>
      <w:r>
        <w:rPr>
          <w:rFonts w:hint="eastAsia" w:ascii="宋体" w:hAnsi="宋体"/>
          <w:sz w:val="22"/>
          <w:szCs w:val="21"/>
          <w:highlight w:val="none"/>
        </w:rPr>
        <w:t>》等法律、法规的相关规定，经友好协商，甲乙双方就甲方委托乙方承担《</w:t>
      </w:r>
      <w:r>
        <w:rPr>
          <w:rFonts w:ascii="宋体" w:hAnsi="宋体"/>
          <w:sz w:val="22"/>
          <w:szCs w:val="21"/>
          <w:highlight w:val="none"/>
        </w:rPr>
        <w:t>2023年度前海--南山信息采集及发布服务项目</w:t>
      </w:r>
      <w:r>
        <w:rPr>
          <w:rFonts w:hint="eastAsia" w:ascii="宋体" w:hAnsi="宋体"/>
          <w:sz w:val="22"/>
          <w:szCs w:val="21"/>
          <w:highlight w:val="none"/>
        </w:rPr>
        <w:t>》（以下简称“本项目”）工作事宜达成一致，约定如下：</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一、项目内容</w:t>
      </w:r>
    </w:p>
    <w:p>
      <w:pPr>
        <w:spacing w:line="360" w:lineRule="auto"/>
        <w:ind w:firstLine="442" w:firstLineChars="200"/>
        <w:jc w:val="left"/>
        <w:rPr>
          <w:rFonts w:ascii="宋体" w:hAnsi="宋体"/>
          <w:b/>
          <w:bCs/>
          <w:sz w:val="22"/>
          <w:szCs w:val="21"/>
          <w:highlight w:val="none"/>
          <w:lang w:val="zh-CN"/>
        </w:rPr>
      </w:pPr>
      <w:r>
        <w:rPr>
          <w:rFonts w:ascii="宋体" w:hAnsi="宋体"/>
          <w:b/>
          <w:bCs/>
          <w:sz w:val="22"/>
          <w:szCs w:val="21"/>
          <w:highlight w:val="none"/>
          <w:lang w:val="zh-CN"/>
        </w:rPr>
        <w:t>（一）</w:t>
      </w:r>
      <w:r>
        <w:rPr>
          <w:rFonts w:hint="eastAsia" w:ascii="宋体" w:hAnsi="宋体"/>
          <w:b/>
          <w:bCs/>
          <w:sz w:val="22"/>
          <w:szCs w:val="21"/>
          <w:highlight w:val="none"/>
          <w:lang w:val="zh-CN"/>
        </w:rPr>
        <w:t>项目背景</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前海作为习近平总书记亲自谋划、亲自部署、亲自推动的新时代国家改革开放战略平台，十年间，从一片滩涂起步，到现在已经成为中国发展最快、质量最高、效益最好的区域之一。为更好呈现前海扩区后的发展成就，打造展示前海形象的对外窗口，拟通过信息采集及发布服务项目，助力前海打造创意先行、融媒互动的信息采集、发布平台。</w:t>
      </w:r>
    </w:p>
    <w:p>
      <w:pPr>
        <w:spacing w:line="360" w:lineRule="auto"/>
        <w:ind w:firstLine="442" w:firstLineChars="200"/>
        <w:rPr>
          <w:rFonts w:ascii="宋体" w:hAnsi="宋体"/>
          <w:b/>
          <w:sz w:val="22"/>
          <w:szCs w:val="21"/>
          <w:highlight w:val="none"/>
        </w:rPr>
      </w:pPr>
      <w:r>
        <w:rPr>
          <w:rFonts w:hint="eastAsia" w:ascii="宋体" w:hAnsi="宋体"/>
          <w:b/>
          <w:sz w:val="22"/>
          <w:szCs w:val="21"/>
          <w:highlight w:val="none"/>
        </w:rPr>
        <w:t>（二）项目目标</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rPr>
        <w:t>通过开展项目，建立前海－南山”新闻信息库，在纸媒发布系列特刊，围绕前海扩区后的改革开放各项工作，开展深入持续的宣传推广，进一步促进前海扩区深入人心</w:t>
      </w:r>
      <w:r>
        <w:rPr>
          <w:rFonts w:hint="eastAsia" w:ascii="宋体" w:hAnsi="宋体"/>
          <w:sz w:val="22"/>
          <w:szCs w:val="21"/>
          <w:highlight w:val="none"/>
          <w:lang w:val="zh-CN"/>
        </w:rPr>
        <w:t>。</w:t>
      </w:r>
    </w:p>
    <w:p>
      <w:pPr>
        <w:numPr>
          <w:ilvl w:val="255"/>
          <w:numId w:val="0"/>
        </w:numPr>
        <w:spacing w:line="360" w:lineRule="auto"/>
        <w:ind w:firstLine="442" w:firstLineChars="200"/>
        <w:jc w:val="left"/>
        <w:rPr>
          <w:rFonts w:ascii="宋体" w:hAnsi="宋体"/>
          <w:b/>
          <w:bCs/>
          <w:sz w:val="22"/>
          <w:szCs w:val="21"/>
          <w:highlight w:val="none"/>
          <w:lang w:val="zh-CN"/>
        </w:rPr>
      </w:pPr>
      <w:r>
        <w:rPr>
          <w:rFonts w:ascii="宋体" w:hAnsi="宋体"/>
          <w:b/>
          <w:bCs/>
          <w:sz w:val="22"/>
          <w:szCs w:val="21"/>
          <w:highlight w:val="none"/>
        </w:rPr>
        <w:t>（</w:t>
      </w:r>
      <w:r>
        <w:rPr>
          <w:rFonts w:hint="eastAsia" w:ascii="宋体" w:hAnsi="宋体"/>
          <w:b/>
          <w:bCs/>
          <w:sz w:val="22"/>
          <w:szCs w:val="21"/>
          <w:highlight w:val="none"/>
        </w:rPr>
        <w:t>三</w:t>
      </w:r>
      <w:r>
        <w:rPr>
          <w:rFonts w:ascii="宋体" w:hAnsi="宋体"/>
          <w:b/>
          <w:bCs/>
          <w:sz w:val="22"/>
          <w:szCs w:val="21"/>
          <w:highlight w:val="none"/>
        </w:rPr>
        <w:t>）</w:t>
      </w:r>
      <w:r>
        <w:rPr>
          <w:rFonts w:hint="eastAsia" w:ascii="宋体" w:hAnsi="宋体"/>
          <w:b/>
          <w:bCs/>
          <w:sz w:val="22"/>
          <w:szCs w:val="21"/>
          <w:highlight w:val="none"/>
        </w:rPr>
        <w:t>项目内容</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1.“前海－南山”新闻信息库的建立及日常信息采集、更新，信息包括但不限于媒体报道、文字、图片、活动视频、空镜头等；全年采写图文产品120条。</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2.搭建“1+1+1”传媒团队，即一组驻站记者团队、一组新媒体团队、一组后端技术支撑团队（包含1名驻站记者，3-4人后端团队）。</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3. 以新城建设、衣食住行等角度，推出短视频（1-3分钟）6条，其中每1条视频全网浏览量不低于10万。</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4. 根据提供的新媒体产品，通过</w:t>
      </w:r>
      <w:r>
        <w:rPr>
          <w:rFonts w:hint="eastAsia" w:ascii="宋体" w:hAnsi="宋体"/>
          <w:sz w:val="22"/>
          <w:szCs w:val="21"/>
          <w:highlight w:val="none"/>
          <w:lang w:eastAsia="zh-Hans"/>
        </w:rPr>
        <w:t>南山区级官方报纸媒体</w:t>
      </w:r>
      <w:r>
        <w:rPr>
          <w:rFonts w:hint="eastAsia" w:ascii="宋体" w:hAnsi="宋体"/>
          <w:sz w:val="22"/>
          <w:szCs w:val="21"/>
          <w:highlight w:val="none"/>
          <w:lang w:val="zh-CN"/>
        </w:rPr>
        <w:t>、官方微信公众号和视频号，以及</w:t>
      </w:r>
      <w:r>
        <w:rPr>
          <w:rFonts w:hint="eastAsia" w:ascii="宋体" w:hAnsi="宋体"/>
          <w:sz w:val="22"/>
          <w:szCs w:val="21"/>
          <w:highlight w:val="none"/>
          <w:lang w:eastAsia="zh-Hans"/>
        </w:rPr>
        <w:t>媒体自有</w:t>
      </w:r>
      <w:r>
        <w:rPr>
          <w:rFonts w:hint="eastAsia" w:ascii="宋体" w:hAnsi="宋体"/>
          <w:sz w:val="22"/>
          <w:szCs w:val="21"/>
          <w:highlight w:val="none"/>
          <w:lang w:val="zh-CN"/>
        </w:rPr>
        <w:t>App、人民日报客户端等新媒体平台全年发布各类信息50条。</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5.策划在</w:t>
      </w:r>
      <w:r>
        <w:rPr>
          <w:rFonts w:hint="eastAsia" w:ascii="宋体" w:hAnsi="宋体"/>
          <w:sz w:val="22"/>
          <w:szCs w:val="21"/>
          <w:highlight w:val="none"/>
          <w:lang w:eastAsia="zh-Hans"/>
        </w:rPr>
        <w:t>南山区级官方报纸媒体</w:t>
      </w:r>
      <w:r>
        <w:rPr>
          <w:rFonts w:hint="eastAsia" w:ascii="宋体" w:hAnsi="宋体"/>
          <w:sz w:val="22"/>
          <w:szCs w:val="21"/>
          <w:highlight w:val="none"/>
          <w:lang w:val="zh-CN"/>
        </w:rPr>
        <w:t>、微信公众号上推出五期特刊，以每期一主题的方式，深入观察前海的政策优势与南山的资源禀赋如何有机结合，在教育、医疗、产业、综合执法、安全、社区等方面取得了哪些工作成效，以小切口、大视角的方式呈现给读者扩区后前海的变化和魅力。</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6、策划一期线下活动，组织前海香港青年看前海南山活动，联合居深港人联谊会，走进前海南山，看企业、观人文，了解扩区后的前海和蓬勃发展的前海南山。</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7、根据需要，不定期在</w:t>
      </w:r>
      <w:r>
        <w:rPr>
          <w:rFonts w:hint="eastAsia" w:ascii="宋体" w:hAnsi="宋体"/>
          <w:sz w:val="22"/>
          <w:szCs w:val="21"/>
          <w:highlight w:val="none"/>
          <w:lang w:eastAsia="zh-Hans"/>
        </w:rPr>
        <w:t>南山区级官方报纸媒体</w:t>
      </w:r>
      <w:r>
        <w:rPr>
          <w:rFonts w:hint="eastAsia" w:ascii="宋体" w:hAnsi="宋体"/>
          <w:sz w:val="22"/>
          <w:szCs w:val="21"/>
          <w:highlight w:val="none"/>
          <w:lang w:val="zh-CN"/>
        </w:rPr>
        <w:t>推出设定栏目名和LOGO的前海专栏。</w:t>
      </w:r>
    </w:p>
    <w:p>
      <w:pPr>
        <w:spacing w:line="360" w:lineRule="auto"/>
        <w:ind w:firstLine="440" w:firstLineChars="200"/>
        <w:rPr>
          <w:rFonts w:ascii="宋体" w:hAnsi="宋体"/>
          <w:sz w:val="22"/>
          <w:szCs w:val="21"/>
          <w:highlight w:val="none"/>
          <w:lang w:val="zh-CN"/>
        </w:rPr>
      </w:pPr>
      <w:r>
        <w:rPr>
          <w:rFonts w:hint="eastAsia" w:ascii="宋体" w:hAnsi="宋体"/>
          <w:sz w:val="22"/>
          <w:szCs w:val="21"/>
          <w:highlight w:val="none"/>
          <w:lang w:val="zh-CN"/>
        </w:rPr>
        <w:t>8、根据安排，服务好主要领导重要活动新闻，提供通稿。</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（四）最终成果及项目验收</w:t>
      </w:r>
    </w:p>
    <w:p>
      <w:pPr>
        <w:spacing w:line="360" w:lineRule="auto"/>
        <w:ind w:firstLine="440" w:firstLineChars="200"/>
        <w:rPr>
          <w:rFonts w:ascii="宋体" w:hAnsi="宋体"/>
          <w:bCs/>
          <w:sz w:val="22"/>
          <w:szCs w:val="21"/>
          <w:highlight w:val="none"/>
        </w:rPr>
      </w:pPr>
      <w:bookmarkStart w:id="14" w:name="_Hlk73025632"/>
      <w:r>
        <w:rPr>
          <w:rFonts w:hint="eastAsia" w:ascii="宋体" w:hAnsi="宋体"/>
          <w:bCs/>
          <w:sz w:val="22"/>
          <w:szCs w:val="21"/>
          <w:highlight w:val="none"/>
        </w:rPr>
        <w:t>1.最终成果</w:t>
      </w:r>
    </w:p>
    <w:p>
      <w:pPr>
        <w:spacing w:line="360" w:lineRule="auto"/>
        <w:ind w:firstLine="440" w:firstLineChars="200"/>
        <w:rPr>
          <w:rFonts w:ascii="宋体" w:hAnsi="宋体"/>
          <w:bCs/>
          <w:sz w:val="22"/>
          <w:szCs w:val="21"/>
          <w:highlight w:val="none"/>
        </w:rPr>
      </w:pPr>
      <w:r>
        <w:rPr>
          <w:rFonts w:hint="eastAsia" w:ascii="宋体" w:hAnsi="宋体"/>
          <w:bCs/>
          <w:sz w:val="22"/>
          <w:szCs w:val="21"/>
          <w:highlight w:val="none"/>
        </w:rPr>
        <w:t>本项目最终成果为“前海－南山”新闻信息库的建立及日常信息采集、更新，全年采写图文产品120条；搭建“1+1+1”传媒团队；以新城建设、衣食住行等角度，推出短视频（1-3分钟）6条，其中每1条视频全网浏览量不低于10万；通过</w:t>
      </w:r>
      <w:r>
        <w:rPr>
          <w:rFonts w:hint="eastAsia" w:ascii="宋体" w:hAnsi="宋体"/>
          <w:sz w:val="22"/>
          <w:szCs w:val="21"/>
          <w:highlight w:val="none"/>
          <w:lang w:eastAsia="zh-Hans"/>
        </w:rPr>
        <w:t>南山区级官方报纸媒体</w:t>
      </w:r>
      <w:r>
        <w:rPr>
          <w:rFonts w:hint="eastAsia" w:ascii="宋体" w:hAnsi="宋体"/>
          <w:bCs/>
          <w:sz w:val="22"/>
          <w:szCs w:val="21"/>
          <w:highlight w:val="none"/>
        </w:rPr>
        <w:t>、官方微信公众号和视频号，以及“</w:t>
      </w:r>
      <w:r>
        <w:rPr>
          <w:rFonts w:hint="eastAsia" w:ascii="宋体" w:hAnsi="宋体"/>
          <w:bCs/>
          <w:sz w:val="22"/>
          <w:szCs w:val="21"/>
          <w:highlight w:val="none"/>
          <w:lang w:eastAsia="zh-Hans"/>
        </w:rPr>
        <w:t>媒体自有app</w:t>
      </w:r>
      <w:r>
        <w:rPr>
          <w:rFonts w:hint="eastAsia" w:ascii="宋体" w:hAnsi="宋体"/>
          <w:bCs/>
          <w:sz w:val="22"/>
          <w:szCs w:val="21"/>
          <w:highlight w:val="none"/>
        </w:rPr>
        <w:t>、人民日报客户端等新媒体平台全年发布各类信息50条；策划在</w:t>
      </w:r>
      <w:r>
        <w:rPr>
          <w:rFonts w:hint="eastAsia" w:ascii="宋体" w:hAnsi="宋体"/>
          <w:sz w:val="22"/>
          <w:szCs w:val="21"/>
          <w:highlight w:val="none"/>
          <w:lang w:eastAsia="zh-Hans"/>
        </w:rPr>
        <w:t>南山区级官方报纸媒体</w:t>
      </w:r>
      <w:r>
        <w:rPr>
          <w:rFonts w:hint="eastAsia" w:ascii="宋体" w:hAnsi="宋体"/>
          <w:bCs/>
          <w:sz w:val="22"/>
          <w:szCs w:val="21"/>
          <w:highlight w:val="none"/>
        </w:rPr>
        <w:t>、微信公众号上推出五期特刊；策划一期线下活动，组织前海香港青年看前海南山活动；根据需要，不定期在</w:t>
      </w:r>
      <w:r>
        <w:rPr>
          <w:rFonts w:hint="eastAsia" w:ascii="宋体" w:hAnsi="宋体"/>
          <w:sz w:val="22"/>
          <w:szCs w:val="21"/>
          <w:highlight w:val="none"/>
          <w:lang w:eastAsia="zh-Hans"/>
        </w:rPr>
        <w:t>南山区级官方报纸媒体</w:t>
      </w:r>
      <w:r>
        <w:rPr>
          <w:rFonts w:hint="eastAsia" w:ascii="宋体" w:hAnsi="宋体"/>
          <w:bCs/>
          <w:sz w:val="22"/>
          <w:szCs w:val="21"/>
          <w:highlight w:val="none"/>
        </w:rPr>
        <w:t>推出设定栏目名和LOGO的前海专栏。成果以书面形式（按甲方要求数量印制）和电子文件形式提交（成果名称可根据实际研究内容调整）。</w:t>
      </w:r>
    </w:p>
    <w:p>
      <w:pPr>
        <w:spacing w:line="360" w:lineRule="auto"/>
        <w:ind w:firstLine="440" w:firstLineChars="200"/>
        <w:rPr>
          <w:rFonts w:ascii="宋体" w:hAnsi="宋体"/>
          <w:bCs/>
          <w:sz w:val="22"/>
          <w:szCs w:val="21"/>
          <w:highlight w:val="none"/>
        </w:rPr>
      </w:pPr>
      <w:r>
        <w:rPr>
          <w:rFonts w:hint="eastAsia" w:ascii="宋体" w:hAnsi="宋体"/>
          <w:bCs/>
          <w:sz w:val="22"/>
          <w:szCs w:val="21"/>
          <w:highlight w:val="none"/>
        </w:rPr>
        <w:t>在合同履行过程中，必要时，甲方可以对最终成果的构成进行调整。甲方如需乙方增加交付成果文本的数量，应由双方协商解决。</w:t>
      </w:r>
    </w:p>
    <w:p>
      <w:pPr>
        <w:spacing w:line="360" w:lineRule="auto"/>
        <w:ind w:firstLine="440" w:firstLineChars="200"/>
        <w:rPr>
          <w:rFonts w:ascii="宋体" w:hAnsi="宋体"/>
          <w:bCs/>
          <w:sz w:val="22"/>
          <w:szCs w:val="21"/>
          <w:highlight w:val="none"/>
        </w:rPr>
      </w:pPr>
      <w:r>
        <w:rPr>
          <w:rFonts w:hint="eastAsia" w:ascii="宋体" w:hAnsi="宋体"/>
          <w:bCs/>
          <w:sz w:val="22"/>
          <w:szCs w:val="21"/>
          <w:highlight w:val="none"/>
        </w:rPr>
        <w:t>2.项目验收</w:t>
      </w:r>
    </w:p>
    <w:p>
      <w:pPr>
        <w:spacing w:line="360" w:lineRule="auto"/>
        <w:ind w:firstLine="440" w:firstLineChars="200"/>
        <w:rPr>
          <w:rFonts w:ascii="宋体" w:hAnsi="宋体"/>
          <w:bCs/>
          <w:sz w:val="22"/>
          <w:szCs w:val="21"/>
          <w:highlight w:val="none"/>
        </w:rPr>
      </w:pPr>
      <w:r>
        <w:rPr>
          <w:rFonts w:hint="eastAsia" w:ascii="宋体" w:hAnsi="宋体"/>
          <w:bCs/>
          <w:sz w:val="22"/>
          <w:szCs w:val="21"/>
          <w:highlight w:val="none"/>
        </w:rPr>
        <w:t>（1）验收标准（包括但不限于）：</w:t>
      </w:r>
    </w:p>
    <w:p>
      <w:pPr>
        <w:spacing w:line="360" w:lineRule="auto"/>
        <w:ind w:firstLine="440" w:firstLineChars="200"/>
        <w:rPr>
          <w:rFonts w:ascii="宋体" w:hAnsi="宋体"/>
          <w:bCs/>
          <w:sz w:val="22"/>
          <w:szCs w:val="21"/>
          <w:highlight w:val="none"/>
        </w:rPr>
      </w:pPr>
      <w:r>
        <w:rPr>
          <w:rFonts w:hint="eastAsia" w:ascii="宋体" w:hAnsi="宋体"/>
          <w:bCs/>
          <w:sz w:val="22"/>
          <w:szCs w:val="21"/>
          <w:highlight w:val="none"/>
        </w:rPr>
        <w:t>“前海－南山”新闻信息库的建立及日常信息采集、更新，全年采写图文产品120条；搭建“1+1+1”传媒团队；以新城建设、衣食住行等角度，推出短视频（1-3分钟）6条，其中每1条视频全网浏览量不低于10万；通过</w:t>
      </w:r>
      <w:r>
        <w:rPr>
          <w:rFonts w:hint="eastAsia" w:ascii="宋体" w:hAnsi="宋体"/>
          <w:sz w:val="22"/>
          <w:szCs w:val="21"/>
          <w:highlight w:val="none"/>
          <w:lang w:eastAsia="zh-Hans"/>
        </w:rPr>
        <w:t>南山区级官方报纸媒体</w:t>
      </w:r>
      <w:r>
        <w:rPr>
          <w:rFonts w:hint="eastAsia" w:ascii="宋体" w:hAnsi="宋体"/>
          <w:bCs/>
          <w:sz w:val="22"/>
          <w:szCs w:val="21"/>
          <w:highlight w:val="none"/>
        </w:rPr>
        <w:t>、官方微信公众号和视频号，以及</w:t>
      </w:r>
      <w:r>
        <w:rPr>
          <w:rFonts w:hint="eastAsia" w:ascii="宋体" w:hAnsi="宋体"/>
          <w:bCs/>
          <w:sz w:val="22"/>
          <w:szCs w:val="21"/>
          <w:highlight w:val="none"/>
          <w:lang w:eastAsia="zh-Hans"/>
        </w:rPr>
        <w:t>媒体自有</w:t>
      </w:r>
      <w:r>
        <w:rPr>
          <w:rFonts w:hint="eastAsia" w:ascii="宋体" w:hAnsi="宋体"/>
          <w:bCs/>
          <w:sz w:val="22"/>
          <w:szCs w:val="21"/>
          <w:highlight w:val="none"/>
        </w:rPr>
        <w:t>App、人民日报客户端等新媒体平台全年发布各类信息50条；策划在</w:t>
      </w:r>
      <w:r>
        <w:rPr>
          <w:rFonts w:hint="eastAsia" w:ascii="宋体" w:hAnsi="宋体"/>
          <w:sz w:val="22"/>
          <w:szCs w:val="21"/>
          <w:highlight w:val="none"/>
          <w:lang w:eastAsia="zh-Hans"/>
        </w:rPr>
        <w:t>南山区级官方报纸媒体</w:t>
      </w:r>
      <w:r>
        <w:rPr>
          <w:rFonts w:hint="eastAsia" w:ascii="宋体" w:hAnsi="宋体"/>
          <w:bCs/>
          <w:sz w:val="22"/>
          <w:szCs w:val="21"/>
          <w:highlight w:val="none"/>
        </w:rPr>
        <w:t>、微信公众号上推出五期特刊；策划一期线下活动，组织前海香港青年看前海南山活动；根据需要，不定期在</w:t>
      </w:r>
      <w:r>
        <w:rPr>
          <w:rFonts w:hint="eastAsia" w:ascii="宋体" w:hAnsi="宋体"/>
          <w:sz w:val="22"/>
          <w:szCs w:val="21"/>
          <w:highlight w:val="none"/>
          <w:lang w:eastAsia="zh-Hans"/>
        </w:rPr>
        <w:t>南山区级官方报纸媒体</w:t>
      </w:r>
      <w:r>
        <w:rPr>
          <w:rFonts w:hint="eastAsia" w:ascii="宋体" w:hAnsi="宋体"/>
          <w:bCs/>
          <w:sz w:val="22"/>
          <w:szCs w:val="21"/>
          <w:highlight w:val="none"/>
        </w:rPr>
        <w:t>推出设定栏目名和LOGO的前海专栏。</w:t>
      </w:r>
    </w:p>
    <w:p>
      <w:pPr>
        <w:spacing w:line="360" w:lineRule="auto"/>
        <w:ind w:firstLine="440" w:firstLineChars="200"/>
        <w:rPr>
          <w:rFonts w:ascii="宋体" w:hAnsi="宋体"/>
          <w:bCs/>
          <w:sz w:val="22"/>
          <w:szCs w:val="21"/>
          <w:highlight w:val="none"/>
        </w:rPr>
      </w:pPr>
      <w:r>
        <w:rPr>
          <w:rFonts w:hint="eastAsia" w:ascii="宋体" w:hAnsi="宋体"/>
          <w:bCs/>
          <w:sz w:val="22"/>
          <w:szCs w:val="21"/>
          <w:highlight w:val="none"/>
        </w:rPr>
        <w:t>（2）最终成果验收合格的标志为：通过甲方相关负责人审核通过。</w:t>
      </w:r>
    </w:p>
    <w:bookmarkEnd w:id="14"/>
    <w:p>
      <w:pPr>
        <w:spacing w:line="360" w:lineRule="auto"/>
        <w:ind w:firstLine="442" w:firstLineChars="200"/>
        <w:jc w:val="left"/>
        <w:rPr>
          <w:rFonts w:ascii="宋体" w:hAnsi="宋体"/>
          <w:b/>
          <w:bCs/>
          <w:sz w:val="22"/>
          <w:szCs w:val="21"/>
          <w:highlight w:val="none"/>
          <w:lang w:val="zh-CN"/>
        </w:rPr>
      </w:pPr>
      <w:r>
        <w:rPr>
          <w:rFonts w:hint="eastAsia" w:ascii="宋体" w:hAnsi="宋体"/>
          <w:b/>
          <w:bCs/>
          <w:sz w:val="22"/>
          <w:szCs w:val="21"/>
          <w:highlight w:val="none"/>
          <w:lang w:val="zh-CN"/>
        </w:rPr>
        <w:t>二、项目服务期限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本项目为长期服务项目，合同期为一年，合同期满后，对乙方进行履约评价，评价优秀的可进行合同续期，如</w:t>
      </w:r>
      <w:r>
        <w:rPr>
          <w:rFonts w:ascii="宋体" w:hAnsi="宋体" w:cs="宋体"/>
          <w:szCs w:val="21"/>
          <w:highlight w:val="none"/>
        </w:rPr>
        <w:t>续期，一次续期不应超过</w:t>
      </w:r>
      <w:r>
        <w:rPr>
          <w:rFonts w:hint="eastAsia" w:ascii="宋体" w:hAnsi="宋体" w:cs="宋体"/>
          <w:szCs w:val="21"/>
          <w:highlight w:val="none"/>
        </w:rPr>
        <w:t>采购</w:t>
      </w:r>
      <w:r>
        <w:rPr>
          <w:rFonts w:ascii="宋体" w:hAnsi="宋体" w:cs="宋体"/>
          <w:szCs w:val="21"/>
          <w:highlight w:val="none"/>
        </w:rPr>
        <w:t>合同期限，</w:t>
      </w:r>
      <w:r>
        <w:rPr>
          <w:rFonts w:hint="eastAsia" w:ascii="宋体" w:hAnsi="宋体" w:cs="宋体"/>
          <w:szCs w:val="21"/>
          <w:highlight w:val="none"/>
        </w:rPr>
        <w:t>续期最多不超过两次。续期的合同实质性内容不得改变。</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三、双方的权利义务</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（一）甲方的权利义务</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1.甲方有权向乙方询问项目工作进展及相关情况，并要求乙方在指定时间内做出答复。</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2.甲方有权对乙方提交的阶段性成果、最终成果送审稿等相关文件进行审核并提出修改意见。</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4.甲方对乙方在委托权限范围内完成委托事项有指导、监督权利。</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9.甲方应按照本合同的约定向乙方支付服务费用。</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10.甲方指定项目联系人：</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姓名：                  </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联系方式：</w:t>
      </w:r>
    </w:p>
    <w:p>
      <w:pPr>
        <w:spacing w:line="360" w:lineRule="auto"/>
        <w:ind w:firstLine="440" w:firstLineChars="200"/>
        <w:rPr>
          <w:rFonts w:ascii="宋体" w:hAnsi="宋体"/>
          <w:sz w:val="22"/>
          <w:szCs w:val="21"/>
          <w:highlight w:val="none"/>
        </w:rPr>
      </w:pPr>
      <w:r>
        <w:rPr>
          <w:rFonts w:ascii="宋体" w:hAnsi="宋体"/>
          <w:sz w:val="22"/>
          <w:szCs w:val="21"/>
          <w:highlight w:val="none"/>
        </w:rPr>
        <w:t xml:space="preserve">  </w:t>
      </w:r>
      <w:r>
        <w:rPr>
          <w:rFonts w:hint="eastAsia" w:ascii="宋体" w:hAnsi="宋体"/>
          <w:sz w:val="22"/>
          <w:szCs w:val="21"/>
          <w:highlight w:val="none"/>
        </w:rPr>
        <w:t>（二）乙方的权利义务</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11.乙方指定项目联系人</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姓名：</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联系方式：</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四、项目服务费用及付款方式</w:t>
      </w:r>
    </w:p>
    <w:p>
      <w:pPr>
        <w:spacing w:line="360" w:lineRule="auto"/>
        <w:ind w:firstLine="440" w:firstLineChars="200"/>
        <w:rPr>
          <w:rFonts w:ascii="宋体" w:hAnsi="宋体"/>
          <w:b/>
          <w:bCs/>
          <w:sz w:val="22"/>
          <w:szCs w:val="21"/>
          <w:highlight w:val="none"/>
        </w:rPr>
      </w:pPr>
      <w:r>
        <w:rPr>
          <w:rFonts w:hint="eastAsia" w:ascii="宋体" w:hAnsi="宋体"/>
          <w:sz w:val="22"/>
          <w:szCs w:val="21"/>
          <w:highlight w:val="none"/>
        </w:rPr>
        <w:t>（一）本合同项下服务费总金额共计人民币</w:t>
      </w:r>
      <w:r>
        <w:rPr>
          <w:rFonts w:ascii="宋体" w:hAnsi="宋体"/>
          <w:sz w:val="22"/>
          <w:szCs w:val="21"/>
          <w:highlight w:val="none"/>
          <w:u w:val="single"/>
        </w:rPr>
        <w:t xml:space="preserve"> </w:t>
      </w:r>
      <w:r>
        <w:rPr>
          <w:rFonts w:hint="eastAsia" w:ascii="宋体" w:hAnsi="宋体"/>
          <w:sz w:val="22"/>
          <w:szCs w:val="21"/>
          <w:highlight w:val="none"/>
          <w:u w:val="single"/>
        </w:rPr>
        <w:t xml:space="preserve">¥ </w:t>
      </w:r>
      <w:r>
        <w:rPr>
          <w:rFonts w:ascii="宋体" w:hAnsi="宋体"/>
          <w:sz w:val="22"/>
          <w:szCs w:val="21"/>
          <w:highlight w:val="none"/>
          <w:u w:val="single"/>
        </w:rPr>
        <w:t>（人民币</w:t>
      </w:r>
      <w:r>
        <w:rPr>
          <w:rFonts w:hint="eastAsia" w:ascii="宋体" w:hAnsi="宋体"/>
          <w:sz w:val="22"/>
          <w:szCs w:val="21"/>
          <w:highlight w:val="none"/>
          <w:u w:val="single"/>
        </w:rPr>
        <w:t xml:space="preserve">  元</w:t>
      </w:r>
      <w:r>
        <w:rPr>
          <w:rFonts w:ascii="宋体" w:hAnsi="宋体"/>
          <w:sz w:val="22"/>
          <w:szCs w:val="21"/>
          <w:highlight w:val="none"/>
          <w:u w:val="single"/>
        </w:rPr>
        <w:t>整）</w:t>
      </w:r>
      <w:r>
        <w:rPr>
          <w:rFonts w:hint="eastAsia" w:ascii="宋体" w:hAnsi="宋体"/>
          <w:sz w:val="22"/>
          <w:szCs w:val="21"/>
          <w:highlight w:val="none"/>
        </w:rPr>
        <w:t>（含税）。服务费已包含乙方提供本合同项下服务的全部费用。包括但不限于如下内容：</w:t>
      </w:r>
      <w:r>
        <w:rPr>
          <w:rFonts w:ascii="宋体" w:hAnsi="宋体"/>
          <w:sz w:val="22"/>
          <w:szCs w:val="21"/>
          <w:highlight w:val="none"/>
        </w:rPr>
        <w:t>1.</w:t>
      </w:r>
      <w:r>
        <w:rPr>
          <w:rFonts w:hint="eastAsia" w:ascii="宋体" w:hAnsi="宋体"/>
          <w:sz w:val="22"/>
          <w:szCs w:val="21"/>
          <w:highlight w:val="none"/>
        </w:rPr>
        <w:t>乙方为甲方所提供的所有服务和技术支持费用；</w:t>
      </w:r>
      <w:r>
        <w:rPr>
          <w:rFonts w:ascii="宋体" w:hAnsi="宋体"/>
          <w:sz w:val="22"/>
          <w:szCs w:val="21"/>
          <w:highlight w:val="none"/>
        </w:rPr>
        <w:t>2.</w:t>
      </w:r>
      <w:r>
        <w:rPr>
          <w:rFonts w:hint="eastAsia" w:ascii="宋体" w:hAnsi="宋体"/>
          <w:sz w:val="22"/>
          <w:szCs w:val="21"/>
          <w:highlight w:val="none"/>
        </w:rPr>
        <w:t>项目研讨会费用；</w:t>
      </w:r>
      <w:r>
        <w:rPr>
          <w:rFonts w:ascii="宋体" w:hAnsi="宋体"/>
          <w:sz w:val="22"/>
          <w:szCs w:val="21"/>
          <w:highlight w:val="none"/>
        </w:rPr>
        <w:t>3.</w:t>
      </w:r>
      <w:r>
        <w:rPr>
          <w:rFonts w:hint="eastAsia" w:ascii="宋体" w:hAnsi="宋体"/>
          <w:sz w:val="22"/>
          <w:szCs w:val="21"/>
          <w:highlight w:val="none"/>
        </w:rPr>
        <w:t>项目产生的专家费用；</w:t>
      </w:r>
      <w:r>
        <w:rPr>
          <w:rFonts w:ascii="宋体" w:hAnsi="宋体"/>
          <w:sz w:val="22"/>
          <w:szCs w:val="21"/>
          <w:highlight w:val="none"/>
        </w:rPr>
        <w:t>4.</w:t>
      </w:r>
      <w:r>
        <w:rPr>
          <w:rFonts w:hint="eastAsia" w:ascii="宋体" w:hAnsi="宋体"/>
          <w:sz w:val="22"/>
          <w:szCs w:val="21"/>
          <w:highlight w:val="none"/>
        </w:rPr>
        <w:t>乙方工作人员工资、差旅费；</w:t>
      </w:r>
      <w:r>
        <w:rPr>
          <w:rFonts w:ascii="宋体" w:hAnsi="宋体"/>
          <w:sz w:val="22"/>
          <w:szCs w:val="21"/>
          <w:highlight w:val="none"/>
        </w:rPr>
        <w:t>5.</w:t>
      </w:r>
      <w:r>
        <w:rPr>
          <w:rFonts w:hint="eastAsia" w:ascii="宋体" w:hAnsi="宋体"/>
          <w:sz w:val="22"/>
          <w:szCs w:val="21"/>
          <w:highlight w:val="none"/>
        </w:rPr>
        <w:t>乙方的办公、通讯、交通费用；</w:t>
      </w:r>
      <w:r>
        <w:rPr>
          <w:rFonts w:ascii="宋体" w:hAnsi="宋体"/>
          <w:sz w:val="22"/>
          <w:szCs w:val="21"/>
          <w:highlight w:val="none"/>
        </w:rPr>
        <w:t>6.</w:t>
      </w:r>
      <w:r>
        <w:rPr>
          <w:rFonts w:hint="eastAsia" w:ascii="宋体" w:hAnsi="宋体"/>
          <w:sz w:val="22"/>
          <w:szCs w:val="21"/>
          <w:highlight w:val="none"/>
        </w:rPr>
        <w:t>项目材料统计、分析费用；</w:t>
      </w:r>
      <w:r>
        <w:rPr>
          <w:rFonts w:ascii="宋体" w:hAnsi="宋体"/>
          <w:sz w:val="22"/>
          <w:szCs w:val="21"/>
          <w:highlight w:val="none"/>
        </w:rPr>
        <w:t>7.</w:t>
      </w:r>
      <w:r>
        <w:rPr>
          <w:rFonts w:hint="eastAsia" w:ascii="宋体" w:hAnsi="宋体"/>
          <w:sz w:val="22"/>
          <w:szCs w:val="21"/>
          <w:highlight w:val="none"/>
        </w:rPr>
        <w:t>项目成果文本印刷费用；</w:t>
      </w:r>
      <w:r>
        <w:rPr>
          <w:rFonts w:ascii="宋体" w:hAnsi="宋体"/>
          <w:sz w:val="22"/>
          <w:szCs w:val="21"/>
          <w:highlight w:val="none"/>
        </w:rPr>
        <w:t>8.</w:t>
      </w:r>
      <w:r>
        <w:rPr>
          <w:rFonts w:hint="eastAsia" w:ascii="宋体" w:hAnsi="宋体"/>
          <w:sz w:val="22"/>
          <w:szCs w:val="21"/>
          <w:highlight w:val="none"/>
        </w:rPr>
        <w:t>乙方以各种方式将文件资料发送至甲方的费用；</w:t>
      </w:r>
      <w:r>
        <w:rPr>
          <w:rFonts w:ascii="宋体" w:hAnsi="宋体"/>
          <w:sz w:val="22"/>
          <w:szCs w:val="21"/>
          <w:highlight w:val="none"/>
        </w:rPr>
        <w:t>9.</w:t>
      </w:r>
      <w:r>
        <w:rPr>
          <w:rFonts w:hint="eastAsia" w:ascii="宋体" w:hAnsi="宋体"/>
          <w:sz w:val="22"/>
          <w:szCs w:val="21"/>
          <w:highlight w:val="none"/>
        </w:rPr>
        <w:t>本合同项下产生的一切税费。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（二）付款方式：</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第1期：本合同签订后15个工作日内，乙方向甲方提出付款申请，甲方向乙方支付总价款的50%；</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第2期：乙方完成项目全部服务内容且按要求验收通过后，乙方向甲方提出付款申请，甲方向乙方支付总价款的50%</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上述每期款项均在满足付款条件，且甲方收到乙方开具的载明相应金额的合格发票后15个工作日内付至乙方指定银行账户。如未及时收到发票，则甲方相应付款时间顺延。</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本项目明确合同款项支付至乙方账户，乙方内部款项分配自行协商，与甲方无关。</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乙方指定银行账户信息：</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开户银行：     </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户名：    </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账号： </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五、项目变更</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（一）本合同履行过程中的需求变更和进度调整，以甲乙双方达成一致的书面文件为准。</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六、成果权属与知识产权</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1.本项目全部成果（包括服务期内编制的文件）的所有权、知识产权以及与之相关的所有权利归甲方所有。本合同签署前双方已经拥有的知识产权权利，仍归各自所有。</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2.双方确定，甲方有权利用乙方按照合同约定提供的成果进行后续改进。由此产生的具有实质性或创造性技术进步特征的新的技术成果及其权利归属，全部由甲方享有。</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 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律师费用、</w:t>
      </w:r>
      <w:r>
        <w:rPr>
          <w:rFonts w:hint="eastAsia" w:ascii="宋体" w:hAnsi="宋体"/>
          <w:sz w:val="22"/>
          <w:szCs w:val="21"/>
          <w:highlight w:val="none"/>
          <w:lang w:val="en-US" w:eastAsia="zh-CN"/>
        </w:rPr>
        <w:t>保全费、</w:t>
      </w:r>
      <w:r>
        <w:rPr>
          <w:rFonts w:hint="eastAsia" w:ascii="宋体" w:hAnsi="宋体"/>
          <w:sz w:val="22"/>
          <w:szCs w:val="21"/>
          <w:highlight w:val="none"/>
        </w:rPr>
        <w:t>鉴定评估费用、调查费用、和解金额或生效法律文书中规定的赔偿金额。</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4.未经甲方书面在先同意，乙方不得将本项目的阶段性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5.乙方完成本合同项目的研究开发人员享有在有关技术成果文件上写明技术成果完成者的权利和与甲方共同获得有关荣誉证书、奖励的权利。</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七、保密条款</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乙方应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4.乙方实施项目的程序应符合国家安全、保密的有关规定和标准。</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5.上述保密义务不适用以下情况：</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（1）获取的信息已被合法公开；</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（2）获得信息拥有方书面许可并在该许可范围内披露；</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（3）国家法律、法规规定的情形。</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7.无论本合同或本合同其他条款是否有效，本保密条款始终约束双方。国家秘密的保密期限由国家有关部门确定，工作秘密的保密期限由甲方确定。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八、合同提前终止</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（一）双方协商同意提前终止本合同的，按双方协商约定的方式进行清算执行。</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（三）有下列情形之一的，本合同自甲方向乙方发出书面通知之日起终止：</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1.甲方的职能发生转变，不再具有委托职能。</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2.本合同签订时适用的法律法规或政策发生变化，且对本合同的继续履行造成重大影响。</w:t>
      </w:r>
    </w:p>
    <w:p>
      <w:pPr>
        <w:spacing w:line="360" w:lineRule="auto"/>
        <w:ind w:firstLine="420" w:firstLineChars="200"/>
        <w:rPr>
          <w:rFonts w:ascii="宋体" w:hAnsi="宋体"/>
          <w:sz w:val="22"/>
          <w:szCs w:val="21"/>
          <w:highlight w:val="none"/>
        </w:rPr>
      </w:pPr>
      <w:r>
        <w:rPr>
          <w:rFonts w:hint="eastAsia"/>
          <w:highlight w:val="none"/>
          <w:lang w:val="en-US" w:eastAsia="zh-CN"/>
        </w:rPr>
        <w:t>发生以上情形，甲方已向乙方支付的款项不退还，尚未支付的款项不再支付，同时乙方应向甲方提交在合同终止日前完成的所有项目文件和相关资料。</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（四）如发生不可抗力或其他超出合同双方控制的事件，致使一方无法履行合同，本合同解除。</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九、违约责任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1.乙方的违约责任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（1）乙方无任何理由部分或全部不履行合同中应承担的义务时，乙方应按本合同总额的20%向甲方支付违约金</w:t>
      </w:r>
      <w:r>
        <w:rPr>
          <w:rFonts w:hint="eastAsia" w:ascii="宋体" w:hAnsi="宋体"/>
          <w:sz w:val="22"/>
          <w:szCs w:val="21"/>
          <w:highlight w:val="none"/>
          <w:lang w:eastAsia="zh-CN"/>
        </w:rPr>
        <w:t>，</w:t>
      </w:r>
      <w:r>
        <w:rPr>
          <w:rFonts w:hint="eastAsia" w:ascii="宋体" w:hAnsi="宋体"/>
          <w:sz w:val="22"/>
          <w:szCs w:val="21"/>
          <w:highlight w:val="none"/>
          <w:lang w:val="en-US" w:eastAsia="zh-CN"/>
        </w:rPr>
        <w:t>给甲方造成损失的，甲方有权要求乙方赔偿甲方因其违约行为而遭受的经济损失，包括不限于案件受理费、保全费、鉴定费、评估费、公证费、律师代理费、执行费、拍卖费、交通费、住宿费等维权成本</w:t>
      </w:r>
      <w:r>
        <w:rPr>
          <w:rFonts w:hint="eastAsia" w:ascii="宋体" w:hAnsi="宋体"/>
          <w:sz w:val="22"/>
          <w:szCs w:val="21"/>
          <w:highlight w:val="none"/>
        </w:rPr>
        <w:t xml:space="preserve">。  </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（2）本合同履行期间，因乙方原因，未按照本合同约定的时间完成本项目各阶段工作或交付最终成果文件的，每延误一天，甲方有权在尚未支付的合同款项中扣除合同总价款3‰的逾期违约金。</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①因乙方工作的错误或遗漏造成成果质量损失，且乙方未按甲方要求采取及时有效的补救措施的；</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②乙方未能按合同约定的日期(含协商延缓的日期)提交工作成果，延误时间超过30个工作日；</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③乙方虽如期提交最终成果，但最终成果连续二次未能通过验收的；</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④未经甲方书面许可，乙方不得将本合同项目与任何第三方合作，或将本合同标的的全部或部分擅自转包给任何第三方；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⑤发现乙方或乙方工作人员出现全部或部分丧失履行委托服务能力的情况，甲方有权通知乙方限期整改或更换工作人员，期限届满乙方并未进行改善的；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⑥项目负责人未承担本合同项目实质性工作，或未经甲方书面在先同意，乙方擅自更换项目负责人的；</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⑦乙方明确表示或者以自己的行为表明不履行合同的。</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2.甲方的违约责任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（2）如政策性原因导致本项目停工不属于甲方违约，甲方根据乙方实际完成工作结算统计服务费，甲方不另行支付额外费用，并不承担任何违约责任。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3.上述违约责任各自独立且可累加。如合同所约定的违约金无法弥补因违约行为所造成的损失，违约方应补偿上述不足部分的损失。</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十、争议解决</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因本合同的履行发生的或与本合同有关的争议或纠纷，双方均可向</w:t>
      </w:r>
      <w:r>
        <w:rPr>
          <w:rFonts w:ascii="宋体" w:hAnsi="宋体"/>
          <w:sz w:val="22"/>
          <w:szCs w:val="21"/>
          <w:highlight w:val="none"/>
        </w:rPr>
        <w:t>深圳前海合作区</w:t>
      </w:r>
      <w:r>
        <w:rPr>
          <w:rFonts w:hint="eastAsia" w:ascii="宋体" w:hAnsi="宋体"/>
          <w:sz w:val="22"/>
          <w:szCs w:val="21"/>
          <w:highlight w:val="none"/>
        </w:rPr>
        <w:t>人民法院提起诉讼。</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十一、其他约定</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1.合同书及补充协议；</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2.中标通知书；</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3.招标文件（编号：</w:t>
      </w:r>
      <w:r>
        <w:rPr>
          <w:rFonts w:hint="eastAsia" w:ascii="宋体" w:hAnsi="宋体"/>
          <w:sz w:val="22"/>
          <w:szCs w:val="21"/>
          <w:highlight w:val="none"/>
          <w:lang w:val="en-US" w:eastAsia="zh-CN"/>
        </w:rPr>
        <w:t>QH2023009</w:t>
      </w:r>
      <w:r>
        <w:rPr>
          <w:rFonts w:hint="eastAsia" w:ascii="宋体" w:hAnsi="宋体"/>
          <w:sz w:val="22"/>
          <w:szCs w:val="21"/>
          <w:highlight w:val="none"/>
        </w:rPr>
        <w:t>）及其澄清、补正公告；</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4.投标书。</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（二）本合同替代此前双方所有关于本合同事项的口头或书面的纪要、备忘录、合同、协议。</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（四）本合同各条标题仅为提示之用，应以条文内容确定各方的权利义务。</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（十）本合同的任何内容不应被视为或解释为双方之间具有合资、合伙、代理关系。</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（十三）本合同自双方法定代表人或其授权代表签字、盖章之日起生效，有效期至服务期届满</w:t>
      </w:r>
      <w:r>
        <w:rPr>
          <w:rFonts w:hint="eastAsia" w:ascii="宋体" w:hAnsi="宋体"/>
          <w:sz w:val="22"/>
          <w:szCs w:val="21"/>
          <w:highlight w:val="none"/>
          <w:lang w:val="zh-CN"/>
        </w:rPr>
        <w:t>之日止。</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（十四）本合同一式六份正本，甲方与乙方各执三份，均具同等法律效力。（以下无正文，为签章栏）</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（以下无正文，为签章栏）</w:t>
      </w:r>
    </w:p>
    <w:p>
      <w:pPr>
        <w:ind w:firstLine="330" w:firstLineChars="150"/>
        <w:rPr>
          <w:rFonts w:ascii="宋体" w:hAnsi="宋体"/>
          <w:sz w:val="22"/>
          <w:szCs w:val="21"/>
          <w:highlight w:val="none"/>
        </w:rPr>
      </w:pPr>
      <w:r>
        <w:rPr>
          <w:rFonts w:hint="eastAsia" w:ascii="宋体" w:hAnsi="宋体"/>
          <w:sz w:val="22"/>
          <w:szCs w:val="21"/>
          <w:highlight w:val="none"/>
        </w:rPr>
        <w:t>附件：1.</w:t>
      </w:r>
      <w:r>
        <w:rPr>
          <w:rFonts w:ascii="宋体" w:hAnsi="宋体"/>
          <w:sz w:val="22"/>
          <w:szCs w:val="21"/>
          <w:highlight w:val="none"/>
        </w:rPr>
        <w:t>项目组成员名单</w:t>
      </w:r>
    </w:p>
    <w:p>
      <w:pPr>
        <w:spacing w:line="360" w:lineRule="auto"/>
        <w:ind w:firstLine="440" w:firstLineChars="200"/>
        <w:rPr>
          <w:rFonts w:ascii="宋体" w:hAnsi="宋体"/>
          <w:sz w:val="22"/>
          <w:szCs w:val="21"/>
          <w:highlight w:val="none"/>
        </w:rPr>
      </w:pP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甲方（盖章）：</w:t>
      </w:r>
      <w:r>
        <w:rPr>
          <w:rFonts w:ascii="宋体" w:hAnsi="宋体"/>
          <w:sz w:val="22"/>
          <w:szCs w:val="21"/>
          <w:highlight w:val="none"/>
        </w:rPr>
        <w:t>XXX</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法定代表人或授权代表（签字）：</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日期：     年    月   日            </w:t>
      </w:r>
    </w:p>
    <w:p>
      <w:pPr>
        <w:spacing w:line="360" w:lineRule="auto"/>
        <w:ind w:firstLine="440" w:firstLineChars="200"/>
        <w:rPr>
          <w:rFonts w:ascii="宋体" w:hAnsi="宋体"/>
          <w:sz w:val="22"/>
          <w:szCs w:val="21"/>
          <w:highlight w:val="none"/>
        </w:rPr>
      </w:pP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 xml:space="preserve">乙方（盖章）： </w:t>
      </w:r>
    </w:p>
    <w:p>
      <w:pPr>
        <w:spacing w:line="360" w:lineRule="auto"/>
        <w:ind w:firstLine="440" w:firstLineChars="200"/>
        <w:rPr>
          <w:rFonts w:ascii="宋体" w:hAnsi="宋体"/>
          <w:sz w:val="22"/>
          <w:szCs w:val="21"/>
          <w:highlight w:val="none"/>
        </w:rPr>
      </w:pPr>
      <w:r>
        <w:rPr>
          <w:rFonts w:hint="eastAsia" w:ascii="宋体" w:hAnsi="宋体"/>
          <w:sz w:val="22"/>
          <w:szCs w:val="21"/>
          <w:highlight w:val="none"/>
        </w:rPr>
        <w:t>法定代表人或授权代表（签字）：</w:t>
      </w:r>
    </w:p>
    <w:p>
      <w:pPr>
        <w:ind w:firstLine="440" w:firstLineChars="200"/>
        <w:rPr>
          <w:rFonts w:ascii="宋体" w:hAnsi="宋体"/>
          <w:sz w:val="22"/>
          <w:szCs w:val="21"/>
          <w:highlight w:val="none"/>
        </w:rPr>
      </w:pPr>
      <w:r>
        <w:rPr>
          <w:rFonts w:hint="eastAsia" w:ascii="宋体" w:hAnsi="宋体"/>
          <w:sz w:val="22"/>
          <w:szCs w:val="21"/>
          <w:highlight w:val="none"/>
        </w:rPr>
        <w:t>日期：     年    月   日</w:t>
      </w:r>
    </w:p>
    <w:p>
      <w:pPr>
        <w:shd w:val="clear" w:color="auto" w:fill="FFFFFF"/>
        <w:snapToGrid w:val="0"/>
        <w:spacing w:line="360" w:lineRule="auto"/>
        <w:rPr>
          <w:rFonts w:ascii="宋体" w:hAnsi="宋体" w:cs="宋体"/>
          <w:sz w:val="24"/>
          <w:highlight w:val="none"/>
        </w:rPr>
      </w:pPr>
    </w:p>
    <w:p>
      <w:pPr>
        <w:numPr>
          <w:ilvl w:val="0"/>
          <w:numId w:val="1"/>
        </w:numPr>
        <w:spacing w:line="360" w:lineRule="auto"/>
        <w:jc w:val="center"/>
        <w:outlineLvl w:val="0"/>
        <w:rPr>
          <w:rFonts w:ascii="宋体" w:hAnsi="宋体" w:cs="宋体"/>
          <w:b/>
          <w:bCs/>
          <w:sz w:val="24"/>
          <w:highlight w:val="none"/>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5" w:name="_Toc793"/>
      <w:r>
        <w:rPr>
          <w:rFonts w:hint="eastAsia" w:ascii="宋体" w:hAnsi="宋体" w:cs="宋体"/>
          <w:b/>
          <w:bCs/>
          <w:sz w:val="24"/>
          <w:highlight w:val="none"/>
        </w:rPr>
        <w:t>用户需求书</w:t>
      </w:r>
      <w:bookmarkEnd w:id="15"/>
    </w:p>
    <w:p>
      <w:pPr>
        <w:spacing w:line="360" w:lineRule="auto"/>
        <w:ind w:firstLine="482" w:firstLineChars="200"/>
        <w:rPr>
          <w:rFonts w:ascii="宋体" w:hAnsi="宋体" w:cs="宋体"/>
          <w:b/>
          <w:bCs/>
          <w:kern w:val="0"/>
          <w:sz w:val="24"/>
          <w:szCs w:val="20"/>
          <w:highlight w:val="none"/>
        </w:rPr>
      </w:pPr>
      <w:bookmarkStart w:id="16" w:name="_Toc51746099"/>
    </w:p>
    <w:bookmarkEnd w:id="16"/>
    <w:p>
      <w:pPr>
        <w:spacing w:line="440" w:lineRule="exact"/>
        <w:ind w:firstLine="482" w:firstLineChars="200"/>
        <w:rPr>
          <w:rFonts w:ascii="宋体" w:hAnsi="宋体" w:cs="宋体"/>
          <w:b/>
          <w:kern w:val="0"/>
          <w:sz w:val="24"/>
          <w:highlight w:val="none"/>
        </w:rPr>
      </w:pPr>
      <w:bookmarkStart w:id="17" w:name="_Toc1228233707"/>
      <w:bookmarkStart w:id="18" w:name="_Toc19038"/>
      <w:bookmarkStart w:id="19" w:name="_Hlk42676997"/>
      <w:r>
        <w:rPr>
          <w:rFonts w:hint="eastAsia" w:ascii="宋体" w:hAnsi="宋体"/>
          <w:b/>
          <w:bCs/>
          <w:kern w:val="0"/>
          <w:sz w:val="24"/>
          <w:highlight w:val="none"/>
        </w:rPr>
        <w:t>一、项目背景</w:t>
      </w:r>
      <w:bookmarkEnd w:id="17"/>
      <w:bookmarkEnd w:id="18"/>
    </w:p>
    <w:bookmarkEnd w:id="19"/>
    <w:p>
      <w:pPr>
        <w:widowControl/>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（一）项目背景</w:t>
      </w:r>
    </w:p>
    <w:p>
      <w:pPr>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前海作为习近平总书记亲自谋划、亲自部署、亲自推动的新时代国家改革开放战略平台，十年间，从一片滩涂起步，到现在已经成为中国发展最快、质量最高、效益最好的区域之一。为更好呈现前海扩区后的发展成就，打造展示前海形象的对外窗口，拟通过信息采集及发布服务项目，助力前海打造创意先行、融媒互动的信息采集、发布平台。</w:t>
      </w:r>
    </w:p>
    <w:p>
      <w:pPr>
        <w:widowControl/>
        <w:spacing w:line="440" w:lineRule="exact"/>
        <w:ind w:firstLine="482" w:firstLineChars="200"/>
        <w:rPr>
          <w:rFonts w:ascii="宋体" w:hAnsi="宋体" w:cs="仿宋"/>
          <w:b/>
          <w:sz w:val="24"/>
          <w:highlight w:val="none"/>
        </w:rPr>
      </w:pPr>
      <w:r>
        <w:rPr>
          <w:rFonts w:hint="eastAsia" w:ascii="宋体" w:hAnsi="宋体" w:cs="宋体"/>
          <w:b/>
          <w:color w:val="000000"/>
          <w:sz w:val="24"/>
          <w:highlight w:val="none"/>
        </w:rPr>
        <w:t>（</w:t>
      </w:r>
      <w:r>
        <w:rPr>
          <w:rFonts w:hint="eastAsia" w:ascii="宋体" w:hAnsi="宋体" w:cs="仿宋"/>
          <w:b/>
          <w:sz w:val="24"/>
          <w:highlight w:val="none"/>
        </w:rPr>
        <w:t>二）项目目标</w:t>
      </w:r>
    </w:p>
    <w:p>
      <w:pPr>
        <w:widowControl/>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Hans"/>
        </w:rPr>
        <w:t>通过开展项目</w:t>
      </w:r>
      <w:r>
        <w:rPr>
          <w:rFonts w:ascii="宋体" w:hAnsi="宋体" w:cs="宋体"/>
          <w:bCs/>
          <w:color w:val="000000"/>
          <w:sz w:val="24"/>
          <w:highlight w:val="none"/>
          <w:lang w:eastAsia="zh-Hans"/>
        </w:rPr>
        <w:t>，</w:t>
      </w:r>
      <w:r>
        <w:rPr>
          <w:rFonts w:hint="eastAsia" w:ascii="宋体" w:hAnsi="宋体" w:cs="宋体"/>
          <w:bCs/>
          <w:color w:val="000000"/>
          <w:sz w:val="24"/>
          <w:highlight w:val="none"/>
          <w:lang w:eastAsia="zh-Hans"/>
        </w:rPr>
        <w:t>建立前海－南山”新闻信息库</w:t>
      </w:r>
      <w:r>
        <w:rPr>
          <w:rFonts w:ascii="宋体" w:hAnsi="宋体" w:cs="宋体"/>
          <w:bCs/>
          <w:color w:val="000000"/>
          <w:sz w:val="24"/>
          <w:highlight w:val="none"/>
          <w:lang w:eastAsia="zh-Hans"/>
        </w:rPr>
        <w:t>，</w:t>
      </w:r>
      <w:r>
        <w:rPr>
          <w:rFonts w:hint="eastAsia" w:ascii="宋体" w:hAnsi="宋体" w:cs="宋体"/>
          <w:bCs/>
          <w:color w:val="000000"/>
          <w:sz w:val="24"/>
          <w:highlight w:val="none"/>
          <w:lang w:eastAsia="zh-Hans"/>
        </w:rPr>
        <w:t>在纸媒发布系列特刊</w:t>
      </w:r>
      <w:r>
        <w:rPr>
          <w:rFonts w:ascii="宋体" w:hAnsi="宋体" w:cs="宋体"/>
          <w:bCs/>
          <w:color w:val="000000"/>
          <w:sz w:val="24"/>
          <w:highlight w:val="none"/>
          <w:lang w:eastAsia="zh-Hans"/>
        </w:rPr>
        <w:t>，</w:t>
      </w:r>
      <w:r>
        <w:rPr>
          <w:rFonts w:hint="eastAsia" w:ascii="宋体" w:hAnsi="宋体" w:cs="宋体"/>
          <w:bCs/>
          <w:color w:val="000000"/>
          <w:sz w:val="24"/>
          <w:highlight w:val="none"/>
          <w:lang w:eastAsia="zh-Hans"/>
        </w:rPr>
        <w:t>围绕前海扩区后的改革开放各项工作</w:t>
      </w:r>
      <w:r>
        <w:rPr>
          <w:rFonts w:ascii="宋体" w:hAnsi="宋体" w:cs="宋体"/>
          <w:bCs/>
          <w:color w:val="000000"/>
          <w:sz w:val="24"/>
          <w:highlight w:val="none"/>
          <w:lang w:eastAsia="zh-Hans"/>
        </w:rPr>
        <w:t>，</w:t>
      </w:r>
      <w:r>
        <w:rPr>
          <w:rFonts w:hint="eastAsia" w:ascii="宋体" w:hAnsi="宋体" w:cs="宋体"/>
          <w:bCs/>
          <w:color w:val="000000"/>
          <w:sz w:val="24"/>
          <w:highlight w:val="none"/>
          <w:lang w:eastAsia="zh-Hans"/>
        </w:rPr>
        <w:t>开展深入持续的宣传推广</w:t>
      </w:r>
      <w:r>
        <w:rPr>
          <w:rFonts w:ascii="宋体" w:hAnsi="宋体" w:cs="宋体"/>
          <w:bCs/>
          <w:color w:val="000000"/>
          <w:sz w:val="24"/>
          <w:highlight w:val="none"/>
          <w:lang w:eastAsia="zh-Hans"/>
        </w:rPr>
        <w:t>，</w:t>
      </w:r>
      <w:r>
        <w:rPr>
          <w:rFonts w:hint="eastAsia" w:ascii="宋体" w:hAnsi="宋体" w:cs="宋体"/>
          <w:bCs/>
          <w:color w:val="000000"/>
          <w:sz w:val="24"/>
          <w:highlight w:val="none"/>
          <w:lang w:eastAsia="zh-Hans"/>
        </w:rPr>
        <w:t>进一步促进前海扩区深入人心</w:t>
      </w:r>
      <w:r>
        <w:rPr>
          <w:rFonts w:hint="eastAsia" w:ascii="宋体" w:hAnsi="宋体" w:cs="宋体"/>
          <w:bCs/>
          <w:color w:val="000000"/>
          <w:sz w:val="24"/>
          <w:highlight w:val="none"/>
        </w:rPr>
        <w:t>。</w:t>
      </w:r>
    </w:p>
    <w:p>
      <w:pPr>
        <w:spacing w:line="440" w:lineRule="exact"/>
        <w:ind w:firstLine="482" w:firstLineChars="200"/>
        <w:rPr>
          <w:rFonts w:ascii="宋体" w:hAnsi="宋体" w:cs="宋体"/>
          <w:b/>
          <w:kern w:val="0"/>
          <w:sz w:val="24"/>
          <w:highlight w:val="none"/>
        </w:rPr>
      </w:pPr>
      <w:r>
        <w:rPr>
          <w:rFonts w:hint="eastAsia" w:ascii="宋体" w:hAnsi="宋体" w:cs="宋体"/>
          <w:b/>
          <w:kern w:val="0"/>
          <w:sz w:val="24"/>
          <w:highlight w:val="none"/>
        </w:rPr>
        <w:t>二、项目内容</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1.“前海－南山”新闻信息库的建立及日常信息采集、更新，信息包括但不限于媒体报道、文字、图片、活动视频、空镜头等；全年采写图文产品120条。</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2.搭建“1+1+1”传媒团队，即一组驻站记者团队、一组新媒体团队、一组后端技术支撑团队（包含1名驻站记者，3-4人后端团队）。</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3. 以新城建设、衣食住行等角度，推出短视频（1-3分钟）6条，其中每1条视频全网浏览量不低于10万。</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4. 根据提供的新媒体产品，通过</w:t>
      </w:r>
      <w:r>
        <w:rPr>
          <w:rFonts w:hint="eastAsia" w:ascii="宋体" w:hAnsi="宋体" w:cs="宋体"/>
          <w:bCs/>
          <w:color w:val="000000"/>
          <w:sz w:val="24"/>
          <w:highlight w:val="none"/>
          <w:lang w:eastAsia="zh-Hans"/>
        </w:rPr>
        <w:t>南山区级官方报纸媒体</w:t>
      </w:r>
      <w:r>
        <w:rPr>
          <w:rFonts w:ascii="宋体" w:hAnsi="宋体" w:cs="宋体"/>
          <w:bCs/>
          <w:color w:val="000000"/>
          <w:sz w:val="24"/>
          <w:highlight w:val="none"/>
        </w:rPr>
        <w:t>、官方微信公众号和视频号，以及</w:t>
      </w:r>
      <w:r>
        <w:rPr>
          <w:rFonts w:hint="eastAsia" w:ascii="宋体" w:hAnsi="宋体" w:cs="宋体"/>
          <w:bCs/>
          <w:color w:val="000000"/>
          <w:sz w:val="24"/>
          <w:highlight w:val="none"/>
          <w:lang w:eastAsia="zh-Hans"/>
        </w:rPr>
        <w:t>媒体自有</w:t>
      </w:r>
      <w:r>
        <w:rPr>
          <w:rFonts w:ascii="宋体" w:hAnsi="宋体" w:cs="宋体"/>
          <w:bCs/>
          <w:color w:val="000000"/>
          <w:sz w:val="24"/>
          <w:highlight w:val="none"/>
        </w:rPr>
        <w:t>App、人民日报客户端等新媒体平台全年发布各类信息50条。</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5.策划在</w:t>
      </w:r>
      <w:r>
        <w:rPr>
          <w:rFonts w:hint="eastAsia" w:ascii="宋体" w:hAnsi="宋体" w:cs="宋体"/>
          <w:bCs/>
          <w:color w:val="000000"/>
          <w:sz w:val="24"/>
          <w:highlight w:val="none"/>
          <w:lang w:eastAsia="zh-Hans"/>
        </w:rPr>
        <w:t>南山区级官方报纸媒体</w:t>
      </w:r>
      <w:r>
        <w:rPr>
          <w:rFonts w:ascii="宋体" w:hAnsi="宋体" w:cs="宋体"/>
          <w:bCs/>
          <w:color w:val="000000"/>
          <w:sz w:val="24"/>
          <w:highlight w:val="none"/>
        </w:rPr>
        <w:t>、微信公众号上推出五期特刊，以每期一主题的方式，深入观察前海的政策优势与南山的资源禀赋如何有机结合，在教育、医疗、产业、综合执法、安全、社区等方面取得了哪些工作成效，以小切口、大视角的方式呈现给读者扩区后前海的变化和魅力。</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6、策划一期线下活动，组织前海香港青年看前海南山活动，联合居深港人联谊会，走进前海南山，看企业、观人文，了解扩区后的前海和蓬勃发展的前海南山。</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7、根据需要，不定期在</w:t>
      </w:r>
      <w:r>
        <w:rPr>
          <w:rFonts w:hint="eastAsia" w:ascii="宋体" w:hAnsi="宋体" w:cs="宋体"/>
          <w:bCs/>
          <w:color w:val="000000"/>
          <w:sz w:val="24"/>
          <w:highlight w:val="none"/>
          <w:lang w:eastAsia="zh-Hans"/>
        </w:rPr>
        <w:t>南山区级官方报纸媒体</w:t>
      </w:r>
      <w:r>
        <w:rPr>
          <w:rFonts w:ascii="宋体" w:hAnsi="宋体" w:cs="宋体"/>
          <w:bCs/>
          <w:color w:val="000000"/>
          <w:sz w:val="24"/>
          <w:highlight w:val="none"/>
        </w:rPr>
        <w:t>推出设定栏目名和LOGO的前海专栏。</w:t>
      </w:r>
    </w:p>
    <w:p>
      <w:pPr>
        <w:widowControl/>
        <w:spacing w:line="440" w:lineRule="exact"/>
        <w:ind w:firstLine="480" w:firstLineChars="200"/>
        <w:rPr>
          <w:rFonts w:ascii="宋体" w:hAnsi="宋体" w:cs="宋体"/>
          <w:bCs/>
          <w:color w:val="000000"/>
          <w:sz w:val="24"/>
          <w:highlight w:val="none"/>
        </w:rPr>
      </w:pPr>
      <w:r>
        <w:rPr>
          <w:rFonts w:ascii="宋体" w:hAnsi="宋体" w:cs="宋体"/>
          <w:bCs/>
          <w:color w:val="000000"/>
          <w:sz w:val="24"/>
          <w:highlight w:val="none"/>
        </w:rPr>
        <w:t>8、根据安排，服务好主要领导重要活动新闻，提供通稿。</w:t>
      </w:r>
    </w:p>
    <w:p>
      <w:pPr>
        <w:widowControl/>
        <w:spacing w:line="440" w:lineRule="exact"/>
        <w:ind w:firstLine="420"/>
        <w:rPr>
          <w:rFonts w:ascii="宋体" w:hAnsi="宋体" w:cs="宋体"/>
          <w:b/>
          <w:kern w:val="0"/>
          <w:sz w:val="24"/>
          <w:highlight w:val="none"/>
        </w:rPr>
      </w:pPr>
      <w:r>
        <w:rPr>
          <w:rFonts w:hint="eastAsia" w:ascii="宋体" w:hAnsi="宋体" w:cs="宋体"/>
          <w:b/>
          <w:kern w:val="0"/>
          <w:sz w:val="24"/>
          <w:highlight w:val="none"/>
        </w:rPr>
        <w:t>三、商务要求</w:t>
      </w:r>
    </w:p>
    <w:p>
      <w:pPr>
        <w:tabs>
          <w:tab w:val="left" w:pos="4680"/>
        </w:tabs>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（一）服务期限及要求</w:t>
      </w:r>
    </w:p>
    <w:p>
      <w:pPr>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本项目为长期服务项目，合同期为一年，合同期满后，对中标人进行履约评价，评价优秀的可进行合同续期，如续期，一次续期不应超过采购合同期限，续期最多不超过两次。续期的合同实质性内容不得改变。</w:t>
      </w:r>
    </w:p>
    <w:p>
      <w:pPr>
        <w:widowControl/>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w:t>
      </w:r>
      <w:r>
        <w:rPr>
          <w:rFonts w:hint="eastAsia" w:ascii="宋体" w:hAnsi="宋体" w:cs="宋体"/>
          <w:b/>
          <w:color w:val="000000"/>
          <w:sz w:val="24"/>
          <w:highlight w:val="none"/>
          <w:lang w:eastAsia="zh-Hans"/>
        </w:rPr>
        <w:t>二</w:t>
      </w:r>
      <w:r>
        <w:rPr>
          <w:rFonts w:hint="eastAsia" w:ascii="宋体" w:hAnsi="宋体" w:cs="宋体"/>
          <w:b/>
          <w:color w:val="000000"/>
          <w:sz w:val="24"/>
          <w:highlight w:val="none"/>
        </w:rPr>
        <w:t>）项目预算</w:t>
      </w:r>
    </w:p>
    <w:p>
      <w:pPr>
        <w:widowControl/>
        <w:spacing w:line="440" w:lineRule="exact"/>
        <w:ind w:firstLine="480" w:firstLineChars="200"/>
        <w:rPr>
          <w:rFonts w:ascii="宋体" w:hAnsi="宋体"/>
          <w:color w:val="000000"/>
          <w:sz w:val="24"/>
          <w:highlight w:val="none"/>
        </w:rPr>
      </w:pPr>
      <w:r>
        <w:rPr>
          <w:rFonts w:ascii="宋体" w:hAnsi="宋体"/>
          <w:color w:val="000000"/>
          <w:sz w:val="24"/>
          <w:highlight w:val="none"/>
        </w:rPr>
        <w:t>人民币</w:t>
      </w:r>
      <w:r>
        <w:rPr>
          <w:rFonts w:hint="eastAsia" w:ascii="宋体" w:hAnsi="宋体"/>
          <w:color w:val="000000"/>
          <w:sz w:val="24"/>
          <w:highlight w:val="none"/>
          <w:lang w:eastAsia="zh-Hans"/>
        </w:rPr>
        <w:t>捌拾万元整</w:t>
      </w:r>
      <w:r>
        <w:rPr>
          <w:rFonts w:ascii="宋体" w:hAnsi="宋体"/>
          <w:color w:val="000000"/>
          <w:sz w:val="24"/>
          <w:highlight w:val="none"/>
        </w:rPr>
        <w:t>（</w:t>
      </w:r>
      <w:r>
        <w:rPr>
          <w:rFonts w:ascii="宋体" w:hAnsi="宋体" w:cs="仿宋"/>
          <w:color w:val="000000"/>
          <w:kern w:val="0"/>
          <w:sz w:val="24"/>
          <w:highlight w:val="none"/>
        </w:rPr>
        <w:t>￥</w:t>
      </w:r>
      <w:r>
        <w:rPr>
          <w:rFonts w:ascii="宋体" w:hAnsi="宋体"/>
          <w:kern w:val="0"/>
          <w:sz w:val="24"/>
          <w:highlight w:val="none"/>
        </w:rPr>
        <w:t>800,000.00</w:t>
      </w:r>
      <w:r>
        <w:rPr>
          <w:rFonts w:ascii="宋体" w:hAnsi="宋体"/>
          <w:color w:val="000000"/>
          <w:sz w:val="24"/>
          <w:highlight w:val="none"/>
        </w:rPr>
        <w:t>元）</w:t>
      </w:r>
      <w:r>
        <w:rPr>
          <w:rFonts w:hint="eastAsia" w:ascii="宋体" w:hAnsi="宋体"/>
          <w:color w:val="000000"/>
          <w:sz w:val="24"/>
          <w:highlight w:val="none"/>
        </w:rPr>
        <w:t>。</w:t>
      </w:r>
    </w:p>
    <w:p>
      <w:pPr>
        <w:spacing w:line="440" w:lineRule="exact"/>
        <w:ind w:firstLine="482" w:firstLineChars="200"/>
        <w:rPr>
          <w:rFonts w:ascii="宋体" w:hAnsi="宋体"/>
          <w:b/>
          <w:bCs/>
          <w:kern w:val="0"/>
          <w:sz w:val="24"/>
          <w:highlight w:val="none"/>
        </w:rPr>
      </w:pPr>
      <w:r>
        <w:rPr>
          <w:rFonts w:hint="eastAsia" w:ascii="宋体" w:hAnsi="宋体"/>
          <w:b/>
          <w:bCs/>
          <w:color w:val="000000"/>
          <w:sz w:val="24"/>
          <w:highlight w:val="none"/>
        </w:rPr>
        <w:t>（</w:t>
      </w:r>
      <w:r>
        <w:rPr>
          <w:rFonts w:hint="eastAsia" w:ascii="宋体" w:hAnsi="宋体"/>
          <w:b/>
          <w:bCs/>
          <w:color w:val="000000"/>
          <w:sz w:val="24"/>
          <w:highlight w:val="none"/>
          <w:lang w:eastAsia="zh-Hans"/>
        </w:rPr>
        <w:t>三</w:t>
      </w:r>
      <w:r>
        <w:rPr>
          <w:rFonts w:hint="eastAsia" w:ascii="宋体" w:hAnsi="宋体"/>
          <w:b/>
          <w:bCs/>
          <w:color w:val="000000"/>
          <w:sz w:val="24"/>
          <w:highlight w:val="none"/>
        </w:rPr>
        <w:t>）</w:t>
      </w:r>
      <w:r>
        <w:rPr>
          <w:rFonts w:hint="eastAsia" w:ascii="宋体" w:hAnsi="宋体"/>
          <w:b/>
          <w:bCs/>
          <w:kern w:val="0"/>
          <w:sz w:val="24"/>
          <w:highlight w:val="none"/>
        </w:rPr>
        <w:t>最终成果及项目验收</w:t>
      </w:r>
    </w:p>
    <w:p>
      <w:pPr>
        <w:widowControl/>
        <w:spacing w:line="440" w:lineRule="exact"/>
        <w:ind w:firstLine="480" w:firstLineChars="200"/>
        <w:jc w:val="left"/>
        <w:rPr>
          <w:rFonts w:ascii="宋体" w:hAnsi="宋体"/>
          <w:color w:val="000000"/>
          <w:sz w:val="24"/>
          <w:highlight w:val="none"/>
        </w:rPr>
      </w:pPr>
      <w:r>
        <w:rPr>
          <w:rFonts w:hint="eastAsia" w:ascii="宋体" w:hAnsi="宋体"/>
          <w:color w:val="000000"/>
          <w:sz w:val="24"/>
          <w:highlight w:val="none"/>
        </w:rPr>
        <w:t>1.最终成果</w:t>
      </w:r>
    </w:p>
    <w:p>
      <w:pPr>
        <w:widowControl/>
        <w:spacing w:line="440" w:lineRule="exact"/>
        <w:ind w:firstLine="480" w:firstLineChars="200"/>
        <w:rPr>
          <w:rFonts w:ascii="宋体" w:hAnsi="宋体"/>
          <w:bCs/>
          <w:kern w:val="0"/>
          <w:sz w:val="24"/>
          <w:highlight w:val="none"/>
        </w:rPr>
      </w:pPr>
      <w:r>
        <w:rPr>
          <w:rFonts w:hint="eastAsia" w:ascii="宋体" w:hAnsi="宋体"/>
          <w:color w:val="000000"/>
          <w:sz w:val="24"/>
          <w:highlight w:val="none"/>
        </w:rPr>
        <w:t>本项目最终成果为“前海－南山”新闻信息库的建立及日常信息采集、更新，全年采写图文产品120条</w:t>
      </w:r>
      <w:r>
        <w:rPr>
          <w:rFonts w:ascii="宋体" w:hAnsi="宋体"/>
          <w:color w:val="000000"/>
          <w:sz w:val="24"/>
          <w:highlight w:val="none"/>
        </w:rPr>
        <w:t>；搭建“1+1+1”传媒团队；以新城建设、衣食住行等角度，推出短视频（1-3分钟）6条，其中每1条视频全网浏览量不低于10万；通过</w:t>
      </w:r>
      <w:r>
        <w:rPr>
          <w:rFonts w:hint="eastAsia" w:ascii="宋体" w:hAnsi="宋体" w:cs="宋体"/>
          <w:bCs/>
          <w:color w:val="000000"/>
          <w:sz w:val="24"/>
          <w:highlight w:val="none"/>
          <w:lang w:eastAsia="zh-Hans"/>
        </w:rPr>
        <w:t>南山区级官方报纸媒体</w:t>
      </w:r>
      <w:r>
        <w:rPr>
          <w:rFonts w:ascii="宋体" w:hAnsi="宋体"/>
          <w:color w:val="000000"/>
          <w:sz w:val="24"/>
          <w:highlight w:val="none"/>
        </w:rPr>
        <w:t>、官方微信公众号和视频号，以及</w:t>
      </w:r>
      <w:r>
        <w:rPr>
          <w:rFonts w:hint="eastAsia" w:ascii="宋体" w:hAnsi="宋体"/>
          <w:color w:val="000000"/>
          <w:sz w:val="24"/>
          <w:highlight w:val="none"/>
          <w:lang w:eastAsia="zh-Hans"/>
        </w:rPr>
        <w:t>媒体自有</w:t>
      </w:r>
      <w:r>
        <w:rPr>
          <w:rFonts w:ascii="宋体" w:hAnsi="宋体"/>
          <w:color w:val="000000"/>
          <w:sz w:val="24"/>
          <w:highlight w:val="none"/>
        </w:rPr>
        <w:t>App、人民日报客户端等新媒体平台全年发布各类信息50条；策划在</w:t>
      </w:r>
      <w:r>
        <w:rPr>
          <w:rFonts w:hint="eastAsia" w:ascii="宋体" w:hAnsi="宋体" w:cs="宋体"/>
          <w:bCs/>
          <w:color w:val="000000"/>
          <w:sz w:val="24"/>
          <w:highlight w:val="none"/>
          <w:lang w:eastAsia="zh-Hans"/>
        </w:rPr>
        <w:t>南山区级官方报纸媒体</w:t>
      </w:r>
      <w:r>
        <w:rPr>
          <w:rFonts w:ascii="宋体" w:hAnsi="宋体"/>
          <w:color w:val="000000"/>
          <w:sz w:val="24"/>
          <w:highlight w:val="none"/>
        </w:rPr>
        <w:t>、微信公众号上推出五期特刊；策划一期线下活动，组织前海香港青年看前海南山活动；根据需要，不定期在</w:t>
      </w:r>
      <w:r>
        <w:rPr>
          <w:rFonts w:hint="eastAsia" w:ascii="宋体" w:hAnsi="宋体" w:cs="宋体"/>
          <w:bCs/>
          <w:color w:val="000000"/>
          <w:sz w:val="24"/>
          <w:highlight w:val="none"/>
          <w:lang w:eastAsia="zh-Hans"/>
        </w:rPr>
        <w:t>南山区级官方报纸媒体</w:t>
      </w:r>
      <w:r>
        <w:rPr>
          <w:rFonts w:ascii="宋体" w:hAnsi="宋体"/>
          <w:color w:val="000000"/>
          <w:sz w:val="24"/>
          <w:highlight w:val="none"/>
        </w:rPr>
        <w:t>推出设定栏目名和LOGO的前海专栏。</w:t>
      </w:r>
      <w:r>
        <w:rPr>
          <w:rFonts w:hint="eastAsia" w:ascii="宋体" w:hAnsi="宋体"/>
          <w:color w:val="000000"/>
          <w:sz w:val="24"/>
          <w:highlight w:val="none"/>
          <w:lang w:eastAsia="zh-Hans"/>
        </w:rPr>
        <w:t>成果</w:t>
      </w:r>
      <w:r>
        <w:rPr>
          <w:rFonts w:hint="eastAsia" w:ascii="宋体" w:hAnsi="宋体"/>
          <w:color w:val="000000"/>
          <w:sz w:val="24"/>
          <w:highlight w:val="none"/>
        </w:rPr>
        <w:t>以书面形式（按采购人要求数量印制）和电子文件形式提交（成果名称可根据实际研究内容调整）。</w:t>
      </w:r>
    </w:p>
    <w:p>
      <w:pPr>
        <w:widowControl/>
        <w:spacing w:line="440" w:lineRule="exact"/>
        <w:ind w:firstLine="480" w:firstLineChars="200"/>
        <w:rPr>
          <w:rFonts w:ascii="宋体" w:hAnsi="宋体"/>
          <w:bCs/>
          <w:kern w:val="0"/>
          <w:sz w:val="24"/>
          <w:highlight w:val="none"/>
        </w:rPr>
      </w:pPr>
      <w:r>
        <w:rPr>
          <w:rFonts w:hint="eastAsia" w:ascii="宋体" w:hAnsi="宋体"/>
          <w:bCs/>
          <w:kern w:val="0"/>
          <w:sz w:val="24"/>
          <w:highlight w:val="none"/>
        </w:rPr>
        <w:t>在合同履行过程中，必要时，采购人可以对最终成果的构成进行调整。采购人如需中标人增加交付成果文本的数量，应由双方协商解决。</w:t>
      </w:r>
    </w:p>
    <w:p>
      <w:pPr>
        <w:widowControl/>
        <w:spacing w:line="440" w:lineRule="exact"/>
        <w:ind w:firstLine="482" w:firstLineChars="200"/>
        <w:rPr>
          <w:rFonts w:ascii="宋体" w:hAnsi="宋体"/>
          <w:b/>
          <w:bCs/>
          <w:sz w:val="24"/>
          <w:highlight w:val="none"/>
        </w:rPr>
      </w:pPr>
      <w:r>
        <w:rPr>
          <w:rFonts w:hint="eastAsia" w:ascii="宋体" w:hAnsi="宋体"/>
          <w:b/>
          <w:bCs/>
          <w:sz w:val="24"/>
          <w:highlight w:val="none"/>
        </w:rPr>
        <w:t>2.项目验收</w:t>
      </w:r>
    </w:p>
    <w:p>
      <w:pPr>
        <w:widowControl/>
        <w:spacing w:line="440" w:lineRule="exact"/>
        <w:ind w:firstLine="480" w:firstLineChars="200"/>
        <w:rPr>
          <w:rFonts w:ascii="宋体" w:hAnsi="宋体"/>
          <w:sz w:val="24"/>
          <w:highlight w:val="none"/>
        </w:rPr>
      </w:pPr>
      <w:r>
        <w:rPr>
          <w:rFonts w:hint="eastAsia" w:ascii="宋体" w:hAnsi="宋体"/>
          <w:sz w:val="24"/>
          <w:highlight w:val="none"/>
        </w:rPr>
        <w:t>（1）验收标准（包括但不限于）：</w:t>
      </w:r>
    </w:p>
    <w:p>
      <w:pPr>
        <w:widowControl/>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“前海－南山”新闻信息库的建立及日常信息采集、更新，全年采写图文产品120条</w:t>
      </w:r>
      <w:r>
        <w:rPr>
          <w:rFonts w:ascii="宋体" w:hAnsi="宋体"/>
          <w:color w:val="000000"/>
          <w:sz w:val="24"/>
          <w:highlight w:val="none"/>
        </w:rPr>
        <w:t>；搭建“1+1+1”传媒团队；以新城建设、衣食住行等角度，推出短视频（1-3分钟）6条，其中每1条视频全网浏览量不低于10万；通过</w:t>
      </w:r>
      <w:r>
        <w:rPr>
          <w:rFonts w:hint="eastAsia" w:ascii="宋体" w:hAnsi="宋体" w:cs="宋体"/>
          <w:bCs/>
          <w:color w:val="000000"/>
          <w:sz w:val="24"/>
          <w:highlight w:val="none"/>
          <w:lang w:eastAsia="zh-Hans"/>
        </w:rPr>
        <w:t>南山区级官方报纸媒体</w:t>
      </w:r>
      <w:r>
        <w:rPr>
          <w:rFonts w:ascii="宋体" w:hAnsi="宋体"/>
          <w:color w:val="000000"/>
          <w:sz w:val="24"/>
          <w:highlight w:val="none"/>
        </w:rPr>
        <w:t>、官方微信公众号和视频号，以及</w:t>
      </w:r>
      <w:r>
        <w:rPr>
          <w:rFonts w:hint="eastAsia" w:ascii="宋体" w:hAnsi="宋体"/>
          <w:color w:val="000000"/>
          <w:sz w:val="24"/>
          <w:highlight w:val="none"/>
          <w:lang w:eastAsia="zh-Hans"/>
        </w:rPr>
        <w:t>媒体自有</w:t>
      </w:r>
      <w:r>
        <w:rPr>
          <w:rFonts w:ascii="宋体" w:hAnsi="宋体"/>
          <w:color w:val="000000"/>
          <w:sz w:val="24"/>
          <w:highlight w:val="none"/>
        </w:rPr>
        <w:t>App、人民日报客户端等新媒体平台全年发布各类信息50条；策划在</w:t>
      </w:r>
      <w:r>
        <w:rPr>
          <w:rFonts w:hint="eastAsia" w:ascii="宋体" w:hAnsi="宋体" w:cs="宋体"/>
          <w:bCs/>
          <w:color w:val="000000"/>
          <w:sz w:val="24"/>
          <w:highlight w:val="none"/>
          <w:lang w:eastAsia="zh-Hans"/>
        </w:rPr>
        <w:t>南山区级官方报纸媒体</w:t>
      </w:r>
      <w:r>
        <w:rPr>
          <w:rFonts w:ascii="宋体" w:hAnsi="宋体"/>
          <w:color w:val="000000"/>
          <w:sz w:val="24"/>
          <w:highlight w:val="none"/>
        </w:rPr>
        <w:t>、微信公众号上推出五期特刊；策划一期线下活动，组织前海香港青年看前海南山活动；根据需要，不定期在</w:t>
      </w:r>
      <w:r>
        <w:rPr>
          <w:rFonts w:hint="eastAsia" w:ascii="宋体" w:hAnsi="宋体" w:cs="宋体"/>
          <w:bCs/>
          <w:color w:val="000000"/>
          <w:sz w:val="24"/>
          <w:highlight w:val="none"/>
          <w:lang w:eastAsia="zh-Hans"/>
        </w:rPr>
        <w:t>南山区级官方报纸媒体</w:t>
      </w:r>
      <w:r>
        <w:rPr>
          <w:rFonts w:ascii="宋体" w:hAnsi="宋体"/>
          <w:color w:val="000000"/>
          <w:sz w:val="24"/>
          <w:highlight w:val="none"/>
        </w:rPr>
        <w:t>推出设定栏目名和LOGO的前海专栏。</w:t>
      </w:r>
    </w:p>
    <w:p>
      <w:pPr>
        <w:widowControl/>
        <w:spacing w:line="440" w:lineRule="exact"/>
        <w:ind w:firstLine="480" w:firstLineChars="200"/>
        <w:rPr>
          <w:rFonts w:ascii="宋体" w:hAnsi="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）最终成果验收合</w:t>
      </w:r>
      <w:r>
        <w:rPr>
          <w:rFonts w:hint="eastAsia" w:ascii="宋体" w:hAnsi="宋体"/>
          <w:sz w:val="24"/>
          <w:highlight w:val="none"/>
        </w:rPr>
        <w:t>格的标志为：通过采购人</w:t>
      </w:r>
      <w:r>
        <w:rPr>
          <w:rFonts w:hint="eastAsia" w:ascii="宋体" w:hAnsi="宋体"/>
          <w:sz w:val="24"/>
          <w:highlight w:val="none"/>
          <w:lang w:eastAsia="zh-Hans"/>
        </w:rPr>
        <w:t>相关负责人审核通过</w:t>
      </w:r>
      <w:r>
        <w:rPr>
          <w:rFonts w:hint="eastAsia" w:ascii="宋体" w:hAnsi="宋体"/>
          <w:sz w:val="24"/>
          <w:highlight w:val="none"/>
        </w:rPr>
        <w:t>。</w:t>
      </w:r>
    </w:p>
    <w:p>
      <w:pPr>
        <w:widowControl/>
        <w:spacing w:line="440" w:lineRule="exact"/>
        <w:ind w:firstLine="482" w:firstLineChars="200"/>
        <w:rPr>
          <w:rFonts w:ascii="宋体" w:hAnsi="宋体" w:cs="宋体"/>
          <w:b/>
          <w:color w:val="000000"/>
          <w:sz w:val="24"/>
          <w:highlight w:val="none"/>
        </w:rPr>
      </w:pPr>
      <w:r>
        <w:rPr>
          <w:rFonts w:hint="eastAsia" w:ascii="宋体" w:hAnsi="宋体"/>
          <w:b/>
          <w:color w:val="000000"/>
          <w:kern w:val="0"/>
          <w:sz w:val="24"/>
          <w:highlight w:val="none"/>
        </w:rPr>
        <w:t>（</w:t>
      </w:r>
      <w:r>
        <w:rPr>
          <w:rFonts w:hint="eastAsia" w:ascii="宋体" w:hAnsi="宋体"/>
          <w:b/>
          <w:color w:val="000000"/>
          <w:kern w:val="0"/>
          <w:sz w:val="24"/>
          <w:highlight w:val="none"/>
          <w:lang w:eastAsia="zh-Hans"/>
        </w:rPr>
        <w:t>四</w:t>
      </w:r>
      <w:r>
        <w:rPr>
          <w:rFonts w:hint="eastAsia" w:ascii="宋体" w:hAnsi="宋体"/>
          <w:b/>
          <w:color w:val="000000"/>
          <w:kern w:val="0"/>
          <w:sz w:val="24"/>
          <w:highlight w:val="none"/>
        </w:rPr>
        <w:t>）报价及支付方式</w:t>
      </w:r>
    </w:p>
    <w:p>
      <w:pPr>
        <w:widowControl/>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1.报价要求</w:t>
      </w:r>
    </w:p>
    <w:p>
      <w:pPr>
        <w:widowControl/>
        <w:spacing w:line="440" w:lineRule="exact"/>
        <w:ind w:firstLine="480" w:firstLineChars="200"/>
        <w:rPr>
          <w:rFonts w:ascii="宋体" w:hAnsi="宋体"/>
          <w:color w:val="000000"/>
          <w:sz w:val="24"/>
          <w:highlight w:val="none"/>
        </w:rPr>
      </w:pPr>
      <w:r>
        <w:rPr>
          <w:rFonts w:hint="eastAsia" w:ascii="宋体" w:hAnsi="宋体" w:cs="宋体"/>
          <w:bCs/>
          <w:color w:val="000000"/>
          <w:sz w:val="24"/>
          <w:highlight w:val="none"/>
        </w:rPr>
        <w:t>本次投标为总价包干，</w:t>
      </w:r>
      <w:r>
        <w:rPr>
          <w:rFonts w:hint="eastAsia" w:ascii="宋体" w:hAnsi="宋体"/>
          <w:color w:val="000000"/>
          <w:sz w:val="24"/>
          <w:highlight w:val="none"/>
        </w:rPr>
        <w:t>中标人报价包含提供服务的全部费用，包括但不限于如下内容：</w:t>
      </w:r>
    </w:p>
    <w:p>
      <w:pPr>
        <w:widowControl/>
        <w:spacing w:line="440" w:lineRule="exact"/>
        <w:ind w:firstLine="480" w:firstLineChars="200"/>
        <w:rPr>
          <w:rFonts w:ascii="宋体" w:hAnsi="宋体"/>
          <w:sz w:val="24"/>
          <w:highlight w:val="none"/>
        </w:rPr>
      </w:pPr>
      <w:r>
        <w:rPr>
          <w:rFonts w:hint="eastAsia" w:ascii="宋体" w:hAnsi="宋体"/>
          <w:sz w:val="24"/>
          <w:highlight w:val="none"/>
        </w:rPr>
        <w:t>（1）中标人为采购人所提供的所有服务和技术支持费用；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（2）项目研讨会费用；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（3）项目产生的专家费用；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（4）中标人工作人员工资、差旅费；</w:t>
      </w:r>
    </w:p>
    <w:p>
      <w:pPr>
        <w:widowControl/>
        <w:spacing w:line="440" w:lineRule="exact"/>
        <w:ind w:firstLine="480" w:firstLineChars="200"/>
        <w:rPr>
          <w:rFonts w:ascii="宋体" w:hAnsi="宋体"/>
          <w:sz w:val="24"/>
          <w:highlight w:val="none"/>
        </w:rPr>
      </w:pPr>
      <w:r>
        <w:rPr>
          <w:rFonts w:hint="eastAsia" w:ascii="宋体" w:hAnsi="宋体"/>
          <w:sz w:val="24"/>
          <w:highlight w:val="none"/>
        </w:rPr>
        <w:t>（5）中标人的办公、通讯、交通费用；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（6）项目材料统计、分析费用；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（7）项目成果文本印刷费用；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（8）中标人以各种方式将文件资料发送至采购人的费用；</w:t>
      </w:r>
    </w:p>
    <w:p>
      <w:pPr>
        <w:widowControl/>
        <w:spacing w:line="440" w:lineRule="exact"/>
        <w:ind w:firstLine="480" w:firstLineChars="200"/>
        <w:rPr>
          <w:rFonts w:ascii="宋体" w:hAnsi="宋体"/>
          <w:sz w:val="24"/>
          <w:highlight w:val="none"/>
        </w:rPr>
      </w:pPr>
      <w:r>
        <w:rPr>
          <w:rFonts w:hint="eastAsia" w:ascii="宋体" w:hAnsi="宋体"/>
          <w:sz w:val="24"/>
          <w:highlight w:val="none"/>
        </w:rPr>
        <w:t>（9）本合同项下产生的一切税费;</w:t>
      </w:r>
    </w:p>
    <w:p>
      <w:pPr>
        <w:widowControl/>
        <w:spacing w:line="440" w:lineRule="exact"/>
        <w:ind w:firstLine="480" w:firstLineChars="200"/>
        <w:rPr>
          <w:rFonts w:ascii="宋体" w:hAnsi="宋体"/>
          <w:sz w:val="24"/>
          <w:highlight w:val="none"/>
        </w:rPr>
      </w:pPr>
      <w:r>
        <w:rPr>
          <w:rFonts w:hint="eastAsia" w:ascii="宋体" w:hAnsi="宋体"/>
          <w:sz w:val="24"/>
          <w:highlight w:val="none"/>
        </w:rPr>
        <w:t>（10）本合同项下产生的其他合理费用。</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w:t>
      </w:r>
      <w:r>
        <w:rPr>
          <w:rFonts w:hint="eastAsia" w:ascii="宋体" w:hAnsi="宋体"/>
          <w:color w:val="000000"/>
          <w:sz w:val="24"/>
          <w:highlight w:val="none"/>
        </w:rPr>
        <w:t>支付方式</w:t>
      </w:r>
    </w:p>
    <w:p>
      <w:pPr>
        <w:widowControl/>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第1期：本合同签订后15个工作日内，中标人向采购人提出付款申请，采购人向中标人支付总价款的</w:t>
      </w:r>
      <w:r>
        <w:rPr>
          <w:rFonts w:ascii="宋体" w:hAnsi="宋体"/>
          <w:color w:val="000000"/>
          <w:sz w:val="24"/>
          <w:highlight w:val="none"/>
        </w:rPr>
        <w:t>5</w:t>
      </w:r>
      <w:r>
        <w:rPr>
          <w:rFonts w:hint="eastAsia" w:ascii="宋体" w:hAnsi="宋体"/>
          <w:color w:val="000000"/>
          <w:sz w:val="24"/>
          <w:highlight w:val="none"/>
        </w:rPr>
        <w:t>0%；</w:t>
      </w:r>
    </w:p>
    <w:p>
      <w:pPr>
        <w:widowControl/>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第2期：中标人完成项目全部服务内容且按要求验收通过后，中标人向采购人提出付款申请，采购人向中标人支付总价款的</w:t>
      </w:r>
      <w:r>
        <w:rPr>
          <w:rFonts w:ascii="宋体" w:hAnsi="宋体"/>
          <w:color w:val="000000"/>
          <w:sz w:val="24"/>
          <w:highlight w:val="none"/>
        </w:rPr>
        <w:t>5</w:t>
      </w:r>
      <w:r>
        <w:rPr>
          <w:rFonts w:hint="eastAsia" w:ascii="宋体" w:hAnsi="宋体"/>
          <w:color w:val="000000"/>
          <w:sz w:val="24"/>
          <w:highlight w:val="none"/>
        </w:rPr>
        <w:t>0%。</w:t>
      </w:r>
    </w:p>
    <w:p>
      <w:pPr>
        <w:widowControl/>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上述每期款项均在满足付款条件，且采购人收到中标人开具的载明相应金额的合格发票后15个工作日内付至中标人指定银行账户。如未及时收到发票，则采购人相应付款时间顺延。</w:t>
      </w:r>
    </w:p>
    <w:p>
      <w:pPr>
        <w:tabs>
          <w:tab w:val="left" w:pos="4680"/>
        </w:tabs>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★（五）成果归属</w:t>
      </w:r>
    </w:p>
    <w:p>
      <w:pPr>
        <w:snapToGrid w:val="0"/>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olor w:val="000000"/>
          <w:kern w:val="0"/>
          <w:sz w:val="24"/>
          <w:highlight w:val="none"/>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highlight w:val="none"/>
        </w:rPr>
        <w:t>识产权权利，仍归各自所有。</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5.中标人完成本合同项目的研究开发人员享有在有关技术成果文件上写明技术成果完成者的权利和与采购人共同获得有关荣誉证书、奖励的权利。</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（六）保密条款</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4.中标人实施项目的程序应符合国家安全、保密的有关规定和标准。</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5.上述保密义务不适用以下情况：</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（1）获取的信息已被合法公开；</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（2）获得信息拥有方书面许可并在该许可范围内披露；</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（3）国家法律、法规规定的情形。</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7.无论本合同或本合同其他条款是否有效，本保密条款始终约束双方。国家秘密的保密期限由国家有关部门确定，工作秘密的保密期限由采购人确定。</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（七）违约责任</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1.中标人的违约责任</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 xml:space="preserve">（1）中标人无任何理由部分或全部不履行合同中应承担的义务时，中标人应按本合同总额的20%向采购人支付违约金。  </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①因中标人工作的错误或遗漏造成成果质量损失，且中标人未按采购人要求采取及时有效的补救措施的；</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②中标人未能按合同约定的日期(含协商延缓的日期)提交工作成果，延误时间超过30个工作日；</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③中标人虽如期提交最终成果，但最终成果连续二次未能通过验收的；</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④未经采购人书面许可，中标人不得将本合同项目与任何第三方合作，或将本合同标的的全部或部分擅自转包给任何第三方；</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⑥项目负责人未承担本合同项目实质性工作，或未经采购人书面在先同意，中标人擅自更换项目负责人的；</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⑦中标人明确表示或者以自己的行为表明不履行合同的。</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2.采购人的违约责任</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（2）如政策性原因导致本项目停工不属于采购人违约，采购人根据中标人实际完成工作结算统计服务费，采购人不另行支付额外费用，并不承担任何违约责任。</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3.上述违约责任各自独立且可累加。如合同所约定的违约金无法弥补因违约行为所造成的损失，违约方应补偿上述不足部分的损失。</w:t>
      </w:r>
    </w:p>
    <w:p>
      <w:pPr>
        <w:tabs>
          <w:tab w:val="left" w:pos="4680"/>
        </w:tabs>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四、其他要求</w:t>
      </w:r>
    </w:p>
    <w:p>
      <w:pPr>
        <w:spacing w:line="360" w:lineRule="auto"/>
        <w:ind w:firstLine="480" w:firstLineChars="200"/>
        <w:jc w:val="left"/>
        <w:rPr>
          <w:rFonts w:ascii="宋体" w:hAnsi="宋体" w:cs="宋体"/>
          <w:sz w:val="24"/>
          <w:highlight w:val="none"/>
        </w:rPr>
      </w:pPr>
      <w:r>
        <w:rPr>
          <w:rFonts w:hint="eastAsia" w:ascii="宋体" w:hAnsi="宋体" w:cs="宋体"/>
          <w:bCs/>
          <w:color w:val="000000"/>
          <w:sz w:val="24"/>
          <w:highlight w:val="none"/>
        </w:rPr>
        <w:t>供应商不得将项目非法分包或转包给任何单位和个人。否则，采购单位有权即刻终止合同，并要求供应商赔偿相应损失。</w:t>
      </w:r>
      <w:r>
        <w:rPr>
          <w:rFonts w:hint="eastAsia" w:ascii="宋体" w:hAnsi="宋体" w:cs="宋体"/>
          <w:sz w:val="24"/>
          <w:highlight w:val="none"/>
        </w:rPr>
        <w:br w:type="page"/>
      </w:r>
      <w:bookmarkStart w:id="20" w:name="_Toc6457"/>
    </w:p>
    <w:p>
      <w:pPr>
        <w:spacing w:line="360" w:lineRule="auto"/>
        <w:ind w:firstLine="480" w:firstLineChars="200"/>
        <w:jc w:val="left"/>
        <w:rPr>
          <w:rFonts w:ascii="宋体" w:hAnsi="宋体" w:cs="宋体"/>
          <w:sz w:val="24"/>
          <w:highlight w:val="none"/>
        </w:rPr>
      </w:pPr>
    </w:p>
    <w:p>
      <w:pPr>
        <w:numPr>
          <w:ilvl w:val="0"/>
          <w:numId w:val="1"/>
        </w:numPr>
        <w:spacing w:line="360" w:lineRule="auto"/>
        <w:jc w:val="center"/>
        <w:outlineLvl w:val="0"/>
        <w:rPr>
          <w:rFonts w:ascii="宋体" w:hAnsi="宋体" w:cs="宋体"/>
          <w:b/>
          <w:sz w:val="24"/>
          <w:highlight w:val="none"/>
        </w:rPr>
      </w:pPr>
      <w:r>
        <w:rPr>
          <w:rFonts w:hint="eastAsia" w:ascii="宋体" w:hAnsi="宋体" w:cs="宋体"/>
          <w:b/>
          <w:sz w:val="24"/>
          <w:highlight w:val="none"/>
        </w:rPr>
        <w:t>投标文件初审及招标项目评分表</w:t>
      </w:r>
      <w:bookmarkEnd w:id="20"/>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1</w:t>
            </w:r>
          </w:p>
        </w:tc>
        <w:tc>
          <w:tcPr>
            <w:tcW w:w="7950" w:type="dxa"/>
          </w:tcPr>
          <w:p>
            <w:pPr>
              <w:spacing w:line="360" w:lineRule="auto"/>
              <w:rPr>
                <w:rFonts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2</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3</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4</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5</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6</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7</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8</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9</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10</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highlight w:val="none"/>
              </w:rPr>
            </w:pPr>
            <w:r>
              <w:rPr>
                <w:rFonts w:hint="eastAsia" w:ascii="宋体" w:hAnsi="宋体" w:cs="宋体"/>
                <w:sz w:val="24"/>
                <w:highlight w:val="none"/>
              </w:rPr>
              <w:t>11</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bl>
    <w:p>
      <w:pPr>
        <w:spacing w:line="360" w:lineRule="auto"/>
        <w:jc w:val="center"/>
        <w:rPr>
          <w:rFonts w:ascii="宋体" w:cs="宋体"/>
          <w:b/>
          <w:bCs/>
          <w:sz w:val="24"/>
          <w:highlight w:val="none"/>
        </w:rPr>
      </w:pPr>
      <w:r>
        <w:rPr>
          <w:rFonts w:hint="eastAsia" w:ascii="宋体" w:hAnsi="宋体" w:cs="宋体"/>
          <w:b/>
          <w:bCs/>
          <w:sz w:val="24"/>
          <w:highlight w:val="none"/>
        </w:rPr>
        <w:t>招标项目评分表</w:t>
      </w:r>
    </w:p>
    <w:tbl>
      <w:tblPr>
        <w:tblStyle w:val="11"/>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投标报价得分=</w:t>
            </w:r>
            <w:r>
              <w:rPr>
                <w:rFonts w:ascii="宋体" w:hAnsi="宋体" w:cs="宋体"/>
                <w:kern w:val="0"/>
                <w:sz w:val="22"/>
                <w:szCs w:val="22"/>
                <w:highlight w:val="none"/>
                <w:lang w:bidi="ar"/>
              </w:rPr>
              <w:t>（</w:t>
            </w:r>
            <w:r>
              <w:rPr>
                <w:rFonts w:hint="eastAsia" w:ascii="宋体" w:hAnsi="宋体" w:cs="宋体"/>
                <w:kern w:val="0"/>
                <w:sz w:val="22"/>
                <w:szCs w:val="22"/>
                <w:highlight w:val="none"/>
                <w:lang w:bidi="ar"/>
              </w:rPr>
              <w:t>评标基准价／投标报价</w:t>
            </w:r>
            <w:r>
              <w:rPr>
                <w:rFonts w:ascii="宋体" w:hAnsi="宋体" w:cs="宋体"/>
                <w:kern w:val="0"/>
                <w:sz w:val="22"/>
                <w:szCs w:val="22"/>
                <w:highlight w:val="none"/>
                <w:lang w:bidi="ar"/>
              </w:rPr>
              <w:t>）</w:t>
            </w:r>
            <w:r>
              <w:rPr>
                <w:rFonts w:hint="eastAsia" w:ascii="宋体" w:hAnsi="宋体" w:cs="宋体"/>
                <w:kern w:val="0"/>
                <w:sz w:val="22"/>
                <w:szCs w:val="22"/>
                <w:highlight w:val="none"/>
                <w:lang w:bidi="ar"/>
              </w:rPr>
              <w:t xml:space="preserve">×权重 </w:t>
            </w:r>
          </w:p>
          <w:p>
            <w:pPr>
              <w:widowControl/>
              <w:jc w:val="left"/>
              <w:rPr>
                <w:rFonts w:ascii="宋体" w:cs="宋体"/>
                <w:szCs w:val="21"/>
                <w:highlight w:val="none"/>
              </w:rPr>
            </w:pPr>
            <w:r>
              <w:rPr>
                <w:rFonts w:hint="eastAsia" w:ascii="宋体" w:hAnsi="宋体"/>
                <w:bCs/>
                <w:highlight w:val="none"/>
              </w:rPr>
              <w:t>备注：1、因落实政府采购政策进行价格调整的，以调整后的价格计算评标基准价和投标报价</w:t>
            </w:r>
            <w:r>
              <w:rPr>
                <w:rFonts w:hint="eastAsia" w:ascii="宋体" w:cs="宋体"/>
                <w:szCs w:val="21"/>
                <w:highlight w:val="none"/>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jc w:val="left"/>
              <w:textAlignment w:val="center"/>
              <w:rPr>
                <w:rFonts w:ascii="宋体" w:hAnsi="宋体" w:cs="宋体"/>
                <w:sz w:val="22"/>
                <w:szCs w:val="22"/>
                <w:highlight w:val="none"/>
              </w:rPr>
            </w:pPr>
            <w:r>
              <w:rPr>
                <w:rFonts w:hint="eastAsia" w:ascii="宋体" w:hAnsi="宋体"/>
                <w:bCs/>
                <w:highlight w:val="none"/>
              </w:rPr>
              <w:t>2、投标报价得分四舍五入后，</w:t>
            </w:r>
            <w:r>
              <w:rPr>
                <w:rFonts w:hint="eastAsia" w:ascii="Arial" w:hAnsi="Arial" w:cs="Arial"/>
                <w:szCs w:val="20"/>
                <w:highlight w:val="none"/>
              </w:rPr>
              <w:t>小数点后保留两位有效数；</w:t>
            </w:r>
            <w:r>
              <w:rPr>
                <w:rFonts w:hint="eastAsia" w:ascii="宋体" w:hAnsi="宋体" w:cs="宋体"/>
                <w:kern w:val="0"/>
                <w:sz w:val="22"/>
                <w:szCs w:val="22"/>
                <w:highlight w:val="none"/>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highlight w:val="none"/>
              </w:rPr>
            </w:pPr>
            <w:r>
              <w:rPr>
                <w:rFonts w:hint="eastAsia" w:ascii="宋体" w:hAnsi="宋体" w:cs="宋体"/>
                <w:b/>
                <w:bCs/>
                <w:kern w:val="0"/>
                <w:sz w:val="22"/>
                <w:szCs w:val="22"/>
                <w:highlight w:val="none"/>
                <w:lang w:bidi="ar"/>
              </w:rPr>
              <w:t>二、商务部分（45分）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szCs w:val="21"/>
                <w:highlight w:val="none"/>
              </w:rPr>
            </w:pPr>
            <w:r>
              <w:rPr>
                <w:rFonts w:hint="eastAsia"/>
                <w:szCs w:val="21"/>
                <w:highlight w:val="none"/>
              </w:rPr>
              <w:t>（1）每提供一项同类项目业绩，得</w:t>
            </w:r>
            <w:r>
              <w:rPr>
                <w:szCs w:val="21"/>
                <w:highlight w:val="none"/>
              </w:rPr>
              <w:t>2</w:t>
            </w:r>
            <w:r>
              <w:rPr>
                <w:rFonts w:hint="eastAsia"/>
                <w:szCs w:val="21"/>
                <w:highlight w:val="none"/>
              </w:rPr>
              <w:t>分。</w:t>
            </w:r>
          </w:p>
          <w:p>
            <w:pPr>
              <w:rPr>
                <w:szCs w:val="21"/>
                <w:highlight w:val="none"/>
              </w:rPr>
            </w:pPr>
            <w:r>
              <w:rPr>
                <w:rFonts w:hint="eastAsia"/>
                <w:szCs w:val="21"/>
                <w:highlight w:val="none"/>
              </w:rPr>
              <w:t>（2）本项累计最高得</w:t>
            </w:r>
            <w:r>
              <w:rPr>
                <w:szCs w:val="21"/>
                <w:highlight w:val="none"/>
              </w:rPr>
              <w:t>10</w:t>
            </w:r>
            <w:r>
              <w:rPr>
                <w:rFonts w:hint="eastAsia"/>
                <w:szCs w:val="21"/>
                <w:highlight w:val="none"/>
              </w:rPr>
              <w:t>分，不提供或者不能有效证明的，得0分。</w:t>
            </w:r>
          </w:p>
          <w:p>
            <w:pPr>
              <w:rPr>
                <w:szCs w:val="21"/>
                <w:highlight w:val="none"/>
              </w:rPr>
            </w:pPr>
            <w:r>
              <w:rPr>
                <w:rFonts w:hint="eastAsia"/>
                <w:szCs w:val="21"/>
                <w:highlight w:val="none"/>
              </w:rPr>
              <w:t>1.供应商必须提供项目合同关键页复印件作为证明文件（包含甲乙方名称、项目名称、签订时间、盖章等），合同签订时间为20</w:t>
            </w:r>
            <w:r>
              <w:rPr>
                <w:szCs w:val="21"/>
                <w:highlight w:val="none"/>
              </w:rPr>
              <w:t>1</w:t>
            </w:r>
            <w:r>
              <w:rPr>
                <w:rFonts w:hint="eastAsia"/>
                <w:szCs w:val="21"/>
                <w:highlight w:val="none"/>
              </w:rPr>
              <w:t>8年1月1日至投标截止时间前，原件备查。</w:t>
            </w:r>
          </w:p>
          <w:p>
            <w:pPr>
              <w:widowControl/>
              <w:textAlignment w:val="center"/>
              <w:rPr>
                <w:rFonts w:ascii="宋体" w:hAnsi="宋体"/>
                <w:sz w:val="22"/>
                <w:highlight w:val="none"/>
              </w:rPr>
            </w:pPr>
            <w:r>
              <w:rPr>
                <w:rFonts w:hint="eastAsia"/>
                <w:szCs w:val="21"/>
                <w:highlight w:val="none"/>
              </w:rPr>
              <w:t>2.同一项目业绩不重复计分。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sz w:val="22"/>
                <w:szCs w:val="22"/>
                <w:highlight w:val="none"/>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highlight w:val="none"/>
              </w:rPr>
            </w:pPr>
            <w:r>
              <w:rPr>
                <w:rFonts w:hint="eastAsia"/>
                <w:szCs w:val="21"/>
                <w:highlight w:val="none"/>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pPr>
              <w:rPr>
                <w:highlight w:val="none"/>
              </w:rPr>
            </w:pPr>
            <w:r>
              <w:rPr>
                <w:rFonts w:hint="eastAsia"/>
                <w:highlight w:val="none"/>
              </w:rPr>
              <w:t>项目负责人仅限1人，需为投标人自有员工，否则本项不得分。</w:t>
            </w:r>
          </w:p>
          <w:p>
            <w:pPr>
              <w:rPr>
                <w:highlight w:val="none"/>
              </w:rPr>
            </w:pPr>
            <w:r>
              <w:rPr>
                <w:rFonts w:hint="eastAsia"/>
                <w:highlight w:val="none"/>
              </w:rPr>
              <w:t>（1）学历：具备</w:t>
            </w:r>
            <w:r>
              <w:rPr>
                <w:rFonts w:hint="eastAsia"/>
                <w:highlight w:val="none"/>
                <w:lang w:eastAsia="zh-Hans"/>
              </w:rPr>
              <w:t>研究生</w:t>
            </w:r>
            <w:r>
              <w:rPr>
                <w:rFonts w:hint="eastAsia"/>
                <w:highlight w:val="none"/>
              </w:rPr>
              <w:t>学历的，得</w:t>
            </w:r>
            <w:r>
              <w:rPr>
                <w:highlight w:val="none"/>
              </w:rPr>
              <w:t>2</w:t>
            </w:r>
            <w:r>
              <w:rPr>
                <w:rFonts w:hint="eastAsia"/>
                <w:highlight w:val="none"/>
              </w:rPr>
              <w:t>分；具备</w:t>
            </w:r>
            <w:r>
              <w:rPr>
                <w:rFonts w:hint="eastAsia"/>
                <w:highlight w:val="none"/>
                <w:lang w:eastAsia="zh-Hans"/>
              </w:rPr>
              <w:t>大学本科</w:t>
            </w:r>
            <w:r>
              <w:rPr>
                <w:rFonts w:hint="eastAsia"/>
                <w:highlight w:val="none"/>
              </w:rPr>
              <w:t>学历的，得</w:t>
            </w:r>
            <w:r>
              <w:rPr>
                <w:highlight w:val="none"/>
              </w:rPr>
              <w:t>1</w:t>
            </w:r>
            <w:r>
              <w:rPr>
                <w:rFonts w:hint="eastAsia"/>
                <w:highlight w:val="none"/>
              </w:rPr>
              <w:t>分。</w:t>
            </w:r>
          </w:p>
          <w:p>
            <w:pPr>
              <w:rPr>
                <w:highlight w:val="none"/>
              </w:rPr>
            </w:pPr>
            <w:r>
              <w:rPr>
                <w:rFonts w:hint="eastAsia"/>
                <w:highlight w:val="none"/>
              </w:rPr>
              <w:t>（2）项目负责人经验：每提供一项</w:t>
            </w:r>
            <w:r>
              <w:rPr>
                <w:rFonts w:hint="eastAsia"/>
                <w:szCs w:val="21"/>
                <w:highlight w:val="none"/>
              </w:rPr>
              <w:t>同类项目业绩</w:t>
            </w:r>
            <w:r>
              <w:rPr>
                <w:rFonts w:hint="eastAsia"/>
                <w:highlight w:val="none"/>
              </w:rPr>
              <w:t>的，得</w:t>
            </w:r>
            <w:r>
              <w:rPr>
                <w:highlight w:val="none"/>
              </w:rPr>
              <w:t>2</w:t>
            </w:r>
            <w:r>
              <w:rPr>
                <w:rFonts w:hint="eastAsia"/>
                <w:highlight w:val="none"/>
              </w:rPr>
              <w:t>分，最高得</w:t>
            </w:r>
            <w:r>
              <w:rPr>
                <w:highlight w:val="none"/>
              </w:rPr>
              <w:t>10</w:t>
            </w:r>
            <w:r>
              <w:rPr>
                <w:rFonts w:hint="eastAsia"/>
                <w:highlight w:val="none"/>
              </w:rPr>
              <w:t>分。</w:t>
            </w:r>
          </w:p>
          <w:p>
            <w:pPr>
              <w:rPr>
                <w:highlight w:val="none"/>
              </w:rPr>
            </w:pPr>
            <w:r>
              <w:rPr>
                <w:rFonts w:hint="eastAsia"/>
                <w:highlight w:val="none"/>
              </w:rPr>
              <w:t>（3）不提供或者不能有效证明的，得0分。</w:t>
            </w:r>
          </w:p>
          <w:p>
            <w:pPr>
              <w:rPr>
                <w:highlight w:val="none"/>
              </w:rPr>
            </w:pPr>
            <w:r>
              <w:rPr>
                <w:rFonts w:hint="eastAsia"/>
                <w:highlight w:val="none"/>
              </w:rPr>
              <w:t>注意事项：</w:t>
            </w:r>
          </w:p>
          <w:p>
            <w:pPr>
              <w:spacing w:line="360" w:lineRule="exact"/>
              <w:rPr>
                <w:highlight w:val="none"/>
              </w:rPr>
            </w:pPr>
            <w:r>
              <w:rPr>
                <w:rFonts w:hint="eastAsia"/>
                <w:highlight w:val="none"/>
              </w:rPr>
              <w:t>项目负责人需提供近3个月在投标单位缴纳的社保证明（新成立投标人提供自成立以来的社保证明）、学历证明，复印件需加盖公章作为证明文件、项目经验需提供合同关键页复印件证明。</w:t>
            </w:r>
          </w:p>
          <w:p>
            <w:pPr>
              <w:pStyle w:val="2"/>
              <w:rPr>
                <w:highlight w:val="none"/>
              </w:rPr>
            </w:pPr>
            <w:r>
              <w:rPr>
                <w:rFonts w:hint="eastAsia"/>
                <w:highlight w:val="none"/>
              </w:rPr>
              <w:t>（项目负责人的项目经验不要求一定在投标单位，但是要求合同关键页能证明该负责人曾经负责过所提供的项目）。</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sz w:val="22"/>
                <w:szCs w:val="22"/>
                <w:highlight w:val="none"/>
              </w:rPr>
              <w:t>12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43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3</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highlight w:val="none"/>
              </w:rPr>
            </w:pPr>
            <w:r>
              <w:rPr>
                <w:rFonts w:hint="eastAsia" w:ascii="宋体" w:hAnsi="宋体"/>
                <w:szCs w:val="21"/>
                <w:highlight w:val="none"/>
              </w:rPr>
              <w:t>团队成员（项目负责人除外）</w:t>
            </w:r>
          </w:p>
        </w:tc>
        <w:tc>
          <w:tcPr>
            <w:tcW w:w="5836" w:type="dxa"/>
            <w:tcBorders>
              <w:top w:val="single" w:color="auto" w:sz="4" w:space="0"/>
              <w:left w:val="single" w:color="000000" w:sz="4" w:space="0"/>
              <w:bottom w:val="single" w:color="auto" w:sz="4" w:space="0"/>
              <w:right w:val="single" w:color="000000" w:sz="4" w:space="0"/>
            </w:tcBorders>
            <w:vAlign w:val="center"/>
          </w:tcPr>
          <w:p>
            <w:pPr>
              <w:rPr>
                <w:highlight w:val="none"/>
              </w:rPr>
            </w:pPr>
            <w:r>
              <w:rPr>
                <w:rFonts w:hint="eastAsia"/>
                <w:highlight w:val="none"/>
              </w:rPr>
              <w:t>团队成员不少于</w:t>
            </w:r>
            <w:r>
              <w:rPr>
                <w:highlight w:val="none"/>
              </w:rPr>
              <w:t>3</w:t>
            </w:r>
            <w:r>
              <w:rPr>
                <w:rFonts w:hint="eastAsia"/>
                <w:highlight w:val="none"/>
              </w:rPr>
              <w:t>人。</w:t>
            </w:r>
          </w:p>
          <w:p>
            <w:pPr>
              <w:rPr>
                <w:highlight w:val="none"/>
              </w:rPr>
            </w:pPr>
            <w:r>
              <w:rPr>
                <w:rFonts w:hint="eastAsia"/>
                <w:highlight w:val="none"/>
              </w:rPr>
              <w:t>（1）学历：项目成员具备</w:t>
            </w:r>
            <w:r>
              <w:rPr>
                <w:rFonts w:hint="eastAsia"/>
                <w:highlight w:val="none"/>
                <w:lang w:eastAsia="zh-Hans"/>
              </w:rPr>
              <w:t>研究生</w:t>
            </w:r>
            <w:r>
              <w:rPr>
                <w:rFonts w:hint="eastAsia"/>
                <w:highlight w:val="none"/>
              </w:rPr>
              <w:t>及以上学位的，每提供一人得</w:t>
            </w:r>
            <w:r>
              <w:rPr>
                <w:highlight w:val="none"/>
              </w:rPr>
              <w:t>2</w:t>
            </w:r>
            <w:r>
              <w:rPr>
                <w:rFonts w:hint="eastAsia"/>
                <w:highlight w:val="none"/>
              </w:rPr>
              <w:t>分；具备</w:t>
            </w:r>
            <w:r>
              <w:rPr>
                <w:rFonts w:hint="eastAsia"/>
                <w:highlight w:val="none"/>
                <w:lang w:eastAsia="zh-Hans"/>
              </w:rPr>
              <w:t>大学本科</w:t>
            </w:r>
            <w:r>
              <w:rPr>
                <w:rFonts w:hint="eastAsia"/>
                <w:highlight w:val="none"/>
              </w:rPr>
              <w:t>学历的，每提供一人得</w:t>
            </w:r>
            <w:r>
              <w:rPr>
                <w:highlight w:val="none"/>
              </w:rPr>
              <w:t>1</w:t>
            </w:r>
            <w:r>
              <w:rPr>
                <w:rFonts w:hint="eastAsia"/>
                <w:highlight w:val="none"/>
              </w:rPr>
              <w:t>分；最高不超过</w:t>
            </w:r>
            <w:r>
              <w:rPr>
                <w:highlight w:val="none"/>
              </w:rPr>
              <w:t>6</w:t>
            </w:r>
            <w:r>
              <w:rPr>
                <w:rFonts w:hint="eastAsia"/>
                <w:highlight w:val="none"/>
              </w:rPr>
              <w:t>分。</w:t>
            </w:r>
          </w:p>
          <w:p>
            <w:pPr>
              <w:rPr>
                <w:highlight w:val="none"/>
              </w:rPr>
            </w:pPr>
            <w:r>
              <w:rPr>
                <w:rFonts w:hint="eastAsia"/>
                <w:highlight w:val="none"/>
              </w:rPr>
              <w:t>（2）项目经验：项目成员具备同类项目业绩的，每提供一个有相关经验的团队成员得</w:t>
            </w:r>
            <w:r>
              <w:rPr>
                <w:highlight w:val="none"/>
              </w:rPr>
              <w:t>4</w:t>
            </w:r>
            <w:r>
              <w:rPr>
                <w:rFonts w:hint="eastAsia"/>
                <w:highlight w:val="none"/>
              </w:rPr>
              <w:t>分；最高不超过</w:t>
            </w:r>
            <w:r>
              <w:rPr>
                <w:highlight w:val="none"/>
              </w:rPr>
              <w:t>12</w:t>
            </w:r>
            <w:r>
              <w:rPr>
                <w:rFonts w:hint="eastAsia"/>
                <w:highlight w:val="none"/>
              </w:rPr>
              <w:t>分。</w:t>
            </w:r>
          </w:p>
          <w:p>
            <w:pPr>
              <w:rPr>
                <w:highlight w:val="none"/>
              </w:rPr>
            </w:pPr>
            <w:r>
              <w:rPr>
                <w:rFonts w:hint="eastAsia"/>
                <w:highlight w:val="none"/>
              </w:rPr>
              <w:t>（3）不提供或者不能有效证明的，得0分。</w:t>
            </w:r>
          </w:p>
          <w:p>
            <w:pPr>
              <w:pStyle w:val="2"/>
              <w:rPr>
                <w:highlight w:val="none"/>
              </w:rPr>
            </w:pPr>
            <w:r>
              <w:rPr>
                <w:rFonts w:hint="eastAsia"/>
                <w:highlight w:val="none"/>
              </w:rPr>
              <w:t>注意事项：提供成员近3个月在投标单位缴纳的社保证明（新成立投标人提供自成立以来的社保证明）、</w:t>
            </w:r>
            <w:r>
              <w:rPr>
                <w:highlight w:val="none"/>
              </w:rPr>
              <w:t>学历证明、</w:t>
            </w:r>
            <w:r>
              <w:rPr>
                <w:rFonts w:hint="eastAsia"/>
                <w:highlight w:val="none"/>
              </w:rPr>
              <w:t>复印件需加盖公章作为证明文件、项目经验需提供合同关键页复印件证明（项目团队的项目经验要求一定在投标单位，否则不得分）。</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sz w:val="22"/>
                <w:szCs w:val="22"/>
                <w:highlight w:val="none"/>
              </w:rPr>
              <w:t>18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诚信审查</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highlight w:val="none"/>
              </w:rPr>
            </w:pPr>
            <w:r>
              <w:rPr>
                <w:rFonts w:hint="eastAsia" w:ascii="宋体" w:hAnsi="宋体" w:cs="宋体"/>
                <w:b/>
                <w:bCs/>
                <w:kern w:val="0"/>
                <w:sz w:val="22"/>
                <w:szCs w:val="22"/>
                <w:highlight w:val="none"/>
                <w:lang w:bidi="ar"/>
              </w:rPr>
              <w:t>三、技术部分（35分）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考察对项目需求、研究目的、研究内容是否有完整的理解，进行横向综合比较。包含但不限于以下内容：</w:t>
            </w:r>
          </w:p>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1.对背景的理解；</w:t>
            </w:r>
          </w:p>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2.对项目需求及目的解读；</w:t>
            </w:r>
          </w:p>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3.对研究内容整体解读。</w:t>
            </w:r>
          </w:p>
          <w:p>
            <w:pPr>
              <w:spacing w:line="340" w:lineRule="exact"/>
              <w:jc w:val="left"/>
              <w:rPr>
                <w:rFonts w:ascii="宋体" w:hAnsi="宋体" w:cs="宋体"/>
                <w:szCs w:val="21"/>
                <w:highlight w:val="none"/>
              </w:rPr>
            </w:pPr>
            <w:r>
              <w:rPr>
                <w:rFonts w:hint="eastAsia" w:ascii="宋体" w:hAnsi="宋体" w:cs="宋体"/>
                <w:szCs w:val="21"/>
                <w:highlight w:val="none"/>
              </w:rPr>
              <w:t>满足以上三项内容得</w:t>
            </w:r>
            <w:r>
              <w:rPr>
                <w:rFonts w:ascii="宋体" w:hAnsi="宋体" w:cs="宋体"/>
                <w:szCs w:val="21"/>
                <w:highlight w:val="none"/>
              </w:rPr>
              <w:t>6</w:t>
            </w:r>
            <w:r>
              <w:rPr>
                <w:rFonts w:hint="eastAsia" w:ascii="宋体" w:hAnsi="宋体" w:cs="宋体"/>
                <w:szCs w:val="21"/>
                <w:highlight w:val="none"/>
              </w:rPr>
              <w:t>分，满足任意两项内容得</w:t>
            </w:r>
            <w:r>
              <w:rPr>
                <w:rFonts w:ascii="宋体" w:hAnsi="宋体" w:cs="宋体"/>
                <w:szCs w:val="21"/>
                <w:highlight w:val="none"/>
              </w:rPr>
              <w:t>4</w:t>
            </w:r>
            <w:r>
              <w:rPr>
                <w:rFonts w:hint="eastAsia" w:ascii="宋体" w:hAnsi="宋体" w:cs="宋体"/>
                <w:szCs w:val="21"/>
                <w:highlight w:val="none"/>
              </w:rPr>
              <w:t>分，满足任意一项内容得</w:t>
            </w:r>
            <w:r>
              <w:rPr>
                <w:rFonts w:ascii="宋体" w:hAnsi="宋体" w:cs="宋体"/>
                <w:szCs w:val="21"/>
                <w:highlight w:val="none"/>
              </w:rPr>
              <w:t>2</w:t>
            </w:r>
            <w:r>
              <w:rPr>
                <w:rFonts w:hint="eastAsia" w:ascii="宋体" w:hAnsi="宋体" w:cs="宋体"/>
                <w:szCs w:val="21"/>
                <w:highlight w:val="none"/>
              </w:rPr>
              <w:t>分；在此基础上，对投标人响应情况进行分档评分：</w:t>
            </w:r>
          </w:p>
          <w:p>
            <w:pPr>
              <w:spacing w:line="340" w:lineRule="exact"/>
              <w:jc w:val="left"/>
              <w:rPr>
                <w:rFonts w:ascii="宋体" w:hAnsi="宋体" w:cs="宋体"/>
                <w:szCs w:val="21"/>
                <w:highlight w:val="none"/>
              </w:rPr>
            </w:pPr>
            <w:r>
              <w:rPr>
                <w:rFonts w:hint="eastAsia" w:ascii="宋体" w:hAnsi="宋体" w:cs="宋体"/>
                <w:szCs w:val="21"/>
                <w:highlight w:val="none"/>
              </w:rPr>
              <w:t>1.优评分标准：理解准确到位，概括性强加</w:t>
            </w:r>
            <w:r>
              <w:rPr>
                <w:rFonts w:ascii="宋体" w:hAnsi="宋体" w:cs="宋体"/>
                <w:szCs w:val="21"/>
                <w:highlight w:val="none"/>
              </w:rPr>
              <w:t>4</w:t>
            </w:r>
            <w:r>
              <w:rPr>
                <w:rFonts w:hint="eastAsia" w:ascii="宋体" w:hAnsi="宋体" w:cs="宋体"/>
                <w:szCs w:val="21"/>
                <w:highlight w:val="none"/>
              </w:rPr>
              <w:t>分。</w:t>
            </w:r>
          </w:p>
          <w:p>
            <w:pPr>
              <w:spacing w:line="340" w:lineRule="exact"/>
              <w:jc w:val="left"/>
              <w:rPr>
                <w:rFonts w:ascii="宋体" w:hAnsi="宋体" w:cs="宋体"/>
                <w:szCs w:val="21"/>
                <w:highlight w:val="none"/>
              </w:rPr>
            </w:pPr>
            <w:r>
              <w:rPr>
                <w:rFonts w:hint="eastAsia" w:ascii="宋体" w:hAnsi="宋体" w:cs="宋体"/>
                <w:szCs w:val="21"/>
                <w:highlight w:val="none"/>
              </w:rPr>
              <w:t>2.良评分标准：理解到位，具有一定概括性，加</w:t>
            </w:r>
            <w:r>
              <w:rPr>
                <w:rFonts w:ascii="宋体" w:hAnsi="宋体" w:cs="宋体"/>
                <w:szCs w:val="21"/>
                <w:highlight w:val="none"/>
              </w:rPr>
              <w:t>3</w:t>
            </w:r>
            <w:r>
              <w:rPr>
                <w:rFonts w:hint="eastAsia" w:ascii="宋体" w:hAnsi="宋体" w:cs="宋体"/>
                <w:szCs w:val="21"/>
                <w:highlight w:val="none"/>
              </w:rPr>
              <w:t>分。</w:t>
            </w:r>
          </w:p>
          <w:p>
            <w:pPr>
              <w:spacing w:line="340" w:lineRule="exact"/>
              <w:jc w:val="left"/>
              <w:rPr>
                <w:rFonts w:ascii="宋体" w:hAnsi="宋体" w:cs="宋体"/>
                <w:szCs w:val="21"/>
                <w:highlight w:val="none"/>
              </w:rPr>
            </w:pPr>
            <w:r>
              <w:rPr>
                <w:rFonts w:hint="eastAsia" w:ascii="宋体" w:hAnsi="宋体" w:cs="宋体"/>
                <w:szCs w:val="21"/>
                <w:highlight w:val="none"/>
              </w:rPr>
              <w:t>3.中评分标准：理解有缺漏但基本到位，概括性低，加</w:t>
            </w:r>
            <w:r>
              <w:rPr>
                <w:rFonts w:ascii="宋体" w:hAnsi="宋体" w:cs="宋体"/>
                <w:szCs w:val="21"/>
                <w:highlight w:val="none"/>
              </w:rPr>
              <w:t>2</w:t>
            </w:r>
            <w:r>
              <w:rPr>
                <w:rFonts w:hint="eastAsia" w:ascii="宋体" w:hAnsi="宋体" w:cs="宋体"/>
                <w:szCs w:val="21"/>
                <w:highlight w:val="none"/>
              </w:rPr>
              <w:t>分。</w:t>
            </w:r>
          </w:p>
          <w:p>
            <w:pPr>
              <w:widowControl/>
              <w:textAlignment w:val="center"/>
              <w:rPr>
                <w:rFonts w:ascii="宋体" w:hAnsi="宋体" w:cs="宋体"/>
                <w:szCs w:val="21"/>
                <w:highlight w:val="none"/>
              </w:rPr>
            </w:pPr>
            <w:r>
              <w:rPr>
                <w:rFonts w:hint="eastAsia" w:ascii="宋体" w:hAnsi="宋体" w:cs="宋体"/>
                <w:szCs w:val="21"/>
                <w:highlight w:val="none"/>
              </w:rPr>
              <w:t>4.差评分标准：理解有严重缺漏，无概括性，不加分。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sz w:val="22"/>
                <w:szCs w:val="22"/>
                <w:highlight w:val="none"/>
              </w:rPr>
              <w:t>10</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考察对项目重点难点分析，应对措施及相关的合理化建议情况，进行横向综合比较。包含但不限于以下内容：</w:t>
            </w:r>
          </w:p>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1.分析项目难点、重点情况；</w:t>
            </w:r>
          </w:p>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2.提出应对措施；</w:t>
            </w:r>
          </w:p>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3.对项目进行合理化建议；</w:t>
            </w:r>
          </w:p>
          <w:p>
            <w:pPr>
              <w:spacing w:line="340" w:lineRule="exact"/>
              <w:jc w:val="left"/>
              <w:rPr>
                <w:rFonts w:ascii="宋体" w:hAnsi="宋体" w:cs="宋体"/>
                <w:szCs w:val="21"/>
                <w:highlight w:val="none"/>
              </w:rPr>
            </w:pPr>
            <w:r>
              <w:rPr>
                <w:rFonts w:hint="eastAsia" w:ascii="宋体" w:hAnsi="宋体" w:cs="宋体"/>
                <w:szCs w:val="21"/>
                <w:highlight w:val="none"/>
              </w:rPr>
              <w:t>满足以上三项内容得</w:t>
            </w:r>
            <w:r>
              <w:rPr>
                <w:rFonts w:ascii="宋体" w:hAnsi="宋体" w:cs="宋体"/>
                <w:szCs w:val="21"/>
                <w:highlight w:val="none"/>
              </w:rPr>
              <w:t>6</w:t>
            </w:r>
            <w:r>
              <w:rPr>
                <w:rFonts w:hint="eastAsia" w:ascii="宋体" w:hAnsi="宋体" w:cs="宋体"/>
                <w:szCs w:val="21"/>
                <w:highlight w:val="none"/>
              </w:rPr>
              <w:t>分，满足任意两项内容得</w:t>
            </w:r>
            <w:r>
              <w:rPr>
                <w:rFonts w:ascii="宋体" w:hAnsi="宋体" w:cs="宋体"/>
                <w:szCs w:val="21"/>
                <w:highlight w:val="none"/>
              </w:rPr>
              <w:t>4</w:t>
            </w:r>
            <w:r>
              <w:rPr>
                <w:rFonts w:hint="eastAsia" w:ascii="宋体" w:hAnsi="宋体" w:cs="宋体"/>
                <w:szCs w:val="21"/>
                <w:highlight w:val="none"/>
              </w:rPr>
              <w:t>分，满足任意一项内容得</w:t>
            </w:r>
            <w:r>
              <w:rPr>
                <w:rFonts w:ascii="宋体" w:hAnsi="宋体" w:cs="宋体"/>
                <w:szCs w:val="21"/>
                <w:highlight w:val="none"/>
              </w:rPr>
              <w:t>2</w:t>
            </w:r>
            <w:r>
              <w:rPr>
                <w:rFonts w:hint="eastAsia" w:ascii="宋体" w:hAnsi="宋体" w:cs="宋体"/>
                <w:szCs w:val="21"/>
                <w:highlight w:val="none"/>
              </w:rPr>
              <w:t>分；在此基础上，对投标人响应情况进行分档评分：</w:t>
            </w:r>
          </w:p>
          <w:p>
            <w:pPr>
              <w:spacing w:line="340" w:lineRule="exact"/>
              <w:jc w:val="left"/>
              <w:rPr>
                <w:rFonts w:ascii="宋体" w:hAnsi="宋体" w:cs="宋体"/>
                <w:szCs w:val="21"/>
                <w:highlight w:val="none"/>
              </w:rPr>
            </w:pPr>
            <w:r>
              <w:rPr>
                <w:rFonts w:hint="eastAsia" w:ascii="宋体" w:hAnsi="宋体" w:cs="宋体"/>
                <w:szCs w:val="21"/>
                <w:highlight w:val="none"/>
              </w:rPr>
              <w:t>1.优评分标准：分析准确到位，措施合理，建议可操作性强，加</w:t>
            </w:r>
            <w:r>
              <w:rPr>
                <w:rFonts w:ascii="宋体" w:hAnsi="宋体" w:cs="宋体"/>
                <w:szCs w:val="21"/>
                <w:highlight w:val="none"/>
              </w:rPr>
              <w:t>4</w:t>
            </w:r>
            <w:r>
              <w:rPr>
                <w:rFonts w:hint="eastAsia" w:ascii="宋体" w:hAnsi="宋体" w:cs="宋体"/>
                <w:szCs w:val="21"/>
                <w:highlight w:val="none"/>
              </w:rPr>
              <w:t>分。</w:t>
            </w:r>
          </w:p>
          <w:p>
            <w:pPr>
              <w:spacing w:line="340" w:lineRule="exact"/>
              <w:jc w:val="left"/>
              <w:rPr>
                <w:rFonts w:ascii="宋体" w:hAnsi="宋体" w:cs="宋体"/>
                <w:szCs w:val="21"/>
                <w:highlight w:val="none"/>
              </w:rPr>
            </w:pPr>
            <w:r>
              <w:rPr>
                <w:rFonts w:hint="eastAsia" w:ascii="宋体" w:hAnsi="宋体" w:cs="宋体"/>
                <w:szCs w:val="21"/>
                <w:highlight w:val="none"/>
              </w:rPr>
              <w:t>2.良评分标准：分析到位，措施比较合理，建议可操作性较强，加</w:t>
            </w:r>
            <w:r>
              <w:rPr>
                <w:rFonts w:ascii="宋体" w:hAnsi="宋体" w:cs="宋体"/>
                <w:szCs w:val="21"/>
                <w:highlight w:val="none"/>
              </w:rPr>
              <w:t>3</w:t>
            </w:r>
            <w:r>
              <w:rPr>
                <w:rFonts w:hint="eastAsia" w:ascii="宋体" w:hAnsi="宋体" w:cs="宋体"/>
                <w:szCs w:val="21"/>
                <w:highlight w:val="none"/>
              </w:rPr>
              <w:t>分。</w:t>
            </w:r>
          </w:p>
          <w:p>
            <w:pPr>
              <w:spacing w:line="340" w:lineRule="exact"/>
              <w:jc w:val="left"/>
              <w:rPr>
                <w:rFonts w:ascii="宋体" w:hAnsi="宋体" w:cs="宋体"/>
                <w:szCs w:val="21"/>
                <w:highlight w:val="none"/>
              </w:rPr>
            </w:pPr>
            <w:r>
              <w:rPr>
                <w:rFonts w:hint="eastAsia" w:ascii="宋体" w:hAnsi="宋体" w:cs="宋体"/>
                <w:szCs w:val="21"/>
                <w:highlight w:val="none"/>
              </w:rPr>
              <w:t>3.中评分标准：分析基本到位，措施基本合理，建议可操作性一般，加</w:t>
            </w:r>
            <w:r>
              <w:rPr>
                <w:rFonts w:ascii="宋体" w:hAnsi="宋体" w:cs="宋体"/>
                <w:szCs w:val="21"/>
                <w:highlight w:val="none"/>
              </w:rPr>
              <w:t>2</w:t>
            </w:r>
            <w:r>
              <w:rPr>
                <w:rFonts w:hint="eastAsia" w:ascii="宋体" w:hAnsi="宋体" w:cs="宋体"/>
                <w:szCs w:val="21"/>
                <w:highlight w:val="none"/>
              </w:rPr>
              <w:t>分。</w:t>
            </w:r>
          </w:p>
          <w:p>
            <w:pPr>
              <w:widowControl/>
              <w:textAlignment w:val="center"/>
              <w:rPr>
                <w:rFonts w:ascii="宋体" w:hAnsi="宋体" w:cs="宋体"/>
                <w:szCs w:val="21"/>
                <w:highlight w:val="none"/>
              </w:rPr>
            </w:pPr>
            <w:r>
              <w:rPr>
                <w:rFonts w:hint="eastAsia" w:ascii="宋体" w:hAnsi="宋体" w:cs="宋体"/>
                <w:szCs w:val="21"/>
                <w:highlight w:val="none"/>
              </w:rPr>
              <w:t>4.差评分标准：分析有严重缺漏，措施不合理，建议可操作性差，不加分。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ascii="宋体" w:hAnsi="宋体" w:cs="宋体"/>
                <w:sz w:val="22"/>
                <w:szCs w:val="22"/>
                <w:highlight w:val="none"/>
              </w:rPr>
              <w:t>10</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hAnsi="宋体" w:cs="宋体"/>
                <w:sz w:val="22"/>
                <w:szCs w:val="22"/>
                <w:highlight w:val="none"/>
              </w:rPr>
            </w:pPr>
            <w:r>
              <w:rPr>
                <w:rFonts w:hint="eastAsia" w:ascii="宋体" w:hAnsi="宋体" w:cs="宋体"/>
                <w:kern w:val="0"/>
                <w:sz w:val="22"/>
                <w:szCs w:val="22"/>
                <w:highlight w:val="none"/>
                <w:lang w:bidi="ar"/>
              </w:rPr>
              <w:t>新媒体</w:t>
            </w:r>
            <w:r>
              <w:rPr>
                <w:rFonts w:ascii="宋体" w:hAnsi="宋体" w:cs="宋体"/>
                <w:kern w:val="0"/>
                <w:sz w:val="22"/>
                <w:szCs w:val="22"/>
                <w:highlight w:val="none"/>
                <w:lang w:bidi="ar"/>
              </w:rPr>
              <w:t>宣传内容和活动策划的理解</w:t>
            </w:r>
          </w:p>
        </w:tc>
        <w:tc>
          <w:tcPr>
            <w:tcW w:w="5836" w:type="dxa"/>
            <w:tcBorders>
              <w:top w:val="single" w:color="auto" w:sz="4" w:space="0"/>
              <w:left w:val="single" w:color="auto" w:sz="4" w:space="0"/>
              <w:bottom w:val="nil"/>
              <w:right w:val="single" w:color="auto" w:sz="4" w:space="0"/>
            </w:tcBorders>
            <w:vAlign w:val="center"/>
          </w:tcPr>
          <w:p>
            <w:pPr>
              <w:widowControl/>
              <w:textAlignment w:val="center"/>
              <w:rPr>
                <w:sz w:val="22"/>
                <w:szCs w:val="22"/>
                <w:highlight w:val="none"/>
              </w:rPr>
            </w:pPr>
            <w:r>
              <w:rPr>
                <w:rFonts w:hint="eastAsia"/>
                <w:sz w:val="22"/>
                <w:szCs w:val="22"/>
                <w:highlight w:val="none"/>
              </w:rPr>
              <w:t>考察对新媒体宣传内容和活动策划等是否新颖、清晰、完整、可行等进行横向综合比较。包含但不限于以下内容：</w:t>
            </w:r>
          </w:p>
          <w:p>
            <w:pPr>
              <w:widowControl/>
              <w:textAlignment w:val="center"/>
              <w:rPr>
                <w:sz w:val="22"/>
                <w:szCs w:val="22"/>
                <w:highlight w:val="none"/>
              </w:rPr>
            </w:pPr>
            <w:r>
              <w:rPr>
                <w:rFonts w:hint="eastAsia"/>
                <w:sz w:val="22"/>
                <w:szCs w:val="22"/>
                <w:highlight w:val="none"/>
              </w:rPr>
              <w:t>1. 新媒体信息</w:t>
            </w:r>
            <w:r>
              <w:rPr>
                <w:sz w:val="22"/>
                <w:szCs w:val="22"/>
                <w:highlight w:val="none"/>
              </w:rPr>
              <w:t>主要的内容和传播的考虑</w:t>
            </w:r>
            <w:r>
              <w:rPr>
                <w:rFonts w:hint="eastAsia"/>
                <w:sz w:val="22"/>
                <w:szCs w:val="22"/>
                <w:highlight w:val="none"/>
              </w:rPr>
              <w:t>；</w:t>
            </w:r>
          </w:p>
          <w:p>
            <w:pPr>
              <w:widowControl/>
              <w:textAlignment w:val="center"/>
              <w:rPr>
                <w:sz w:val="22"/>
                <w:szCs w:val="22"/>
                <w:highlight w:val="none"/>
              </w:rPr>
            </w:pPr>
            <w:r>
              <w:rPr>
                <w:rFonts w:hint="eastAsia"/>
                <w:sz w:val="22"/>
                <w:szCs w:val="22"/>
                <w:highlight w:val="none"/>
              </w:rPr>
              <w:t>2. 特刊</w:t>
            </w:r>
            <w:r>
              <w:rPr>
                <w:sz w:val="22"/>
                <w:szCs w:val="22"/>
                <w:highlight w:val="none"/>
              </w:rPr>
              <w:t>的主题和策划的思路</w:t>
            </w:r>
            <w:r>
              <w:rPr>
                <w:rFonts w:hint="eastAsia"/>
                <w:sz w:val="22"/>
                <w:szCs w:val="22"/>
                <w:highlight w:val="none"/>
              </w:rPr>
              <w:t>；</w:t>
            </w:r>
          </w:p>
          <w:p>
            <w:pPr>
              <w:widowControl/>
              <w:textAlignment w:val="center"/>
              <w:rPr>
                <w:sz w:val="22"/>
                <w:szCs w:val="22"/>
                <w:highlight w:val="none"/>
              </w:rPr>
            </w:pPr>
            <w:r>
              <w:rPr>
                <w:rFonts w:hint="eastAsia"/>
                <w:sz w:val="22"/>
                <w:szCs w:val="22"/>
                <w:highlight w:val="none"/>
              </w:rPr>
              <w:t>3. 线下活动</w:t>
            </w:r>
            <w:r>
              <w:rPr>
                <w:sz w:val="22"/>
                <w:szCs w:val="22"/>
                <w:highlight w:val="none"/>
              </w:rPr>
              <w:t>的策划</w:t>
            </w:r>
            <w:r>
              <w:rPr>
                <w:rFonts w:hint="eastAsia"/>
                <w:sz w:val="22"/>
                <w:szCs w:val="22"/>
                <w:highlight w:val="none"/>
              </w:rPr>
              <w:t>。</w:t>
            </w:r>
          </w:p>
          <w:p>
            <w:pPr>
              <w:spacing w:line="340" w:lineRule="exact"/>
              <w:jc w:val="left"/>
              <w:rPr>
                <w:rFonts w:ascii="宋体" w:hAnsi="宋体" w:cs="宋体"/>
                <w:szCs w:val="21"/>
                <w:highlight w:val="none"/>
              </w:rPr>
            </w:pPr>
            <w:r>
              <w:rPr>
                <w:rFonts w:hint="eastAsia" w:ascii="宋体" w:hAnsi="宋体" w:cs="宋体"/>
                <w:szCs w:val="21"/>
                <w:highlight w:val="none"/>
              </w:rPr>
              <w:t>满足以上三项内容得6分，满足任意两项内容得4分，满足任意一项内容得2分；在此基础上，对投标人响应情况进行分档评分：</w:t>
            </w:r>
          </w:p>
          <w:p>
            <w:pPr>
              <w:spacing w:line="340" w:lineRule="exact"/>
              <w:jc w:val="left"/>
              <w:rPr>
                <w:rFonts w:ascii="宋体" w:hAnsi="宋体" w:cs="宋体"/>
                <w:szCs w:val="21"/>
                <w:highlight w:val="none"/>
              </w:rPr>
            </w:pPr>
            <w:r>
              <w:rPr>
                <w:rFonts w:hint="eastAsia" w:ascii="宋体" w:hAnsi="宋体" w:cs="宋体"/>
                <w:szCs w:val="21"/>
                <w:highlight w:val="none"/>
              </w:rPr>
              <w:t>1.优评分标准：宣传方案思路新颖、线下活动内容丰富完善，满足采购方所有需求、数据来源科学可行的，加5分。</w:t>
            </w:r>
          </w:p>
          <w:p>
            <w:pPr>
              <w:spacing w:line="340" w:lineRule="exact"/>
              <w:jc w:val="left"/>
              <w:rPr>
                <w:rFonts w:ascii="宋体" w:hAnsi="宋体" w:cs="宋体"/>
                <w:szCs w:val="21"/>
                <w:highlight w:val="none"/>
              </w:rPr>
            </w:pPr>
            <w:r>
              <w:rPr>
                <w:rFonts w:hint="eastAsia" w:ascii="宋体" w:hAnsi="宋体" w:cs="宋体"/>
                <w:szCs w:val="21"/>
                <w:highlight w:val="none"/>
              </w:rPr>
              <w:t>2.良评分标准：宣传方案思路较新颖、线下活动内容较丰富完善，满足采购方大部分需求，数据来源较科学可行，加3分。</w:t>
            </w:r>
          </w:p>
          <w:p>
            <w:pPr>
              <w:spacing w:line="340" w:lineRule="exact"/>
              <w:jc w:val="left"/>
              <w:rPr>
                <w:rFonts w:ascii="宋体" w:hAnsi="宋体" w:cs="宋体"/>
                <w:szCs w:val="21"/>
                <w:highlight w:val="none"/>
              </w:rPr>
            </w:pPr>
            <w:r>
              <w:rPr>
                <w:rFonts w:hint="eastAsia" w:ascii="宋体" w:hAnsi="宋体" w:cs="宋体"/>
                <w:szCs w:val="21"/>
                <w:highlight w:val="none"/>
              </w:rPr>
              <w:t>3.中评分标准：宣传方案思路基本完善，能满足采购方部分需求，数据来源科学可行性一般，加2分。</w:t>
            </w:r>
          </w:p>
          <w:p>
            <w:pPr>
              <w:widowControl/>
              <w:textAlignment w:val="center"/>
              <w:rPr>
                <w:rFonts w:ascii="宋体" w:hAnsi="宋体" w:cs="宋体"/>
                <w:szCs w:val="21"/>
                <w:highlight w:val="none"/>
              </w:rPr>
            </w:pPr>
            <w:r>
              <w:rPr>
                <w:rFonts w:hint="eastAsia" w:ascii="宋体" w:hAnsi="宋体" w:cs="宋体"/>
                <w:szCs w:val="21"/>
                <w:highlight w:val="none"/>
              </w:rPr>
              <w:t>4.差评分标准：宣传方案陈腐无创新，无法满足采购方需求，数据来源不科学可行，不加分。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sz w:val="22"/>
                <w:highlight w:val="none"/>
              </w:rPr>
            </w:pPr>
            <w:r>
              <w:rPr>
                <w:rFonts w:hint="eastAsia" w:ascii="宋体" w:hAnsi="宋体"/>
                <w:sz w:val="22"/>
                <w:highlight w:val="none"/>
              </w:rPr>
              <w:t>11</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highlight w:val="none"/>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highlight w:val="none"/>
              </w:rPr>
            </w:pPr>
            <w:bookmarkStart w:id="21" w:name="_Toc834"/>
            <w:bookmarkStart w:id="22" w:name="_Hlk28269117"/>
            <w:r>
              <w:rPr>
                <w:rFonts w:hint="eastAsia" w:ascii="宋体" w:hAnsi="宋体" w:cs="宋体"/>
                <w:sz w:val="22"/>
                <w:szCs w:val="22"/>
                <w:highlight w:val="none"/>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项目进度计划</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rPr>
                <w:highlight w:val="none"/>
              </w:rPr>
            </w:pPr>
            <w:r>
              <w:rPr>
                <w:rFonts w:hint="eastAsia"/>
                <w:highlight w:val="none"/>
              </w:rPr>
              <w:t>项目整体实施时间是否紧凑、合理，根据项目进度的切合程度进行比较评价。</w:t>
            </w:r>
          </w:p>
          <w:p>
            <w:pPr>
              <w:widowControl/>
              <w:jc w:val="left"/>
              <w:rPr>
                <w:highlight w:val="none"/>
              </w:rPr>
            </w:pPr>
            <w:r>
              <w:rPr>
                <w:rFonts w:hint="eastAsia"/>
                <w:highlight w:val="none"/>
              </w:rPr>
              <w:t>1.具备完备的项目进度计划体系文档；</w:t>
            </w:r>
          </w:p>
          <w:p>
            <w:pPr>
              <w:widowControl/>
              <w:jc w:val="left"/>
              <w:rPr>
                <w:highlight w:val="none"/>
              </w:rPr>
            </w:pPr>
            <w:r>
              <w:rPr>
                <w:rFonts w:hint="eastAsia"/>
                <w:highlight w:val="none"/>
              </w:rPr>
              <w:t>2.项目进度计划紧凑，时间安排合理。</w:t>
            </w:r>
          </w:p>
          <w:p>
            <w:pPr>
              <w:widowControl/>
              <w:jc w:val="left"/>
              <w:rPr>
                <w:highlight w:val="none"/>
              </w:rPr>
            </w:pPr>
            <w:r>
              <w:rPr>
                <w:rFonts w:hint="eastAsia"/>
                <w:highlight w:val="none"/>
              </w:rPr>
              <w:t>满足上述两项的得</w:t>
            </w:r>
            <w:r>
              <w:rPr>
                <w:highlight w:val="none"/>
              </w:rPr>
              <w:t>4</w:t>
            </w:r>
            <w:r>
              <w:rPr>
                <w:rFonts w:hint="eastAsia"/>
                <w:highlight w:val="none"/>
              </w:rPr>
              <w:t>分，满足一项的得</w:t>
            </w:r>
            <w:r>
              <w:rPr>
                <w:highlight w:val="none"/>
              </w:rPr>
              <w:t>2</w:t>
            </w:r>
            <w:r>
              <w:rPr>
                <w:rFonts w:hint="eastAsia"/>
                <w:highlight w:val="none"/>
              </w:rPr>
              <w:t>分，全部不满足的不得分。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highlight w:val="none"/>
              </w:rPr>
            </w:pPr>
            <w:r>
              <w:rPr>
                <w:rFonts w:ascii="宋体" w:hAnsi="宋体" w:cs="宋体"/>
                <w:sz w:val="22"/>
                <w:szCs w:val="22"/>
                <w:highlight w:val="none"/>
              </w:rPr>
              <w:t>4</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highlight w:val="none"/>
              </w:rPr>
            </w:pPr>
          </w:p>
        </w:tc>
      </w:tr>
    </w:tbl>
    <w:p>
      <w:pPr>
        <w:spacing w:line="360" w:lineRule="auto"/>
        <w:jc w:val="center"/>
        <w:outlineLvl w:val="0"/>
        <w:rPr>
          <w:rFonts w:ascii="宋体" w:hAnsi="宋体" w:cs="宋体"/>
          <w:b/>
          <w:bCs/>
          <w:sz w:val="24"/>
          <w:highlight w:val="none"/>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1"/>
    </w:p>
    <w:p>
      <w:pPr>
        <w:keepNext/>
        <w:keepLines/>
        <w:spacing w:before="260" w:after="260" w:line="360" w:lineRule="auto"/>
        <w:jc w:val="center"/>
        <w:outlineLvl w:val="1"/>
        <w:rPr>
          <w:rFonts w:ascii="宋体" w:hAnsi="宋体" w:cs="宋体"/>
          <w:b/>
          <w:bCs/>
          <w:sz w:val="24"/>
          <w:highlight w:val="none"/>
        </w:rPr>
      </w:pPr>
      <w:bookmarkStart w:id="23" w:name="_Toc31827"/>
      <w:bookmarkStart w:id="24" w:name="_Toc19494"/>
      <w:bookmarkStart w:id="25" w:name="_Toc5116"/>
      <w:bookmarkStart w:id="26" w:name="_Toc6548"/>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3"/>
      <w:bookmarkEnd w:id="24"/>
      <w:bookmarkEnd w:id="25"/>
      <w:bookmarkEnd w:id="26"/>
    </w:p>
    <w:tbl>
      <w:tblPr>
        <w:tblStyle w:val="1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highlight w:val="none"/>
              </w:rPr>
            </w:pPr>
          </w:p>
          <w:p>
            <w:pPr>
              <w:pStyle w:val="2"/>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2"/>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2"/>
              <w:tabs>
                <w:tab w:val="left" w:pos="562"/>
                <w:tab w:val="left" w:pos="3372"/>
                <w:tab w:val="left" w:pos="3653"/>
              </w:tabs>
              <w:spacing w:line="360" w:lineRule="auto"/>
              <w:rPr>
                <w:rFonts w:ascii="仿宋_GB2312" w:eastAsia="仿宋_GB2312"/>
                <w:b/>
                <w:sz w:val="32"/>
                <w:highlight w:val="none"/>
              </w:rPr>
            </w:pPr>
          </w:p>
          <w:p>
            <w:pPr>
              <w:pStyle w:val="2"/>
              <w:tabs>
                <w:tab w:val="left" w:pos="562"/>
                <w:tab w:val="left" w:pos="3372"/>
                <w:tab w:val="left" w:pos="3653"/>
              </w:tabs>
              <w:spacing w:line="360" w:lineRule="auto"/>
              <w:rPr>
                <w:rFonts w:ascii="仿宋_GB2312" w:eastAsia="仿宋_GB2312"/>
                <w:b/>
                <w:sz w:val="32"/>
                <w:highlight w:val="none"/>
              </w:rPr>
            </w:pP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p>
          <w:p>
            <w:pPr>
              <w:rPr>
                <w:highlight w:val="none"/>
              </w:rPr>
            </w:pPr>
          </w:p>
          <w:p>
            <w:pPr>
              <w:pStyle w:val="2"/>
              <w:tabs>
                <w:tab w:val="left" w:pos="562"/>
                <w:tab w:val="left" w:pos="3372"/>
                <w:tab w:val="left" w:pos="3653"/>
              </w:tabs>
              <w:spacing w:line="360" w:lineRule="auto"/>
              <w:rPr>
                <w:rFonts w:ascii="仿宋_GB2312" w:eastAsia="仿宋_GB2312"/>
                <w:b/>
                <w:sz w:val="28"/>
                <w:szCs w:val="28"/>
                <w:highlight w:val="none"/>
              </w:rPr>
            </w:pP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投标人名称：</w:t>
            </w:r>
          </w:p>
          <w:p>
            <w:pPr>
              <w:pStyle w:val="2"/>
              <w:tabs>
                <w:tab w:val="left" w:pos="562"/>
                <w:tab w:val="left" w:pos="3372"/>
                <w:tab w:val="left" w:pos="3653"/>
              </w:tabs>
              <w:spacing w:line="360" w:lineRule="auto"/>
              <w:ind w:firstLine="900" w:firstLineChars="320"/>
              <w:rPr>
                <w:rFonts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3"/>
        <w:rPr>
          <w:rFonts w:ascii="宋体" w:eastAsia="宋体" w:cs="宋体"/>
          <w:b/>
          <w:sz w:val="24"/>
          <w:highlight w:val="none"/>
        </w:rPr>
        <w:sectPr>
          <w:pgSz w:w="11906" w:h="16838"/>
          <w:pgMar w:top="1440" w:right="1650" w:bottom="1440" w:left="1650" w:header="851" w:footer="992" w:gutter="0"/>
          <w:cols w:space="720" w:num="1"/>
          <w:docGrid w:type="lines" w:linePitch="319" w:charSpace="0"/>
        </w:sectPr>
      </w:pPr>
      <w:bookmarkStart w:id="27" w:name="_Toc16724"/>
    </w:p>
    <w:p>
      <w:pPr>
        <w:pStyle w:val="3"/>
        <w:rPr>
          <w:rFonts w:hint="eastAsia" w:ascii="宋体" w:cs="宋体"/>
          <w:b/>
          <w:sz w:val="24"/>
          <w:highlight w:val="none"/>
        </w:rPr>
      </w:pPr>
      <w:r>
        <w:rPr>
          <w:rFonts w:hint="eastAsia" w:ascii="宋体" w:eastAsia="宋体" w:cs="宋体"/>
          <w:b/>
          <w:sz w:val="24"/>
          <w:highlight w:val="none"/>
        </w:rPr>
        <w:t>二、投标文件—目录</w:t>
      </w:r>
      <w:bookmarkEnd w:id="27"/>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2、分类报价明细表；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fr-CH"/>
        </w:rPr>
        <w:t>营业执照【其他组织提供《事业单位法人证书》或《民办非企业单位登记证书》】及税务登记册证副本复印件</w:t>
      </w:r>
      <w:r>
        <w:rPr>
          <w:rFonts w:ascii="宋体" w:hAnsi="宋体" w:cs="宋体"/>
          <w:sz w:val="24"/>
          <w:highlight w:val="none"/>
        </w:rPr>
        <w:t>（</w:t>
      </w:r>
      <w:r>
        <w:rPr>
          <w:rFonts w:hint="eastAsia" w:ascii="宋体" w:hAnsi="宋体" w:cs="宋体"/>
          <w:sz w:val="24"/>
          <w:highlight w:val="none"/>
          <w:lang w:val="fr-CH"/>
        </w:rPr>
        <w:t>加盖投标人公章，若提供的营业执照为三证合一，则税务登记证可不单独提供</w:t>
      </w:r>
      <w:r>
        <w:rPr>
          <w:rFonts w:ascii="宋体" w:hAnsi="宋体" w:cs="宋体"/>
          <w:sz w:val="24"/>
          <w:highlight w:val="none"/>
        </w:rPr>
        <w:t>）</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highlight w:val="none"/>
        </w:rPr>
      </w:pPr>
      <w:r>
        <w:rPr>
          <w:rFonts w:hint="eastAsia" w:ascii="宋体" w:hAnsi="宋体" w:cs="宋体"/>
          <w:sz w:val="24"/>
          <w:highlight w:val="none"/>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5、关于资格的声明函；</w:t>
      </w:r>
    </w:p>
    <w:p>
      <w:pPr>
        <w:pStyle w:val="14"/>
        <w:spacing w:line="360" w:lineRule="auto"/>
        <w:ind w:firstLine="480"/>
        <w:rPr>
          <w:highlight w:val="none"/>
          <w:lang w:val="fr-CH"/>
        </w:rPr>
      </w:pPr>
      <w:r>
        <w:rPr>
          <w:rFonts w:hint="eastAsia" w:ascii="宋体" w:hAnsi="宋体" w:cs="宋体"/>
          <w:kern w:val="2"/>
          <w:sz w:val="24"/>
          <w:szCs w:val="24"/>
          <w:highlight w:val="none"/>
          <w:lang w:val="fr-CH"/>
        </w:rPr>
        <w:t>6、企业诚信声明与承诺；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7、</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8、</w:t>
      </w:r>
      <w:r>
        <w:rPr>
          <w:rFonts w:hint="eastAsia" w:ascii="宋体" w:hAnsi="宋体" w:cs="宋体"/>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9、</w:t>
      </w:r>
      <w:r>
        <w:rPr>
          <w:rFonts w:hint="eastAsia" w:ascii="宋体" w:hAnsi="宋体" w:cs="宋体"/>
          <w:sz w:val="24"/>
          <w:highlight w:val="none"/>
          <w:lang w:val="fr-CH"/>
        </w:rPr>
        <w:t>招标代理服务费承诺书；</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10</w:t>
      </w:r>
      <w:r>
        <w:rPr>
          <w:rFonts w:hint="eastAsia" w:ascii="宋体" w:hAnsi="宋体" w:cs="宋体"/>
          <w:sz w:val="24"/>
          <w:highlight w:val="none"/>
          <w:lang w:val="fr-CH"/>
        </w:rPr>
        <w:t>、投标人简介</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11</w:t>
      </w:r>
      <w:r>
        <w:rPr>
          <w:rFonts w:hint="eastAsia" w:ascii="宋体" w:hAnsi="宋体" w:cs="宋体"/>
          <w:sz w:val="24"/>
          <w:highlight w:val="none"/>
          <w:lang w:val="fr-CH"/>
        </w:rPr>
        <w:t>、同类项目业绩</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12</w:t>
      </w:r>
      <w:r>
        <w:rPr>
          <w:rFonts w:hint="eastAsia" w:ascii="宋体" w:hAnsi="宋体" w:cs="宋体"/>
          <w:sz w:val="24"/>
          <w:highlight w:val="none"/>
          <w:lang w:val="fr-CH"/>
        </w:rPr>
        <w:t>、项目负责人</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13</w:t>
      </w:r>
      <w:r>
        <w:rPr>
          <w:rFonts w:hint="eastAsia" w:ascii="宋体" w:hAnsi="宋体" w:cs="宋体"/>
          <w:sz w:val="24"/>
          <w:highlight w:val="none"/>
          <w:lang w:val="fr-CH"/>
        </w:rPr>
        <w:t>、团队成员（项目负责人除外）</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rPr>
        <w:t>4</w:t>
      </w:r>
      <w:r>
        <w:rPr>
          <w:rFonts w:hint="eastAsia" w:ascii="宋体" w:hAnsi="宋体" w:cs="宋体"/>
          <w:sz w:val="24"/>
          <w:highlight w:val="none"/>
          <w:lang w:val="fr-CH"/>
        </w:rPr>
        <w:t>、投标人认为有必要提供的其他材料</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sq-AL"/>
        </w:rPr>
        <w:t>对项目的整体理解</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3、</w:t>
      </w:r>
      <w:r>
        <w:rPr>
          <w:rFonts w:hint="eastAsia" w:ascii="宋体" w:hAnsi="宋体" w:cs="宋体"/>
          <w:sz w:val="24"/>
          <w:highlight w:val="none"/>
          <w:lang w:val="sq-AL"/>
        </w:rPr>
        <w:t>项目重点难点分析、应对措施及相关的合理化建议</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4、</w:t>
      </w:r>
      <w:r>
        <w:rPr>
          <w:rFonts w:hint="eastAsia" w:ascii="宋体" w:hAnsi="宋体" w:cs="宋体"/>
          <w:sz w:val="24"/>
          <w:highlight w:val="none"/>
          <w:lang w:val="sq-AL"/>
        </w:rPr>
        <w:t>编制研究方法及思路</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rPr>
        <w:t>5、成果预设；</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rPr>
        <w:t>6、项目进度计划；</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lang w:val="fr-CH"/>
        </w:rPr>
        <w:t>7、投标人认为有必要提供的其他材料。</w:t>
      </w:r>
    </w:p>
    <w:p>
      <w:pPr>
        <w:pStyle w:val="14"/>
        <w:ind w:firstLine="480"/>
        <w:rPr>
          <w:rFonts w:ascii="宋体" w:hAnsi="宋体" w:cs="宋体"/>
          <w:sz w:val="24"/>
          <w:highlight w:val="none"/>
          <w:lang w:val="fr-CH"/>
        </w:rPr>
      </w:pPr>
    </w:p>
    <w:p>
      <w:pPr>
        <w:pStyle w:val="14"/>
        <w:ind w:firstLine="480"/>
        <w:rPr>
          <w:rFonts w:ascii="宋体" w:hAnsi="宋体" w:cs="宋体"/>
          <w:sz w:val="24"/>
          <w:highlight w:val="none"/>
          <w:lang w:val="fr-CH"/>
        </w:rPr>
      </w:pPr>
    </w:p>
    <w:p>
      <w:pPr>
        <w:rPr>
          <w:highlight w:val="none"/>
        </w:rPr>
      </w:pPr>
    </w:p>
    <w:p>
      <w:pPr>
        <w:pStyle w:val="3"/>
        <w:rPr>
          <w:rFonts w:hint="eastAsia"/>
          <w:highlight w:val="none"/>
        </w:rPr>
      </w:pPr>
    </w:p>
    <w:p>
      <w:pPr>
        <w:rPr>
          <w:highlight w:val="none"/>
        </w:rPr>
      </w:pPr>
    </w:p>
    <w:p>
      <w:pPr>
        <w:pStyle w:val="3"/>
        <w:rPr>
          <w:rFonts w:hint="eastAsia"/>
          <w:highlight w:val="none"/>
        </w:rPr>
      </w:pPr>
    </w:p>
    <w:p>
      <w:pPr>
        <w:pStyle w:val="3"/>
        <w:rPr>
          <w:rFonts w:hint="eastAsia"/>
          <w:highlight w:val="none"/>
        </w:rPr>
      </w:pPr>
    </w:p>
    <w:p>
      <w:pPr>
        <w:rPr>
          <w:highlight w:val="none"/>
        </w:rPr>
      </w:pPr>
    </w:p>
    <w:p>
      <w:pPr>
        <w:pStyle w:val="3"/>
        <w:rPr>
          <w:rFonts w:hint="eastAsia"/>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1"/>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3225"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投标价</w:t>
            </w:r>
          </w:p>
          <w:p>
            <w:pPr>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2758"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highlight w:val="none"/>
                <w:u w:val="single"/>
              </w:rPr>
            </w:pPr>
          </w:p>
        </w:tc>
        <w:tc>
          <w:tcPr>
            <w:tcW w:w="3225" w:type="dxa"/>
            <w:vAlign w:val="center"/>
          </w:tcPr>
          <w:p>
            <w:pPr>
              <w:spacing w:line="360" w:lineRule="auto"/>
              <w:jc w:val="center"/>
              <w:rPr>
                <w:rFonts w:ascii="宋体" w:hAnsi="宋体" w:cs="宋体"/>
                <w:sz w:val="24"/>
                <w:highlight w:val="none"/>
                <w:u w:val="single"/>
              </w:rPr>
            </w:pPr>
          </w:p>
        </w:tc>
        <w:tc>
          <w:tcPr>
            <w:tcW w:w="2758" w:type="dxa"/>
            <w:vAlign w:val="center"/>
          </w:tcPr>
          <w:p>
            <w:pPr>
              <w:spacing w:line="360" w:lineRule="auto"/>
              <w:jc w:val="center"/>
              <w:rPr>
                <w:rFonts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2"/>
        <w:spacing w:line="360" w:lineRule="auto"/>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2、分项报价清单</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p>
    <w:tbl>
      <w:tblPr>
        <w:tblStyle w:val="11"/>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4"/>
              <w:spacing w:line="360" w:lineRule="auto"/>
              <w:jc w:val="center"/>
              <w:rPr>
                <w:rFonts w:hAnsi="宋体" w:cs="宋体"/>
                <w:sz w:val="22"/>
                <w:szCs w:val="22"/>
                <w:highlight w:val="none"/>
              </w:rPr>
            </w:pPr>
            <w:r>
              <w:rPr>
                <w:rFonts w:hint="eastAsia" w:hAnsi="宋体" w:cs="宋体"/>
                <w:sz w:val="22"/>
                <w:szCs w:val="22"/>
                <w:highlight w:val="none"/>
              </w:rPr>
              <w:t>序号</w:t>
            </w:r>
          </w:p>
        </w:tc>
        <w:tc>
          <w:tcPr>
            <w:tcW w:w="2039"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服务内容</w:t>
            </w:r>
          </w:p>
        </w:tc>
        <w:tc>
          <w:tcPr>
            <w:tcW w:w="117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数量</w:t>
            </w:r>
          </w:p>
        </w:tc>
        <w:tc>
          <w:tcPr>
            <w:tcW w:w="1297" w:type="dxa"/>
            <w:vAlign w:val="center"/>
          </w:tcPr>
          <w:p>
            <w:pPr>
              <w:pStyle w:val="4"/>
              <w:spacing w:line="360" w:lineRule="auto"/>
              <w:jc w:val="center"/>
              <w:rPr>
                <w:rFonts w:hAnsi="宋体" w:cs="宋体"/>
                <w:sz w:val="22"/>
                <w:szCs w:val="22"/>
                <w:highlight w:val="none"/>
              </w:rPr>
            </w:pPr>
            <w:r>
              <w:rPr>
                <w:rFonts w:hint="eastAsia" w:hAnsi="宋体" w:cs="宋体"/>
                <w:sz w:val="22"/>
                <w:szCs w:val="22"/>
                <w:highlight w:val="none"/>
              </w:rPr>
              <w:t>单价</w:t>
            </w:r>
          </w:p>
        </w:tc>
        <w:tc>
          <w:tcPr>
            <w:tcW w:w="1240" w:type="dxa"/>
            <w:vAlign w:val="center"/>
          </w:tcPr>
          <w:p>
            <w:pPr>
              <w:pStyle w:val="4"/>
              <w:spacing w:line="360" w:lineRule="auto"/>
              <w:jc w:val="center"/>
              <w:rPr>
                <w:rFonts w:hAnsi="宋体" w:cs="宋体"/>
                <w:sz w:val="22"/>
                <w:szCs w:val="22"/>
                <w:highlight w:val="none"/>
              </w:rPr>
            </w:pPr>
            <w:r>
              <w:rPr>
                <w:rFonts w:hint="eastAsia" w:hAnsi="宋体" w:cs="宋体"/>
                <w:sz w:val="22"/>
                <w:szCs w:val="22"/>
                <w:highlight w:val="none"/>
              </w:rPr>
              <w:t>总价</w:t>
            </w:r>
          </w:p>
        </w:tc>
        <w:tc>
          <w:tcPr>
            <w:tcW w:w="1471" w:type="dxa"/>
            <w:vAlign w:val="center"/>
          </w:tcPr>
          <w:p>
            <w:pPr>
              <w:pStyle w:val="4"/>
              <w:spacing w:line="360" w:lineRule="auto"/>
              <w:jc w:val="center"/>
              <w:rPr>
                <w:rFonts w:hAnsi="宋体" w:cs="宋体"/>
                <w:sz w:val="22"/>
                <w:szCs w:val="22"/>
                <w:highlight w:val="none"/>
              </w:rPr>
            </w:pPr>
            <w:r>
              <w:rPr>
                <w:rFonts w:hint="eastAsia" w:hAnsi="宋体" w:cs="宋体"/>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1</w:t>
            </w:r>
          </w:p>
        </w:tc>
        <w:tc>
          <w:tcPr>
            <w:tcW w:w="2039" w:type="dxa"/>
            <w:vAlign w:val="center"/>
          </w:tcPr>
          <w:p>
            <w:pPr>
              <w:pStyle w:val="4"/>
              <w:spacing w:line="360" w:lineRule="auto"/>
              <w:jc w:val="center"/>
              <w:rPr>
                <w:rFonts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2</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3</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4</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5</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6</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7</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8</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9</w:t>
            </w:r>
          </w:p>
        </w:tc>
        <w:tc>
          <w:tcPr>
            <w:tcW w:w="2039" w:type="dxa"/>
            <w:vAlign w:val="center"/>
          </w:tcPr>
          <w:p>
            <w:pPr>
              <w:autoSpaceDE w:val="0"/>
              <w:autoSpaceDN w:val="0"/>
              <w:adjustRightInd w:val="0"/>
              <w:spacing w:line="360" w:lineRule="auto"/>
              <w:jc w:val="center"/>
              <w:rPr>
                <w:rFonts w:ascii="宋体" w:hAnsi="宋体" w:cs="宋体"/>
                <w:sz w:val="24"/>
                <w:highlight w:val="none"/>
              </w:rPr>
            </w:pP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4"/>
              <w:spacing w:line="360" w:lineRule="auto"/>
              <w:jc w:val="center"/>
              <w:rPr>
                <w:rFonts w:hAnsi="宋体" w:cs="宋体"/>
                <w:sz w:val="24"/>
                <w:highlight w:val="none"/>
              </w:rPr>
            </w:pPr>
            <w:r>
              <w:rPr>
                <w:rFonts w:hint="eastAsia" w:hAnsi="宋体" w:cs="宋体"/>
                <w:sz w:val="24"/>
                <w:highlight w:val="none"/>
              </w:rPr>
              <w:t>…</w:t>
            </w:r>
          </w:p>
        </w:tc>
        <w:tc>
          <w:tcPr>
            <w:tcW w:w="2039" w:type="dxa"/>
            <w:vAlign w:val="center"/>
          </w:tcPr>
          <w:p>
            <w:pPr>
              <w:pStyle w:val="4"/>
              <w:spacing w:line="360" w:lineRule="auto"/>
              <w:jc w:val="center"/>
              <w:rPr>
                <w:rFonts w:hAnsi="宋体" w:cs="宋体"/>
                <w:sz w:val="24"/>
                <w:highlight w:val="none"/>
              </w:rPr>
            </w:pPr>
            <w:r>
              <w:rPr>
                <w:rFonts w:hint="eastAsia" w:hAnsi="宋体" w:cs="宋体"/>
                <w:sz w:val="24"/>
                <w:highlight w:val="none"/>
              </w:rPr>
              <w:t>…</w:t>
            </w:r>
          </w:p>
        </w:tc>
        <w:tc>
          <w:tcPr>
            <w:tcW w:w="1177" w:type="dxa"/>
            <w:vAlign w:val="center"/>
          </w:tcPr>
          <w:p>
            <w:pPr>
              <w:pStyle w:val="4"/>
              <w:spacing w:line="360" w:lineRule="auto"/>
              <w:jc w:val="center"/>
              <w:rPr>
                <w:rFonts w:hAnsi="宋体" w:cs="宋体"/>
                <w:sz w:val="24"/>
                <w:highlight w:val="none"/>
              </w:rPr>
            </w:pPr>
          </w:p>
        </w:tc>
        <w:tc>
          <w:tcPr>
            <w:tcW w:w="1297" w:type="dxa"/>
            <w:vAlign w:val="center"/>
          </w:tcPr>
          <w:p>
            <w:pPr>
              <w:pStyle w:val="4"/>
              <w:spacing w:line="360" w:lineRule="auto"/>
              <w:jc w:val="center"/>
              <w:rPr>
                <w:rFonts w:hAnsi="宋体" w:cs="宋体"/>
                <w:sz w:val="24"/>
                <w:highlight w:val="none"/>
              </w:rPr>
            </w:pPr>
          </w:p>
        </w:tc>
        <w:tc>
          <w:tcPr>
            <w:tcW w:w="1240" w:type="dxa"/>
            <w:vAlign w:val="center"/>
          </w:tcPr>
          <w:p>
            <w:pPr>
              <w:pStyle w:val="4"/>
              <w:spacing w:line="360" w:lineRule="auto"/>
              <w:jc w:val="center"/>
              <w:rPr>
                <w:rFonts w:hAnsi="宋体" w:cs="宋体"/>
                <w:sz w:val="24"/>
                <w:highlight w:val="none"/>
              </w:rPr>
            </w:pPr>
          </w:p>
        </w:tc>
        <w:tc>
          <w:tcPr>
            <w:tcW w:w="1471" w:type="dxa"/>
            <w:vAlign w:val="center"/>
          </w:tcPr>
          <w:p>
            <w:pPr>
              <w:pStyle w:val="4"/>
              <w:spacing w:line="360" w:lineRule="auto"/>
              <w:jc w:val="center"/>
              <w:rPr>
                <w:rFonts w:hAnsi="宋体" w:cs="宋体"/>
                <w:sz w:val="24"/>
                <w:highlight w:val="none"/>
              </w:rPr>
            </w:pPr>
          </w:p>
        </w:tc>
      </w:tr>
    </w:tbl>
    <w:p>
      <w:pPr>
        <w:spacing w:line="360" w:lineRule="auto"/>
        <w:rPr>
          <w:rFonts w:ascii="宋体" w:hAnsi="宋体" w:cs="宋体"/>
          <w:sz w:val="24"/>
          <w:highlight w:val="none"/>
        </w:rPr>
      </w:pPr>
      <w:r>
        <w:rPr>
          <w:rFonts w:hint="eastAsia" w:ascii="宋体" w:hAnsi="宋体" w:cs="宋体"/>
          <w:sz w:val="24"/>
          <w:highlight w:val="none"/>
        </w:rPr>
        <w:t>注：可根据需要自行调整报价格式。</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6"/>
        </w:num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14"/>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2"/>
        <w:spacing w:line="360" w:lineRule="auto"/>
        <w:rPr>
          <w:highlight w:val="none"/>
        </w:rPr>
      </w:pP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ascii="宋体" w:hAnsi="宋体" w:cs="宋体"/>
          <w:b/>
          <w:bCs/>
          <w:sz w:val="24"/>
          <w:highlight w:val="none"/>
        </w:rPr>
        <w:t>2</w:t>
      </w:r>
      <w:r>
        <w:rPr>
          <w:rFonts w:hint="eastAsia" w:ascii="宋体" w:hAnsi="宋体" w:cs="宋体"/>
          <w:b/>
          <w:bCs/>
          <w:sz w:val="24"/>
          <w:highlight w:val="none"/>
        </w:rPr>
        <w:t>、</w:t>
      </w:r>
      <w:r>
        <w:rPr>
          <w:rFonts w:hint="eastAsia" w:ascii="宋体" w:hAnsi="宋体" w:cs="宋体"/>
          <w:b/>
          <w:bCs/>
          <w:sz w:val="24"/>
          <w:highlight w:val="none"/>
          <w:lang w:val="fr-CH"/>
        </w:rPr>
        <w:t>营业证照</w:t>
      </w:r>
    </w:p>
    <w:p>
      <w:pPr>
        <w:pStyle w:val="3"/>
        <w:jc w:val="both"/>
        <w:rPr>
          <w:rFonts w:hint="eastAsia"/>
          <w:highlight w:val="none"/>
          <w:lang w:val="fr-CH"/>
        </w:rPr>
      </w:pP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【其他组织提供《事业单位法人证书》或《民办非企业单位登记证书》】或其他开办登记证照及税务登记册证副本复印件</w:t>
      </w:r>
      <w:r>
        <w:rPr>
          <w:rFonts w:ascii="宋体" w:hAnsi="宋体" w:cs="宋体"/>
          <w:sz w:val="24"/>
          <w:highlight w:val="none"/>
        </w:rPr>
        <w:t>（</w:t>
      </w:r>
      <w:r>
        <w:rPr>
          <w:rFonts w:hint="eastAsia" w:ascii="宋体" w:hAnsi="宋体" w:cs="宋体"/>
          <w:sz w:val="24"/>
          <w:highlight w:val="none"/>
          <w:lang w:val="fr-CH"/>
        </w:rPr>
        <w:t>加盖投标人公章，若提供的营业证照为三证合一，则税务登记证可不单独提供</w:t>
      </w:r>
      <w:r>
        <w:rPr>
          <w:rFonts w:ascii="宋体" w:hAnsi="宋体" w:cs="宋体"/>
          <w:sz w:val="24"/>
          <w:highlight w:val="none"/>
        </w:rPr>
        <w:t>）</w:t>
      </w:r>
      <w:r>
        <w:rPr>
          <w:rFonts w:hint="eastAsia" w:ascii="宋体" w:hAnsi="宋体" w:cs="宋体"/>
          <w:sz w:val="24"/>
          <w:highlight w:val="none"/>
          <w:lang w:val="fr-CH"/>
        </w:rPr>
        <w:t>；</w:t>
      </w:r>
    </w:p>
    <w:p>
      <w:pPr>
        <w:widowControl/>
        <w:jc w:val="left"/>
        <w:rPr>
          <w:rFonts w:ascii="宋体" w:hAnsi="宋体" w:cs="宋体"/>
          <w:b/>
          <w:bCs/>
          <w:sz w:val="24"/>
          <w:highlight w:val="none"/>
        </w:rPr>
      </w:pPr>
      <w:r>
        <w:rPr>
          <w:rFonts w:ascii="宋体" w:hAnsi="宋体" w:cs="宋体"/>
          <w:b/>
          <w:bCs/>
          <w:sz w:val="24"/>
          <w:highlight w:val="none"/>
        </w:rPr>
        <w:br w:type="page"/>
      </w:r>
    </w:p>
    <w:p>
      <w:pPr>
        <w:tabs>
          <w:tab w:val="left" w:pos="640"/>
          <w:tab w:val="left" w:pos="1260"/>
          <w:tab w:val="left" w:pos="1418"/>
        </w:tabs>
        <w:spacing w:line="360" w:lineRule="auto"/>
        <w:jc w:val="center"/>
        <w:rPr>
          <w:sz w:val="22"/>
          <w:szCs w:val="18"/>
          <w:highlight w:val="none"/>
          <w:lang w:val="fr-CH"/>
        </w:rPr>
      </w:pPr>
      <w:r>
        <w:rPr>
          <w:rFonts w:ascii="宋体" w:hAnsi="宋体" w:cs="宋体"/>
          <w:b/>
          <w:bCs/>
          <w:sz w:val="24"/>
          <w:highlight w:val="none"/>
        </w:rPr>
        <w:t>3、</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4.我单位具备《中华人民共和国政府采购法》第二十二条第一款的条件。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lang w:bidi="ar"/>
        </w:rPr>
        <w:t>符合财政部和深圳市财政局关于诚信管理的要求，</w:t>
      </w:r>
      <w:r>
        <w:rPr>
          <w:rFonts w:hint="eastAsia" w:ascii="宋体" w:hAnsi="宋体" w:cs="宋体"/>
          <w:kern w:val="0"/>
          <w:sz w:val="24"/>
          <w:highlight w:val="none"/>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2"/>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2"/>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4"/>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14"/>
        <w:ind w:firstLine="482"/>
        <w:rPr>
          <w:rFonts w:ascii="宋体" w:hAnsi="宋体" w:cs="宋体"/>
          <w:b/>
          <w:sz w:val="24"/>
          <w:highlight w:val="none"/>
        </w:rPr>
      </w:pPr>
    </w:p>
    <w:p>
      <w:pPr>
        <w:pStyle w:val="14"/>
        <w:ind w:firstLine="482"/>
        <w:rPr>
          <w:rFonts w:ascii="宋体" w:hAnsi="宋体" w:cs="宋体"/>
          <w:b/>
          <w:sz w:val="24"/>
          <w:highlight w:val="none"/>
        </w:rPr>
      </w:pPr>
    </w:p>
    <w:p>
      <w:pPr>
        <w:pStyle w:val="14"/>
        <w:ind w:firstLine="482"/>
        <w:rPr>
          <w:rFonts w:ascii="宋体" w:hAnsi="宋体" w:cs="宋体"/>
          <w:b/>
          <w:sz w:val="24"/>
          <w:highlight w:val="none"/>
        </w:rPr>
      </w:pPr>
    </w:p>
    <w:p>
      <w:pPr>
        <w:pStyle w:val="14"/>
        <w:ind w:firstLine="482"/>
        <w:rPr>
          <w:rFonts w:ascii="宋体" w:hAnsi="宋体" w:cs="宋体"/>
          <w:b/>
          <w:sz w:val="24"/>
          <w:highlight w:val="none"/>
        </w:rPr>
      </w:pPr>
    </w:p>
    <w:p>
      <w:pPr>
        <w:pStyle w:val="14"/>
        <w:ind w:firstLine="482"/>
        <w:rPr>
          <w:rFonts w:ascii="宋体" w:hAnsi="宋体" w:cs="宋体"/>
          <w:b/>
          <w:sz w:val="24"/>
          <w:highlight w:val="none"/>
        </w:rPr>
      </w:pPr>
    </w:p>
    <w:p>
      <w:pPr>
        <w:pStyle w:val="14"/>
        <w:ind w:firstLine="482"/>
        <w:rPr>
          <w:rFonts w:ascii="宋体" w:hAnsi="宋体" w:cs="宋体"/>
          <w:b/>
          <w:sz w:val="24"/>
          <w:highlight w:val="none"/>
        </w:rPr>
      </w:pPr>
    </w:p>
    <w:p>
      <w:pPr>
        <w:pStyle w:val="14"/>
        <w:ind w:firstLine="482"/>
        <w:rPr>
          <w:rFonts w:ascii="宋体" w:hAnsi="宋体" w:cs="宋体"/>
          <w:b/>
          <w:sz w:val="24"/>
          <w:highlight w:val="none"/>
        </w:rPr>
      </w:pPr>
    </w:p>
    <w:p>
      <w:pPr>
        <w:widowControl/>
        <w:jc w:val="left"/>
        <w:rPr>
          <w:rFonts w:ascii="宋体" w:hAnsi="宋体" w:cs="宋体"/>
          <w:b/>
          <w:bCs/>
          <w:sz w:val="24"/>
          <w:highlight w:val="none"/>
        </w:rPr>
      </w:pPr>
      <w:r>
        <w:rPr>
          <w:rFonts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6、企业诚信声明与承诺</w:t>
      </w: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4"/>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4"/>
        <w:spacing w:line="360" w:lineRule="auto"/>
        <w:jc w:val="left"/>
        <w:rPr>
          <w:rFonts w:hAnsi="宋体" w:cs="宋体"/>
          <w:sz w:val="24"/>
          <w:highlight w:val="none"/>
        </w:rPr>
      </w:pPr>
    </w:p>
    <w:p>
      <w:pPr>
        <w:pStyle w:val="4"/>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2"/>
        <w:spacing w:line="360" w:lineRule="auto"/>
        <w:rPr>
          <w:highlight w:val="none"/>
          <w:lang w:val="fr-CH"/>
        </w:rPr>
      </w:pPr>
    </w:p>
    <w:p>
      <w:pPr>
        <w:rPr>
          <w:highlight w:val="none"/>
          <w:lang w:val="fr-CH"/>
        </w:rPr>
      </w:pPr>
    </w:p>
    <w:p>
      <w:pPr>
        <w:pStyle w:val="14"/>
        <w:ind w:firstLine="420"/>
        <w:rPr>
          <w:highlight w:val="none"/>
          <w:lang w:val="fr-CH"/>
        </w:rPr>
      </w:pPr>
    </w:p>
    <w:p>
      <w:pPr>
        <w:pStyle w:val="14"/>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widowControl/>
        <w:jc w:val="left"/>
        <w:rPr>
          <w:rFonts w:ascii="宋体" w:hAnsi="宋体" w:cs="宋体"/>
          <w:b/>
          <w:sz w:val="24"/>
          <w:highlight w:val="none"/>
        </w:rPr>
      </w:pPr>
      <w:r>
        <w:rPr>
          <w:rFonts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r>
        <w:rPr>
          <w:rFonts w:ascii="宋体" w:hAnsi="宋体" w:cs="宋体"/>
          <w:sz w:val="24"/>
          <w:highlight w:val="none"/>
        </w:rPr>
        <w:t>。</w:t>
      </w: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szCs w:val="21"/>
          <w:highlight w:val="none"/>
        </w:rPr>
      </w:pPr>
      <w:r>
        <w:rPr>
          <w:rFonts w:hint="eastAsia" w:ascii="宋体" w:hAnsi="宋体" w:cs="宋体"/>
          <w:b/>
          <w:bCs/>
          <w:sz w:val="24"/>
          <w:highlight w:val="none"/>
        </w:rPr>
        <w:t>法定代表人（签字或盖章）：</w:t>
      </w: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4"/>
              <w:spacing w:line="360" w:lineRule="auto"/>
              <w:rPr>
                <w:rFonts w:ascii="Arial Narrow" w:hAnsi="Arial Narrow"/>
                <w:b/>
                <w:bCs/>
                <w:szCs w:val="21"/>
                <w:highlight w:val="none"/>
              </w:rPr>
            </w:pPr>
          </w:p>
        </w:tc>
        <w:tc>
          <w:tcPr>
            <w:tcW w:w="4677" w:type="dxa"/>
          </w:tcPr>
          <w:p>
            <w:pPr>
              <w:pStyle w:val="4"/>
              <w:spacing w:line="360" w:lineRule="auto"/>
              <w:rPr>
                <w:rFonts w:ascii="Arial Narrow" w:hAnsi="Arial Narrow"/>
                <w:b/>
                <w:bCs/>
                <w:szCs w:val="21"/>
                <w:highlight w:val="none"/>
              </w:rPr>
            </w:pPr>
          </w:p>
        </w:tc>
      </w:tr>
    </w:tbl>
    <w:p>
      <w:pPr>
        <w:pStyle w:val="4"/>
        <w:spacing w:line="360" w:lineRule="auto"/>
        <w:jc w:val="center"/>
        <w:rPr>
          <w:rFonts w:hAnsi="宋体" w:cs="宋体"/>
          <w:b/>
          <w:sz w:val="24"/>
          <w:highlight w:val="none"/>
        </w:rPr>
      </w:pPr>
    </w:p>
    <w:p>
      <w:pPr>
        <w:pStyle w:val="2"/>
        <w:rPr>
          <w:rFonts w:ascii="宋体"/>
          <w:highlight w:val="none"/>
        </w:rPr>
      </w:pPr>
      <w:r>
        <w:rPr>
          <w:highlight w:val="none"/>
        </w:rPr>
        <w:br w:type="page"/>
      </w:r>
    </w:p>
    <w:p>
      <w:pPr>
        <w:pStyle w:val="4"/>
        <w:spacing w:line="360" w:lineRule="auto"/>
        <w:jc w:val="center"/>
        <w:rPr>
          <w:rFonts w:hAnsi="宋体" w:cs="宋体"/>
          <w:b/>
          <w:sz w:val="24"/>
          <w:highlight w:val="none"/>
        </w:rPr>
      </w:pPr>
      <w:r>
        <w:rPr>
          <w:rFonts w:hint="eastAsia" w:hAnsi="宋体" w:cs="宋体"/>
          <w:b/>
          <w:sz w:val="24"/>
          <w:highlight w:val="none"/>
        </w:rPr>
        <w:t>8、法定代表人授权书</w:t>
      </w:r>
    </w:p>
    <w:p>
      <w:pPr>
        <w:pStyle w:val="4"/>
        <w:spacing w:line="360" w:lineRule="auto"/>
        <w:rPr>
          <w:rFonts w:hAnsi="宋体" w:cs="宋体"/>
          <w:sz w:val="24"/>
          <w:highlight w:val="none"/>
        </w:rPr>
      </w:pPr>
    </w:p>
    <w:p>
      <w:pPr>
        <w:pStyle w:val="4"/>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4"/>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4"/>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4"/>
              <w:spacing w:line="360" w:lineRule="auto"/>
              <w:rPr>
                <w:rFonts w:ascii="Arial Narrow" w:hAnsi="Arial Narrow"/>
                <w:b/>
                <w:bCs/>
                <w:szCs w:val="21"/>
                <w:highlight w:val="none"/>
              </w:rPr>
            </w:pPr>
          </w:p>
        </w:tc>
        <w:tc>
          <w:tcPr>
            <w:tcW w:w="4677" w:type="dxa"/>
          </w:tcPr>
          <w:p>
            <w:pPr>
              <w:pStyle w:val="4"/>
              <w:spacing w:line="360" w:lineRule="auto"/>
              <w:rPr>
                <w:rFonts w:ascii="Arial Narrow" w:hAnsi="Arial Narrow"/>
                <w:b/>
                <w:bCs/>
                <w:szCs w:val="21"/>
                <w:highlight w:val="none"/>
              </w:rPr>
            </w:pPr>
          </w:p>
        </w:tc>
      </w:tr>
    </w:tbl>
    <w:p>
      <w:pPr>
        <w:widowControl/>
        <w:autoSpaceDE w:val="0"/>
        <w:autoSpaceDN w:val="0"/>
        <w:spacing w:line="360" w:lineRule="auto"/>
        <w:ind w:right="26"/>
        <w:textAlignment w:val="bottom"/>
        <w:rPr>
          <w:rFonts w:ascii="宋体" w:hAnsi="宋体" w:cs="宋体"/>
          <w:b/>
          <w:bCs/>
          <w:sz w:val="24"/>
          <w:highlight w:val="none"/>
        </w:rPr>
      </w:pPr>
    </w:p>
    <w:p>
      <w:pPr>
        <w:widowControl/>
        <w:jc w:val="left"/>
        <w:rPr>
          <w:rFonts w:ascii="宋体" w:hAnsi="宋体" w:cs="宋体"/>
          <w:b/>
          <w:bCs/>
          <w:sz w:val="24"/>
          <w:highlight w:val="none"/>
        </w:rPr>
      </w:pPr>
      <w:r>
        <w:rPr>
          <w:rFonts w:ascii="宋体" w:hAnsi="宋体" w:cs="宋体"/>
          <w:b/>
          <w:bCs/>
          <w:sz w:val="24"/>
          <w:highlight w:val="none"/>
        </w:rPr>
        <w:br w:type="page"/>
      </w: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ascii="宋体" w:hAnsi="宋体" w:cs="宋体"/>
          <w:sz w:val="24"/>
          <w:highlight w:val="none"/>
        </w:rPr>
        <w:t>账</w:t>
      </w:r>
      <w:r>
        <w:rPr>
          <w:rFonts w:hint="eastAsia" w:ascii="宋体" w:hAnsi="宋体" w:cs="宋体"/>
          <w:sz w:val="24"/>
          <w:highlight w:val="none"/>
        </w:rPr>
        <w:t>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pStyle w:val="3"/>
        <w:rPr>
          <w:rFonts w:hint="eastAsia"/>
          <w:highlight w:val="none"/>
        </w:rPr>
      </w:pP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2"/>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sz w:val="24"/>
          <w:highlight w:val="none"/>
          <w:lang w:val="fr-CH"/>
        </w:rPr>
        <w:br w:type="page"/>
      </w:r>
      <w:r>
        <w:rPr>
          <w:rFonts w:hint="eastAsia" w:ascii="宋体" w:hAnsi="宋体" w:cs="宋体"/>
          <w:b/>
          <w:bCs/>
          <w:sz w:val="24"/>
          <w:highlight w:val="none"/>
        </w:rPr>
        <w:t>10、投标人简介</w:t>
      </w: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11、同类项目业绩</w:t>
      </w: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12、项目负责人</w:t>
      </w: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13、团队成员（项目负责人除外）</w:t>
      </w: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b/>
          <w:bCs/>
          <w:sz w:val="24"/>
          <w:highlight w:val="none"/>
        </w:rPr>
        <w:t>14、投标人认为有必要提供的其他材料</w:t>
      </w:r>
    </w:p>
    <w:p>
      <w:pPr>
        <w:spacing w:line="360" w:lineRule="auto"/>
        <w:outlineLvl w:val="2"/>
        <w:rPr>
          <w:rFonts w:ascii="宋体" w:hAnsi="宋体" w:cs="宋体"/>
          <w:b/>
          <w:bCs/>
          <w:sz w:val="24"/>
          <w:highlight w:val="none"/>
          <w:lang w:val="fr-CH"/>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1"/>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spacing w:line="360" w:lineRule="auto"/>
              <w:jc w:val="center"/>
              <w:rPr>
                <w:rFonts w:ascii="宋体" w:hAnsi="宋体" w:cs="宋体"/>
                <w:bCs/>
                <w:sz w:val="24"/>
                <w:highlight w:val="none"/>
              </w:rPr>
            </w:pPr>
          </w:p>
        </w:tc>
      </w:tr>
    </w:tbl>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pStyle w:val="4"/>
        <w:spacing w:line="360" w:lineRule="auto"/>
        <w:rPr>
          <w:rFonts w:hAnsi="宋体" w:cs="宋体"/>
          <w:bCs/>
          <w:sz w:val="24"/>
          <w:highlight w:val="none"/>
        </w:rPr>
      </w:pPr>
    </w:p>
    <w:p>
      <w:pPr>
        <w:pStyle w:val="4"/>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2"/>
        <w:spacing w:line="360" w:lineRule="auto"/>
        <w:rPr>
          <w:highlight w:val="none"/>
          <w:lang w:val="fr-CH"/>
        </w:rPr>
      </w:pP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sz w:val="24"/>
          <w:highlight w:val="none"/>
          <w:lang w:val="sq-AL"/>
        </w:rPr>
        <w:br w:type="page"/>
      </w:r>
      <w:r>
        <w:rPr>
          <w:rFonts w:hint="eastAsia" w:ascii="宋体" w:hAnsi="宋体" w:cs="宋体"/>
          <w:b/>
          <w:bCs/>
          <w:sz w:val="24"/>
          <w:highlight w:val="none"/>
        </w:rPr>
        <w:t>2、对项目的整体理解；</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4、编制研究方法及思路；</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5、成果预设；</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6、项目进度计划；</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7、投标人认为有必要提供的其他材料</w:t>
      </w:r>
    </w:p>
    <w:p>
      <w:pPr>
        <w:pStyle w:val="2"/>
        <w:rPr>
          <w:highlight w:val="none"/>
        </w:rPr>
      </w:pPr>
    </w:p>
    <w:p>
      <w:pPr>
        <w:tabs>
          <w:tab w:val="left" w:pos="640"/>
          <w:tab w:val="left" w:pos="1260"/>
          <w:tab w:val="left" w:pos="1418"/>
        </w:tabs>
        <w:spacing w:line="360" w:lineRule="auto"/>
        <w:jc w:val="left"/>
        <w:rPr>
          <w:rFonts w:ascii="宋体" w:hAnsi="宋体" w:cs="宋体"/>
          <w:b/>
          <w:bCs/>
          <w:sz w:val="24"/>
          <w:highlight w:val="none"/>
        </w:rPr>
      </w:pPr>
      <w:r>
        <w:rPr>
          <w:rFonts w:hint="eastAsia" w:ascii="宋体" w:hAnsi="宋体" w:cs="宋体"/>
          <w:b/>
          <w:bCs/>
          <w:sz w:val="24"/>
          <w:highlight w:val="none"/>
        </w:rPr>
        <w:t>注：</w:t>
      </w:r>
    </w:p>
    <w:p>
      <w:pPr>
        <w:tabs>
          <w:tab w:val="left" w:pos="640"/>
          <w:tab w:val="left" w:pos="1260"/>
          <w:tab w:val="left" w:pos="1418"/>
        </w:tabs>
        <w:spacing w:line="360" w:lineRule="auto"/>
        <w:jc w:val="left"/>
        <w:rPr>
          <w:rFonts w:ascii="宋体" w:hAnsi="宋体" w:cs="宋体"/>
          <w:b/>
          <w:bCs/>
          <w:sz w:val="24"/>
          <w:highlight w:val="none"/>
        </w:rPr>
      </w:pPr>
      <w:r>
        <w:rPr>
          <w:rFonts w:hint="eastAsia" w:ascii="宋体" w:hAnsi="宋体" w:cs="宋体"/>
          <w:b/>
          <w:bCs/>
          <w:sz w:val="24"/>
          <w:highlight w:val="none"/>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highlight w:val="none"/>
        </w:rPr>
      </w:pPr>
      <w:r>
        <w:rPr>
          <w:rFonts w:hint="eastAsia" w:ascii="宋体" w:hAnsi="宋体" w:cs="宋体"/>
          <w:sz w:val="24"/>
          <w:highlight w:val="none"/>
          <w:lang w:val="fr-CH"/>
        </w:rPr>
        <w:br w:type="page"/>
      </w:r>
      <w:bookmarkEnd w:id="22"/>
      <w:bookmarkStart w:id="28" w:name="_Toc3166"/>
      <w:bookmarkStart w:id="29" w:name="_Toc6251"/>
      <w:r>
        <w:rPr>
          <w:rFonts w:hint="eastAsia" w:ascii="宋体" w:hAnsi="宋体" w:cs="宋体"/>
          <w:b/>
          <w:bCs/>
          <w:sz w:val="24"/>
          <w:highlight w:val="none"/>
        </w:rPr>
        <w:t>（1）附件：相关政策</w:t>
      </w:r>
      <w:bookmarkEnd w:id="28"/>
      <w:bookmarkEnd w:id="29"/>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pStyle w:val="3"/>
        <w:rPr>
          <w:rFonts w:hint="eastAsia" w:ascii="宋体" w:cs="宋体"/>
          <w:kern w:val="0"/>
          <w:sz w:val="24"/>
          <w:highlight w:val="none"/>
        </w:rPr>
      </w:pPr>
    </w:p>
    <w:p>
      <w:pPr>
        <w:pStyle w:val="3"/>
        <w:jc w:val="both"/>
        <w:rPr>
          <w:rFonts w:hint="eastAsia"/>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highlight w:val="none"/>
        </w:rPr>
        <w:t>（</w:t>
      </w:r>
      <w:r>
        <w:rPr>
          <w:rFonts w:hint="eastAsia" w:ascii="宋体" w:hAnsi="宋体" w:cs="宋体"/>
          <w:kern w:val="0"/>
          <w:sz w:val="24"/>
          <w:highlight w:val="none"/>
        </w:rPr>
        <w:t>本项目以10%扣除</w:t>
      </w:r>
      <w:r>
        <w:rPr>
          <w:rFonts w:ascii="宋体" w:hAnsi="宋体" w:cs="宋体"/>
          <w:kern w:val="0"/>
          <w:sz w:val="24"/>
          <w:highlight w:val="none"/>
        </w:rPr>
        <w:t>）</w:t>
      </w:r>
      <w:r>
        <w:rPr>
          <w:rFonts w:hint="eastAsia" w:ascii="宋体" w:hAnsi="宋体" w:cs="宋体"/>
          <w:kern w:val="0"/>
          <w:sz w:val="24"/>
          <w:highlight w:val="none"/>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highlight w:val="none"/>
        </w:rPr>
      </w:pP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2"/>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b/>
          <w:bCs/>
          <w:sz w:val="24"/>
          <w:highlight w:val="none"/>
        </w:rPr>
      </w:pPr>
      <w:r>
        <w:rPr>
          <w:rFonts w:hint="eastAsia" w:ascii="宋体" w:hAnsi="宋体" w:cs="宋体"/>
          <w:b/>
          <w:bCs/>
          <w:sz w:val="24"/>
          <w:highlight w:val="none"/>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jc w:val="both"/>
        <w:rPr>
          <w:rFonts w:hint="eastAsia"/>
          <w:highlight w:val="none"/>
        </w:rPr>
      </w:pPr>
    </w:p>
    <w:p>
      <w:pPr>
        <w:pStyle w:val="2"/>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3"/>
        <w:jc w:val="both"/>
        <w:rPr>
          <w:rFonts w:hint="eastAsia"/>
          <w:highlight w:val="none"/>
        </w:rPr>
      </w:pPr>
    </w:p>
    <w:p>
      <w:pPr>
        <w:pStyle w:val="2"/>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highlight w:val="none"/>
        </w:rPr>
      </w:pPr>
    </w:p>
    <w:p>
      <w:pPr>
        <w:pStyle w:val="2"/>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2"/>
        <w:tabs>
          <w:tab w:val="left" w:pos="562"/>
          <w:tab w:val="left" w:pos="3372"/>
          <w:tab w:val="left" w:pos="3653"/>
        </w:tabs>
        <w:spacing w:before="30" w:line="360" w:lineRule="auto"/>
        <w:rPr>
          <w:rFonts w:ascii="宋体" w:hAnsi="宋体" w:cs="宋体"/>
          <w:spacing w:val="-2"/>
          <w:sz w:val="24"/>
          <w:highlight w:val="none"/>
        </w:rPr>
      </w:pPr>
    </w:p>
    <w:p>
      <w:pPr>
        <w:pStyle w:val="2"/>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1"/>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15"/>
              <w:jc w:val="center"/>
              <w:rPr>
                <w:b/>
                <w:sz w:val="24"/>
                <w:szCs w:val="24"/>
                <w:highlight w:val="none"/>
              </w:rPr>
            </w:pPr>
            <w:r>
              <w:rPr>
                <w:rFonts w:hint="eastAsia"/>
                <w:b/>
                <w:sz w:val="24"/>
                <w:szCs w:val="24"/>
                <w:highlight w:val="none"/>
              </w:rPr>
              <w:t>序号</w:t>
            </w:r>
          </w:p>
        </w:tc>
        <w:tc>
          <w:tcPr>
            <w:tcW w:w="1411" w:type="dxa"/>
            <w:vAlign w:val="center"/>
          </w:tcPr>
          <w:p>
            <w:pPr>
              <w:pStyle w:val="15"/>
              <w:jc w:val="center"/>
              <w:rPr>
                <w:b/>
                <w:sz w:val="24"/>
                <w:szCs w:val="24"/>
                <w:highlight w:val="none"/>
              </w:rPr>
            </w:pPr>
            <w:r>
              <w:rPr>
                <w:rFonts w:hint="eastAsia"/>
                <w:b/>
                <w:sz w:val="24"/>
                <w:szCs w:val="24"/>
                <w:highlight w:val="none"/>
              </w:rPr>
              <w:t>项目名称</w:t>
            </w:r>
          </w:p>
        </w:tc>
        <w:tc>
          <w:tcPr>
            <w:tcW w:w="2505" w:type="dxa"/>
            <w:vAlign w:val="center"/>
          </w:tcPr>
          <w:p>
            <w:pPr>
              <w:pStyle w:val="15"/>
              <w:jc w:val="center"/>
              <w:rPr>
                <w:b/>
                <w:sz w:val="24"/>
                <w:szCs w:val="24"/>
                <w:highlight w:val="none"/>
              </w:rPr>
            </w:pPr>
            <w:r>
              <w:rPr>
                <w:rFonts w:hint="eastAsia"/>
                <w:b/>
                <w:sz w:val="24"/>
                <w:szCs w:val="24"/>
                <w:highlight w:val="none"/>
              </w:rPr>
              <w:t>预留选项</w:t>
            </w:r>
          </w:p>
        </w:tc>
        <w:tc>
          <w:tcPr>
            <w:tcW w:w="1905" w:type="dxa"/>
            <w:vAlign w:val="center"/>
          </w:tcPr>
          <w:p>
            <w:pPr>
              <w:pStyle w:val="15"/>
              <w:jc w:val="center"/>
              <w:rPr>
                <w:b/>
                <w:sz w:val="24"/>
                <w:szCs w:val="24"/>
                <w:highlight w:val="none"/>
              </w:rPr>
            </w:pPr>
            <w:r>
              <w:rPr>
                <w:rFonts w:hint="eastAsia"/>
                <w:b/>
                <w:sz w:val="24"/>
                <w:szCs w:val="24"/>
                <w:highlight w:val="none"/>
              </w:rPr>
              <w:t>面向中小企业采购金额</w:t>
            </w:r>
          </w:p>
        </w:tc>
        <w:tc>
          <w:tcPr>
            <w:tcW w:w="2135" w:type="dxa"/>
            <w:vAlign w:val="center"/>
          </w:tcPr>
          <w:p>
            <w:pPr>
              <w:pStyle w:val="15"/>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15"/>
              <w:jc w:val="center"/>
              <w:rPr>
                <w:sz w:val="24"/>
                <w:szCs w:val="24"/>
                <w:highlight w:val="none"/>
              </w:rPr>
            </w:pPr>
          </w:p>
        </w:tc>
        <w:tc>
          <w:tcPr>
            <w:tcW w:w="1411" w:type="dxa"/>
            <w:tcBorders>
              <w:bottom w:val="nil"/>
            </w:tcBorders>
            <w:vAlign w:val="center"/>
          </w:tcPr>
          <w:p>
            <w:pPr>
              <w:pStyle w:val="15"/>
              <w:jc w:val="center"/>
              <w:rPr>
                <w:highlight w:val="none"/>
              </w:rPr>
            </w:pPr>
          </w:p>
        </w:tc>
        <w:tc>
          <w:tcPr>
            <w:tcW w:w="2505" w:type="dxa"/>
            <w:tcBorders>
              <w:bottom w:val="nil"/>
            </w:tcBorders>
            <w:vAlign w:val="center"/>
          </w:tcPr>
          <w:p>
            <w:pPr>
              <w:pStyle w:val="15"/>
              <w:jc w:val="center"/>
              <w:rPr>
                <w:highlight w:val="none"/>
              </w:rPr>
            </w:pPr>
            <w:r>
              <w:rPr>
                <w:rFonts w:hint="eastAsia"/>
                <w:highlight w:val="none"/>
              </w:rPr>
              <w:t>（填写“采购项</w:t>
            </w:r>
          </w:p>
        </w:tc>
        <w:tc>
          <w:tcPr>
            <w:tcW w:w="1905" w:type="dxa"/>
            <w:tcBorders>
              <w:bottom w:val="nil"/>
            </w:tcBorders>
            <w:vAlign w:val="center"/>
          </w:tcPr>
          <w:p>
            <w:pPr>
              <w:pStyle w:val="15"/>
              <w:jc w:val="center"/>
              <w:rPr>
                <w:highlight w:val="none"/>
              </w:rPr>
            </w:pPr>
          </w:p>
        </w:tc>
        <w:tc>
          <w:tcPr>
            <w:tcW w:w="2135" w:type="dxa"/>
            <w:vMerge w:val="restart"/>
            <w:vAlign w:val="center"/>
          </w:tcPr>
          <w:p>
            <w:pPr>
              <w:pStyle w:val="15"/>
              <w:jc w:val="center"/>
              <w:rPr>
                <w:highlight w:val="none"/>
              </w:rPr>
            </w:pPr>
          </w:p>
          <w:p>
            <w:pPr>
              <w:pStyle w:val="15"/>
              <w:jc w:val="center"/>
              <w:rPr>
                <w:highlight w:val="none"/>
              </w:rPr>
            </w:pPr>
          </w:p>
          <w:p>
            <w:pPr>
              <w:pStyle w:val="15"/>
              <w:jc w:val="center"/>
              <w:rPr>
                <w:highlight w:val="none"/>
              </w:rPr>
            </w:pPr>
            <w:r>
              <w:rPr>
                <w:rFonts w:hint="eastAsia"/>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p>
        </w:tc>
        <w:tc>
          <w:tcPr>
            <w:tcW w:w="2505" w:type="dxa"/>
            <w:tcBorders>
              <w:top w:val="nil"/>
              <w:bottom w:val="nil"/>
            </w:tcBorders>
            <w:vAlign w:val="center"/>
          </w:tcPr>
          <w:p>
            <w:pPr>
              <w:pStyle w:val="15"/>
              <w:jc w:val="center"/>
              <w:rPr>
                <w:highlight w:val="none"/>
              </w:rPr>
            </w:pPr>
            <w:r>
              <w:rPr>
                <w:rFonts w:hint="eastAsia"/>
                <w:highlight w:val="none"/>
              </w:rPr>
              <w:t>目整体预留”、</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p>
        </w:tc>
        <w:tc>
          <w:tcPr>
            <w:tcW w:w="2505" w:type="dxa"/>
            <w:tcBorders>
              <w:top w:val="nil"/>
              <w:bottom w:val="nil"/>
            </w:tcBorders>
            <w:vAlign w:val="center"/>
          </w:tcPr>
          <w:p>
            <w:pPr>
              <w:pStyle w:val="15"/>
              <w:jc w:val="center"/>
              <w:rPr>
                <w:highlight w:val="none"/>
              </w:rPr>
            </w:pPr>
            <w:r>
              <w:rPr>
                <w:rFonts w:hint="eastAsia"/>
                <w:highlight w:val="none"/>
              </w:rPr>
              <w:t>“设置专门采购</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r>
              <w:rPr>
                <w:rFonts w:hint="eastAsia"/>
                <w:highlight w:val="none"/>
              </w:rPr>
              <w:t>（填写集中采</w:t>
            </w:r>
          </w:p>
        </w:tc>
        <w:tc>
          <w:tcPr>
            <w:tcW w:w="2505" w:type="dxa"/>
            <w:tcBorders>
              <w:top w:val="nil"/>
              <w:bottom w:val="nil"/>
            </w:tcBorders>
            <w:vAlign w:val="center"/>
          </w:tcPr>
          <w:p>
            <w:pPr>
              <w:pStyle w:val="15"/>
              <w:jc w:val="center"/>
              <w:rPr>
                <w:highlight w:val="none"/>
              </w:rPr>
            </w:pPr>
            <w:r>
              <w:rPr>
                <w:rFonts w:hint="eastAsia"/>
                <w:highlight w:val="none"/>
              </w:rPr>
              <w:t>包”、“要求以</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r>
              <w:rPr>
                <w:rFonts w:hint="eastAsia"/>
                <w:highlight w:val="none"/>
              </w:rPr>
              <w:t>购目录以内或</w:t>
            </w:r>
          </w:p>
        </w:tc>
        <w:tc>
          <w:tcPr>
            <w:tcW w:w="2505" w:type="dxa"/>
            <w:tcBorders>
              <w:top w:val="nil"/>
              <w:bottom w:val="nil"/>
            </w:tcBorders>
            <w:vAlign w:val="center"/>
          </w:tcPr>
          <w:p>
            <w:pPr>
              <w:pStyle w:val="15"/>
              <w:jc w:val="center"/>
              <w:rPr>
                <w:highlight w:val="none"/>
              </w:rPr>
            </w:pPr>
            <w:r>
              <w:rPr>
                <w:rFonts w:hint="eastAsia"/>
                <w:highlight w:val="none"/>
              </w:rPr>
              <w:t>联合体形式参</w:t>
            </w:r>
          </w:p>
        </w:tc>
        <w:tc>
          <w:tcPr>
            <w:tcW w:w="1905" w:type="dxa"/>
            <w:tcBorders>
              <w:top w:val="nil"/>
              <w:bottom w:val="nil"/>
            </w:tcBorders>
            <w:vAlign w:val="center"/>
          </w:tcPr>
          <w:p>
            <w:pPr>
              <w:pStyle w:val="15"/>
              <w:jc w:val="center"/>
              <w:rPr>
                <w:highlight w:val="none"/>
              </w:rPr>
            </w:pPr>
            <w:r>
              <w:rPr>
                <w:rFonts w:hint="eastAsia"/>
                <w:highlight w:val="none"/>
              </w:rPr>
              <w:t>（精确到万元）</w:t>
            </w: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r>
              <w:rPr>
                <w:rFonts w:hint="eastAsia"/>
                <w:highlight w:val="none"/>
              </w:rPr>
              <w:t>者采购限额标</w:t>
            </w:r>
          </w:p>
        </w:tc>
        <w:tc>
          <w:tcPr>
            <w:tcW w:w="2505" w:type="dxa"/>
            <w:tcBorders>
              <w:top w:val="nil"/>
              <w:bottom w:val="nil"/>
            </w:tcBorders>
            <w:vAlign w:val="center"/>
          </w:tcPr>
          <w:p>
            <w:pPr>
              <w:pStyle w:val="15"/>
              <w:jc w:val="center"/>
              <w:rPr>
                <w:highlight w:val="none"/>
              </w:rPr>
            </w:pPr>
            <w:r>
              <w:rPr>
                <w:rFonts w:hint="eastAsia"/>
                <w:highlight w:val="none"/>
              </w:rPr>
              <w:t>加”或者“要求</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r>
              <w:rPr>
                <w:rFonts w:hint="eastAsia"/>
                <w:highlight w:val="none"/>
              </w:rPr>
              <w:t>准以上的采购</w:t>
            </w:r>
          </w:p>
        </w:tc>
        <w:tc>
          <w:tcPr>
            <w:tcW w:w="2505" w:type="dxa"/>
            <w:tcBorders>
              <w:top w:val="nil"/>
              <w:bottom w:val="nil"/>
            </w:tcBorders>
            <w:vAlign w:val="center"/>
          </w:tcPr>
          <w:p>
            <w:pPr>
              <w:pStyle w:val="15"/>
              <w:jc w:val="center"/>
              <w:rPr>
                <w:highlight w:val="none"/>
              </w:rPr>
            </w:pPr>
            <w:r>
              <w:rPr>
                <w:rFonts w:hint="eastAsia"/>
                <w:highlight w:val="none"/>
              </w:rPr>
              <w:t>合同分包”，除</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r>
              <w:rPr>
                <w:rFonts w:hint="eastAsia"/>
                <w:highlight w:val="none"/>
              </w:rPr>
              <w:t>项目</w:t>
            </w:r>
          </w:p>
        </w:tc>
        <w:tc>
          <w:tcPr>
            <w:tcW w:w="2505" w:type="dxa"/>
            <w:tcBorders>
              <w:top w:val="nil"/>
              <w:bottom w:val="nil"/>
            </w:tcBorders>
            <w:vAlign w:val="center"/>
          </w:tcPr>
          <w:p>
            <w:pPr>
              <w:pStyle w:val="15"/>
              <w:jc w:val="center"/>
              <w:rPr>
                <w:highlight w:val="none"/>
              </w:rPr>
            </w:pPr>
            <w:r>
              <w:rPr>
                <w:rFonts w:hint="eastAsia"/>
                <w:highlight w:val="none"/>
              </w:rPr>
              <w:t>“采购项目全部</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p>
        </w:tc>
        <w:tc>
          <w:tcPr>
            <w:tcW w:w="2505" w:type="dxa"/>
            <w:tcBorders>
              <w:top w:val="nil"/>
              <w:bottom w:val="nil"/>
            </w:tcBorders>
            <w:vAlign w:val="center"/>
          </w:tcPr>
          <w:p>
            <w:pPr>
              <w:pStyle w:val="15"/>
              <w:jc w:val="center"/>
              <w:rPr>
                <w:highlight w:val="none"/>
              </w:rPr>
            </w:pPr>
            <w:r>
              <w:rPr>
                <w:rFonts w:hint="eastAsia"/>
                <w:highlight w:val="none"/>
              </w:rPr>
              <w:t>预留”外，还应</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bottom w:val="nil"/>
            </w:tcBorders>
            <w:vAlign w:val="center"/>
          </w:tcPr>
          <w:p>
            <w:pPr>
              <w:pStyle w:val="15"/>
              <w:jc w:val="center"/>
              <w:rPr>
                <w:highlight w:val="none"/>
              </w:rPr>
            </w:pPr>
          </w:p>
        </w:tc>
        <w:tc>
          <w:tcPr>
            <w:tcW w:w="2505" w:type="dxa"/>
            <w:tcBorders>
              <w:top w:val="nil"/>
              <w:bottom w:val="nil"/>
            </w:tcBorders>
            <w:vAlign w:val="center"/>
          </w:tcPr>
          <w:p>
            <w:pPr>
              <w:pStyle w:val="15"/>
              <w:jc w:val="center"/>
              <w:rPr>
                <w:highlight w:val="none"/>
              </w:rPr>
            </w:pPr>
            <w:r>
              <w:rPr>
                <w:rFonts w:hint="eastAsia"/>
                <w:highlight w:val="none"/>
              </w:rPr>
              <w:t>当填写预留给中</w:t>
            </w:r>
          </w:p>
        </w:tc>
        <w:tc>
          <w:tcPr>
            <w:tcW w:w="1905" w:type="dxa"/>
            <w:tcBorders>
              <w:top w:val="nil"/>
              <w:bottom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sz w:val="24"/>
                <w:highlight w:val="none"/>
              </w:rPr>
            </w:pPr>
          </w:p>
        </w:tc>
        <w:tc>
          <w:tcPr>
            <w:tcW w:w="1411" w:type="dxa"/>
            <w:tcBorders>
              <w:top w:val="nil"/>
            </w:tcBorders>
            <w:vAlign w:val="center"/>
          </w:tcPr>
          <w:p>
            <w:pPr>
              <w:pStyle w:val="15"/>
              <w:jc w:val="center"/>
              <w:rPr>
                <w:highlight w:val="none"/>
              </w:rPr>
            </w:pPr>
          </w:p>
        </w:tc>
        <w:tc>
          <w:tcPr>
            <w:tcW w:w="2505" w:type="dxa"/>
            <w:tcBorders>
              <w:top w:val="nil"/>
            </w:tcBorders>
            <w:vAlign w:val="center"/>
          </w:tcPr>
          <w:p>
            <w:pPr>
              <w:pStyle w:val="15"/>
              <w:jc w:val="center"/>
              <w:rPr>
                <w:highlight w:val="none"/>
              </w:rPr>
            </w:pPr>
            <w:r>
              <w:rPr>
                <w:rFonts w:hint="eastAsia"/>
                <w:highlight w:val="none"/>
              </w:rPr>
              <w:t>小企业的比例）</w:t>
            </w:r>
          </w:p>
        </w:tc>
        <w:tc>
          <w:tcPr>
            <w:tcW w:w="1905" w:type="dxa"/>
            <w:tcBorders>
              <w:top w:val="nil"/>
            </w:tcBorders>
            <w:vAlign w:val="center"/>
          </w:tcPr>
          <w:p>
            <w:pPr>
              <w:pStyle w:val="15"/>
              <w:jc w:val="center"/>
              <w:rPr>
                <w:highlight w:val="none"/>
              </w:rPr>
            </w:pPr>
          </w:p>
        </w:tc>
        <w:tc>
          <w:tcPr>
            <w:tcW w:w="2135" w:type="dxa"/>
            <w:vMerge w:val="continue"/>
            <w:tcBorders>
              <w:top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15"/>
              <w:jc w:val="center"/>
              <w:rPr>
                <w:sz w:val="24"/>
                <w:szCs w:val="24"/>
                <w:highlight w:val="none"/>
              </w:rPr>
            </w:pPr>
            <w:r>
              <w:rPr>
                <w:rFonts w:hint="eastAsia"/>
                <w:sz w:val="24"/>
                <w:szCs w:val="24"/>
                <w:highlight w:val="none"/>
              </w:rPr>
              <w:t>……</w:t>
            </w:r>
          </w:p>
        </w:tc>
        <w:tc>
          <w:tcPr>
            <w:tcW w:w="1411" w:type="dxa"/>
            <w:vAlign w:val="center"/>
          </w:tcPr>
          <w:p>
            <w:pPr>
              <w:pStyle w:val="15"/>
              <w:jc w:val="center"/>
              <w:rPr>
                <w:highlight w:val="none"/>
              </w:rPr>
            </w:pPr>
            <w:r>
              <w:rPr>
                <w:rFonts w:hint="eastAsia"/>
                <w:highlight w:val="none"/>
              </w:rPr>
              <w:t>……</w:t>
            </w:r>
          </w:p>
        </w:tc>
        <w:tc>
          <w:tcPr>
            <w:tcW w:w="2505" w:type="dxa"/>
            <w:vAlign w:val="center"/>
          </w:tcPr>
          <w:p>
            <w:pPr>
              <w:pStyle w:val="15"/>
              <w:jc w:val="center"/>
              <w:rPr>
                <w:highlight w:val="none"/>
              </w:rPr>
            </w:pPr>
            <w:r>
              <w:rPr>
                <w:rFonts w:hint="eastAsia"/>
                <w:highlight w:val="none"/>
              </w:rPr>
              <w:t>……</w:t>
            </w:r>
          </w:p>
        </w:tc>
        <w:tc>
          <w:tcPr>
            <w:tcW w:w="1905" w:type="dxa"/>
            <w:vAlign w:val="center"/>
          </w:tcPr>
          <w:p>
            <w:pPr>
              <w:pStyle w:val="15"/>
              <w:jc w:val="center"/>
              <w:rPr>
                <w:highlight w:val="none"/>
              </w:rPr>
            </w:pPr>
            <w:r>
              <w:rPr>
                <w:rFonts w:hint="eastAsia"/>
                <w:highlight w:val="none"/>
              </w:rPr>
              <w:t>……</w:t>
            </w:r>
          </w:p>
        </w:tc>
        <w:tc>
          <w:tcPr>
            <w:tcW w:w="2135" w:type="dxa"/>
            <w:vAlign w:val="center"/>
          </w:tcPr>
          <w:p>
            <w:pPr>
              <w:pStyle w:val="15"/>
              <w:jc w:val="center"/>
              <w:rPr>
                <w:highlight w:val="none"/>
              </w:rPr>
            </w:pPr>
            <w:r>
              <w:rPr>
                <w:rFonts w:hint="eastAsia"/>
                <w:highlight w:val="none"/>
              </w:rPr>
              <w:t>……</w:t>
            </w:r>
          </w:p>
        </w:tc>
      </w:tr>
    </w:tbl>
    <w:p>
      <w:pPr>
        <w:pStyle w:val="2"/>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 xml:space="preserve">部门（单位）名称： </w:t>
      </w:r>
    </w:p>
    <w:p>
      <w:pPr>
        <w:pStyle w:val="2"/>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2"/>
        <w:tabs>
          <w:tab w:val="left" w:pos="562"/>
          <w:tab w:val="left" w:pos="3372"/>
          <w:tab w:val="left" w:pos="3653"/>
        </w:tabs>
        <w:rPr>
          <w:rFonts w:ascii="宋体" w:hAnsi="宋体" w:cs="宋体"/>
          <w:sz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pStyle w:val="3"/>
        <w:rPr>
          <w:rFonts w:hint="eastAsia" w:ascii="宋体" w:cs="宋体"/>
          <w:sz w:val="24"/>
          <w:highlight w:val="none"/>
        </w:rPr>
      </w:pPr>
    </w:p>
    <w:p>
      <w:pPr>
        <w:rPr>
          <w:rFonts w:ascii="宋体" w:hAnsi="宋体" w:cs="宋体"/>
          <w:sz w:val="24"/>
          <w:highlight w:val="none"/>
        </w:rPr>
      </w:pPr>
    </w:p>
    <w:p>
      <w:pPr>
        <w:pStyle w:val="3"/>
        <w:rPr>
          <w:rFonts w:hint="eastAsia" w:ascii="宋体" w:cs="宋体"/>
          <w:sz w:val="24"/>
          <w:highlight w:val="none"/>
        </w:rPr>
      </w:pPr>
    </w:p>
    <w:p>
      <w:pPr>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0"/>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3"/>
        <w:rPr>
          <w:rFonts w:hint="eastAsia" w:ascii="宋体" w:cs="宋体"/>
          <w:kern w:val="0"/>
          <w:sz w:val="24"/>
          <w:highlight w:val="none"/>
        </w:rPr>
      </w:pPr>
    </w:p>
    <w:p>
      <w:pPr>
        <w:rPr>
          <w:rFonts w:ascii="宋体" w:hAnsi="宋体" w:cs="宋体"/>
          <w:kern w:val="0"/>
          <w:sz w:val="24"/>
          <w:highlight w:val="none"/>
        </w:rPr>
      </w:pPr>
    </w:p>
    <w:p>
      <w:pPr>
        <w:pStyle w:val="3"/>
        <w:rPr>
          <w:rFonts w:hint="eastAsia"/>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widowControl/>
        <w:spacing w:line="360" w:lineRule="auto"/>
        <w:jc w:val="left"/>
        <w:rPr>
          <w:rFonts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计量</w:t>
            </w:r>
          </w:p>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jc w:val="center"/>
        <w:rPr>
          <w:rFonts w:ascii="宋体" w:hAnsi="宋体" w:cs="宋体"/>
          <w:b/>
          <w:sz w:val="24"/>
          <w:highlight w:val="none"/>
        </w:rPr>
      </w:pPr>
      <w:r>
        <w:rPr>
          <w:rFonts w:hint="eastAsia" w:ascii="宋体" w:hAnsi="宋体" w:cs="宋体"/>
          <w:b/>
          <w:sz w:val="24"/>
          <w:highlight w:val="none"/>
        </w:rPr>
        <w:t>关于促进残疾人就业政府采购政策的通知</w:t>
      </w:r>
    </w:p>
    <w:p>
      <w:pPr>
        <w:pStyle w:val="9"/>
        <w:shd w:val="clear" w:color="auto" w:fill="FFFFFF"/>
        <w:spacing w:before="0" w:beforeAutospacing="0" w:after="0" w:afterAutospacing="0" w:line="360" w:lineRule="auto"/>
        <w:jc w:val="center"/>
        <w:rPr>
          <w:highlight w:val="none"/>
        </w:rPr>
      </w:pPr>
      <w:r>
        <w:rPr>
          <w:rFonts w:hint="eastAsia"/>
          <w:highlight w:val="none"/>
        </w:rPr>
        <w:t>　　</w:t>
      </w:r>
      <w:bookmarkStart w:id="30" w:name="sendNo"/>
      <w:r>
        <w:rPr>
          <w:rFonts w:hint="eastAsia"/>
          <w:highlight w:val="none"/>
        </w:rPr>
        <w:t>财库〔</w:t>
      </w:r>
      <w:bookmarkEnd w:id="30"/>
      <w:r>
        <w:rPr>
          <w:rFonts w:hint="eastAsia"/>
          <w:highlight w:val="none"/>
        </w:rPr>
        <w:t>2017〕141号</w:t>
      </w:r>
    </w:p>
    <w:p>
      <w:pPr>
        <w:pStyle w:val="9"/>
        <w:shd w:val="clear" w:color="auto" w:fill="FFFFFF"/>
        <w:spacing w:before="0" w:beforeAutospacing="0" w:after="0" w:afterAutospacing="0" w:line="360" w:lineRule="auto"/>
        <w:ind w:firstLine="480" w:firstLineChars="200"/>
        <w:rPr>
          <w:highlight w:val="none"/>
        </w:rPr>
      </w:pPr>
      <w:bookmarkStart w:id="31"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highlight w:val="none"/>
        </w:rPr>
        <w:t>：</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9"/>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9"/>
        <w:shd w:val="clear" w:color="auto" w:fill="FFFFFF"/>
        <w:spacing w:before="0" w:beforeAutospacing="0" w:after="0" w:afterAutospacing="0" w:line="360" w:lineRule="auto"/>
        <w:ind w:firstLine="480" w:firstLineChars="200"/>
        <w:rPr>
          <w:highlight w:val="none"/>
        </w:rPr>
      </w:pPr>
    </w:p>
    <w:p>
      <w:pPr>
        <w:pStyle w:val="9"/>
        <w:shd w:val="clear" w:color="auto" w:fill="FFFFFF"/>
        <w:spacing w:before="0" w:beforeAutospacing="0" w:after="0" w:afterAutospacing="0" w:line="360" w:lineRule="auto"/>
        <w:ind w:firstLine="480" w:firstLineChars="200"/>
        <w:rPr>
          <w:highlight w:val="none"/>
        </w:rPr>
      </w:pPr>
    </w:p>
    <w:p>
      <w:pPr>
        <w:pStyle w:val="9"/>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9"/>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p>
    <w:p>
      <w:pPr>
        <w:pStyle w:val="16"/>
        <w:shd w:val="clear" w:color="auto" w:fill="FFFFFF"/>
        <w:spacing w:before="0" w:beforeAutospacing="0" w:after="0" w:afterAutospacing="0" w:line="360" w:lineRule="auto"/>
        <w:jc w:val="both"/>
        <w:rPr>
          <w:highlight w:val="none"/>
        </w:rPr>
      </w:pPr>
      <w:r>
        <w:rPr>
          <w:rFonts w:hint="eastAsia"/>
          <w:highlight w:val="none"/>
        </w:rPr>
        <w:t>附件：</w:t>
      </w:r>
    </w:p>
    <w:p>
      <w:pPr>
        <w:pStyle w:val="16"/>
        <w:shd w:val="clear" w:color="auto" w:fill="FFFFFF"/>
        <w:spacing w:before="0" w:beforeAutospacing="0" w:after="0" w:afterAutospacing="0" w:line="360" w:lineRule="auto"/>
        <w:ind w:firstLine="482" w:firstLineChars="200"/>
        <w:jc w:val="center"/>
        <w:rPr>
          <w:highlight w:val="none"/>
        </w:rPr>
      </w:pPr>
      <w:r>
        <w:rPr>
          <w:rStyle w:val="17"/>
          <w:rFonts w:hint="eastAsia"/>
          <w:b/>
          <w:bCs/>
          <w:highlight w:val="none"/>
        </w:rPr>
        <w:t>残疾人福利性单位声明函</w:t>
      </w:r>
    </w:p>
    <w:p>
      <w:pPr>
        <w:pStyle w:val="16"/>
        <w:shd w:val="clear" w:color="auto" w:fill="FFFFFF"/>
        <w:spacing w:before="0" w:beforeAutospacing="0" w:after="0" w:afterAutospacing="0" w:line="360" w:lineRule="auto"/>
        <w:ind w:firstLine="480" w:firstLineChars="200"/>
        <w:jc w:val="both"/>
        <w:rPr>
          <w:highlight w:val="none"/>
        </w:rPr>
      </w:pPr>
    </w:p>
    <w:p>
      <w:pPr>
        <w:pStyle w:val="16"/>
        <w:shd w:val="clear" w:color="auto" w:fill="FFFFFF"/>
        <w:spacing w:before="0" w:beforeAutospacing="0" w:after="0" w:afterAutospacing="0" w:line="360" w:lineRule="auto"/>
        <w:ind w:firstLine="480" w:firstLineChars="200"/>
        <w:jc w:val="both"/>
        <w:rPr>
          <w:highlight w:val="none"/>
        </w:rPr>
      </w:pPr>
      <w:r>
        <w:rPr>
          <w:rStyle w:val="17"/>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jc w:val="both"/>
        <w:rPr>
          <w:highlight w:val="none"/>
        </w:rPr>
      </w:pPr>
      <w:r>
        <w:rPr>
          <w:rStyle w:val="17"/>
          <w:rFonts w:hint="eastAsia"/>
          <w:highlight w:val="none"/>
        </w:rPr>
        <w:t>本单位对上述声明的真实性负责。如有虚假，将依法承担相应责任。</w:t>
      </w:r>
    </w:p>
    <w:p>
      <w:pPr>
        <w:pStyle w:val="16"/>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16"/>
        <w:shd w:val="clear" w:color="auto" w:fill="FFFFFF"/>
        <w:spacing w:before="0" w:beforeAutospacing="0" w:after="0" w:afterAutospacing="0" w:line="360" w:lineRule="auto"/>
        <w:ind w:firstLine="480" w:firstLineChars="200"/>
        <w:jc w:val="both"/>
        <w:rPr>
          <w:highlight w:val="none"/>
        </w:rPr>
      </w:pPr>
    </w:p>
    <w:p>
      <w:pPr>
        <w:pStyle w:val="16"/>
        <w:shd w:val="clear" w:color="auto" w:fill="FFFFFF"/>
        <w:spacing w:before="0" w:beforeAutospacing="0" w:after="0" w:afterAutospacing="0" w:line="360" w:lineRule="auto"/>
        <w:ind w:right="2100" w:rightChars="1000"/>
        <w:jc w:val="right"/>
        <w:rPr>
          <w:highlight w:val="none"/>
        </w:rPr>
      </w:pPr>
      <w:r>
        <w:rPr>
          <w:rStyle w:val="17"/>
          <w:rFonts w:hint="eastAsia"/>
          <w:highlight w:val="none"/>
        </w:rPr>
        <w:t>单位名称（盖章）：</w:t>
      </w:r>
    </w:p>
    <w:p>
      <w:pPr>
        <w:pStyle w:val="16"/>
        <w:shd w:val="clear" w:color="auto" w:fill="FFFFFF"/>
        <w:spacing w:before="0" w:beforeAutospacing="0" w:after="0" w:afterAutospacing="0" w:line="360" w:lineRule="auto"/>
        <w:ind w:right="2100" w:rightChars="1000"/>
        <w:jc w:val="right"/>
        <w:rPr>
          <w:highlight w:val="none"/>
          <w:lang w:val="fr-CH"/>
        </w:rPr>
      </w:pPr>
      <w:r>
        <w:rPr>
          <w:rStyle w:val="17"/>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10" w:type="first"/>
      <w:headerReference r:id="rId8" w:type="default"/>
      <w:headerReference r:id="rId9"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42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41</w:t>
    </w:r>
    <w:r>
      <w:rPr>
        <w:lang w:val="zh-CN"/>
      </w:rP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adj="10800">
          <v:path/>
          <v:fill on="t" focussize="0,0"/>
          <v:stroke on="f"/>
          <v:imagedata o:title=""/>
          <o:lock v:ext="edit" text="f"/>
          <v:textpath on="t" fitshape="t" fitpath="t" trim="f" xscale="f" string="黄志翔20230207" style="font-family:&amp;quot;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adj="10800">
          <v:path/>
          <v:fill on="t" focussize="0,0"/>
          <v:stroke on="f"/>
          <v:imagedata o:title=""/>
          <o:lock v:ext="edit" text="f"/>
          <v:textpath on="t" fitshape="t" fitpath="t" trim="f" xscale="f" string="黄志翔2023020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2Q1OTM0ODI3NDQ1N2U1OWRmNmI3YzU0ODczNWEifQ=="/>
  </w:docVars>
  <w:rsids>
    <w:rsidRoot w:val="21867FAC"/>
    <w:rsid w:val="21867FAC"/>
    <w:rsid w:val="788A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Plain Text"/>
    <w:basedOn w:val="1"/>
    <w:next w:val="5"/>
    <w:qFormat/>
    <w:uiPriority w:val="0"/>
    <w:rPr>
      <w:rFonts w:ascii="宋体" w:hAnsi="Courier New"/>
    </w:rPr>
  </w:style>
  <w:style w:type="paragraph" w:customStyle="1" w:styleId="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Arial" w:hAnsi="Arial" w:eastAsia="隶书"/>
      <w:b/>
      <w:bCs/>
      <w:sz w:val="32"/>
      <w:szCs w:val="32"/>
    </w:rPr>
  </w:style>
  <w:style w:type="character" w:styleId="13">
    <w:name w:val="page number"/>
    <w:qFormat/>
    <w:uiPriority w:val="0"/>
  </w:style>
  <w:style w:type="paragraph" w:customStyle="1" w:styleId="1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15">
    <w:name w:val="Table Paragraph"/>
    <w:basedOn w:val="1"/>
    <w:qFormat/>
    <w:uiPriority w:val="0"/>
    <w:pPr>
      <w:autoSpaceDE w:val="0"/>
      <w:autoSpaceDN w:val="0"/>
      <w:jc w:val="left"/>
    </w:pPr>
    <w:rPr>
      <w:rFonts w:ascii="宋体" w:hAnsi="宋体" w:cs="宋体"/>
      <w:kern w:val="0"/>
      <w:sz w:val="22"/>
      <w:szCs w:val="22"/>
    </w:rPr>
  </w:style>
  <w:style w:type="paragraph" w:customStyle="1" w:styleId="1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2023-03-03T03:51:00Z</dcterms:created>
  <dc:creator>Jayden Li</dc:creator>
  <cp:lastModifiedBy>陈可欣</cp:lastModifiedBy>
  <dcterms:modified xsi:type="dcterms:W3CDTF">2024-07-10T07:50:17Z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8C482ADBAB06443AA51B6379152447EB</vt:lpwstr>
  </property>
</Properties>
</file>