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4"/>
        <w:ind w:firstLine="420"/>
        <w:rPr>
          <w:rFonts w:ascii="宋体" w:hAnsi="宋体" w:cs="宋体"/>
          <w:highlight w:val="none"/>
        </w:rPr>
      </w:pPr>
    </w:p>
    <w:p>
      <w:pPr>
        <w:pStyle w:val="24"/>
        <w:ind w:firstLine="420"/>
        <w:rPr>
          <w:rFonts w:ascii="宋体" w:hAnsi="宋体" w:cs="宋体"/>
          <w:highlight w:val="none"/>
        </w:rPr>
      </w:pPr>
    </w:p>
    <w:p>
      <w:pPr>
        <w:rPr>
          <w:rFonts w:ascii="宋体" w:hAnsi="宋体" w:cs="宋体"/>
          <w:b/>
          <w:sz w:val="44"/>
          <w:highlight w:val="none"/>
        </w:rPr>
      </w:pPr>
    </w:p>
    <w:p>
      <w:pPr>
        <w:ind w:right="-319" w:rightChars="-152"/>
        <w:rPr>
          <w:rFonts w:ascii="宋体" w:hAnsi="宋体" w:cs="宋体"/>
          <w:b/>
          <w:sz w:val="36"/>
          <w:szCs w:val="36"/>
          <w:highlight w:val="none"/>
        </w:rPr>
      </w:pPr>
      <w:r>
        <w:rPr>
          <w:rFonts w:hint="eastAsia" w:ascii="宋体" w:hAnsi="宋体" w:cs="宋体"/>
          <w:b/>
          <w:sz w:val="36"/>
          <w:szCs w:val="36"/>
          <w:highlight w:val="none"/>
        </w:rPr>
        <w:t>招标编号：QH2024055</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4"/>
        <w:ind w:firstLine="420"/>
        <w:rPr>
          <w:rFonts w:ascii="宋体" w:hAnsi="宋体" w:cs="宋体"/>
          <w:highlight w:val="none"/>
        </w:rPr>
      </w:pPr>
    </w:p>
    <w:p>
      <w:pPr>
        <w:pStyle w:val="24"/>
        <w:ind w:firstLine="420"/>
        <w:rPr>
          <w:rFonts w:ascii="宋体" w:hAnsi="宋体" w:cs="宋体"/>
          <w:highlight w:val="none"/>
        </w:rPr>
      </w:pPr>
    </w:p>
    <w:p>
      <w:pPr>
        <w:ind w:right="-319" w:rightChars="-152"/>
        <w:rPr>
          <w:rFonts w:hint="eastAsia" w:ascii="宋体" w:hAnsi="宋体" w:eastAsia="宋体" w:cs="宋体"/>
          <w:b/>
          <w:sz w:val="36"/>
          <w:szCs w:val="36"/>
          <w:highlight w:val="none"/>
          <w:lang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eastAsia="zh-CN"/>
        </w:rPr>
        <w:t>2024年度“前海工匠”培育项目</w:t>
      </w:r>
    </w:p>
    <w:p>
      <w:pPr>
        <w:ind w:firstLine="3264" w:firstLineChars="739"/>
        <w:rPr>
          <w:rFonts w:ascii="宋体" w:hAnsi="宋体" w:cs="宋体"/>
          <w:b/>
          <w:sz w:val="44"/>
          <w:highlight w:val="none"/>
        </w:rPr>
      </w:pPr>
    </w:p>
    <w:p>
      <w:pPr>
        <w:pStyle w:val="24"/>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4</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7</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6"/>
        <w:rPr>
          <w:highlight w:val="none"/>
        </w:rPr>
      </w:pP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w:t>
      </w:r>
      <w:bookmarkStart w:id="32" w:name="_GoBack"/>
      <w:bookmarkEnd w:id="32"/>
      <w:r>
        <w:rPr>
          <w:rFonts w:hint="eastAsia" w:ascii="宋体" w:hAnsi="宋体" w:cs="宋体"/>
          <w:sz w:val="24"/>
          <w:highlight w:val="none"/>
        </w:rPr>
        <w:t>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四、根据深财购[2021]45号文规定，进一步规范投标供应商资质审查：</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lang w:eastAsia="zh-CN"/>
        </w:rPr>
        <w:t>2024年度“前海工匠”培育项目</w:t>
      </w:r>
      <w:r>
        <w:rPr>
          <w:rFonts w:hint="eastAsia" w:ascii="宋体" w:hAnsi="宋体" w:cs="宋体"/>
          <w:sz w:val="24"/>
          <w:highlight w:val="none"/>
        </w:rPr>
        <w:t>（招标编号：QH2024055）采用公开征集供应商简易招标方式采购，欢迎符合投标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highlight w:val="none"/>
              </w:rPr>
            </w:pPr>
            <w:r>
              <w:rPr>
                <w:rFonts w:hint="eastAsia" w:ascii="宋体" w:hAnsi="宋体" w:cs="宋体"/>
                <w:sz w:val="24"/>
                <w:highlight w:val="none"/>
              </w:rPr>
              <w:t>招标文件编号</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QH2024055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2024年度“前海工匠”培育项目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标的内容</w:t>
            </w:r>
          </w:p>
        </w:tc>
        <w:tc>
          <w:tcPr>
            <w:tcW w:w="7015" w:type="dxa"/>
            <w:vAlign w:val="center"/>
          </w:tcPr>
          <w:p>
            <w:pPr>
              <w:spacing w:line="360" w:lineRule="auto"/>
              <w:rPr>
                <w:rFonts w:hint="eastAsia" w:ascii="宋体" w:hAnsi="宋体" w:eastAsia="宋体" w:cs="宋体"/>
                <w:kern w:val="2"/>
                <w:sz w:val="24"/>
                <w:szCs w:val="24"/>
                <w:highlight w:val="none"/>
              </w:rPr>
            </w:pPr>
            <w:r>
              <w:rPr>
                <w:rFonts w:hint="eastAsia" w:ascii="宋体" w:hAnsi="宋体" w:cs="宋体"/>
                <w:color w:val="000000" w:themeColor="text1"/>
                <w:sz w:val="24"/>
                <w:szCs w:val="32"/>
                <w14:textFill>
                  <w14:solidFill>
                    <w14:schemeClr w14:val="tx1"/>
                  </w14:solidFill>
                </w14:textFill>
              </w:rPr>
              <w:t>为进一步落实高质量发展要求，推动前海建设工程质量品质提升，通过针对一线技术人员开展劳动专业技能培训，提高施工现场作业人员专业技能水平</w:t>
            </w:r>
            <w:r>
              <w:rPr>
                <w:rFonts w:hint="default"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大力弘扬“精雕细琢、精耕细作”工匠文化，发挥优秀技能人才的示范引领作用，营造建设工程前海质量品牌氛围，为确保前海建设提供有力保障</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highlight w:val="none"/>
              </w:rPr>
            </w:pPr>
            <w:r>
              <w:rPr>
                <w:rFonts w:hint="default" w:ascii="宋体" w:hAnsi="宋体" w:cs="宋体"/>
                <w:sz w:val="24"/>
                <w:highlight w:val="none"/>
              </w:rPr>
              <w:t>295</w:t>
            </w:r>
            <w:r>
              <w:rPr>
                <w:rFonts w:hint="eastAsia" w:ascii="宋体" w:hAnsi="宋体" w:cs="宋体"/>
                <w:sz w:val="24"/>
                <w:highlight w:val="none"/>
              </w:rPr>
              <w:t>,000.00（人民币</w:t>
            </w:r>
            <w:r>
              <w:rPr>
                <w:rFonts w:hint="default" w:ascii="宋体" w:hAnsi="宋体" w:cs="宋体"/>
                <w:sz w:val="24"/>
                <w:highlight w:val="none"/>
              </w:rPr>
              <w:t>贰</w:t>
            </w:r>
            <w:r>
              <w:rPr>
                <w:rFonts w:hint="eastAsia" w:ascii="宋体" w:hAnsi="宋体" w:cs="宋体"/>
                <w:sz w:val="24"/>
                <w:highlight w:val="none"/>
              </w:rPr>
              <w:t>拾</w:t>
            </w:r>
            <w:r>
              <w:rPr>
                <w:rFonts w:hint="default" w:ascii="宋体" w:hAnsi="宋体" w:cs="宋体"/>
                <w:sz w:val="24"/>
                <w:highlight w:val="none"/>
              </w:rPr>
              <w:t>玖</w:t>
            </w:r>
            <w:r>
              <w:rPr>
                <w:rFonts w:hint="eastAsia" w:ascii="宋体" w:hAnsi="宋体" w:cs="宋体"/>
                <w:sz w:val="24"/>
                <w:highlight w:val="none"/>
              </w:rPr>
              <w:t>万</w:t>
            </w:r>
            <w:r>
              <w:rPr>
                <w:rFonts w:hint="default" w:ascii="宋体" w:hAnsi="宋体" w:cs="宋体"/>
                <w:sz w:val="24"/>
                <w:highlight w:val="none"/>
              </w:rPr>
              <w:t>伍仟</w:t>
            </w:r>
            <w:r>
              <w:rPr>
                <w:rFonts w:hint="eastAsia" w:ascii="宋体" w:hAnsi="宋体" w:cs="宋体"/>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val="0"/>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kern w:val="0"/>
                <w:sz w:val="24"/>
                <w:highlight w:val="none"/>
                <w:lang w:bidi="ar"/>
              </w:rPr>
              <w:t>202</w:t>
            </w:r>
            <w:r>
              <w:rPr>
                <w:rFonts w:hint="eastAsia" w:ascii="宋体" w:hAnsi="宋体" w:cs="宋体"/>
                <w:b w:val="0"/>
                <w:kern w:val="0"/>
                <w:sz w:val="24"/>
                <w:highlight w:val="none"/>
                <w:lang w:val="en-US" w:eastAsia="zh-CN" w:bidi="ar"/>
              </w:rPr>
              <w:t>4</w:t>
            </w:r>
            <w:r>
              <w:rPr>
                <w:rFonts w:hint="eastAsia" w:ascii="宋体" w:hAnsi="宋体" w:cs="宋体"/>
                <w:b w:val="0"/>
                <w:kern w:val="0"/>
                <w:sz w:val="24"/>
                <w:highlight w:val="none"/>
                <w:lang w:bidi="ar"/>
              </w:rPr>
              <w:t>年</w:t>
            </w:r>
            <w:r>
              <w:rPr>
                <w:rFonts w:hint="eastAsia" w:ascii="宋体" w:hAnsi="宋体" w:cs="宋体"/>
                <w:b w:val="0"/>
                <w:kern w:val="0"/>
                <w:sz w:val="24"/>
                <w:highlight w:val="none"/>
                <w:lang w:val="en-US" w:eastAsia="zh-CN" w:bidi="ar"/>
              </w:rPr>
              <w:t>7</w:t>
            </w:r>
            <w:r>
              <w:rPr>
                <w:rFonts w:hint="eastAsia" w:ascii="宋体" w:hAnsi="宋体" w:cs="宋体"/>
                <w:b w:val="0"/>
                <w:kern w:val="0"/>
                <w:sz w:val="24"/>
                <w:highlight w:val="none"/>
                <w:lang w:bidi="ar"/>
              </w:rPr>
              <w:t>月</w:t>
            </w:r>
            <w:r>
              <w:rPr>
                <w:rFonts w:hint="eastAsia" w:ascii="宋体" w:hAnsi="宋体" w:cs="宋体"/>
                <w:b w:val="0"/>
                <w:kern w:val="0"/>
                <w:sz w:val="24"/>
                <w:highlight w:val="none"/>
                <w:lang w:val="en-US" w:eastAsia="zh-CN" w:bidi="ar"/>
              </w:rPr>
              <w:t>15</w:t>
            </w:r>
            <w:r>
              <w:rPr>
                <w:rFonts w:hint="eastAsia" w:ascii="宋体" w:hAnsi="宋体" w:cs="宋体"/>
                <w:b w:val="0"/>
                <w:kern w:val="0"/>
                <w:sz w:val="24"/>
                <w:highlight w:val="none"/>
                <w:lang w:bidi="ar"/>
              </w:rPr>
              <w:t>日下午</w:t>
            </w:r>
            <w:r>
              <w:rPr>
                <w:rFonts w:hint="eastAsia" w:ascii="宋体" w:hAnsi="宋体" w:cs="宋体"/>
                <w:b w:val="0"/>
                <w:kern w:val="0"/>
                <w:sz w:val="24"/>
                <w:highlight w:val="none"/>
                <w:lang w:val="en-US" w:eastAsia="zh-CN" w:bidi="ar"/>
              </w:rPr>
              <w:t>14</w:t>
            </w:r>
            <w:r>
              <w:rPr>
                <w:rFonts w:hint="eastAsia" w:ascii="宋体" w:hAnsi="宋体" w:cs="宋体"/>
                <w:b w:val="0"/>
                <w:kern w:val="0"/>
                <w:sz w:val="24"/>
                <w:highlight w:val="none"/>
                <w:lang w:bidi="ar"/>
              </w:rPr>
              <w:t>:</w:t>
            </w:r>
            <w:r>
              <w:rPr>
                <w:rFonts w:hint="eastAsia" w:ascii="宋体" w:hAnsi="宋体" w:cs="宋体"/>
                <w:b w:val="0"/>
                <w:kern w:val="0"/>
                <w:sz w:val="24"/>
                <w:highlight w:val="none"/>
                <w:lang w:val="en-US" w:eastAsia="zh-CN" w:bidi="ar"/>
              </w:rPr>
              <w:t>3</w:t>
            </w:r>
            <w:r>
              <w:rPr>
                <w:rFonts w:hint="eastAsia" w:ascii="宋体" w:hAnsi="宋体" w:cs="宋体"/>
                <w:b w:val="0"/>
                <w:kern w:val="0"/>
                <w:sz w:val="24"/>
                <w:highlight w:val="none"/>
                <w:lang w:bidi="ar"/>
              </w:rPr>
              <w:t>0时（北京时间）前送达（现场递交）</w:t>
            </w:r>
            <w:r>
              <w:rPr>
                <w:rFonts w:hint="eastAsia" w:ascii="宋体" w:hAnsi="宋体" w:cs="宋体"/>
                <w:kern w:val="0"/>
                <w:sz w:val="24"/>
                <w:highlight w:val="none"/>
                <w:lang w:bidi="ar"/>
              </w:rPr>
              <w:t>至</w:t>
            </w:r>
            <w:r>
              <w:rPr>
                <w:rFonts w:hint="eastAsia" w:ascii="宋体" w:hAnsi="宋体" w:cs="宋体"/>
                <w:b w:val="0"/>
                <w:kern w:val="0"/>
                <w:sz w:val="24"/>
                <w:highlight w:val="none"/>
                <w:lang w:bidi="ar"/>
              </w:rPr>
              <w:t>深圳市前海深港现代服务业合作区桂湾五路123号前海大厦T1栋</w:t>
            </w:r>
            <w:r>
              <w:rPr>
                <w:rFonts w:hint="eastAsia" w:ascii="宋体" w:hAnsi="宋体" w:cs="宋体"/>
                <w:sz w:val="24"/>
                <w:highlight w:val="none"/>
                <w:lang w:val="en-US" w:eastAsia="zh-CN"/>
              </w:rPr>
              <w:t>2402</w:t>
            </w:r>
            <w:r>
              <w:rPr>
                <w:rFonts w:hint="eastAsia" w:ascii="宋体" w:hAnsi="宋体" w:cs="宋体"/>
                <w:b w:val="0"/>
                <w:kern w:val="0"/>
                <w:sz w:val="24"/>
                <w:highlight w:val="none"/>
                <w:lang w:bidi="ar"/>
              </w:rPr>
              <w:t>室。</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cs="宋体"/>
                <w:kern w:val="0"/>
                <w:sz w:val="24"/>
                <w:highlight w:val="none"/>
                <w:lang w:bidi="ar"/>
              </w:rPr>
            </w:pPr>
            <w:r>
              <w:rPr>
                <w:rFonts w:hint="eastAsia" w:ascii="宋体" w:hAnsi="宋体" w:cs="宋体"/>
                <w:kern w:val="0"/>
                <w:sz w:val="24"/>
                <w:highlight w:val="none"/>
                <w:lang w:bidi="ar"/>
              </w:rPr>
              <w:t>联系人：肖先生</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color w:val="000000" w:themeColor="text1"/>
                <w:kern w:val="0"/>
                <w:sz w:val="24"/>
                <w14:textFill>
                  <w14:solidFill>
                    <w14:schemeClr w14:val="tx1"/>
                  </w14:solidFill>
                </w14:textFill>
              </w:rPr>
              <w:t>0755-881052</w:t>
            </w:r>
            <w:r>
              <w:rPr>
                <w:rFonts w:hint="default" w:ascii="宋体" w:hAnsi="宋体" w:cs="宋体"/>
                <w:color w:val="000000" w:themeColor="text1"/>
                <w:kern w:val="0"/>
                <w:sz w:val="24"/>
                <w14:textFill>
                  <w14:solidFill>
                    <w14:schemeClr w14:val="tx1"/>
                  </w14:solidFill>
                </w14:textFill>
              </w:rPr>
              <w:t>03</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kern w:val="0"/>
                <w:sz w:val="24"/>
                <w:highlight w:val="none"/>
                <w:lang w:bidi="ar"/>
              </w:rPr>
            </w:pPr>
            <w:r>
              <w:rPr>
                <w:rFonts w:hint="eastAsia" w:ascii="宋体" w:hAnsi="宋体" w:cs="宋体"/>
                <w:kern w:val="0"/>
                <w:sz w:val="24"/>
                <w:highlight w:val="none"/>
                <w:lang w:bidi="ar"/>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numPr>
                <w:ilvl w:val="0"/>
                <w:numId w:val="0"/>
              </w:numPr>
              <w:spacing w:line="360" w:lineRule="auto"/>
              <w:rPr>
                <w:rFonts w:ascii="宋体" w:hAnsi="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b/>
                <w:bCs/>
                <w:color w:val="000000" w:themeColor="text1"/>
                <w:kern w:val="0"/>
                <w:sz w:val="24"/>
                <w:lang w:val="en-US" w:eastAsia="zh-CN"/>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以上证明材料均需提供复印件或扫描件，原件备查。</w:t>
            </w:r>
          </w:p>
          <w:p>
            <w:pPr>
              <w:numPr>
                <w:ilvl w:val="0"/>
                <w:numId w:val="0"/>
              </w:numPr>
              <w:spacing w:line="360" w:lineRule="auto"/>
              <w:rPr>
                <w:rFonts w:ascii="宋体" w:hAnsi="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并加盖公章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numPr>
                <w:ilvl w:val="0"/>
                <w:numId w:val="0"/>
              </w:numPr>
              <w:spacing w:line="360" w:lineRule="auto"/>
              <w:rPr>
                <w:rFonts w:ascii="宋体" w:hAnsi="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并加盖公章</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numPr>
                <w:ilvl w:val="0"/>
                <w:numId w:val="0"/>
              </w:numPr>
              <w:spacing w:line="360" w:lineRule="auto"/>
            </w:pPr>
            <w:r>
              <w:rPr>
                <w:rFonts w:ascii="Times New Roman" w:hAnsi="Times New Roman" w:eastAsia="宋体" w:cs="Times New Roman"/>
                <w:kern w:val="2"/>
                <w:sz w:val="21"/>
                <w:szCs w:val="24"/>
                <w:lang w:val="en-US" w:eastAsia="zh-CN" w:bidi="ar-SA"/>
              </w:rPr>
              <w:t>（4）</w:t>
            </w:r>
            <w:r>
              <w:rPr>
                <w:rFonts w:hint="eastAsia" w:ascii="宋体" w:hAnsi="宋体" w:cs="宋体"/>
                <w:color w:val="000000" w:themeColor="text1"/>
                <w:kern w:val="0"/>
                <w:sz w:val="24"/>
                <w14:textFill>
                  <w14:solidFill>
                    <w14:schemeClr w14:val="tx1"/>
                  </w14:solidFill>
                </w14:textFill>
              </w:rPr>
              <w:t>不存在《深圳市财政局政府采购供应商信用信息管理办法》（深财规〔2023〕3号）列明的严重违法失信行为（由投标人在《政府采购投标及履约承诺函》中作出声明</w:t>
            </w:r>
            <w:r>
              <w:rPr>
                <w:rFonts w:hint="eastAsia" w:ascii="宋体" w:hAnsi="宋体" w:cs="宋体"/>
                <w:color w:val="000000" w:themeColor="text1"/>
                <w:kern w:val="0"/>
                <w:sz w:val="24"/>
                <w:lang w:val="en-US" w:eastAsia="zh-CN"/>
                <w14:textFill>
                  <w14:solidFill>
                    <w14:schemeClr w14:val="tx1"/>
                  </w14:solidFill>
                </w14:textFill>
              </w:rPr>
              <w:t>并加盖公章</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0"/>
              </w:numPr>
              <w:spacing w:line="360" w:lineRule="auto"/>
              <w:rPr>
                <w:rFonts w:ascii="宋体" w:hAnsi="宋体" w:cs="宋体"/>
                <w:kern w:val="0"/>
                <w:sz w:val="24"/>
                <w:highlight w:val="none"/>
              </w:rPr>
            </w:pPr>
            <w:r>
              <w:rPr>
                <w:rFonts w:ascii="宋体" w:hAnsi="宋体" w:eastAsia="宋体" w:cs="宋体"/>
                <w:kern w:val="0"/>
                <w:sz w:val="24"/>
                <w:szCs w:val="24"/>
                <w:lang w:val="en-US" w:eastAsia="zh-CN" w:bidi="ar-SA"/>
              </w:rPr>
              <w:t>（5）</w:t>
            </w:r>
            <w:r>
              <w:rPr>
                <w:rFonts w:hint="eastAsia" w:ascii="宋体" w:hAnsi="宋体" w:cs="宋体"/>
                <w:color w:val="000000" w:themeColor="text1"/>
                <w:kern w:val="0"/>
                <w:sz w:val="24"/>
                <w14:textFill>
                  <w14:solidFill>
                    <w14:schemeClr w14:val="tx1"/>
                  </w14:solidFill>
                </w14:textFill>
              </w:rPr>
              <w:t>本项目</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numPr>
                <w:ilvl w:val="0"/>
                <w:numId w:val="2"/>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w:t>
            </w:r>
            <w:r>
              <w:rPr>
                <w:rFonts w:hint="eastAsia" w:ascii="宋体" w:hAnsi="宋体" w:cs="宋体"/>
                <w:color w:val="000000" w:themeColor="text1"/>
                <w:sz w:val="24"/>
                <w:lang w:val="en-US" w:eastAsia="zh-CN"/>
                <w14:textFill>
                  <w14:solidFill>
                    <w14:schemeClr w14:val="tx1"/>
                  </w14:solidFill>
                </w14:textFill>
              </w:rPr>
              <w:t>订</w:t>
            </w:r>
            <w:r>
              <w:rPr>
                <w:rFonts w:hint="eastAsia" w:ascii="宋体" w:hAnsi="宋体" w:cs="宋体"/>
                <w:color w:val="000000" w:themeColor="text1"/>
                <w:sz w:val="24"/>
                <w14:textFill>
                  <w14:solidFill>
                    <w14:schemeClr w14:val="tx1"/>
                  </w14:solidFill>
                </w14:textFill>
              </w:rPr>
              <w:t>的合同金额。项目预算控制</w:t>
            </w:r>
            <w:r>
              <w:rPr>
                <w:rFonts w:hint="eastAsia" w:ascii="宋体" w:hAnsi="宋体" w:cs="宋体"/>
                <w:color w:val="000000" w:themeColor="text1"/>
                <w:sz w:val="24"/>
                <w:lang w:val="en-US" w:eastAsia="zh-CN"/>
                <w14:textFill>
                  <w14:solidFill>
                    <w14:schemeClr w14:val="tx1"/>
                  </w14:solidFill>
                </w14:textFill>
              </w:rPr>
              <w:t>29.5</w:t>
            </w:r>
            <w:r>
              <w:rPr>
                <w:rFonts w:hint="eastAsia" w:ascii="宋体" w:hAnsi="宋体" w:cs="宋体"/>
                <w:color w:val="000000" w:themeColor="text1"/>
                <w:sz w:val="24"/>
                <w:lang w:eastAsia="zh-CN"/>
                <w14:textFill>
                  <w14:solidFill>
                    <w14:schemeClr w14:val="tx1"/>
                  </w14:solidFill>
                </w14:textFill>
              </w:rPr>
              <w:t>万元以内</w:t>
            </w:r>
            <w:r>
              <w:rPr>
                <w:rFonts w:hint="eastAsia" w:ascii="宋体" w:hAnsi="宋体" w:cs="宋体"/>
                <w:color w:val="000000" w:themeColor="text1"/>
                <w:sz w:val="24"/>
                <w14:textFill>
                  <w14:solidFill>
                    <w14:schemeClr w14:val="tx1"/>
                  </w14:solidFill>
                </w14:textFill>
              </w:rPr>
              <w:t>，投标人的报价不可高于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kern w:val="0"/>
                <w:sz w:val="24"/>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2"/>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2"/>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2"/>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2"/>
              </w:numPr>
              <w:spacing w:line="360" w:lineRule="auto"/>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default" w:ascii="宋体" w:hAnsi="宋体" w:cs="宋体"/>
                <w:color w:val="000000" w:themeColor="text1"/>
                <w:kern w:val="0"/>
                <w:sz w:val="24"/>
                <w14:textFill>
                  <w14:solidFill>
                    <w14:schemeClr w14:val="tx1"/>
                  </w14:solidFill>
                </w14:textFill>
              </w:rPr>
              <w:t>肖</w:t>
            </w:r>
            <w:r>
              <w:rPr>
                <w:rFonts w:hint="eastAsia" w:ascii="宋体" w:hAnsi="宋体" w:cs="宋体"/>
                <w:color w:val="000000" w:themeColor="text1"/>
                <w:kern w:val="0"/>
                <w:sz w:val="24"/>
                <w14:textFill>
                  <w14:solidFill>
                    <w14:schemeClr w14:val="tx1"/>
                  </w14:solidFill>
                </w14:textFill>
              </w:rPr>
              <w:t>先生</w:t>
            </w:r>
          </w:p>
          <w:p>
            <w:pPr>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话：0755-881052</w:t>
            </w:r>
            <w:r>
              <w:rPr>
                <w:rFonts w:hint="default" w:ascii="宋体" w:hAnsi="宋体" w:cs="宋体"/>
                <w:color w:val="000000" w:themeColor="text1"/>
                <w:kern w:val="0"/>
                <w:sz w:val="24"/>
                <w14:textFill>
                  <w14:solidFill>
                    <w14:schemeClr w14:val="tx1"/>
                  </w14:solidFill>
                </w14:textFill>
              </w:rPr>
              <w:t>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highlight w:val="none"/>
              </w:rPr>
            </w:pPr>
            <w:r>
              <w:rPr>
                <w:rFonts w:hint="eastAsia" w:ascii="宋体" w:hAnsi="宋体" w:cs="宋体"/>
                <w:kern w:val="0"/>
                <w:sz w:val="24"/>
                <w:highlight w:val="none"/>
              </w:rPr>
              <w:t>电      话：18599127733、15118037034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3" w:name="_Toc16734"/>
      <w:r>
        <w:rPr>
          <w:rFonts w:hint="eastAsia" w:ascii="宋体" w:hAnsi="宋体" w:cs="宋体"/>
          <w:b/>
          <w:bCs/>
          <w:sz w:val="24"/>
          <w:highlight w:val="none"/>
        </w:rPr>
        <w:t>投标须知</w:t>
      </w:r>
      <w:bookmarkEnd w:id="3"/>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cs="宋体"/>
          <w:sz w:val="24"/>
          <w:highlight w:val="none"/>
          <w:lang w:eastAsia="zh-CN"/>
        </w:rPr>
        <w:t>2024年度“前海工匠”培育与评选活动项目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有效投标人为2家的，可在2家有效投标人中取得分最高者为中标供应商；</w:t>
      </w:r>
    </w:p>
    <w:p>
      <w:pPr>
        <w:numPr>
          <w:ilvl w:val="0"/>
          <w:numId w:val="3"/>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一经中标，投标报价总价作为中标单位与采购人签定的合同金额，合同期限内不做调整。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4"/>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4"/>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val="en-US"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 xml:space="preserve">   </w:t>
      </w:r>
    </w:p>
    <w:p>
      <w:pPr>
        <w:adjustRightInd w:val="0"/>
        <w:snapToGrid w:val="0"/>
        <w:spacing w:line="360" w:lineRule="auto"/>
        <w:ind w:right="26"/>
        <w:jc w:val="left"/>
        <w:rPr>
          <w:rFonts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highlight w:val="none"/>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0.45%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0.1%</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vAlign w:val="center"/>
          </w:tcPr>
          <w:p>
            <w:pPr>
              <w:adjustRightInd w:val="0"/>
              <w:snapToGrid w:val="0"/>
              <w:spacing w:line="360" w:lineRule="auto"/>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c>
          <w:tcPr>
            <w:tcW w:w="1897" w:type="dxa"/>
            <w:vAlign w:val="center"/>
          </w:tcPr>
          <w:p>
            <w:pPr>
              <w:adjustRightInd w:val="0"/>
              <w:snapToGrid w:val="0"/>
              <w:spacing w:line="360" w:lineRule="auto"/>
              <w:ind w:right="28"/>
              <w:jc w:val="center"/>
              <w:rPr>
                <w:rFonts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val="en-US" w:eastAsia="zh-CN"/>
        </w:rPr>
        <w:t>账号</w:t>
      </w:r>
      <w:r>
        <w:rPr>
          <w:rFonts w:hint="eastAsia" w:ascii="宋体" w:hAnsi="宋体" w:cs="宋体"/>
          <w:sz w:val="24"/>
          <w:highlight w:val="none"/>
        </w:rPr>
        <w:t>：</w:t>
      </w:r>
      <w:r>
        <w:rPr>
          <w:rFonts w:ascii="宋体" w:hAnsi="宋体" w:cs="宋体"/>
          <w:sz w:val="24"/>
          <w:highlight w:val="none"/>
        </w:rPr>
        <w:t>11002982389701</w:t>
      </w:r>
    </w:p>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sz w:val="24"/>
          <w:highlight w:val="none"/>
        </w:rPr>
        <w:t>开户银行：平安银行深圳江苏大厦支行</w:t>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4" w:name="_Toc18857"/>
      <w:r>
        <w:rPr>
          <w:rFonts w:hint="eastAsia" w:ascii="宋体" w:hAnsi="宋体" w:cs="宋体"/>
          <w:b/>
          <w:bCs/>
          <w:sz w:val="24"/>
          <w:highlight w:val="none"/>
        </w:rPr>
        <w:t>评标程序</w:t>
      </w:r>
      <w:bookmarkEnd w:id="4"/>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日下午</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30</w:t>
      </w:r>
      <w:r>
        <w:rPr>
          <w:rFonts w:hint="eastAsia" w:ascii="宋体" w:hAnsi="宋体" w:cs="宋体"/>
          <w:sz w:val="24"/>
          <w:highlight w:val="none"/>
        </w:rPr>
        <w:t>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日下午1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0时（北京时间）前送达（现场递交前海大厦T1栋</w:t>
      </w:r>
      <w:r>
        <w:rPr>
          <w:rFonts w:hint="eastAsia" w:ascii="宋体" w:hAnsi="宋体" w:eastAsia="宋体" w:cs="宋体"/>
          <w:sz w:val="24"/>
          <w:highlight w:val="none"/>
          <w:lang w:val="en-US" w:eastAsia="zh-CN"/>
        </w:rPr>
        <w:t>2</w:t>
      </w:r>
      <w:r>
        <w:rPr>
          <w:rFonts w:hint="eastAsia" w:ascii="宋体" w:hAnsi="宋体" w:cs="宋体"/>
          <w:sz w:val="24"/>
          <w:highlight w:val="none"/>
          <w:lang w:val="en-US" w:eastAsia="zh-CN"/>
        </w:rPr>
        <w:t>402</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应</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5.2原则上成交价应为最初报价的95%。</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十、根据本次采购的结果，10个工作日内与中标供应商签订合同。</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widowControl/>
        <w:jc w:val="left"/>
        <w:rPr>
          <w:rFonts w:ascii="宋体" w:hAnsi="宋体" w:cs="宋体"/>
          <w:sz w:val="24"/>
          <w:highlight w:val="none"/>
        </w:rPr>
      </w:pPr>
      <w:r>
        <w:rPr>
          <w:rFonts w:ascii="宋体" w:hAnsi="宋体" w:cs="宋体"/>
          <w:sz w:val="24"/>
          <w:highlight w:val="none"/>
        </w:rPr>
        <w:br w:type="page"/>
      </w:r>
    </w:p>
    <w:p>
      <w:pPr>
        <w:spacing w:line="360" w:lineRule="auto"/>
        <w:rPr>
          <w:rFonts w:ascii="宋体" w:hAnsi="宋体" w:cs="宋体"/>
          <w:sz w:val="24"/>
          <w:highlight w:val="none"/>
        </w:r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635"/>
      <w:r>
        <w:rPr>
          <w:rFonts w:hint="eastAsia" w:ascii="宋体" w:hAnsi="宋体" w:cs="宋体"/>
          <w:b/>
          <w:bCs/>
          <w:sz w:val="24"/>
          <w:highlight w:val="none"/>
        </w:rPr>
        <w:t>合同格式及合同条款</w:t>
      </w:r>
      <w:bookmarkEnd w:id="5"/>
    </w:p>
    <w:p>
      <w:pPr>
        <w:spacing w:line="360" w:lineRule="auto"/>
        <w:ind w:firstLine="470" w:firstLineChars="196"/>
        <w:jc w:val="center"/>
        <w:rPr>
          <w:rFonts w:ascii="宋体" w:hAnsi="宋体" w:cs="宋体"/>
          <w:sz w:val="24"/>
          <w:highlight w:val="none"/>
        </w:rPr>
      </w:pPr>
      <w:bookmarkStart w:id="6" w:name="_Toc100052414"/>
      <w:bookmarkStart w:id="7" w:name="_Toc73518163"/>
      <w:bookmarkStart w:id="8" w:name="_Toc73521592"/>
      <w:bookmarkStart w:id="9" w:name="_Toc84303603"/>
      <w:bookmarkStart w:id="10" w:name="_Toc73517685"/>
      <w:bookmarkStart w:id="11" w:name="_Toc101074886"/>
      <w:bookmarkStart w:id="12" w:name="_Toc73521680"/>
    </w:p>
    <w:bookmarkEnd w:id="6"/>
    <w:bookmarkEnd w:id="7"/>
    <w:bookmarkEnd w:id="8"/>
    <w:bookmarkEnd w:id="9"/>
    <w:bookmarkEnd w:id="10"/>
    <w:bookmarkEnd w:id="11"/>
    <w:bookmarkEnd w:id="12"/>
    <w:p>
      <w:pPr>
        <w:spacing w:line="360" w:lineRule="auto"/>
        <w:ind w:firstLine="470" w:firstLineChars="196"/>
        <w:rPr>
          <w:rFonts w:ascii="宋体" w:hAnsi="宋体" w:cs="宋体"/>
          <w:sz w:val="24"/>
          <w:highlight w:val="none"/>
        </w:rPr>
      </w:pPr>
    </w:p>
    <w:p>
      <w:pPr>
        <w:pStyle w:val="24"/>
        <w:spacing w:line="360" w:lineRule="auto"/>
        <w:ind w:left="1475" w:right="1470" w:hanging="1475" w:hangingChars="612"/>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24"/>
        <w:spacing w:line="360" w:lineRule="auto"/>
        <w:ind w:left="1675" w:right="1470" w:hanging="1675" w:hangingChars="695"/>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24"/>
        <w:spacing w:line="360" w:lineRule="auto"/>
        <w:ind w:left="1470" w:right="1470" w:firstLine="482"/>
        <w:jc w:val="center"/>
        <w:rPr>
          <w:rFonts w:ascii="宋体" w:hAnsi="宋体" w:cs="宋体"/>
          <w:b/>
          <w:sz w:val="24"/>
          <w:szCs w:val="24"/>
          <w:highlight w:val="none"/>
        </w:rPr>
      </w:pPr>
    </w:p>
    <w:p>
      <w:pPr>
        <w:pStyle w:val="24"/>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4"/>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24"/>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2024年度“前海工匠”培育项目</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24"/>
        <w:spacing w:line="360" w:lineRule="auto"/>
        <w:ind w:right="1470" w:firstLine="482"/>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项目名称：</w:t>
      </w:r>
      <w:r>
        <w:rPr>
          <w:rFonts w:hint="eastAsia" w:ascii="宋体" w:hAnsi="宋体" w:cs="宋体"/>
          <w:b w:val="0"/>
          <w:bCs/>
          <w:sz w:val="24"/>
          <w:highlight w:val="none"/>
          <w:u w:val="single"/>
          <w:lang w:val="en-US" w:eastAsia="zh-CN"/>
        </w:rPr>
        <w:t>2024年度“前海工匠”培育项目</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四</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深圳市前海深港现代服务业合作区桂湾五路123号前海大厦T1栋</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pStyle w:val="11"/>
        <w:rPr>
          <w:highlight w:val="none"/>
        </w:rPr>
      </w:pPr>
      <w:r>
        <w:rPr>
          <w:rFonts w:hint="eastAsia"/>
          <w:highlight w:val="none"/>
        </w:rPr>
        <w:t>联系人：</w:t>
      </w:r>
    </w:p>
    <w:p>
      <w:pPr>
        <w:pStyle w:val="11"/>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统一信用代码：</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pStyle w:val="11"/>
        <w:rPr>
          <w:highlight w:val="none"/>
        </w:rPr>
      </w:pPr>
      <w:r>
        <w:rPr>
          <w:rFonts w:hint="eastAsia"/>
          <w:highlight w:val="none"/>
        </w:rPr>
        <w:t>联系人：</w:t>
      </w:r>
    </w:p>
    <w:p>
      <w:pPr>
        <w:pStyle w:val="11"/>
        <w:rPr>
          <w:highlight w:val="none"/>
        </w:rPr>
      </w:pPr>
      <w:r>
        <w:rPr>
          <w:rFonts w:hint="eastAsia"/>
          <w:highlight w:val="none"/>
        </w:rPr>
        <w:t>联系方式：</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w:t>
      </w:r>
      <w:r>
        <w:rPr>
          <w:rFonts w:hint="eastAsia" w:ascii="宋体" w:hAnsi="宋体" w:cs="宋体"/>
          <w:sz w:val="24"/>
          <w:highlight w:val="none"/>
          <w:lang w:val="en-US" w:eastAsia="zh-CN"/>
        </w:rPr>
        <w:t xml:space="preserve">   </w:t>
      </w:r>
      <w:r>
        <w:rPr>
          <w:rFonts w:hint="eastAsia" w:ascii="宋体" w:hAnsi="宋体" w:cs="宋体"/>
          <w:sz w:val="24"/>
          <w:highlight w:val="none"/>
        </w:rPr>
        <w:t>】招标项目的中标结果，由【   】单位（以下简称乙方）为中标</w:t>
      </w:r>
      <w:r>
        <w:rPr>
          <w:rFonts w:ascii="宋体" w:hAnsi="宋体" w:cs="宋体"/>
          <w:sz w:val="24"/>
          <w:highlight w:val="none"/>
        </w:rPr>
        <w:t>单位</w:t>
      </w:r>
      <w:r>
        <w:rPr>
          <w:rFonts w:hint="eastAsia" w:ascii="宋体" w:hAnsi="宋体" w:cs="宋体"/>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sz w:val="24"/>
          <w:highlight w:val="none"/>
          <w:u w:val="single"/>
          <w:lang w:val="en-US" w:eastAsia="zh-CN"/>
        </w:rPr>
        <w:t>2024年度“前海工匠”培育项目</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项目内容</w:t>
      </w:r>
    </w:p>
    <w:p>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项目名称：</w:t>
      </w:r>
      <w:r>
        <w:rPr>
          <w:rFonts w:hint="eastAsia" w:ascii="宋体" w:hAnsi="宋体" w:cs="宋体"/>
          <w:sz w:val="24"/>
          <w:highlight w:val="none"/>
          <w:lang w:val="en-US" w:eastAsia="zh-CN"/>
        </w:rPr>
        <w:t>2024年度“前海工匠”培育项目</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（一）主要内容</w:t>
      </w:r>
    </w:p>
    <w:p>
      <w:pPr>
        <w:spacing w:line="360" w:lineRule="auto"/>
        <w:ind w:firstLine="504" w:firstLineChars="200"/>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技能培育</w:t>
      </w:r>
      <w:r>
        <w:rPr>
          <w:rFonts w:ascii="Times New Roman" w:hAnsi="Times New Roman" w:eastAsia="宋体" w:cs="Times New Roman"/>
          <w:color w:val="000000" w:themeColor="text1"/>
          <w:spacing w:val="6"/>
          <w:sz w:val="24"/>
          <w:szCs w:val="24"/>
          <w:highlight w:val="none"/>
          <w14:textFill>
            <w14:solidFill>
              <w14:schemeClr w14:val="tx1"/>
            </w14:solidFill>
          </w14:textFill>
        </w:rPr>
        <w:t>授课</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人员安排</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乙方应按</w:t>
      </w:r>
      <w:r>
        <w:rPr>
          <w:rFonts w:ascii="Times New Roman" w:hAnsi="Times New Roman" w:eastAsia="宋体" w:cs="Times New Roman"/>
          <w:color w:val="000000" w:themeColor="text1"/>
          <w:spacing w:val="6"/>
          <w:sz w:val="24"/>
          <w:szCs w:val="24"/>
          <w:highlight w:val="none"/>
          <w14:textFill>
            <w14:solidFill>
              <w14:schemeClr w14:val="tx1"/>
            </w14:solidFill>
          </w14:textFill>
        </w:rPr>
        <w:t>甲方要求</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安排不少于8名专家</w:t>
      </w:r>
      <w:r>
        <w:rPr>
          <w:rFonts w:hint="default" w:cs="Times New Roman"/>
          <w:color w:val="000000" w:themeColor="text1"/>
          <w:spacing w:val="6"/>
          <w:sz w:val="24"/>
          <w:szCs w:val="24"/>
          <w:highlight w:val="none"/>
          <w14:textFill>
            <w14:solidFill>
              <w14:schemeClr w14:val="tx1"/>
            </w14:solidFill>
          </w14:textFill>
        </w:rPr>
        <w:t>（含不少于2名香港专家）</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（包括木工、镶贴工、电工、钢筋工、焊工、塔吊司机、架子工、测量工等专业工种，每专业不少于1名专家）</w:t>
      </w:r>
      <w:r>
        <w:rPr>
          <w:rFonts w:ascii="Times New Roman" w:hAnsi="Times New Roman" w:eastAsia="宋体" w:cs="Times New Roman"/>
          <w:color w:val="000000" w:themeColor="text1"/>
          <w:spacing w:val="6"/>
          <w:sz w:val="24"/>
          <w:szCs w:val="24"/>
          <w:highlight w:val="none"/>
          <w14:textFill>
            <w14:solidFill>
              <w14:schemeClr w14:val="tx1"/>
            </w14:solidFill>
          </w14:textFill>
        </w:rPr>
        <w:t>开展</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培育与评选，专家应</w:t>
      </w:r>
      <w:r>
        <w:rPr>
          <w:rFonts w:ascii="Times New Roman" w:hAnsi="Times New Roman" w:eastAsia="宋体" w:cs="Times New Roman"/>
          <w:color w:val="000000" w:themeColor="text1"/>
          <w:spacing w:val="6"/>
          <w:sz w:val="24"/>
          <w:szCs w:val="24"/>
          <w:highlight w:val="none"/>
          <w14:textFill>
            <w14:solidFill>
              <w14:schemeClr w14:val="tx1"/>
            </w14:solidFill>
          </w14:textFill>
        </w:rPr>
        <w:t>持有高级技工及以上职业资格证书</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或具有高级工程师职称</w:t>
      </w:r>
      <w:r>
        <w:rPr>
          <w:rFonts w:hint="default" w:cs="Times New Roman"/>
          <w:color w:val="000000" w:themeColor="text1"/>
          <w:spacing w:val="6"/>
          <w:sz w:val="24"/>
          <w:szCs w:val="24"/>
          <w:highlight w:val="none"/>
          <w14:textFill>
            <w14:solidFill>
              <w14:schemeClr w14:val="tx1"/>
            </w14:solidFill>
          </w14:textFill>
        </w:rPr>
        <w:t>（香港专家应具有相应资质）</w:t>
      </w:r>
      <w:r>
        <w:rPr>
          <w:rFonts w:ascii="Times New Roman" w:hAnsi="Times New Roman" w:eastAsia="宋体" w:cs="Times New Roman"/>
          <w:color w:val="000000" w:themeColor="text1"/>
          <w:spacing w:val="6"/>
          <w:sz w:val="24"/>
          <w:szCs w:val="24"/>
          <w:highlight w:val="none"/>
          <w14:textFill>
            <w14:solidFill>
              <w14:schemeClr w14:val="tx1"/>
            </w14:solidFill>
          </w14:textFill>
        </w:rPr>
        <w:t>，具有5年及以上工作经验。</w:t>
      </w:r>
      <w:r>
        <w:rPr>
          <w:rFonts w:hint="eastAsia" w:ascii="Times New Roman" w:hAnsi="Times New Roman" w:eastAsia="宋体" w:cs="Times New Roman"/>
          <w:color w:val="000000" w:themeColor="text1"/>
          <w:sz w:val="24"/>
          <w:szCs w:val="24"/>
          <w:highlight w:val="none"/>
          <w14:textFill>
            <w14:solidFill>
              <w14:schemeClr w14:val="tx1"/>
            </w14:solidFill>
          </w14:textFill>
        </w:rPr>
        <w:t>拟安排</w:t>
      </w:r>
      <w:r>
        <w:rPr>
          <w:rFonts w:ascii="Times New Roman" w:hAnsi="Times New Roman" w:eastAsia="宋体" w:cs="Times New Roman"/>
          <w:color w:val="000000" w:themeColor="text1"/>
          <w:sz w:val="24"/>
          <w:szCs w:val="24"/>
          <w:highlight w:val="none"/>
          <w14:textFill>
            <w14:solidFill>
              <w14:schemeClr w14:val="tx1"/>
            </w14:solidFill>
          </w14:textFill>
        </w:rPr>
        <w:t>人员名单在甲方确认后如需更换，乙方应事先征得甲方的同意，且接替的工作人员的职位、资历、资质应与原定工作人员相当</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工作内容</w:t>
      </w:r>
    </w:p>
    <w:p>
      <w:pPr>
        <w:spacing w:line="360" w:lineRule="auto"/>
        <w:ind w:firstLine="504" w:firstLineChars="200"/>
        <w:rPr>
          <w:rFonts w:ascii="宋体" w:hAnsi="宋体"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（1）</w:t>
      </w:r>
      <w:r>
        <w:rPr>
          <w:rFonts w:ascii="宋体" w:hAnsi="宋体" w:eastAsia="宋体" w:cs="Times New Roman"/>
          <w:color w:val="000000" w:themeColor="text1"/>
          <w:spacing w:val="6"/>
          <w:sz w:val="24"/>
          <w:szCs w:val="24"/>
          <w:highlight w:val="none"/>
          <w14:textFill>
            <w14:solidFill>
              <w14:schemeClr w14:val="tx1"/>
            </w14:solidFill>
          </w14:textFill>
        </w:rPr>
        <w:t>“前海工匠”培育工作</w:t>
      </w:r>
    </w:p>
    <w:p>
      <w:pPr>
        <w:spacing w:line="360" w:lineRule="auto"/>
        <w:ind w:firstLine="504" w:firstLineChars="200"/>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pP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宋体" w:hAnsi="宋体" w:eastAsia="宋体" w:cs="Times New Roman"/>
          <w:color w:val="000000" w:themeColor="text1"/>
          <w:spacing w:val="6"/>
          <w:sz w:val="24"/>
          <w:szCs w:val="24"/>
          <w:highlight w:val="none"/>
          <w14:textFill>
            <w14:solidFill>
              <w14:schemeClr w14:val="tx1"/>
            </w14:solidFill>
          </w14:textFill>
        </w:rPr>
        <w:t>前海工匠</w:t>
      </w: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宋体" w:hAnsi="宋体" w:eastAsia="宋体" w:cs="Times New Roman"/>
          <w:color w:val="000000" w:themeColor="text1"/>
          <w:spacing w:val="6"/>
          <w:sz w:val="24"/>
          <w:szCs w:val="24"/>
          <w:highlight w:val="none"/>
          <w14:textFill>
            <w14:solidFill>
              <w14:schemeClr w14:val="tx1"/>
            </w14:solidFill>
          </w14:textFill>
        </w:rPr>
        <w:t>培育</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工作，分专业开展以实操为主的技能指导，指导方式应以现场演示操作过程为主，且课程设置每专业不应少于2次，累计不少于1</w:t>
      </w:r>
      <w:r>
        <w:rPr>
          <w:rFonts w:hint="default" w:cs="Times New Roman"/>
          <w:color w:val="000000" w:themeColor="text1"/>
          <w:spacing w:val="6"/>
          <w:sz w:val="24"/>
          <w:szCs w:val="24"/>
          <w:highlight w:val="none"/>
          <w14:textFill>
            <w14:solidFill>
              <w14:schemeClr w14:val="tx1"/>
            </w14:solidFill>
          </w14:textFill>
        </w:rPr>
        <w:t>6</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场，培育对象为各项目施工单位技术工人，累计培育不少于</w:t>
      </w:r>
      <w:r>
        <w:rPr>
          <w:rFonts w:ascii="Times New Roman" w:hAnsi="Times New Roman" w:eastAsia="宋体" w:cs="Times New Roman"/>
          <w:color w:val="000000" w:themeColor="text1"/>
          <w:spacing w:val="6"/>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00人次</w:t>
      </w:r>
      <w:r>
        <w:rPr>
          <w:rFonts w:hint="default" w:cs="Times New Roman"/>
          <w:color w:val="000000" w:themeColor="text1"/>
          <w:spacing w:val="6"/>
          <w:sz w:val="24"/>
          <w:szCs w:val="24"/>
          <w:highlight w:val="none"/>
          <w14:textFill>
            <w14:solidFill>
              <w14:schemeClr w14:val="tx1"/>
            </w14:solidFill>
          </w14:textFill>
        </w:rPr>
        <w:t>（需包含香港工人）</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，并设置“技能比武”环节，现场考核参加评选的技术工人实操水平，选出态度端正、操作规范、具有潜质的优秀学员，名单报甲方审核，结合项目推荐择优遴选，</w:t>
      </w:r>
      <w:r>
        <w:rPr>
          <w:rFonts w:hint="eastAsia" w:ascii="宋体" w:hAnsi="宋体" w:eastAsia="宋体" w:cs="Times New Roman"/>
          <w:color w:val="000000" w:themeColor="text1"/>
          <w:spacing w:val="6"/>
          <w:sz w:val="24"/>
          <w:szCs w:val="24"/>
          <w:highlight w:val="none"/>
          <w14:textFill>
            <w14:solidFill>
              <w14:schemeClr w14:val="tx1"/>
            </w14:solidFill>
          </w14:textFill>
        </w:rPr>
        <w:t>选出</w:t>
      </w: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宋体" w:hAnsi="宋体" w:eastAsia="宋体" w:cs="Times New Roman"/>
          <w:color w:val="000000" w:themeColor="text1"/>
          <w:spacing w:val="6"/>
          <w:sz w:val="24"/>
          <w:szCs w:val="24"/>
          <w:highlight w:val="none"/>
          <w14:textFill>
            <w14:solidFill>
              <w14:schemeClr w14:val="tx1"/>
            </w14:solidFill>
          </w14:textFill>
        </w:rPr>
        <w:t>工匠种子</w:t>
      </w:r>
      <w:r>
        <w:rPr>
          <w:rFonts w:ascii="宋体" w:hAnsi="宋体" w:eastAsia="宋体" w:cs="Times New Roman"/>
          <w:color w:val="000000" w:themeColor="text1"/>
          <w:spacing w:val="6"/>
          <w:sz w:val="24"/>
          <w:szCs w:val="24"/>
          <w:highlight w:val="none"/>
          <w14:textFill>
            <w14:solidFill>
              <w14:schemeClr w14:val="tx1"/>
            </w14:solidFill>
          </w14:textFill>
        </w:rPr>
        <w:t>”</w:t>
      </w:r>
      <w:r>
        <w:rPr>
          <w:rFonts w:ascii="宋体" w:hAnsi="宋体" w:cs="Times New Roman"/>
          <w:color w:val="000000" w:themeColor="text1"/>
          <w:spacing w:val="6"/>
          <w:sz w:val="24"/>
          <w:szCs w:val="24"/>
          <w:highlight w:val="none"/>
          <w14:textFill>
            <w14:solidFill>
              <w14:schemeClr w14:val="tx1"/>
            </w14:solidFill>
          </w14:textFill>
        </w:rPr>
        <w:t>不少于</w:t>
      </w:r>
      <w:r>
        <w:rPr>
          <w:rFonts w:hint="default" w:ascii="宋体" w:cs="Times New Roman"/>
          <w:color w:val="000000" w:themeColor="text1"/>
          <w:spacing w:val="6"/>
          <w:sz w:val="24"/>
          <w:szCs w:val="24"/>
          <w:highlight w:val="none"/>
          <w14:textFill>
            <w14:solidFill>
              <w14:schemeClr w14:val="tx1"/>
            </w14:solidFill>
          </w14:textFill>
        </w:rPr>
        <w:t>80</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人，各</w:t>
      </w:r>
      <w:r>
        <w:rPr>
          <w:rFonts w:hint="default" w:cs="Times New Roman"/>
          <w:color w:val="000000" w:themeColor="text1"/>
          <w:spacing w:val="6"/>
          <w:sz w:val="24"/>
          <w:szCs w:val="24"/>
          <w:highlight w:val="none"/>
          <w14:textFill>
            <w14:solidFill>
              <w14:schemeClr w14:val="tx1"/>
            </w14:solidFill>
          </w14:textFill>
        </w:rPr>
        <w:t>工种不少于10</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w:t>
      </w:r>
      <w:r>
        <w:rPr>
          <w:rFonts w:hint="eastAsia" w:ascii="宋体" w:hAnsi="宋体" w:eastAsia="宋体" w:cs="Times New Roman"/>
          <w:color w:val="000000" w:themeColor="text1"/>
          <w:spacing w:val="6"/>
          <w:sz w:val="24"/>
          <w:szCs w:val="24"/>
          <w:highlight w:val="none"/>
          <w14:textFill>
            <w14:solidFill>
              <w14:schemeClr w14:val="tx1"/>
            </w14:solidFill>
          </w14:textFill>
        </w:rPr>
        <w:t>进</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行重点培养。</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）“前海工匠”评选工作</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在组织开展旨在提升一线技术工人操作水平的</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前海工匠</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培育工作后，为验收工匠培育工作成果，弘扬</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精雕细琢、精耕细作</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精神，拟举办年度“前海工匠”评选。以评优推先的方式选出专业技能高超、操作水平突出的一线技术工人，在合作区内营造精益求精、追求卓越的良好氛围，打造前海质量品牌，进一步推动前海建设工程质量品质的提升。</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评选活动在前期工匠培育范围内进行，采取理论考核与实际操作相结合的方式进行。</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在8个工种中评选出专业技能娴熟、操作水平高超的一线施工技术工人，每工种评选出前三名，第一名进入年度“前海工匠”名单并授予评比优秀选手年度“前海工匠”荣誉称号。</w:t>
      </w:r>
      <w:r>
        <w:rPr>
          <w:rFonts w:ascii="Times New Roman" w:hAnsi="Times New Roman" w:eastAsia="宋体" w:cs="Times New Roman"/>
          <w:color w:val="000000" w:themeColor="text1"/>
          <w:spacing w:val="6"/>
          <w:sz w:val="24"/>
          <w:szCs w:val="24"/>
          <w:highlight w:val="none"/>
          <w14:textFill>
            <w14:solidFill>
              <w14:schemeClr w14:val="tx1"/>
            </w14:solidFill>
          </w14:textFill>
        </w:rPr>
        <w:t>乙方应提前制定</w:t>
      </w:r>
      <w:r>
        <w:rPr>
          <w:rFonts w:cs="Times New Roman"/>
          <w:color w:val="000000" w:themeColor="text1"/>
          <w:spacing w:val="6"/>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方案，提报甲方审核。</w:t>
      </w:r>
    </w:p>
    <w:p>
      <w:pPr>
        <w:widowControl/>
        <w:spacing w:before="0" w:beforeAutospacing="0" w:after="0" w:afterAutospacing="0" w:line="360" w:lineRule="auto"/>
        <w:ind w:firstLine="504" w:firstLineChars="200"/>
        <w:jc w:val="both"/>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t>（二）工作成果及验收要求</w:t>
      </w:r>
    </w:p>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4322"/>
        <w:gridCol w:w="283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序号</w:t>
            </w:r>
          </w:p>
        </w:tc>
        <w:tc>
          <w:tcPr>
            <w:tcW w:w="4322"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成果文件或服务</w:t>
            </w:r>
          </w:p>
        </w:tc>
        <w:tc>
          <w:tcPr>
            <w:tcW w:w="2836"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执行</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时间及要求</w:t>
            </w:r>
          </w:p>
        </w:tc>
        <w:tc>
          <w:tcPr>
            <w:tcW w:w="708"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1</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“前海工匠”培育</w:t>
            </w:r>
            <w:r>
              <w:rPr>
                <w:rFonts w:ascii="Times New Roman" w:hAnsi="Times New Roman" w:eastAsia="宋体" w:cs="Times New Roman"/>
                <w:color w:val="000000" w:themeColor="text1"/>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：完成</w:t>
            </w:r>
            <w:r>
              <w:rPr>
                <w:rFonts w:ascii="Times New Roman" w:hAnsi="Times New Roman" w:eastAsia="宋体" w:cs="Times New Roman"/>
                <w:color w:val="000000" w:themeColor="text1"/>
                <w:sz w:val="24"/>
                <w:szCs w:val="24"/>
                <w:highlight w:val="none"/>
                <w14:textFill>
                  <w14:solidFill>
                    <w14:schemeClr w14:val="tx1"/>
                  </w14:solidFill>
                </w14:textFill>
              </w:rPr>
              <w:t>累计不少于</w:t>
            </w:r>
            <w:r>
              <w:rPr>
                <w:rFonts w:hint="eastAsia" w:ascii="Times New Roman" w:hAnsi="Times New Roman" w:eastAsia="宋体" w:cs="Times New Roman"/>
                <w:color w:val="000000" w:themeColor="text1"/>
                <w:sz w:val="24"/>
                <w:szCs w:val="24"/>
                <w:highlight w:val="none"/>
                <w14:textFill>
                  <w14:solidFill>
                    <w14:schemeClr w14:val="tx1"/>
                  </w14:solidFill>
                </w14:textFill>
              </w:rPr>
              <w:t>1</w:t>
            </w:r>
            <w:r>
              <w:rPr>
                <w:rFonts w:hint="default" w:cs="Times New Roman"/>
                <w:color w:val="000000" w:themeColor="text1"/>
                <w:sz w:val="24"/>
                <w:szCs w:val="24"/>
                <w:highlight w:val="none"/>
                <w14:textFill>
                  <w14:solidFill>
                    <w14:schemeClr w14:val="tx1"/>
                  </w14:solidFill>
                </w14:textFill>
              </w:rPr>
              <w:t>6</w:t>
            </w:r>
            <w:r>
              <w:rPr>
                <w:rFonts w:ascii="Times New Roman" w:hAnsi="Times New Roman" w:eastAsia="宋体" w:cs="Times New Roman"/>
                <w:color w:val="000000" w:themeColor="text1"/>
                <w:sz w:val="24"/>
                <w:szCs w:val="24"/>
                <w:highlight w:val="none"/>
                <w14:textFill>
                  <w14:solidFill>
                    <w14:schemeClr w14:val="tx1"/>
                  </w14:solidFill>
                </w14:textFill>
              </w:rPr>
              <w:t>场的专业技能现场操作课程，其中包</w:t>
            </w:r>
            <w:r>
              <w:rPr>
                <w:rFonts w:ascii="宋体" w:hAnsi="宋体" w:eastAsia="宋体" w:cs="Times New Roman"/>
                <w:color w:val="000000" w:themeColor="text1"/>
                <w:sz w:val="24"/>
                <w:szCs w:val="24"/>
                <w:highlight w:val="none"/>
                <w14:textFill>
                  <w14:solidFill>
                    <w14:schemeClr w14:val="tx1"/>
                  </w14:solidFill>
                </w14:textFill>
              </w:rPr>
              <w:t>括“技能比武”环节</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培育</w:t>
            </w:r>
            <w:r>
              <w:rPr>
                <w:rFonts w:ascii="Times New Roman" w:hAnsi="Times New Roman" w:eastAsia="宋体" w:cs="Times New Roman"/>
                <w:color w:val="000000" w:themeColor="text1"/>
                <w:sz w:val="24"/>
                <w:szCs w:val="24"/>
                <w:highlight w:val="none"/>
                <w14:textFill>
                  <w14:solidFill>
                    <w14:schemeClr w14:val="tx1"/>
                  </w14:solidFill>
                </w14:textFill>
              </w:rPr>
              <w:t>对象为各项目施工单位技术工人</w:t>
            </w:r>
          </w:p>
        </w:tc>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4</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7</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9</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月，具体</w:t>
            </w:r>
            <w:r>
              <w:rPr>
                <w:rFonts w:ascii="Times New Roman" w:hAnsi="Times New Roman" w:eastAsia="宋体" w:cs="Times New Roman"/>
                <w:color w:val="000000" w:themeColor="text1"/>
                <w:spacing w:val="6"/>
                <w:sz w:val="24"/>
                <w:szCs w:val="24"/>
                <w:highlight w:val="none"/>
                <w14:textFill>
                  <w14:solidFill>
                    <w14:schemeClr w14:val="tx1"/>
                  </w14:solidFill>
                </w14:textFill>
              </w:rPr>
              <w:t>按甲方要求开展，报送甲方不少于</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64</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人的</w:t>
            </w:r>
            <w:r>
              <w:rPr>
                <w:rFonts w:ascii="Times New Roman" w:hAnsi="Times New Roman" w:eastAsia="宋体" w:cs="Times New Roman"/>
                <w:color w:val="000000" w:themeColor="text1"/>
                <w:spacing w:val="6"/>
                <w:sz w:val="24"/>
                <w:szCs w:val="24"/>
                <w:highlight w:val="none"/>
                <w14:textFill>
                  <w14:solidFill>
                    <w14:schemeClr w14:val="tx1"/>
                  </w14:solidFill>
                </w14:textFill>
              </w:rPr>
              <w:t>《“前海工匠”种子名单》</w:t>
            </w:r>
          </w:p>
        </w:tc>
        <w:tc>
          <w:tcPr>
            <w:tcW w:w="708"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pacing w:val="6"/>
                <w:sz w:val="24"/>
                <w:szCs w:val="24"/>
                <w:highlight w:val="none"/>
                <w14:textFill>
                  <w14:solidFill>
                    <w14:schemeClr w14:val="tx1"/>
                  </w14:solidFill>
                </w14:textFill>
              </w:rPr>
              <w:t>“前海工匠”评选</w:t>
            </w:r>
            <w:r>
              <w:rPr>
                <w:rFonts w:ascii="宋体" w:hAnsi="宋体" w:cs="Times New Roman"/>
                <w:color w:val="000000" w:themeColor="text1"/>
                <w:spacing w:val="6"/>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：完成包括</w:t>
            </w:r>
            <w:r>
              <w:rPr>
                <w:rFonts w:cs="Times New Roman"/>
                <w:color w:val="000000" w:themeColor="text1"/>
                <w:spacing w:val="6"/>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方案的拟定、策划、场地的准备和布置、参评工人的资格审定、评委选任、评选的现场组织等工作，形成正式评比成果</w:t>
            </w:r>
          </w:p>
        </w:tc>
        <w:tc>
          <w:tcPr>
            <w:tcW w:w="28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202</w:t>
            </w:r>
            <w:r>
              <w:rPr>
                <w:rFonts w:hint="eastAsia" w:cs="Times New Roman"/>
                <w:color w:val="000000" w:themeColor="text1"/>
                <w:spacing w:val="6"/>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10-</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月，具体</w:t>
            </w:r>
            <w:r>
              <w:rPr>
                <w:rFonts w:ascii="Times New Roman" w:hAnsi="Times New Roman" w:eastAsia="宋体" w:cs="Times New Roman"/>
                <w:color w:val="000000" w:themeColor="text1"/>
                <w:spacing w:val="6"/>
                <w:sz w:val="24"/>
                <w:szCs w:val="24"/>
                <w:highlight w:val="none"/>
                <w14:textFill>
                  <w14:solidFill>
                    <w14:schemeClr w14:val="tx1"/>
                  </w14:solidFill>
                </w14:textFill>
              </w:rPr>
              <w:t>按甲方要求开展，提报甲方《“前海工匠”</w:t>
            </w:r>
            <w:r>
              <w:rPr>
                <w:rFonts w:cs="Times New Roman"/>
                <w:color w:val="000000" w:themeColor="text1"/>
                <w:spacing w:val="6"/>
                <w:sz w:val="24"/>
                <w:szCs w:val="24"/>
                <w:highlight w:val="none"/>
                <w14:textFill>
                  <w14:solidFill>
                    <w14:schemeClr w14:val="tx1"/>
                  </w14:solidFill>
                </w14:textFill>
              </w:rPr>
              <w:t>培育</w:t>
            </w:r>
            <w:r>
              <w:rPr>
                <w:rFonts w:ascii="Times New Roman" w:hAnsi="Times New Roman" w:eastAsia="宋体" w:cs="Times New Roman"/>
                <w:color w:val="000000" w:themeColor="text1"/>
                <w:spacing w:val="6"/>
                <w:sz w:val="24"/>
                <w:szCs w:val="24"/>
                <w:highlight w:val="none"/>
                <w14:textFill>
                  <w14:solidFill>
                    <w14:schemeClr w14:val="tx1"/>
                  </w14:solidFill>
                </w14:textFill>
              </w:rPr>
              <w:t>报告》</w:t>
            </w:r>
          </w:p>
        </w:tc>
        <w:tc>
          <w:tcPr>
            <w:tcW w:w="708" w:type="dxa"/>
            <w:noWrap w:val="0"/>
            <w:vAlign w:val="center"/>
          </w:tcPr>
          <w:p>
            <w:pPr>
              <w:spacing w:line="360" w:lineRule="auto"/>
              <w:ind w:firstLine="480" w:firstLineChars="200"/>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bl>
    <w:p>
      <w:pPr>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br w:type="page"/>
      </w:r>
    </w:p>
    <w:p>
      <w:pPr>
        <w:spacing w:line="360" w:lineRule="auto"/>
        <w:ind w:firstLine="480" w:firstLineChars="20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（三）成果格式</w:t>
      </w:r>
    </w:p>
    <w:p>
      <w:pPr>
        <w:spacing w:line="360" w:lineRule="auto"/>
        <w:ind w:firstLine="480" w:firstLineChars="20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1.本项目成果包括《“前海工匠”种子名单》及《“前海工匠”</w:t>
      </w:r>
      <w:r>
        <w:rPr>
          <w:rFonts w:cs="Times New Roman"/>
          <w:bCs/>
          <w:color w:val="000000" w:themeColor="text1"/>
          <w:sz w:val="24"/>
          <w:szCs w:val="24"/>
          <w:highlight w:val="none"/>
          <w14:textFill>
            <w14:solidFill>
              <w14:schemeClr w14:val="tx1"/>
            </w14:solidFill>
          </w14:textFill>
        </w:rPr>
        <w:t>培育</w:t>
      </w:r>
      <w:r>
        <w:rPr>
          <w:rFonts w:ascii="Times New Roman" w:hAnsi="Times New Roman" w:eastAsia="宋体" w:cs="Times New Roman"/>
          <w:bCs/>
          <w:color w:val="000000" w:themeColor="text1"/>
          <w:sz w:val="24"/>
          <w:szCs w:val="24"/>
          <w:highlight w:val="none"/>
          <w14:textFill>
            <w14:solidFill>
              <w14:schemeClr w14:val="tx1"/>
            </w14:solidFill>
          </w14:textFill>
        </w:rPr>
        <w:t>报告》，纸质材料（含文本及附图），A4尺寸装订成册（实际数量以业主需求为准）；</w:t>
      </w:r>
    </w:p>
    <w:p>
      <w:pPr>
        <w:spacing w:line="360" w:lineRule="auto"/>
        <w:ind w:firstLine="480" w:firstLineChars="20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2.电子文件：文本</w:t>
      </w:r>
      <w:r>
        <w:rPr>
          <w:rFonts w:hint="eastAsia" w:ascii="Times New Roman" w:hAnsi="Times New Roman" w:eastAsia="宋体" w:cs="Times New Roman"/>
          <w:bCs/>
          <w:color w:val="000000" w:themeColor="text1"/>
          <w:sz w:val="24"/>
          <w:szCs w:val="24"/>
          <w:highlight w:val="none"/>
          <w14:textFill>
            <w14:solidFill>
              <w14:schemeClr w14:val="tx1"/>
            </w14:solidFill>
          </w14:textFill>
        </w:rPr>
        <w:t>、</w:t>
      </w:r>
      <w:r>
        <w:rPr>
          <w:rFonts w:ascii="Times New Roman" w:hAnsi="Times New Roman" w:eastAsia="宋体" w:cs="Times New Roman"/>
          <w:bCs/>
          <w:color w:val="000000" w:themeColor="text1"/>
          <w:sz w:val="24"/>
          <w:szCs w:val="24"/>
          <w:highlight w:val="none"/>
          <w14:textFill>
            <w14:solidFill>
              <w14:schemeClr w14:val="tx1"/>
            </w14:solidFill>
          </w14:textFill>
        </w:rPr>
        <w:t>附图和多媒体成果，光盘2套。（注：文本为DOC格式文件，效果图为JPG格式文件）。</w:t>
      </w:r>
    </w:p>
    <w:p>
      <w:pPr>
        <w:pStyle w:val="24"/>
        <w:ind w:left="0" w:leftChars="0" w:firstLine="0" w:firstLineChars="0"/>
        <w:rPr>
          <w:rFonts w:hint="default" w:ascii="Times New Roman" w:hAnsi="Times New Roman" w:eastAsia="宋体" w:cs="Times New Roman"/>
          <w:b w:val="0"/>
          <w:bCs w:val="0"/>
          <w:sz w:val="24"/>
          <w:szCs w:val="24"/>
          <w:highlight w:val="none"/>
          <w:lang w:val="en-US" w:eastAsia="zh-CN"/>
        </w:rPr>
      </w:pPr>
    </w:p>
    <w:p>
      <w:pPr>
        <w:pStyle w:val="24"/>
        <w:ind w:firstLine="482"/>
        <w:rPr>
          <w:highlight w:val="none"/>
        </w:rPr>
      </w:pPr>
      <w:r>
        <w:rPr>
          <w:rFonts w:hint="eastAsia"/>
          <w:b/>
          <w:bCs/>
          <w:sz w:val="24"/>
          <w:szCs w:val="24"/>
          <w:highlight w:val="none"/>
          <w:lang w:val="en-US" w:eastAsia="zh-CN"/>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w:t>
      </w:r>
      <w:r>
        <w:rPr>
          <w:rFonts w:hint="eastAsia" w:ascii="宋体" w:hAnsi="宋体" w:cs="宋体"/>
          <w:b/>
          <w:bCs/>
          <w:color w:val="000000" w:themeColor="text1"/>
          <w:kern w:val="0"/>
          <w:sz w:val="24"/>
          <w:szCs w:val="24"/>
          <w14:textFill>
            <w14:solidFill>
              <w14:schemeClr w14:val="tx1"/>
            </w14:solidFill>
          </w14:textFill>
        </w:rPr>
        <w:t>及后续服务</w:t>
      </w:r>
    </w:p>
    <w:p>
      <w:pPr>
        <w:pStyle w:val="24"/>
        <w:ind w:firstLine="482"/>
        <w:rPr>
          <w:rFonts w:hint="eastAsia" w:ascii="宋体" w:hAnsi="宋体" w:cs="宋体"/>
          <w:sz w:val="24"/>
          <w:highlight w:val="none"/>
        </w:rPr>
      </w:pPr>
      <w:r>
        <w:rPr>
          <w:rFonts w:hint="eastAsia" w:ascii="宋体" w:hAnsi="宋体" w:cs="宋体"/>
          <w:sz w:val="24"/>
          <w:highlight w:val="none"/>
        </w:rPr>
        <w:t>1.服务期限</w:t>
      </w:r>
    </w:p>
    <w:p>
      <w:pPr>
        <w:pStyle w:val="24"/>
        <w:ind w:firstLine="482"/>
        <w:rPr>
          <w:rFonts w:hint="eastAsia" w:ascii="宋体" w:hAnsi="宋体" w:cs="宋体"/>
          <w:sz w:val="24"/>
          <w:highlight w:val="none"/>
        </w:rPr>
      </w:pPr>
      <w:r>
        <w:rPr>
          <w:rFonts w:hint="eastAsia" w:ascii="宋体" w:hAnsi="宋体" w:cs="宋体"/>
          <w:sz w:val="24"/>
          <w:highlight w:val="none"/>
        </w:rPr>
        <w:t>项目服务期限：自签订合同之日起</w:t>
      </w:r>
      <w:r>
        <w:rPr>
          <w:rFonts w:hint="eastAsia" w:ascii="宋体" w:hAnsi="宋体" w:cs="宋体"/>
          <w:sz w:val="24"/>
          <w:highlight w:val="none"/>
          <w:lang w:val="en-US" w:eastAsia="zh-CN"/>
        </w:rPr>
        <w:t>至</w:t>
      </w:r>
      <w:r>
        <w:rPr>
          <w:rFonts w:hint="eastAsia" w:ascii="宋体" w:hAnsi="宋体" w:cs="宋体"/>
          <w:sz w:val="24"/>
          <w:highlight w:val="none"/>
        </w:rPr>
        <w:t>2024年12月31日，2024年9月30日前提交《“前海工匠”种子名单》，2024年11月30日之前提交《“前海工匠”</w:t>
      </w:r>
      <w:r>
        <w:rPr>
          <w:rFonts w:hint="default" w:ascii="宋体" w:hAnsi="宋体" w:cs="宋体"/>
          <w:sz w:val="24"/>
          <w:highlight w:val="none"/>
        </w:rPr>
        <w:t>培育</w:t>
      </w:r>
      <w:r>
        <w:rPr>
          <w:rFonts w:hint="eastAsia" w:ascii="宋体" w:hAnsi="宋体" w:cs="宋体"/>
          <w:sz w:val="24"/>
          <w:highlight w:val="none"/>
        </w:rPr>
        <w:t>报告》。</w:t>
      </w:r>
    </w:p>
    <w:p>
      <w:pPr>
        <w:pStyle w:val="24"/>
        <w:ind w:firstLine="482"/>
        <w:rPr>
          <w:rFonts w:hint="eastAsia" w:ascii="宋体" w:hAnsi="宋体" w:cs="宋体"/>
          <w:sz w:val="24"/>
          <w:highlight w:val="none"/>
        </w:rPr>
      </w:pPr>
      <w:r>
        <w:rPr>
          <w:rFonts w:hint="eastAsia" w:ascii="宋体" w:hAnsi="宋体" w:cs="宋体"/>
          <w:sz w:val="24"/>
          <w:highlight w:val="none"/>
        </w:rPr>
        <w:t>2.后续服务</w:t>
      </w:r>
    </w:p>
    <w:p>
      <w:pPr>
        <w:pStyle w:val="24"/>
        <w:ind w:firstLine="482"/>
        <w:rPr>
          <w:highlight w:val="none"/>
        </w:rPr>
      </w:pPr>
      <w:r>
        <w:rPr>
          <w:rFonts w:hint="eastAsia" w:ascii="宋体" w:hAnsi="宋体" w:cs="宋体"/>
          <w:sz w:val="24"/>
          <w:highlight w:val="none"/>
        </w:rPr>
        <w:t>项目售后服务期限自最终成果通过甲方审查之日起的1年内，服务期内乙方应向甲方提供后续的专业技术支持与咨询服务，并协助甲方完成各种后续审计、评估等工作。</w:t>
      </w:r>
    </w:p>
    <w:p>
      <w:pPr>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第三条   </w:t>
      </w:r>
      <w:r>
        <w:rPr>
          <w:rFonts w:hint="eastAsia" w:ascii="宋体" w:hAnsi="宋体" w:cs="宋体"/>
          <w:b/>
          <w:bCs/>
          <w:color w:val="000000" w:themeColor="text1"/>
          <w:sz w:val="24"/>
          <w:szCs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highlight w:val="none"/>
        </w:rPr>
      </w:pPr>
      <w:r>
        <w:rPr>
          <w:rFonts w:hint="eastAsia" w:hAnsi="宋体" w:cs="宋体"/>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Ansi="宋体" w:cs="宋体"/>
          <w:sz w:val="24"/>
          <w:highlight w:val="none"/>
        </w:rPr>
      </w:pPr>
      <w:r>
        <w:rPr>
          <w:rFonts w:hint="eastAsia" w:hAnsi="宋体" w:cs="宋体"/>
          <w:sz w:val="24"/>
          <w:highlight w:val="none"/>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四</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各方的权利义务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14:textFill>
            <w14:solidFill>
              <w14:schemeClr w14:val="tx1"/>
            </w14:solidFill>
          </w14:textFill>
        </w:rPr>
        <w:t>（包括工匠培育、评选</w:t>
      </w:r>
      <w:r>
        <w:rPr>
          <w:rFonts w:ascii="Times New Roman" w:hAnsi="Times New Roman" w:eastAsia="宋体" w:cs="Times New Roman"/>
          <w:color w:val="000000" w:themeColor="text1"/>
          <w:sz w:val="24"/>
          <w:szCs w:val="24"/>
          <w14:textFill>
            <w14:solidFill>
              <w14:schemeClr w14:val="tx1"/>
            </w14:solidFill>
          </w14:textFill>
        </w:rPr>
        <w:t>工作</w:t>
      </w:r>
      <w:r>
        <w:rPr>
          <w:rFonts w:cs="Times New Roman"/>
          <w:color w:val="000000" w:themeColor="text1"/>
          <w:sz w:val="24"/>
          <w:szCs w:val="24"/>
          <w14:textFill>
            <w14:solidFill>
              <w14:schemeClr w14:val="tx1"/>
            </w14:solidFill>
          </w14:textFill>
        </w:rPr>
        <w:t>等</w:t>
      </w:r>
      <w:r>
        <w:rPr>
          <w:rFonts w:hint="eastAsia" w:ascii="Times New Roman" w:hAnsi="Times New Roman" w:eastAsia="宋体" w:cs="Times New Roman"/>
          <w:color w:val="000000" w:themeColor="text1"/>
          <w:sz w:val="24"/>
          <w:szCs w:val="24"/>
          <w14:textFill>
            <w14:solidFill>
              <w14:schemeClr w14:val="tx1"/>
            </w14:solidFill>
          </w14:textFill>
        </w:rPr>
        <w:t>）进行</w:t>
      </w:r>
      <w:r>
        <w:rPr>
          <w:rFonts w:ascii="Times New Roman" w:hAnsi="Times New Roman" w:eastAsia="宋体" w:cs="Times New Roman"/>
          <w:color w:val="000000" w:themeColor="text1"/>
          <w:sz w:val="24"/>
          <w:szCs w:val="24"/>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14:textFill>
            <w14:solidFill>
              <w14:schemeClr w14:val="tx1"/>
            </w14:solidFill>
          </w14:textFill>
        </w:rPr>
        <w:t>项目成果</w:t>
      </w:r>
      <w:r>
        <w:rPr>
          <w:rFonts w:ascii="Times New Roman" w:hAnsi="Times New Roman" w:eastAsia="宋体" w:cs="Times New Roman"/>
          <w:color w:val="000000" w:themeColor="text1"/>
          <w:sz w:val="24"/>
          <w:szCs w:val="24"/>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5.如乙方所提供的服务</w:t>
      </w:r>
      <w:r>
        <w:rPr>
          <w:rFonts w:hint="eastAsia" w:ascii="Times New Roman" w:hAnsi="Times New Roman" w:eastAsia="宋体" w:cs="Times New Roman"/>
          <w:color w:val="000000" w:themeColor="text1"/>
          <w:sz w:val="24"/>
          <w:szCs w:val="24"/>
          <w14:textFill>
            <w14:solidFill>
              <w14:schemeClr w14:val="tx1"/>
            </w14:solidFill>
          </w14:textFill>
        </w:rPr>
        <w:t>（包括技能工匠培育、评选</w:t>
      </w:r>
      <w:r>
        <w:rPr>
          <w:rFonts w:ascii="Times New Roman" w:hAnsi="Times New Roman" w:eastAsia="宋体" w:cs="Times New Roman"/>
          <w:color w:val="000000" w:themeColor="text1"/>
          <w:sz w:val="24"/>
          <w:szCs w:val="24"/>
          <w14:textFill>
            <w14:solidFill>
              <w14:schemeClr w14:val="tx1"/>
            </w14:solidFill>
          </w14:textFill>
        </w:rPr>
        <w:t>工作</w:t>
      </w:r>
      <w:r>
        <w:rPr>
          <w:rFonts w:cs="Times New Roman"/>
          <w:color w:val="000000" w:themeColor="text1"/>
          <w:sz w:val="24"/>
          <w:szCs w:val="24"/>
          <w14:textFill>
            <w14:solidFill>
              <w14:schemeClr w14:val="tx1"/>
            </w14:solidFill>
          </w14:textFill>
        </w:rPr>
        <w:t>等</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、最终成果报告</w:t>
      </w:r>
      <w:r>
        <w:rPr>
          <w:rFonts w:hint="eastAsia" w:ascii="Times New Roman" w:hAnsi="Times New Roman" w:eastAsia="宋体" w:cs="Times New Roman"/>
          <w:color w:val="000000" w:themeColor="text1"/>
          <w:sz w:val="24"/>
          <w:szCs w:val="24"/>
          <w14:textFill>
            <w14:solidFill>
              <w14:schemeClr w14:val="tx1"/>
            </w14:solidFill>
          </w14:textFill>
        </w:rPr>
        <w:t>等</w:t>
      </w:r>
      <w:r>
        <w:rPr>
          <w:rFonts w:ascii="Times New Roman" w:hAnsi="Times New Roman" w:eastAsia="宋体" w:cs="Times New Roman"/>
          <w:color w:val="000000" w:themeColor="text1"/>
          <w:sz w:val="24"/>
          <w:szCs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default" w:ascii="Times New Roman" w:hAnsi="Times New Roman" w:eastAsia="宋体" w:cs="Times New Roman"/>
          <w:color w:val="000000" w:themeColor="text1"/>
          <w:sz w:val="24"/>
          <w:szCs w:val="24"/>
          <w14:textFill>
            <w14:solidFill>
              <w14:schemeClr w14:val="tx1"/>
            </w14:solidFill>
          </w14:textFill>
        </w:rPr>
        <w:t>肖偲</w:t>
      </w:r>
    </w:p>
    <w:p>
      <w:pPr>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14:textFill>
            <w14:solidFill>
              <w14:schemeClr w14:val="tx1"/>
            </w14:solidFill>
          </w14:textFill>
        </w:rPr>
        <w:t>0755-</w:t>
      </w:r>
      <w:r>
        <w:rPr>
          <w:rFonts w:ascii="Times New Roman" w:hAnsi="Times New Roman" w:eastAsia="宋体" w:cs="Times New Roman"/>
          <w:color w:val="000000" w:themeColor="text1"/>
          <w:sz w:val="24"/>
          <w:szCs w:val="24"/>
          <w14:textFill>
            <w14:solidFill>
              <w14:schemeClr w14:val="tx1"/>
            </w14:solidFill>
          </w14:textFill>
        </w:rPr>
        <w:t>8810520</w:t>
      </w:r>
      <w:r>
        <w:rPr>
          <w:rFonts w:hint="default" w:cs="Times New Roman"/>
          <w:color w:val="000000" w:themeColor="text1"/>
          <w:sz w:val="24"/>
          <w:szCs w:val="24"/>
          <w14:textFill>
            <w14:solidFill>
              <w14:schemeClr w14:val="tx1"/>
            </w14:solidFill>
          </w14:textFill>
        </w:rPr>
        <w:t>3</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（二）乙方的权利义务</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.乙方所提供的建议、请示、报告和通知均应采用书面形式</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.乙方不得接受</w:t>
      </w:r>
      <w:r>
        <w:rPr>
          <w:rFonts w:hint="eastAsia" w:ascii="Times New Roman" w:hAnsi="Times New Roman" w:eastAsia="宋体" w:cs="Times New Roman"/>
          <w:color w:val="000000" w:themeColor="text1"/>
          <w:sz w:val="24"/>
          <w:szCs w:val="24"/>
          <w14:textFill>
            <w14:solidFill>
              <w14:schemeClr w14:val="tx1"/>
            </w14:solidFill>
          </w14:textFill>
        </w:rPr>
        <w:t>参加培育与评选的单位</w:t>
      </w:r>
      <w:r>
        <w:rPr>
          <w:rFonts w:ascii="Times New Roman" w:hAnsi="Times New Roman" w:eastAsia="宋体" w:cs="Times New Roman"/>
          <w:color w:val="000000" w:themeColor="text1"/>
          <w:sz w:val="24"/>
          <w:szCs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.乙方应及时完成各项工作，并充分考虑甲方评审所需时间要求。</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.乙方应充分协调内部资源，保证工作质量。</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7．乙方应接受甲方对工作进展的询问、监督和指导，严格按本合同约定的内容、标准和期限完成项目工作，并向甲方提交</w:t>
      </w:r>
      <w:r>
        <w:rPr>
          <w:rFonts w:ascii="Times New Roman" w:hAnsi="Times New Roman" w:eastAsia="宋体" w:cs="Times New Roman"/>
          <w:bCs/>
          <w:color w:val="000000" w:themeColor="text1"/>
          <w:sz w:val="24"/>
          <w:szCs w:val="24"/>
          <w14:textFill>
            <w14:solidFill>
              <w14:schemeClr w14:val="tx1"/>
            </w14:solidFill>
          </w14:textFill>
        </w:rPr>
        <w:t>《“前海工匠”种子名单》及《“前海工匠”</w:t>
      </w:r>
      <w:r>
        <w:rPr>
          <w:rFonts w:cs="Times New Roman"/>
          <w:bCs/>
          <w:color w:val="000000" w:themeColor="text1"/>
          <w:sz w:val="24"/>
          <w:szCs w:val="24"/>
          <w14:textFill>
            <w14:solidFill>
              <w14:schemeClr w14:val="tx1"/>
            </w14:solidFill>
          </w14:textFill>
        </w:rPr>
        <w:t>培育</w:t>
      </w:r>
      <w:r>
        <w:rPr>
          <w:rFonts w:ascii="Times New Roman" w:hAnsi="Times New Roman" w:eastAsia="宋体" w:cs="Times New Roman"/>
          <w:bCs/>
          <w:color w:val="000000" w:themeColor="text1"/>
          <w:sz w:val="24"/>
          <w:szCs w:val="24"/>
          <w14:textFill>
            <w14:solidFill>
              <w14:schemeClr w14:val="tx1"/>
            </w14:solidFill>
          </w14:textFill>
        </w:rPr>
        <w:t>报告》</w:t>
      </w:r>
      <w:r>
        <w:rPr>
          <w:rFonts w:ascii="Times New Roman" w:hAnsi="Times New Roman" w:eastAsia="宋体" w:cs="Times New Roman"/>
          <w:color w:val="000000" w:themeColor="text1"/>
          <w:sz w:val="24"/>
          <w:szCs w:val="24"/>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8.乙方应采取必要措施配合甲方验收人员的工作</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15.乙方指定项目联系人：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姓名：</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s="宋体"/>
          <w:b/>
          <w:bCs/>
          <w:sz w:val="24"/>
          <w:highlight w:val="none"/>
        </w:rPr>
      </w:pPr>
      <w:r>
        <w:rPr>
          <w:rFonts w:ascii="Times New Roman" w:hAnsi="Times New Roman" w:eastAsia="宋体" w:cs="Times New Roman"/>
          <w:color w:val="000000" w:themeColor="text1"/>
          <w:sz w:val="24"/>
          <w:szCs w:val="24"/>
          <w14:textFill>
            <w14:solidFill>
              <w14:schemeClr w14:val="tx1"/>
            </w14:solidFill>
          </w14:textFill>
        </w:rPr>
        <w:t>联系方式：</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人员要求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拟任</w:t>
            </w:r>
            <w:r>
              <w:rPr>
                <w:rFonts w:ascii="宋体" w:hAnsi="宋体" w:cs="宋体"/>
                <w:color w:val="000000" w:themeColor="text1"/>
                <w:sz w:val="24"/>
                <w:szCs w:val="24"/>
                <w14:textFill>
                  <w14:solidFill>
                    <w14:schemeClr w14:val="tx1"/>
                  </w14:solidFill>
                </w14:textFill>
              </w:rPr>
              <w:t>团队</w:t>
            </w:r>
            <w:r>
              <w:rPr>
                <w:rFonts w:hint="eastAsia" w:ascii="宋体" w:hAnsi="宋体" w:cs="宋体"/>
                <w:color w:val="000000" w:themeColor="text1"/>
                <w:sz w:val="24"/>
                <w:szCs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r>
    </w:tbl>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1.参加本项目编制的人员配置若需调整需经甲方</w:t>
      </w:r>
      <w:r>
        <w:rPr>
          <w:rFonts w:ascii="宋体" w:hAnsi="宋体" w:cs="宋体"/>
          <w:color w:val="000000" w:themeColor="text1"/>
          <w:sz w:val="24"/>
          <w:szCs w:val="24"/>
          <w14:textFill>
            <w14:solidFill>
              <w14:schemeClr w14:val="tx1"/>
            </w14:solidFill>
          </w14:textFill>
        </w:rPr>
        <w:t>书面</w:t>
      </w:r>
      <w:r>
        <w:rPr>
          <w:rFonts w:hint="eastAsia" w:ascii="宋体" w:hAnsi="宋体" w:cs="宋体"/>
          <w:color w:val="000000" w:themeColor="text1"/>
          <w:sz w:val="24"/>
          <w:szCs w:val="24"/>
          <w14:textFill>
            <w14:solidFill>
              <w14:schemeClr w14:val="tx1"/>
            </w14:solidFill>
          </w14:textFill>
        </w:rPr>
        <w:t>同意后，方可变更。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2.必须以乙方直属人员</w:t>
      </w:r>
      <w:r>
        <w:rPr>
          <w:rFonts w:ascii="宋体" w:hAnsi="宋体" w:cs="宋体"/>
          <w:color w:val="000000" w:themeColor="text1"/>
          <w:sz w:val="24"/>
          <w:szCs w:val="24"/>
          <w14:textFill>
            <w14:solidFill>
              <w14:schemeClr w14:val="tx1"/>
            </w14:solidFill>
          </w14:textFill>
        </w:rPr>
        <w:t>（直属人员指</w:t>
      </w:r>
      <w:r>
        <w:rPr>
          <w:rFonts w:hint="eastAsia" w:ascii="宋体" w:hAnsi="宋体" w:cs="宋体"/>
          <w:color w:val="000000" w:themeColor="text1"/>
          <w:sz w:val="24"/>
          <w:szCs w:val="24"/>
          <w14:textFill>
            <w14:solidFill>
              <w14:schemeClr w14:val="tx1"/>
            </w14:solidFill>
          </w14:textFill>
        </w:rPr>
        <w:t>劳动合同、社会保险等劳动关系</w:t>
      </w:r>
      <w:r>
        <w:rPr>
          <w:rFonts w:ascii="宋体" w:hAnsi="宋体" w:cs="宋体"/>
          <w:color w:val="000000" w:themeColor="text1"/>
          <w:sz w:val="24"/>
          <w:szCs w:val="24"/>
          <w14:textFill>
            <w14:solidFill>
              <w14:schemeClr w14:val="tx1"/>
            </w14:solidFill>
          </w14:textFill>
        </w:rPr>
        <w:t>在乙方</w:t>
      </w:r>
      <w:r>
        <w:rPr>
          <w:rFonts w:ascii="宋体" w:hAnsi="宋体" w:eastAsia="宋体" w:cs="宋体"/>
          <w:color w:val="000000" w:themeColor="text1"/>
          <w:sz w:val="24"/>
          <w:szCs w:val="24"/>
          <w14:textFill>
            <w14:solidFill>
              <w14:schemeClr w14:val="tx1"/>
            </w14:solidFill>
          </w14:textFill>
        </w:rPr>
        <w:t>的人员）</w:t>
      </w:r>
      <w:r>
        <w:rPr>
          <w:rFonts w:hint="eastAsia" w:ascii="宋体" w:hAnsi="宋体" w:eastAsia="宋体" w:cs="宋体"/>
          <w:color w:val="000000" w:themeColor="text1"/>
          <w:sz w:val="24"/>
          <w:szCs w:val="24"/>
          <w14:textFill>
            <w14:solidFill>
              <w14:schemeClr w14:val="tx1"/>
            </w14:solidFill>
          </w14:textFill>
        </w:rPr>
        <w:t>参与本项目服务，不得使用挂靠队伍。</w:t>
      </w:r>
    </w:p>
    <w:p>
      <w:pPr>
        <w:spacing w:line="360" w:lineRule="auto"/>
        <w:ind w:firstLine="480" w:firstLineChars="200"/>
        <w:rPr>
          <w:rFonts w:ascii="宋体" w:hAnsi="宋体" w:cs="宋体"/>
          <w:sz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项目团队成员不少于6人（含1名项目负责人）</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default" w:ascii="宋体" w:hAnsi="宋体" w:cs="宋体"/>
          <w:b/>
          <w:bCs/>
          <w:sz w:val="24"/>
          <w:highlight w:val="none"/>
        </w:rPr>
        <w:t>第</w:t>
      </w:r>
      <w:r>
        <w:rPr>
          <w:rFonts w:hint="default" w:ascii="宋体" w:hAnsi="宋体" w:eastAsia="宋体" w:cs="宋体"/>
          <w:b/>
          <w:bCs/>
          <w:sz w:val="24"/>
          <w:highlight w:val="none"/>
          <w:lang w:val="en-US" w:eastAsia="zh-CN"/>
        </w:rPr>
        <w:t>六</w:t>
      </w:r>
      <w:r>
        <w:rPr>
          <w:rFonts w:hint="default"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成果权属与知识产权</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6"/>
        <w:spacing w:line="360" w:lineRule="auto"/>
        <w:ind w:firstLine="480" w:firstLineChars="200"/>
        <w:rPr>
          <w:rFonts w:ascii="宋体" w:hAnsi="宋体" w:cs="宋体"/>
          <w:sz w:val="24"/>
          <w:highlight w:val="none"/>
        </w:rPr>
      </w:pPr>
      <w:r>
        <w:rPr>
          <w:rFonts w:hint="eastAsia" w:ascii="宋体" w:hAnsi="宋体" w:cs="宋体"/>
          <w:color w:val="000000" w:themeColor="text1"/>
          <w:sz w:val="24"/>
          <w:szCs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3" w:name="_Toc216520223"/>
      <w:r>
        <w:rPr>
          <w:rFonts w:hint="eastAsia" w:ascii="宋体" w:hAnsi="宋体" w:cs="宋体"/>
          <w:color w:val="000000" w:themeColor="text1"/>
          <w:sz w:val="24"/>
          <w:szCs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bookmarkStart w:id="14" w:name="_Toc216520224"/>
      <w:r>
        <w:rPr>
          <w:rFonts w:hint="eastAsia" w:ascii="宋体" w:hAnsi="宋体" w:cs="宋体"/>
          <w:color w:val="000000" w:themeColor="text1"/>
          <w:sz w:val="24"/>
          <w:szCs w:val="24"/>
          <w14:textFill>
            <w14:solidFill>
              <w14:schemeClr w14:val="tx1"/>
            </w14:solidFill>
          </w14:textFill>
        </w:rPr>
        <w:t>5</w:t>
      </w:r>
      <w:bookmarkEnd w:id="14"/>
      <w:bookmarkStart w:id="15" w:name="_Toc216520226"/>
      <w:r>
        <w:rPr>
          <w:rFonts w:hint="eastAsia" w:ascii="宋体" w:hAnsi="宋体" w:cs="宋体"/>
          <w:color w:val="000000" w:themeColor="text1"/>
          <w:sz w:val="24"/>
          <w:szCs w:val="24"/>
          <w14:textFill>
            <w14:solidFill>
              <w14:schemeClr w14:val="tx1"/>
            </w14:solidFill>
          </w14:textFill>
        </w:rPr>
        <w:t>.上述保密义务不适用以下情况：</w:t>
      </w:r>
      <w:bookmarkEnd w:id="15"/>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验收方式</w:t>
      </w:r>
    </w:p>
    <w:p>
      <w:pPr>
        <w:pStyle w:val="24"/>
        <w:spacing w:line="360" w:lineRule="auto"/>
        <w:ind w:firstLine="480"/>
        <w:rPr>
          <w:rFonts w:ascii="宋体" w:hAnsi="宋体" w:cs="宋体"/>
          <w:sz w:val="24"/>
          <w:szCs w:val="24"/>
          <w:highlight w:val="none"/>
        </w:rPr>
      </w:pPr>
      <w:r>
        <w:rPr>
          <w:rFonts w:hint="eastAsia" w:ascii="宋体" w:hAnsi="宋体" w:cs="宋体"/>
          <w:color w:val="000000" w:themeColor="text1"/>
          <w:sz w:val="24"/>
          <w:szCs w:val="24"/>
          <w14:textFill>
            <w14:solidFill>
              <w14:schemeClr w14:val="tx1"/>
            </w14:solidFill>
          </w14:textFill>
        </w:rPr>
        <w:t>项目最终成果验收合格的标志为通过</w:t>
      </w:r>
      <w:r>
        <w:rPr>
          <w:rFonts w:hint="eastAsia" w:ascii="宋体" w:hAnsi="宋体" w:cs="宋体"/>
          <w:color w:val="000000" w:themeColor="text1"/>
          <w:sz w:val="24"/>
          <w:szCs w:val="24"/>
          <w:lang w:val="en-US" w:eastAsia="zh-CN"/>
          <w14:textFill>
            <w14:solidFill>
              <w14:schemeClr w14:val="tx1"/>
            </w14:solidFill>
          </w14:textFill>
        </w:rPr>
        <w:t>甲方</w:t>
      </w:r>
      <w:r>
        <w:rPr>
          <w:rFonts w:hint="eastAsia" w:ascii="宋体" w:hAnsi="宋体" w:cs="宋体"/>
          <w:color w:val="000000" w:themeColor="text1"/>
          <w:sz w:val="24"/>
          <w:szCs w:val="24"/>
          <w14:textFill>
            <w14:solidFill>
              <w14:schemeClr w14:val="tx1"/>
            </w14:solidFill>
          </w14:textFill>
        </w:rPr>
        <w:t>验收</w:t>
      </w:r>
      <w:r>
        <w:rPr>
          <w:rFonts w:hint="eastAsia" w:ascii="宋体" w:hAnsi="宋体" w:cs="宋体"/>
          <w:sz w:val="24"/>
          <w:szCs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项目服务费用及付款方式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cs="Times New Roman"/>
          <w:color w:val="000000" w:themeColor="text1"/>
          <w:sz w:val="24"/>
          <w:szCs w:val="24"/>
          <w:highlight w:val="none"/>
          <w:u w:val="single"/>
          <w14:textFill>
            <w14:solidFill>
              <w14:schemeClr w14:val="tx1"/>
            </w14:solidFill>
          </w14:textFill>
        </w:rPr>
        <w:t>XXXX</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。服务费</w:t>
      </w:r>
      <w:r>
        <w:rPr>
          <w:rFonts w:hint="eastAsia" w:ascii="宋体" w:hAnsi="宋体" w:cs="宋体"/>
          <w:color w:val="000000" w:themeColor="text1"/>
          <w:sz w:val="24"/>
          <w:lang w:eastAsia="zh-CN"/>
          <w14:textFill>
            <w14:solidFill>
              <w14:schemeClr w14:val="tx1"/>
            </w14:solidFill>
          </w14:textFill>
        </w:rPr>
        <w:t>包括但不限于培训费、组织费、场地费用、宣传费、资料费、税金、人员费用、差旅费、后续服务等所有费用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合同价款由甲方分3期付至乙方指定银行账户：</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乙方报送“前海工匠”培育</w:t>
      </w:r>
      <w:r>
        <w:rPr>
          <w:rFonts w:hint="default" w:cs="Times New Roman"/>
          <w:color w:val="000000" w:themeColor="text1"/>
          <w:sz w:val="24"/>
          <w:szCs w:val="24"/>
          <w:highlight w:val="none"/>
          <w14:textFill>
            <w14:solidFill>
              <w14:schemeClr w14:val="tx1"/>
            </w14:solidFill>
          </w14:textFill>
        </w:rPr>
        <w:t>工作</w:t>
      </w:r>
      <w:r>
        <w:rPr>
          <w:rFonts w:hint="eastAsia" w:ascii="Times New Roman" w:hAnsi="Times New Roman" w:eastAsia="宋体" w:cs="Times New Roman"/>
          <w:color w:val="000000" w:themeColor="text1"/>
          <w:sz w:val="24"/>
          <w:szCs w:val="24"/>
          <w:highlight w:val="none"/>
          <w14:textFill>
            <w14:solidFill>
              <w14:schemeClr w14:val="tx1"/>
            </w14:solidFill>
          </w14:textFill>
        </w:rPr>
        <w:t>方案获批后，根据乙方提出的付款申请，支付合同价款的</w:t>
      </w:r>
      <w:r>
        <w:rPr>
          <w:rFonts w:hint="default" w:cs="Times New Roman"/>
          <w:color w:val="000000" w:themeColor="text1"/>
          <w:sz w:val="24"/>
          <w:szCs w:val="24"/>
          <w:highlight w:val="none"/>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%（人民币：，￥）作为项目启动费用；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w:t>
      </w:r>
      <w:r>
        <w:rPr>
          <w:rFonts w:hint="default" w:cs="Times New Roman"/>
          <w:color w:val="000000" w:themeColor="text1"/>
          <w:sz w:val="24"/>
          <w:szCs w:val="24"/>
          <w:highlight w:val="none"/>
          <w14:textFill>
            <w14:solidFill>
              <w14:schemeClr w14:val="tx1"/>
            </w14:solidFill>
          </w14:textFill>
        </w:rPr>
        <w:t>培训</w:t>
      </w:r>
      <w:r>
        <w:rPr>
          <w:rFonts w:hint="eastAsia" w:ascii="Times New Roman" w:hAnsi="Times New Roman" w:eastAsia="宋体" w:cs="Times New Roman"/>
          <w:color w:val="000000" w:themeColor="text1"/>
          <w:sz w:val="24"/>
          <w:szCs w:val="24"/>
          <w:highlight w:val="none"/>
          <w14:textFill>
            <w14:solidFill>
              <w14:schemeClr w14:val="tx1"/>
            </w14:solidFill>
          </w14:textFill>
        </w:rPr>
        <w:t>工作，提交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r>
        <w:rPr>
          <w:rFonts w:hint="eastAsia" w:ascii="Times New Roman" w:hAnsi="Times New Roman" w:eastAsia="宋体" w:cs="Times New Roman"/>
          <w:color w:val="000000" w:themeColor="text1"/>
          <w:sz w:val="24"/>
          <w:szCs w:val="24"/>
          <w:highlight w:val="none"/>
          <w14:textFill>
            <w14:solidFill>
              <w14:schemeClr w14:val="tx1"/>
            </w14:solidFill>
          </w14:textFill>
        </w:rPr>
        <w:t>，经甲方审核合格后，根据</w:t>
      </w:r>
      <w:r>
        <w:rPr>
          <w:rFonts w:ascii="Times New Roman" w:hAnsi="Times New Roman" w:eastAsia="宋体" w:cs="Times New Roman"/>
          <w:color w:val="000000" w:themeColor="text1"/>
          <w:sz w:val="24"/>
          <w:szCs w:val="24"/>
          <w:highlight w:val="none"/>
          <w14:textFill>
            <w14:solidFill>
              <w14:schemeClr w14:val="tx1"/>
            </w14:solidFill>
          </w14:textFill>
        </w:rPr>
        <w:t>乙方提出的付款申请，支付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合同价款的</w:t>
      </w:r>
      <w:r>
        <w:rPr>
          <w:rFonts w:hint="default" w:cs="Times New Roman"/>
          <w:color w:val="000000" w:themeColor="text1"/>
          <w:sz w:val="24"/>
          <w:szCs w:val="24"/>
          <w:highlight w:val="none"/>
          <w14:textFill>
            <w14:solidFill>
              <w14:schemeClr w14:val="tx1"/>
            </w14:solidFill>
          </w14:textFill>
        </w:rPr>
        <w:t>4</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%（人民币：，￥）；</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完成“前海工匠”评选工作，提交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w:t>
      </w:r>
      <w:r>
        <w:rPr>
          <w:rFonts w:cs="Times New Roman"/>
          <w:bCs/>
          <w:color w:val="000000" w:themeColor="text1"/>
          <w:sz w:val="24"/>
          <w:szCs w:val="24"/>
          <w:highlight w:val="none"/>
          <w14:textFill>
            <w14:solidFill>
              <w14:schemeClr w14:val="tx1"/>
            </w14:solidFill>
          </w14:textFill>
        </w:rPr>
        <w:t>培育</w:t>
      </w:r>
      <w:r>
        <w:rPr>
          <w:rFonts w:ascii="Times New Roman" w:hAnsi="Times New Roman" w:eastAsia="宋体" w:cs="Times New Roman"/>
          <w:bCs/>
          <w:color w:val="000000" w:themeColor="text1"/>
          <w:sz w:val="24"/>
          <w:szCs w:val="24"/>
          <w:highlight w:val="none"/>
          <w14:textFill>
            <w14:solidFill>
              <w14:schemeClr w14:val="tx1"/>
            </w14:solidFill>
          </w14:textFill>
        </w:rPr>
        <w:t>报告》</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经甲方审核合格后，根据</w:t>
      </w:r>
      <w:r>
        <w:rPr>
          <w:rFonts w:ascii="Times New Roman" w:hAnsi="Times New Roman" w:eastAsia="宋体" w:cs="Times New Roman"/>
          <w:color w:val="000000" w:themeColor="text1"/>
          <w:sz w:val="24"/>
          <w:szCs w:val="24"/>
          <w:highlight w:val="none"/>
          <w14:textFill>
            <w14:solidFill>
              <w14:schemeClr w14:val="tx1"/>
            </w14:solidFill>
          </w14:textFill>
        </w:rPr>
        <w:t>乙方提出的付款申请，支付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剩余全部合同价款（人民币：，￥）。</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本合同执行中相关的一切税费均由乙方承担。</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第十条  </w:t>
      </w:r>
      <w:r>
        <w:rPr>
          <w:rFonts w:hint="eastAsia" w:ascii="宋体" w:hAnsi="宋体" w:cs="宋体"/>
          <w:b/>
          <w:bCs/>
          <w:color w:val="000000" w:themeColor="text1"/>
          <w:sz w:val="24"/>
          <w:szCs w:val="24"/>
          <w14:textFill>
            <w14:solidFill>
              <w14:schemeClr w14:val="tx1"/>
            </w14:solidFill>
          </w14:textFill>
        </w:rPr>
        <w:t>合同提前终止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w:t>
      </w:r>
      <w:r>
        <w:rPr>
          <w:rFonts w:hint="eastAsia" w:ascii="Times New Roman" w:hAnsi="Times New Roman" w:eastAsia="宋体" w:cs="Times New Roman"/>
          <w:color w:val="000000" w:themeColor="text1"/>
          <w:sz w:val="24"/>
          <w:szCs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sz w:val="24"/>
          <w:highlight w:val="none"/>
        </w:rPr>
      </w:pPr>
      <w:r>
        <w:rPr>
          <w:rFonts w:ascii="Times New Roman" w:hAnsi="Times New Roman" w:eastAsia="宋体" w:cs="Times New Roman"/>
          <w:color w:val="000000" w:themeColor="text1"/>
          <w:sz w:val="24"/>
          <w:szCs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一</w:t>
      </w:r>
      <w:r>
        <w:rPr>
          <w:rFonts w:hint="eastAsia" w:ascii="宋体" w:hAnsi="宋体" w:cs="宋体"/>
          <w:b/>
          <w:bCs/>
          <w:sz w:val="24"/>
          <w:highlight w:val="none"/>
        </w:rPr>
        <w:t xml:space="preserve">条  </w:t>
      </w:r>
      <w:r>
        <w:rPr>
          <w:rFonts w:hint="eastAsia" w:ascii="宋体" w:hAnsi="宋体" w:cs="宋体"/>
          <w:b/>
          <w:bCs/>
          <w:color w:val="000000" w:themeColor="text1"/>
          <w:sz w:val="24"/>
          <w:szCs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highlight w:val="none"/>
        </w:rPr>
      </w:pPr>
      <w:r>
        <w:rPr>
          <w:rFonts w:hint="eastAsia" w:ascii="宋体" w:hAnsi="宋体" w:cs="宋体"/>
          <w:color w:val="000000" w:themeColor="text1"/>
          <w:sz w:val="24"/>
          <w:szCs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eastAsia="宋体" w:cs="宋体"/>
          <w:sz w:val="24"/>
          <w:highlight w:val="none"/>
        </w:rPr>
        <w:t>。</w:t>
      </w:r>
    </w:p>
    <w:p>
      <w:pPr>
        <w:numPr>
          <w:ilvl w:val="0"/>
          <w:numId w:val="8"/>
        </w:num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 xml:space="preserve"> </w:t>
      </w:r>
      <w:r>
        <w:rPr>
          <w:rFonts w:hint="eastAsia" w:ascii="宋体" w:hAnsi="宋体" w:cs="宋体"/>
          <w:b/>
          <w:bCs/>
          <w:color w:val="000000" w:themeColor="text1"/>
          <w:sz w:val="24"/>
          <w:szCs w:val="24"/>
          <w14:textFill>
            <w14:solidFill>
              <w14:schemeClr w14:val="tx1"/>
            </w14:solidFill>
          </w14:textFill>
        </w:rPr>
        <w:t>项目变更</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pStyle w:val="6"/>
        <w:ind w:firstLine="480" w:firstLineChars="200"/>
        <w:rPr>
          <w:rFonts w:hint="eastAsia"/>
        </w:rPr>
      </w:pPr>
      <w:r>
        <w:rPr>
          <w:rFonts w:ascii="Times New Roman" w:hAnsi="Times New Roman" w:eastAsia="宋体" w:cs="Times New Roman"/>
          <w:color w:val="000000" w:themeColor="text1"/>
          <w:sz w:val="24"/>
          <w:szCs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numPr>
          <w:ilvl w:val="0"/>
          <w:numId w:val="8"/>
        </w:numPr>
        <w:spacing w:line="360" w:lineRule="auto"/>
        <w:ind w:firstLine="482" w:firstLineChars="200"/>
        <w:rPr>
          <w:rFonts w:ascii="宋体" w:hAnsi="宋体" w:cs="宋体"/>
          <w:b/>
          <w:bCs/>
          <w:sz w:val="24"/>
          <w:highlight w:val="none"/>
        </w:rPr>
      </w:pPr>
      <w:r>
        <w:rPr>
          <w:rFonts w:hint="eastAsia" w:ascii="宋体" w:hAnsi="宋体" w:cs="宋体"/>
          <w:b/>
          <w:bCs/>
          <w:color w:val="000000" w:themeColor="text1"/>
          <w:sz w:val="24"/>
          <w:szCs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szCs w:val="24"/>
          <w14:textFill>
            <w14:solidFill>
              <w14:schemeClr w14:val="tx1"/>
            </w14:solidFill>
          </w14:textFill>
        </w:rPr>
        <w:t>乙方应完全地按照【</w:t>
      </w:r>
      <w:r>
        <w:rPr>
          <w:rFonts w:hint="default" w:ascii="宋体" w:hAnsi="宋体" w:cs="宋体"/>
          <w:color w:val="000000" w:themeColor="text1"/>
          <w:sz w:val="24"/>
          <w:szCs w:val="24"/>
          <w:lang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】号招标文件的要求和乙方投标文件的承诺完成本项目，出于自身财务、技术、人力等原因导致项目失败的，应承担全部责任。</w:t>
      </w:r>
    </w:p>
    <w:p>
      <w:pPr>
        <w:numPr>
          <w:ilvl w:val="0"/>
          <w:numId w:val="8"/>
        </w:numPr>
        <w:spacing w:line="360" w:lineRule="auto"/>
        <w:ind w:firstLine="482" w:firstLineChars="200"/>
        <w:rPr>
          <w:rFonts w:ascii="宋体" w:hAnsi="宋体" w:cs="宋体"/>
          <w:b/>
          <w:bCs/>
          <w:sz w:val="24"/>
          <w:highlight w:val="none"/>
        </w:rPr>
      </w:pPr>
      <w:r>
        <w:rPr>
          <w:rFonts w:hint="eastAsia" w:ascii="宋体" w:hAnsi="宋体" w:cs="宋体"/>
          <w:b/>
          <w:bCs/>
          <w:color w:val="000000" w:themeColor="text1"/>
          <w:sz w:val="24"/>
          <w:szCs w:val="24"/>
          <w14:textFill>
            <w14:solidFill>
              <w14:schemeClr w14:val="tx1"/>
            </w14:solidFill>
          </w14:textFill>
        </w:rPr>
        <w:t>违约责任</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（二）本合同履行期间，发生下述情形时，甲方有权解除本合同，乙方除应退还甲方已支付的全部款项外, 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1.乙方未能按合同约定的日期(含协商延缓的日期)完成</w:t>
      </w:r>
      <w:r>
        <w:rPr>
          <w:rFonts w:hint="eastAsia" w:ascii="Times New Roman" w:hAnsi="Times New Roman" w:eastAsia="宋体" w:cs="Times New Roman"/>
          <w:color w:val="000000" w:themeColor="text1"/>
          <w:sz w:val="24"/>
          <w:szCs w:val="24"/>
          <w14:textFill>
            <w14:solidFill>
              <w14:schemeClr w14:val="tx1"/>
            </w14:solidFill>
          </w14:textFill>
        </w:rPr>
        <w:t>经甲方审核通过的</w:t>
      </w:r>
      <w:r>
        <w:rPr>
          <w:rFonts w:ascii="Times New Roman" w:hAnsi="Times New Roman" w:eastAsia="宋体" w:cs="Times New Roman"/>
          <w:bCs/>
          <w:color w:val="000000" w:themeColor="text1"/>
          <w:sz w:val="24"/>
          <w:szCs w:val="24"/>
          <w14:textFill>
            <w14:solidFill>
              <w14:schemeClr w14:val="tx1"/>
            </w14:solidFill>
          </w14:textFill>
        </w:rPr>
        <w:t>《“前海工匠”种子名单》及《“前海工匠”</w:t>
      </w:r>
      <w:r>
        <w:rPr>
          <w:rFonts w:cs="Times New Roman"/>
          <w:bCs/>
          <w:color w:val="000000" w:themeColor="text1"/>
          <w:sz w:val="24"/>
          <w:szCs w:val="24"/>
          <w14:textFill>
            <w14:solidFill>
              <w14:schemeClr w14:val="tx1"/>
            </w14:solidFill>
          </w14:textFill>
        </w:rPr>
        <w:t>培育</w:t>
      </w:r>
      <w:r>
        <w:rPr>
          <w:rFonts w:ascii="Times New Roman" w:hAnsi="Times New Roman" w:eastAsia="宋体" w:cs="Times New Roman"/>
          <w:bCs/>
          <w:color w:val="000000" w:themeColor="text1"/>
          <w:sz w:val="24"/>
          <w:szCs w:val="24"/>
          <w14:textFill>
            <w14:solidFill>
              <w14:schemeClr w14:val="tx1"/>
            </w14:solidFill>
          </w14:textFill>
        </w:rPr>
        <w:t>报告》</w:t>
      </w:r>
      <w:r>
        <w:rPr>
          <w:rFonts w:ascii="Times New Roman" w:hAnsi="Times New Roman" w:eastAsia="宋体" w:cs="Times New Roman"/>
          <w:color w:val="000000" w:themeColor="text1"/>
          <w:sz w:val="24"/>
          <w:szCs w:val="24"/>
          <w14:textFill>
            <w14:solidFill>
              <w14:schemeClr w14:val="tx1"/>
            </w14:solidFill>
          </w14:textFill>
        </w:rPr>
        <w:t>，延误时间超过10个工作日；</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3.乙方虽如期提报</w:t>
      </w:r>
      <w:r>
        <w:rPr>
          <w:rFonts w:hint="default" w:cs="Times New Roman"/>
          <w:color w:val="000000" w:themeColor="text1"/>
          <w:sz w:val="24"/>
          <w:szCs w:val="24"/>
          <w14:textFill>
            <w14:solidFill>
              <w14:schemeClr w14:val="tx1"/>
            </w14:solidFill>
          </w14:textFill>
        </w:rPr>
        <w:t>工作</w:t>
      </w:r>
      <w:r>
        <w:rPr>
          <w:rFonts w:hint="eastAsia" w:ascii="Times New Roman" w:hAnsi="Times New Roman" w:eastAsia="宋体" w:cs="Times New Roman"/>
          <w:color w:val="000000" w:themeColor="text1"/>
          <w:sz w:val="24"/>
          <w:szCs w:val="24"/>
          <w14:textFill>
            <w14:solidFill>
              <w14:schemeClr w14:val="tx1"/>
            </w14:solidFill>
          </w14:textFill>
        </w:rPr>
        <w:t>方案、阶段成果、</w:t>
      </w:r>
      <w:r>
        <w:rPr>
          <w:rFonts w:hint="default" w:cs="Times New Roman"/>
          <w:color w:val="000000" w:themeColor="text1"/>
          <w:sz w:val="24"/>
          <w:szCs w:val="24"/>
          <w14:textFill>
            <w14:solidFill>
              <w14:schemeClr w14:val="tx1"/>
            </w14:solidFill>
          </w14:textFill>
        </w:rPr>
        <w:t>工作</w:t>
      </w:r>
      <w:r>
        <w:rPr>
          <w:rFonts w:hint="eastAsia" w:ascii="Times New Roman" w:hAnsi="Times New Roman" w:eastAsia="宋体" w:cs="Times New Roman"/>
          <w:color w:val="000000" w:themeColor="text1"/>
          <w:sz w:val="24"/>
          <w:szCs w:val="24"/>
          <w14:textFill>
            <w14:solidFill>
              <w14:schemeClr w14:val="tx1"/>
            </w14:solidFill>
          </w14:textFill>
        </w:rPr>
        <w:t>总结</w:t>
      </w:r>
      <w:r>
        <w:rPr>
          <w:rFonts w:ascii="Times New Roman" w:hAnsi="Times New Roman" w:eastAsia="宋体" w:cs="Times New Roman"/>
          <w:color w:val="000000" w:themeColor="text1"/>
          <w:sz w:val="24"/>
          <w:szCs w:val="24"/>
          <w14:textFill>
            <w14:solidFill>
              <w14:schemeClr w14:val="tx1"/>
            </w14:solidFill>
          </w14:textFill>
        </w:rPr>
        <w:t>等总结性成果资料，但最终成果连续二次未能通过甲方验收的；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.乙方明确表示或者以自己的行为表明不履行本合同的。</w:t>
      </w:r>
    </w:p>
    <w:p>
      <w:pPr>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pStyle w:val="6"/>
      </w:pPr>
      <w:r>
        <w:rPr>
          <w:rFonts w:ascii="Times New Roman" w:hAnsi="Times New Roman" w:eastAsia="宋体" w:cs="Times New Roman"/>
          <w:color w:val="000000" w:themeColor="text1"/>
          <w:sz w:val="24"/>
          <w:szCs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ascii="Times New Roman" w:hAnsi="Times New Roman" w:eastAsia="宋体" w:cs="Times New Roman"/>
          <w:color w:val="000000" w:themeColor="text1"/>
          <w:sz w:val="24"/>
          <w:szCs w:val="24"/>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cs="Times New Roman"/>
          <w:color w:val="000000" w:themeColor="text1"/>
          <w:sz w:val="24"/>
          <w:szCs w:val="24"/>
          <w:lang w:val="en-US" w:eastAsia="zh-CN"/>
          <w14:textFill>
            <w14:solidFill>
              <w14:schemeClr w14:val="tx1"/>
            </w14:solidFill>
          </w14:textFill>
        </w:rPr>
        <w:t>。</w:t>
      </w:r>
    </w:p>
    <w:p>
      <w:pPr>
        <w:numPr>
          <w:ilvl w:val="0"/>
          <w:numId w:val="8"/>
        </w:numPr>
        <w:spacing w:line="360" w:lineRule="auto"/>
        <w:ind w:firstLine="482" w:firstLineChars="200"/>
        <w:rPr>
          <w:rFonts w:ascii="宋体" w:hAnsi="宋体" w:cs="宋体"/>
          <w:b/>
          <w:bCs/>
          <w:sz w:val="24"/>
          <w:highlight w:val="none"/>
        </w:rPr>
      </w:pPr>
      <w:r>
        <w:rPr>
          <w:rFonts w:hint="eastAsia" w:ascii="宋体" w:hAnsi="宋体" w:cs="宋体"/>
          <w:b/>
          <w:bCs/>
          <w:color w:val="000000" w:themeColor="text1"/>
          <w:sz w:val="24"/>
          <w:szCs w:val="24"/>
          <w14:textFill>
            <w14:solidFill>
              <w14:schemeClr w14:val="tx1"/>
            </w14:solidFill>
          </w14:textFill>
        </w:rPr>
        <w:t>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24"/>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4"/>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4"/>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24"/>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4"/>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24"/>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11、本合同自盖章</w:t>
      </w:r>
      <w:r>
        <w:rPr>
          <w:rFonts w:hint="eastAsia" w:ascii="宋体" w:hAnsi="宋体" w:cs="宋体"/>
          <w:sz w:val="24"/>
          <w:highlight w:val="none"/>
          <w:lang w:eastAsia="zh-CN"/>
        </w:rPr>
        <w:t>、</w:t>
      </w:r>
      <w:r>
        <w:rPr>
          <w:rFonts w:hint="eastAsia" w:ascii="宋体" w:hAnsi="宋体" w:cs="宋体"/>
          <w:sz w:val="24"/>
          <w:highlight w:val="none"/>
        </w:rPr>
        <w:t>法定代表人或其授权代表签字之日起生效，有效期至后续服务期满之日止。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adjustRightInd w:val="0"/>
        <w:snapToGrid w:val="0"/>
        <w:spacing w:line="360" w:lineRule="auto"/>
        <w:ind w:firstLine="200"/>
        <w:rPr>
          <w:rFonts w:ascii="宋体" w:hAnsi="宋体" w:cs="宋体"/>
          <w:sz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甲方（盖章）：</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日期：     年    月   日            </w:t>
      </w: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乙方（盖章）： </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法定代表人或授权代表（签字）：</w:t>
      </w:r>
    </w:p>
    <w:p>
      <w:pPr>
        <w:shd w:val="clear" w:color="auto"/>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     年    月   日</w:t>
      </w:r>
    </w:p>
    <w:p>
      <w:pPr>
        <w:shd w:val="clear" w:color="auto"/>
        <w:adjustRightInd w:val="0"/>
        <w:snapToGrid w:val="0"/>
        <w:spacing w:line="360" w:lineRule="auto"/>
        <w:rPr>
          <w:rFonts w:hint="eastAsia" w:ascii="宋体" w:hAnsi="宋体" w:cs="宋体"/>
          <w:sz w:val="24"/>
          <w:highlight w:val="none"/>
        </w:rPr>
      </w:pPr>
    </w:p>
    <w:p>
      <w:pPr>
        <w:shd w:val="clear" w:color="auto"/>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bookmarkStart w:id="16" w:name="_Toc793"/>
      <w:r>
        <w:rPr>
          <w:rFonts w:hint="eastAsia" w:ascii="宋体" w:hAnsi="宋体" w:cs="宋体"/>
          <w:b/>
          <w:bCs/>
          <w:sz w:val="24"/>
          <w:highlight w:val="none"/>
        </w:rPr>
        <w:t>用户需求书</w:t>
      </w:r>
      <w:bookmarkEnd w:id="16"/>
    </w:p>
    <w:p>
      <w:pPr>
        <w:spacing w:line="360" w:lineRule="auto"/>
        <w:ind w:firstLine="482" w:firstLineChars="200"/>
        <w:rPr>
          <w:highlight w:val="none"/>
        </w:rPr>
      </w:pPr>
      <w:bookmarkStart w:id="17" w:name="_Toc23726"/>
      <w:bookmarkStart w:id="18" w:name="_Toc11045"/>
      <w:r>
        <w:rPr>
          <w:rFonts w:hint="eastAsia" w:ascii="宋体" w:hAnsi="宋体" w:cs="宋体"/>
          <w:b/>
          <w:sz w:val="24"/>
          <w:highlight w:val="none"/>
        </w:rPr>
        <w:t>一、</w:t>
      </w:r>
      <w:bookmarkEnd w:id="17"/>
      <w:bookmarkEnd w:id="18"/>
      <w:bookmarkStart w:id="19" w:name="_Toc96337997"/>
      <w:bookmarkStart w:id="20" w:name="_Toc51746099"/>
      <w:r>
        <w:rPr>
          <w:rFonts w:hint="eastAsia" w:ascii="宋体" w:hAnsi="宋体" w:cs="宋体"/>
          <w:b/>
          <w:sz w:val="24"/>
          <w:highlight w:val="none"/>
        </w:rPr>
        <w:t>项目背景</w:t>
      </w:r>
      <w:bookmarkEnd w:id="19"/>
    </w:p>
    <w:p>
      <w:pPr>
        <w:keepNext w:val="0"/>
        <w:keepLines w:val="0"/>
        <w:spacing w:line="360" w:lineRule="auto"/>
        <w:ind w:firstLine="480" w:firstLineChars="200"/>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一）前海作为新时代改革开放国家级重大战略平台，是“特区中的特区”。认真学习习近平总书记关于质量工作的重要论述，贯彻落实《中共中央国务院关于开展质量提升行动的指导意见》《国务院办公厅关于促进建筑业持续健康发展的意见》，高质量建设前海，是践行</w:t>
      </w:r>
      <w:r>
        <w:rPr>
          <w:rFonts w:hint="eastAsia" w:cs="Times New Roman"/>
          <w:kern w:val="2"/>
          <w:sz w:val="24"/>
          <w:szCs w:val="24"/>
          <w:highlight w:val="none"/>
          <w:lang w:eastAsia="zh-CN"/>
        </w:rPr>
        <w:t>习近平总书记</w:t>
      </w:r>
      <w:r>
        <w:rPr>
          <w:rFonts w:hint="eastAsia" w:ascii="Times New Roman" w:hAnsi="Times New Roman" w:eastAsia="宋体" w:cs="Times New Roman"/>
          <w:kern w:val="2"/>
          <w:sz w:val="24"/>
          <w:szCs w:val="24"/>
          <w:highlight w:val="none"/>
          <w:lang w:eastAsia="zh-CN"/>
        </w:rPr>
        <w:t>“一张白纸画出最美最好的图画”嘱托的最好方式。</w:t>
      </w:r>
    </w:p>
    <w:p>
      <w:pPr>
        <w:keepNext w:val="0"/>
        <w:keepLines w:val="0"/>
        <w:spacing w:line="360" w:lineRule="auto"/>
        <w:ind w:firstLine="480" w:firstLineChars="200"/>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（二）为进一步落实高质量发展要求，推动前海建设工程质量品质提升，提高施工现场作业人员专业技能水平，</w:t>
      </w:r>
      <w:r>
        <w:rPr>
          <w:rFonts w:hint="eastAsia" w:cs="Times New Roman"/>
          <w:kern w:val="2"/>
          <w:sz w:val="24"/>
          <w:szCs w:val="24"/>
          <w:highlight w:val="none"/>
          <w:lang w:val="en-US" w:eastAsia="zh-CN"/>
        </w:rPr>
        <w:t>采购人</w:t>
      </w:r>
      <w:r>
        <w:rPr>
          <w:rFonts w:hint="eastAsia" w:ascii="Times New Roman" w:hAnsi="Times New Roman" w:eastAsia="宋体" w:cs="Times New Roman"/>
          <w:kern w:val="2"/>
          <w:sz w:val="24"/>
          <w:szCs w:val="24"/>
          <w:highlight w:val="none"/>
          <w:lang w:eastAsia="zh-CN"/>
        </w:rPr>
        <w:t>从2018年开始，成功举办了6届“前海工匠”培育</w:t>
      </w:r>
      <w:r>
        <w:rPr>
          <w:rFonts w:hint="default" w:cs="Times New Roman"/>
          <w:kern w:val="2"/>
          <w:sz w:val="24"/>
          <w:szCs w:val="24"/>
          <w:highlight w:val="none"/>
          <w:lang w:eastAsia="zh-CN"/>
        </w:rPr>
        <w:t>相关工作</w:t>
      </w:r>
      <w:r>
        <w:rPr>
          <w:rFonts w:hint="eastAsia" w:ascii="Times New Roman" w:hAnsi="Times New Roman" w:eastAsia="宋体" w:cs="Times New Roman"/>
          <w:kern w:val="2"/>
          <w:sz w:val="24"/>
          <w:szCs w:val="24"/>
          <w:highlight w:val="none"/>
          <w:lang w:eastAsia="zh-CN"/>
        </w:rPr>
        <w:t>，得到了各相关单位的高度认可和大力支持，累计一线工人参加培育约2005人次,选拔“工匠种子”约334人次，在营造争先创优、比学赶超的势头和氛围方面发挥了积极作用。</w:t>
      </w:r>
    </w:p>
    <w:p>
      <w:pPr>
        <w:keepNext w:val="0"/>
        <w:keepLines w:val="0"/>
        <w:spacing w:line="360" w:lineRule="auto"/>
        <w:ind w:firstLine="480" w:firstLineChars="200"/>
        <w:rPr>
          <w:rFonts w:hint="eastAsia" w:eastAsia="宋体"/>
          <w:kern w:val="2"/>
          <w:sz w:val="24"/>
          <w:szCs w:val="24"/>
          <w:highlight w:val="none"/>
          <w:lang w:val="en-US" w:eastAsia="zh-CN"/>
        </w:rPr>
      </w:pPr>
      <w:r>
        <w:rPr>
          <w:rFonts w:hint="eastAsia" w:ascii="Times New Roman" w:hAnsi="Times New Roman" w:eastAsia="宋体" w:cs="Times New Roman"/>
          <w:kern w:val="2"/>
          <w:sz w:val="24"/>
          <w:szCs w:val="24"/>
          <w:highlight w:val="none"/>
          <w:lang w:eastAsia="zh-CN"/>
        </w:rPr>
        <w:t>（三）开展“前海工匠”培育项目，通过针对施工一线技术人员开展劳动专业技能培育，按照评优推先的方式，选出专业技能高超、操作水平突出的一线技术工人，并授予“前海工匠”荣誉称号，积极引导合作区内在建项目培育精益求精、优中更优的质量精神和质量文化，督促和引导前海建设领域全面贯彻新发展理念，坚定不移走高质量发展之路，有必要继续开展“前海工匠”培育</w:t>
      </w:r>
      <w:r>
        <w:rPr>
          <w:rFonts w:hint="default" w:cs="Times New Roman"/>
          <w:kern w:val="2"/>
          <w:sz w:val="24"/>
          <w:szCs w:val="24"/>
          <w:highlight w:val="none"/>
          <w:lang w:eastAsia="zh-CN"/>
        </w:rPr>
        <w:t>工作</w:t>
      </w:r>
      <w:r>
        <w:rPr>
          <w:rFonts w:hint="eastAsia" w:ascii="Times New Roman" w:hAnsi="Times New Roman" w:eastAsia="宋体" w:cs="Times New Roman"/>
          <w:kern w:val="2"/>
          <w:sz w:val="24"/>
          <w:szCs w:val="24"/>
          <w:highlight w:val="none"/>
          <w:lang w:eastAsia="zh-CN"/>
        </w:rPr>
        <w:t>。</w:t>
      </w:r>
    </w:p>
    <w:p>
      <w:pPr>
        <w:pStyle w:val="35"/>
        <w:tabs>
          <w:tab w:val="left" w:pos="720"/>
        </w:tabs>
        <w:autoSpaceDE w:val="0"/>
        <w:autoSpaceDN w:val="0"/>
        <w:adjustRightInd w:val="0"/>
        <w:spacing w:line="360" w:lineRule="auto"/>
        <w:ind w:right="17" w:firstLine="489"/>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二、工作目标</w:t>
      </w:r>
    </w:p>
    <w:bookmarkEnd w:id="20"/>
    <w:p>
      <w:pPr>
        <w:pStyle w:val="25"/>
        <w:tabs>
          <w:tab w:val="left" w:pos="720"/>
        </w:tabs>
        <w:autoSpaceDE w:val="0"/>
        <w:autoSpaceDN w:val="0"/>
        <w:adjustRightInd w:val="0"/>
        <w:spacing w:line="360" w:lineRule="auto"/>
        <w:ind w:right="17" w:firstLine="482"/>
        <w:jc w:val="left"/>
        <w:outlineLvl w:val="1"/>
        <w:rPr>
          <w:rFonts w:hint="eastAsia" w:ascii="Times New Roman" w:hAnsi="Times New Roman" w:cs="Times New Roman"/>
          <w:b w:val="0"/>
          <w:bCs w:val="0"/>
          <w:sz w:val="24"/>
          <w:highlight w:val="none"/>
          <w:lang w:val="en-US" w:eastAsia="zh-CN"/>
        </w:rPr>
      </w:pPr>
      <w:r>
        <w:rPr>
          <w:rFonts w:hint="eastAsia" w:ascii="宋体" w:hAnsi="宋体" w:eastAsia="宋体" w:cs="宋体"/>
          <w:sz w:val="24"/>
          <w:szCs w:val="24"/>
          <w:highlight w:val="none"/>
        </w:rPr>
        <w:t>本项目旨在通过针对一线技术人员开展劳动专业技能培训，大力弘扬“精雕细琢、精耕细作”工匠文化，发挥优秀技能人才的示范引领作用，营造建设工程前海质量品牌氛围，为确保前海新城建设提供有力保障。</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r>
        <w:rPr>
          <w:rFonts w:hint="eastAsia" w:ascii="宋体" w:hAnsi="宋体" w:cs="宋体"/>
          <w:b/>
          <w:sz w:val="24"/>
          <w:highlight w:val="none"/>
          <w:lang w:val="en-US" w:eastAsia="zh-CN"/>
        </w:rPr>
        <w:t>三</w:t>
      </w:r>
      <w:r>
        <w:rPr>
          <w:rFonts w:hint="eastAsia" w:ascii="宋体" w:hAnsi="宋体" w:cs="宋体"/>
          <w:b/>
          <w:sz w:val="24"/>
          <w:highlight w:val="none"/>
        </w:rPr>
        <w:t>、</w:t>
      </w:r>
      <w:r>
        <w:rPr>
          <w:rFonts w:hint="eastAsia" w:ascii="宋体" w:hAnsi="宋体" w:cs="宋体"/>
          <w:b/>
          <w:bCs/>
          <w:color w:val="000000" w:themeColor="text1"/>
          <w:sz w:val="24"/>
          <w14:textFill>
            <w14:solidFill>
              <w14:schemeClr w14:val="tx1"/>
            </w14:solidFill>
          </w14:textFill>
        </w:rPr>
        <w:t>项目</w:t>
      </w:r>
      <w:r>
        <w:rPr>
          <w:rFonts w:hint="eastAsia" w:ascii="宋体" w:hAnsi="宋体" w:cs="宋体"/>
          <w:b/>
          <w:bCs/>
          <w:color w:val="000000" w:themeColor="text1"/>
          <w:sz w:val="24"/>
          <w:lang w:val="en-US" w:eastAsia="zh-CN"/>
          <w14:textFill>
            <w14:solidFill>
              <w14:schemeClr w14:val="tx1"/>
            </w14:solidFill>
          </w14:textFill>
        </w:rPr>
        <w:t>范围</w:t>
      </w:r>
    </w:p>
    <w:p>
      <w:pPr>
        <w:pStyle w:val="25"/>
        <w:tabs>
          <w:tab w:val="left" w:pos="720"/>
        </w:tabs>
        <w:autoSpaceDE w:val="0"/>
        <w:autoSpaceDN w:val="0"/>
        <w:adjustRightInd w:val="0"/>
        <w:spacing w:line="360" w:lineRule="auto"/>
        <w:ind w:right="17" w:firstLine="482"/>
        <w:jc w:val="left"/>
        <w:outlineLvl w:val="1"/>
        <w:rPr>
          <w:rFonts w:hint="eastAsia" w:ascii="宋体" w:hAnsi="宋体" w:cs="宋体"/>
          <w:b/>
          <w:sz w:val="24"/>
          <w:highlight w:val="none"/>
        </w:rPr>
      </w:pPr>
      <w:r>
        <w:rPr>
          <w:rFonts w:hint="eastAsia" w:ascii="宋体" w:hAnsi="宋体" w:cs="宋体"/>
          <w:color w:val="000000" w:themeColor="text1"/>
          <w:sz w:val="24"/>
          <w14:textFill>
            <w14:solidFill>
              <w14:schemeClr w14:val="tx1"/>
            </w14:solidFill>
          </w14:textFill>
        </w:rPr>
        <w:t>本项目面向前海合作区内所有在建项目（202</w:t>
      </w:r>
      <w:r>
        <w:rPr>
          <w:rFonts w:hint="default"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default"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月为</w:t>
      </w:r>
      <w:r>
        <w:rPr>
          <w:rFonts w:hint="default" w:ascii="宋体" w:hAnsi="宋体" w:cs="宋体"/>
          <w:color w:val="000000" w:themeColor="text1"/>
          <w:sz w:val="24"/>
          <w14:textFill>
            <w14:solidFill>
              <w14:schemeClr w14:val="tx1"/>
            </w14:solidFill>
          </w14:textFill>
        </w:rPr>
        <w:t>254</w:t>
      </w:r>
      <w:r>
        <w:rPr>
          <w:rFonts w:hint="eastAsia" w:ascii="宋体" w:hAnsi="宋体" w:cs="宋体"/>
          <w:color w:val="000000" w:themeColor="text1"/>
          <w:sz w:val="24"/>
          <w14:textFill>
            <w14:solidFill>
              <w14:schemeClr w14:val="tx1"/>
            </w14:solidFill>
          </w14:textFill>
        </w:rPr>
        <w:t>个，据实变动）一线技术工人，分专业开展以实操为主的专业技能培育，主要包括8个施工作业工种：木工、镶贴工、电工、钢筋工、焊工、塔吊司机、架子工、测量工。各工种报名人数基于各项目实际情况确定，预计约培育200人次。</w:t>
      </w:r>
    </w:p>
    <w:p>
      <w:pPr>
        <w:pStyle w:val="25"/>
        <w:numPr>
          <w:ilvl w:val="0"/>
          <w:numId w:val="9"/>
        </w:numPr>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项目内容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（一）主要内容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1.技能培育授课人员安排</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应按</w:t>
      </w:r>
      <w:r>
        <w:rPr>
          <w:rFonts w:hint="eastAsia" w:ascii="宋体" w:hAnsi="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要求安排不少于8名专家</w:t>
      </w:r>
      <w:r>
        <w:rPr>
          <w:rFonts w:hint="default" w:ascii="宋体" w:hAnsi="宋体" w:cs="宋体"/>
          <w:color w:val="000000" w:themeColor="text1"/>
          <w:sz w:val="24"/>
          <w:szCs w:val="24"/>
          <w14:textFill>
            <w14:solidFill>
              <w14:schemeClr w14:val="tx1"/>
            </w14:solidFill>
          </w14:textFill>
        </w:rPr>
        <w:t>（含不少于2名香港专家）</w:t>
      </w:r>
      <w:r>
        <w:rPr>
          <w:rFonts w:hint="eastAsia" w:ascii="宋体" w:hAnsi="宋体" w:eastAsia="宋体" w:cs="宋体"/>
          <w:color w:val="000000" w:themeColor="text1"/>
          <w:sz w:val="24"/>
          <w:szCs w:val="24"/>
          <w14:textFill>
            <w14:solidFill>
              <w14:schemeClr w14:val="tx1"/>
            </w14:solidFill>
          </w14:textFill>
        </w:rPr>
        <w:t>（包括木工、镶贴工、电工、钢筋工、焊工、塔吊司机、架子工、测量工等专业工种，每专业不少于1名专家）开展培育与评选，专家应持有高级技工及以上职业资格证书或具有高级工程师职称</w:t>
      </w:r>
      <w:r>
        <w:rPr>
          <w:rFonts w:hint="default" w:ascii="宋体" w:hAnsi="宋体" w:cs="宋体"/>
          <w:color w:val="000000" w:themeColor="text1"/>
          <w:sz w:val="24"/>
          <w:szCs w:val="24"/>
          <w14:textFill>
            <w14:solidFill>
              <w14:schemeClr w14:val="tx1"/>
            </w14:solidFill>
          </w14:textFill>
        </w:rPr>
        <w:t>（香港专家具有相应资质）</w:t>
      </w:r>
      <w:r>
        <w:rPr>
          <w:rFonts w:hint="eastAsia" w:ascii="宋体" w:hAnsi="宋体" w:eastAsia="宋体" w:cs="宋体"/>
          <w:color w:val="000000" w:themeColor="text1"/>
          <w:sz w:val="24"/>
          <w:szCs w:val="24"/>
          <w14:textFill>
            <w14:solidFill>
              <w14:schemeClr w14:val="tx1"/>
            </w14:solidFill>
          </w14:textFill>
        </w:rPr>
        <w:t>，具有5年及以上工作经验。拟安排人员名单在</w:t>
      </w:r>
      <w:r>
        <w:rPr>
          <w:rFonts w:hint="eastAsia" w:ascii="宋体" w:hAnsi="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确认后如需更换，</w:t>
      </w:r>
      <w:r>
        <w:rPr>
          <w:rFonts w:hint="eastAsia" w:ascii="宋体" w:hAnsi="宋体" w:cs="宋体"/>
          <w:color w:val="000000" w:themeColor="text1"/>
          <w:sz w:val="24"/>
          <w:szCs w:val="24"/>
          <w:lang w:val="en-US"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应事先征得</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的同意，且接替的工作人员的职位、资历、资质应与原定工作人员相当。</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2.工作内容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（1）“前海工匠”培育工作</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“前海工匠”培育工作，分专业开展以实操为主的技能指导，指导方式应以现场演示操作过程为主，且课程设置每专业不应少于2次，累计不少于1</w:t>
      </w:r>
      <w:r>
        <w:rPr>
          <w:rFonts w:hint="default" w:ascii="宋体" w:hAnsi="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场，培育对象为各项目施工单位技术工人，累计培育不少于200人次，并设置“技能比武”环节，现场考核参加评选的技术工人实操水平，选出态度端正、操作规范、具有潜质的优秀学员，名单报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审核，结合项目推荐择优遴选，选出“工匠种子”</w:t>
      </w:r>
      <w:r>
        <w:rPr>
          <w:rFonts w:hint="default" w:ascii="宋体" w:hAnsi="宋体" w:cs="宋体"/>
          <w:color w:val="000000" w:themeColor="text1"/>
          <w:sz w:val="24"/>
          <w:szCs w:val="24"/>
          <w14:textFill>
            <w14:solidFill>
              <w14:schemeClr w14:val="tx1"/>
            </w14:solidFill>
          </w14:textFill>
        </w:rPr>
        <w:t>不少于80</w:t>
      </w:r>
      <w:r>
        <w:rPr>
          <w:rFonts w:hint="eastAsia" w:ascii="宋体" w:hAnsi="宋体" w:eastAsia="宋体" w:cs="宋体"/>
          <w:color w:val="000000" w:themeColor="text1"/>
          <w:sz w:val="24"/>
          <w:szCs w:val="24"/>
          <w14:textFill>
            <w14:solidFill>
              <w14:schemeClr w14:val="tx1"/>
            </w14:solidFill>
          </w14:textFill>
        </w:rPr>
        <w:t>人，</w:t>
      </w:r>
      <w:r>
        <w:rPr>
          <w:rFonts w:hint="default" w:ascii="宋体" w:hAnsi="宋体" w:cs="宋体"/>
          <w:color w:val="000000" w:themeColor="text1"/>
          <w:sz w:val="24"/>
          <w:szCs w:val="24"/>
          <w14:textFill>
            <w14:solidFill>
              <w14:schemeClr w14:val="tx1"/>
            </w14:solidFill>
          </w14:textFill>
        </w:rPr>
        <w:t>各工种不少于10</w:t>
      </w:r>
      <w:r>
        <w:rPr>
          <w:rFonts w:hint="eastAsia" w:ascii="宋体" w:hAnsi="宋体" w:eastAsia="宋体" w:cs="宋体"/>
          <w:color w:val="000000" w:themeColor="text1"/>
          <w:sz w:val="24"/>
          <w:szCs w:val="24"/>
          <w14:textFill>
            <w14:solidFill>
              <w14:schemeClr w14:val="tx1"/>
            </w14:solidFill>
          </w14:textFill>
        </w:rPr>
        <w:t>人，进行重点培养。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（2）“前海工匠”评选工作</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在组织开展旨在提升一线技术工人操作水平的“前海工匠”培育工作后，为验收工匠培育工作成果，弘扬“精雕细琢、精耕细作”精神，拟</w:t>
      </w:r>
      <w:r>
        <w:rPr>
          <w:rFonts w:hint="default" w:ascii="宋体" w:hAnsi="宋体" w:cs="宋体"/>
          <w:color w:val="000000" w:themeColor="text1"/>
          <w:sz w:val="24"/>
          <w:szCs w:val="24"/>
          <w14:textFill>
            <w14:solidFill>
              <w14:schemeClr w14:val="tx1"/>
            </w14:solidFill>
          </w14:textFill>
        </w:rPr>
        <w:t>开展</w:t>
      </w:r>
      <w:r>
        <w:rPr>
          <w:rFonts w:hint="eastAsia" w:ascii="宋体" w:hAnsi="宋体" w:eastAsia="宋体" w:cs="宋体"/>
          <w:color w:val="000000" w:themeColor="text1"/>
          <w:sz w:val="24"/>
          <w:szCs w:val="24"/>
          <w14:textFill>
            <w14:solidFill>
              <w14:schemeClr w14:val="tx1"/>
            </w14:solidFill>
          </w14:textFill>
        </w:rPr>
        <w:t>年度“前海工匠”评选</w:t>
      </w:r>
      <w:r>
        <w:rPr>
          <w:rFonts w:hint="default" w:ascii="宋体" w:hAnsi="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。以评优推先的方式选出专业技能高超、操作水平突出的一线技术工人，在合作区内营造精益求精、追求卓越的良好氛围，打造前海质量品牌，进一步推动前海建设工程质量品质的提升。</w:t>
      </w:r>
    </w:p>
    <w:p>
      <w:pPr>
        <w:pStyle w:val="25"/>
        <w:numPr>
          <w:ilvl w:val="0"/>
          <w:numId w:val="0"/>
        </w:numPr>
        <w:tabs>
          <w:tab w:val="left" w:pos="720"/>
        </w:tabs>
        <w:autoSpaceDE w:val="0"/>
        <w:autoSpaceDN w:val="0"/>
        <w:adjustRightInd w:val="0"/>
        <w:spacing w:line="360" w:lineRule="auto"/>
        <w:ind w:right="17" w:rightChars="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）评选</w:t>
      </w:r>
      <w:r>
        <w:rPr>
          <w:rFonts w:hint="default" w:ascii="宋体" w:hAnsi="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在前期工匠培育范围内进行，采取理论考核与实际操作相结合的方式进行。在8个工种中评选出专业技能娴熟、操作水平高超的一线施工技术工人，每工种评选出前三名，第一名进入年度“前海工匠”名单，并授予评比优秀选手年度“前海工匠”荣誉称号。</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应提前制定</w:t>
      </w:r>
      <w:r>
        <w:rPr>
          <w:rFonts w:hint="default" w:ascii="宋体" w:hAnsi="宋体" w:cs="宋体"/>
          <w:color w:val="000000" w:themeColor="text1"/>
          <w:sz w:val="24"/>
          <w:szCs w:val="24"/>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方案，提报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审核。</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五、</w:t>
      </w:r>
      <w:r>
        <w:rPr>
          <w:rFonts w:hint="eastAsia" w:ascii="宋体" w:hAnsi="宋体" w:eastAsia="宋体" w:cs="宋体"/>
          <w:b/>
          <w:color w:val="000000" w:themeColor="text1"/>
          <w:sz w:val="24"/>
          <w:szCs w:val="24"/>
          <w14:textFill>
            <w14:solidFill>
              <w14:schemeClr w14:val="tx1"/>
            </w14:solidFill>
          </w14:textFill>
        </w:rPr>
        <w:t>工作成果及验收要求</w:t>
      </w:r>
    </w:p>
    <w:tbl>
      <w:tblPr>
        <w:tblStyle w:val="2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94"/>
        <w:gridCol w:w="283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序号</w:t>
            </w:r>
          </w:p>
        </w:tc>
        <w:tc>
          <w:tcPr>
            <w:tcW w:w="4394"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成果文件或服务</w:t>
            </w:r>
          </w:p>
        </w:tc>
        <w:tc>
          <w:tcPr>
            <w:tcW w:w="2836"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执行</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时间及要求</w:t>
            </w:r>
          </w:p>
        </w:tc>
        <w:tc>
          <w:tcPr>
            <w:tcW w:w="708"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1</w:t>
            </w:r>
          </w:p>
        </w:tc>
        <w:tc>
          <w:tcPr>
            <w:tcW w:w="4394"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“前海工匠”培育</w:t>
            </w:r>
            <w:r>
              <w:rPr>
                <w:rFonts w:ascii="Times New Roman" w:hAnsi="Times New Roman" w:eastAsia="宋体" w:cs="Times New Roman"/>
                <w:color w:val="000000" w:themeColor="text1"/>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：完成</w:t>
            </w:r>
            <w:r>
              <w:rPr>
                <w:rFonts w:ascii="Times New Roman" w:hAnsi="Times New Roman" w:eastAsia="宋体" w:cs="Times New Roman"/>
                <w:color w:val="000000" w:themeColor="text1"/>
                <w:sz w:val="24"/>
                <w:szCs w:val="24"/>
                <w:highlight w:val="none"/>
                <w14:textFill>
                  <w14:solidFill>
                    <w14:schemeClr w14:val="tx1"/>
                  </w14:solidFill>
                </w14:textFill>
              </w:rPr>
              <w:t>累计不少于</w:t>
            </w:r>
            <w:r>
              <w:rPr>
                <w:rFonts w:hint="eastAsia" w:ascii="Times New Roman" w:hAnsi="Times New Roman" w:eastAsia="宋体" w:cs="Times New Roman"/>
                <w:color w:val="000000" w:themeColor="text1"/>
                <w:sz w:val="24"/>
                <w:szCs w:val="24"/>
                <w:highlight w:val="none"/>
                <w14:textFill>
                  <w14:solidFill>
                    <w14:schemeClr w14:val="tx1"/>
                  </w14:solidFill>
                </w14:textFill>
              </w:rPr>
              <w:t>1</w:t>
            </w:r>
            <w:r>
              <w:rPr>
                <w:rFonts w:hint="default" w:cs="Times New Roman"/>
                <w:color w:val="000000" w:themeColor="text1"/>
                <w:sz w:val="24"/>
                <w:szCs w:val="24"/>
                <w:highlight w:val="none"/>
                <w14:textFill>
                  <w14:solidFill>
                    <w14:schemeClr w14:val="tx1"/>
                  </w14:solidFill>
                </w14:textFill>
              </w:rPr>
              <w:t>6</w:t>
            </w:r>
            <w:r>
              <w:rPr>
                <w:rFonts w:ascii="Times New Roman" w:hAnsi="Times New Roman" w:eastAsia="宋体" w:cs="Times New Roman"/>
                <w:color w:val="000000" w:themeColor="text1"/>
                <w:sz w:val="24"/>
                <w:szCs w:val="24"/>
                <w:highlight w:val="none"/>
                <w14:textFill>
                  <w14:solidFill>
                    <w14:schemeClr w14:val="tx1"/>
                  </w14:solidFill>
                </w14:textFill>
              </w:rPr>
              <w:t>场的专业技能现场操作课程，其中包</w:t>
            </w:r>
            <w:r>
              <w:rPr>
                <w:rFonts w:ascii="宋体" w:hAnsi="宋体" w:eastAsia="宋体" w:cs="Times New Roman"/>
                <w:color w:val="000000" w:themeColor="text1"/>
                <w:sz w:val="24"/>
                <w:szCs w:val="24"/>
                <w:highlight w:val="none"/>
                <w14:textFill>
                  <w14:solidFill>
                    <w14:schemeClr w14:val="tx1"/>
                  </w14:solidFill>
                </w14:textFill>
              </w:rPr>
              <w:t>括“技能比武”环节</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培育</w:t>
            </w:r>
            <w:r>
              <w:rPr>
                <w:rFonts w:ascii="Times New Roman" w:hAnsi="Times New Roman" w:eastAsia="宋体" w:cs="Times New Roman"/>
                <w:color w:val="000000" w:themeColor="text1"/>
                <w:sz w:val="24"/>
                <w:szCs w:val="24"/>
                <w:highlight w:val="none"/>
                <w14:textFill>
                  <w14:solidFill>
                    <w14:schemeClr w14:val="tx1"/>
                  </w14:solidFill>
                </w14:textFill>
              </w:rPr>
              <w:t>对象为各项目施工单位技术工人</w:t>
            </w:r>
          </w:p>
        </w:tc>
        <w:tc>
          <w:tcPr>
            <w:tcW w:w="2836" w:type="dxa"/>
            <w:noWrap w:val="0"/>
            <w:vAlign w:val="center"/>
          </w:tcPr>
          <w:p>
            <w:pPr>
              <w:spacing w:line="360" w:lineRule="auto"/>
              <w:jc w:val="left"/>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default" w:cs="Times New Roman"/>
                <w:snapToGrid w:val="0"/>
                <w:color w:val="000000" w:themeColor="text1"/>
                <w:kern w:val="0"/>
                <w:sz w:val="24"/>
                <w:szCs w:val="24"/>
                <w:highlight w:val="none"/>
                <w14:textFill>
                  <w14:solidFill>
                    <w14:schemeClr w14:val="tx1"/>
                  </w14:solidFill>
                </w14:textFill>
              </w:rPr>
              <w:t>4</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年</w:t>
            </w:r>
            <w:r>
              <w:rPr>
                <w:rFonts w:hint="default" w:cs="Times New Roman"/>
                <w:snapToGrid w:val="0"/>
                <w:color w:val="000000" w:themeColor="text1"/>
                <w:kern w:val="0"/>
                <w:sz w:val="24"/>
                <w:szCs w:val="24"/>
                <w:highlight w:val="none"/>
                <w14:textFill>
                  <w14:solidFill>
                    <w14:schemeClr w14:val="tx1"/>
                  </w14:solidFill>
                </w14:textFill>
              </w:rPr>
              <w:t>7</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w:t>
            </w:r>
            <w:r>
              <w:rPr>
                <w:rFonts w:hint="default" w:cs="Times New Roman"/>
                <w:snapToGrid w:val="0"/>
                <w:color w:val="000000" w:themeColor="text1"/>
                <w:kern w:val="0"/>
                <w:sz w:val="24"/>
                <w:szCs w:val="24"/>
                <w:highlight w:val="none"/>
                <w14:textFill>
                  <w14:solidFill>
                    <w14:schemeClr w14:val="tx1"/>
                  </w14:solidFill>
                </w14:textFill>
              </w:rPr>
              <w:t>9</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月，具体</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按</w:t>
            </w:r>
            <w:r>
              <w:rPr>
                <w:rFonts w:hint="eastAsia" w:eastAsia="宋体" w:cs="Times New Roman"/>
                <w:snapToGrid w:val="0"/>
                <w:color w:val="000000" w:themeColor="text1"/>
                <w:kern w:val="0"/>
                <w:sz w:val="24"/>
                <w:szCs w:val="24"/>
                <w:highlight w:val="none"/>
                <w:lang w:eastAsia="zh-CN"/>
                <w14:textFill>
                  <w14:solidFill>
                    <w14:schemeClr w14:val="tx1"/>
                  </w14:solidFill>
                </w14:textFill>
              </w:rPr>
              <w:t>采购人</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要求开展，</w:t>
            </w:r>
            <w:r>
              <w:rPr>
                <w:rFonts w:ascii="Times New Roman" w:hAnsi="Times New Roman" w:eastAsia="宋体" w:cs="Times New Roman"/>
                <w:color w:val="000000" w:themeColor="text1"/>
                <w:spacing w:val="6"/>
                <w:sz w:val="24"/>
                <w:szCs w:val="24"/>
                <w:highlight w:val="none"/>
                <w14:textFill>
                  <w14:solidFill>
                    <w14:schemeClr w14:val="tx1"/>
                  </w14:solidFill>
                </w14:textFill>
              </w:rPr>
              <w:t>报送</w:t>
            </w:r>
            <w:r>
              <w:rPr>
                <w:rFonts w:hint="eastAsia" w:eastAsia="宋体" w:cs="Times New Roman"/>
                <w:color w:val="000000" w:themeColor="text1"/>
                <w:spacing w:val="6"/>
                <w:sz w:val="24"/>
                <w:szCs w:val="24"/>
                <w:highlight w:val="none"/>
                <w:lang w:eastAsia="zh-CN"/>
                <w14:textFill>
                  <w14:solidFill>
                    <w14:schemeClr w14:val="tx1"/>
                  </w14:solidFill>
                </w14:textFill>
              </w:rPr>
              <w:t>采购人</w:t>
            </w:r>
            <w:r>
              <w:rPr>
                <w:rFonts w:hint="default" w:ascii="宋体" w:hAnsi="宋体" w:cs="Times New Roman"/>
                <w:color w:val="000000" w:themeColor="text1"/>
                <w:spacing w:val="6"/>
                <w:sz w:val="24"/>
                <w:szCs w:val="24"/>
                <w:highlight w:val="none"/>
                <w14:textFill>
                  <w14:solidFill>
                    <w14:schemeClr w14:val="tx1"/>
                  </w14:solidFill>
                </w14:textFill>
              </w:rPr>
              <w:t>8</w:t>
            </w:r>
            <w:r>
              <w:rPr>
                <w:rFonts w:ascii="宋体" w:hAnsi="宋体" w:eastAsia="宋体" w:cs="Times New Roman"/>
                <w:color w:val="000000" w:themeColor="text1"/>
                <w:spacing w:val="6"/>
                <w:sz w:val="24"/>
                <w:szCs w:val="24"/>
                <w:highlight w:val="none"/>
                <w14:textFill>
                  <w14:solidFill>
                    <w14:schemeClr w14:val="tx1"/>
                  </w14:solidFill>
                </w14:textFill>
              </w:rPr>
              <w:t>0</w:t>
            </w:r>
            <w:r>
              <w:rPr>
                <w:rFonts w:hint="eastAsia" w:ascii="宋体" w:hAnsi="宋体" w:eastAsia="宋体" w:cs="Times New Roman"/>
                <w:color w:val="000000" w:themeColor="text1"/>
                <w:spacing w:val="6"/>
                <w:sz w:val="24"/>
                <w:szCs w:val="24"/>
                <w:highlight w:val="none"/>
                <w14:textFill>
                  <w14:solidFill>
                    <w14:schemeClr w14:val="tx1"/>
                  </w14:solidFill>
                </w14:textFill>
              </w:rPr>
              <w:t>人的</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p>
        </w:tc>
        <w:tc>
          <w:tcPr>
            <w:tcW w:w="708"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w:t>
            </w:r>
          </w:p>
        </w:tc>
        <w:tc>
          <w:tcPr>
            <w:tcW w:w="4394"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pacing w:val="6"/>
                <w:sz w:val="24"/>
                <w:szCs w:val="24"/>
                <w:highlight w:val="none"/>
                <w14:textFill>
                  <w14:solidFill>
                    <w14:schemeClr w14:val="tx1"/>
                  </w14:solidFill>
                </w14:textFill>
              </w:rPr>
              <w:t>“前海工匠”评选</w:t>
            </w:r>
            <w:r>
              <w:rPr>
                <w:rFonts w:cs="Times New Roman"/>
                <w:color w:val="000000" w:themeColor="text1"/>
                <w:spacing w:val="6"/>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：完成包括</w:t>
            </w:r>
            <w:r>
              <w:rPr>
                <w:rFonts w:cs="Times New Roman"/>
                <w:color w:val="000000" w:themeColor="text1"/>
                <w:spacing w:val="6"/>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方案的拟定、策划、场地的准备和布置、参评工人的资格审定、评委选任、评选的现场组织、证书奖杯的制作等工作，形成正式评比成果</w:t>
            </w:r>
          </w:p>
        </w:tc>
        <w:tc>
          <w:tcPr>
            <w:tcW w:w="2836" w:type="dxa"/>
            <w:noWrap w:val="0"/>
            <w:vAlign w:val="center"/>
          </w:tcPr>
          <w:p>
            <w:pPr>
              <w:spacing w:line="360" w:lineRule="auto"/>
              <w:jc w:val="left"/>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default" w:cs="Times New Roman"/>
                <w:snapToGrid w:val="0"/>
                <w:color w:val="000000" w:themeColor="text1"/>
                <w:kern w:val="0"/>
                <w:sz w:val="24"/>
                <w:szCs w:val="24"/>
                <w:highlight w:val="none"/>
                <w14:textFill>
                  <w14:solidFill>
                    <w14:schemeClr w14:val="tx1"/>
                  </w14:solidFill>
                </w14:textFill>
              </w:rPr>
              <w:t>4</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年</w:t>
            </w:r>
            <w:r>
              <w:rPr>
                <w:rFonts w:hint="default" w:cs="Times New Roman"/>
                <w:snapToGrid w:val="0"/>
                <w:color w:val="000000" w:themeColor="text1"/>
                <w:kern w:val="0"/>
                <w:sz w:val="24"/>
                <w:szCs w:val="24"/>
                <w:highlight w:val="none"/>
                <w14:textFill>
                  <w14:solidFill>
                    <w14:schemeClr w14:val="tx1"/>
                  </w14:solidFill>
                </w14:textFill>
              </w:rPr>
              <w:t>10-11</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月，具体</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按</w:t>
            </w:r>
            <w:r>
              <w:rPr>
                <w:rFonts w:hint="eastAsia" w:eastAsia="宋体" w:cs="Times New Roman"/>
                <w:snapToGrid w:val="0"/>
                <w:color w:val="000000" w:themeColor="text1"/>
                <w:kern w:val="0"/>
                <w:sz w:val="24"/>
                <w:szCs w:val="24"/>
                <w:highlight w:val="none"/>
                <w:lang w:eastAsia="zh-CN"/>
                <w14:textFill>
                  <w14:solidFill>
                    <w14:schemeClr w14:val="tx1"/>
                  </w14:solidFill>
                </w14:textFill>
              </w:rPr>
              <w:t>采购人</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要求开展，提报</w:t>
            </w:r>
            <w:r>
              <w:rPr>
                <w:rFonts w:hint="eastAsia" w:eastAsia="宋体" w:cs="Times New Roman"/>
                <w:snapToGrid w:val="0"/>
                <w:color w:val="000000" w:themeColor="text1"/>
                <w:kern w:val="0"/>
                <w:sz w:val="24"/>
                <w:szCs w:val="24"/>
                <w:highlight w:val="none"/>
                <w:lang w:eastAsia="zh-CN"/>
                <w14:textFill>
                  <w14:solidFill>
                    <w14:schemeClr w14:val="tx1"/>
                  </w14:solidFill>
                </w14:textFill>
              </w:rPr>
              <w:t>采购人</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《“前海工匠”</w:t>
            </w:r>
            <w:r>
              <w:rPr>
                <w:rFonts w:cs="Times New Roman"/>
                <w:snapToGrid w:val="0"/>
                <w:color w:val="000000" w:themeColor="text1"/>
                <w:kern w:val="0"/>
                <w:sz w:val="24"/>
                <w:szCs w:val="24"/>
                <w:highlight w:val="none"/>
                <w14:textFill>
                  <w14:solidFill>
                    <w14:schemeClr w14:val="tx1"/>
                  </w14:solidFill>
                </w14:textFill>
              </w:rPr>
              <w:t>培育</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报告》</w:t>
            </w:r>
          </w:p>
        </w:tc>
        <w:tc>
          <w:tcPr>
            <w:tcW w:w="708" w:type="dxa"/>
            <w:noWrap w:val="0"/>
            <w:vAlign w:val="center"/>
          </w:tcPr>
          <w:p>
            <w:pPr>
              <w:spacing w:line="360" w:lineRule="auto"/>
              <w:ind w:firstLine="480" w:firstLineChars="200"/>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bl>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sz w:val="24"/>
          <w:highlight w:val="none"/>
          <w:lang w:val="en-US" w:eastAsia="zh-CN"/>
        </w:rPr>
        <w:t>六、</w:t>
      </w:r>
      <w:r>
        <w:rPr>
          <w:rFonts w:hint="eastAsia" w:ascii="宋体" w:hAnsi="宋体" w:eastAsia="宋体" w:cs="宋体"/>
          <w:b/>
          <w:bCs/>
          <w:color w:val="000000" w:themeColor="text1"/>
          <w:sz w:val="24"/>
          <w:szCs w:val="24"/>
          <w14:textFill>
            <w14:solidFill>
              <w14:schemeClr w14:val="tx1"/>
            </w14:solidFill>
          </w14:textFill>
        </w:rPr>
        <w:t>成果格式</w:t>
      </w:r>
    </w:p>
    <w:p>
      <w:pPr>
        <w:tabs>
          <w:tab w:val="left" w:pos="720"/>
        </w:tabs>
        <w:autoSpaceDE w:val="0"/>
        <w:autoSpaceDN w:val="0"/>
        <w:adjustRightInd w:val="0"/>
        <w:spacing w:line="360" w:lineRule="auto"/>
        <w:ind w:left="0" w:leftChars="0" w:right="17" w:firstLine="638" w:firstLineChars="266"/>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本项目成果包括《“前海工匠”种子名单》及《“前海工匠”</w:t>
      </w:r>
      <w:r>
        <w:rPr>
          <w:rFonts w:hint="default" w:ascii="宋体" w:hAnsi="宋体" w:cs="宋体"/>
          <w:color w:val="000000" w:themeColor="text1"/>
          <w:kern w:val="0"/>
          <w:sz w:val="24"/>
          <w:szCs w:val="24"/>
          <w14:textFill>
            <w14:solidFill>
              <w14:schemeClr w14:val="tx1"/>
            </w14:solidFill>
          </w14:textFill>
        </w:rPr>
        <w:t>培育</w:t>
      </w:r>
      <w:r>
        <w:rPr>
          <w:rFonts w:hint="eastAsia" w:ascii="宋体" w:hAnsi="宋体" w:eastAsia="宋体" w:cs="宋体"/>
          <w:color w:val="000000" w:themeColor="text1"/>
          <w:kern w:val="0"/>
          <w:sz w:val="24"/>
          <w:szCs w:val="24"/>
          <w14:textFill>
            <w14:solidFill>
              <w14:schemeClr w14:val="tx1"/>
            </w14:solidFill>
          </w14:textFill>
        </w:rPr>
        <w:t>报告》，纸质材料（含文本及附图），A4尺寸装订成册（实际数量以业主需求为准）；</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二</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电子文件：文本、附图和多媒体成果，光盘2套。（注：文本为DOC格式文件，效果图为JPG格式文件）。</w:t>
      </w:r>
    </w:p>
    <w:p>
      <w:pPr>
        <w:pStyle w:val="35"/>
        <w:tabs>
          <w:tab w:val="left" w:pos="720"/>
        </w:tabs>
        <w:autoSpaceDE w:val="0"/>
        <w:autoSpaceDN w:val="0"/>
        <w:adjustRightInd w:val="0"/>
        <w:spacing w:line="360" w:lineRule="auto"/>
        <w:ind w:right="17" w:firstLine="489"/>
        <w:jc w:val="left"/>
        <w:outlineLvl w:val="1"/>
        <w:rPr>
          <w:rFonts w:hint="default"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七、人员要求</w:t>
      </w:r>
    </w:p>
    <w:p>
      <w:pPr>
        <w:pStyle w:val="35"/>
        <w:tabs>
          <w:tab w:val="left" w:pos="720"/>
        </w:tabs>
        <w:autoSpaceDE w:val="0"/>
        <w:autoSpaceDN w:val="0"/>
        <w:adjustRightInd w:val="0"/>
        <w:spacing w:line="360" w:lineRule="auto"/>
        <w:ind w:right="17" w:firstLine="489"/>
        <w:jc w:val="left"/>
        <w:outlineLvl w:val="1"/>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14:textFill>
            <w14:solidFill>
              <w14:schemeClr w14:val="tx1"/>
            </w14:solidFill>
          </w14:textFill>
        </w:rPr>
        <w:t>项目团队成员不少于6人（含1名项目负责人）</w:t>
      </w:r>
      <w:r>
        <w:rPr>
          <w:rFonts w:hint="eastAsia" w:ascii="宋体" w:hAnsi="宋体" w:cs="宋体"/>
          <w:b w:val="0"/>
          <w:bCs/>
          <w:color w:val="000000" w:themeColor="text1"/>
          <w:sz w:val="24"/>
          <w:lang w:eastAsia="zh-CN"/>
          <w14:textFill>
            <w14:solidFill>
              <w14:schemeClr w14:val="tx1"/>
            </w14:solidFill>
          </w14:textFill>
        </w:rPr>
        <w:t>。</w:t>
      </w:r>
    </w:p>
    <w:p>
      <w:pPr>
        <w:pStyle w:val="35"/>
        <w:tabs>
          <w:tab w:val="left" w:pos="720"/>
        </w:tabs>
        <w:autoSpaceDE w:val="0"/>
        <w:autoSpaceDN w:val="0"/>
        <w:adjustRightInd w:val="0"/>
        <w:spacing w:line="360" w:lineRule="auto"/>
        <w:ind w:right="17" w:firstLine="489"/>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、后续服务</w:t>
      </w:r>
    </w:p>
    <w:p>
      <w:pPr>
        <w:pStyle w:val="35"/>
        <w:tabs>
          <w:tab w:val="left" w:pos="720"/>
        </w:tabs>
        <w:autoSpaceDE w:val="0"/>
        <w:autoSpaceDN w:val="0"/>
        <w:adjustRightInd w:val="0"/>
        <w:spacing w:line="360" w:lineRule="auto"/>
        <w:ind w:right="17" w:firstLine="480"/>
        <w:jc w:val="left"/>
        <w:outlineLvl w:val="1"/>
        <w:rPr>
          <w:rFonts w:ascii="宋体" w:hAnsi="宋体" w:cs="宋体"/>
          <w:b/>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项目售后服务期限自最终成果通过采购人审查之日起的</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年内，</w:t>
      </w:r>
      <w:r>
        <w:rPr>
          <w:rFonts w:hint="eastAsia" w:ascii="宋体" w:hAnsi="宋体" w:cs="宋体"/>
          <w:color w:val="000000" w:themeColor="text1"/>
          <w:sz w:val="24"/>
          <w14:textFill>
            <w14:solidFill>
              <w14:schemeClr w14:val="tx1"/>
            </w14:solidFill>
          </w14:textFill>
        </w:rPr>
        <w:t>服务期内中标人应向采购人提供后续的专业技术支持与咨询服务，并协助采购人完成各种后续审计、评估等工作</w:t>
      </w:r>
      <w:r>
        <w:rPr>
          <w:rFonts w:hint="eastAsia" w:asciiTheme="minorEastAsia" w:hAnsiTheme="minorEastAsia" w:eastAsiaTheme="minorEastAsia" w:cstheme="minorEastAsia"/>
          <w:color w:val="000000" w:themeColor="text1"/>
          <w:sz w:val="24"/>
          <w:lang w:val="zh-CN"/>
          <w14:textFill>
            <w14:solidFill>
              <w14:schemeClr w14:val="tx1"/>
            </w14:solidFill>
          </w14:textFill>
        </w:rPr>
        <w:t>。</w:t>
      </w:r>
    </w:p>
    <w:p>
      <w:pPr>
        <w:pStyle w:val="35"/>
        <w:tabs>
          <w:tab w:val="left" w:pos="720"/>
        </w:tabs>
        <w:autoSpaceDE w:val="0"/>
        <w:autoSpaceDN w:val="0"/>
        <w:adjustRightInd w:val="0"/>
        <w:spacing w:line="360" w:lineRule="auto"/>
        <w:ind w:right="17" w:firstLine="489"/>
        <w:jc w:val="left"/>
        <w:outlineLvl w:val="1"/>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九</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验收方式</w:t>
      </w:r>
    </w:p>
    <w:p>
      <w:pPr>
        <w:pStyle w:val="25"/>
        <w:tabs>
          <w:tab w:val="left" w:pos="720"/>
        </w:tabs>
        <w:autoSpaceDE w:val="0"/>
        <w:autoSpaceDN w:val="0"/>
        <w:adjustRightInd w:val="0"/>
        <w:spacing w:line="360" w:lineRule="auto"/>
        <w:ind w:right="17" w:firstLine="482"/>
        <w:jc w:val="left"/>
        <w:outlineLvl w:val="1"/>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项目最终成果验收合格的标志为通过采购人验收。</w:t>
      </w:r>
    </w:p>
    <w:p>
      <w:pPr>
        <w:pStyle w:val="25"/>
        <w:tabs>
          <w:tab w:val="left" w:pos="720"/>
        </w:tabs>
        <w:autoSpaceDE w:val="0"/>
        <w:autoSpaceDN w:val="0"/>
        <w:adjustRightInd w:val="0"/>
        <w:spacing w:line="360" w:lineRule="auto"/>
        <w:ind w:right="17" w:firstLine="482"/>
        <w:jc w:val="left"/>
        <w:outlineLvl w:val="1"/>
        <w:rPr>
          <w:rFonts w:ascii="宋体" w:hAnsi="宋体" w:cs="宋体"/>
          <w:b/>
          <w:sz w:val="24"/>
          <w:highlight w:val="none"/>
        </w:rPr>
      </w:pPr>
      <w:r>
        <w:rPr>
          <w:rFonts w:hint="eastAsia" w:ascii="宋体" w:hAnsi="宋体" w:cs="宋体"/>
          <w:b/>
          <w:sz w:val="24"/>
          <w:highlight w:val="none"/>
          <w:lang w:val="en-US" w:eastAsia="zh-CN"/>
        </w:rPr>
        <w:t>十、</w:t>
      </w:r>
      <w:r>
        <w:rPr>
          <w:rFonts w:hint="eastAsia" w:ascii="宋体" w:hAnsi="宋体" w:cs="宋体"/>
          <w:b/>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6" w:afterLines="50"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本项目服务期限自签订合同之日起</w:t>
      </w:r>
      <w:r>
        <w:rPr>
          <w:rFonts w:hint="eastAsia" w:ascii="宋体" w:hAnsi="宋体" w:cs="宋体"/>
          <w:color w:val="000000" w:themeColor="text1"/>
          <w:sz w:val="24"/>
          <w:lang w:val="en-US" w:eastAsia="zh-CN"/>
          <w14:textFill>
            <w14:solidFill>
              <w14:schemeClr w14:val="tx1"/>
            </w14:solidFill>
          </w14:textFill>
        </w:rPr>
        <w:t>至</w:t>
      </w:r>
      <w:r>
        <w:rPr>
          <w:rFonts w:hint="eastAsia"/>
          <w:bCs/>
          <w:color w:val="000000" w:themeColor="text1"/>
          <w:sz w:val="24"/>
          <w:szCs w:val="24"/>
          <w:highlight w:val="none"/>
          <w14:textFill>
            <w14:solidFill>
              <w14:schemeClr w14:val="tx1"/>
            </w14:solidFill>
          </w14:textFill>
        </w:rPr>
        <w:t>202</w:t>
      </w:r>
      <w:r>
        <w:rPr>
          <w:rFonts w:hint="default"/>
          <w:bCs/>
          <w:color w:val="000000" w:themeColor="text1"/>
          <w:sz w:val="24"/>
          <w:szCs w:val="24"/>
          <w:highlight w:val="none"/>
          <w14:textFill>
            <w14:solidFill>
              <w14:schemeClr w14:val="tx1"/>
            </w14:solidFill>
          </w14:textFill>
        </w:rPr>
        <w:t>4</w:t>
      </w:r>
      <w:r>
        <w:rPr>
          <w:rFonts w:hint="eastAsia"/>
          <w:bCs/>
          <w:color w:val="000000" w:themeColor="text1"/>
          <w:sz w:val="24"/>
          <w:szCs w:val="24"/>
          <w:highlight w:val="none"/>
          <w14:textFill>
            <w14:solidFill>
              <w14:schemeClr w14:val="tx1"/>
            </w14:solidFill>
          </w14:textFill>
        </w:rPr>
        <w:t>年</w:t>
      </w:r>
      <w:r>
        <w:rPr>
          <w:rFonts w:hint="default"/>
          <w:bCs/>
          <w:color w:val="000000" w:themeColor="text1"/>
          <w:sz w:val="24"/>
          <w:szCs w:val="24"/>
          <w:highlight w:val="none"/>
          <w14:textFill>
            <w14:solidFill>
              <w14:schemeClr w14:val="tx1"/>
            </w14:solidFill>
          </w14:textFill>
        </w:rPr>
        <w:t>12</w:t>
      </w:r>
      <w:r>
        <w:rPr>
          <w:rFonts w:hint="eastAsia"/>
          <w:bCs/>
          <w:color w:val="000000" w:themeColor="text1"/>
          <w:sz w:val="24"/>
          <w:szCs w:val="24"/>
          <w:highlight w:val="none"/>
          <w14:textFill>
            <w14:solidFill>
              <w14:schemeClr w14:val="tx1"/>
            </w14:solidFill>
          </w14:textFill>
        </w:rPr>
        <w:t>月3</w:t>
      </w:r>
      <w:r>
        <w:rPr>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w:t>
      </w:r>
      <w:r>
        <w:rPr>
          <w:rFonts w:hint="eastAsia" w:ascii="宋体" w:hAnsi="宋体" w:cs="宋体"/>
          <w:color w:val="000000" w:themeColor="text1"/>
          <w:sz w:val="24"/>
          <w:lang w:val="en-US" w:eastAsia="zh-CN"/>
          <w14:textFill>
            <w14:solidFill>
              <w14:schemeClr w14:val="tx1"/>
            </w14:solidFill>
          </w14:textFill>
        </w:rPr>
        <w:t>29.5</w:t>
      </w:r>
      <w:r>
        <w:rPr>
          <w:rFonts w:hint="eastAsia" w:ascii="宋体" w:hAnsi="宋体" w:cs="宋体"/>
          <w:color w:val="000000" w:themeColor="text1"/>
          <w:sz w:val="24"/>
          <w:lang w:eastAsia="zh-CN"/>
          <w14:textFill>
            <w14:solidFill>
              <w14:schemeClr w14:val="tx1"/>
            </w14:solidFill>
          </w14:textFill>
        </w:rPr>
        <w:t>万元以内</w:t>
      </w:r>
      <w:r>
        <w:rPr>
          <w:rFonts w:hint="eastAsia" w:ascii="宋体" w:hAnsi="宋体" w:cs="宋体"/>
          <w:color w:val="000000" w:themeColor="text1"/>
          <w:sz w:val="24"/>
          <w14:textFill>
            <w14:solidFill>
              <w14:schemeClr w14:val="tx1"/>
            </w14:solidFill>
          </w14:textFill>
        </w:rPr>
        <w:t>，投标人的报价不可高于预算（限价），否则投标人的投标文件视同无效。项目服务费</w:t>
      </w:r>
      <w:r>
        <w:rPr>
          <w:rFonts w:hint="eastAsia" w:ascii="宋体" w:hAnsi="宋体" w:cs="宋体"/>
          <w:color w:val="000000" w:themeColor="text1"/>
          <w:sz w:val="24"/>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项目资金分</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期支付至中标人指定银行账户：</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报送“前海工匠”培育与评选活动方案获批后，根据</w:t>
      </w:r>
      <w:r>
        <w:rPr>
          <w:rFonts w:hint="eastAsia" w:ascii="宋体" w:hAnsi="宋体" w:cs="宋体"/>
          <w:color w:val="000000" w:themeColor="text1"/>
          <w:sz w:val="24"/>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提出的付款申请，支付合同价款的</w:t>
      </w:r>
      <w:r>
        <w:rPr>
          <w:rFonts w:hint="default" w:cs="Times New Roman"/>
          <w:color w:val="000000" w:themeColor="text1"/>
          <w:sz w:val="24"/>
          <w:szCs w:val="24"/>
          <w:highlight w:val="none"/>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%作为项目启动费用；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完成“前海工匠”培育工作，提交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r>
        <w:rPr>
          <w:rFonts w:hint="eastAsia" w:ascii="Times New Roman" w:hAnsi="Times New Roman" w:eastAsia="宋体" w:cs="Times New Roman"/>
          <w:color w:val="000000" w:themeColor="text1"/>
          <w:sz w:val="24"/>
          <w:szCs w:val="24"/>
          <w:highlight w:val="none"/>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审核合格后，根据</w:t>
      </w:r>
      <w:r>
        <w:rPr>
          <w:rFonts w:hint="eastAsia" w:ascii="宋体" w:hAnsi="宋体" w:cs="宋体"/>
          <w:color w:val="000000" w:themeColor="text1"/>
          <w:sz w:val="24"/>
          <w14:textFill>
            <w14:solidFill>
              <w14:schemeClr w14:val="tx1"/>
            </w14:solidFill>
          </w14:textFill>
        </w:rPr>
        <w:t>中标人</w:t>
      </w:r>
      <w:r>
        <w:rPr>
          <w:rFonts w:ascii="Times New Roman" w:hAnsi="Times New Roman" w:eastAsia="宋体" w:cs="Times New Roman"/>
          <w:color w:val="000000" w:themeColor="text1"/>
          <w:sz w:val="24"/>
          <w:szCs w:val="24"/>
          <w:highlight w:val="none"/>
          <w14:textFill>
            <w14:solidFill>
              <w14:schemeClr w14:val="tx1"/>
            </w14:solidFill>
          </w14:textFill>
        </w:rPr>
        <w:t>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合同价款的</w:t>
      </w:r>
      <w:r>
        <w:rPr>
          <w:rFonts w:hint="default" w:cs="Times New Roman"/>
          <w:color w:val="000000" w:themeColor="text1"/>
          <w:sz w:val="24"/>
          <w:szCs w:val="24"/>
          <w:highlight w:val="none"/>
          <w14:textFill>
            <w14:solidFill>
              <w14:schemeClr w14:val="tx1"/>
            </w14:solidFill>
          </w14:textFill>
        </w:rPr>
        <w:t>4</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widowControl/>
        <w:spacing w:line="360" w:lineRule="auto"/>
        <w:ind w:firstLine="480" w:firstLineChars="200"/>
        <w:rPr>
          <w:rFonts w:hint="eastAsia"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完成“前海工匠”评选工作，提交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w:t>
      </w:r>
      <w:r>
        <w:rPr>
          <w:rFonts w:cs="Times New Roman"/>
          <w:bCs/>
          <w:color w:val="000000" w:themeColor="text1"/>
          <w:sz w:val="24"/>
          <w:szCs w:val="24"/>
          <w:highlight w:val="none"/>
          <w14:textFill>
            <w14:solidFill>
              <w14:schemeClr w14:val="tx1"/>
            </w14:solidFill>
          </w14:textFill>
        </w:rPr>
        <w:t>培育</w:t>
      </w:r>
      <w:r>
        <w:rPr>
          <w:rFonts w:ascii="Times New Roman" w:hAnsi="Times New Roman" w:eastAsia="宋体" w:cs="Times New Roman"/>
          <w:bCs/>
          <w:color w:val="000000" w:themeColor="text1"/>
          <w:sz w:val="24"/>
          <w:szCs w:val="24"/>
          <w:highlight w:val="none"/>
          <w14:textFill>
            <w14:solidFill>
              <w14:schemeClr w14:val="tx1"/>
            </w14:solidFill>
          </w14:textFill>
        </w:rPr>
        <w:t>报告》</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审核合格后，根据</w:t>
      </w:r>
      <w:r>
        <w:rPr>
          <w:rFonts w:hint="eastAsia" w:ascii="宋体" w:hAnsi="宋体" w:cs="宋体"/>
          <w:color w:val="000000" w:themeColor="text1"/>
          <w:sz w:val="24"/>
          <w14:textFill>
            <w14:solidFill>
              <w14:schemeClr w14:val="tx1"/>
            </w14:solidFill>
          </w14:textFill>
        </w:rPr>
        <w:t>中标人</w:t>
      </w:r>
      <w:r>
        <w:rPr>
          <w:rFonts w:ascii="Times New Roman" w:hAnsi="Times New Roman" w:eastAsia="宋体" w:cs="Times New Roman"/>
          <w:color w:val="000000" w:themeColor="text1"/>
          <w:sz w:val="24"/>
          <w:szCs w:val="24"/>
          <w:highlight w:val="none"/>
          <w14:textFill>
            <w14:solidFill>
              <w14:schemeClr w14:val="tx1"/>
            </w14:solidFill>
          </w14:textFill>
        </w:rPr>
        <w:t>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剩余全部合同价款。</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ascii="宋体" w:hAnsi="宋体" w:cs="宋体"/>
          <w:color w:val="000000" w:themeColor="text1"/>
          <w:sz w:val="24"/>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ascii="宋体" w:hAnsi="宋体" w:cs="宋体"/>
          <w:color w:val="000000" w:themeColor="text1"/>
          <w:sz w:val="24"/>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有权利用</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享有。具体相关利益的分配办法如下：</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承担，同时，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保留要求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支付本合同总价款20%的违约金，如果违约金无法弥补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的损失，</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完成本合同项目的研究开发人员享有在有关技术成果材料上写明技术成果完成者的权利和与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在履行本合同过程中所获得或接触到的任何</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须以保密方式处理在编制本项目成果材料过程中自</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工作人员或</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关联机构获得的相关信息、资料、图纸、数据等，或由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在履行本合同过程中明确指明为秘密的任何信息,以及</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违反上述保密条款，</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有权解除本合同，</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应在合同解除通知发出之日起10日内向</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损失，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保留要求</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cs="宋体"/>
          <w:color w:val="000000" w:themeColor="text1"/>
          <w:sz w:val="24"/>
          <w:szCs w:val="24"/>
          <w14:textFill>
            <w14:solidFill>
              <w14:schemeClr w14:val="tx1"/>
            </w14:solidFill>
          </w14:textFill>
        </w:rPr>
        <w:t>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确定</w:t>
      </w:r>
      <w:r>
        <w:rPr>
          <w:rFonts w:hint="eastAsia" w:ascii="宋体" w:hAnsi="宋体" w:cs="宋体"/>
          <w:color w:val="000000" w:themeColor="text1"/>
          <w:sz w:val="24"/>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未按照本合同约定的时间完成本项目各阶段工作，每迟延一日，</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有权解除本合同，</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除应退还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已支付的全部款项外, 还应在合同解除通知发出之日起10日内向</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支付合同总价款10%的违约金。</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应同时将已完成的项目成果移交给</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，并将全部有关资料退还</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未能按合同约定的日期(含协商延缓的日期)完成经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审核通过的《“前海工匠”种子名单》及《“前海工匠”</w:t>
      </w:r>
      <w:r>
        <w:rPr>
          <w:rFonts w:hint="default" w:ascii="宋体" w:hAnsi="宋体" w:cs="宋体"/>
          <w:color w:val="000000" w:themeColor="text1"/>
          <w:sz w:val="24"/>
          <w14:textFill>
            <w14:solidFill>
              <w14:schemeClr w14:val="tx1"/>
            </w14:solidFill>
          </w14:textFill>
        </w:rPr>
        <w:t>培育</w:t>
      </w:r>
      <w:r>
        <w:rPr>
          <w:rFonts w:hint="eastAsia" w:ascii="宋体" w:hAnsi="宋体" w:cs="宋体"/>
          <w:color w:val="000000" w:themeColor="text1"/>
          <w:sz w:val="24"/>
          <w14:textFill>
            <w14:solidFill>
              <w14:schemeClr w14:val="tx1"/>
            </w14:solidFill>
          </w14:textFill>
        </w:rPr>
        <w:t>报告》，延误时间超过10个工作日；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工作的错误或遗漏造成成果质量不符合本合同要求，且</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虽如期提报活动方案、阶段成果、活动总结等总结性成果资料，但最终成果连续二次未能通过</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书面在先同意，</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擅自将本合同项目与任何第三方合作，或将本合同标的的全部或部分擅自转包或分包给任何第三方，且未按</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或</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工作人员出现全部或部分丧失履行委托服务能力的情况，</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有权通知</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限期整改或更换工作人员，期限届满</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未按照本合同约定的时间支付服务费，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书面催告</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并给予不少于30个工作日的履行期限后</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仍未支付的，</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有权自该期限届满之日起要求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支付该阶段应付而未付合同价款每日1‰的逾期违约金。如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无正当理由拒绝接受服务，到期明确表示拒付服务款项，</w:t>
      </w:r>
      <w:r>
        <w:rPr>
          <w:rFonts w:hint="eastAsia" w:ascii="宋体" w:hAnsi="宋体" w:cs="宋体"/>
          <w:color w:val="000000" w:themeColor="text1"/>
          <w:sz w:val="24"/>
          <w:lang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有权要求</w:t>
      </w:r>
      <w:r>
        <w:rPr>
          <w:rFonts w:hint="eastAsia" w:ascii="宋体" w:hAnsi="宋体" w:cs="宋体"/>
          <w:color w:val="000000" w:themeColor="text1"/>
          <w:sz w:val="24"/>
          <w:lang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支付本合同项下服务费总金额10%的违约金。</w:t>
      </w:r>
    </w:p>
    <w:p>
      <w:pPr>
        <w:spacing w:line="560" w:lineRule="exact"/>
        <w:ind w:firstLine="480" w:firstLineChars="200"/>
        <w:rPr>
          <w:rFonts w:hint="default" w:ascii="宋体" w:hAnsi="宋体" w:eastAsia="宋体" w:cs="宋体"/>
          <w:kern w:val="0"/>
          <w:sz w:val="24"/>
          <w:szCs w:val="20"/>
          <w:highlight w:val="none"/>
          <w:lang w:val="en-US" w:eastAsia="zh-CN"/>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sz w:val="24"/>
          <w:highlight w:val="none"/>
        </w:rPr>
        <w:t>。</w:t>
      </w:r>
    </w:p>
    <w:p>
      <w:pPr>
        <w:pStyle w:val="6"/>
        <w:rPr>
          <w:highlight w:val="none"/>
        </w:rPr>
      </w:pPr>
    </w:p>
    <w:p>
      <w:pPr>
        <w:spacing w:line="360" w:lineRule="auto"/>
        <w:rPr>
          <w:rFonts w:ascii="宋体" w:hAnsi="宋体" w:cs="宋体"/>
          <w:sz w:val="24"/>
          <w:highlight w:val="none"/>
        </w:rPr>
      </w:pP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1" w:name="_Toc6457"/>
      <w:r>
        <w:rPr>
          <w:rFonts w:hint="eastAsia" w:ascii="宋体" w:cs="宋体"/>
          <w:b/>
          <w:bCs/>
          <w:sz w:val="24"/>
          <w:highlight w:val="none"/>
        </w:rPr>
        <w:t>第六章 投标文件初审及招标项目评分表</w:t>
      </w:r>
      <w:bookmarkEnd w:id="21"/>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7950" w:type="dxa"/>
          </w:tcPr>
          <w:p>
            <w:pPr>
              <w:spacing w:line="360" w:lineRule="auto"/>
              <w:rPr>
                <w:rFonts w:ascii="宋体" w:hAnsi="宋体" w:cs="宋体"/>
                <w:sz w:val="24"/>
                <w:highlight w:val="none"/>
              </w:rPr>
            </w:pPr>
            <w:r>
              <w:rPr>
                <w:rFonts w:hint="eastAsia" w:ascii="宋体" w:hAnsi="宋体" w:cs="宋体"/>
                <w:sz w:val="24"/>
                <w:highlight w:val="none"/>
              </w:rPr>
              <w:t>投标</w:t>
            </w:r>
            <w:r>
              <w:rPr>
                <w:rFonts w:ascii="宋体" w:hAnsi="宋体" w:cs="宋体"/>
                <w:kern w:val="0"/>
                <w:sz w:val="24"/>
                <w:szCs w:val="20"/>
                <w:highlight w:val="none"/>
              </w:rPr>
              <w:t>单位</w:t>
            </w:r>
            <w:r>
              <w:rPr>
                <w:rFonts w:hint="eastAsia" w:ascii="宋体" w:hAnsi="宋体" w:cs="宋体"/>
                <w:sz w:val="24"/>
                <w:highlight w:val="none"/>
              </w:rPr>
              <w:t>不具备招标文件所列的资格要求，或未提交相应的资格证明资料（详见招标公告 投标</w:t>
            </w:r>
            <w:r>
              <w:rPr>
                <w:rFonts w:ascii="宋体" w:hAnsi="宋体" w:cs="宋体"/>
                <w:kern w:val="0"/>
                <w:sz w:val="24"/>
                <w:szCs w:val="20"/>
                <w:highlight w:val="none"/>
              </w:rPr>
              <w:t>单位</w:t>
            </w:r>
            <w:r>
              <w:rPr>
                <w:rFonts w:hint="eastAsia" w:ascii="宋体" w:hAnsi="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spacing w:line="360" w:lineRule="auto"/>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7950" w:type="dxa"/>
            <w:vAlign w:val="center"/>
          </w:tcPr>
          <w:p>
            <w:pPr>
              <w:spacing w:line="360" w:lineRule="auto"/>
              <w:rPr>
                <w:rFonts w:ascii="宋体" w:hAnsi="宋体" w:cs="宋体"/>
                <w:sz w:val="24"/>
                <w:highlight w:val="none"/>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7</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9</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10</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11</w:t>
            </w:r>
          </w:p>
        </w:tc>
        <w:tc>
          <w:tcPr>
            <w:tcW w:w="7950" w:type="dxa"/>
            <w:vAlign w:val="center"/>
          </w:tcPr>
          <w:p>
            <w:pPr>
              <w:spacing w:line="360" w:lineRule="auto"/>
              <w:rPr>
                <w:rFonts w:ascii="宋体" w:hAnsi="宋体" w:cs="宋体"/>
                <w:sz w:val="24"/>
                <w:highlight w:val="none"/>
              </w:rPr>
            </w:pPr>
            <w:r>
              <w:rPr>
                <w:rFonts w:hint="eastAsia" w:ascii="宋体" w:hAnsi="宋体" w:cs="宋体"/>
                <w:sz w:val="24"/>
                <w:highlight w:val="none"/>
              </w:rPr>
              <w:t>法律、法规规定的其他情形</w:t>
            </w:r>
          </w:p>
        </w:tc>
      </w:tr>
    </w:tbl>
    <w:p>
      <w:pPr>
        <w:spacing w:line="360" w:lineRule="auto"/>
        <w:rPr>
          <w:rFonts w:ascii="宋体" w:hAnsi="宋体" w:cs="宋体"/>
          <w:sz w:val="24"/>
          <w:highlight w:val="none"/>
        </w:rPr>
      </w:pPr>
    </w:p>
    <w:p>
      <w:pPr>
        <w:spacing w:line="360" w:lineRule="auto"/>
        <w:jc w:val="center"/>
        <w:rPr>
          <w:rFonts w:asci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招标项目评分表</w:t>
      </w:r>
    </w:p>
    <w:tbl>
      <w:tblPr>
        <w:tblStyle w:val="20"/>
        <w:tblW w:w="9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791"/>
        <w:gridCol w:w="5836"/>
        <w:gridCol w:w="682"/>
        <w:gridCol w:w="87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一、价格部分（10分）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791"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内容</w:t>
            </w:r>
          </w:p>
        </w:tc>
        <w:tc>
          <w:tcPr>
            <w:tcW w:w="5836"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评分规则</w:t>
            </w:r>
          </w:p>
        </w:tc>
        <w:tc>
          <w:tcPr>
            <w:tcW w:w="682"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87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评分方式</w:t>
            </w:r>
          </w:p>
        </w:tc>
        <w:tc>
          <w:tcPr>
            <w:tcW w:w="807"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71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791"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投标报价</w:t>
            </w:r>
          </w:p>
        </w:tc>
        <w:tc>
          <w:tcPr>
            <w:tcW w:w="5836" w:type="dxa"/>
            <w:tcBorders>
              <w:tl2br w:val="nil"/>
              <w:tr2bl w:val="nil"/>
            </w:tcBorders>
            <w:vAlign w:val="center"/>
          </w:tcPr>
          <w:p>
            <w:pPr>
              <w:widowControl/>
              <w:spacing w:line="360" w:lineRule="auto"/>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价格分计算方法：满足招标文件要求且投标价格最低的投标报价为评标基准价，其价格分为满分。其他投标人的价格分统一按照下列公式计算：</w:t>
            </w:r>
          </w:p>
          <w:p>
            <w:pPr>
              <w:widowControl/>
              <w:spacing w:line="360" w:lineRule="auto"/>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投标报价得分=(评标基准价／投标报价)×10</w:t>
            </w:r>
          </w:p>
          <w:p>
            <w:pPr>
              <w:widowControl/>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备注：1、因落实政府采购政策进行价格调整的，以调整后的价格计算评标基准价和投标报价。</w:t>
            </w:r>
            <w:r>
              <w:rPr>
                <w:rFonts w:hint="eastAsia" w:ascii="宋体" w:hAnsi="宋体" w:eastAsia="宋体" w:cs="宋体"/>
                <w:color w:val="000000" w:themeColor="text1"/>
                <w:sz w:val="24"/>
                <w:lang w:val="en-US" w:eastAsia="zh-CN"/>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投标报价得分四舍五入后，小数点后保留两位有效数。</w:t>
            </w:r>
          </w:p>
          <w:p>
            <w:pPr>
              <w:numPr>
                <w:ilvl w:val="-1"/>
                <w:numId w:val="0"/>
              </w:numPr>
              <w:spacing w:line="360" w:lineRule="auto"/>
              <w:jc w:val="left"/>
              <w:rPr>
                <w:rFonts w:hint="eastAsia" w:ascii="宋体" w:hAnsi="宋体" w:eastAsia="宋体" w:cs="宋体"/>
                <w:sz w:val="24"/>
                <w:highlight w:val="none"/>
                <w:lang w:eastAsia="zh-Hans"/>
              </w:rPr>
            </w:pPr>
            <w:r>
              <w:rPr>
                <w:rFonts w:hint="eastAsia" w:ascii="宋体" w:hAnsi="宋体" w:eastAsia="宋体" w:cs="宋体"/>
                <w:b w:val="0"/>
                <w:bCs w:val="0"/>
                <w:color w:val="000000" w:themeColor="text1"/>
                <w:kern w:val="2"/>
                <w:sz w:val="24"/>
                <w:lang w:bidi="ar"/>
                <w14:textFill>
                  <w14:solidFill>
                    <w14:schemeClr w14:val="tx1"/>
                  </w14:solidFill>
                </w14:textFill>
              </w:rPr>
              <w:t>本项目所属行业：</w:t>
            </w:r>
            <w:r>
              <w:rPr>
                <w:rFonts w:hint="eastAsia" w:ascii="宋体" w:hAnsi="宋体" w:eastAsia="宋体" w:cs="宋体"/>
                <w:b w:val="0"/>
                <w:bCs w:val="0"/>
                <w:color w:val="000000" w:themeColor="text1"/>
                <w:kern w:val="2"/>
                <w:sz w:val="24"/>
                <w:u w:val="none"/>
                <w:lang w:bidi="ar"/>
                <w14:textFill>
                  <w14:solidFill>
                    <w14:schemeClr w14:val="tx1"/>
                  </w14:solidFill>
                </w14:textFill>
              </w:rPr>
              <w:t>其他未列明行业</w:t>
            </w:r>
            <w:r>
              <w:rPr>
                <w:rFonts w:hint="eastAsia" w:ascii="宋体" w:hAnsi="宋体" w:eastAsia="宋体" w:cs="宋体"/>
                <w:b w:val="0"/>
                <w:bCs w:val="0"/>
                <w:color w:val="000000" w:themeColor="text1"/>
                <w:kern w:val="2"/>
                <w:sz w:val="24"/>
                <w:u w:val="none"/>
                <w:lang w:eastAsia="zh-CN" w:bidi="ar"/>
                <w14:textFill>
                  <w14:solidFill>
                    <w14:schemeClr w14:val="tx1"/>
                  </w14:solidFill>
                </w14:textFill>
              </w:rPr>
              <w:t>。</w:t>
            </w:r>
          </w:p>
        </w:tc>
        <w:tc>
          <w:tcPr>
            <w:tcW w:w="682"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10</w:t>
            </w:r>
          </w:p>
        </w:tc>
        <w:tc>
          <w:tcPr>
            <w:tcW w:w="87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二、商务部分（</w:t>
            </w:r>
            <w:r>
              <w:rPr>
                <w:rFonts w:hint="eastAsia" w:ascii="宋体" w:hAnsi="宋体" w:eastAsia="宋体" w:cs="宋体"/>
                <w:b/>
                <w:bCs/>
                <w:kern w:val="0"/>
                <w:sz w:val="24"/>
                <w:szCs w:val="24"/>
                <w:highlight w:val="none"/>
                <w:lang w:val="en-US" w:eastAsia="zh-CN" w:bidi="ar"/>
              </w:rPr>
              <w:t>50</w:t>
            </w:r>
            <w:r>
              <w:rPr>
                <w:rFonts w:hint="eastAsia" w:ascii="宋体" w:hAnsi="宋体" w:eastAsia="宋体" w:cs="宋体"/>
                <w:b/>
                <w:bCs/>
                <w:kern w:val="0"/>
                <w:sz w:val="24"/>
                <w:szCs w:val="24"/>
                <w:highlight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序号</w:t>
            </w:r>
          </w:p>
        </w:tc>
        <w:tc>
          <w:tcPr>
            <w:tcW w:w="791"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内容</w:t>
            </w:r>
          </w:p>
        </w:tc>
        <w:tc>
          <w:tcPr>
            <w:tcW w:w="5836"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评分规则</w:t>
            </w:r>
          </w:p>
        </w:tc>
        <w:tc>
          <w:tcPr>
            <w:tcW w:w="682"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分值</w:t>
            </w:r>
          </w:p>
        </w:tc>
        <w:tc>
          <w:tcPr>
            <w:tcW w:w="87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评分方式</w:t>
            </w:r>
          </w:p>
        </w:tc>
        <w:tc>
          <w:tcPr>
            <w:tcW w:w="807"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jc w:val="center"/>
        </w:trPr>
        <w:tc>
          <w:tcPr>
            <w:tcW w:w="71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791"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themeColor="text1"/>
                <w:sz w:val="24"/>
                <w14:textFill>
                  <w14:solidFill>
                    <w14:schemeClr w14:val="tx1"/>
                  </w14:solidFill>
                </w14:textFill>
              </w:rPr>
              <w:t>投标人同类项目业绩</w:t>
            </w:r>
          </w:p>
        </w:tc>
        <w:tc>
          <w:tcPr>
            <w:tcW w:w="5836" w:type="dxa"/>
            <w:tcBorders>
              <w:tl2br w:val="nil"/>
              <w:tr2bl w:val="nil"/>
            </w:tcBorders>
            <w:vAlign w:val="center"/>
          </w:tcPr>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（一）评分内容：</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1.投标人近5年（201</w:t>
            </w:r>
            <w:r>
              <w:rPr>
                <w:rFonts w:hint="default" w:ascii="宋体" w:hAnsi="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年</w:t>
            </w:r>
            <w:r>
              <w:rPr>
                <w:rFonts w:hint="default" w:ascii="宋体" w:hAnsi="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月1日至投标截止时间，以合同签订时间为准）具有同类项目经验，有提供一项得3分,本项最高得15分。</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（二）评分依据：</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1.要求提供合同关键信息（内容页、签订时间、签章页）作为得分依据。</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2.通过合同关键信息无法判断是否得分的，还须同时提供能证明得分的其他证明资料，如项目报告或合同甲方出具的证明文件等。</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3.认可同类工程业绩指：在建项目从业人员培育或评比</w:t>
            </w:r>
            <w:r>
              <w:rPr>
                <w:rFonts w:hint="eastAsia" w:ascii="宋体" w:hAnsi="宋体" w:eastAsia="宋体" w:cs="宋体"/>
                <w:color w:val="000000" w:themeColor="text1"/>
                <w:sz w:val="24"/>
                <w:lang w:val="en-US" w:eastAsia="zh-CN"/>
                <w14:textFill>
                  <w14:solidFill>
                    <w14:schemeClr w14:val="tx1"/>
                  </w14:solidFill>
                </w14:textFill>
              </w:rPr>
              <w:t>相关</w:t>
            </w:r>
            <w:r>
              <w:rPr>
                <w:rFonts w:hint="eastAsia" w:ascii="宋体" w:hAnsi="宋体" w:eastAsia="宋体" w:cs="宋体"/>
                <w:color w:val="000000" w:themeColor="text1"/>
                <w:sz w:val="24"/>
                <w14:textFill>
                  <w14:solidFill>
                    <w14:schemeClr w14:val="tx1"/>
                  </w14:solidFill>
                </w14:textFill>
              </w:rPr>
              <w:t>项目。</w:t>
            </w:r>
          </w:p>
          <w:p>
            <w:pPr>
              <w:spacing w:line="360" w:lineRule="auto"/>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以上资料须提供加盖投标人公章的复印件或扫描件，</w:t>
            </w:r>
            <w:r>
              <w:rPr>
                <w:rFonts w:hint="eastAsia" w:ascii="宋体" w:hAnsi="宋体" w:eastAsia="宋体" w:cs="宋体"/>
                <w:color w:val="000000" w:themeColor="text1"/>
                <w:sz w:val="24"/>
                <w14:textFill>
                  <w14:solidFill>
                    <w14:schemeClr w14:val="tx1"/>
                  </w14:solidFill>
                </w14:textFill>
              </w:rPr>
              <w:t>评分中若出现无证明资料或无法凭所提供资料判断是否得分的情况，一律作不得分处理。</w:t>
            </w:r>
          </w:p>
        </w:tc>
        <w:tc>
          <w:tcPr>
            <w:tcW w:w="682" w:type="dxa"/>
            <w:tcBorders>
              <w:tl2br w:val="nil"/>
              <w:tr2bl w:val="nil"/>
            </w:tcBorders>
            <w:vAlign w:val="center"/>
          </w:tcPr>
          <w:p>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
              </w:rPr>
              <w:t>15</w:t>
            </w:r>
          </w:p>
        </w:tc>
        <w:tc>
          <w:tcPr>
            <w:tcW w:w="873" w:type="dxa"/>
            <w:tcBorders>
              <w:tl2br w:val="nil"/>
              <w:tr2bl w:val="nil"/>
            </w:tcBorders>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评审委员打分</w:t>
            </w: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eastAsia="zh-CN" w:bidi="ar"/>
              </w:rPr>
            </w:pPr>
            <w:r>
              <w:rPr>
                <w:rFonts w:hint="eastAsia" w:ascii="宋体" w:hAnsi="宋体" w:cs="宋体"/>
                <w:sz w:val="24"/>
                <w:szCs w:val="24"/>
                <w:highlight w:val="none"/>
                <w:lang w:val="en-US" w:eastAsia="zh-CN"/>
              </w:rPr>
              <w:t>2</w:t>
            </w:r>
          </w:p>
        </w:tc>
        <w:tc>
          <w:tcPr>
            <w:tcW w:w="791" w:type="dxa"/>
            <w:tcBorders>
              <w:tl2br w:val="nil"/>
              <w:tr2bl w:val="nil"/>
            </w:tcBorders>
            <w:vAlign w:val="center"/>
          </w:tcPr>
          <w:p>
            <w:pPr>
              <w:widowControl/>
              <w:spacing w:line="360" w:lineRule="exact"/>
              <w:textAlignment w:val="center"/>
              <w:rPr>
                <w:rFonts w:hint="eastAsia" w:ascii="宋体" w:hAnsi="宋体" w:eastAsia="宋体" w:cs="宋体"/>
                <w:bCs/>
                <w:kern w:val="0"/>
                <w:sz w:val="24"/>
                <w:szCs w:val="24"/>
                <w:highlight w:val="none"/>
                <w:lang w:bidi="ar"/>
              </w:rPr>
            </w:pPr>
            <w:r>
              <w:rPr>
                <w:rFonts w:hint="eastAsia" w:ascii="宋体" w:hAnsi="宋体" w:eastAsia="宋体" w:cs="宋体"/>
                <w:color w:val="000000" w:themeColor="text1"/>
                <w:sz w:val="24"/>
                <w14:textFill>
                  <w14:solidFill>
                    <w14:schemeClr w14:val="tx1"/>
                  </w14:solidFill>
                </w14:textFill>
              </w:rPr>
              <w:t>投标人认证情况</w:t>
            </w:r>
          </w:p>
        </w:tc>
        <w:tc>
          <w:tcPr>
            <w:tcW w:w="5836" w:type="dxa"/>
            <w:tcBorders>
              <w:tl2br w:val="nil"/>
              <w:tr2bl w:val="nil"/>
            </w:tcBorders>
            <w:vAlign w:val="center"/>
          </w:tcPr>
          <w:p>
            <w:pPr>
              <w:numPr>
                <w:ilvl w:val="0"/>
                <w:numId w:val="10"/>
              </w:num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评分内容</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1.投标人获得质量管理体系认证、环境管理体系认证、职业健康管理体系认证，认证范围与工程管理、咨询、评估、巡检等任意一项相关。以上认证</w:t>
            </w:r>
            <w:r>
              <w:rPr>
                <w:rFonts w:hint="eastAsia" w:ascii="宋体" w:hAnsi="宋体" w:eastAsia="宋体" w:cs="宋体"/>
                <w:color w:val="000000" w:themeColor="text1"/>
                <w:sz w:val="24"/>
                <w:lang w:val="en-US" w:eastAsia="zh-CN"/>
                <w14:textFill>
                  <w14:solidFill>
                    <w14:schemeClr w14:val="tx1"/>
                  </w14:solidFill>
                </w14:textFill>
              </w:rPr>
              <w:t>证书</w:t>
            </w:r>
            <w:r>
              <w:rPr>
                <w:rFonts w:hint="eastAsia" w:ascii="宋体" w:hAnsi="宋体" w:eastAsia="宋体" w:cs="宋体"/>
                <w:color w:val="000000" w:themeColor="text1"/>
                <w:sz w:val="24"/>
                <w14:textFill>
                  <w14:solidFill>
                    <w14:schemeClr w14:val="tx1"/>
                  </w14:solidFill>
                </w14:textFill>
              </w:rPr>
              <w:t>获得任意1项得1分、任意2项得3分、全部获得得5分。</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（二）评分依据</w:t>
            </w:r>
          </w:p>
          <w:p>
            <w:pPr>
              <w:widowControl/>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要求提供有效期内认证证书复印件</w:t>
            </w:r>
            <w:r>
              <w:rPr>
                <w:rFonts w:hint="eastAsia" w:ascii="宋体" w:hAnsi="宋体" w:eastAsia="宋体" w:cs="宋体"/>
                <w:color w:val="000000" w:themeColor="text1"/>
                <w:sz w:val="24"/>
                <w:lang w:val="en-US" w:eastAsia="zh-CN"/>
                <w14:textFill>
                  <w14:solidFill>
                    <w14:schemeClr w14:val="tx1"/>
                  </w14:solidFill>
                </w14:textFill>
              </w:rPr>
              <w:t>以及</w:t>
            </w:r>
            <w:r>
              <w:rPr>
                <w:rFonts w:hint="eastAsia" w:ascii="宋体" w:hAnsi="宋体" w:eastAsia="宋体" w:cs="宋体"/>
                <w:color w:val="000000" w:themeColor="text1"/>
                <w:sz w:val="24"/>
                <w:szCs w:val="24"/>
                <w:lang w:val="en-US" w:eastAsia="zh-CN"/>
                <w14:textFill>
                  <w14:solidFill>
                    <w14:schemeClr w14:val="tx1"/>
                  </w14:solidFill>
                </w14:textFill>
              </w:rPr>
              <w:t>中国</w:t>
            </w:r>
          </w:p>
          <w:p>
            <w:pPr>
              <w:spacing w:line="360" w:lineRule="auto"/>
              <w:jc w:val="left"/>
              <w:rPr>
                <w:rFonts w:hint="eastAsia" w:ascii="宋体" w:hAnsi="宋体" w:eastAsia="宋体" w:cs="宋体"/>
                <w:bCs/>
                <w:kern w:val="0"/>
                <w:sz w:val="24"/>
                <w:szCs w:val="24"/>
                <w:highlight w:val="none"/>
                <w:lang w:bidi="ar"/>
              </w:rPr>
            </w:pPr>
            <w:r>
              <w:rPr>
                <w:rFonts w:hint="eastAsia" w:ascii="宋体" w:hAnsi="宋体" w:eastAsia="宋体" w:cs="宋体"/>
                <w:color w:val="000000" w:themeColor="text1"/>
                <w:sz w:val="24"/>
                <w:szCs w:val="24"/>
                <w:lang w:val="en-US" w:eastAsia="zh-CN"/>
                <w14:textFill>
                  <w14:solidFill>
                    <w14:schemeClr w14:val="tx1"/>
                  </w14:solidFill>
                </w14:textFill>
              </w:rPr>
              <w:t>国家认证认可监督管理委员会(http://www.cnca.gov.cn/)查询截图</w:t>
            </w:r>
            <w:r>
              <w:rPr>
                <w:rFonts w:hint="eastAsia" w:ascii="宋体" w:hAnsi="宋体" w:eastAsia="宋体" w:cs="宋体"/>
                <w:color w:val="000000" w:themeColor="text1"/>
                <w:sz w:val="24"/>
                <w14:textFill>
                  <w14:solidFill>
                    <w14:schemeClr w14:val="tx1"/>
                  </w14:solidFill>
                </w14:textFill>
              </w:rPr>
              <w:t>加盖投标人公章，原件备查。评分中出现无证明资料或专家无法凭所提供资料判断是否得分的情况，一律作不得分处理。</w:t>
            </w:r>
          </w:p>
        </w:tc>
        <w:tc>
          <w:tcPr>
            <w:tcW w:w="682" w:type="dxa"/>
            <w:tcBorders>
              <w:tl2br w:val="nil"/>
              <w:tr2bl w:val="nil"/>
            </w:tcBorders>
            <w:vAlign w:val="center"/>
          </w:tcPr>
          <w:p>
            <w:pPr>
              <w:spacing w:line="360" w:lineRule="auto"/>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sz w:val="24"/>
                <w:highlight w:val="none"/>
                <w:lang w:val="en-US" w:eastAsia="zh-CN"/>
              </w:rPr>
              <w:t>5</w:t>
            </w:r>
          </w:p>
        </w:tc>
        <w:tc>
          <w:tcPr>
            <w:tcW w:w="873"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bidi="ar"/>
              </w:rPr>
            </w:pPr>
            <w:r>
              <w:rPr>
                <w:rFonts w:hint="eastAsia" w:ascii="宋体" w:hAnsi="宋体" w:eastAsia="宋体" w:cs="宋体"/>
                <w:bCs/>
                <w:kern w:val="0"/>
                <w:sz w:val="24"/>
                <w:szCs w:val="24"/>
                <w:highlight w:val="none"/>
                <w:lang w:val="zh-CN"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791" w:type="dxa"/>
            <w:tcBorders>
              <w:tl2br w:val="nil"/>
              <w:tr2bl w:val="nil"/>
            </w:tcBorders>
            <w:vAlign w:val="center"/>
          </w:tcPr>
          <w:p>
            <w:pPr>
              <w:widowControl/>
              <w:spacing w:line="360" w:lineRule="exact"/>
              <w:textAlignment w:val="center"/>
              <w:rPr>
                <w:rFonts w:hint="eastAsia" w:ascii="宋体" w:hAnsi="宋体" w:eastAsia="宋体" w:cs="宋体"/>
                <w:kern w:val="0"/>
                <w:sz w:val="24"/>
                <w:szCs w:val="24"/>
                <w:highlight w:val="none"/>
                <w:lang w:val="zh-CN" w:bidi="ar"/>
              </w:rPr>
            </w:pPr>
            <w:r>
              <w:rPr>
                <w:rFonts w:hint="eastAsia" w:ascii="宋体" w:hAnsi="宋体" w:eastAsia="宋体" w:cs="宋体"/>
                <w:color w:val="000000" w:themeColor="text1"/>
                <w:sz w:val="24"/>
                <w14:textFill>
                  <w14:solidFill>
                    <w14:schemeClr w14:val="tx1"/>
                  </w14:solidFill>
                </w14:textFill>
              </w:rPr>
              <w:t>拟安排的项目负责人情况</w:t>
            </w:r>
          </w:p>
        </w:tc>
        <w:tc>
          <w:tcPr>
            <w:tcW w:w="5836" w:type="dxa"/>
            <w:tcBorders>
              <w:tl2br w:val="nil"/>
              <w:tr2bl w:val="nil"/>
            </w:tcBorders>
            <w:vAlign w:val="center"/>
          </w:tcPr>
          <w:p>
            <w:pPr>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一</w:t>
            </w:r>
            <w:r>
              <w:rPr>
                <w:rFonts w:hint="eastAsia" w:ascii="宋体" w:hAnsi="宋体" w:eastAsia="宋体" w:cs="宋体"/>
                <w:color w:val="000000" w:themeColor="text1"/>
                <w:sz w:val="24"/>
                <w:lang w:val="zh-CN"/>
                <w14:textFill>
                  <w14:solidFill>
                    <w14:schemeClr w14:val="tx1"/>
                  </w14:solidFill>
                </w14:textFill>
              </w:rPr>
              <w:t>）评分标准：</w:t>
            </w:r>
            <w:r>
              <w:rPr>
                <w:rFonts w:hint="eastAsia" w:ascii="宋体" w:hAnsi="宋体" w:eastAsia="宋体" w:cs="宋体"/>
                <w:color w:val="000000" w:themeColor="text1"/>
                <w:sz w:val="24"/>
                <w:lang w:val="en-US" w:eastAsia="zh-CN"/>
                <w14:textFill>
                  <w14:solidFill>
                    <w14:schemeClr w14:val="tx1"/>
                  </w14:solidFill>
                </w14:textFill>
              </w:rPr>
              <w:t>项目负责人仅一人：</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.具备</w:t>
            </w:r>
            <w:r>
              <w:rPr>
                <w:rFonts w:hint="eastAsia" w:ascii="宋体" w:hAnsi="宋体" w:eastAsia="宋体" w:cs="宋体"/>
                <w:color w:val="000000" w:themeColor="text1"/>
                <w:sz w:val="24"/>
                <w14:textFill>
                  <w14:solidFill>
                    <w14:schemeClr w14:val="tx1"/>
                  </w14:solidFill>
                </w14:textFill>
              </w:rPr>
              <w:t>建设工程相关专业</w:t>
            </w:r>
            <w:r>
              <w:rPr>
                <w:rFonts w:hint="eastAsia" w:ascii="宋体" w:hAnsi="宋体" w:eastAsia="宋体" w:cs="宋体"/>
                <w:color w:val="000000" w:themeColor="text1"/>
                <w:sz w:val="24"/>
                <w:lang w:val="zh-CN"/>
                <w14:textFill>
                  <w14:solidFill>
                    <w14:schemeClr w14:val="tx1"/>
                  </w14:solidFill>
                </w14:textFill>
              </w:rPr>
              <w:t>高级工程师或以上专业技术职称，可得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分；</w:t>
            </w:r>
            <w:r>
              <w:rPr>
                <w:rFonts w:hint="eastAsia" w:ascii="宋体" w:hAnsi="宋体" w:eastAsia="宋体" w:cs="宋体"/>
                <w:color w:val="000000" w:themeColor="text1"/>
                <w:sz w:val="24"/>
                <w:lang w:val="en-US" w:eastAsia="zh-CN"/>
                <w14:textFill>
                  <w14:solidFill>
                    <w14:schemeClr w14:val="tx1"/>
                  </w14:solidFill>
                </w14:textFill>
              </w:rPr>
              <w:t>本项满分</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分；</w:t>
            </w:r>
          </w:p>
          <w:p>
            <w:pPr>
              <w:spacing w:line="360" w:lineRule="auto"/>
              <w:jc w:val="left"/>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.有类似服务相关项目经验的</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认可同类工程业绩指：在建项目从业人员培育或评比</w:t>
            </w:r>
            <w:r>
              <w:rPr>
                <w:rFonts w:hint="eastAsia" w:ascii="宋体" w:hAnsi="宋体" w:eastAsia="宋体" w:cs="宋体"/>
                <w:color w:val="000000" w:themeColor="text1"/>
                <w:sz w:val="24"/>
                <w:lang w:val="en-US" w:eastAsia="zh-CN"/>
                <w14:textFill>
                  <w14:solidFill>
                    <w14:schemeClr w14:val="tx1"/>
                  </w14:solidFill>
                </w14:textFill>
              </w:rPr>
              <w:t>类相关</w:t>
            </w:r>
            <w:r>
              <w:rPr>
                <w:rFonts w:hint="eastAsia" w:ascii="宋体" w:hAnsi="宋体" w:eastAsia="宋体" w:cs="宋体"/>
                <w:color w:val="000000" w:themeColor="text1"/>
                <w:sz w:val="24"/>
                <w14:textFill>
                  <w14:solidFill>
                    <w14:schemeClr w14:val="tx1"/>
                  </w14:solidFill>
                </w14:textFill>
              </w:rPr>
              <w:t>项目</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分；</w:t>
            </w:r>
            <w:r>
              <w:rPr>
                <w:rFonts w:hint="eastAsia" w:ascii="宋体" w:hAnsi="宋体" w:eastAsia="宋体" w:cs="宋体"/>
                <w:color w:val="000000" w:themeColor="text1"/>
                <w:sz w:val="24"/>
                <w:lang w:val="en-US" w:eastAsia="zh-CN"/>
                <w14:textFill>
                  <w14:solidFill>
                    <w14:schemeClr w14:val="tx1"/>
                  </w14:solidFill>
                </w14:textFill>
              </w:rPr>
              <w:t>本项满分</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分。</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（二）评分依据</w:t>
            </w:r>
          </w:p>
          <w:p>
            <w:pPr>
              <w:spacing w:line="360" w:lineRule="auto"/>
              <w:jc w:val="left"/>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1.要求提供拟安排的项目负责人职称证书、资格证书、近</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个月内任意1个月社保证明（网页或窗口打印资料均可），</w:t>
            </w:r>
            <w:r>
              <w:rPr>
                <w:rFonts w:hint="eastAsia" w:ascii="宋体" w:hAnsi="宋体" w:eastAsia="宋体" w:cs="宋体"/>
                <w:color w:val="000000" w:themeColor="text1"/>
                <w:sz w:val="24"/>
                <w:lang w:val="zh-CN" w:eastAsia="zh-CN"/>
                <w14:textFill>
                  <w14:solidFill>
                    <w14:schemeClr w14:val="tx1"/>
                  </w14:solidFill>
                </w14:textFill>
              </w:rPr>
              <w:t>如投标截止日前一个月的社保材料因社保部门原因暂时无法取得，则可以往前顺延一个月；社保资料必须至少显示缴交养老保险信息，未显示该信息的该社保资料则不符合要求，如供应商为新成立企业且成立时间不足三个月的可提供加盖公章的情况说明或其他相关证明材料亦可。</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业绩经验要求提供项目合同关键信息，包括但不限于合同封面、合作内容、合作时间、双方盖章页等（体现人员名称）作为得分依据，通过合同关键信息无法判断是否得分的，还须同时提供合同甲方出具的证明文件。</w:t>
            </w:r>
          </w:p>
          <w:p>
            <w:pPr>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以上资料须提供加盖投标人公章的复印件或扫描件，</w:t>
            </w:r>
            <w:r>
              <w:rPr>
                <w:rFonts w:hint="eastAsia" w:ascii="宋体" w:hAnsi="宋体" w:eastAsia="宋体" w:cs="宋体"/>
                <w:color w:val="000000" w:themeColor="text1"/>
                <w:sz w:val="24"/>
                <w14:textFill>
                  <w14:solidFill>
                    <w14:schemeClr w14:val="tx1"/>
                  </w14:solidFill>
                </w14:textFill>
              </w:rPr>
              <w:t>评分中若出现无证明资料或无法凭所提供资料判断是否得分的情况，一律作不得分处理。</w:t>
            </w:r>
          </w:p>
        </w:tc>
        <w:tc>
          <w:tcPr>
            <w:tcW w:w="682" w:type="dxa"/>
            <w:tcBorders>
              <w:tl2br w:val="nil"/>
              <w:tr2bl w:val="nil"/>
            </w:tcBorders>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873"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kern w:val="0"/>
                <w:sz w:val="24"/>
                <w:szCs w:val="24"/>
                <w:highlight w:val="none"/>
                <w:lang w:val="zh-CN" w:bidi="ar"/>
              </w:rPr>
            </w:pPr>
            <w:r>
              <w:rPr>
                <w:rFonts w:hint="eastAsia" w:ascii="宋体" w:hAnsi="宋体" w:eastAsia="宋体" w:cs="宋体"/>
                <w:bCs/>
                <w:kern w:val="0"/>
                <w:sz w:val="24"/>
                <w:szCs w:val="24"/>
                <w:highlight w:val="none"/>
                <w:lang w:val="zh-CN"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713"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791" w:type="dxa"/>
            <w:tcBorders>
              <w:tl2br w:val="nil"/>
              <w:tr2bl w:val="nil"/>
            </w:tcBorders>
            <w:vAlign w:val="center"/>
          </w:tcPr>
          <w:p>
            <w:pPr>
              <w:widowControl/>
              <w:spacing w:line="360" w:lineRule="exact"/>
              <w:textAlignment w:val="center"/>
              <w:rPr>
                <w:rFonts w:hint="eastAsia" w:ascii="宋体" w:hAnsi="宋体" w:eastAsia="宋体" w:cs="宋体"/>
                <w:kern w:val="0"/>
                <w:sz w:val="24"/>
                <w:highlight w:val="none"/>
                <w:lang w:bidi="ar"/>
              </w:rPr>
            </w:pPr>
            <w:r>
              <w:rPr>
                <w:rFonts w:hint="eastAsia" w:ascii="宋体" w:hAnsi="宋体" w:eastAsia="宋体" w:cs="宋体"/>
                <w:color w:val="000000" w:themeColor="text1"/>
                <w:sz w:val="24"/>
                <w:lang w:val="zh-CN"/>
                <w14:textFill>
                  <w14:solidFill>
                    <w14:schemeClr w14:val="tx1"/>
                  </w14:solidFill>
                </w14:textFill>
              </w:rPr>
              <w:t>拟安排的项目团队情况（除项目负责人外）</w:t>
            </w:r>
          </w:p>
        </w:tc>
        <w:tc>
          <w:tcPr>
            <w:tcW w:w="5836" w:type="dxa"/>
            <w:tcBorders>
              <w:tl2br w:val="nil"/>
              <w:tr2bl w:val="nil"/>
            </w:tcBorders>
            <w:vAlign w:val="center"/>
          </w:tcPr>
          <w:p>
            <w:pPr>
              <w:pStyle w:val="35"/>
              <w:numPr>
                <w:ilvl w:val="0"/>
                <w:numId w:val="11"/>
              </w:numPr>
              <w:spacing w:line="360" w:lineRule="auto"/>
              <w:ind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评分内容</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拟安排的项目团队成员不少于</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人（项目负责人</w:t>
            </w:r>
            <w:r>
              <w:rPr>
                <w:rFonts w:hint="eastAsia" w:ascii="宋体" w:hAnsi="宋体" w:eastAsia="宋体" w:cs="宋体"/>
                <w:color w:val="000000" w:themeColor="text1"/>
                <w:sz w:val="24"/>
                <w:lang w:val="en-US" w:eastAsia="zh-CN"/>
                <w14:textFill>
                  <w14:solidFill>
                    <w14:schemeClr w14:val="tx1"/>
                  </w14:solidFill>
                </w14:textFill>
              </w:rPr>
              <w:t>除外</w:t>
            </w:r>
            <w:r>
              <w:rPr>
                <w:rFonts w:hint="eastAsia" w:ascii="宋体" w:hAnsi="宋体" w:eastAsia="宋体" w:cs="宋体"/>
                <w:color w:val="000000" w:themeColor="text1"/>
                <w:sz w:val="24"/>
                <w14:textFill>
                  <w14:solidFill>
                    <w14:schemeClr w14:val="tx1"/>
                  </w14:solidFill>
                </w14:textFill>
              </w:rPr>
              <w:t>），少于</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人的本项不得分；在此基础上：</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.团队成员（项目负责人除外）每有1个具备建设工程相关专业中级工程师职称</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eastAsia="宋体" w:cs="宋体"/>
                <w:color w:val="000000" w:themeColor="text1"/>
                <w:sz w:val="24"/>
                <w:lang w:val="zh-CN"/>
                <w14:textFill>
                  <w14:solidFill>
                    <w14:schemeClr w14:val="tx1"/>
                  </w14:solidFill>
                </w14:textFill>
              </w:rPr>
              <w:t>以上的得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分，本项最高</w:t>
            </w:r>
            <w:r>
              <w:rPr>
                <w:rFonts w:hint="eastAsia" w:ascii="宋体" w:hAnsi="宋体" w:cs="宋体"/>
                <w:color w:val="000000" w:themeColor="text1"/>
                <w:sz w:val="24"/>
                <w:lang w:val="en-US" w:eastAsia="zh-CN"/>
                <w14:textFill>
                  <w14:solidFill>
                    <w14:schemeClr w14:val="tx1"/>
                  </w14:solidFill>
                </w14:textFill>
              </w:rPr>
              <w:t>得10</w:t>
            </w:r>
            <w:r>
              <w:rPr>
                <w:rFonts w:hint="eastAsia" w:ascii="宋体" w:hAnsi="宋体" w:eastAsia="宋体" w:cs="宋体"/>
                <w:color w:val="000000" w:themeColor="text1"/>
                <w:sz w:val="24"/>
                <w:lang w:val="zh-CN"/>
                <w14:textFill>
                  <w14:solidFill>
                    <w14:schemeClr w14:val="tx1"/>
                  </w14:solidFill>
                </w14:textFill>
              </w:rPr>
              <w:t>分</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.项目组成员有完成过同类项目经验的</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认可同类工程业绩指：在建项目从业人员培育或评比</w:t>
            </w:r>
            <w:r>
              <w:rPr>
                <w:rFonts w:hint="eastAsia" w:ascii="宋体" w:hAnsi="宋体" w:eastAsia="宋体" w:cs="宋体"/>
                <w:color w:val="000000" w:themeColor="text1"/>
                <w:sz w:val="24"/>
                <w:lang w:val="en-US" w:eastAsia="zh-CN"/>
                <w14:textFill>
                  <w14:solidFill>
                    <w14:schemeClr w14:val="tx1"/>
                  </w14:solidFill>
                </w14:textFill>
              </w:rPr>
              <w:t>类相关</w:t>
            </w:r>
            <w:r>
              <w:rPr>
                <w:rFonts w:hint="eastAsia" w:ascii="宋体" w:hAnsi="宋体" w:eastAsia="宋体" w:cs="宋体"/>
                <w:color w:val="000000" w:themeColor="text1"/>
                <w:sz w:val="24"/>
                <w14:textFill>
                  <w14:solidFill>
                    <w14:schemeClr w14:val="tx1"/>
                  </w14:solidFill>
                </w14:textFill>
              </w:rPr>
              <w:t>项目</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，每含一名有业绩的团队成员得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分，同一业绩有多个成员可以重复计分，本项最高得</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分。</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（二）评分依据</w:t>
            </w:r>
          </w:p>
          <w:p>
            <w:pPr>
              <w:spacing w:line="360" w:lineRule="auto"/>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1.要求提供拟安排的项目团队成员职称证书、资格证书、近</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个月内任意1个月社保证明（网页或窗口打印资料均可），</w:t>
            </w:r>
            <w:r>
              <w:rPr>
                <w:rFonts w:hint="eastAsia" w:ascii="宋体" w:hAnsi="宋体" w:eastAsia="宋体" w:cs="宋体"/>
                <w:color w:val="000000" w:themeColor="text1"/>
                <w:sz w:val="24"/>
                <w:lang w:val="zh-CN" w:eastAsia="zh-CN"/>
                <w14:textFill>
                  <w14:solidFill>
                    <w14:schemeClr w14:val="tx1"/>
                  </w14:solidFill>
                </w14:textFill>
              </w:rPr>
              <w:t>如投标截止日前一个月的社保材料因社保部门原因暂时无法取得，则可以往前顺延一个月；社保资料必须至少显示缴交养老保险信息，未显示该信息的该社保资料则不符合要求，如供应商为新成立企业且成立时间不足三个月的可提供加盖公章的情况说明或其他相关证明材料亦可。若为退休返聘人员，需提供说明函（格式自拟），无需提供相关人员社保，亦可得分。</w:t>
            </w:r>
            <w:r>
              <w:rPr>
                <w:rFonts w:hint="eastAsia" w:ascii="宋体" w:hAnsi="宋体" w:eastAsia="宋体" w:cs="宋体"/>
                <w:color w:val="000000" w:themeColor="text1"/>
                <w:sz w:val="24"/>
                <w:lang w:val="zh-CN"/>
                <w14:textFill>
                  <w14:solidFill>
                    <w14:schemeClr w14:val="tx1"/>
                  </w14:solidFill>
                </w14:textFill>
              </w:rPr>
              <w:t>。</w:t>
            </w:r>
          </w:p>
          <w:p>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业绩经验要求提供项目合同关键信息，包括但不限于合同封面、合作内容、合作时间、双方盖章页等（体现人员名称）作为得分依据，通过合同关键信息无法判断是否得分的，还须同时提供合同甲方出具的证明文件。</w:t>
            </w:r>
          </w:p>
          <w:p>
            <w:pPr>
              <w:spacing w:line="360" w:lineRule="auto"/>
              <w:jc w:val="left"/>
              <w:rPr>
                <w:rFonts w:hint="eastAsia" w:ascii="宋体" w:hAnsi="宋体" w:eastAsia="宋体" w:cs="宋体"/>
                <w:kern w:val="0"/>
                <w:sz w:val="24"/>
                <w:highlight w:val="none"/>
                <w:lang w:bidi="ar"/>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以上资料须提供加盖投标人公章的复印件或扫描件，</w:t>
            </w:r>
            <w:r>
              <w:rPr>
                <w:rFonts w:hint="eastAsia" w:ascii="宋体" w:hAnsi="宋体" w:eastAsia="宋体" w:cs="宋体"/>
                <w:color w:val="000000" w:themeColor="text1"/>
                <w:sz w:val="24"/>
                <w14:textFill>
                  <w14:solidFill>
                    <w14:schemeClr w14:val="tx1"/>
                  </w14:solidFill>
                </w14:textFill>
              </w:rPr>
              <w:t>评分中若出现无证明资料或无法凭所提供资料判断是否得分的情况，一律作不得分处理。</w:t>
            </w:r>
          </w:p>
        </w:tc>
        <w:tc>
          <w:tcPr>
            <w:tcW w:w="682" w:type="dxa"/>
            <w:tcBorders>
              <w:tl2br w:val="nil"/>
              <w:tr2bl w:val="nil"/>
            </w:tcBorders>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73"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bCs/>
                <w:kern w:val="0"/>
                <w:sz w:val="24"/>
                <w:szCs w:val="24"/>
                <w:highlight w:val="none"/>
                <w:lang w:val="zh-CN" w:bidi="ar"/>
              </w:rPr>
            </w:pPr>
            <w:r>
              <w:rPr>
                <w:rFonts w:hint="eastAsia" w:ascii="宋体" w:hAnsi="宋体" w:eastAsia="宋体" w:cs="宋体"/>
                <w:kern w:val="0"/>
                <w:sz w:val="24"/>
                <w:highlight w:val="none"/>
                <w:lang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9702" w:type="dxa"/>
            <w:gridSpan w:val="6"/>
            <w:tcBorders>
              <w:tl2br w:val="nil"/>
              <w:tr2bl w:val="nil"/>
            </w:tcBorders>
            <w:vAlign w:val="center"/>
          </w:tcPr>
          <w:p>
            <w:pPr>
              <w:jc w:val="center"/>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三、技术部分（</w:t>
            </w:r>
            <w:r>
              <w:rPr>
                <w:rFonts w:hint="eastAsia" w:ascii="宋体" w:hAnsi="宋体" w:eastAsia="宋体" w:cs="宋体"/>
                <w:b/>
                <w:bCs/>
                <w:kern w:val="0"/>
                <w:sz w:val="24"/>
                <w:szCs w:val="24"/>
                <w:highlight w:val="none"/>
                <w:lang w:val="en-US" w:eastAsia="zh-CN" w:bidi="ar"/>
              </w:rPr>
              <w:t>35</w:t>
            </w:r>
            <w:r>
              <w:rPr>
                <w:rFonts w:hint="eastAsia" w:ascii="宋体" w:hAnsi="宋体" w:eastAsia="宋体" w:cs="宋体"/>
                <w:b/>
                <w:bCs/>
                <w:kern w:val="0"/>
                <w:sz w:val="24"/>
                <w:szCs w:val="24"/>
                <w:highlight w:val="none"/>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13"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w:t>
            </w:r>
          </w:p>
        </w:tc>
        <w:tc>
          <w:tcPr>
            <w:tcW w:w="791"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themeColor="text1"/>
                <w:sz w:val="24"/>
                <w:lang w:val="zh-CN"/>
                <w14:textFill>
                  <w14:solidFill>
                    <w14:schemeClr w14:val="tx1"/>
                  </w14:solidFill>
                </w14:textFill>
              </w:rPr>
              <w:t>对项目需求的解析</w:t>
            </w:r>
          </w:p>
        </w:tc>
        <w:tc>
          <w:tcPr>
            <w:tcW w:w="5836" w:type="dxa"/>
            <w:tcBorders>
              <w:tl2br w:val="nil"/>
              <w:tr2bl w:val="nil"/>
            </w:tcBorders>
            <w:vAlign w:val="center"/>
          </w:tcPr>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（一）评审内容：</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根据投标文件里</w:t>
            </w:r>
            <w:r>
              <w:rPr>
                <w:rFonts w:hint="eastAsia" w:ascii="宋体" w:hAnsi="宋体" w:eastAsia="宋体" w:cs="宋体"/>
                <w:color w:val="000000" w:themeColor="text1"/>
                <w:sz w:val="24"/>
                <w14:textFill>
                  <w14:solidFill>
                    <w14:schemeClr w14:val="tx1"/>
                  </w14:solidFill>
                </w14:textFill>
              </w:rPr>
              <w:t>分析</w:t>
            </w:r>
            <w:r>
              <w:rPr>
                <w:rFonts w:hint="eastAsia" w:ascii="宋体" w:hAnsi="宋体" w:eastAsia="宋体" w:cs="宋体"/>
                <w:color w:val="000000" w:themeColor="text1"/>
                <w:sz w:val="24"/>
                <w:lang w:val="zh-CN"/>
                <w14:textFill>
                  <w14:solidFill>
                    <w14:schemeClr w14:val="tx1"/>
                  </w14:solidFill>
                </w14:textFill>
              </w:rPr>
              <w:t>方案的判断情况比较得分：</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1.对背景的理解；</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2.对项目需求及目的解读；</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（二）评审标准：</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满足</w:t>
            </w:r>
            <w:r>
              <w:rPr>
                <w:rFonts w:hint="eastAsia" w:ascii="宋体" w:hAnsi="宋体" w:eastAsia="宋体" w:cs="宋体"/>
                <w:color w:val="000000" w:themeColor="text1"/>
                <w:sz w:val="24"/>
                <w:lang w:val="en-US" w:eastAsia="zh-CN"/>
                <w14:textFill>
                  <w14:solidFill>
                    <w14:schemeClr w14:val="tx1"/>
                  </w14:solidFill>
                </w14:textFill>
              </w:rPr>
              <w:t>两</w:t>
            </w:r>
            <w:r>
              <w:rPr>
                <w:rFonts w:hint="eastAsia" w:ascii="宋体" w:hAnsi="宋体" w:eastAsia="宋体" w:cs="宋体"/>
                <w:color w:val="000000" w:themeColor="text1"/>
                <w:sz w:val="24"/>
                <w:lang w:val="zh-CN"/>
                <w14:textFill>
                  <w14:solidFill>
                    <w14:schemeClr w14:val="tx1"/>
                  </w14:solidFill>
                </w14:textFill>
              </w:rPr>
              <w:t>点得</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分，满足任意一点得</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均</w:t>
            </w:r>
            <w:r>
              <w:rPr>
                <w:rFonts w:hint="eastAsia" w:ascii="宋体" w:hAnsi="宋体" w:eastAsia="宋体" w:cs="宋体"/>
                <w:color w:val="000000" w:themeColor="text1"/>
                <w:sz w:val="24"/>
                <w:lang w:val="zh-CN"/>
                <w14:textFill>
                  <w14:solidFill>
                    <w14:schemeClr w14:val="tx1"/>
                  </w14:solidFill>
                </w14:textFill>
              </w:rPr>
              <w:t>未满足不得分。</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在此基础上，专家根据各供应商的具体响应内容按照方案的完整性、规范性及内容的合理性进一步评审：</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①投标文件响应内容全面；</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②投标文件响应内容具体；</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③投标文件响应内容针对性强；</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④投标文件响应内容科学合理；</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⑤投标文件响应内容可操作性强。</w:t>
            </w:r>
          </w:p>
          <w:p>
            <w:pPr>
              <w:pStyle w:val="31"/>
              <w:widowControl/>
              <w:spacing w:line="360" w:lineRule="auto"/>
              <w:ind w:firstLine="0" w:firstLineChars="0"/>
              <w:jc w:val="left"/>
              <w:rPr>
                <w:rFonts w:hint="eastAsia" w:ascii="宋体" w:hAnsi="宋体" w:eastAsia="宋体" w:cs="宋体"/>
                <w:kern w:val="0"/>
                <w:sz w:val="24"/>
                <w:szCs w:val="24"/>
                <w:highlight w:val="none"/>
                <w:lang w:bidi="ar"/>
              </w:rPr>
            </w:pPr>
            <w:r>
              <w:rPr>
                <w:rFonts w:hint="eastAsia" w:ascii="宋体" w:hAnsi="宋体" w:eastAsia="宋体" w:cs="宋体"/>
                <w:color w:val="000000" w:themeColor="text1"/>
                <w:sz w:val="24"/>
                <w14:textFill>
                  <w14:solidFill>
                    <w14:schemeClr w14:val="tx1"/>
                  </w14:solidFill>
                </w14:textFill>
              </w:rPr>
              <w:t>满足以上5项的评价为优加</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分；满足以上4项的评价为良加</w:t>
            </w: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分；满足以上3项的评价为中加</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分；其他情况评价为差不加分。</w:t>
            </w:r>
          </w:p>
        </w:tc>
        <w:tc>
          <w:tcPr>
            <w:tcW w:w="682"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val="en-US" w:eastAsia="zh-CN" w:bidi="ar"/>
              </w:rPr>
              <w:t>0</w:t>
            </w:r>
          </w:p>
        </w:tc>
        <w:tc>
          <w:tcPr>
            <w:tcW w:w="873"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评审委员打分</w:t>
            </w: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w:t>
            </w:r>
          </w:p>
        </w:tc>
        <w:tc>
          <w:tcPr>
            <w:tcW w:w="791"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themeColor="text1"/>
                <w:sz w:val="24"/>
                <w:lang w:val="zh-CN"/>
                <w14:textFill>
                  <w14:solidFill>
                    <w14:schemeClr w14:val="tx1"/>
                  </w14:solidFill>
                </w14:textFill>
              </w:rPr>
              <w:t>实施方案</w:t>
            </w:r>
          </w:p>
        </w:tc>
        <w:tc>
          <w:tcPr>
            <w:tcW w:w="5836" w:type="dxa"/>
            <w:tcBorders>
              <w:tl2br w:val="nil"/>
              <w:tr2bl w:val="nil"/>
            </w:tcBorders>
            <w:vAlign w:val="center"/>
          </w:tcPr>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（一）评分内容：</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考察投标人针对本项目的实施方案，需包括但不仅限于以下内容：</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1、项目管理方案(包括人员安排)；</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工作内容</w:t>
            </w:r>
            <w:r>
              <w:rPr>
                <w:rFonts w:hint="eastAsia" w:ascii="宋体" w:hAnsi="宋体" w:eastAsia="宋体" w:cs="宋体"/>
                <w:color w:val="000000" w:themeColor="text1"/>
                <w:sz w:val="24"/>
                <w14:textFill>
                  <w14:solidFill>
                    <w14:schemeClr w14:val="tx1"/>
                  </w14:solidFill>
                </w14:textFill>
              </w:rPr>
              <w:t>与</w:t>
            </w:r>
            <w:r>
              <w:rPr>
                <w:rFonts w:hint="eastAsia" w:ascii="宋体" w:hAnsi="宋体" w:eastAsia="宋体" w:cs="宋体"/>
                <w:color w:val="000000" w:themeColor="text1"/>
                <w:sz w:val="24"/>
                <w:lang w:val="zh-CN"/>
                <w14:textFill>
                  <w14:solidFill>
                    <w14:schemeClr w14:val="tx1"/>
                  </w14:solidFill>
                </w14:textFill>
              </w:rPr>
              <w:t>方案思路</w:t>
            </w:r>
            <w:r>
              <w:rPr>
                <w:rFonts w:hint="eastAsia" w:ascii="宋体" w:hAnsi="宋体" w:eastAsia="宋体" w:cs="宋体"/>
                <w:color w:val="000000" w:themeColor="text1"/>
                <w:sz w:val="24"/>
                <w14:textFill>
                  <w14:solidFill>
                    <w14:schemeClr w14:val="tx1"/>
                  </w14:solidFill>
                </w14:textFill>
              </w:rPr>
              <w:t>；</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3、进度计划。</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（二）评分依据：</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考察以上三点得</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分，满足任意两点得</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分，满足一点得</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分，其他情况不得分。</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①投标文件响应内容全面；</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②投标文件响应内容具体；</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③投标文件响应内容针对性强；</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④投标文件响应内容科学合理；</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⑤投标文件响应内容可操作性强。</w:t>
            </w:r>
          </w:p>
          <w:p>
            <w:pPr>
              <w:pStyle w:val="31"/>
              <w:widowControl/>
              <w:spacing w:line="360" w:lineRule="auto"/>
              <w:ind w:firstLine="0" w:firstLineChars="0"/>
              <w:jc w:val="left"/>
              <w:rPr>
                <w:rFonts w:hint="eastAsia" w:ascii="宋体" w:hAnsi="宋体" w:eastAsia="宋体" w:cs="宋体"/>
                <w:kern w:val="0"/>
                <w:sz w:val="24"/>
                <w:szCs w:val="24"/>
                <w:highlight w:val="none"/>
                <w:lang w:bidi="ar"/>
              </w:rPr>
            </w:pPr>
            <w:r>
              <w:rPr>
                <w:rFonts w:hint="eastAsia" w:ascii="宋体" w:hAnsi="宋体" w:eastAsia="宋体" w:cs="宋体"/>
                <w:color w:val="000000" w:themeColor="text1"/>
                <w:sz w:val="24"/>
                <w14:textFill>
                  <w14:solidFill>
                    <w14:schemeClr w14:val="tx1"/>
                  </w14:solidFill>
                </w14:textFill>
              </w:rPr>
              <w:t>满足以上5项的评价为优加</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分；满足以上4项的评价为良加</w:t>
            </w: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分；满足以上3项的评价为中加</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分；其他情况评价为差不加分。</w:t>
            </w:r>
          </w:p>
        </w:tc>
        <w:tc>
          <w:tcPr>
            <w:tcW w:w="682"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10</w:t>
            </w:r>
          </w:p>
        </w:tc>
        <w:tc>
          <w:tcPr>
            <w:tcW w:w="873"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评审委员打分</w:t>
            </w: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13" w:type="dxa"/>
            <w:vMerge w:val="restart"/>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3</w:t>
            </w:r>
          </w:p>
        </w:tc>
        <w:tc>
          <w:tcPr>
            <w:tcW w:w="791"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color w:val="000000" w:themeColor="text1"/>
                <w:sz w:val="24"/>
                <w:lang w:val="zh-CN"/>
                <w14:textFill>
                  <w14:solidFill>
                    <w14:schemeClr w14:val="tx1"/>
                  </w14:solidFill>
                </w14:textFill>
              </w:rPr>
              <w:t>项目重点、难点及解决方案</w:t>
            </w:r>
          </w:p>
        </w:tc>
        <w:tc>
          <w:tcPr>
            <w:tcW w:w="5836" w:type="dxa"/>
            <w:tcBorders>
              <w:tl2br w:val="nil"/>
              <w:tr2bl w:val="nil"/>
            </w:tcBorders>
            <w:vAlign w:val="center"/>
          </w:tcPr>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（一）评审内容：</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根据招标文件的需求和投标文件响应情况，编制项目重点、难点及解决方案。包含但不限于以下内容：</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1、对重点难点问题的把握与分析</w:t>
            </w:r>
            <w:r>
              <w:rPr>
                <w:rFonts w:hint="eastAsia" w:ascii="宋体" w:hAnsi="宋体" w:eastAsia="宋体" w:cs="宋体"/>
                <w:color w:val="000000" w:themeColor="text1"/>
                <w:sz w:val="24"/>
                <w:lang w:val="zh-CN"/>
                <w14:textFill>
                  <w14:solidFill>
                    <w14:schemeClr w14:val="tx1"/>
                  </w14:solidFill>
                </w14:textFill>
              </w:rPr>
              <w:t>；</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2、对重点难点问题的应对措施和合理化建议</w:t>
            </w:r>
            <w:r>
              <w:rPr>
                <w:rFonts w:hint="eastAsia" w:ascii="宋体" w:hAnsi="宋体" w:eastAsia="宋体" w:cs="宋体"/>
                <w:color w:val="000000" w:themeColor="text1"/>
                <w:sz w:val="24"/>
                <w:lang w:val="zh-CN"/>
                <w14:textFill>
                  <w14:solidFill>
                    <w14:schemeClr w14:val="tx1"/>
                  </w14:solidFill>
                </w14:textFill>
              </w:rPr>
              <w:t>。</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（二）评分标准： </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满足</w:t>
            </w:r>
            <w:r>
              <w:rPr>
                <w:rFonts w:hint="eastAsia" w:ascii="宋体" w:hAnsi="宋体" w:eastAsia="宋体" w:cs="宋体"/>
                <w:color w:val="000000" w:themeColor="text1"/>
                <w:sz w:val="24"/>
                <w14:textFill>
                  <w14:solidFill>
                    <w14:schemeClr w14:val="tx1"/>
                  </w14:solidFill>
                </w14:textFill>
              </w:rPr>
              <w:t>两</w:t>
            </w:r>
            <w:r>
              <w:rPr>
                <w:rFonts w:hint="eastAsia" w:ascii="宋体" w:hAnsi="宋体" w:eastAsia="宋体" w:cs="宋体"/>
                <w:color w:val="000000" w:themeColor="text1"/>
                <w:sz w:val="24"/>
                <w:lang w:val="zh-CN"/>
                <w14:textFill>
                  <w14:solidFill>
                    <w14:schemeClr w14:val="tx1"/>
                  </w14:solidFill>
                </w14:textFill>
              </w:rPr>
              <w:t>点得</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分，满足任意一点得</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分，</w:t>
            </w:r>
            <w:r>
              <w:rPr>
                <w:rFonts w:hint="eastAsia" w:ascii="宋体" w:hAnsi="宋体" w:eastAsia="宋体" w:cs="宋体"/>
                <w:color w:val="000000" w:themeColor="text1"/>
                <w:sz w:val="24"/>
                <w14:textFill>
                  <w14:solidFill>
                    <w14:schemeClr w14:val="tx1"/>
                  </w14:solidFill>
                </w14:textFill>
              </w:rPr>
              <w:t>均</w:t>
            </w:r>
            <w:r>
              <w:rPr>
                <w:rFonts w:hint="eastAsia" w:ascii="宋体" w:hAnsi="宋体" w:eastAsia="宋体" w:cs="宋体"/>
                <w:color w:val="000000" w:themeColor="text1"/>
                <w:sz w:val="24"/>
                <w:lang w:val="zh-CN"/>
                <w14:textFill>
                  <w14:solidFill>
                    <w14:schemeClr w14:val="tx1"/>
                  </w14:solidFill>
                </w14:textFill>
              </w:rPr>
              <w:t xml:space="preserve">未满足不得分。 </w:t>
            </w:r>
          </w:p>
          <w:p>
            <w:pPr>
              <w:pStyle w:val="31"/>
              <w:widowControl/>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在此基础上，专家根据各供应商的具体响应内容进一步评审： </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①投标文件响应内容全面；</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②投标文件响应内容具体；</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③投标文件响应内容针对性强；</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④投标文件响应内容科学合理；</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⑤投标文件响应内容可操作性强。</w:t>
            </w:r>
          </w:p>
          <w:p>
            <w:pPr>
              <w:pStyle w:val="31"/>
              <w:widowControl/>
              <w:spacing w:line="360" w:lineRule="auto"/>
              <w:ind w:firstLine="0" w:firstLineChars="0"/>
              <w:jc w:val="left"/>
              <w:rPr>
                <w:rFonts w:hint="eastAsia" w:ascii="宋体" w:hAnsi="宋体" w:eastAsia="宋体" w:cs="宋体"/>
                <w:sz w:val="24"/>
                <w:highlight w:val="none"/>
              </w:rPr>
            </w:pPr>
            <w:r>
              <w:rPr>
                <w:rFonts w:hint="eastAsia" w:ascii="宋体" w:hAnsi="宋体" w:eastAsia="宋体" w:cs="宋体"/>
                <w:color w:val="000000" w:themeColor="text1"/>
                <w:sz w:val="24"/>
                <w14:textFill>
                  <w14:solidFill>
                    <w14:schemeClr w14:val="tx1"/>
                  </w14:solidFill>
                </w14:textFill>
              </w:rPr>
              <w:t>满足以上5项的评价为优加</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分；满足以上4项的评价为良加3分；满足以上3项的评价为中加</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分；其他情况评价为差不加分。</w:t>
            </w:r>
          </w:p>
        </w:tc>
        <w:tc>
          <w:tcPr>
            <w:tcW w:w="682"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10</w:t>
            </w:r>
          </w:p>
        </w:tc>
        <w:tc>
          <w:tcPr>
            <w:tcW w:w="873"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lang w:val="zh-CN"/>
              </w:rPr>
              <w:t>评审委员打分</w:t>
            </w: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13" w:type="dxa"/>
            <w:vMerge w:val="continue"/>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p>
        </w:tc>
        <w:tc>
          <w:tcPr>
            <w:tcW w:w="791" w:type="dxa"/>
            <w:tcBorders>
              <w:tl2br w:val="nil"/>
              <w:tr2bl w:val="nil"/>
            </w:tcBorders>
            <w:vAlign w:val="center"/>
          </w:tcPr>
          <w:p>
            <w:pPr>
              <w:widowControl/>
              <w:jc w:val="center"/>
              <w:textAlignment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项目质量保障措施和售后服务计划</w:t>
            </w:r>
          </w:p>
        </w:tc>
        <w:tc>
          <w:tcPr>
            <w:tcW w:w="5836" w:type="dxa"/>
            <w:tcBorders>
              <w:tl2br w:val="nil"/>
              <w:tr2bl w:val="nil"/>
            </w:tcBorders>
            <w:vAlign w:val="center"/>
          </w:tcPr>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（一）评分内容：</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考察投标人针对本项目的保障</w:t>
            </w:r>
            <w:r>
              <w:rPr>
                <w:rFonts w:hint="eastAsia" w:ascii="宋体" w:hAnsi="宋体" w:eastAsia="宋体" w:cs="宋体"/>
                <w:color w:val="000000" w:themeColor="text1"/>
                <w:sz w:val="24"/>
                <w:lang w:val="zh-CN"/>
                <w14:textFill>
                  <w14:solidFill>
                    <w14:schemeClr w14:val="tx1"/>
                  </w14:solidFill>
                </w14:textFill>
              </w:rPr>
              <w:t>措施和售后服务计划</w:t>
            </w:r>
            <w:r>
              <w:rPr>
                <w:rFonts w:hint="eastAsia" w:ascii="宋体" w:hAnsi="宋体" w:eastAsia="宋体" w:cs="宋体"/>
                <w:color w:val="000000" w:themeColor="text1"/>
                <w:sz w:val="24"/>
                <w14:textFill>
                  <w14:solidFill>
                    <w14:schemeClr w14:val="tx1"/>
                  </w14:solidFill>
                </w14:textFill>
              </w:rPr>
              <w:t>，需包括但不仅限于以下内容：</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1、质量、进度管理保证措施；</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2、售后服务方案。</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考察以上两点，满足一点得</w:t>
            </w: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分，最高得</w:t>
            </w:r>
            <w:r>
              <w:rPr>
                <w:rFonts w:hint="eastAsia" w:ascii="宋体" w:hAnsi="宋体" w:eastAsia="宋体" w:cs="宋体"/>
                <w:color w:val="000000" w:themeColor="text1"/>
                <w:sz w:val="24"/>
                <w:lang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分。</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（二）评分依据：</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①投标文件响应内容全面；</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②投标文件响应内容具体；</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③投标文件响应内容针对性强；</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④投标文件响应内容科学合理；</w:t>
            </w:r>
          </w:p>
          <w:p>
            <w:pPr>
              <w:spacing w:line="360" w:lineRule="auto"/>
              <w:ind w:right="-107" w:rightChars="-51"/>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⑤投标文件响应内容可操作性强。</w:t>
            </w:r>
          </w:p>
          <w:p>
            <w:pPr>
              <w:pStyle w:val="31"/>
              <w:widowControl/>
              <w:spacing w:line="360" w:lineRule="auto"/>
              <w:ind w:firstLine="0" w:firstLineChars="0"/>
              <w:jc w:val="left"/>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满足以上5项的评价为优加</w:t>
            </w:r>
            <w:r>
              <w:rPr>
                <w:rFonts w:hint="eastAsia" w:ascii="宋体" w:hAnsi="宋体" w:eastAsia="宋体" w:cs="宋体"/>
                <w:color w:val="000000" w:themeColor="text1"/>
                <w:sz w:val="24"/>
                <w:lang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分；满足以上4项的评价为良加3分；满足以上3项的评价为中加</w:t>
            </w:r>
            <w:r>
              <w:rPr>
                <w:rFonts w:hint="eastAsia" w:ascii="宋体" w:hAnsi="宋体" w:eastAsia="宋体" w:cs="宋体"/>
                <w:color w:val="000000" w:themeColor="text1"/>
                <w:sz w:val="24"/>
                <w:lang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分；其他情况评价为差不加分。</w:t>
            </w:r>
          </w:p>
        </w:tc>
        <w:tc>
          <w:tcPr>
            <w:tcW w:w="682"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10</w:t>
            </w:r>
          </w:p>
        </w:tc>
        <w:tc>
          <w:tcPr>
            <w:tcW w:w="873" w:type="dxa"/>
            <w:tcBorders>
              <w:tl2br w:val="nil"/>
              <w:tr2bl w:val="nil"/>
            </w:tcBorders>
            <w:vAlign w:val="center"/>
          </w:tcPr>
          <w:p>
            <w:pPr>
              <w:widowControl/>
              <w:jc w:val="center"/>
              <w:textAlignment w:val="center"/>
              <w:rPr>
                <w:rFonts w:hint="eastAsia" w:ascii="宋体" w:hAnsi="宋体" w:eastAsia="宋体" w:cs="宋体"/>
                <w:sz w:val="24"/>
                <w:szCs w:val="24"/>
                <w:highlight w:val="none"/>
                <w:lang w:val="zh-CN"/>
              </w:rPr>
            </w:pP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702" w:type="dxa"/>
            <w:gridSpan w:val="6"/>
            <w:tcBorders>
              <w:tl2br w:val="nil"/>
              <w:tr2bl w:val="nil"/>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四、诚信部分（5分）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jc w:val="center"/>
        </w:trPr>
        <w:tc>
          <w:tcPr>
            <w:tcW w:w="713" w:type="dxa"/>
            <w:tcBorders>
              <w:tl2br w:val="nil"/>
              <w:tr2bl w:val="nil"/>
            </w:tcBorders>
            <w:vAlign w:val="center"/>
          </w:tcPr>
          <w:p>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1</w:t>
            </w:r>
          </w:p>
        </w:tc>
        <w:tc>
          <w:tcPr>
            <w:tcW w:w="791" w:type="dxa"/>
            <w:tcBorders>
              <w:tl2br w:val="nil"/>
              <w:tr2bl w:val="nil"/>
            </w:tcBorders>
            <w:vAlign w:val="center"/>
          </w:tcPr>
          <w:p>
            <w:pPr>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诚信管理情况</w:t>
            </w:r>
          </w:p>
        </w:tc>
        <w:tc>
          <w:tcPr>
            <w:tcW w:w="5836" w:type="dxa"/>
            <w:tcBorders>
              <w:tl2br w:val="nil"/>
              <w:tr2bl w:val="nil"/>
            </w:tcBorders>
            <w:vAlign w:val="center"/>
          </w:tcPr>
          <w:p>
            <w:pPr>
              <w:wordWrap w:val="0"/>
              <w:spacing w:line="360" w:lineRule="auto"/>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投标人在参与政府采购活动中存在诚信相关问题且在主管部门相关处理措施实施期限内的，本项不得分，否则得满分。投标人按招标文件格式要求提供《诚信声明与承诺》的得满分，其他不得分。</w:t>
            </w:r>
          </w:p>
        </w:tc>
        <w:tc>
          <w:tcPr>
            <w:tcW w:w="682" w:type="dxa"/>
            <w:tcBorders>
              <w:tl2br w:val="nil"/>
              <w:tr2bl w:val="nil"/>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73" w:type="dxa"/>
            <w:tcBorders>
              <w:tl2br w:val="nil"/>
              <w:tr2bl w:val="nil"/>
            </w:tcBorders>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评审委员打分</w:t>
            </w:r>
          </w:p>
        </w:tc>
        <w:tc>
          <w:tcPr>
            <w:tcW w:w="807" w:type="dxa"/>
            <w:tcBorders>
              <w:tl2br w:val="nil"/>
              <w:tr2bl w:val="nil"/>
            </w:tcBorders>
            <w:vAlign w:val="center"/>
          </w:tcPr>
          <w:p>
            <w:pPr>
              <w:jc w:val="center"/>
              <w:rPr>
                <w:rFonts w:hint="eastAsia" w:ascii="宋体" w:hAnsi="宋体" w:eastAsia="宋体" w:cs="宋体"/>
                <w:sz w:val="24"/>
                <w:szCs w:val="24"/>
                <w:highlight w:val="none"/>
              </w:rPr>
            </w:pPr>
          </w:p>
        </w:tc>
      </w:tr>
    </w:tbl>
    <w:p>
      <w:pPr>
        <w:spacing w:line="360" w:lineRule="auto"/>
        <w:jc w:val="center"/>
        <w:outlineLvl w:val="0"/>
        <w:rPr>
          <w:rFonts w:ascii="宋体" w:hAnsi="宋体" w:cs="宋体"/>
          <w:b/>
          <w:bCs/>
          <w:sz w:val="24"/>
          <w:highlight w:val="none"/>
        </w:rPr>
        <w:sectPr>
          <w:pgSz w:w="11906" w:h="16838"/>
          <w:pgMar w:top="1440" w:right="1650" w:bottom="1440" w:left="1650" w:header="851" w:footer="992" w:gutter="0"/>
          <w:pgNumType w:fmt="decimal"/>
          <w:cols w:space="720" w:num="1"/>
          <w:docGrid w:type="lines" w:linePitch="319" w:charSpace="0"/>
        </w:sectPr>
      </w:pPr>
      <w:bookmarkStart w:id="22" w:name="_Toc834"/>
      <w:bookmarkStart w:id="23" w:name="_Hlk28269117"/>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2"/>
    </w:p>
    <w:p>
      <w:pPr>
        <w:keepNext/>
        <w:keepLines/>
        <w:spacing w:before="260" w:after="260" w:line="360" w:lineRule="auto"/>
        <w:jc w:val="center"/>
        <w:outlineLvl w:val="1"/>
        <w:rPr>
          <w:rFonts w:ascii="宋体" w:hAnsi="宋体" w:cs="宋体"/>
          <w:b/>
          <w:bCs/>
          <w:sz w:val="24"/>
          <w:highlight w:val="none"/>
        </w:rPr>
      </w:pPr>
      <w:bookmarkStart w:id="24" w:name="_Toc19494"/>
      <w:bookmarkStart w:id="25" w:name="_Toc31827"/>
      <w:bookmarkStart w:id="26" w:name="_Toc6548"/>
      <w:bookmarkStart w:id="27" w:name="_Toc5116"/>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4"/>
      <w:bookmarkEnd w:id="25"/>
      <w:bookmarkEnd w:id="26"/>
      <w:bookmarkEnd w:id="27"/>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highlight w:val="none"/>
              </w:rPr>
            </w:pPr>
          </w:p>
          <w:p>
            <w:pPr>
              <w:pStyle w:val="6"/>
              <w:tabs>
                <w:tab w:val="left" w:pos="562"/>
                <w:tab w:val="left" w:pos="3372"/>
                <w:tab w:val="left" w:pos="3653"/>
              </w:tabs>
              <w:spacing w:line="360" w:lineRule="auto"/>
              <w:jc w:val="center"/>
              <w:rPr>
                <w:rFonts w:ascii="黑体" w:eastAsia="黑体"/>
                <w:b/>
                <w:sz w:val="72"/>
                <w:szCs w:val="72"/>
                <w:highlight w:val="none"/>
              </w:rPr>
            </w:pPr>
            <w:r>
              <w:rPr>
                <w:rFonts w:hint="eastAsia" w:ascii="黑体" w:eastAsia="黑体"/>
                <w:b/>
                <w:sz w:val="72"/>
                <w:szCs w:val="72"/>
                <w:highlight w:val="none"/>
              </w:rPr>
              <w:t>投 标 文 件</w:t>
            </w:r>
          </w:p>
          <w:p>
            <w:pPr>
              <w:pStyle w:val="6"/>
              <w:tabs>
                <w:tab w:val="left" w:pos="562"/>
                <w:tab w:val="left" w:pos="3372"/>
                <w:tab w:val="left" w:pos="3653"/>
              </w:tabs>
              <w:spacing w:line="360" w:lineRule="auto"/>
              <w:jc w:val="center"/>
              <w:rPr>
                <w:rFonts w:ascii="黑体" w:eastAsia="黑体"/>
                <w:b/>
                <w:strike/>
                <w:sz w:val="32"/>
                <w:highlight w:val="none"/>
              </w:rPr>
            </w:pP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spacing w:after="120" w:line="360" w:lineRule="auto"/>
              <w:ind w:firstLine="3385" w:firstLineChars="651"/>
              <w:textAlignment w:val="baseline"/>
              <w:rPr>
                <w:rFonts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tabs>
                <w:tab w:val="left" w:pos="562"/>
                <w:tab w:val="left" w:pos="3372"/>
                <w:tab w:val="left" w:pos="3653"/>
              </w:tabs>
              <w:spacing w:line="360" w:lineRule="auto"/>
              <w:rPr>
                <w:rFonts w:ascii="仿宋_GB2312" w:eastAsia="仿宋_GB2312"/>
                <w:b/>
                <w:sz w:val="32"/>
                <w:highlight w:val="none"/>
              </w:rPr>
            </w:pPr>
          </w:p>
          <w:p>
            <w:pPr>
              <w:pStyle w:val="6"/>
              <w:tabs>
                <w:tab w:val="left" w:pos="562"/>
                <w:tab w:val="left" w:pos="3372"/>
                <w:tab w:val="left" w:pos="3653"/>
              </w:tabs>
              <w:spacing w:line="360" w:lineRule="auto"/>
              <w:rPr>
                <w:rFonts w:ascii="仿宋_GB2312" w:eastAsia="仿宋_GB2312"/>
                <w:b/>
                <w:sz w:val="32"/>
                <w:highlight w:val="none"/>
              </w:rPr>
            </w:pPr>
          </w:p>
          <w:p>
            <w:pPr>
              <w:pStyle w:val="6"/>
              <w:tabs>
                <w:tab w:val="left" w:pos="562"/>
                <w:tab w:val="left" w:pos="3372"/>
                <w:tab w:val="left" w:pos="3653"/>
              </w:tabs>
              <w:spacing w:line="360" w:lineRule="auto"/>
              <w:ind w:firstLine="900" w:firstLineChars="320"/>
              <w:rPr>
                <w:rFonts w:ascii="仿宋_GB2312" w:eastAsia="仿宋_GB2312"/>
                <w:b/>
                <w:sz w:val="28"/>
                <w:szCs w:val="28"/>
                <w:highlight w:val="none"/>
              </w:rPr>
            </w:pPr>
          </w:p>
          <w:p>
            <w:pPr>
              <w:rPr>
                <w:highlight w:val="none"/>
              </w:rPr>
            </w:pPr>
          </w:p>
          <w:p>
            <w:pPr>
              <w:pStyle w:val="6"/>
              <w:tabs>
                <w:tab w:val="left" w:pos="562"/>
                <w:tab w:val="left" w:pos="3372"/>
                <w:tab w:val="left" w:pos="3653"/>
              </w:tabs>
              <w:spacing w:line="360" w:lineRule="auto"/>
              <w:rPr>
                <w:rFonts w:ascii="仿宋_GB2312" w:eastAsia="仿宋_GB2312"/>
                <w:b/>
                <w:sz w:val="28"/>
                <w:szCs w:val="28"/>
                <w:highlight w:val="none"/>
              </w:rPr>
            </w:pPr>
          </w:p>
          <w:p>
            <w:pPr>
              <w:pStyle w:val="6"/>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highlight w:val="none"/>
              </w:rPr>
            </w:pPr>
            <w:r>
              <w:rPr>
                <w:rFonts w:hint="eastAsia" w:ascii="仿宋_GB2312" w:eastAsia="仿宋_GB2312"/>
                <w:b/>
                <w:sz w:val="28"/>
                <w:szCs w:val="28"/>
                <w:highlight w:val="none"/>
              </w:rPr>
              <w:t>投标人名称：</w:t>
            </w:r>
          </w:p>
          <w:p>
            <w:pPr>
              <w:pStyle w:val="6"/>
              <w:tabs>
                <w:tab w:val="left" w:pos="562"/>
                <w:tab w:val="left" w:pos="3372"/>
                <w:tab w:val="left" w:pos="3653"/>
              </w:tabs>
              <w:spacing w:line="360" w:lineRule="auto"/>
              <w:ind w:firstLine="900" w:firstLineChars="320"/>
              <w:rPr>
                <w:rFonts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3"/>
        <w:rPr>
          <w:rFonts w:hint="eastAsia" w:ascii="宋体" w:eastAsia="宋体" w:cs="宋体"/>
          <w:b/>
          <w:sz w:val="24"/>
          <w:highlight w:val="none"/>
        </w:rPr>
      </w:pPr>
    </w:p>
    <w:p>
      <w:pPr>
        <w:pStyle w:val="3"/>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2、分类报价明细表；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3、</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4、</w:t>
      </w:r>
      <w:r>
        <w:rPr>
          <w:rFonts w:hint="eastAsia" w:ascii="宋体" w:hAnsi="宋体" w:cs="宋体"/>
          <w:sz w:val="24"/>
          <w:highlight w:val="none"/>
          <w:lang w:val="fr-CH"/>
        </w:rPr>
        <w:t>关于资格的声明函；</w:t>
      </w:r>
    </w:p>
    <w:p>
      <w:pPr>
        <w:pStyle w:val="24"/>
        <w:spacing w:line="360" w:lineRule="auto"/>
        <w:ind w:firstLine="480"/>
        <w:rPr>
          <w:highlight w:val="none"/>
          <w:lang w:val="fr-CH"/>
        </w:rPr>
      </w:pPr>
      <w:r>
        <w:rPr>
          <w:rFonts w:hint="eastAsia" w:ascii="宋体" w:hAnsi="宋体" w:cs="宋体"/>
          <w:kern w:val="2"/>
          <w:sz w:val="24"/>
          <w:szCs w:val="24"/>
          <w:highlight w:val="none"/>
          <w:lang w:val="fr-CH"/>
        </w:rPr>
        <w:t>5、企业诚信声明与承诺；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6、</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7、法定代表人授权书及身份证明；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8、招标代理服务费承诺书；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9、投标人简介</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10、投标人同类项目业绩</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w:t>
      </w:r>
      <w:r>
        <w:rPr>
          <w:rFonts w:hint="eastAsia" w:ascii="宋体" w:hAnsi="宋体" w:cs="宋体"/>
          <w:color w:val="000000" w:themeColor="text1"/>
          <w:sz w:val="24"/>
          <w:lang w:val="fr-CH"/>
          <w14:textFill>
            <w14:solidFill>
              <w14:schemeClr w14:val="tx1"/>
            </w14:solidFill>
          </w14:textFill>
        </w:rPr>
        <w:t>投标人认证情况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color w:val="000000" w:themeColor="text1"/>
          <w:sz w:val="24"/>
          <w:lang w:val="fr-CH"/>
          <w14:textFill>
            <w14:solidFill>
              <w14:schemeClr w14:val="tx1"/>
            </w14:solidFill>
          </w14:textFill>
        </w:rPr>
        <w:t>拟安排的项目负责人情况</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color w:val="000000" w:themeColor="text1"/>
          <w:sz w:val="24"/>
          <w:lang w:val="fr-CH"/>
          <w14:textFill>
            <w14:solidFill>
              <w14:schemeClr w14:val="tx1"/>
            </w14:solidFill>
          </w14:textFill>
        </w:rPr>
        <w:t>拟安排的项目团队情况（除项目负责人外）</w:t>
      </w:r>
    </w:p>
    <w:p>
      <w:pPr>
        <w:tabs>
          <w:tab w:val="left" w:pos="640"/>
          <w:tab w:val="left" w:pos="1260"/>
          <w:tab w:val="left" w:pos="1418"/>
        </w:tabs>
        <w:spacing w:line="360" w:lineRule="auto"/>
        <w:ind w:firstLine="480" w:firstLineChars="200"/>
        <w:rPr>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color w:val="000000" w:themeColor="text1"/>
          <w:sz w:val="24"/>
          <w:lang w:val="fr-CH"/>
          <w14:textFill>
            <w14:solidFill>
              <w14:schemeClr w14:val="tx1"/>
            </w14:solidFill>
          </w14:textFill>
        </w:rPr>
        <w:t>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5</w:t>
      </w:r>
      <w:r>
        <w:rPr>
          <w:rFonts w:hint="eastAsia" w:ascii="宋体" w:hAnsi="宋体" w:cs="宋体"/>
          <w:sz w:val="24"/>
          <w:highlight w:val="none"/>
          <w:lang w:val="fr-CH"/>
        </w:rPr>
        <w:t>、投标单位认为有必要提供的其他材料（</w:t>
      </w:r>
      <w:r>
        <w:rPr>
          <w:rFonts w:hint="eastAsia" w:ascii="宋体" w:hAnsi="宋体" w:cs="宋体"/>
          <w:sz w:val="24"/>
          <w:highlight w:val="none"/>
        </w:rPr>
        <w:t>格式自拟</w:t>
      </w:r>
      <w:r>
        <w:rPr>
          <w:rFonts w:hint="eastAsia" w:ascii="宋体" w:hAnsi="宋体" w:cs="宋体"/>
          <w:sz w:val="24"/>
          <w:highlight w:val="none"/>
          <w:lang w:val="fr-CH"/>
        </w:rPr>
        <w:t>）</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w:t>
      </w:r>
      <w:r>
        <w:rPr>
          <w:rFonts w:hint="eastAsia" w:ascii="宋体" w:hAnsi="宋体" w:cs="宋体"/>
          <w:color w:val="000000" w:themeColor="text1"/>
          <w:sz w:val="24"/>
          <w:lang w:val="fr-CH"/>
          <w14:textFill>
            <w14:solidFill>
              <w14:schemeClr w14:val="tx1"/>
            </w14:solidFill>
          </w14:textFill>
        </w:rPr>
        <w:t>对项目需求的解析</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w:t>
      </w:r>
      <w:r>
        <w:rPr>
          <w:rFonts w:hint="eastAsia" w:ascii="宋体" w:hAnsi="宋体" w:cs="宋体"/>
          <w:color w:val="000000" w:themeColor="text1"/>
          <w:sz w:val="24"/>
          <w:lang w:val="fr-CH"/>
          <w14:textFill>
            <w14:solidFill>
              <w14:schemeClr w14:val="tx1"/>
            </w14:solidFill>
          </w14:textFill>
        </w:rPr>
        <w:t>实施方案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w:t>
      </w:r>
      <w:r>
        <w:rPr>
          <w:rFonts w:hint="eastAsia" w:ascii="宋体" w:hAnsi="宋体" w:cs="宋体"/>
          <w:color w:val="000000" w:themeColor="text1"/>
          <w:sz w:val="24"/>
          <w:lang w:val="fr-CH"/>
          <w14:textFill>
            <w14:solidFill>
              <w14:schemeClr w14:val="tx1"/>
            </w14:solidFill>
          </w14:textFill>
        </w:rPr>
        <w:t>项目重点、难点及解决方案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5、</w:t>
      </w:r>
      <w:r>
        <w:rPr>
          <w:rFonts w:hint="eastAsia" w:ascii="宋体" w:hAnsi="宋体" w:cs="宋体"/>
          <w:color w:val="000000" w:themeColor="text1"/>
          <w:sz w:val="24"/>
          <w:lang w:val="fr-CH"/>
          <w14:textFill>
            <w14:solidFill>
              <w14:schemeClr w14:val="tx1"/>
            </w14:solidFill>
          </w14:textFill>
        </w:rPr>
        <w:t>项目质量保障措施和售后服务计划</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项目名称</w:t>
            </w:r>
          </w:p>
        </w:tc>
        <w:tc>
          <w:tcPr>
            <w:tcW w:w="3225"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投标总价</w:t>
            </w:r>
          </w:p>
          <w:p>
            <w:pPr>
              <w:spacing w:after="60" w:line="360" w:lineRule="auto"/>
              <w:jc w:val="center"/>
              <w:rPr>
                <w:rFonts w:ascii="宋体" w:hAnsi="宋体" w:cs="宋体"/>
                <w:sz w:val="24"/>
                <w:highlight w:val="none"/>
              </w:rPr>
            </w:pPr>
            <w:r>
              <w:rPr>
                <w:rFonts w:hint="eastAsia" w:ascii="宋体" w:hAnsi="宋体" w:cs="宋体"/>
                <w:sz w:val="24"/>
                <w:highlight w:val="none"/>
              </w:rPr>
              <w:t>（人民币）</w:t>
            </w:r>
          </w:p>
        </w:tc>
        <w:tc>
          <w:tcPr>
            <w:tcW w:w="2758" w:type="dxa"/>
            <w:vAlign w:val="center"/>
          </w:tcPr>
          <w:p>
            <w:pPr>
              <w:spacing w:after="60" w:line="360" w:lineRule="auto"/>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highlight w:val="none"/>
                <w:u w:val="single"/>
              </w:rPr>
            </w:pPr>
          </w:p>
        </w:tc>
        <w:tc>
          <w:tcPr>
            <w:tcW w:w="3225" w:type="dxa"/>
            <w:vAlign w:val="center"/>
          </w:tcPr>
          <w:p>
            <w:pPr>
              <w:spacing w:line="360" w:lineRule="auto"/>
              <w:jc w:val="center"/>
              <w:rPr>
                <w:rFonts w:ascii="宋体" w:hAnsi="宋体" w:cs="宋体"/>
                <w:sz w:val="24"/>
                <w:highlight w:val="none"/>
                <w:u w:val="single"/>
              </w:rPr>
            </w:pPr>
          </w:p>
        </w:tc>
        <w:tc>
          <w:tcPr>
            <w:tcW w:w="2758" w:type="dxa"/>
            <w:vAlign w:val="center"/>
          </w:tcPr>
          <w:p>
            <w:pPr>
              <w:spacing w:line="360" w:lineRule="auto"/>
              <w:jc w:val="center"/>
              <w:rPr>
                <w:rFonts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4"/>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numPr>
          <w:ilvl w:val="0"/>
          <w:numId w:val="12"/>
        </w:num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商务部分</w:t>
      </w:r>
    </w:p>
    <w:p>
      <w:pPr>
        <w:pStyle w:val="24"/>
        <w:ind w:firstLine="0" w:firstLineChars="0"/>
        <w:rPr>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fr-CH"/>
        </w:rPr>
        <w:t>2、营业执照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rPr>
        <w:t>3、</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4.我单位具备《中华人民共和国政府采购法》第二十二条的条件。</w:t>
      </w:r>
    </w:p>
    <w:p>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r>
        <w:rPr>
          <w:rFonts w:hint="eastAsia" w:ascii="宋体" w:hAnsi="宋体" w:cs="宋体"/>
          <w:color w:val="000000" w:themeColor="text1"/>
          <w:kern w:val="0"/>
          <w:sz w:val="24"/>
          <w14:textFill>
            <w14:solidFill>
              <w14:schemeClr w14:val="tx1"/>
            </w14:solidFill>
          </w14:textFill>
        </w:rPr>
        <w:t>不存在《深圳市财政局政府采购供应商信用信息管理办法》（深财规〔2023〕3号）列明的严重违法失信行为</w:t>
      </w:r>
      <w:r>
        <w:rPr>
          <w:rFonts w:hint="eastAsia" w:ascii="宋体" w:hAnsi="宋体" w:cs="宋体"/>
          <w:color w:val="000000" w:themeColor="text1"/>
          <w:kern w:val="0"/>
          <w:sz w:val="24"/>
          <w:lang w:eastAsia="zh-CN"/>
          <w14:textFill>
            <w14:solidFill>
              <w14:schemeClr w14:val="tx1"/>
            </w14:solidFill>
          </w14:textFill>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以上承诺，如有违反，愿依照国家相关法律处理，并承担由此给采购人带来的损失。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fr-CH"/>
        </w:rPr>
        <w:t>4、政府采购违法行为风险知悉确认书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5、关于资格的声明函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pStyle w:val="24"/>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6、企业诚信声明与承诺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4"/>
        <w:ind w:firstLine="420"/>
        <w:rPr>
          <w:highlight w:val="none"/>
          <w:lang w:val="fr-CH"/>
        </w:rPr>
      </w:pPr>
    </w:p>
    <w:p>
      <w:pPr>
        <w:pStyle w:val="24"/>
        <w:ind w:firstLine="420"/>
        <w:rPr>
          <w:highlight w:val="none"/>
          <w:lang w:val="fr-CH"/>
        </w:rPr>
      </w:pPr>
    </w:p>
    <w:p>
      <w:pPr>
        <w:pStyle w:val="24"/>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rPr>
        <w:t>7、法定代表人证明书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highlight w:val="none"/>
              </w:rPr>
            </w:pPr>
          </w:p>
        </w:tc>
        <w:tc>
          <w:tcPr>
            <w:tcW w:w="4677" w:type="dxa"/>
          </w:tcPr>
          <w:p>
            <w:pPr>
              <w:pStyle w:val="10"/>
              <w:spacing w:line="360" w:lineRule="auto"/>
              <w:rPr>
                <w:rFonts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rPr>
        <w:t>8、法定代表人/单位负责人授权书</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pStyle w:val="6"/>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highlight w:val="none"/>
              </w:rPr>
            </w:pPr>
          </w:p>
        </w:tc>
        <w:tc>
          <w:tcPr>
            <w:tcW w:w="4677" w:type="dxa"/>
          </w:tcPr>
          <w:p>
            <w:pPr>
              <w:pStyle w:val="10"/>
              <w:spacing w:line="360" w:lineRule="auto"/>
              <w:rPr>
                <w:rFonts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rPr>
        <w:t>9、</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rPr>
        <w:t>10</w:t>
      </w:r>
      <w:r>
        <w:rPr>
          <w:rFonts w:hint="eastAsia" w:ascii="宋体" w:hAnsi="宋体" w:cs="宋体"/>
          <w:b/>
          <w:bCs/>
          <w:sz w:val="24"/>
          <w:highlight w:val="none"/>
          <w:lang w:val="fr-CH"/>
        </w:rPr>
        <w:t>、投标人简介</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11、投标人同类项目业绩（格式自拟）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、投标人认证情况（格式自拟）</w:t>
      </w:r>
    </w:p>
    <w:p>
      <w:p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、拟安排的项目负责人情况（格式自拟）</w:t>
      </w:r>
    </w:p>
    <w:p>
      <w:pPr>
        <w:tabs>
          <w:tab w:val="left" w:pos="640"/>
          <w:tab w:val="left" w:pos="1260"/>
          <w:tab w:val="left" w:pos="1418"/>
        </w:tabs>
        <w:spacing w:line="360" w:lineRule="auto"/>
        <w:rPr>
          <w:rFonts w:hint="eastAsia" w:ascii="宋体" w:hAnsi="宋体" w:eastAsia="宋体" w:cs="宋体"/>
          <w:b/>
          <w:bCs/>
          <w:sz w:val="24"/>
          <w:highlight w:val="none"/>
          <w:lang w:val="fr-CH" w:eastAsia="zh-CN"/>
        </w:rPr>
      </w:pPr>
      <w:r>
        <w:rPr>
          <w:rFonts w:hint="eastAsia" w:ascii="宋体" w:hAnsi="宋体" w:cs="宋体"/>
          <w:b/>
          <w:bCs/>
          <w:sz w:val="24"/>
          <w:highlight w:val="none"/>
          <w:lang w:val="fr-CH" w:eastAsia="zh-CN"/>
        </w:rPr>
        <w:t>1</w:t>
      </w:r>
      <w:r>
        <w:rPr>
          <w:rFonts w:hint="eastAsia" w:ascii="宋体" w:hAnsi="宋体" w:cs="宋体"/>
          <w:b/>
          <w:bCs/>
          <w:sz w:val="24"/>
          <w:highlight w:val="none"/>
          <w:lang w:val="en-US" w:eastAsia="zh-CN"/>
        </w:rPr>
        <w:t>4</w:t>
      </w:r>
      <w:r>
        <w:rPr>
          <w:rFonts w:hint="eastAsia" w:ascii="宋体" w:hAnsi="宋体" w:cs="宋体"/>
          <w:b/>
          <w:bCs/>
          <w:sz w:val="24"/>
          <w:highlight w:val="none"/>
          <w:lang w:val="fr-CH" w:eastAsia="zh-CN"/>
        </w:rPr>
        <w:t>、拟安排的项目团队情况（除项目负责人外）</w:t>
      </w:r>
      <w:r>
        <w:rPr>
          <w:rFonts w:hint="eastAsia" w:ascii="宋体" w:hAnsi="宋体" w:cs="宋体"/>
          <w:b/>
          <w:bCs/>
          <w:sz w:val="24"/>
          <w:highlight w:val="none"/>
          <w:lang w:val="fr-CH"/>
        </w:rPr>
        <w:t>（格式自拟）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5</w:t>
      </w:r>
      <w:r>
        <w:rPr>
          <w:rFonts w:hint="eastAsia" w:ascii="宋体" w:hAnsi="宋体" w:cs="宋体"/>
          <w:b/>
          <w:bCs/>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350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3507" w:type="dxa"/>
            <w:vAlign w:val="center"/>
          </w:tcPr>
          <w:p>
            <w:pPr>
              <w:spacing w:after="78" w:line="360" w:lineRule="auto"/>
              <w:rPr>
                <w:rFonts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spacing w:line="360" w:lineRule="auto"/>
              <w:jc w:val="center"/>
              <w:rPr>
                <w:rFonts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pStyle w:val="6"/>
        <w:spacing w:line="360" w:lineRule="auto"/>
        <w:rPr>
          <w:highlight w:val="none"/>
          <w:lang w:val="fr-CH"/>
        </w:rPr>
      </w:pP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2、对项目需求的解析（格式自拟）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3、实施方案（格式自拟）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4、项目重点、难点及解决方案（格式自拟）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5、项目质量保障措施和售后服务计划（格式自拟）</w:t>
      </w:r>
    </w:p>
    <w:p>
      <w:pPr>
        <w:tabs>
          <w:tab w:val="left" w:pos="640"/>
          <w:tab w:val="left" w:pos="1260"/>
          <w:tab w:val="left" w:pos="1418"/>
        </w:tabs>
        <w:spacing w:line="360" w:lineRule="auto"/>
        <w:rPr>
          <w:rFonts w:ascii="宋体" w:hAnsi="宋体" w:cs="宋体"/>
          <w:b/>
          <w:bCs/>
          <w:sz w:val="24"/>
          <w:highlight w:val="none"/>
        </w:r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3"/>
      <w:bookmarkStart w:id="28" w:name="_Toc6251"/>
      <w:bookmarkStart w:id="29" w:name="_Toc3166"/>
      <w:r>
        <w:rPr>
          <w:rFonts w:hint="eastAsia" w:ascii="宋体" w:hAnsi="宋体" w:cs="宋体"/>
          <w:b/>
          <w:bCs/>
          <w:sz w:val="24"/>
          <w:highlight w:val="none"/>
        </w:rPr>
        <w:t>附件：相关政策</w:t>
      </w:r>
      <w:bookmarkEnd w:id="28"/>
      <w:bookmarkEnd w:id="29"/>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rPr>
        <w:t>其他未列明行业</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jc w:val="center"/>
              <w:rPr>
                <w:b/>
                <w:sz w:val="24"/>
                <w:szCs w:val="24"/>
                <w:highlight w:val="none"/>
              </w:rPr>
            </w:pPr>
            <w:r>
              <w:rPr>
                <w:rFonts w:hint="eastAsia"/>
                <w:b/>
                <w:sz w:val="24"/>
                <w:szCs w:val="24"/>
                <w:highlight w:val="none"/>
              </w:rPr>
              <w:t>序号</w:t>
            </w:r>
          </w:p>
        </w:tc>
        <w:tc>
          <w:tcPr>
            <w:tcW w:w="1866" w:type="dxa"/>
            <w:vAlign w:val="center"/>
          </w:tcPr>
          <w:p>
            <w:pPr>
              <w:pStyle w:val="26"/>
              <w:jc w:val="center"/>
              <w:rPr>
                <w:b/>
                <w:sz w:val="24"/>
                <w:szCs w:val="24"/>
                <w:highlight w:val="none"/>
              </w:rPr>
            </w:pPr>
            <w:r>
              <w:rPr>
                <w:rFonts w:hint="eastAsia"/>
                <w:b/>
                <w:sz w:val="24"/>
                <w:szCs w:val="24"/>
                <w:highlight w:val="none"/>
              </w:rPr>
              <w:t>项目名称</w:t>
            </w:r>
          </w:p>
        </w:tc>
        <w:tc>
          <w:tcPr>
            <w:tcW w:w="2010" w:type="dxa"/>
            <w:vAlign w:val="center"/>
          </w:tcPr>
          <w:p>
            <w:pPr>
              <w:pStyle w:val="26"/>
              <w:jc w:val="center"/>
              <w:rPr>
                <w:b/>
                <w:sz w:val="24"/>
                <w:szCs w:val="24"/>
                <w:highlight w:val="none"/>
              </w:rPr>
            </w:pPr>
            <w:r>
              <w:rPr>
                <w:rFonts w:hint="eastAsia"/>
                <w:b/>
                <w:sz w:val="24"/>
                <w:szCs w:val="24"/>
                <w:highlight w:val="none"/>
              </w:rPr>
              <w:t>预留选项</w:t>
            </w:r>
          </w:p>
        </w:tc>
        <w:tc>
          <w:tcPr>
            <w:tcW w:w="2296" w:type="dxa"/>
            <w:vAlign w:val="center"/>
          </w:tcPr>
          <w:p>
            <w:pPr>
              <w:pStyle w:val="26"/>
              <w:jc w:val="center"/>
              <w:rPr>
                <w:b/>
                <w:sz w:val="24"/>
                <w:szCs w:val="24"/>
                <w:highlight w:val="none"/>
              </w:rPr>
            </w:pPr>
            <w:r>
              <w:rPr>
                <w:rFonts w:hint="eastAsia"/>
                <w:b/>
                <w:sz w:val="24"/>
                <w:szCs w:val="24"/>
                <w:highlight w:val="none"/>
              </w:rPr>
              <w:t>面向中小企业采购金额</w:t>
            </w:r>
          </w:p>
        </w:tc>
        <w:tc>
          <w:tcPr>
            <w:tcW w:w="1784" w:type="dxa"/>
            <w:vAlign w:val="center"/>
          </w:tcPr>
          <w:p>
            <w:pPr>
              <w:pStyle w:val="26"/>
              <w:jc w:val="center"/>
              <w:rPr>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6"/>
              <w:jc w:val="center"/>
              <w:rPr>
                <w:sz w:val="24"/>
                <w:szCs w:val="24"/>
                <w:highlight w:val="none"/>
              </w:rPr>
            </w:pPr>
          </w:p>
        </w:tc>
        <w:tc>
          <w:tcPr>
            <w:tcW w:w="1866" w:type="dxa"/>
            <w:tcBorders>
              <w:bottom w:val="nil"/>
            </w:tcBorders>
            <w:vAlign w:val="center"/>
          </w:tcPr>
          <w:p>
            <w:pPr>
              <w:pStyle w:val="26"/>
              <w:jc w:val="center"/>
              <w:rPr>
                <w:sz w:val="24"/>
                <w:szCs w:val="24"/>
                <w:highlight w:val="none"/>
              </w:rPr>
            </w:pPr>
          </w:p>
        </w:tc>
        <w:tc>
          <w:tcPr>
            <w:tcW w:w="2010" w:type="dxa"/>
            <w:tcBorders>
              <w:bottom w:val="nil"/>
            </w:tcBorders>
            <w:vAlign w:val="center"/>
          </w:tcPr>
          <w:p>
            <w:pPr>
              <w:pStyle w:val="26"/>
              <w:jc w:val="center"/>
              <w:rPr>
                <w:sz w:val="24"/>
                <w:szCs w:val="24"/>
                <w:highlight w:val="none"/>
              </w:rPr>
            </w:pPr>
            <w:r>
              <w:rPr>
                <w:rFonts w:hint="eastAsia"/>
                <w:sz w:val="24"/>
                <w:szCs w:val="24"/>
                <w:highlight w:val="none"/>
              </w:rPr>
              <w:t>（填写“采购项</w:t>
            </w:r>
          </w:p>
        </w:tc>
        <w:tc>
          <w:tcPr>
            <w:tcW w:w="2296" w:type="dxa"/>
            <w:tcBorders>
              <w:bottom w:val="nil"/>
            </w:tcBorders>
            <w:vAlign w:val="center"/>
          </w:tcPr>
          <w:p>
            <w:pPr>
              <w:pStyle w:val="26"/>
              <w:jc w:val="center"/>
              <w:rPr>
                <w:sz w:val="24"/>
                <w:szCs w:val="24"/>
                <w:highlight w:val="none"/>
              </w:rPr>
            </w:pPr>
          </w:p>
        </w:tc>
        <w:tc>
          <w:tcPr>
            <w:tcW w:w="1784" w:type="dxa"/>
            <w:vMerge w:val="restart"/>
            <w:vAlign w:val="center"/>
          </w:tcPr>
          <w:p>
            <w:pPr>
              <w:pStyle w:val="26"/>
              <w:jc w:val="center"/>
              <w:rPr>
                <w:sz w:val="24"/>
                <w:szCs w:val="24"/>
                <w:highlight w:val="none"/>
              </w:rPr>
            </w:pPr>
          </w:p>
          <w:p>
            <w:pPr>
              <w:pStyle w:val="26"/>
              <w:jc w:val="center"/>
              <w:rPr>
                <w:sz w:val="24"/>
                <w:szCs w:val="24"/>
                <w:highlight w:val="none"/>
              </w:rPr>
            </w:pPr>
          </w:p>
          <w:p>
            <w:pPr>
              <w:pStyle w:val="26"/>
              <w:jc w:val="center"/>
              <w:rPr>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26"/>
              <w:jc w:val="center"/>
              <w:rPr>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bottom w:val="nil"/>
            </w:tcBorders>
            <w:vAlign w:val="center"/>
          </w:tcPr>
          <w:p>
            <w:pPr>
              <w:pStyle w:val="26"/>
              <w:jc w:val="center"/>
              <w:rPr>
                <w:sz w:val="24"/>
                <w:szCs w:val="24"/>
                <w:highlight w:val="none"/>
              </w:rPr>
            </w:pPr>
          </w:p>
        </w:tc>
        <w:tc>
          <w:tcPr>
            <w:tcW w:w="2010" w:type="dxa"/>
            <w:tcBorders>
              <w:top w:val="nil"/>
              <w:bottom w:val="nil"/>
            </w:tcBorders>
            <w:vAlign w:val="center"/>
          </w:tcPr>
          <w:p>
            <w:pPr>
              <w:pStyle w:val="26"/>
              <w:jc w:val="center"/>
              <w:rPr>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highlight w:val="none"/>
              </w:rPr>
            </w:pPr>
          </w:p>
        </w:tc>
        <w:tc>
          <w:tcPr>
            <w:tcW w:w="1866" w:type="dxa"/>
            <w:tcBorders>
              <w:top w:val="nil"/>
            </w:tcBorders>
            <w:vAlign w:val="center"/>
          </w:tcPr>
          <w:p>
            <w:pPr>
              <w:pStyle w:val="26"/>
              <w:jc w:val="center"/>
              <w:rPr>
                <w:sz w:val="24"/>
                <w:szCs w:val="24"/>
                <w:highlight w:val="none"/>
              </w:rPr>
            </w:pPr>
          </w:p>
        </w:tc>
        <w:tc>
          <w:tcPr>
            <w:tcW w:w="2010" w:type="dxa"/>
            <w:tcBorders>
              <w:top w:val="nil"/>
            </w:tcBorders>
            <w:vAlign w:val="center"/>
          </w:tcPr>
          <w:p>
            <w:pPr>
              <w:pStyle w:val="26"/>
              <w:jc w:val="center"/>
              <w:rPr>
                <w:sz w:val="24"/>
                <w:szCs w:val="24"/>
                <w:highlight w:val="none"/>
              </w:rPr>
            </w:pPr>
            <w:r>
              <w:rPr>
                <w:rFonts w:hint="eastAsia"/>
                <w:sz w:val="24"/>
                <w:szCs w:val="24"/>
                <w:highlight w:val="none"/>
              </w:rPr>
              <w:t>小企业的比例）</w:t>
            </w:r>
          </w:p>
        </w:tc>
        <w:tc>
          <w:tcPr>
            <w:tcW w:w="2296" w:type="dxa"/>
            <w:tcBorders>
              <w:top w:val="nil"/>
            </w:tcBorders>
            <w:vAlign w:val="center"/>
          </w:tcPr>
          <w:p>
            <w:pPr>
              <w:pStyle w:val="26"/>
              <w:jc w:val="center"/>
              <w:rPr>
                <w:sz w:val="24"/>
                <w:szCs w:val="24"/>
                <w:highlight w:val="none"/>
              </w:rPr>
            </w:pPr>
          </w:p>
        </w:tc>
        <w:tc>
          <w:tcPr>
            <w:tcW w:w="1784" w:type="dxa"/>
            <w:vMerge w:val="continue"/>
            <w:tcBorders>
              <w:top w:val="nil"/>
            </w:tcBorders>
            <w:vAlign w:val="center"/>
          </w:tcPr>
          <w:p>
            <w:pPr>
              <w:jc w:val="center"/>
              <w:rPr>
                <w:rFonts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jc w:val="center"/>
              <w:rPr>
                <w:sz w:val="24"/>
                <w:szCs w:val="24"/>
                <w:highlight w:val="none"/>
              </w:rPr>
            </w:pPr>
            <w:r>
              <w:rPr>
                <w:rFonts w:hint="eastAsia"/>
                <w:sz w:val="24"/>
                <w:szCs w:val="24"/>
                <w:highlight w:val="none"/>
              </w:rPr>
              <w:t>……</w:t>
            </w:r>
          </w:p>
        </w:tc>
        <w:tc>
          <w:tcPr>
            <w:tcW w:w="1866" w:type="dxa"/>
            <w:vAlign w:val="center"/>
          </w:tcPr>
          <w:p>
            <w:pPr>
              <w:pStyle w:val="26"/>
              <w:jc w:val="center"/>
              <w:rPr>
                <w:sz w:val="24"/>
                <w:szCs w:val="24"/>
                <w:highlight w:val="none"/>
              </w:rPr>
            </w:pPr>
            <w:r>
              <w:rPr>
                <w:rFonts w:hint="eastAsia"/>
                <w:sz w:val="24"/>
                <w:szCs w:val="24"/>
                <w:highlight w:val="none"/>
              </w:rPr>
              <w:t>……</w:t>
            </w:r>
          </w:p>
        </w:tc>
        <w:tc>
          <w:tcPr>
            <w:tcW w:w="2010" w:type="dxa"/>
            <w:vAlign w:val="center"/>
          </w:tcPr>
          <w:p>
            <w:pPr>
              <w:pStyle w:val="26"/>
              <w:jc w:val="center"/>
              <w:rPr>
                <w:sz w:val="24"/>
                <w:szCs w:val="24"/>
                <w:highlight w:val="none"/>
              </w:rPr>
            </w:pPr>
            <w:r>
              <w:rPr>
                <w:rFonts w:hint="eastAsia"/>
                <w:sz w:val="24"/>
                <w:szCs w:val="24"/>
                <w:highlight w:val="none"/>
              </w:rPr>
              <w:t>……</w:t>
            </w:r>
          </w:p>
        </w:tc>
        <w:tc>
          <w:tcPr>
            <w:tcW w:w="2296" w:type="dxa"/>
            <w:vAlign w:val="center"/>
          </w:tcPr>
          <w:p>
            <w:pPr>
              <w:pStyle w:val="26"/>
              <w:jc w:val="center"/>
              <w:rPr>
                <w:sz w:val="24"/>
                <w:szCs w:val="24"/>
                <w:highlight w:val="none"/>
              </w:rPr>
            </w:pPr>
            <w:r>
              <w:rPr>
                <w:rFonts w:hint="eastAsia"/>
                <w:sz w:val="24"/>
                <w:szCs w:val="24"/>
                <w:highlight w:val="none"/>
              </w:rPr>
              <w:t>……</w:t>
            </w:r>
          </w:p>
        </w:tc>
        <w:tc>
          <w:tcPr>
            <w:tcW w:w="1784" w:type="dxa"/>
            <w:vAlign w:val="center"/>
          </w:tcPr>
          <w:p>
            <w:pPr>
              <w:pStyle w:val="26"/>
              <w:jc w:val="center"/>
              <w:rPr>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2、工业信息化部、国家统计局、国家发展和改革委员会、财政部《关于印发〈中小企业划型标准规定〉的通知》（工信部联企〔2011〕300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计量</w:t>
            </w:r>
          </w:p>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highlight w:val="none"/>
              </w:rPr>
            </w:pP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7"/>
        <w:shd w:val="clear" w:color="auto" w:fill="FFFFFF"/>
        <w:spacing w:before="0" w:beforeAutospacing="0" w:after="0" w:afterAutospacing="0" w:line="360" w:lineRule="auto"/>
        <w:jc w:val="center"/>
        <w:rPr>
          <w:highlight w:val="none"/>
        </w:rPr>
      </w:pPr>
      <w:r>
        <w:rPr>
          <w:rFonts w:hint="eastAsia"/>
          <w:highlight w:val="none"/>
        </w:rPr>
        <w:t>　　</w:t>
      </w:r>
      <w:bookmarkStart w:id="30" w:name="sendNo"/>
      <w:r>
        <w:rPr>
          <w:rFonts w:hint="eastAsia"/>
          <w:highlight w:val="none"/>
        </w:rPr>
        <w:t>财库〔</w:t>
      </w:r>
      <w:bookmarkEnd w:id="30"/>
      <w:r>
        <w:rPr>
          <w:rFonts w:hint="eastAsia"/>
          <w:highlight w:val="none"/>
        </w:rPr>
        <w:t>2017〕141号</w:t>
      </w:r>
    </w:p>
    <w:p>
      <w:pPr>
        <w:pStyle w:val="17"/>
        <w:shd w:val="clear" w:color="auto" w:fill="FFFFFF"/>
        <w:spacing w:before="0" w:beforeAutospacing="0" w:after="0" w:afterAutospacing="0" w:line="360" w:lineRule="auto"/>
        <w:ind w:firstLine="480" w:firstLineChars="200"/>
        <w:rPr>
          <w:highlight w:val="none"/>
        </w:rPr>
      </w:pPr>
      <w:bookmarkStart w:id="31"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highlight w:val="none"/>
        </w:rPr>
        <w:t>：</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27"/>
        <w:shd w:val="clear" w:color="auto" w:fill="FFFFFF"/>
        <w:spacing w:before="0" w:beforeAutospacing="0" w:after="0" w:afterAutospacing="0" w:line="360" w:lineRule="auto"/>
        <w:jc w:val="both"/>
        <w:rPr>
          <w:highlight w:val="none"/>
        </w:rPr>
      </w:pPr>
    </w:p>
    <w:p>
      <w:pPr>
        <w:pStyle w:val="27"/>
        <w:shd w:val="clear" w:color="auto" w:fill="FFFFFF"/>
        <w:spacing w:before="0" w:beforeAutospacing="0" w:after="0" w:afterAutospacing="0" w:line="360" w:lineRule="auto"/>
        <w:jc w:val="both"/>
        <w:rPr>
          <w:highlight w:val="none"/>
        </w:rPr>
      </w:pPr>
    </w:p>
    <w:p>
      <w:pPr>
        <w:pStyle w:val="27"/>
        <w:shd w:val="clear" w:color="auto" w:fill="FFFFFF"/>
        <w:spacing w:before="0" w:beforeAutospacing="0" w:after="0" w:afterAutospacing="0" w:line="360" w:lineRule="auto"/>
        <w:jc w:val="both"/>
        <w:rPr>
          <w:highlight w:val="none"/>
        </w:rPr>
      </w:pPr>
    </w:p>
    <w:p>
      <w:pPr>
        <w:pStyle w:val="27"/>
        <w:shd w:val="clear" w:color="auto" w:fill="FFFFFF"/>
        <w:spacing w:before="0" w:beforeAutospacing="0" w:after="0" w:afterAutospacing="0" w:line="360" w:lineRule="auto"/>
        <w:jc w:val="both"/>
        <w:rPr>
          <w:highlight w:val="none"/>
        </w:rPr>
      </w:pPr>
    </w:p>
    <w:p>
      <w:pPr>
        <w:pStyle w:val="27"/>
        <w:shd w:val="clear" w:color="auto" w:fill="FFFFFF"/>
        <w:spacing w:before="0" w:beforeAutospacing="0" w:after="0" w:afterAutospacing="0" w:line="360" w:lineRule="auto"/>
        <w:jc w:val="both"/>
        <w:rPr>
          <w:highlight w:val="none"/>
        </w:rPr>
      </w:pPr>
    </w:p>
    <w:p>
      <w:pPr>
        <w:pStyle w:val="27"/>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27"/>
        <w:shd w:val="clear" w:color="auto" w:fill="FFFFFF"/>
        <w:spacing w:before="0" w:beforeAutospacing="0" w:after="0" w:afterAutospacing="0" w:line="360" w:lineRule="auto"/>
        <w:jc w:val="both"/>
        <w:rPr>
          <w:highlight w:val="none"/>
        </w:rPr>
      </w:pPr>
      <w:r>
        <w:rPr>
          <w:rFonts w:hint="eastAsia"/>
          <w:highlight w:val="none"/>
        </w:rPr>
        <w:t>附件：</w:t>
      </w:r>
    </w:p>
    <w:p>
      <w:pPr>
        <w:pStyle w:val="27"/>
        <w:shd w:val="clear" w:color="auto" w:fill="FFFFFF"/>
        <w:spacing w:before="0" w:beforeAutospacing="0" w:after="0" w:afterAutospacing="0" w:line="360" w:lineRule="auto"/>
        <w:ind w:firstLine="482" w:firstLineChars="200"/>
        <w:jc w:val="center"/>
        <w:rPr>
          <w:highlight w:val="none"/>
        </w:rPr>
      </w:pPr>
      <w:r>
        <w:rPr>
          <w:rStyle w:val="28"/>
          <w:rFonts w:hint="eastAsia"/>
          <w:b/>
          <w:bCs/>
          <w:highlight w:val="none"/>
        </w:rPr>
        <w:t>残疾人福利性单位声明函</w:t>
      </w:r>
    </w:p>
    <w:p>
      <w:pPr>
        <w:pStyle w:val="27"/>
        <w:shd w:val="clear" w:color="auto" w:fill="FFFFFF"/>
        <w:spacing w:before="0" w:beforeAutospacing="0" w:after="0" w:afterAutospacing="0" w:line="360" w:lineRule="auto"/>
        <w:ind w:firstLine="480" w:firstLineChars="200"/>
        <w:jc w:val="both"/>
        <w:rPr>
          <w:highlight w:val="none"/>
        </w:rPr>
      </w:pPr>
    </w:p>
    <w:p>
      <w:pPr>
        <w:pStyle w:val="27"/>
        <w:shd w:val="clear" w:color="auto" w:fill="FFFFFF"/>
        <w:spacing w:before="0" w:beforeAutospacing="0" w:after="0" w:afterAutospacing="0" w:line="360" w:lineRule="auto"/>
        <w:ind w:firstLine="480" w:firstLineChars="200"/>
        <w:jc w:val="both"/>
        <w:rPr>
          <w:highlight w:val="none"/>
        </w:rPr>
      </w:pPr>
      <w:r>
        <w:rPr>
          <w:rStyle w:val="28"/>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hd w:val="clear" w:color="auto" w:fill="FFFFFF"/>
        <w:spacing w:before="0" w:beforeAutospacing="0" w:after="0" w:afterAutospacing="0" w:line="360" w:lineRule="auto"/>
        <w:ind w:firstLine="480" w:firstLineChars="200"/>
        <w:jc w:val="both"/>
        <w:rPr>
          <w:highlight w:val="none"/>
        </w:rPr>
      </w:pPr>
      <w:r>
        <w:rPr>
          <w:rStyle w:val="28"/>
          <w:rFonts w:hint="eastAsia"/>
          <w:highlight w:val="none"/>
        </w:rPr>
        <w:t>本单位对上述声明的真实性负责。如有虚假，将依法承担相应责任。</w:t>
      </w:r>
    </w:p>
    <w:p>
      <w:pPr>
        <w:pStyle w:val="27"/>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27"/>
        <w:shd w:val="clear" w:color="auto" w:fill="FFFFFF"/>
        <w:spacing w:before="0" w:beforeAutospacing="0" w:after="0" w:afterAutospacing="0" w:line="360" w:lineRule="auto"/>
        <w:ind w:firstLine="480" w:firstLineChars="200"/>
        <w:jc w:val="both"/>
        <w:rPr>
          <w:highlight w:val="none"/>
        </w:rPr>
      </w:pPr>
    </w:p>
    <w:p>
      <w:pPr>
        <w:pStyle w:val="27"/>
        <w:shd w:val="clear" w:color="auto" w:fill="FFFFFF"/>
        <w:spacing w:before="0" w:beforeAutospacing="0" w:after="0" w:afterAutospacing="0" w:line="360" w:lineRule="auto"/>
        <w:ind w:right="2100" w:rightChars="1000"/>
        <w:jc w:val="right"/>
        <w:rPr>
          <w:highlight w:val="none"/>
        </w:rPr>
      </w:pPr>
      <w:r>
        <w:rPr>
          <w:rStyle w:val="28"/>
          <w:rFonts w:hint="eastAsia"/>
          <w:highlight w:val="none"/>
        </w:rPr>
        <w:t>单位名称（盖章）：</w:t>
      </w:r>
    </w:p>
    <w:p>
      <w:pPr>
        <w:pStyle w:val="27"/>
        <w:shd w:val="clear" w:color="auto" w:fill="FFFFFF"/>
        <w:spacing w:before="0" w:beforeAutospacing="0" w:after="0" w:afterAutospacing="0" w:line="360" w:lineRule="auto"/>
        <w:ind w:right="2100" w:rightChars="1000"/>
        <w:jc w:val="right"/>
        <w:rPr>
          <w:highlight w:val="none"/>
          <w:lang w:val="fr-CH"/>
        </w:rPr>
      </w:pPr>
      <w:r>
        <w:rPr>
          <w:rStyle w:val="28"/>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4">
    <w:nsid w:val="0C3B375A"/>
    <w:multiLevelType w:val="singleLevel"/>
    <w:tmpl w:val="0C3B375A"/>
    <w:lvl w:ilvl="0" w:tentative="0">
      <w:start w:val="1"/>
      <w:numFmt w:val="chineseCounting"/>
      <w:suff w:val="nothing"/>
      <w:lvlText w:val="（%1）"/>
      <w:lvlJc w:val="left"/>
      <w:rPr>
        <w:rFonts w:hint="eastAsia"/>
      </w:rPr>
    </w:lvl>
  </w:abstractNum>
  <w:abstractNum w:abstractNumId="5">
    <w:nsid w:val="12AFD9A2"/>
    <w:multiLevelType w:val="singleLevel"/>
    <w:tmpl w:val="12AFD9A2"/>
    <w:lvl w:ilvl="0" w:tentative="0">
      <w:start w:val="4"/>
      <w:numFmt w:val="chineseCounting"/>
      <w:suff w:val="nothing"/>
      <w:lvlText w:val="%1、"/>
      <w:lvlJc w:val="left"/>
      <w:rPr>
        <w:rFonts w:hint="eastAsia"/>
      </w:rPr>
    </w:lvl>
  </w:abstractNum>
  <w:abstractNum w:abstractNumId="6">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7">
    <w:nsid w:val="557559BE"/>
    <w:multiLevelType w:val="singleLevel"/>
    <w:tmpl w:val="557559BE"/>
    <w:lvl w:ilvl="0" w:tentative="0">
      <w:start w:val="2"/>
      <w:numFmt w:val="chineseCounting"/>
      <w:suff w:val="nothing"/>
      <w:lvlText w:val="（%1）"/>
      <w:lvlJc w:val="left"/>
      <w:rPr>
        <w:rFonts w:hint="eastAsia"/>
      </w:rPr>
    </w:lvl>
  </w:abstractNum>
  <w:abstractNum w:abstractNumId="8">
    <w:nsid w:val="65135EC4"/>
    <w:multiLevelType w:val="multilevel"/>
    <w:tmpl w:val="65135E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6794718"/>
    <w:multiLevelType w:val="singleLevel"/>
    <w:tmpl w:val="66794718"/>
    <w:lvl w:ilvl="0" w:tentative="0">
      <w:start w:val="12"/>
      <w:numFmt w:val="chineseCounting"/>
      <w:suff w:val="space"/>
      <w:lvlText w:val="第%1条"/>
      <w:lvlJc w:val="left"/>
      <w:rPr>
        <w:rFonts w:hint="eastAsia"/>
      </w:rPr>
    </w:lvl>
  </w:abstractNum>
  <w:abstractNum w:abstractNumId="10">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1"/>
  </w:num>
  <w:num w:numId="3">
    <w:abstractNumId w:val="3"/>
  </w:num>
  <w:num w:numId="4">
    <w:abstractNumId w:val="0"/>
  </w:num>
  <w:num w:numId="5">
    <w:abstractNumId w:val="10"/>
  </w:num>
  <w:num w:numId="6">
    <w:abstractNumId w:val="6"/>
  </w:num>
  <w:num w:numId="7">
    <w:abstractNumId w:val="2"/>
  </w:num>
  <w:num w:numId="8">
    <w:abstractNumId w:val="9"/>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1979DF"/>
    <w:rsid w:val="063313B4"/>
    <w:rsid w:val="07552703"/>
    <w:rsid w:val="077AF5D6"/>
    <w:rsid w:val="07D06FDE"/>
    <w:rsid w:val="07DB29DD"/>
    <w:rsid w:val="085A6660"/>
    <w:rsid w:val="088C4E09"/>
    <w:rsid w:val="08C71150"/>
    <w:rsid w:val="09A36B41"/>
    <w:rsid w:val="0B1A27AE"/>
    <w:rsid w:val="0B30205B"/>
    <w:rsid w:val="0B9650E5"/>
    <w:rsid w:val="0BCC6A37"/>
    <w:rsid w:val="0BD45EF5"/>
    <w:rsid w:val="0BF67D6A"/>
    <w:rsid w:val="0C4D7368"/>
    <w:rsid w:val="0C6C4A39"/>
    <w:rsid w:val="0CCB3933"/>
    <w:rsid w:val="0D376BE5"/>
    <w:rsid w:val="0DB46393"/>
    <w:rsid w:val="0DBFF8A4"/>
    <w:rsid w:val="0E0636C2"/>
    <w:rsid w:val="0E51659F"/>
    <w:rsid w:val="0E541CB6"/>
    <w:rsid w:val="0F226313"/>
    <w:rsid w:val="0F260153"/>
    <w:rsid w:val="0F9B909F"/>
    <w:rsid w:val="0FA94F43"/>
    <w:rsid w:val="0FBC28CC"/>
    <w:rsid w:val="0FFE3C2D"/>
    <w:rsid w:val="12117034"/>
    <w:rsid w:val="122F0D51"/>
    <w:rsid w:val="126D9995"/>
    <w:rsid w:val="12EA61D9"/>
    <w:rsid w:val="12ED74B0"/>
    <w:rsid w:val="12F47908"/>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7F54A3"/>
    <w:rsid w:val="1B7FF535"/>
    <w:rsid w:val="1BBFE1C1"/>
    <w:rsid w:val="1BFDEAE4"/>
    <w:rsid w:val="1BFFE856"/>
    <w:rsid w:val="1C215235"/>
    <w:rsid w:val="1CAF6DFF"/>
    <w:rsid w:val="1CBF97F2"/>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4F7DF7"/>
    <w:rsid w:val="2260669D"/>
    <w:rsid w:val="227D45A9"/>
    <w:rsid w:val="22E21BC4"/>
    <w:rsid w:val="23BF0D43"/>
    <w:rsid w:val="23D13C15"/>
    <w:rsid w:val="23D64C00"/>
    <w:rsid w:val="24495099"/>
    <w:rsid w:val="248D3582"/>
    <w:rsid w:val="25747400"/>
    <w:rsid w:val="25801095"/>
    <w:rsid w:val="260D2D7B"/>
    <w:rsid w:val="263C7034"/>
    <w:rsid w:val="2675E140"/>
    <w:rsid w:val="27071FBC"/>
    <w:rsid w:val="271C5A1C"/>
    <w:rsid w:val="271F938A"/>
    <w:rsid w:val="2734033D"/>
    <w:rsid w:val="27636103"/>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974A8"/>
    <w:rsid w:val="32AE6949"/>
    <w:rsid w:val="32F40FD3"/>
    <w:rsid w:val="32F977F1"/>
    <w:rsid w:val="32FF0317"/>
    <w:rsid w:val="334F080E"/>
    <w:rsid w:val="337AE2D6"/>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6F35BF"/>
    <w:rsid w:val="3D84435C"/>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9BFC17"/>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5B5B96"/>
    <w:rsid w:val="459C5D66"/>
    <w:rsid w:val="459E2651"/>
    <w:rsid w:val="459F5CA0"/>
    <w:rsid w:val="45C41A3D"/>
    <w:rsid w:val="462D6801"/>
    <w:rsid w:val="469D7925"/>
    <w:rsid w:val="46EA32A6"/>
    <w:rsid w:val="47053F7C"/>
    <w:rsid w:val="4706073F"/>
    <w:rsid w:val="47775721"/>
    <w:rsid w:val="478563C6"/>
    <w:rsid w:val="47C60945"/>
    <w:rsid w:val="47E9A1A0"/>
    <w:rsid w:val="48002B88"/>
    <w:rsid w:val="480E6DE3"/>
    <w:rsid w:val="484F4B48"/>
    <w:rsid w:val="48605FCE"/>
    <w:rsid w:val="48C06477"/>
    <w:rsid w:val="48F14BF7"/>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5655E3"/>
    <w:rsid w:val="4ECD7EB5"/>
    <w:rsid w:val="4EDE35AC"/>
    <w:rsid w:val="4F640F18"/>
    <w:rsid w:val="4F7E3902"/>
    <w:rsid w:val="4F9A44F8"/>
    <w:rsid w:val="4F9F214B"/>
    <w:rsid w:val="4FF395E6"/>
    <w:rsid w:val="4FFA569E"/>
    <w:rsid w:val="4FFF7B66"/>
    <w:rsid w:val="511E4F0F"/>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5314FB7"/>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3B3860"/>
    <w:rsid w:val="5B5D2F92"/>
    <w:rsid w:val="5B720AE2"/>
    <w:rsid w:val="5B7DDC28"/>
    <w:rsid w:val="5B7F624A"/>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2599"/>
    <w:rsid w:val="5FFF5037"/>
    <w:rsid w:val="5FFFE862"/>
    <w:rsid w:val="607D3748"/>
    <w:rsid w:val="610C3A9C"/>
    <w:rsid w:val="615C31E8"/>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5B4F6E"/>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D5E567"/>
    <w:rsid w:val="6FDBF1A1"/>
    <w:rsid w:val="6FDCF403"/>
    <w:rsid w:val="6FE6ECA6"/>
    <w:rsid w:val="6FEC0EF8"/>
    <w:rsid w:val="6FEE3D9A"/>
    <w:rsid w:val="6FEF3E9F"/>
    <w:rsid w:val="6FFD0C97"/>
    <w:rsid w:val="6FFD15F0"/>
    <w:rsid w:val="6FFDF200"/>
    <w:rsid w:val="6FFECEB9"/>
    <w:rsid w:val="6FFF08FD"/>
    <w:rsid w:val="6FFF45DC"/>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AE9EF4"/>
    <w:rsid w:val="74B15673"/>
    <w:rsid w:val="74FE88D1"/>
    <w:rsid w:val="750B3103"/>
    <w:rsid w:val="757B8C15"/>
    <w:rsid w:val="75B556EC"/>
    <w:rsid w:val="75B7E9C3"/>
    <w:rsid w:val="75DE6D1A"/>
    <w:rsid w:val="75FF3FD3"/>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DF6C6B"/>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CB3F9FE"/>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AF4ED0"/>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7572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0"/>
    <w:pPr>
      <w:jc w:val="left"/>
    </w:pPr>
    <w:rPr>
      <w:kern w:val="0"/>
      <w:sz w:val="20"/>
    </w:rPr>
  </w:style>
  <w:style w:type="paragraph" w:styleId="6">
    <w:name w:val="Body Text"/>
    <w:basedOn w:val="1"/>
    <w:next w:val="7"/>
    <w:link w:val="30"/>
    <w:unhideWhenUsed/>
    <w:qFormat/>
    <w:uiPriority w:val="99"/>
    <w:pPr>
      <w:spacing w:after="120"/>
    </w:pPr>
  </w:style>
  <w:style w:type="paragraph" w:styleId="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8">
    <w:name w:val="Body Text Indent"/>
    <w:basedOn w:val="1"/>
    <w:link w:val="33"/>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29"/>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6"/>
    <w:qFormat/>
    <w:uiPriority w:val="0"/>
    <w:pPr>
      <w:ind w:firstLine="420" w:firstLineChars="100"/>
    </w:pPr>
  </w:style>
  <w:style w:type="character" w:styleId="22">
    <w:name w:val="page number"/>
    <w:qFormat/>
    <w:uiPriority w:val="0"/>
  </w:style>
  <w:style w:type="character" w:styleId="23">
    <w:name w:val="annotation reference"/>
    <w:unhideWhenUsed/>
    <w:qFormat/>
    <w:uiPriority w:val="0"/>
    <w:rPr>
      <w:sz w:val="21"/>
      <w:szCs w:val="21"/>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5">
    <w:name w:val="列出段落2"/>
    <w:basedOn w:val="1"/>
    <w:qFormat/>
    <w:uiPriority w:val="34"/>
    <w:pPr>
      <w:ind w:firstLine="420" w:firstLineChars="200"/>
    </w:p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qowt-font5-gb2312"/>
    <w:qFormat/>
    <w:uiPriority w:val="0"/>
  </w:style>
  <w:style w:type="character" w:customStyle="1" w:styleId="29">
    <w:name w:val="批注框文本 Char"/>
    <w:basedOn w:val="21"/>
    <w:link w:val="12"/>
    <w:qFormat/>
    <w:uiPriority w:val="0"/>
    <w:rPr>
      <w:kern w:val="2"/>
      <w:sz w:val="18"/>
      <w:szCs w:val="18"/>
    </w:rPr>
  </w:style>
  <w:style w:type="character" w:customStyle="1" w:styleId="30">
    <w:name w:val="正文文本 Char"/>
    <w:basedOn w:val="21"/>
    <w:link w:val="6"/>
    <w:qFormat/>
    <w:uiPriority w:val="99"/>
    <w:rPr>
      <w:kern w:val="2"/>
      <w:sz w:val="21"/>
      <w:szCs w:val="24"/>
    </w:rPr>
  </w:style>
  <w:style w:type="paragraph" w:customStyle="1" w:styleId="31">
    <w:name w:val="msolistparagraph"/>
    <w:basedOn w:val="1"/>
    <w:qFormat/>
    <w:uiPriority w:val="0"/>
    <w:pPr>
      <w:ind w:firstLine="420" w:firstLineChars="200"/>
    </w:pPr>
  </w:style>
  <w:style w:type="paragraph" w:customStyle="1" w:styleId="32">
    <w:name w:val="正文格式"/>
    <w:basedOn w:val="8"/>
    <w:qFormat/>
    <w:uiPriority w:val="99"/>
    <w:pPr>
      <w:spacing w:after="0" w:line="360" w:lineRule="auto"/>
      <w:ind w:left="0" w:leftChars="0" w:firstLine="600"/>
    </w:pPr>
    <w:rPr>
      <w:rFonts w:eastAsia="仿宋_GB2312"/>
      <w:sz w:val="30"/>
      <w:szCs w:val="30"/>
    </w:rPr>
  </w:style>
  <w:style w:type="character" w:customStyle="1" w:styleId="33">
    <w:name w:val="正文文本缩进 Char"/>
    <w:link w:val="8"/>
    <w:semiHidden/>
    <w:qFormat/>
    <w:uiPriority w:val="99"/>
    <w:rPr>
      <w:kern w:val="0"/>
      <w:sz w:val="20"/>
      <w:szCs w:val="20"/>
    </w:rPr>
  </w:style>
  <w:style w:type="paragraph" w:customStyle="1" w:styleId="3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41590</Words>
  <Characters>43511</Characters>
  <Lines>1</Lines>
  <Paragraphs>1</Paragraphs>
  <TotalTime>7</TotalTime>
  <ScaleCrop>false</ScaleCrop>
  <LinksUpToDate>false</LinksUpToDate>
  <CharactersWithSpaces>45297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2023-09-28T04:34:00Z</dcterms:created>
  <dc:creator>黄雅静</dc:creator>
  <cp:lastModifiedBy>陈可欣</cp:lastModifiedBy>
  <cp:lastPrinted>2023-11-12T03:12:00Z</cp:lastPrinted>
  <dcterms:modified xsi:type="dcterms:W3CDTF">2024-07-10T01:45:15Z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79E513D403AF47ACBAAB1E8941F9066B_13</vt:lpwstr>
  </property>
</Properties>
</file>