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72"/>
          <w:szCs w:val="72"/>
        </w:rPr>
      </w:pPr>
    </w:p>
    <w:p>
      <w:pPr>
        <w:pStyle w:val="2"/>
      </w:pPr>
    </w:p>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55"/>
        <w:ind w:firstLine="420"/>
        <w:rPr>
          <w:rFonts w:ascii="宋体" w:hAnsi="宋体" w:cs="宋体"/>
        </w:rPr>
      </w:pPr>
    </w:p>
    <w:p>
      <w:pPr>
        <w:pStyle w:val="55"/>
        <w:ind w:firstLine="420"/>
        <w:rPr>
          <w:rFonts w:ascii="宋体" w:hAnsi="宋体" w:cs="宋体"/>
        </w:rPr>
      </w:pPr>
    </w:p>
    <w:p>
      <w:pPr>
        <w:rPr>
          <w:rFonts w:ascii="宋体" w:hAnsi="宋体" w:cs="宋体"/>
          <w:b/>
          <w:sz w:val="44"/>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招标编号：QH2024040</w:t>
      </w:r>
    </w:p>
    <w:p>
      <w:pPr>
        <w:pStyle w:val="55"/>
        <w:ind w:firstLine="420"/>
        <w:rPr>
          <w:rFonts w:ascii="宋体" w:hAnsi="宋体" w:cs="宋体"/>
        </w:rPr>
      </w:pPr>
    </w:p>
    <w:p>
      <w:pPr>
        <w:pStyle w:val="55"/>
        <w:ind w:firstLine="420"/>
        <w:rPr>
          <w:rFonts w:ascii="宋体" w:hAnsi="宋体" w:cs="宋体"/>
        </w:rPr>
      </w:pPr>
    </w:p>
    <w:p>
      <w:pPr>
        <w:pStyle w:val="55"/>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招标项目：政企对接沟通活动服务项目</w:t>
      </w:r>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4</w:t>
      </w:r>
      <w:r>
        <w:rPr>
          <w:rFonts w:hint="eastAsia" w:ascii="宋体" w:hAnsi="宋体" w:cs="宋体"/>
          <w:b/>
          <w:bCs/>
          <w:sz w:val="36"/>
          <w:szCs w:val="36"/>
        </w:rPr>
        <w:t>年7月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color w:val="000000"/>
          <w:sz w:val="24"/>
        </w:rPr>
      </w:pPr>
      <w:r>
        <w:rPr>
          <w:rFonts w:hint="eastAsia" w:ascii="宋体" w:hAnsi="宋体" w:cs="宋体"/>
          <w:sz w:val="24"/>
        </w:rPr>
        <w:t>一、</w:t>
      </w:r>
      <w:r>
        <w:rPr>
          <w:rFonts w:hint="eastAsia" w:ascii="宋体" w:hAnsi="宋体" w:cs="宋体"/>
          <w:color w:val="000000"/>
          <w:sz w:val="24"/>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（一）在采购活动中应当回避而未回避的；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（二）未按本条例规定签订、履行采购合同，造成严重后果的；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（三）隐瞒真实情况，提供虚假资料的；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（四）以非法手段排斥其他供应商参与竞争的；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（五）与其他采购参加人串通投标的；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（六）恶意投诉的；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（七）向采购项目相关人行贿或者提供其他不当利益的；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（八）阻碍、抗拒主管部门监督检查的；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（九）其他违反本条例规定的行为。</w:t>
      </w:r>
    </w:p>
    <w:p>
      <w:pPr>
        <w:snapToGrid w:val="0"/>
        <w:spacing w:line="360" w:lineRule="auto"/>
        <w:ind w:firstLine="470" w:firstLineChars="196"/>
        <w:rPr>
          <w:rFonts w:ascii="宋体" w:hAnsi="宋体" w:cs="宋体"/>
          <w:color w:val="000000"/>
          <w:sz w:val="24"/>
        </w:rPr>
      </w:pP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二、《深圳经济特区政府采购条例实施细则》</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color w:val="000000"/>
          <w:sz w:val="24"/>
        </w:rPr>
        <w:t>投标供应商不能提供项目负责人或者主要技术人员的劳动合同、社会保险等劳动关系证明材料的，视为存在前款第（三）项规定的情形</w:t>
      </w:r>
      <w:r>
        <w:rPr>
          <w:rFonts w:hint="eastAsia" w:ascii="宋体" w:hAnsi="宋体" w:cs="宋体"/>
          <w:sz w:val="24"/>
        </w:rPr>
        <w:t>。</w:t>
      </w:r>
    </w:p>
    <w:p>
      <w:pPr>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1" w:name="_Toc20808"/>
      <w:r>
        <w:rPr>
          <w:rFonts w:hint="eastAsia" w:ascii="宋体" w:hAnsi="宋体" w:cs="宋体"/>
          <w:b/>
          <w:bCs/>
          <w:sz w:val="36"/>
          <w:szCs w:val="36"/>
          <w:lang w:val="zh-CN"/>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5</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9</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12</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14</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begin"/>
      </w:r>
      <w:r>
        <w:rPr>
          <w:b/>
          <w:bCs/>
          <w:sz w:val="24"/>
        </w:rPr>
        <w:instrText xml:space="preserve"> PAGEREF _Toc25518 \h </w:instrText>
      </w:r>
      <w:r>
        <w:rPr>
          <w:b/>
          <w:bCs/>
          <w:sz w:val="24"/>
        </w:rPr>
        <w:fldChar w:fldCharType="separate"/>
      </w:r>
      <w:r>
        <w:rPr>
          <w:b/>
          <w:bCs/>
          <w:sz w:val="24"/>
        </w:rPr>
        <w:t>27</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begin"/>
      </w:r>
      <w:r>
        <w:rPr>
          <w:b/>
          <w:bCs/>
          <w:sz w:val="24"/>
        </w:rPr>
        <w:instrText xml:space="preserve"> PAGEREF _Toc23822 \h </w:instrText>
      </w:r>
      <w:r>
        <w:rPr>
          <w:b/>
          <w:bCs/>
          <w:sz w:val="24"/>
        </w:rPr>
        <w:fldChar w:fldCharType="separate"/>
      </w:r>
      <w:r>
        <w:rPr>
          <w:b/>
          <w:bCs/>
          <w:sz w:val="24"/>
        </w:rPr>
        <w:t>33</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begin"/>
      </w:r>
      <w:r>
        <w:rPr>
          <w:b/>
          <w:bCs/>
          <w:sz w:val="24"/>
        </w:rPr>
        <w:instrText xml:space="preserve"> PAGEREF _Toc9548 \h </w:instrText>
      </w:r>
      <w:r>
        <w:rPr>
          <w:b/>
          <w:bCs/>
          <w:sz w:val="24"/>
        </w:rPr>
        <w:fldChar w:fldCharType="separate"/>
      </w:r>
      <w:r>
        <w:rPr>
          <w:b/>
          <w:bCs/>
          <w:sz w:val="24"/>
        </w:rPr>
        <w:t>42</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begin"/>
      </w:r>
      <w:r>
        <w:rPr>
          <w:b/>
          <w:bCs/>
          <w:sz w:val="24"/>
        </w:rPr>
        <w:instrText xml:space="preserve"> PAGEREF _Toc742 \h </w:instrText>
      </w:r>
      <w:r>
        <w:rPr>
          <w:b/>
          <w:bCs/>
          <w:sz w:val="24"/>
        </w:rPr>
        <w:fldChar w:fldCharType="separate"/>
      </w:r>
      <w:r>
        <w:rPr>
          <w:b/>
          <w:bCs/>
          <w:sz w:val="24"/>
        </w:rPr>
        <w:t>61</w:t>
      </w:r>
      <w:r>
        <w:rPr>
          <w:b/>
          <w:bCs/>
          <w:sz w:val="24"/>
        </w:rPr>
        <w:fldChar w:fldCharType="end"/>
      </w:r>
      <w:r>
        <w:rPr>
          <w:b/>
          <w:bCs/>
          <w:sz w:val="24"/>
        </w:rPr>
        <w:fldChar w:fldCharType="end"/>
      </w:r>
    </w:p>
    <w:p>
      <w:pPr>
        <w:pStyle w:val="17"/>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17273"/>
      <w:r>
        <w:rPr>
          <w:rFonts w:hint="eastAsia" w:ascii="宋体" w:hAnsi="宋体" w:cs="宋体"/>
          <w:b/>
          <w:bCs/>
          <w:sz w:val="24"/>
        </w:rPr>
        <w:t>招标公告</w:t>
      </w:r>
      <w:bookmarkEnd w:id="2"/>
    </w:p>
    <w:p>
      <w:pPr>
        <w:spacing w:line="360" w:lineRule="auto"/>
        <w:ind w:firstLine="480" w:firstLineChars="200"/>
        <w:jc w:val="right"/>
        <w:rPr>
          <w:rFonts w:ascii="宋体" w:hAnsi="宋体" w:cs="宋体"/>
          <w:sz w:val="24"/>
          <w:highlight w:val="yellow"/>
        </w:rPr>
      </w:pPr>
    </w:p>
    <w:p>
      <w:pPr>
        <w:spacing w:line="360" w:lineRule="auto"/>
        <w:ind w:firstLine="480" w:firstLineChars="200"/>
        <w:jc w:val="left"/>
        <w:rPr>
          <w:rFonts w:ascii="宋体" w:hAnsi="宋体" w:cs="宋体"/>
          <w:sz w:val="24"/>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u w:val="single"/>
        </w:rPr>
        <w:t>政企对接沟通活动服务项目</w:t>
      </w:r>
      <w:r>
        <w:rPr>
          <w:rFonts w:hint="eastAsia" w:ascii="宋体" w:hAnsi="宋体" w:cs="宋体"/>
          <w:sz w:val="24"/>
        </w:rPr>
        <w:t>（招标编号：QH2024040）”采用简易招标方式采购，欢迎符合投标人资格要求的专业供应商积极参加投标。</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rPr>
                <w:rFonts w:ascii="宋体" w:hAnsi="宋体" w:cs="宋体"/>
                <w:sz w:val="24"/>
              </w:rPr>
            </w:pPr>
            <w:r>
              <w:rPr>
                <w:rFonts w:hint="eastAsia" w:ascii="宋体" w:hAnsi="宋体" w:cs="宋体"/>
                <w:sz w:val="24"/>
              </w:rPr>
              <w:t>招标编号</w:t>
            </w:r>
          </w:p>
        </w:tc>
        <w:tc>
          <w:tcPr>
            <w:tcW w:w="7015" w:type="dxa"/>
            <w:vAlign w:val="center"/>
          </w:tcPr>
          <w:p>
            <w:pPr>
              <w:spacing w:line="360" w:lineRule="auto"/>
              <w:rPr>
                <w:rFonts w:ascii="宋体" w:hAnsi="宋体" w:cs="宋体"/>
                <w:sz w:val="24"/>
              </w:rPr>
            </w:pPr>
            <w:r>
              <w:rPr>
                <w:rFonts w:hint="eastAsia" w:ascii="宋体" w:hAnsi="宋体" w:cs="宋体"/>
                <w:sz w:val="24"/>
              </w:rPr>
              <w:t>QH2024040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政企对接沟通活动服务项目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left"/>
              <w:rPr>
                <w:rFonts w:ascii="宋体" w:hAnsi="宋体" w:cs="宋体"/>
                <w:sz w:val="24"/>
              </w:rPr>
            </w:pPr>
            <w:r>
              <w:rPr>
                <w:rFonts w:hint="eastAsia" w:ascii="宋体" w:hAnsi="宋体" w:cs="宋体"/>
                <w:sz w:val="24"/>
              </w:rPr>
              <w:t>工作内容</w:t>
            </w:r>
          </w:p>
        </w:tc>
        <w:tc>
          <w:tcPr>
            <w:tcW w:w="7015" w:type="dxa"/>
            <w:vAlign w:val="center"/>
          </w:tcPr>
          <w:p>
            <w:pPr>
              <w:spacing w:line="360" w:lineRule="auto"/>
              <w:rPr>
                <w:rFonts w:ascii="宋体" w:hAnsi="宋体" w:cs="宋体"/>
                <w:sz w:val="24"/>
              </w:rPr>
            </w:pPr>
            <w:r>
              <w:rPr>
                <w:rFonts w:hint="eastAsia" w:ascii="宋体" w:hAnsi="宋体" w:cs="宋体"/>
                <w:sz w:val="24"/>
              </w:rPr>
              <w:t>政企对接活动拟于2024年在前海国际会议中心举办，主要内容包括：</w:t>
            </w:r>
          </w:p>
          <w:p>
            <w:pPr>
              <w:spacing w:line="360" w:lineRule="auto"/>
              <w:rPr>
                <w:rFonts w:ascii="宋体" w:hAnsi="宋体" w:cs="宋体"/>
                <w:sz w:val="24"/>
              </w:rPr>
            </w:pPr>
            <w:r>
              <w:rPr>
                <w:rFonts w:hint="eastAsia" w:ascii="宋体" w:hAnsi="宋体" w:cs="宋体"/>
                <w:sz w:val="24"/>
              </w:rPr>
              <w:t>（一）活动前期</w:t>
            </w:r>
          </w:p>
          <w:p>
            <w:pPr>
              <w:spacing w:line="360" w:lineRule="auto"/>
              <w:rPr>
                <w:rFonts w:ascii="宋体" w:hAnsi="宋体" w:cs="宋体"/>
                <w:sz w:val="24"/>
              </w:rPr>
            </w:pPr>
            <w:r>
              <w:rPr>
                <w:rFonts w:hint="eastAsia" w:ascii="宋体" w:hAnsi="宋体" w:cs="宋体"/>
                <w:sz w:val="24"/>
              </w:rPr>
              <w:t>1.推出精品嘉宾小视频,为节目预热造势，在深圳重点新闻栏目开展系列走访式报道；</w:t>
            </w:r>
          </w:p>
          <w:p>
            <w:pPr>
              <w:spacing w:line="360" w:lineRule="auto"/>
              <w:rPr>
                <w:rFonts w:ascii="宋体" w:hAnsi="宋体" w:cs="宋体"/>
                <w:sz w:val="24"/>
              </w:rPr>
            </w:pPr>
            <w:r>
              <w:rPr>
                <w:rFonts w:hint="eastAsia" w:ascii="宋体" w:hAnsi="宋体" w:cs="宋体"/>
                <w:sz w:val="24"/>
              </w:rPr>
              <w:t>2.活动场地预定、沟通，会前会晤场地及座位安排，现场座位摆放布置；</w:t>
            </w:r>
          </w:p>
          <w:p>
            <w:pPr>
              <w:spacing w:line="360" w:lineRule="auto"/>
              <w:rPr>
                <w:rFonts w:ascii="宋体" w:hAnsi="宋体" w:cs="宋体"/>
                <w:sz w:val="24"/>
              </w:rPr>
            </w:pPr>
            <w:r>
              <w:rPr>
                <w:rFonts w:hint="eastAsia" w:ascii="宋体" w:hAnsi="宋体" w:cs="宋体"/>
                <w:sz w:val="24"/>
              </w:rPr>
              <w:t>3.活动现场设备租赁、搭建及配套服务（LED屏幕、见证台、灯光、音响及活动所需配套装置等）；</w:t>
            </w:r>
          </w:p>
          <w:p>
            <w:pPr>
              <w:spacing w:line="360" w:lineRule="auto"/>
              <w:rPr>
                <w:rFonts w:ascii="宋体" w:hAnsi="宋体" w:cs="宋体"/>
                <w:sz w:val="24"/>
              </w:rPr>
            </w:pPr>
            <w:r>
              <w:rPr>
                <w:rFonts w:hint="eastAsia" w:ascii="宋体" w:hAnsi="宋体" w:cs="宋体"/>
                <w:sz w:val="24"/>
              </w:rPr>
              <w:t>4.活动现场主画面及延展物料的设计制作服务（活动主视觉、参会嘉宾桌卡、现场指示牌、指引地贴设计制作、签约仪式座位图、签约仪式见证环节站位图、站位地贴等）；</w:t>
            </w:r>
          </w:p>
          <w:p>
            <w:pPr>
              <w:spacing w:line="360" w:lineRule="auto"/>
              <w:rPr>
                <w:rFonts w:ascii="宋体" w:hAnsi="宋体" w:cs="宋体"/>
                <w:sz w:val="24"/>
              </w:rPr>
            </w:pPr>
            <w:r>
              <w:rPr>
                <w:rFonts w:hint="eastAsia" w:ascii="宋体" w:hAnsi="宋体" w:cs="宋体"/>
                <w:sz w:val="24"/>
              </w:rPr>
              <w:t>5.活动所需物料的采购、租赁工作；</w:t>
            </w:r>
          </w:p>
          <w:p>
            <w:pPr>
              <w:spacing w:line="360" w:lineRule="auto"/>
              <w:rPr>
                <w:rFonts w:ascii="宋体" w:hAnsi="宋体" w:cs="宋体"/>
                <w:sz w:val="24"/>
              </w:rPr>
            </w:pPr>
            <w:r>
              <w:rPr>
                <w:rFonts w:hint="eastAsia" w:ascii="宋体" w:hAnsi="宋体" w:cs="宋体"/>
                <w:sz w:val="24"/>
              </w:rPr>
              <w:t>6.活动所需暖场音乐、领导入场音乐、签约音乐等的调试及播放工作；</w:t>
            </w:r>
          </w:p>
          <w:p>
            <w:pPr>
              <w:spacing w:line="360" w:lineRule="auto"/>
              <w:rPr>
                <w:rFonts w:ascii="宋体" w:hAnsi="宋体" w:cs="宋体"/>
                <w:sz w:val="24"/>
              </w:rPr>
            </w:pPr>
            <w:r>
              <w:rPr>
                <w:rFonts w:hint="eastAsia" w:ascii="宋体" w:hAnsi="宋体" w:cs="宋体"/>
                <w:sz w:val="24"/>
              </w:rPr>
              <w:t>7.现场整体流程把控，会议服务相关专业人员配备。</w:t>
            </w:r>
          </w:p>
          <w:p>
            <w:pPr>
              <w:spacing w:line="360" w:lineRule="auto"/>
              <w:rPr>
                <w:rFonts w:ascii="宋体" w:hAnsi="宋体" w:cs="宋体"/>
                <w:sz w:val="24"/>
              </w:rPr>
            </w:pPr>
            <w:r>
              <w:rPr>
                <w:rFonts w:hint="eastAsia" w:ascii="宋体" w:hAnsi="宋体" w:cs="宋体"/>
                <w:sz w:val="24"/>
              </w:rPr>
              <w:t>（二）活动期间</w:t>
            </w:r>
          </w:p>
          <w:p>
            <w:pPr>
              <w:spacing w:line="360" w:lineRule="auto"/>
              <w:rPr>
                <w:rFonts w:ascii="宋体" w:hAnsi="宋体" w:cs="宋体"/>
                <w:sz w:val="24"/>
              </w:rPr>
            </w:pPr>
            <w:r>
              <w:rPr>
                <w:rFonts w:hint="eastAsia" w:ascii="宋体" w:hAnsi="宋体" w:cs="宋体"/>
                <w:sz w:val="24"/>
              </w:rPr>
              <w:t>1.联合重点媒体,互联网平台,深广电矩阵同步直播扩大节目影响力；</w:t>
            </w:r>
          </w:p>
          <w:p>
            <w:pPr>
              <w:spacing w:line="360" w:lineRule="auto"/>
              <w:rPr>
                <w:rFonts w:ascii="宋体" w:hAnsi="宋体" w:cs="宋体"/>
                <w:sz w:val="24"/>
              </w:rPr>
            </w:pPr>
            <w:r>
              <w:rPr>
                <w:rFonts w:hint="eastAsia" w:ascii="宋体" w:hAnsi="宋体" w:cs="宋体"/>
                <w:sz w:val="24"/>
              </w:rPr>
              <w:t>2.与场地的沟通接洽；</w:t>
            </w:r>
          </w:p>
          <w:p>
            <w:pPr>
              <w:spacing w:line="360" w:lineRule="auto"/>
              <w:rPr>
                <w:rFonts w:ascii="宋体" w:hAnsi="宋体" w:cs="宋体"/>
                <w:sz w:val="24"/>
              </w:rPr>
            </w:pPr>
            <w:r>
              <w:rPr>
                <w:rFonts w:hint="eastAsia" w:ascii="宋体" w:hAnsi="宋体" w:cs="宋体"/>
                <w:sz w:val="24"/>
              </w:rPr>
              <w:t>3.提供技术人员现场保障服务（包括项目整体统筹人员、前期协助主办方进行资料整理工作人员、控台专业技术人员、现场兼职人员、礼仪人员在活动期间活动保障）；</w:t>
            </w:r>
          </w:p>
          <w:p>
            <w:pPr>
              <w:spacing w:line="360" w:lineRule="auto"/>
              <w:rPr>
                <w:rFonts w:ascii="宋体" w:hAnsi="宋体" w:cs="宋体"/>
                <w:sz w:val="24"/>
              </w:rPr>
            </w:pPr>
            <w:r>
              <w:rPr>
                <w:rFonts w:hint="eastAsia" w:ascii="宋体" w:hAnsi="宋体" w:cs="宋体"/>
                <w:sz w:val="24"/>
              </w:rPr>
              <w:t>4.配合采购人做好彩排等相关工作；</w:t>
            </w:r>
          </w:p>
          <w:p>
            <w:pPr>
              <w:spacing w:line="360" w:lineRule="auto"/>
              <w:rPr>
                <w:rFonts w:ascii="宋体" w:hAnsi="宋体" w:cs="宋体"/>
                <w:sz w:val="24"/>
              </w:rPr>
            </w:pPr>
            <w:r>
              <w:rPr>
                <w:rFonts w:hint="eastAsia" w:ascii="宋体" w:hAnsi="宋体" w:cs="宋体"/>
                <w:sz w:val="24"/>
              </w:rPr>
              <w:t>5.活动期间现场设备的保障，维护，保障活动顺利进行；</w:t>
            </w:r>
          </w:p>
          <w:p>
            <w:pPr>
              <w:spacing w:line="360" w:lineRule="auto"/>
              <w:rPr>
                <w:rFonts w:ascii="宋体" w:hAnsi="宋体" w:cs="宋体"/>
                <w:sz w:val="24"/>
              </w:rPr>
            </w:pPr>
            <w:r>
              <w:rPr>
                <w:rFonts w:hint="eastAsia" w:ascii="宋体" w:hAnsi="宋体" w:cs="宋体"/>
                <w:sz w:val="24"/>
              </w:rPr>
              <w:t>6.负责对参会人员的安全保障及协调处理活动期间的突发性等其他事务。</w:t>
            </w:r>
          </w:p>
          <w:p>
            <w:pPr>
              <w:spacing w:line="360" w:lineRule="auto"/>
              <w:rPr>
                <w:rFonts w:ascii="宋体" w:hAnsi="宋体" w:cs="宋体"/>
                <w:sz w:val="24"/>
              </w:rPr>
            </w:pPr>
            <w:r>
              <w:rPr>
                <w:rFonts w:hint="eastAsia" w:ascii="宋体" w:hAnsi="宋体" w:cs="宋体"/>
                <w:sz w:val="24"/>
              </w:rPr>
              <w:t>（三）活动结束</w:t>
            </w:r>
          </w:p>
          <w:p>
            <w:pPr>
              <w:spacing w:line="360" w:lineRule="auto"/>
              <w:rPr>
                <w:rFonts w:ascii="宋体" w:hAnsi="宋体" w:cs="宋体"/>
                <w:sz w:val="24"/>
              </w:rPr>
            </w:pPr>
            <w:r>
              <w:rPr>
                <w:rFonts w:hint="eastAsia" w:ascii="宋体" w:hAnsi="宋体" w:cs="宋体"/>
                <w:sz w:val="24"/>
              </w:rPr>
              <w:t>对项目各项活动进行收尾并移交所有音视频文件和素材。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vAlign w:val="center"/>
          </w:tcPr>
          <w:p>
            <w:pPr>
              <w:spacing w:line="360" w:lineRule="auto"/>
              <w:rPr>
                <w:rFonts w:ascii="宋体" w:hAnsi="宋体" w:cs="宋体"/>
                <w:sz w:val="24"/>
              </w:rPr>
            </w:pPr>
            <w:r>
              <w:rPr>
                <w:rFonts w:hint="eastAsia" w:ascii="宋体" w:hAnsi="宋体" w:cs="宋体"/>
                <w:sz w:val="24"/>
              </w:rPr>
              <w:t>¥790,000.00（人民币柒拾玖万元整）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本项目所属行业</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u w:val="singl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ascii="宋体" w:hAnsi="宋体" w:cs="宋体"/>
                <w:kern w:val="0"/>
                <w:sz w:val="24"/>
                <w:u w:val="single"/>
              </w:rPr>
            </w:pPr>
            <w:r>
              <w:rPr>
                <w:rFonts w:hint="eastAsia" w:ascii="宋体" w:hAnsi="宋体" w:cs="宋体"/>
                <w:kern w:val="0"/>
                <w:sz w:val="24"/>
              </w:rPr>
              <w:t>将投标文件密封并在</w:t>
            </w:r>
            <w:r>
              <w:rPr>
                <w:rFonts w:hint="eastAsia" w:ascii="宋体" w:hAnsi="宋体" w:cs="宋体"/>
                <w:b/>
                <w:bCs/>
                <w:kern w:val="0"/>
                <w:sz w:val="24"/>
              </w:rPr>
              <w:t>202</w:t>
            </w:r>
            <w:r>
              <w:rPr>
                <w:rFonts w:ascii="宋体" w:hAnsi="宋体" w:cs="宋体"/>
                <w:b/>
                <w:bCs/>
                <w:kern w:val="0"/>
                <w:sz w:val="24"/>
              </w:rPr>
              <w:t>4</w:t>
            </w:r>
            <w:r>
              <w:rPr>
                <w:rFonts w:hint="eastAsia" w:ascii="宋体" w:hAnsi="宋体" w:cs="宋体"/>
                <w:b/>
                <w:bCs/>
                <w:kern w:val="0"/>
                <w:sz w:val="24"/>
              </w:rPr>
              <w:t>年7月8日中午12:</w:t>
            </w:r>
            <w:r>
              <w:rPr>
                <w:rFonts w:ascii="宋体" w:hAnsi="宋体" w:cs="宋体"/>
                <w:b/>
                <w:bCs/>
                <w:kern w:val="0"/>
                <w:sz w:val="24"/>
              </w:rPr>
              <w:t>0</w:t>
            </w:r>
            <w:r>
              <w:rPr>
                <w:rFonts w:hint="eastAsia" w:ascii="宋体" w:hAnsi="宋体" w:cs="宋体"/>
                <w:b/>
                <w:bCs/>
                <w:kern w:val="0"/>
                <w:sz w:val="24"/>
              </w:rPr>
              <w:t>0时（北京时间）前</w:t>
            </w:r>
            <w:r>
              <w:rPr>
                <w:rFonts w:hint="eastAsia" w:ascii="宋体" w:hAnsi="宋体" w:cs="宋体"/>
                <w:b/>
                <w:kern w:val="0"/>
                <w:sz w:val="24"/>
              </w:rPr>
              <w:t>送达（现场递交或邮寄）至</w:t>
            </w:r>
            <w:r>
              <w:rPr>
                <w:rFonts w:hint="eastAsia" w:ascii="宋体" w:hAnsi="宋体" w:cs="宋体"/>
                <w:b/>
                <w:kern w:val="0"/>
                <w:sz w:val="24"/>
                <w:u w:val="single"/>
              </w:rPr>
              <w:t xml:space="preserve">  深圳市南山区前海深港合作区桂湾五路123号前海管理局前海大厦T1栋2416室</w:t>
            </w:r>
          </w:p>
          <w:p>
            <w:pPr>
              <w:spacing w:line="360" w:lineRule="auto"/>
              <w:rPr>
                <w:rFonts w:ascii="宋体" w:hAnsi="宋体" w:cs="宋体"/>
                <w:kern w:val="0"/>
                <w:sz w:val="24"/>
              </w:rPr>
            </w:pPr>
            <w:r>
              <w:rPr>
                <w:rFonts w:hint="eastAsia" w:ascii="宋体" w:hAnsi="宋体" w:cs="宋体"/>
                <w:kern w:val="0"/>
                <w:sz w:val="24"/>
              </w:rPr>
              <w:t>联  系  人：王工</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0755-</w:t>
            </w:r>
            <w:r>
              <w:rPr>
                <w:rFonts w:hint="eastAsia" w:ascii="宋体" w:hAnsi="宋体" w:cs="宋体"/>
                <w:kern w:val="0"/>
                <w:sz w:val="24"/>
              </w:rPr>
              <w:t>88105248</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w:t>
            </w:r>
            <w:r>
              <w:rPr>
                <w:rFonts w:hint="eastAsia" w:ascii="宋体" w:hAnsi="宋体" w:cs="宋体"/>
                <w:color w:val="000000"/>
                <w:kern w:val="0"/>
                <w:sz w:val="24"/>
              </w:rPr>
              <w:t>投标人成立不足三年的可从成立之日起算</w:t>
            </w:r>
            <w:r>
              <w:rPr>
                <w:rFonts w:hint="eastAsia" w:ascii="宋体" w:hAnsi="宋体" w:cs="宋体"/>
                <w:kern w:val="0"/>
                <w:sz w:val="24"/>
              </w:rPr>
              <w:t>）无行贿犯罪记录</w:t>
            </w:r>
            <w:r>
              <w:rPr>
                <w:rFonts w:hint="eastAsia" w:ascii="宋体" w:hAnsi="宋体" w:cs="宋体"/>
                <w:b/>
                <w:bCs/>
                <w:kern w:val="0"/>
                <w:sz w:val="24"/>
              </w:rPr>
              <w:t>（由投标人在《政府采购投标及履约承诺函》中作出声明加盖投标人公章）</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w:t>
            </w:r>
            <w:r>
              <w:rPr>
                <w:rFonts w:hint="eastAsia" w:ascii="宋体" w:hAnsi="宋体" w:cs="宋体"/>
                <w:color w:val="000000"/>
                <w:kern w:val="0"/>
                <w:sz w:val="24"/>
              </w:rPr>
              <w:t>投标人成立不足三年的可从成立之日起算</w:t>
            </w:r>
            <w:r>
              <w:rPr>
                <w:rFonts w:hint="eastAsia" w:ascii="宋体" w:hAnsi="宋体" w:cs="宋体"/>
                <w:kern w:val="0"/>
                <w:sz w:val="24"/>
              </w:rPr>
              <w:t>），在经营活动中没有重大违法记录以及不存在被有关部门禁止参与政府采购活动且在有效期内的情况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（由投标人在《政府采购投标及履约承诺函》中作出声明加盖投标人公章）</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本项目</w:t>
            </w:r>
            <w:r>
              <w:rPr>
                <w:rFonts w:ascii="宋体" w:hAnsi="宋体" w:cs="宋体"/>
                <w:kern w:val="0"/>
                <w:sz w:val="24"/>
              </w:rPr>
              <w:t>不</w:t>
            </w:r>
            <w:r>
              <w:rPr>
                <w:rFonts w:hint="eastAsia" w:ascii="宋体" w:hAnsi="宋体" w:cs="宋体"/>
                <w:kern w:val="0"/>
                <w:sz w:val="24"/>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sz w:val="24"/>
              </w:rPr>
            </w:pPr>
            <w:r>
              <w:rPr>
                <w:rFonts w:hint="eastAsia" w:ascii="宋体" w:hAnsi="宋体" w:cs="宋体"/>
                <w:sz w:val="24"/>
              </w:rPr>
              <w:t>本次投标为总价包干，投标报价总价作为中标人与采购人签订的合同金额。项目预算控制79万元以内，投标人的报价不可高于预算（限价），否则投标人的投标文件视同无效。项目服务费包括活动费、设备费、物料费、场地费、税金、后续服务等所有费用，并提供合同要求的成果文件，以及其它相关服务的全部费用。</w:t>
            </w:r>
          </w:p>
          <w:p>
            <w:pPr>
              <w:numPr>
                <w:ilvl w:val="0"/>
                <w:numId w:val="3"/>
              </w:numPr>
              <w:spacing w:line="360" w:lineRule="auto"/>
              <w:rPr>
                <w:rFonts w:ascii="宋体" w:hAnsi="宋体" w:cs="宋体"/>
                <w:sz w:val="24"/>
              </w:rPr>
            </w:pPr>
            <w:r>
              <w:rPr>
                <w:rFonts w:hint="eastAsia" w:ascii="宋体" w:hAnsi="宋体" w:cs="宋体"/>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 王工</w:t>
            </w:r>
          </w:p>
          <w:p>
            <w:pPr>
              <w:spacing w:line="360" w:lineRule="auto"/>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w:t>
            </w:r>
            <w:r>
              <w:rPr>
                <w:rFonts w:hint="eastAsia" w:ascii="宋体" w:hAnsi="宋体" w:cs="宋体"/>
                <w:kern w:val="0"/>
                <w:sz w:val="24"/>
              </w:rPr>
              <w:t>88105248</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ascii="宋体" w:hAnsi="宋体" w:cs="宋体"/>
                <w:kern w:val="0"/>
                <w:sz w:val="24"/>
              </w:rPr>
            </w:pPr>
            <w:r>
              <w:rPr>
                <w:rFonts w:hint="eastAsia" w:ascii="宋体" w:hAnsi="宋体" w:cs="宋体"/>
                <w:kern w:val="0"/>
                <w:sz w:val="24"/>
              </w:rPr>
              <w:t>联  系  人： 黎子帅、曹茜</w:t>
            </w:r>
          </w:p>
          <w:p>
            <w:pPr>
              <w:spacing w:line="360" w:lineRule="auto"/>
              <w:rPr>
                <w:rFonts w:ascii="宋体" w:hAnsi="宋体" w:cs="宋体"/>
                <w:kern w:val="0"/>
                <w:sz w:val="24"/>
              </w:rPr>
            </w:pPr>
            <w:r>
              <w:rPr>
                <w:rFonts w:hint="eastAsia" w:ascii="宋体" w:hAnsi="宋体" w:cs="宋体"/>
                <w:kern w:val="0"/>
                <w:sz w:val="24"/>
              </w:rPr>
              <w:t>电      话：18598091126、</w:t>
            </w:r>
            <w:r>
              <w:rPr>
                <w:rFonts w:ascii="宋体" w:hAnsi="宋体" w:cs="宋体"/>
                <w:kern w:val="0"/>
                <w:sz w:val="24"/>
              </w:rPr>
              <w:t>18599127733</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w:t>
      </w:r>
      <w:r>
        <w:rPr>
          <w:rFonts w:ascii="宋体" w:hAnsi="宋体" w:cs="宋体"/>
          <w:sz w:val="24"/>
        </w:rPr>
        <w:t>4</w:t>
      </w:r>
      <w:r>
        <w:rPr>
          <w:rFonts w:hint="eastAsia" w:ascii="宋体" w:hAnsi="宋体" w:cs="宋体"/>
          <w:sz w:val="24"/>
        </w:rPr>
        <w:t>年7月1日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0214"/>
      <w:r>
        <w:rPr>
          <w:rFonts w:hint="eastAsia" w:ascii="宋体" w:hAnsi="宋体" w:cs="宋体"/>
          <w:b/>
          <w:bCs/>
          <w:sz w:val="24"/>
        </w:rPr>
        <w:t>投标须知</w:t>
      </w:r>
      <w:bookmarkEnd w:id="3"/>
    </w:p>
    <w:p>
      <w:pPr>
        <w:spacing w:line="360" w:lineRule="auto"/>
        <w:rPr>
          <w:rFonts w:ascii="宋体" w:hAnsi="宋体" w:cs="宋体"/>
          <w:sz w:val="24"/>
        </w:rPr>
      </w:pPr>
      <w:r>
        <w:rPr>
          <w:rFonts w:hint="eastAsia" w:ascii="宋体" w:hAnsi="宋体" w:cs="宋体"/>
          <w:sz w:val="24"/>
        </w:rPr>
        <w:t>1、本项目是深圳市前海深港现代服务业合作区管理局的政企对接沟通活动服务项目。</w:t>
      </w:r>
    </w:p>
    <w:p>
      <w:pPr>
        <w:spacing w:line="360" w:lineRule="auto"/>
        <w:rPr>
          <w:rFonts w:ascii="宋体" w:hAnsi="宋体" w:cs="宋体"/>
          <w:b/>
          <w:bCs/>
          <w:sz w:val="24"/>
        </w:rPr>
      </w:pPr>
      <w:r>
        <w:rPr>
          <w:rFonts w:hint="eastAsia" w:ascii="宋体" w:hAnsi="宋体" w:cs="宋体"/>
          <w:sz w:val="24"/>
        </w:rPr>
        <w:t>2、</w:t>
      </w:r>
      <w:r>
        <w:rPr>
          <w:rFonts w:hint="eastAsia" w:ascii="宋体" w:hAnsi="宋体" w:cs="宋体"/>
          <w:color w:val="000000"/>
          <w:sz w:val="24"/>
        </w:rPr>
        <w:t>本项目不属于《深圳市2023—2024年政府集中采购目录及限额标准》规定应集中采购项目，根据《中华人民共和国政府采购法》、《深圳经济特区政府采购条例</w:t>
      </w:r>
      <w:bookmarkStart w:id="32" w:name="_GoBack"/>
      <w:bookmarkEnd w:id="32"/>
      <w:r>
        <w:rPr>
          <w:rFonts w:hint="eastAsia" w:ascii="宋体" w:hAnsi="宋体" w:cs="宋体"/>
          <w:color w:val="000000"/>
          <w:sz w:val="24"/>
        </w:rPr>
        <w:t>》的有关规定，深圳交易咨询集团有限公司受深圳市前海深港现代服务业合作区管理局委托组织采购，</w:t>
      </w:r>
      <w:r>
        <w:rPr>
          <w:rFonts w:hint="eastAsia" w:ascii="宋体" w:hAnsi="宋体" w:cs="宋体"/>
          <w:b/>
          <w:bCs/>
          <w:color w:val="000000"/>
          <w:sz w:val="24"/>
        </w:rPr>
        <w:t>本次采购公开征集供应商，报名且符合招标文件初审的供应商在三家或三家以上，采用综合评分法的方式进行；</w:t>
      </w:r>
      <w:r>
        <w:rPr>
          <w:rFonts w:hint="eastAsia" w:ascii="宋体" w:hAnsi="宋体" w:cs="宋体"/>
          <w:b/>
          <w:bCs/>
          <w:sz w:val="24"/>
        </w:rPr>
        <w:t>报名且符合招标文件初审的供应商不足3家而致招标失败的，按以下流程执行：</w:t>
      </w:r>
    </w:p>
    <w:p>
      <w:pPr>
        <w:spacing w:line="360" w:lineRule="auto"/>
        <w:ind w:firstLine="482" w:firstLineChars="200"/>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ind w:firstLine="482" w:firstLineChars="200"/>
        <w:rPr>
          <w:rFonts w:ascii="宋体" w:hAnsi="宋体" w:cs="宋体"/>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360" w:lineRule="auto"/>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5套（1套正本，4套副本，1份电子文档）</w:t>
      </w:r>
      <w:r>
        <w:rPr>
          <w:rFonts w:hint="eastAsia" w:ascii="宋体" w:hAnsi="宋体" w:cs="宋体"/>
          <w:sz w:val="24"/>
        </w:rPr>
        <w:t>完备的资料进行投标。</w:t>
      </w:r>
    </w:p>
    <w:p>
      <w:pPr>
        <w:spacing w:line="360" w:lineRule="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技术部分。</w:t>
      </w:r>
    </w:p>
    <w:p>
      <w:pPr>
        <w:snapToGrid w:val="0"/>
        <w:spacing w:line="360" w:lineRule="auto"/>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rPr>
      </w:pPr>
      <w:r>
        <w:rPr>
          <w:rFonts w:hint="eastAsia" w:ascii="宋体" w:hAnsi="宋体" w:cs="宋体"/>
          <w:sz w:val="24"/>
        </w:rPr>
        <w:t>12、采用综合评分法的情况：评审委员会将分别对供应商递交的投标文件进行评审。</w:t>
      </w:r>
    </w:p>
    <w:p>
      <w:pPr>
        <w:pStyle w:val="55"/>
        <w:snapToGrid w:val="0"/>
        <w:spacing w:line="360" w:lineRule="auto"/>
        <w:ind w:firstLine="480"/>
        <w:rPr>
          <w:rFonts w:ascii="宋体" w:hAnsi="宋体" w:cs="宋体"/>
          <w:kern w:val="2"/>
          <w:sz w:val="24"/>
          <w:szCs w:val="24"/>
        </w:rPr>
      </w:pPr>
      <w:r>
        <w:rPr>
          <w:rFonts w:hint="eastAsia" w:ascii="宋体" w:hAnsi="宋体" w:cs="宋体"/>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snapToGrid w:val="0"/>
        <w:spacing w:line="360" w:lineRule="auto"/>
        <w:ind w:firstLine="480" w:firstLineChars="20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ascii="宋体" w:hAnsi="宋体" w:cs="宋体"/>
          <w:sz w:val="24"/>
        </w:rPr>
      </w:pPr>
      <w:r>
        <w:rPr>
          <w:rFonts w:hint="eastAsia" w:ascii="宋体" w:hAnsi="宋体" w:cs="宋体"/>
          <w:sz w:val="24"/>
        </w:rPr>
        <w:t>13、采用谈判的情况：如参与投标且符合招标文件要求的供应商仅有1家</w:t>
      </w:r>
      <w:r>
        <w:rPr>
          <w:rFonts w:ascii="宋体" w:hAnsi="宋体" w:cs="宋体"/>
          <w:sz w:val="24"/>
        </w:rPr>
        <w:t>，</w:t>
      </w:r>
      <w:r>
        <w:rPr>
          <w:rFonts w:hint="eastAsia" w:ascii="宋体" w:hAnsi="宋体" w:cs="宋体"/>
          <w:sz w:val="24"/>
        </w:rPr>
        <w:t>评审委员会将与投标供应商进行谈判。</w:t>
      </w:r>
    </w:p>
    <w:p>
      <w:pPr>
        <w:snapToGrid w:val="0"/>
        <w:spacing w:line="360" w:lineRule="auto"/>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ascii="宋体" w:hAnsi="宋体" w:cs="宋体"/>
          <w:sz w:val="24"/>
        </w:rPr>
      </w:pPr>
      <w:r>
        <w:rPr>
          <w:rFonts w:hint="eastAsia" w:ascii="宋体" w:hAnsi="宋体" w:cs="宋体"/>
          <w:sz w:val="24"/>
        </w:rPr>
        <w:t>（2）原则上成交价应为最初报价的95%。</w:t>
      </w:r>
    </w:p>
    <w:p>
      <w:pPr>
        <w:snapToGrid w:val="0"/>
        <w:spacing w:line="360" w:lineRule="auto"/>
        <w:rPr>
          <w:rFonts w:ascii="宋体" w:hAnsi="宋体" w:cs="宋体"/>
          <w:sz w:val="24"/>
        </w:rPr>
      </w:pPr>
      <w:r>
        <w:rPr>
          <w:rFonts w:hint="eastAsia" w:ascii="宋体" w:hAnsi="宋体" w:cs="宋体"/>
          <w:sz w:val="24"/>
        </w:rPr>
        <w:t>14、所有的评审/谈判内容都必须保密。</w:t>
      </w:r>
    </w:p>
    <w:p>
      <w:pPr>
        <w:snapToGrid w:val="0"/>
        <w:spacing w:line="360" w:lineRule="auto"/>
        <w:rPr>
          <w:rFonts w:ascii="宋体" w:hAnsi="宋体" w:cs="宋体"/>
          <w:sz w:val="24"/>
        </w:rPr>
      </w:pPr>
      <w:r>
        <w:rPr>
          <w:rFonts w:hint="eastAsia" w:ascii="宋体" w:hAnsi="宋体" w:cs="宋体"/>
          <w:sz w:val="24"/>
        </w:rPr>
        <w:t>15、招标代理服务收费：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w:t>
      </w:r>
      <w:r>
        <w:rPr>
          <w:rFonts w:ascii="宋体" w:hAnsi="宋体" w:cs="宋体"/>
          <w:sz w:val="24"/>
        </w:rPr>
        <w:t>70</w:t>
      </w:r>
      <w:r>
        <w:rPr>
          <w:rFonts w:hint="eastAsia" w:ascii="宋体" w:hAnsi="宋体" w:cs="宋体"/>
          <w:sz w:val="24"/>
        </w:rPr>
        <w:t>%按差额定率累进法进行计费，若以上计算金额小于3000元，则按3000元收取。</w:t>
      </w:r>
    </w:p>
    <w:p>
      <w:pPr>
        <w:numPr>
          <w:ilvl w:val="0"/>
          <w:numId w:val="5"/>
        </w:numPr>
        <w:adjustRightInd w:val="0"/>
        <w:snapToGrid w:val="0"/>
        <w:spacing w:line="360" w:lineRule="auto"/>
        <w:ind w:right="26"/>
        <w:jc w:val="left"/>
      </w:pPr>
      <w:r>
        <w:rPr>
          <w:rFonts w:hint="eastAsia" w:ascii="宋体" w:hAnsi="宋体" w:cs="宋体"/>
          <w:sz w:val="24"/>
        </w:rPr>
        <w:t>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开户名称：深圳交易咨询集团有限公司</w:t>
      </w:r>
    </w:p>
    <w:p>
      <w:pPr>
        <w:spacing w:line="360" w:lineRule="auto"/>
        <w:rPr>
          <w:rFonts w:ascii="宋体" w:hAnsi="宋体" w:cs="宋体"/>
          <w:sz w:val="24"/>
        </w:rPr>
      </w:pPr>
      <w:r>
        <w:rPr>
          <w:rFonts w:hint="eastAsia" w:ascii="宋体" w:hAnsi="宋体" w:cs="宋体"/>
          <w:sz w:val="24"/>
        </w:rPr>
        <w:t>银行账号：</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20176"/>
      <w:r>
        <w:rPr>
          <w:rFonts w:hint="eastAsia" w:ascii="宋体" w:hAnsi="宋体" w:cs="宋体"/>
          <w:b/>
          <w:bCs/>
          <w:sz w:val="24"/>
        </w:rPr>
        <w:t>评标程序</w:t>
      </w:r>
      <w:bookmarkEnd w:id="4"/>
    </w:p>
    <w:p>
      <w:pPr>
        <w:spacing w:line="360" w:lineRule="auto"/>
        <w:rPr>
          <w:rFonts w:ascii="宋体" w:hAnsi="宋体" w:cs="宋体"/>
          <w:sz w:val="24"/>
        </w:rPr>
      </w:pPr>
      <w:r>
        <w:rPr>
          <w:rFonts w:hint="eastAsia" w:ascii="宋体" w:hAnsi="宋体" w:cs="宋体"/>
          <w:sz w:val="24"/>
        </w:rPr>
        <w:t>一、依法成立评审委员会。</w:t>
      </w:r>
      <w:r>
        <w:rPr>
          <w:rFonts w:hint="eastAsia" w:ascii="宋体" w:hAnsi="宋体" w:cs="宋体"/>
          <w:color w:val="000000"/>
          <w:sz w:val="24"/>
        </w:rPr>
        <w:t>在投标截止日前由前海管理局授权招标代理机构在深圳市政府采购评审专家库中抽取专家，组建不少于3人（单数）的评审委员会，其中专家人数为1人，其他专家由采购主办部门委派，评审委员会在开标开始前一天组成</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ascii="宋体" w:hAnsi="宋体" w:cs="宋体"/>
          <w:sz w:val="24"/>
        </w:rPr>
      </w:pPr>
      <w:r>
        <w:rPr>
          <w:rFonts w:hint="eastAsia" w:ascii="宋体" w:hAnsi="宋体" w:cs="宋体"/>
          <w:sz w:val="24"/>
        </w:rPr>
        <w:t>三、会议主持人：深圳交易咨询集团有限公司工作人员 。</w:t>
      </w:r>
    </w:p>
    <w:p>
      <w:pPr>
        <w:spacing w:line="360" w:lineRule="auto"/>
        <w:rPr>
          <w:rFonts w:ascii="宋体" w:hAnsi="宋体" w:cs="宋体"/>
          <w:color w:val="000000"/>
          <w:sz w:val="24"/>
        </w:rPr>
      </w:pPr>
      <w:r>
        <w:rPr>
          <w:rFonts w:hint="eastAsia" w:ascii="宋体" w:hAnsi="宋体" w:cs="宋体"/>
          <w:color w:val="000000"/>
          <w:sz w:val="24"/>
        </w:rPr>
        <w:t>四、开标时间：2024年7月8日。</w:t>
      </w:r>
    </w:p>
    <w:p>
      <w:pPr>
        <w:spacing w:line="360" w:lineRule="auto"/>
        <w:rPr>
          <w:rFonts w:ascii="宋体" w:hAnsi="宋体" w:cs="宋体"/>
          <w:color w:val="000000"/>
          <w:sz w:val="24"/>
        </w:rPr>
      </w:pPr>
      <w:r>
        <w:rPr>
          <w:rFonts w:hint="eastAsia" w:ascii="宋体" w:hAnsi="宋体" w:cs="宋体"/>
          <w:color w:val="000000"/>
          <w:sz w:val="24"/>
        </w:rPr>
        <w:t>五、会议开始：2024年7月8日，由会议主持人宣布定标会议开始。</w:t>
      </w:r>
    </w:p>
    <w:p>
      <w:pPr>
        <w:spacing w:line="360" w:lineRule="auto"/>
        <w:rPr>
          <w:rFonts w:ascii="宋体" w:hAnsi="宋体" w:cs="宋体"/>
          <w:sz w:val="24"/>
        </w:rPr>
      </w:pPr>
      <w:r>
        <w:rPr>
          <w:rFonts w:hint="eastAsia" w:ascii="宋体" w:hAnsi="宋体" w:cs="宋体"/>
          <w:sz w:val="24"/>
        </w:rPr>
        <w:t>六、项目负责代表向采购代理机构代表送交投标文件，监督部门代表确认投标文件密封完整，未密封投标文件将作为投标无效处理。</w:t>
      </w:r>
    </w:p>
    <w:p>
      <w:pPr>
        <w:spacing w:line="360" w:lineRule="auto"/>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ascii="宋体" w:hAnsi="宋体" w:cs="宋体"/>
          <w:sz w:val="24"/>
        </w:rPr>
      </w:pPr>
      <w:r>
        <w:rPr>
          <w:rFonts w:hint="eastAsia" w:ascii="宋体" w:hAnsi="宋体" w:cs="宋体"/>
          <w:sz w:val="24"/>
        </w:rPr>
        <w:t>九、评审委员会按以下工作程序进行：</w:t>
      </w:r>
    </w:p>
    <w:p>
      <w:pPr>
        <w:spacing w:line="360" w:lineRule="auto"/>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numPr>
          <w:ilvl w:val="0"/>
          <w:numId w:val="6"/>
        </w:numPr>
        <w:spacing w:line="360" w:lineRule="auto"/>
        <w:rPr>
          <w:rFonts w:ascii="宋体" w:hAnsi="宋体" w:cs="宋体"/>
          <w:sz w:val="24"/>
        </w:rPr>
      </w:pPr>
      <w:r>
        <w:rPr>
          <w:rFonts w:hint="eastAsia" w:ascii="宋体" w:hAnsi="宋体" w:cs="宋体"/>
          <w:sz w:val="24"/>
        </w:rPr>
        <w:t>采用谈判的情况：如参与投标且符合招标文件要求的供应商仅有1家</w:t>
      </w:r>
      <w:r>
        <w:rPr>
          <w:rFonts w:ascii="宋体" w:hAnsi="宋体" w:cs="宋体"/>
          <w:sz w:val="24"/>
        </w:rPr>
        <w:t>，</w:t>
      </w:r>
      <w:r>
        <w:rPr>
          <w:rFonts w:hint="eastAsia" w:ascii="宋体" w:hAnsi="宋体" w:cs="宋体"/>
          <w:sz w:val="24"/>
        </w:rPr>
        <w:t>评审委员会将与投标供应商进行谈判。</w:t>
      </w:r>
    </w:p>
    <w:p>
      <w:pPr>
        <w:spacing w:line="360" w:lineRule="auto"/>
        <w:rPr>
          <w:rFonts w:ascii="宋体" w:hAnsi="宋体" w:cs="宋体"/>
          <w:sz w:val="24"/>
        </w:rPr>
      </w:pPr>
      <w:r>
        <w:rPr>
          <w:rFonts w:hint="eastAsia" w:ascii="宋体" w:hAnsi="宋体" w:cs="宋体"/>
          <w:sz w:val="24"/>
        </w:rPr>
        <w:t>5.1 供应商在谈判时由项目负责人与评审委员会进行谈判；</w:t>
      </w:r>
    </w:p>
    <w:p>
      <w:pPr>
        <w:spacing w:line="360" w:lineRule="auto"/>
        <w:rPr>
          <w:rFonts w:ascii="宋体" w:hAnsi="宋体" w:cs="宋体"/>
          <w:sz w:val="24"/>
        </w:rPr>
      </w:pPr>
      <w:r>
        <w:rPr>
          <w:rFonts w:hint="eastAsia" w:ascii="宋体" w:hAnsi="宋体" w:cs="宋体"/>
          <w:sz w:val="24"/>
        </w:rPr>
        <w:t>5.2 原则上成交价应为最初报价的95%。</w:t>
      </w:r>
    </w:p>
    <w:p>
      <w:pPr>
        <w:spacing w:line="360" w:lineRule="auto"/>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2"/>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3567"/>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73518163"/>
      <w:bookmarkStart w:id="7" w:name="_Toc84303603"/>
      <w:bookmarkStart w:id="8" w:name="_Toc100052414"/>
      <w:bookmarkStart w:id="9" w:name="_Toc101074886"/>
      <w:bookmarkStart w:id="10" w:name="_Toc73521592"/>
      <w:bookmarkStart w:id="11" w:name="_Toc73517685"/>
      <w:bookmarkStart w:id="12" w:name="_Toc73521680"/>
    </w:p>
    <w:bookmarkEnd w:id="6"/>
    <w:bookmarkEnd w:id="7"/>
    <w:bookmarkEnd w:id="8"/>
    <w:bookmarkEnd w:id="9"/>
    <w:bookmarkEnd w:id="10"/>
    <w:bookmarkEnd w:id="11"/>
    <w:bookmarkEnd w:id="12"/>
    <w:p>
      <w:pPr>
        <w:pStyle w:val="55"/>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55"/>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55"/>
        <w:spacing w:line="360" w:lineRule="auto"/>
        <w:ind w:left="1470" w:right="1470" w:firstLine="482"/>
        <w:jc w:val="center"/>
        <w:rPr>
          <w:rFonts w:ascii="宋体" w:hAnsi="宋体" w:cs="宋体"/>
          <w:b/>
          <w:sz w:val="24"/>
          <w:szCs w:val="24"/>
        </w:rPr>
      </w:pPr>
    </w:p>
    <w:p>
      <w:pPr>
        <w:pStyle w:val="5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5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政企对接沟通活动服务项目委托合同</w:t>
      </w:r>
    </w:p>
    <w:p>
      <w:pPr>
        <w:spacing w:line="360" w:lineRule="auto"/>
        <w:rPr>
          <w:rFonts w:ascii="宋体" w:hAnsi="宋体" w:cs="宋体"/>
          <w:sz w:val="24"/>
        </w:rPr>
      </w:pPr>
      <w:r>
        <w:rPr>
          <w:rFonts w:hint="eastAsia" w:ascii="宋体" w:hAnsi="宋体" w:cs="宋体"/>
          <w:sz w:val="24"/>
        </w:rPr>
        <w:t xml:space="preserve"> </w:t>
      </w:r>
    </w:p>
    <w:p>
      <w:pPr>
        <w:pStyle w:val="55"/>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pStyle w:val="55"/>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政企对接沟通活动服务项目 </w:t>
      </w:r>
    </w:p>
    <w:p>
      <w:pPr>
        <w:spacing w:line="360" w:lineRule="auto"/>
        <w:ind w:firstLine="480" w:firstLineChars="200"/>
        <w:rPr>
          <w:rFonts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r>
        <w:rPr>
          <w:rFonts w:ascii="宋体" w:hAnsi="宋体" w:cs="宋体"/>
          <w:sz w:val="24"/>
        </w:rPr>
        <w:t>2024</w:t>
      </w:r>
      <w:r>
        <w:rPr>
          <w:rFonts w:hint="eastAsia" w:ascii="宋体" w:hAnsi="宋体" w:cs="宋体"/>
          <w:sz w:val="24"/>
        </w:rPr>
        <w:t>年  月</w:t>
      </w:r>
    </w:p>
    <w:p>
      <w:pPr>
        <w:spacing w:line="360" w:lineRule="auto"/>
        <w:jc w:val="center"/>
        <w:rPr>
          <w:rFonts w:ascii="宋体" w:hAnsi="宋体" w:cs="宋体"/>
          <w:sz w:val="24"/>
        </w:rPr>
      </w:pPr>
      <w:r>
        <w:rPr>
          <w:rFonts w:hint="eastAsia" w:ascii="宋体" w:hAnsi="宋体" w:cs="宋体"/>
          <w:sz w:val="24"/>
        </w:rPr>
        <w:t>本合同共    页（不含封面）</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承担</w:t>
      </w:r>
      <w:r>
        <w:rPr>
          <w:rFonts w:hint="eastAsia" w:ascii="宋体" w:hAnsi="宋体" w:cs="宋体"/>
          <w:b/>
          <w:bCs/>
          <w:kern w:val="0"/>
          <w:sz w:val="24"/>
          <w:u w:val="single"/>
        </w:rPr>
        <w:t xml:space="preserve"> </w:t>
      </w:r>
      <w:r>
        <w:rPr>
          <w:rFonts w:hint="eastAsia" w:ascii="宋体" w:hAnsi="宋体" w:cs="宋体"/>
          <w:sz w:val="24"/>
          <w:u w:val="single"/>
        </w:rPr>
        <w:t>政企对接沟通活动服务项目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项目工作内容</w:t>
      </w:r>
    </w:p>
    <w:p>
      <w:pPr>
        <w:spacing w:line="360" w:lineRule="auto"/>
        <w:ind w:firstLine="480" w:firstLineChars="200"/>
        <w:rPr>
          <w:rFonts w:ascii="宋体" w:hAnsi="宋体" w:cs="宋体"/>
          <w:sz w:val="24"/>
        </w:rPr>
      </w:pPr>
      <w:r>
        <w:rPr>
          <w:rFonts w:hint="eastAsia" w:ascii="宋体" w:hAnsi="宋体" w:cs="宋体"/>
          <w:sz w:val="24"/>
        </w:rPr>
        <w:t>政企对接活动拟于2024年在前海国际会议中心举办，主要内容包括：</w:t>
      </w:r>
    </w:p>
    <w:p>
      <w:pPr>
        <w:spacing w:line="360" w:lineRule="auto"/>
        <w:ind w:firstLine="480" w:firstLineChars="200"/>
        <w:rPr>
          <w:rFonts w:ascii="宋体" w:hAnsi="宋体" w:cs="宋体"/>
          <w:sz w:val="24"/>
        </w:rPr>
      </w:pPr>
      <w:r>
        <w:rPr>
          <w:rFonts w:hint="eastAsia" w:ascii="宋体" w:hAnsi="宋体" w:cs="宋体"/>
          <w:sz w:val="24"/>
        </w:rPr>
        <w:t>（一）活动前期</w:t>
      </w:r>
    </w:p>
    <w:p>
      <w:pPr>
        <w:spacing w:line="360" w:lineRule="auto"/>
        <w:ind w:firstLine="480" w:firstLineChars="200"/>
        <w:rPr>
          <w:rFonts w:ascii="宋体" w:hAnsi="宋体" w:cs="宋体"/>
          <w:sz w:val="24"/>
        </w:rPr>
      </w:pPr>
      <w:r>
        <w:rPr>
          <w:rFonts w:hint="eastAsia" w:ascii="宋体" w:hAnsi="宋体" w:cs="宋体"/>
          <w:sz w:val="24"/>
        </w:rPr>
        <w:t>1.推出精品嘉宾小视频,为节目预热造势，在深圳重点新闻栏目开展系列走访式报道；</w:t>
      </w:r>
    </w:p>
    <w:p>
      <w:pPr>
        <w:spacing w:line="360" w:lineRule="auto"/>
        <w:ind w:firstLine="480" w:firstLineChars="200"/>
        <w:rPr>
          <w:rFonts w:ascii="宋体" w:hAnsi="宋体" w:cs="宋体"/>
          <w:sz w:val="24"/>
        </w:rPr>
      </w:pPr>
      <w:r>
        <w:rPr>
          <w:rFonts w:hint="eastAsia" w:ascii="宋体" w:hAnsi="宋体" w:cs="宋体"/>
          <w:sz w:val="24"/>
        </w:rPr>
        <w:t>2.活动场地预定、沟通，会前会晤场地及座位安排，现场座位摆放布置；</w:t>
      </w:r>
    </w:p>
    <w:p>
      <w:pPr>
        <w:spacing w:line="360" w:lineRule="auto"/>
        <w:ind w:firstLine="480" w:firstLineChars="200"/>
        <w:rPr>
          <w:rFonts w:ascii="宋体" w:hAnsi="宋体" w:cs="宋体"/>
          <w:sz w:val="24"/>
        </w:rPr>
      </w:pPr>
      <w:r>
        <w:rPr>
          <w:rFonts w:hint="eastAsia" w:ascii="宋体" w:hAnsi="宋体" w:cs="宋体"/>
          <w:sz w:val="24"/>
        </w:rPr>
        <w:t>3.活动现场设备租赁、搭建及配套服务（LED屏幕、见证台、灯光、音响及活动所需配套装置等）；</w:t>
      </w:r>
    </w:p>
    <w:p>
      <w:pPr>
        <w:spacing w:line="360" w:lineRule="auto"/>
        <w:ind w:firstLine="480" w:firstLineChars="200"/>
        <w:rPr>
          <w:rFonts w:ascii="宋体" w:hAnsi="宋体" w:cs="宋体"/>
          <w:sz w:val="24"/>
        </w:rPr>
      </w:pPr>
      <w:r>
        <w:rPr>
          <w:rFonts w:hint="eastAsia" w:ascii="宋体" w:hAnsi="宋体" w:cs="宋体"/>
          <w:sz w:val="24"/>
        </w:rPr>
        <w:t>4.活动现场主画面及延展物料的设计制作服务（活动主视觉、参会嘉宾桌卡、现场指示牌、指引地贴设计制作、签约仪式座位图、签约仪式见证环节站位图、站位地贴等）；</w:t>
      </w:r>
    </w:p>
    <w:p>
      <w:pPr>
        <w:spacing w:line="360" w:lineRule="auto"/>
        <w:ind w:firstLine="480" w:firstLineChars="200"/>
        <w:rPr>
          <w:rFonts w:ascii="宋体" w:hAnsi="宋体" w:cs="宋体"/>
          <w:sz w:val="24"/>
        </w:rPr>
      </w:pPr>
      <w:r>
        <w:rPr>
          <w:rFonts w:hint="eastAsia" w:ascii="宋体" w:hAnsi="宋体" w:cs="宋体"/>
          <w:sz w:val="24"/>
        </w:rPr>
        <w:t>5.活动所需物料的采购、租赁工作；</w:t>
      </w:r>
    </w:p>
    <w:p>
      <w:pPr>
        <w:spacing w:line="360" w:lineRule="auto"/>
        <w:ind w:firstLine="480" w:firstLineChars="200"/>
        <w:rPr>
          <w:rFonts w:ascii="宋体" w:hAnsi="宋体" w:cs="宋体"/>
          <w:sz w:val="24"/>
        </w:rPr>
      </w:pPr>
      <w:r>
        <w:rPr>
          <w:rFonts w:hint="eastAsia" w:ascii="宋体" w:hAnsi="宋体" w:cs="宋体"/>
          <w:sz w:val="24"/>
        </w:rPr>
        <w:t>6.活动所需暖场音乐、领导入场音乐、签约音乐等的调试及播放工作；</w:t>
      </w:r>
    </w:p>
    <w:p>
      <w:pPr>
        <w:spacing w:line="360" w:lineRule="auto"/>
        <w:ind w:firstLine="480" w:firstLineChars="200"/>
        <w:rPr>
          <w:rFonts w:ascii="宋体" w:hAnsi="宋体" w:cs="宋体"/>
          <w:sz w:val="24"/>
        </w:rPr>
      </w:pPr>
      <w:r>
        <w:rPr>
          <w:rFonts w:hint="eastAsia" w:ascii="宋体" w:hAnsi="宋体" w:cs="宋体"/>
          <w:sz w:val="24"/>
        </w:rPr>
        <w:t>7.现场整体流程把控，会议服务相关专业人员配备。</w:t>
      </w:r>
    </w:p>
    <w:p>
      <w:pPr>
        <w:spacing w:line="360" w:lineRule="auto"/>
        <w:ind w:firstLine="480" w:firstLineChars="200"/>
        <w:rPr>
          <w:rFonts w:ascii="宋体" w:hAnsi="宋体" w:cs="宋体"/>
          <w:sz w:val="24"/>
        </w:rPr>
      </w:pPr>
      <w:r>
        <w:rPr>
          <w:rFonts w:hint="eastAsia" w:ascii="宋体" w:hAnsi="宋体" w:cs="宋体"/>
          <w:sz w:val="24"/>
        </w:rPr>
        <w:t>（二）活动期间</w:t>
      </w:r>
    </w:p>
    <w:p>
      <w:pPr>
        <w:spacing w:line="360" w:lineRule="auto"/>
        <w:ind w:firstLine="480" w:firstLineChars="200"/>
        <w:rPr>
          <w:rFonts w:ascii="宋体" w:hAnsi="宋体" w:cs="宋体"/>
          <w:sz w:val="24"/>
        </w:rPr>
      </w:pPr>
      <w:r>
        <w:rPr>
          <w:rFonts w:hint="eastAsia" w:ascii="宋体" w:hAnsi="宋体" w:cs="宋体"/>
          <w:sz w:val="24"/>
        </w:rPr>
        <w:t>1.联合重点媒体,互联网平台,深广电矩阵同步直播扩大节目影响力；</w:t>
      </w:r>
    </w:p>
    <w:p>
      <w:pPr>
        <w:spacing w:line="360" w:lineRule="auto"/>
        <w:ind w:firstLine="480" w:firstLineChars="200"/>
        <w:rPr>
          <w:rFonts w:ascii="宋体" w:hAnsi="宋体" w:cs="宋体"/>
          <w:sz w:val="24"/>
        </w:rPr>
      </w:pPr>
      <w:r>
        <w:rPr>
          <w:rFonts w:hint="eastAsia" w:ascii="宋体" w:hAnsi="宋体" w:cs="宋体"/>
          <w:sz w:val="24"/>
        </w:rPr>
        <w:t>2.与场地的沟通接洽；</w:t>
      </w:r>
    </w:p>
    <w:p>
      <w:pPr>
        <w:spacing w:line="360" w:lineRule="auto"/>
        <w:ind w:firstLine="480" w:firstLineChars="200"/>
        <w:rPr>
          <w:rFonts w:ascii="宋体" w:hAnsi="宋体" w:cs="宋体"/>
          <w:sz w:val="24"/>
        </w:rPr>
      </w:pPr>
      <w:r>
        <w:rPr>
          <w:rFonts w:hint="eastAsia" w:ascii="宋体" w:hAnsi="宋体" w:cs="宋体"/>
          <w:sz w:val="24"/>
        </w:rPr>
        <w:t>3.提供技术人员现场保障服务（包括项目整体统筹人员、前期协助主办方进行资料整理工作人员、控台专业技术人员、现场兼职人员、礼仪人员在活动期间活动保障）；</w:t>
      </w:r>
    </w:p>
    <w:p>
      <w:pPr>
        <w:spacing w:line="360" w:lineRule="auto"/>
        <w:ind w:firstLine="480" w:firstLineChars="200"/>
        <w:rPr>
          <w:rFonts w:ascii="宋体" w:hAnsi="宋体" w:cs="宋体"/>
          <w:sz w:val="24"/>
        </w:rPr>
      </w:pPr>
      <w:r>
        <w:rPr>
          <w:rFonts w:hint="eastAsia" w:ascii="宋体" w:hAnsi="宋体" w:cs="宋体"/>
          <w:sz w:val="24"/>
        </w:rPr>
        <w:t>4.配合甲方做好彩排等相关工作；</w:t>
      </w:r>
    </w:p>
    <w:p>
      <w:pPr>
        <w:spacing w:line="360" w:lineRule="auto"/>
        <w:ind w:firstLine="480" w:firstLineChars="200"/>
        <w:rPr>
          <w:rFonts w:ascii="宋体" w:hAnsi="宋体" w:cs="宋体"/>
          <w:sz w:val="24"/>
        </w:rPr>
      </w:pPr>
      <w:r>
        <w:rPr>
          <w:rFonts w:hint="eastAsia" w:ascii="宋体" w:hAnsi="宋体" w:cs="宋体"/>
          <w:sz w:val="24"/>
        </w:rPr>
        <w:t>5.活动期间现场设备的保障，维护，保障活动顺利进行；</w:t>
      </w:r>
    </w:p>
    <w:p>
      <w:pPr>
        <w:spacing w:line="360" w:lineRule="auto"/>
        <w:ind w:firstLine="480" w:firstLineChars="200"/>
        <w:rPr>
          <w:rFonts w:ascii="宋体" w:hAnsi="宋体" w:cs="宋体"/>
          <w:sz w:val="24"/>
        </w:rPr>
      </w:pPr>
      <w:r>
        <w:rPr>
          <w:rFonts w:hint="eastAsia" w:ascii="宋体" w:hAnsi="宋体" w:cs="宋体"/>
          <w:sz w:val="24"/>
        </w:rPr>
        <w:t>6.负责对参会人员的安全保障及协调处理活动期间的突发性等其他事务。</w:t>
      </w:r>
    </w:p>
    <w:p>
      <w:pPr>
        <w:spacing w:line="360" w:lineRule="auto"/>
        <w:ind w:firstLine="480" w:firstLineChars="200"/>
        <w:rPr>
          <w:rFonts w:ascii="宋体" w:hAnsi="宋体" w:cs="宋体"/>
          <w:sz w:val="24"/>
        </w:rPr>
      </w:pPr>
      <w:r>
        <w:rPr>
          <w:rFonts w:hint="eastAsia" w:ascii="宋体" w:hAnsi="宋体" w:cs="宋体"/>
          <w:sz w:val="24"/>
        </w:rPr>
        <w:t>（三）活动结束</w:t>
      </w:r>
    </w:p>
    <w:p>
      <w:pPr>
        <w:spacing w:line="360" w:lineRule="auto"/>
        <w:ind w:firstLine="480" w:firstLineChars="200"/>
        <w:rPr>
          <w:rFonts w:ascii="宋体" w:hAnsi="宋体" w:cs="宋体"/>
          <w:sz w:val="24"/>
        </w:rPr>
      </w:pPr>
      <w:r>
        <w:rPr>
          <w:rFonts w:hint="eastAsia" w:ascii="宋体" w:hAnsi="宋体" w:cs="宋体"/>
          <w:sz w:val="24"/>
        </w:rPr>
        <w:t>对项目各项活动进行收尾并移交所有音视频文件和素材。</w:t>
      </w:r>
    </w:p>
    <w:p>
      <w:pPr>
        <w:spacing w:line="360" w:lineRule="auto"/>
        <w:ind w:firstLine="482" w:firstLineChars="200"/>
        <w:rPr>
          <w:rFonts w:ascii="宋体" w:hAnsi="宋体" w:cs="宋体"/>
          <w:sz w:val="24"/>
        </w:rPr>
      </w:pPr>
      <w:r>
        <w:rPr>
          <w:rFonts w:hint="eastAsia" w:ascii="宋体" w:hAnsi="宋体" w:cs="宋体"/>
          <w:b/>
          <w:bCs/>
          <w:sz w:val="24"/>
        </w:rPr>
        <w:t>第二条  服务期限</w:t>
      </w:r>
    </w:p>
    <w:p>
      <w:pPr>
        <w:spacing w:line="360" w:lineRule="auto"/>
        <w:ind w:firstLine="480" w:firstLineChars="200"/>
        <w:rPr>
          <w:rFonts w:ascii="宋体" w:hAnsi="宋体" w:cs="宋体"/>
          <w:sz w:val="24"/>
        </w:rPr>
      </w:pPr>
      <w:r>
        <w:rPr>
          <w:rFonts w:hint="eastAsia" w:ascii="宋体" w:hAnsi="宋体" w:cs="宋体"/>
          <w:sz w:val="24"/>
        </w:rPr>
        <w:t>本项目服务期限自签订合同之日起至活动结束。</w:t>
      </w:r>
    </w:p>
    <w:p>
      <w:pPr>
        <w:spacing w:line="360" w:lineRule="auto"/>
        <w:ind w:firstLine="482" w:firstLineChars="200"/>
        <w:rPr>
          <w:rFonts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最后文本，包括对项目各项活动进行收尾并移交所有音视频文件和素材等，都属于甲方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sz w:val="24"/>
        </w:rPr>
      </w:pPr>
      <w:r>
        <w:rPr>
          <w:rFonts w:hint="eastAsia" w:ascii="宋体" w:hAnsi="宋体" w:cs="宋体"/>
          <w:b/>
          <w:bCs/>
          <w:sz w:val="24"/>
        </w:rPr>
        <w:t>第四条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3.负责组织对项目成果的</w:t>
      </w:r>
      <w:r>
        <w:rPr>
          <w:rFonts w:ascii="宋体" w:hAnsi="宋体" w:cs="宋体"/>
          <w:sz w:val="24"/>
        </w:rPr>
        <w:t>验收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 xml:space="preserve">5.甲方指定项目联系人： </w:t>
      </w:r>
    </w:p>
    <w:p>
      <w:pPr>
        <w:spacing w:line="360" w:lineRule="auto"/>
        <w:ind w:firstLine="480" w:firstLineChars="200"/>
        <w:rPr>
          <w:rFonts w:ascii="宋体" w:hAnsi="宋体" w:cs="宋体"/>
          <w:sz w:val="24"/>
        </w:rPr>
      </w:pPr>
      <w:r>
        <w:rPr>
          <w:rFonts w:hint="eastAsia" w:ascii="宋体" w:hAnsi="宋体" w:cs="宋体"/>
          <w:sz w:val="24"/>
        </w:rPr>
        <w:t>姓名：</w:t>
      </w:r>
    </w:p>
    <w:p>
      <w:pPr>
        <w:spacing w:line="360" w:lineRule="auto"/>
        <w:ind w:firstLine="480" w:firstLineChars="200"/>
        <w:rPr>
          <w:rFonts w:ascii="宋体" w:hAnsi="宋体" w:cs="宋体"/>
          <w:sz w:val="24"/>
        </w:rPr>
      </w:pPr>
      <w:r>
        <w:rPr>
          <w:rFonts w:hint="eastAsia" w:ascii="宋体" w:hAnsi="宋体" w:cs="宋体"/>
          <w:sz w:val="24"/>
        </w:rPr>
        <w:t>联系方式：</w:t>
      </w:r>
    </w:p>
    <w:p>
      <w:pPr>
        <w:spacing w:line="360" w:lineRule="auto"/>
        <w:ind w:firstLine="482" w:firstLineChars="200"/>
        <w:rPr>
          <w:rFonts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ascii="宋体" w:hAnsi="宋体" w:cs="宋体"/>
          <w:sz w:val="24"/>
        </w:rPr>
      </w:pPr>
      <w:r>
        <w:rPr>
          <w:rFonts w:hint="eastAsia" w:ascii="宋体" w:hAnsi="宋体" w:cs="宋体"/>
          <w:sz w:val="24"/>
        </w:rPr>
        <w:t>１.应按照【】号招标文件、乙方投标文件以及本合同的要求按期完成本项目服务工作。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w:t>
      </w:r>
      <w:r>
        <w:rPr>
          <w:rFonts w:ascii="宋体" w:hAnsi="宋体" w:cs="宋体"/>
          <w:sz w:val="24"/>
        </w:rPr>
        <w:t>广东</w:t>
      </w:r>
      <w:r>
        <w:rPr>
          <w:rFonts w:hint="eastAsia" w:ascii="宋体" w:hAnsi="宋体" w:cs="宋体"/>
          <w:sz w:val="24"/>
        </w:rPr>
        <w:t>省及深圳</w:t>
      </w:r>
      <w:r>
        <w:rPr>
          <w:rFonts w:ascii="宋体" w:hAnsi="宋体" w:cs="宋体"/>
          <w:sz w:val="24"/>
        </w:rPr>
        <w:t>市</w:t>
      </w:r>
      <w:r>
        <w:rPr>
          <w:rFonts w:hint="eastAsia" w:ascii="宋体" w:hAnsi="宋体" w:cs="宋体"/>
          <w:sz w:val="24"/>
        </w:rPr>
        <w:t>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sz w:val="24"/>
        </w:rPr>
      </w:pPr>
      <w:r>
        <w:rPr>
          <w:rFonts w:hint="eastAsia" w:ascii="宋体" w:hAnsi="宋体" w:cs="宋体"/>
          <w:sz w:val="24"/>
        </w:rPr>
        <w:t>4.对甲方提出的合理的额外服务，不应予以拒绝。</w:t>
      </w:r>
    </w:p>
    <w:p>
      <w:pPr>
        <w:spacing w:line="360" w:lineRule="auto"/>
        <w:ind w:firstLine="480" w:firstLineChars="200"/>
        <w:rPr>
          <w:rFonts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7.如乙方提供的研究意见等成果文件不符合本合同要求，必须在甲方提出要求后3天内无条件修改，其费用由乙方自行承担。修改期间，甲方付款时间相应顺延。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sz w:val="24"/>
        </w:rPr>
      </w:pPr>
      <w:r>
        <w:rPr>
          <w:rFonts w:hint="eastAsia" w:ascii="宋体" w:hAnsi="宋体" w:cs="宋体"/>
          <w:sz w:val="24"/>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12.本合同期满或提前解除、终止后，乙方应将甲方的档案资料、信息数据等交还甲方，并应销毁或删除所有备份。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2" w:firstLineChars="200"/>
        <w:rPr>
          <w:rFonts w:ascii="宋体" w:hAnsi="宋体" w:cs="宋体"/>
          <w:b/>
          <w:bCs/>
          <w:sz w:val="24"/>
        </w:rPr>
      </w:pPr>
      <w:r>
        <w:rPr>
          <w:rFonts w:hint="eastAsia" w:ascii="宋体" w:hAnsi="宋体" w:cs="宋体"/>
          <w:b/>
          <w:bCs/>
          <w:sz w:val="24"/>
        </w:rPr>
        <w:t>第六条  甲方的权利</w:t>
      </w:r>
    </w:p>
    <w:p>
      <w:pPr>
        <w:pStyle w:val="12"/>
        <w:snapToGrid w:val="0"/>
        <w:spacing w:line="360" w:lineRule="auto"/>
        <w:ind w:firstLine="420" w:firstLineChars="175"/>
        <w:rPr>
          <w:rFonts w:hAnsi="宋体" w:cs="宋体"/>
          <w:sz w:val="24"/>
        </w:rPr>
      </w:pPr>
      <w:r>
        <w:rPr>
          <w:rFonts w:hint="eastAsia" w:hAnsi="宋体" w:cs="宋体"/>
          <w:sz w:val="24"/>
        </w:rPr>
        <w:t>1.甲方对研究过程的决策、控制、实施等环节实行全面管理，协调和监督研究工作开展，控制研究工作过程，进行研究成果验收。</w:t>
      </w:r>
    </w:p>
    <w:p>
      <w:pPr>
        <w:pStyle w:val="12"/>
        <w:snapToGrid w:val="0"/>
        <w:spacing w:line="360" w:lineRule="auto"/>
        <w:ind w:firstLine="420" w:firstLineChars="175"/>
        <w:rPr>
          <w:rFonts w:hAnsi="宋体" w:cs="宋体"/>
          <w:sz w:val="24"/>
        </w:rPr>
      </w:pPr>
      <w:r>
        <w:rPr>
          <w:rFonts w:hint="eastAsia" w:hAnsi="宋体" w:cs="宋体"/>
          <w:sz w:val="24"/>
        </w:rPr>
        <w:t>2.检查乙方研究人员到位情况，如因人力、能力不足致使研究工作不能按计划完成时，有权要求乙方增加或替换相应的技术人员，直至甲方认可，乙方不得拒绝。</w:t>
      </w:r>
    </w:p>
    <w:p>
      <w:pPr>
        <w:pStyle w:val="12"/>
        <w:snapToGrid w:val="0"/>
        <w:spacing w:line="360" w:lineRule="auto"/>
        <w:ind w:firstLine="420" w:firstLineChars="175"/>
        <w:rPr>
          <w:rFonts w:hAnsi="宋体" w:cs="宋体"/>
          <w:sz w:val="24"/>
        </w:rPr>
      </w:pPr>
      <w:r>
        <w:rPr>
          <w:rFonts w:hint="eastAsia" w:hAnsi="宋体" w:cs="宋体"/>
          <w:sz w:val="24"/>
        </w:rPr>
        <w:t>3.甲方有权向乙方询问项目工作进展及相关情况，并要求乙方在指定时间内做出答复。</w:t>
      </w:r>
    </w:p>
    <w:p>
      <w:pPr>
        <w:pStyle w:val="12"/>
        <w:snapToGrid w:val="0"/>
        <w:spacing w:line="360" w:lineRule="auto"/>
        <w:ind w:firstLine="420" w:firstLineChars="175"/>
        <w:rPr>
          <w:rFonts w:hAnsi="宋体" w:cs="宋体"/>
          <w:sz w:val="24"/>
        </w:rPr>
      </w:pPr>
      <w:r>
        <w:rPr>
          <w:rFonts w:hint="eastAsia" w:hAnsi="宋体" w:cs="宋体"/>
          <w:sz w:val="24"/>
        </w:rPr>
        <w:t>4.甲方有权对乙方提交的阶段性成果、最终成果送审稿等相关工作文件进行审核并提出修改意见。</w:t>
      </w:r>
    </w:p>
    <w:p>
      <w:pPr>
        <w:pStyle w:val="12"/>
        <w:snapToGrid w:val="0"/>
        <w:spacing w:line="360" w:lineRule="auto"/>
        <w:ind w:firstLine="420" w:firstLineChars="175"/>
        <w:rPr>
          <w:rFonts w:hAnsi="宋体" w:cs="宋体"/>
          <w:sz w:val="24"/>
        </w:rPr>
      </w:pPr>
      <w:r>
        <w:rPr>
          <w:rFonts w:hint="eastAsia" w:hAnsi="宋体" w:cs="宋体"/>
          <w:sz w:val="24"/>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2"/>
        <w:snapToGrid w:val="0"/>
        <w:spacing w:line="360" w:lineRule="auto"/>
        <w:ind w:firstLine="420" w:firstLineChars="175"/>
        <w:rPr>
          <w:rFonts w:hAnsi="宋体" w:cs="宋体"/>
          <w:sz w:val="24"/>
        </w:rPr>
      </w:pPr>
      <w:r>
        <w:rPr>
          <w:rFonts w:hint="eastAsia" w:hAnsi="宋体" w:cs="宋体"/>
          <w:sz w:val="24"/>
        </w:rPr>
        <w:t>6.甲方对乙方在委托权限范围内完成委托事项有指导、监督权利。</w:t>
      </w:r>
    </w:p>
    <w:p>
      <w:pPr>
        <w:pStyle w:val="12"/>
        <w:snapToGrid w:val="0"/>
        <w:spacing w:line="360" w:lineRule="auto"/>
        <w:ind w:firstLine="420" w:firstLineChars="175"/>
        <w:rPr>
          <w:rFonts w:hAnsi="宋体" w:cs="宋体"/>
          <w:sz w:val="24"/>
        </w:rPr>
      </w:pPr>
      <w:r>
        <w:rPr>
          <w:rFonts w:hint="eastAsia" w:hAnsi="宋体" w:cs="宋体"/>
          <w:sz w:val="24"/>
        </w:rPr>
        <w:t>7.甲方有权要求乙方全面履行合同。甲方不接受部分履行，如本合同项下部分成果文件未能按时交付则视为整体延误。</w:t>
      </w:r>
    </w:p>
    <w:p>
      <w:pPr>
        <w:pStyle w:val="12"/>
        <w:snapToGrid w:val="0"/>
        <w:spacing w:line="360" w:lineRule="auto"/>
        <w:ind w:firstLine="420" w:firstLineChars="175"/>
        <w:rPr>
          <w:rFonts w:hAnsi="宋体" w:cs="宋体"/>
          <w:sz w:val="24"/>
        </w:rPr>
      </w:pPr>
      <w:r>
        <w:rPr>
          <w:rFonts w:hint="eastAsia" w:hAnsi="宋体" w:cs="宋体"/>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2.乙方在本项目服务过程中，有权要求甲方就本研究服务业务有关的问题开展调研予以协调和支持。</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0" w:firstLineChars="200"/>
        <w:rPr>
          <w:rFonts w:ascii="宋体" w:hAnsi="宋体" w:cs="宋体"/>
          <w:sz w:val="24"/>
        </w:rPr>
      </w:pPr>
      <w:r>
        <w:rPr>
          <w:rFonts w:hint="eastAsia" w:ascii="宋体" w:hAnsi="宋体" w:cs="宋体"/>
          <w:sz w:val="24"/>
        </w:rPr>
        <w:t>5.乙方就本协议项下全部义务无条件对甲方承担连带责任。</w:t>
      </w:r>
    </w:p>
    <w:p>
      <w:pPr>
        <w:spacing w:line="360" w:lineRule="auto"/>
        <w:ind w:firstLine="482" w:firstLineChars="200"/>
        <w:rPr>
          <w:rFonts w:ascii="宋体" w:hAnsi="宋体" w:cs="宋体"/>
          <w:b/>
          <w:bCs/>
          <w:sz w:val="24"/>
        </w:rPr>
      </w:pPr>
      <w:r>
        <w:rPr>
          <w:rFonts w:hint="eastAsia" w:ascii="宋体" w:hAnsi="宋体" w:cs="宋体"/>
          <w:b/>
          <w:bCs/>
          <w:sz w:val="24"/>
        </w:rPr>
        <w:t>第八条 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w:t>
      </w:r>
      <w:r>
        <w:rPr>
          <w:rFonts w:ascii="宋体" w:hAnsi="宋体" w:cs="宋体"/>
          <w:sz w:val="24"/>
        </w:rPr>
        <w:t>保全费用、</w:t>
      </w:r>
      <w:r>
        <w:rPr>
          <w:rFonts w:hint="eastAsia" w:ascii="宋体" w:hAnsi="宋体" w:cs="宋体"/>
          <w:sz w:val="24"/>
        </w:rPr>
        <w:t>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80" w:firstLineChars="200"/>
        <w:rPr>
          <w:rFonts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ascii="宋体" w:hAnsi="宋体" w:cs="宋体"/>
          <w:b/>
          <w:bCs/>
          <w:sz w:val="24"/>
        </w:rPr>
      </w:pPr>
      <w:r>
        <w:rPr>
          <w:rFonts w:hint="eastAsia" w:ascii="宋体" w:hAnsi="宋体" w:cs="宋体"/>
          <w:b/>
          <w:bCs/>
          <w:sz w:val="24"/>
        </w:rPr>
        <w:t>第九条  保密条款</w:t>
      </w:r>
    </w:p>
    <w:p>
      <w:pPr>
        <w:widowControl/>
        <w:spacing w:line="360" w:lineRule="auto"/>
        <w:ind w:firstLine="480" w:firstLineChars="200"/>
        <w:rPr>
          <w:rFonts w:ascii="宋体" w:hAnsi="宋体" w:cs="宋体"/>
          <w:sz w:val="24"/>
        </w:rPr>
      </w:pPr>
      <w:bookmarkStart w:id="13"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4" w:name="_Toc216520224"/>
      <w:r>
        <w:rPr>
          <w:rFonts w:hint="eastAsia" w:ascii="宋体" w:hAnsi="宋体" w:cs="宋体"/>
          <w:sz w:val="24"/>
        </w:rPr>
        <w:t>5</w:t>
      </w:r>
      <w:bookmarkEnd w:id="14"/>
      <w:bookmarkStart w:id="15" w:name="_Toc216520226"/>
      <w:r>
        <w:rPr>
          <w:rFonts w:hint="eastAsia" w:ascii="宋体" w:hAnsi="宋体" w:cs="宋体"/>
          <w:sz w:val="24"/>
        </w:rPr>
        <w:t>.上述保密义务不适用以下情况：</w:t>
      </w:r>
      <w:bookmarkEnd w:id="15"/>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第十条  项目成果及验收</w:t>
      </w:r>
    </w:p>
    <w:p>
      <w:pPr>
        <w:ind w:firstLine="480" w:firstLineChars="200"/>
        <w:rPr>
          <w:rFonts w:ascii="宋体" w:hAnsi="宋体" w:cs="宋体"/>
          <w:sz w:val="24"/>
        </w:rPr>
      </w:pPr>
      <w:r>
        <w:rPr>
          <w:rFonts w:hint="eastAsia" w:ascii="宋体" w:hAnsi="宋体" w:cs="宋体"/>
          <w:sz w:val="24"/>
        </w:rPr>
        <w:t>本项目主要形成以下成果</w:t>
      </w:r>
      <w:r>
        <w:rPr>
          <w:rFonts w:ascii="宋体" w:hAnsi="宋体" w:cs="宋体"/>
          <w:sz w:val="24"/>
        </w:rPr>
        <w:t>:</w:t>
      </w:r>
      <w:r>
        <w:rPr>
          <w:rFonts w:hint="eastAsia" w:ascii="宋体" w:hAnsi="宋体" w:cs="宋体"/>
          <w:sz w:val="24"/>
        </w:rPr>
        <w:t>对项目各项活动进行收尾并移交所有音视频文件和素材。</w:t>
      </w:r>
    </w:p>
    <w:p>
      <w:pPr>
        <w:widowControl/>
        <w:spacing w:line="360" w:lineRule="auto"/>
        <w:ind w:firstLine="480" w:firstLineChars="200"/>
        <w:rPr>
          <w:rFonts w:ascii="宋体" w:hAnsi="宋体" w:cs="宋体"/>
          <w:sz w:val="24"/>
        </w:rPr>
      </w:pPr>
      <w:r>
        <w:rPr>
          <w:rFonts w:hint="eastAsia" w:ascii="宋体" w:hAnsi="宋体" w:cs="宋体"/>
          <w:sz w:val="24"/>
        </w:rPr>
        <w:t>上述成果深度需满足甲方全局性、指导性、实操性的要求，并能满足甲方“推动《前海方案》全面落实”等相关要求，通过甲方验收合格。</w:t>
      </w:r>
    </w:p>
    <w:p>
      <w:pPr>
        <w:spacing w:line="360" w:lineRule="auto"/>
        <w:ind w:firstLine="482" w:firstLineChars="200"/>
        <w:rPr>
          <w:rFonts w:ascii="宋体" w:hAnsi="宋体" w:cs="宋体"/>
          <w:b/>
          <w:bCs/>
          <w:sz w:val="24"/>
        </w:rPr>
      </w:pPr>
      <w:r>
        <w:rPr>
          <w:rFonts w:hint="eastAsia" w:ascii="宋体" w:hAnsi="宋体" w:cs="宋体"/>
          <w:b/>
          <w:bCs/>
          <w:sz w:val="24"/>
        </w:rPr>
        <w:t>第十一条  项目服务费用及付款方式</w:t>
      </w:r>
    </w:p>
    <w:p>
      <w:pPr>
        <w:widowControl/>
        <w:spacing w:line="360" w:lineRule="auto"/>
        <w:ind w:firstLine="480" w:firstLineChars="200"/>
        <w:rPr>
          <w:rFonts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（含税）。包括活动费、设备费、物料费、场地费、税金、后续服务等所有费用，并提供合同要求的成果文件，以及其它相关服务的全部费用</w:t>
      </w:r>
      <w:r>
        <w:rPr>
          <w:rFonts w:hint="eastAsia" w:ascii="宋体" w:hAnsi="宋体" w:cs="宋体"/>
          <w:sz w:val="24"/>
          <w:lang w:val="zh-CN"/>
        </w:rPr>
        <w:t>。</w:t>
      </w:r>
    </w:p>
    <w:p>
      <w:pPr>
        <w:widowControl/>
        <w:spacing w:line="360" w:lineRule="auto"/>
        <w:ind w:firstLine="480" w:firstLineChars="200"/>
        <w:rPr>
          <w:rFonts w:ascii="宋体" w:hAnsi="宋体" w:cs="宋体"/>
          <w:sz w:val="24"/>
        </w:rPr>
      </w:pPr>
      <w:r>
        <w:rPr>
          <w:rFonts w:hint="eastAsia" w:ascii="宋体" w:hAnsi="宋体" w:cs="宋体"/>
          <w:sz w:val="24"/>
        </w:rPr>
        <w:t>2.付款方式：在签署本合同后，甲方根据乙方申请，并经过甲方验收合格后，甲方向乙方一次性支付上述合作款项人民币       元（大写     元整）。</w:t>
      </w:r>
    </w:p>
    <w:p>
      <w:pPr>
        <w:widowControl/>
        <w:spacing w:line="360" w:lineRule="auto"/>
        <w:ind w:firstLine="480" w:firstLineChars="200"/>
        <w:rPr>
          <w:rFonts w:ascii="宋体" w:hAnsi="宋体" w:cs="宋体"/>
          <w:sz w:val="24"/>
        </w:rPr>
      </w:pPr>
      <w:r>
        <w:rPr>
          <w:rFonts w:hint="eastAsia" w:ascii="宋体" w:hAnsi="宋体" w:cs="宋体"/>
          <w:sz w:val="24"/>
        </w:rPr>
        <w:t>上述款项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乙方变更收款银行账户信息的，应至少提前</w:t>
      </w:r>
      <w:r>
        <w:rPr>
          <w:rFonts w:ascii="宋体" w:hAnsi="宋体" w:cs="宋体"/>
          <w:sz w:val="24"/>
        </w:rPr>
        <w:t>7</w:t>
      </w:r>
      <w:r>
        <w:rPr>
          <w:rFonts w:hint="eastAsia" w:ascii="宋体" w:hAnsi="宋体" w:cs="宋体"/>
          <w:sz w:val="24"/>
        </w:rPr>
        <w:t>天以书面形式通知甲方，否则由此导致的款项延期支付等责任均由乙方自行承担。</w:t>
      </w:r>
    </w:p>
    <w:p>
      <w:pPr>
        <w:pStyle w:val="2"/>
        <w:spacing w:after="0" w:line="360" w:lineRule="auto"/>
        <w:ind w:firstLine="480" w:firstLineChars="200"/>
        <w:rPr>
          <w:rFonts w:ascii="宋体" w:hAnsi="宋体" w:cs="宋体"/>
        </w:rPr>
      </w:pPr>
      <w:r>
        <w:rPr>
          <w:rFonts w:hint="eastAsia" w:ascii="宋体" w:hAnsi="宋体" w:cs="宋体"/>
        </w:rPr>
        <w:t>3.乙方银行账户信息：</w:t>
      </w:r>
    </w:p>
    <w:p>
      <w:pPr>
        <w:pStyle w:val="2"/>
        <w:spacing w:after="0" w:line="360" w:lineRule="auto"/>
        <w:ind w:firstLine="480" w:firstLineChars="200"/>
        <w:rPr>
          <w:rFonts w:ascii="宋体" w:hAnsi="宋体" w:cs="宋体"/>
        </w:rPr>
      </w:pPr>
      <w:r>
        <w:rPr>
          <w:rFonts w:hint="eastAsia" w:ascii="宋体" w:hAnsi="宋体" w:cs="宋体"/>
        </w:rPr>
        <w:t xml:space="preserve">开户银行： </w:t>
      </w:r>
    </w:p>
    <w:p>
      <w:pPr>
        <w:pStyle w:val="2"/>
        <w:spacing w:after="0" w:line="360" w:lineRule="auto"/>
        <w:ind w:firstLine="480" w:firstLineChars="200"/>
        <w:rPr>
          <w:rFonts w:ascii="宋体" w:hAnsi="宋体" w:cs="宋体"/>
        </w:rPr>
      </w:pPr>
      <w:r>
        <w:rPr>
          <w:rFonts w:hint="eastAsia" w:ascii="宋体" w:hAnsi="宋体" w:cs="宋体"/>
        </w:rPr>
        <w:t>户名：</w:t>
      </w:r>
    </w:p>
    <w:p>
      <w:pPr>
        <w:pStyle w:val="2"/>
        <w:spacing w:after="0" w:line="360" w:lineRule="auto"/>
        <w:ind w:firstLine="480" w:firstLineChars="200"/>
        <w:rPr>
          <w:rFonts w:ascii="宋体" w:hAnsi="宋体" w:cs="宋体"/>
        </w:rPr>
      </w:pPr>
      <w:r>
        <w:rPr>
          <w:rFonts w:hint="eastAsia" w:ascii="宋体" w:hAnsi="宋体" w:cs="宋体"/>
        </w:rPr>
        <w:t>账号：</w:t>
      </w:r>
    </w:p>
    <w:p>
      <w:pPr>
        <w:spacing w:line="360" w:lineRule="auto"/>
        <w:ind w:firstLine="482" w:firstLineChars="200"/>
        <w:rPr>
          <w:rFonts w:ascii="宋体" w:hAnsi="宋体" w:cs="宋体"/>
          <w:b/>
          <w:bCs/>
          <w:sz w:val="24"/>
        </w:rPr>
      </w:pPr>
      <w:r>
        <w:rPr>
          <w:rFonts w:hint="eastAsia" w:ascii="宋体" w:hAnsi="宋体" w:cs="宋体"/>
          <w:b/>
          <w:bCs/>
          <w:sz w:val="24"/>
        </w:rPr>
        <w:t>第十二条 合同提前终止</w:t>
      </w:r>
    </w:p>
    <w:p>
      <w:pPr>
        <w:pStyle w:val="55"/>
        <w:spacing w:line="360" w:lineRule="auto"/>
        <w:ind w:firstLine="480"/>
        <w:rPr>
          <w:rFonts w:ascii="宋体" w:hAnsi="宋体" w:cs="宋体"/>
          <w:sz w:val="24"/>
          <w:szCs w:val="24"/>
        </w:rPr>
      </w:pPr>
      <w:r>
        <w:rPr>
          <w:rFonts w:hint="eastAsia" w:ascii="宋体" w:hAnsi="宋体" w:cs="宋体"/>
          <w:sz w:val="24"/>
          <w:szCs w:val="24"/>
        </w:rPr>
        <w:t>（一）双方协商同意提前终止本合同的，按双方协商约定的方式进行清算执行。</w:t>
      </w:r>
    </w:p>
    <w:p>
      <w:pPr>
        <w:pStyle w:val="55"/>
        <w:spacing w:line="360" w:lineRule="auto"/>
        <w:ind w:firstLine="480"/>
        <w:rPr>
          <w:rFonts w:ascii="宋体" w:hAnsi="宋体" w:cs="宋体"/>
          <w:sz w:val="24"/>
          <w:szCs w:val="24"/>
        </w:rPr>
      </w:pPr>
      <w:r>
        <w:rPr>
          <w:rFonts w:hint="eastAsia" w:ascii="宋体" w:hAnsi="宋体" w:cs="宋体"/>
          <w:sz w:val="24"/>
          <w:szCs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55"/>
        <w:spacing w:line="360" w:lineRule="auto"/>
        <w:ind w:firstLine="480"/>
        <w:rPr>
          <w:rFonts w:ascii="宋体" w:hAnsi="宋体" w:cs="宋体"/>
          <w:sz w:val="24"/>
          <w:szCs w:val="24"/>
        </w:rPr>
      </w:pPr>
      <w:r>
        <w:rPr>
          <w:rFonts w:hint="eastAsia" w:ascii="宋体" w:hAnsi="宋体" w:cs="宋体"/>
          <w:sz w:val="24"/>
          <w:szCs w:val="24"/>
        </w:rPr>
        <w:t>（三）有下列情形之一的，本合同自甲方向乙方发出书面通知之日起终止：</w:t>
      </w:r>
    </w:p>
    <w:p>
      <w:pPr>
        <w:pStyle w:val="55"/>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55"/>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55"/>
        <w:spacing w:line="360" w:lineRule="auto"/>
        <w:ind w:firstLine="480"/>
        <w:rPr>
          <w:rFonts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发生以上情形，甲方已向乙方支付的款项不退还，尚未支付的款项不再支付，同时乙方应向甲方提交在合同终止日前完成的所有项目文件和相关资料。</w:t>
      </w:r>
    </w:p>
    <w:p>
      <w:pPr>
        <w:pStyle w:val="55"/>
        <w:spacing w:line="360" w:lineRule="auto"/>
        <w:ind w:firstLine="480"/>
        <w:rPr>
          <w:rFonts w:ascii="宋体" w:hAnsi="宋体" w:cs="宋体"/>
          <w:sz w:val="24"/>
          <w:szCs w:val="24"/>
        </w:rPr>
      </w:pPr>
      <w:r>
        <w:rPr>
          <w:rFonts w:hint="eastAsia" w:ascii="宋体" w:hAnsi="宋体" w:cs="宋体"/>
          <w:sz w:val="24"/>
          <w:szCs w:val="24"/>
        </w:rPr>
        <w:t>（四）如发生不可抗力或其他超出合同双方控制的事件，致使一方无法履行合同，本合同解除。</w:t>
      </w:r>
    </w:p>
    <w:p>
      <w:pPr>
        <w:pStyle w:val="55"/>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5"/>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55"/>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第十三条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第十四条  项目变更</w:t>
      </w:r>
    </w:p>
    <w:p>
      <w:pPr>
        <w:snapToGrid w:val="0"/>
        <w:spacing w:line="360" w:lineRule="auto"/>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rPr>
          <w:rFonts w:ascii="宋体" w:hAnsi="宋体" w:cs="宋体"/>
          <w:b/>
          <w:bCs/>
          <w:sz w:val="24"/>
        </w:rPr>
      </w:pPr>
      <w:r>
        <w:rPr>
          <w:rFonts w:hint="eastAsia" w:ascii="宋体" w:hAnsi="宋体" w:cs="宋体"/>
          <w:b/>
          <w:bCs/>
          <w:sz w:val="24"/>
        </w:rPr>
        <w:t>第十五条  风险责任</w:t>
      </w:r>
    </w:p>
    <w:p>
      <w:pPr>
        <w:spacing w:line="360" w:lineRule="auto"/>
        <w:ind w:firstLine="480" w:firstLineChars="200"/>
        <w:rPr>
          <w:rFonts w:ascii="宋体" w:hAnsi="宋体" w:cs="宋体"/>
          <w:sz w:val="24"/>
        </w:rPr>
      </w:pPr>
      <w:r>
        <w:rPr>
          <w:rFonts w:hint="eastAsia" w:ascii="宋体" w:hAnsi="宋体" w:cs="宋体"/>
          <w:sz w:val="24"/>
        </w:rPr>
        <w:t>乙方应完全地按照【】号招标文件的要求</w:t>
      </w:r>
      <w:r>
        <w:rPr>
          <w:rFonts w:ascii="宋体" w:hAnsi="宋体" w:cs="宋体"/>
          <w:sz w:val="24"/>
        </w:rPr>
        <w:t>、</w:t>
      </w:r>
      <w:r>
        <w:rPr>
          <w:rFonts w:hint="eastAsia" w:ascii="宋体" w:hAnsi="宋体" w:cs="宋体"/>
          <w:sz w:val="24"/>
        </w:rPr>
        <w:t>乙方投标文件的承诺以及本合同的约定完成本项目，出于自身财务、技术、人力等原因导致项目失败的，应承担全部责任。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第十六条  违约责任</w:t>
      </w:r>
    </w:p>
    <w:p>
      <w:pPr>
        <w:spacing w:line="360" w:lineRule="auto"/>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（1）乙方未能按合同约定的日期(含协商延缓的日期)提交各阶段成果或最终成果，延误时间超过15个工作日；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（2）因乙方工作的错误或遗漏造成成果质量损失，</w:t>
      </w:r>
      <w:r>
        <w:rPr>
          <w:rFonts w:hint="eastAsia" w:ascii="宋体" w:hAnsi="宋体" w:cs="宋体"/>
          <w:sz w:val="24"/>
          <w:lang w:val="zh-CN"/>
        </w:rPr>
        <w:t>工作成果质量低劣，不能满足甲方工作需要和要求</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上述索赔或责任所产生的诉讼费用、律师费用、保全费用、鉴定评估费用、调查费用、和解金额或生效法律文书中规定的赔偿金额）。</w:t>
      </w:r>
    </w:p>
    <w:p>
      <w:pPr>
        <w:spacing w:line="360" w:lineRule="auto"/>
        <w:ind w:firstLine="482" w:firstLineChars="200"/>
        <w:rPr>
          <w:rFonts w:ascii="宋体" w:hAnsi="宋体" w:cs="宋体"/>
          <w:b/>
          <w:bCs/>
          <w:sz w:val="24"/>
        </w:rPr>
      </w:pPr>
      <w:r>
        <w:rPr>
          <w:rFonts w:hint="eastAsia" w:ascii="宋体" w:hAnsi="宋体" w:cs="宋体"/>
          <w:b/>
          <w:bCs/>
          <w:sz w:val="24"/>
        </w:rPr>
        <w:t>第十七条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55"/>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55"/>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55"/>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55"/>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5"/>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55"/>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widowControl/>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6" w:name="_Toc25518"/>
      <w:r>
        <w:rPr>
          <w:rFonts w:hint="eastAsia" w:ascii="宋体" w:hAnsi="宋体" w:cs="宋体"/>
          <w:b/>
          <w:bCs/>
          <w:sz w:val="24"/>
        </w:rPr>
        <w:t>用户需求书</w:t>
      </w:r>
      <w:bookmarkEnd w:id="16"/>
    </w:p>
    <w:p>
      <w:pPr>
        <w:pStyle w:val="52"/>
        <w:tabs>
          <w:tab w:val="left" w:pos="720"/>
        </w:tabs>
        <w:autoSpaceDE w:val="0"/>
        <w:autoSpaceDN w:val="0"/>
        <w:adjustRightInd w:val="0"/>
        <w:spacing w:line="360" w:lineRule="auto"/>
        <w:ind w:right="17" w:firstLine="482"/>
        <w:jc w:val="left"/>
        <w:outlineLvl w:val="1"/>
        <w:rPr>
          <w:rFonts w:ascii="宋体" w:hAnsi="宋体" w:cs="宋体"/>
          <w:b/>
          <w:sz w:val="24"/>
        </w:rPr>
      </w:pPr>
      <w:bookmarkStart w:id="17" w:name="_Toc23726"/>
      <w:bookmarkStart w:id="18" w:name="_Toc11045"/>
      <w:r>
        <w:rPr>
          <w:rFonts w:hint="eastAsia" w:ascii="宋体" w:hAnsi="宋体" w:cs="宋体"/>
          <w:b/>
          <w:sz w:val="24"/>
        </w:rPr>
        <w:t>一、</w:t>
      </w:r>
      <w:bookmarkEnd w:id="17"/>
      <w:bookmarkEnd w:id="18"/>
      <w:bookmarkStart w:id="19" w:name="_Toc51746099"/>
      <w:r>
        <w:rPr>
          <w:rFonts w:hint="eastAsia" w:ascii="宋体" w:hAnsi="宋体" w:cs="宋体"/>
          <w:b/>
          <w:sz w:val="24"/>
        </w:rPr>
        <w:t>项目背景</w:t>
      </w:r>
    </w:p>
    <w:bookmarkEnd w:id="19"/>
    <w:p>
      <w:pPr>
        <w:pStyle w:val="55"/>
        <w:numPr>
          <w:ilvl w:val="255"/>
          <w:numId w:val="0"/>
        </w:numPr>
        <w:spacing w:line="560" w:lineRule="exact"/>
        <w:ind w:firstLine="640"/>
        <w:rPr>
          <w:rFonts w:ascii="宋体" w:hAnsi="宋体" w:cs="宋体"/>
        </w:rPr>
      </w:pPr>
      <w:r>
        <w:rPr>
          <w:rFonts w:hint="eastAsia" w:asciiTheme="minorEastAsia" w:hAnsiTheme="minorEastAsia" w:eastAsiaTheme="minorEastAsia" w:cstheme="minorEastAsia"/>
          <w:sz w:val="24"/>
          <w:szCs w:val="24"/>
        </w:rPr>
        <w:t>为落实市主要领导关于加强政企对接沟通、更好地推介深圳营商环境的指示批示要求，更好地服务来深、在深企业，做好政企服务、加强沟通，坚持面向全球、全国加大招商引资力度，坚持“心诚+行程”，着眼产业转型升级和长远发展，争取最大最好成效，让更多的产业、企业、资本、人才在深圳集聚，让更多的企业和人才在深圳更好地安心发展，拟于近期在前海举办加强政企对接沟通活动。</w:t>
      </w:r>
    </w:p>
    <w:p>
      <w:pPr>
        <w:pStyle w:val="52"/>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二、工作内容</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政企对接活动拟于2024年在前海国际会议中心举办，主要内容包括：</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（一）活动前期</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1.推出精品嘉宾小视频,为节目预热造势，在深圳重点新闻栏目开展系列走访式报道；</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2.活动场地预定、沟通，会前会晤场地及座位安排，现场座位摆放布置；</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3.活动现场设备租赁、搭建及配套服务（LED屏幕、见证台、灯光、音响及活动所需配套装置等）；</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4.活动现场主画面及延展物料的设计制作服务（活动主视觉、参会嘉宾桌卡、现场指示牌、指引地贴设计制作、签约仪式座位图、签约仪式见证环节站位图、站位地贴等）；</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5.活动所需物料的采购、租赁工作；</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6.活动所需暖场音乐、领导入场音乐、签约音乐等的调试及播放工作；</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7.现场整体流程把控，会议服务相关专业人员配备。</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（二）活动期间</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1.联合重点媒体,互联网平台,深广电矩阵同步直播扩大节目影响力；</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2.与场地的沟通接洽；</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3.提供技术人员现场保障服务（包括项目整体统筹人员、前期协助主办方进行资料整理工作人员、控台专业技术人员、现场兼职人员、礼仪人员在活动期间活动保障）；</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4.配合采购人做好彩排等相关工作；</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5.活动期间现场设备的保障，维护，保障活动顺利进行；</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6.负责对参会人员的安全保障及协调处理活动期间的突发性等其他事务。</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（三）活动结束</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对项目各项活动进行收尾并移交所有音视频文件和素材。</w:t>
      </w:r>
    </w:p>
    <w:p>
      <w:pPr>
        <w:pStyle w:val="52"/>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三、项目成果及验收</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本项目主要形成以下成果：对项目各项活动进行收尾并移交所有音视频文件和素材。</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上述成果深度需满足招标方全局性、指导性、实操性的要求，并能满足招标方“推动《前海方案》全面落实”等相关要求，通过招标方验收合格。</w:t>
      </w:r>
    </w:p>
    <w:p>
      <w:pPr>
        <w:pStyle w:val="52"/>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四、人员要求</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团队人员（含项目负责人）要求至少15人。</w:t>
      </w:r>
    </w:p>
    <w:p>
      <w:pPr>
        <w:pStyle w:val="52"/>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五、商务要求</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（一）服务期限</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本项目服务期限自签订合同之日起至活动结束。</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（二）报价要求</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1.本次投标为总价包干，投标报价总价作为中标人与采购人签订的合同金额。项目预算控制79万元以内，投标人的报价不可高于预算（限价），否则投标人的投标文件视同无效。项目服务费包括活动费、设备费、物料费、场地费、税金、后续服务等所有费用，并提供合同要求的成果文件，以及其它相关服务的全部费用。</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（三）付款方式</w:t>
      </w:r>
    </w:p>
    <w:p>
      <w:pPr>
        <w:pStyle w:val="52"/>
        <w:tabs>
          <w:tab w:val="left" w:pos="720"/>
        </w:tabs>
        <w:autoSpaceDE w:val="0"/>
        <w:autoSpaceDN w:val="0"/>
        <w:adjustRightInd w:val="0"/>
        <w:ind w:right="17" w:firstLine="480"/>
        <w:jc w:val="left"/>
        <w:outlineLvl w:val="1"/>
        <w:rPr>
          <w:rFonts w:ascii="宋体" w:hAnsi="宋体" w:cs="宋体"/>
          <w:sz w:val="24"/>
        </w:rPr>
      </w:pPr>
      <w:r>
        <w:rPr>
          <w:rFonts w:hint="eastAsia" w:ascii="宋体" w:hAnsi="宋体" w:cs="宋体"/>
          <w:sz w:val="24"/>
        </w:rPr>
        <w:t>在签署本合同后，采购人根据中标人申请，并经过采购人验收合格后，采购人向中标人一次性支付合作款项。</w:t>
      </w:r>
    </w:p>
    <w:p>
      <w:pPr>
        <w:pStyle w:val="52"/>
        <w:tabs>
          <w:tab w:val="left" w:pos="720"/>
        </w:tabs>
        <w:autoSpaceDE w:val="0"/>
        <w:autoSpaceDN w:val="0"/>
        <w:adjustRightInd w:val="0"/>
        <w:ind w:right="17" w:firstLine="480"/>
        <w:jc w:val="left"/>
        <w:outlineLvl w:val="1"/>
        <w:rPr>
          <w:rFonts w:ascii="宋体" w:hAnsi="宋体" w:cs="宋体"/>
          <w:sz w:val="24"/>
        </w:rPr>
      </w:pPr>
      <w:r>
        <w:rPr>
          <w:rFonts w:hint="eastAsia" w:ascii="宋体" w:hAnsi="宋体" w:cs="宋体"/>
          <w:sz w:val="24"/>
        </w:rPr>
        <w:t>上述款项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（四）成果权属与知识产权</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（五）保密条款</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4.中标人实施项目的程序应符合国家安全、保密的有关规定和标准。</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5.上述保密义务不适用以下情况：</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（1）获取的信息已被合法公开；</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（2）获得信息拥有方书面许可并在该许可范围内披露；</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（3）国家法律、法规规定的情形。</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（六）违约责任</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1.中标人未按照本合同约定的时间完成本项目各阶段工作，每延迟一日，采购人有权自尚未支付的合同款项中扣除本合同服务费总金额的1‰的逾期违约金。</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2.本合同项下的工作内容不可分割，任一文件的迟延交付均视为整个项目的迟延交付。</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（1）中标人未能按合同约定的日期(含协商延缓的日期)提交各阶段工作成果，延误时间超过15个工作日；</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（3）中标人虽如期提交最终成果，但连续二次未能通过采购人验收的；</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（7）中标人明确表示或者以自己的行为表明不履行本合同的。</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上述索赔或责任所产生的诉讼费用、律师费用、保全费用、鉴定评估费用、调查费用、和解金额或生效法律文书中规定的赔偿金额）。</w:t>
      </w:r>
    </w:p>
    <w:p>
      <w:pPr>
        <w:spacing w:line="360" w:lineRule="auto"/>
        <w:jc w:val="center"/>
        <w:outlineLvl w:val="0"/>
        <w:rPr>
          <w:rFonts w:ascii="宋体" w:cs="宋体"/>
          <w:b/>
          <w:bCs/>
          <w:sz w:val="24"/>
        </w:rPr>
      </w:pPr>
      <w:r>
        <w:rPr>
          <w:rFonts w:hint="eastAsia" w:ascii="宋体" w:hAnsi="宋体" w:cs="宋体"/>
          <w:sz w:val="24"/>
        </w:rPr>
        <w:br w:type="page"/>
      </w:r>
      <w:bookmarkStart w:id="20" w:name="_Toc23822"/>
      <w:r>
        <w:rPr>
          <w:rFonts w:hint="eastAsia" w:ascii="宋体" w:cs="宋体"/>
          <w:b/>
          <w:bCs/>
          <w:sz w:val="24"/>
        </w:rPr>
        <w:t>第六章 投标文件初审及招标项目评分表</w:t>
      </w:r>
      <w:bookmarkEnd w:id="20"/>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3"/>
        <w:tblW w:w="852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center"/>
              <w:rPr>
                <w:rFonts w:ascii="宋体" w:hAnsi="宋体" w:cs="宋体"/>
                <w:sz w:val="24"/>
              </w:rPr>
            </w:pPr>
            <w:r>
              <w:rPr>
                <w:rFonts w:hint="eastAsia" w:ascii="宋体" w:hAnsi="宋体" w:cs="宋体"/>
                <w:sz w:val="24"/>
              </w:rPr>
              <w:t>1</w:t>
            </w:r>
          </w:p>
        </w:tc>
        <w:tc>
          <w:tcPr>
            <w:tcW w:w="7108"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center"/>
              <w:rPr>
                <w:rFonts w:ascii="宋体" w:hAnsi="宋体" w:cs="宋体"/>
                <w:sz w:val="24"/>
              </w:rPr>
            </w:pPr>
            <w:r>
              <w:rPr>
                <w:rFonts w:hint="eastAsia" w:ascii="宋体" w:hAnsi="宋体" w:cs="宋体"/>
                <w:sz w:val="24"/>
              </w:rPr>
              <w:t>2</w:t>
            </w:r>
          </w:p>
        </w:tc>
        <w:tc>
          <w:tcPr>
            <w:tcW w:w="7108"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center"/>
              <w:rPr>
                <w:rFonts w:ascii="宋体" w:hAnsi="宋体" w:cs="宋体"/>
                <w:sz w:val="24"/>
              </w:rPr>
            </w:pPr>
            <w:r>
              <w:rPr>
                <w:rFonts w:hint="eastAsia" w:ascii="宋体" w:hAnsi="宋体" w:cs="宋体"/>
                <w:sz w:val="24"/>
              </w:rPr>
              <w:t>3</w:t>
            </w:r>
          </w:p>
        </w:tc>
        <w:tc>
          <w:tcPr>
            <w:tcW w:w="7108"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center"/>
              <w:rPr>
                <w:rFonts w:ascii="宋体" w:hAnsi="宋体" w:cs="宋体"/>
                <w:sz w:val="24"/>
              </w:rPr>
            </w:pPr>
            <w:r>
              <w:rPr>
                <w:rFonts w:hint="eastAsia" w:ascii="宋体" w:hAnsi="宋体" w:cs="宋体"/>
                <w:sz w:val="24"/>
              </w:rPr>
              <w:t>4</w:t>
            </w:r>
          </w:p>
        </w:tc>
        <w:tc>
          <w:tcPr>
            <w:tcW w:w="7108"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center"/>
              <w:rPr>
                <w:rFonts w:ascii="宋体" w:hAnsi="宋体" w:cs="宋体"/>
                <w:sz w:val="24"/>
              </w:rPr>
            </w:pPr>
            <w:r>
              <w:rPr>
                <w:rFonts w:hint="eastAsia" w:ascii="宋体" w:hAnsi="宋体" w:cs="宋体"/>
                <w:sz w:val="24"/>
              </w:rPr>
              <w:t>5</w:t>
            </w:r>
          </w:p>
        </w:tc>
        <w:tc>
          <w:tcPr>
            <w:tcW w:w="7108" w:type="dxa"/>
            <w:vAlign w:val="center"/>
          </w:tcPr>
          <w:p>
            <w:pPr>
              <w:spacing w:line="360" w:lineRule="auto"/>
              <w:rPr>
                <w:rFonts w:ascii="宋体" w:hAnsi="宋体" w:cs="宋体"/>
                <w:sz w:val="24"/>
              </w:rPr>
            </w:pPr>
            <w:r>
              <w:rPr>
                <w:rFonts w:hint="eastAsia" w:ascii="宋体" w:hAnsi="宋体" w:cs="宋体"/>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center"/>
              <w:rPr>
                <w:rFonts w:ascii="宋体" w:hAnsi="宋体" w:cs="宋体"/>
                <w:sz w:val="24"/>
              </w:rPr>
            </w:pPr>
            <w:r>
              <w:rPr>
                <w:rFonts w:hint="eastAsia" w:ascii="宋体" w:hAnsi="宋体" w:cs="宋体"/>
                <w:sz w:val="24"/>
              </w:rPr>
              <w:t>6</w:t>
            </w:r>
          </w:p>
        </w:tc>
        <w:tc>
          <w:tcPr>
            <w:tcW w:w="7108"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center"/>
              <w:rPr>
                <w:rFonts w:ascii="宋体" w:hAnsi="宋体" w:cs="宋体"/>
                <w:sz w:val="24"/>
              </w:rPr>
            </w:pPr>
            <w:r>
              <w:rPr>
                <w:rFonts w:hint="eastAsia" w:ascii="宋体" w:hAnsi="宋体" w:cs="宋体"/>
                <w:sz w:val="24"/>
              </w:rPr>
              <w:t>7</w:t>
            </w:r>
          </w:p>
        </w:tc>
        <w:tc>
          <w:tcPr>
            <w:tcW w:w="7108"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center"/>
              <w:rPr>
                <w:rFonts w:ascii="宋体" w:hAnsi="宋体" w:cs="宋体"/>
                <w:sz w:val="24"/>
              </w:rPr>
            </w:pPr>
            <w:r>
              <w:rPr>
                <w:rFonts w:hint="eastAsia" w:ascii="宋体" w:hAnsi="宋体" w:cs="宋体"/>
                <w:sz w:val="24"/>
              </w:rPr>
              <w:t>8</w:t>
            </w:r>
          </w:p>
        </w:tc>
        <w:tc>
          <w:tcPr>
            <w:tcW w:w="7108"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center"/>
              <w:rPr>
                <w:rFonts w:ascii="宋体" w:hAnsi="宋体" w:cs="宋体"/>
                <w:sz w:val="24"/>
              </w:rPr>
            </w:pPr>
            <w:r>
              <w:rPr>
                <w:rFonts w:hint="eastAsia" w:ascii="宋体" w:hAnsi="宋体" w:cs="宋体"/>
                <w:sz w:val="24"/>
              </w:rPr>
              <w:t>9</w:t>
            </w:r>
          </w:p>
        </w:tc>
        <w:tc>
          <w:tcPr>
            <w:tcW w:w="7108"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jc w:val="center"/>
              <w:rPr>
                <w:rFonts w:ascii="宋体" w:hAnsi="宋体" w:cs="宋体"/>
                <w:sz w:val="24"/>
              </w:rPr>
            </w:pPr>
            <w:r>
              <w:rPr>
                <w:rFonts w:hint="eastAsia" w:ascii="宋体" w:hAnsi="宋体" w:cs="宋体"/>
                <w:sz w:val="24"/>
              </w:rPr>
              <w:t>10</w:t>
            </w:r>
          </w:p>
        </w:tc>
        <w:tc>
          <w:tcPr>
            <w:tcW w:w="7108"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tbl>
      <w:tblPr>
        <w:tblStyle w:val="23"/>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b/>
                <w:sz w:val="24"/>
              </w:rPr>
              <w:t>投标报价</w:t>
            </w:r>
          </w:p>
        </w:tc>
        <w:tc>
          <w:tcPr>
            <w:tcW w:w="5907" w:type="dxa"/>
            <w:vAlign w:val="center"/>
          </w:tcPr>
          <w:p>
            <w:pPr>
              <w:pStyle w:val="10"/>
              <w:spacing w:line="360" w:lineRule="auto"/>
              <w:rPr>
                <w:rFonts w:ascii="宋体" w:hAnsi="宋体" w:cs="宋体"/>
                <w:kern w:val="0"/>
                <w:sz w:val="24"/>
              </w:rPr>
            </w:pPr>
            <w:r>
              <w:rPr>
                <w:rFonts w:hint="eastAsia" w:ascii="宋体" w:hAnsi="宋体" w:cs="宋体"/>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kern w:val="0"/>
                <w:sz w:val="24"/>
              </w:rPr>
              <w:br w:type="textWrapping"/>
            </w:r>
            <w:r>
              <w:rPr>
                <w:rFonts w:hint="eastAsia" w:ascii="宋体" w:hAnsi="宋体" w:cs="宋体"/>
                <w:b/>
                <w:bCs/>
                <w:kern w:val="0"/>
                <w:sz w:val="24"/>
              </w:rPr>
              <w:t>投标报价得分=(评标基准价／投标报价)×10</w:t>
            </w:r>
          </w:p>
          <w:p>
            <w:pPr>
              <w:numPr>
                <w:ilvl w:val="0"/>
                <w:numId w:val="7"/>
              </w:numPr>
              <w:spacing w:line="360" w:lineRule="auto"/>
              <w:ind w:left="250" w:hanging="249" w:hangingChars="104"/>
              <w:jc w:val="left"/>
              <w:rPr>
                <w:rFonts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7"/>
              </w:numPr>
              <w:spacing w:line="360" w:lineRule="auto"/>
              <w:ind w:left="250" w:hanging="249" w:hangingChars="104"/>
              <w:jc w:val="left"/>
              <w:rPr>
                <w:rFonts w:ascii="宋体" w:hAnsi="宋体" w:cs="宋体"/>
                <w:bCs/>
                <w:sz w:val="24"/>
              </w:rPr>
            </w:pPr>
            <w:r>
              <w:rPr>
                <w:rFonts w:hint="eastAsia" w:ascii="宋体" w:hAnsi="宋体" w:cs="宋体"/>
                <w:bCs/>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10"/>
              <w:spacing w:line="360" w:lineRule="auto"/>
              <w:ind w:left="216" w:leftChars="103"/>
              <w:rPr>
                <w:rFonts w:ascii="宋体" w:hAnsi="宋体" w:cs="宋体"/>
                <w:kern w:val="0"/>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二、</w:t>
            </w:r>
            <w:r>
              <w:rPr>
                <w:rFonts w:hint="eastAsia" w:ascii="宋体" w:hAnsi="宋体" w:cs="宋体"/>
                <w:b/>
                <w:sz w:val="24"/>
              </w:rPr>
              <w:t>技术</w:t>
            </w:r>
            <w:r>
              <w:rPr>
                <w:rFonts w:hint="eastAsia" w:ascii="宋体" w:hAnsi="宋体" w:cs="宋体"/>
                <w:b/>
                <w:sz w:val="24"/>
                <w:lang w:val="zh-CN"/>
              </w:rPr>
              <w:t>部分（</w:t>
            </w:r>
            <w:r>
              <w:rPr>
                <w:rFonts w:hint="eastAsia" w:ascii="宋体" w:hAnsi="宋体" w:cs="宋体"/>
                <w:b/>
                <w:sz w:val="24"/>
              </w:rPr>
              <w:t>45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rPr>
              <w:t>实施方案</w:t>
            </w:r>
          </w:p>
        </w:tc>
        <w:tc>
          <w:tcPr>
            <w:tcW w:w="5907" w:type="dxa"/>
            <w:vAlign w:val="center"/>
          </w:tcPr>
          <w:p>
            <w:pPr>
              <w:spacing w:line="360" w:lineRule="auto"/>
              <w:jc w:val="left"/>
              <w:rPr>
                <w:sz w:val="24"/>
              </w:rPr>
            </w:pPr>
            <w:r>
              <w:rPr>
                <w:rFonts w:hint="eastAsia"/>
                <w:sz w:val="24"/>
              </w:rPr>
              <w:t>（一）评审内容：</w:t>
            </w:r>
          </w:p>
          <w:p>
            <w:pPr>
              <w:spacing w:line="360" w:lineRule="auto"/>
              <w:jc w:val="left"/>
              <w:rPr>
                <w:sz w:val="24"/>
              </w:rPr>
            </w:pPr>
            <w:r>
              <w:rPr>
                <w:rFonts w:hint="eastAsia"/>
                <w:sz w:val="24"/>
              </w:rPr>
              <w:t>提供项目实施方案，包含以下内容：</w:t>
            </w:r>
          </w:p>
          <w:p>
            <w:pPr>
              <w:spacing w:line="360" w:lineRule="auto"/>
              <w:jc w:val="left"/>
              <w:rPr>
                <w:sz w:val="24"/>
              </w:rPr>
            </w:pPr>
            <w:r>
              <w:rPr>
                <w:rFonts w:hint="eastAsia"/>
                <w:sz w:val="24"/>
              </w:rPr>
              <w:t>（1）总体策划方案，活动主题需符合时代背景和活动特质；</w:t>
            </w:r>
          </w:p>
          <w:p>
            <w:pPr>
              <w:spacing w:line="360" w:lineRule="auto"/>
              <w:jc w:val="left"/>
              <w:rPr>
                <w:sz w:val="24"/>
              </w:rPr>
            </w:pPr>
            <w:r>
              <w:rPr>
                <w:rFonts w:hint="eastAsia"/>
                <w:sz w:val="24"/>
              </w:rPr>
              <w:t>（2）活动执行方案；</w:t>
            </w:r>
          </w:p>
          <w:p>
            <w:pPr>
              <w:spacing w:line="360" w:lineRule="auto"/>
              <w:jc w:val="left"/>
              <w:rPr>
                <w:sz w:val="24"/>
              </w:rPr>
            </w:pPr>
            <w:r>
              <w:rPr>
                <w:rFonts w:hint="eastAsia"/>
                <w:sz w:val="24"/>
              </w:rPr>
              <w:t>（3）主视觉创意策划设计，需具备美感，符合前海特质，并提供过往相关案例（提供设计图</w:t>
            </w:r>
            <w:r>
              <w:rPr>
                <w:sz w:val="24"/>
              </w:rPr>
              <w:t>等证明材料</w:t>
            </w:r>
            <w:r>
              <w:rPr>
                <w:rFonts w:hint="eastAsia"/>
                <w:sz w:val="24"/>
              </w:rPr>
              <w:t>）；</w:t>
            </w:r>
          </w:p>
          <w:p>
            <w:pPr>
              <w:spacing w:line="360" w:lineRule="auto"/>
              <w:jc w:val="left"/>
              <w:rPr>
                <w:sz w:val="24"/>
              </w:rPr>
            </w:pPr>
            <w:r>
              <w:rPr>
                <w:rFonts w:hint="eastAsia"/>
                <w:sz w:val="24"/>
              </w:rPr>
              <w:t>（4）舞美效果图3张，需结合主视觉创意，具备美感和科技感，符合前海特质，并提供过往相关案例；</w:t>
            </w:r>
          </w:p>
          <w:p>
            <w:pPr>
              <w:spacing w:line="360" w:lineRule="auto"/>
              <w:jc w:val="left"/>
              <w:rPr>
                <w:sz w:val="24"/>
              </w:rPr>
            </w:pPr>
            <w:r>
              <w:rPr>
                <w:rFonts w:hint="eastAsia"/>
                <w:sz w:val="24"/>
              </w:rPr>
              <w:t>（</w:t>
            </w:r>
            <w:r>
              <w:rPr>
                <w:sz w:val="24"/>
              </w:rPr>
              <w:t>5</w:t>
            </w:r>
            <w:r>
              <w:rPr>
                <w:rFonts w:hint="eastAsia"/>
                <w:sz w:val="24"/>
              </w:rPr>
              <w:t>）活动流程，需贯穿活动主题，衔接紧密；</w:t>
            </w:r>
          </w:p>
          <w:p>
            <w:pPr>
              <w:spacing w:line="360" w:lineRule="auto"/>
              <w:jc w:val="left"/>
              <w:rPr>
                <w:sz w:val="24"/>
              </w:rPr>
            </w:pPr>
            <w:r>
              <w:rPr>
                <w:rFonts w:hint="eastAsia"/>
                <w:sz w:val="24"/>
              </w:rPr>
              <w:t>（</w:t>
            </w:r>
            <w:r>
              <w:rPr>
                <w:sz w:val="24"/>
              </w:rPr>
              <w:t>6</w:t>
            </w:r>
            <w:r>
              <w:rPr>
                <w:rFonts w:hint="eastAsia"/>
                <w:sz w:val="24"/>
              </w:rPr>
              <w:t>）会务系统，包含大会官网、注册签到、会议直播、云相册、云展厅等，需结合主视觉创意，具备美感和科技感；</w:t>
            </w:r>
          </w:p>
          <w:p>
            <w:pPr>
              <w:spacing w:line="360" w:lineRule="auto"/>
              <w:jc w:val="left"/>
              <w:rPr>
                <w:sz w:val="24"/>
              </w:rPr>
            </w:pPr>
            <w:r>
              <w:rPr>
                <w:rFonts w:hint="eastAsia"/>
                <w:sz w:val="24"/>
              </w:rPr>
              <w:t>（</w:t>
            </w:r>
            <w:r>
              <w:rPr>
                <w:sz w:val="24"/>
              </w:rPr>
              <w:t>7</w:t>
            </w:r>
            <w:r>
              <w:rPr>
                <w:rFonts w:hint="eastAsia"/>
                <w:sz w:val="24"/>
              </w:rPr>
              <w:t>）宣传推广方案，需提供过往在国家级媒体、大型互联网媒体、专业垂直类媒体投放的宣传推广方案；</w:t>
            </w:r>
          </w:p>
          <w:p>
            <w:pPr>
              <w:spacing w:line="360" w:lineRule="auto"/>
              <w:jc w:val="left"/>
              <w:rPr>
                <w:sz w:val="24"/>
              </w:rPr>
            </w:pPr>
            <w:r>
              <w:rPr>
                <w:rFonts w:hint="eastAsia"/>
                <w:sz w:val="24"/>
              </w:rPr>
              <w:t>（</w:t>
            </w:r>
            <w:r>
              <w:rPr>
                <w:sz w:val="24"/>
              </w:rPr>
              <w:t>8</w:t>
            </w:r>
            <w:r>
              <w:rPr>
                <w:rFonts w:hint="eastAsia"/>
                <w:sz w:val="24"/>
              </w:rPr>
              <w:t>）三名主持人意向人选，均需具备中英文双语主持能力，需在副省级（或以上）媒体或国际化媒体担任主持人。</w:t>
            </w:r>
          </w:p>
          <w:p>
            <w:pPr>
              <w:spacing w:line="360" w:lineRule="auto"/>
              <w:jc w:val="left"/>
              <w:rPr>
                <w:sz w:val="24"/>
              </w:rPr>
            </w:pPr>
            <w:r>
              <w:rPr>
                <w:rFonts w:hint="eastAsia"/>
                <w:sz w:val="24"/>
              </w:rPr>
              <w:t>（二）评分依据：</w:t>
            </w:r>
          </w:p>
          <w:p>
            <w:pPr>
              <w:spacing w:line="360" w:lineRule="auto"/>
              <w:jc w:val="left"/>
              <w:rPr>
                <w:sz w:val="24"/>
              </w:rPr>
            </w:pPr>
            <w:r>
              <w:rPr>
                <w:rFonts w:hint="eastAsia"/>
                <w:sz w:val="24"/>
              </w:rPr>
              <w:t>（1）提供上述</w:t>
            </w:r>
            <w:r>
              <w:rPr>
                <w:sz w:val="24"/>
              </w:rPr>
              <w:t>8</w:t>
            </w:r>
            <w:r>
              <w:rPr>
                <w:rFonts w:hint="eastAsia"/>
                <w:sz w:val="24"/>
              </w:rPr>
              <w:t>项完整内容的得6分；</w:t>
            </w:r>
          </w:p>
          <w:p>
            <w:pPr>
              <w:spacing w:line="360" w:lineRule="auto"/>
              <w:jc w:val="left"/>
              <w:rPr>
                <w:sz w:val="24"/>
              </w:rPr>
            </w:pPr>
            <w:r>
              <w:rPr>
                <w:rFonts w:hint="eastAsia"/>
                <w:sz w:val="24"/>
              </w:rPr>
              <w:t>（2）提供上述任意</w:t>
            </w:r>
            <w:r>
              <w:rPr>
                <w:sz w:val="24"/>
              </w:rPr>
              <w:t>6-7项</w:t>
            </w:r>
            <w:r>
              <w:rPr>
                <w:rFonts w:hint="eastAsia"/>
                <w:sz w:val="24"/>
              </w:rPr>
              <w:t>完整内容的得5分；</w:t>
            </w:r>
          </w:p>
          <w:p>
            <w:pPr>
              <w:spacing w:line="360" w:lineRule="auto"/>
              <w:jc w:val="left"/>
              <w:rPr>
                <w:sz w:val="24"/>
              </w:rPr>
            </w:pPr>
            <w:r>
              <w:rPr>
                <w:rFonts w:hint="eastAsia"/>
                <w:sz w:val="24"/>
              </w:rPr>
              <w:t>（3）提供上述任意</w:t>
            </w:r>
            <w:r>
              <w:rPr>
                <w:sz w:val="24"/>
              </w:rPr>
              <w:t>4-5项</w:t>
            </w:r>
            <w:r>
              <w:rPr>
                <w:rFonts w:hint="eastAsia"/>
                <w:sz w:val="24"/>
              </w:rPr>
              <w:t>完整内容的得4分；</w:t>
            </w:r>
          </w:p>
          <w:p>
            <w:pPr>
              <w:spacing w:line="360" w:lineRule="auto"/>
              <w:jc w:val="left"/>
              <w:rPr>
                <w:sz w:val="24"/>
              </w:rPr>
            </w:pPr>
            <w:r>
              <w:rPr>
                <w:rFonts w:hint="eastAsia"/>
                <w:sz w:val="24"/>
              </w:rPr>
              <w:t>（4）提供上述任意</w:t>
            </w:r>
            <w:r>
              <w:rPr>
                <w:sz w:val="24"/>
              </w:rPr>
              <w:t>2-3项</w:t>
            </w:r>
            <w:r>
              <w:rPr>
                <w:rFonts w:hint="eastAsia"/>
                <w:sz w:val="24"/>
              </w:rPr>
              <w:t>完整内容的得3分；</w:t>
            </w:r>
          </w:p>
          <w:p>
            <w:pPr>
              <w:spacing w:line="360" w:lineRule="auto"/>
              <w:jc w:val="left"/>
              <w:rPr>
                <w:sz w:val="24"/>
              </w:rPr>
            </w:pPr>
            <w:r>
              <w:rPr>
                <w:rFonts w:hint="eastAsia"/>
                <w:sz w:val="24"/>
              </w:rPr>
              <w:t>（5）提供上述</w:t>
            </w:r>
            <w:r>
              <w:rPr>
                <w:sz w:val="24"/>
              </w:rPr>
              <w:t>1项</w:t>
            </w:r>
            <w:r>
              <w:rPr>
                <w:rFonts w:hint="eastAsia"/>
                <w:sz w:val="24"/>
              </w:rPr>
              <w:t>完整内容的得2分；</w:t>
            </w:r>
          </w:p>
          <w:p>
            <w:pPr>
              <w:spacing w:line="360" w:lineRule="auto"/>
              <w:jc w:val="left"/>
              <w:rPr>
                <w:sz w:val="24"/>
              </w:rPr>
            </w:pPr>
            <w:r>
              <w:rPr>
                <w:rFonts w:hint="eastAsia"/>
                <w:sz w:val="24"/>
              </w:rPr>
              <w:t>（6）没有提供上述内容的得0分。</w:t>
            </w:r>
          </w:p>
          <w:p>
            <w:pPr>
              <w:spacing w:line="360" w:lineRule="auto"/>
              <w:jc w:val="left"/>
              <w:rPr>
                <w:sz w:val="24"/>
              </w:rPr>
            </w:pPr>
            <w:r>
              <w:rPr>
                <w:rFonts w:hint="eastAsia"/>
                <w:sz w:val="24"/>
              </w:rPr>
              <w:t>在此基础上，由评审委员会对具体响应内容进一步评审：</w:t>
            </w:r>
          </w:p>
          <w:p>
            <w:pPr>
              <w:spacing w:line="360" w:lineRule="auto"/>
              <w:jc w:val="left"/>
              <w:rPr>
                <w:sz w:val="24"/>
              </w:rPr>
            </w:pPr>
            <w:r>
              <w:rPr>
                <w:rFonts w:hint="eastAsia"/>
                <w:sz w:val="24"/>
              </w:rPr>
              <w:t>（1）方案内容完善全面、内容可行性强、科学性强、针对性强，评审为优加4分；</w:t>
            </w:r>
          </w:p>
          <w:p>
            <w:pPr>
              <w:spacing w:line="360" w:lineRule="auto"/>
              <w:jc w:val="left"/>
              <w:rPr>
                <w:sz w:val="24"/>
              </w:rPr>
            </w:pPr>
            <w:r>
              <w:rPr>
                <w:rFonts w:hint="eastAsia"/>
                <w:sz w:val="24"/>
              </w:rPr>
              <w:t>（2）方案内容合理、内容可行、科学性合理、针对合理，评审为良加3分；</w:t>
            </w:r>
          </w:p>
          <w:p>
            <w:pPr>
              <w:spacing w:line="360" w:lineRule="auto"/>
              <w:jc w:val="left"/>
              <w:rPr>
                <w:sz w:val="24"/>
              </w:rPr>
            </w:pPr>
            <w:r>
              <w:rPr>
                <w:rFonts w:hint="eastAsia"/>
                <w:sz w:val="24"/>
              </w:rPr>
              <w:t>（3）方案内容一般、内容可行一般、科学性一般、针对性一般，评审中加2分；</w:t>
            </w:r>
          </w:p>
          <w:p>
            <w:pPr>
              <w:spacing w:line="360" w:lineRule="auto"/>
              <w:jc w:val="left"/>
              <w:rPr>
                <w:rFonts w:ascii="宋体" w:hAnsi="宋体" w:cs="宋体"/>
                <w:kern w:val="0"/>
                <w:sz w:val="24"/>
                <w:lang w:val="zh-CN"/>
              </w:rPr>
            </w:pPr>
            <w:r>
              <w:rPr>
                <w:rFonts w:hint="eastAsia"/>
                <w:sz w:val="24"/>
              </w:rPr>
              <w:t>（4）方案内容不合理、无针对性、无可操作性，评审为差不加分。</w:t>
            </w:r>
          </w:p>
        </w:tc>
        <w:tc>
          <w:tcPr>
            <w:tcW w:w="860" w:type="dxa"/>
            <w:vAlign w:val="center"/>
          </w:tcPr>
          <w:p>
            <w:pPr>
              <w:spacing w:line="360" w:lineRule="auto"/>
              <w:jc w:val="center"/>
              <w:rPr>
                <w:rFonts w:ascii="宋体" w:hAnsi="宋体" w:cs="宋体"/>
                <w:sz w:val="24"/>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lang w:val="zh-CN"/>
              </w:rPr>
              <w:t>质量保障措施及方案</w:t>
            </w:r>
          </w:p>
        </w:tc>
        <w:tc>
          <w:tcPr>
            <w:tcW w:w="5907" w:type="dxa"/>
            <w:vAlign w:val="center"/>
          </w:tcPr>
          <w:p>
            <w:pPr>
              <w:spacing w:line="360" w:lineRule="auto"/>
              <w:jc w:val="left"/>
              <w:rPr>
                <w:sz w:val="24"/>
              </w:rPr>
            </w:pPr>
            <w:r>
              <w:rPr>
                <w:rFonts w:hint="eastAsia"/>
                <w:sz w:val="24"/>
              </w:rPr>
              <w:t>（一）评审内容：</w:t>
            </w:r>
          </w:p>
          <w:p>
            <w:pPr>
              <w:spacing w:line="360" w:lineRule="auto"/>
              <w:jc w:val="left"/>
              <w:rPr>
                <w:sz w:val="24"/>
              </w:rPr>
            </w:pPr>
            <w:r>
              <w:rPr>
                <w:rFonts w:hint="eastAsia"/>
                <w:sz w:val="24"/>
              </w:rPr>
              <w:t>围绕活动保障、场地保障、技术保障、防疫保障、应急保障等方面，制定本次招商大会质量保障措施及方案。</w:t>
            </w:r>
          </w:p>
          <w:p>
            <w:pPr>
              <w:spacing w:line="360" w:lineRule="auto"/>
              <w:jc w:val="left"/>
              <w:rPr>
                <w:sz w:val="24"/>
              </w:rPr>
            </w:pPr>
            <w:r>
              <w:rPr>
                <w:rFonts w:hint="eastAsia"/>
                <w:sz w:val="24"/>
              </w:rPr>
              <w:t>1.活动保障：制定时间倒推计划表，保质保量完成招商大会各项工作。</w:t>
            </w:r>
          </w:p>
          <w:p>
            <w:pPr>
              <w:spacing w:line="360" w:lineRule="auto"/>
              <w:jc w:val="left"/>
              <w:rPr>
                <w:sz w:val="24"/>
              </w:rPr>
            </w:pPr>
            <w:r>
              <w:rPr>
                <w:rFonts w:hint="eastAsia"/>
                <w:sz w:val="24"/>
              </w:rPr>
              <w:t>2.场地保障：制定场地保障实施计划，保障招商大会筹备、举办期间会议场地档期。</w:t>
            </w:r>
          </w:p>
          <w:p>
            <w:pPr>
              <w:spacing w:line="360" w:lineRule="auto"/>
              <w:jc w:val="left"/>
              <w:rPr>
                <w:sz w:val="24"/>
              </w:rPr>
            </w:pPr>
            <w:r>
              <w:rPr>
                <w:rFonts w:hint="eastAsia"/>
                <w:sz w:val="24"/>
              </w:rPr>
              <w:t>3.技术保障：投标人自有技术设备及现场投入保障。</w:t>
            </w:r>
          </w:p>
          <w:p>
            <w:pPr>
              <w:spacing w:line="360" w:lineRule="auto"/>
              <w:jc w:val="left"/>
              <w:rPr>
                <w:sz w:val="24"/>
              </w:rPr>
            </w:pPr>
            <w:r>
              <w:rPr>
                <w:rFonts w:hint="eastAsia"/>
                <w:sz w:val="24"/>
              </w:rPr>
              <w:t>4.应急保障：根据活动实际，制定应急保障方案，包括电力、安全、消防、反恐、防盗等应急保障物资配备情况和现场执行计划。</w:t>
            </w:r>
          </w:p>
          <w:p>
            <w:pPr>
              <w:spacing w:line="360" w:lineRule="auto"/>
              <w:jc w:val="left"/>
              <w:rPr>
                <w:sz w:val="24"/>
              </w:rPr>
            </w:pPr>
            <w:r>
              <w:rPr>
                <w:rFonts w:hint="eastAsia"/>
                <w:sz w:val="24"/>
              </w:rPr>
              <w:t>（二）评分依据：</w:t>
            </w:r>
          </w:p>
          <w:p>
            <w:pPr>
              <w:spacing w:line="360" w:lineRule="auto"/>
              <w:jc w:val="left"/>
              <w:rPr>
                <w:sz w:val="24"/>
              </w:rPr>
            </w:pPr>
            <w:r>
              <w:rPr>
                <w:rFonts w:hint="eastAsia"/>
                <w:sz w:val="24"/>
              </w:rPr>
              <w:t>每提供一项得2分，未提供不得分，全部满足得8分。</w:t>
            </w:r>
          </w:p>
          <w:p>
            <w:pPr>
              <w:spacing w:line="360" w:lineRule="auto"/>
              <w:jc w:val="left"/>
              <w:rPr>
                <w:sz w:val="24"/>
              </w:rPr>
            </w:pPr>
            <w:r>
              <w:rPr>
                <w:rFonts w:hint="eastAsia"/>
                <w:sz w:val="24"/>
              </w:rPr>
              <w:t>在此基础上，由评审委员会对具体响应内容进一步评审：</w:t>
            </w:r>
          </w:p>
          <w:p>
            <w:pPr>
              <w:spacing w:line="360" w:lineRule="auto"/>
              <w:jc w:val="left"/>
              <w:rPr>
                <w:sz w:val="24"/>
              </w:rPr>
            </w:pPr>
            <w:r>
              <w:rPr>
                <w:rFonts w:hint="eastAsia"/>
                <w:sz w:val="24"/>
              </w:rPr>
              <w:t>（1）质量保证措施完善、管理措施合理、可行性强的，评审为优加2分</w:t>
            </w:r>
          </w:p>
          <w:p>
            <w:pPr>
              <w:spacing w:line="360" w:lineRule="auto"/>
              <w:jc w:val="left"/>
              <w:rPr>
                <w:sz w:val="24"/>
              </w:rPr>
            </w:pPr>
            <w:r>
              <w:rPr>
                <w:rFonts w:hint="eastAsia"/>
                <w:sz w:val="24"/>
              </w:rPr>
              <w:t>（2）质量保证措较为完善、管理措施较为合理、可行性较强的，评审为良加1.5分</w:t>
            </w:r>
          </w:p>
          <w:p>
            <w:pPr>
              <w:spacing w:line="360" w:lineRule="auto"/>
              <w:jc w:val="left"/>
              <w:rPr>
                <w:sz w:val="24"/>
              </w:rPr>
            </w:pPr>
            <w:r>
              <w:rPr>
                <w:rFonts w:hint="eastAsia"/>
                <w:sz w:val="24"/>
              </w:rPr>
              <w:t>（3）质量保证措施一般、管理措施一般、可行性一般的，评审为中加1分</w:t>
            </w:r>
          </w:p>
          <w:p>
            <w:pPr>
              <w:spacing w:line="360" w:lineRule="auto"/>
              <w:jc w:val="left"/>
              <w:rPr>
                <w:rFonts w:ascii="宋体" w:hAnsi="宋体" w:cs="宋体"/>
                <w:kern w:val="0"/>
                <w:sz w:val="24"/>
                <w:lang w:val="zh-CN"/>
              </w:rPr>
            </w:pPr>
            <w:r>
              <w:rPr>
                <w:rFonts w:hint="eastAsia"/>
                <w:sz w:val="24"/>
              </w:rPr>
              <w:t>（4）质量保证措施不完善、管理措施不合理、可行性不强的，评审为差不加分。</w:t>
            </w:r>
          </w:p>
        </w:tc>
        <w:tc>
          <w:tcPr>
            <w:tcW w:w="860" w:type="dxa"/>
            <w:vAlign w:val="center"/>
          </w:tcPr>
          <w:p>
            <w:pPr>
              <w:spacing w:line="360" w:lineRule="auto"/>
              <w:jc w:val="center"/>
              <w:rPr>
                <w:rFonts w:ascii="宋体" w:hAnsi="宋体" w:cs="宋体"/>
                <w:sz w:val="24"/>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lang w:val="zh-CN"/>
              </w:rPr>
              <w:t>项目完成后的服务承诺</w:t>
            </w:r>
          </w:p>
        </w:tc>
        <w:tc>
          <w:tcPr>
            <w:tcW w:w="5907" w:type="dxa"/>
            <w:vAlign w:val="center"/>
          </w:tcPr>
          <w:p>
            <w:pPr>
              <w:spacing w:line="360" w:lineRule="auto"/>
              <w:jc w:val="left"/>
              <w:rPr>
                <w:sz w:val="24"/>
              </w:rPr>
            </w:pPr>
            <w:r>
              <w:rPr>
                <w:rFonts w:hint="eastAsia"/>
                <w:sz w:val="24"/>
              </w:rPr>
              <w:t>（一）评审内容：</w:t>
            </w:r>
          </w:p>
          <w:p>
            <w:pPr>
              <w:spacing w:line="360" w:lineRule="auto"/>
              <w:jc w:val="left"/>
              <w:rPr>
                <w:sz w:val="24"/>
              </w:rPr>
            </w:pPr>
            <w:r>
              <w:rPr>
                <w:rFonts w:hint="eastAsia"/>
                <w:sz w:val="24"/>
              </w:rPr>
              <w:t>投标人须承诺活动结束后完成或配合完成以下相关工作：</w:t>
            </w:r>
          </w:p>
          <w:p>
            <w:pPr>
              <w:spacing w:line="360" w:lineRule="auto"/>
              <w:jc w:val="left"/>
              <w:rPr>
                <w:sz w:val="24"/>
              </w:rPr>
            </w:pPr>
            <w:r>
              <w:rPr>
                <w:rFonts w:hint="eastAsia"/>
                <w:sz w:val="24"/>
              </w:rPr>
              <w:t>1.及时提供活动总结，包括文字材料、图片材料、视频材料等。</w:t>
            </w:r>
          </w:p>
          <w:p>
            <w:pPr>
              <w:spacing w:line="360" w:lineRule="auto"/>
              <w:jc w:val="left"/>
              <w:rPr>
                <w:sz w:val="24"/>
              </w:rPr>
            </w:pPr>
            <w:r>
              <w:rPr>
                <w:rFonts w:hint="eastAsia"/>
                <w:sz w:val="24"/>
              </w:rPr>
              <w:t>2.按时完成资料留存梳理、备案、存档等相关工作。</w:t>
            </w:r>
          </w:p>
          <w:p>
            <w:pPr>
              <w:spacing w:line="360" w:lineRule="auto"/>
              <w:jc w:val="left"/>
              <w:rPr>
                <w:sz w:val="24"/>
              </w:rPr>
            </w:pPr>
            <w:r>
              <w:rPr>
                <w:rFonts w:hint="eastAsia"/>
                <w:sz w:val="24"/>
              </w:rPr>
              <w:t>3.积极全面配合活动审计工作。</w:t>
            </w:r>
          </w:p>
          <w:p>
            <w:pPr>
              <w:spacing w:line="360" w:lineRule="auto"/>
              <w:jc w:val="left"/>
              <w:rPr>
                <w:sz w:val="24"/>
              </w:rPr>
            </w:pPr>
            <w:r>
              <w:rPr>
                <w:rFonts w:hint="eastAsia"/>
                <w:sz w:val="24"/>
              </w:rPr>
              <w:t>4. 承诺活动结束后半年内，售后服务响应时间不超过1小时。</w:t>
            </w:r>
          </w:p>
          <w:p>
            <w:pPr>
              <w:spacing w:line="360" w:lineRule="auto"/>
              <w:jc w:val="left"/>
              <w:rPr>
                <w:sz w:val="24"/>
              </w:rPr>
            </w:pPr>
            <w:r>
              <w:rPr>
                <w:rFonts w:hint="eastAsia"/>
                <w:sz w:val="24"/>
              </w:rPr>
              <w:t>（二）评分依据：</w:t>
            </w:r>
          </w:p>
          <w:p>
            <w:pPr>
              <w:spacing w:line="360" w:lineRule="auto"/>
              <w:jc w:val="left"/>
              <w:rPr>
                <w:rFonts w:ascii="宋体" w:hAnsi="宋体" w:cs="宋体"/>
                <w:sz w:val="24"/>
              </w:rPr>
            </w:pPr>
            <w:r>
              <w:rPr>
                <w:rFonts w:hint="eastAsia"/>
                <w:sz w:val="24"/>
              </w:rPr>
              <w:t>提供上述四项完整内容的承诺（格式自定）并加盖投标人公章得3分，未提供承诺或承诺内容不满足要求则得0分。</w:t>
            </w:r>
          </w:p>
        </w:tc>
        <w:tc>
          <w:tcPr>
            <w:tcW w:w="860" w:type="dxa"/>
            <w:vAlign w:val="center"/>
          </w:tcPr>
          <w:p>
            <w:pPr>
              <w:spacing w:line="360" w:lineRule="auto"/>
              <w:jc w:val="center"/>
              <w:rPr>
                <w:rFonts w:ascii="宋体" w:hAnsi="宋体" w:cs="宋体"/>
                <w:sz w:val="24"/>
              </w:rPr>
            </w:pPr>
            <w:r>
              <w:rPr>
                <w:rFonts w:hint="eastAsia" w:ascii="宋体" w:hAnsi="宋体" w:cs="宋体"/>
                <w:sz w:val="24"/>
              </w:rPr>
              <w:t>3</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lang w:val="zh-CN"/>
              </w:rPr>
              <w:t>违约承诺</w:t>
            </w:r>
          </w:p>
        </w:tc>
        <w:tc>
          <w:tcPr>
            <w:tcW w:w="5907" w:type="dxa"/>
            <w:vAlign w:val="center"/>
          </w:tcPr>
          <w:p>
            <w:pPr>
              <w:spacing w:line="360" w:lineRule="auto"/>
              <w:jc w:val="left"/>
              <w:rPr>
                <w:sz w:val="24"/>
              </w:rPr>
            </w:pPr>
            <w:r>
              <w:rPr>
                <w:rFonts w:hint="eastAsia"/>
                <w:sz w:val="24"/>
              </w:rPr>
              <w:t>（一）评审内容：</w:t>
            </w:r>
          </w:p>
          <w:p>
            <w:pPr>
              <w:spacing w:line="360" w:lineRule="auto"/>
              <w:jc w:val="left"/>
              <w:rPr>
                <w:sz w:val="24"/>
              </w:rPr>
            </w:pPr>
            <w:r>
              <w:rPr>
                <w:rFonts w:hint="eastAsia"/>
                <w:sz w:val="24"/>
              </w:rPr>
              <w:t>1.服务质量需达到招标文件要求。</w:t>
            </w:r>
          </w:p>
          <w:p>
            <w:pPr>
              <w:spacing w:line="360" w:lineRule="auto"/>
              <w:jc w:val="left"/>
              <w:rPr>
                <w:sz w:val="24"/>
              </w:rPr>
            </w:pPr>
            <w:r>
              <w:rPr>
                <w:rFonts w:hint="eastAsia"/>
                <w:sz w:val="24"/>
              </w:rPr>
              <w:t>2.对未能达到的管理要求承担管理责任。</w:t>
            </w:r>
          </w:p>
          <w:p>
            <w:pPr>
              <w:spacing w:line="360" w:lineRule="auto"/>
              <w:jc w:val="left"/>
              <w:rPr>
                <w:sz w:val="24"/>
              </w:rPr>
            </w:pPr>
            <w:r>
              <w:rPr>
                <w:rFonts w:hint="eastAsia"/>
                <w:sz w:val="24"/>
              </w:rPr>
              <w:t>（二）评分依据：</w:t>
            </w:r>
          </w:p>
          <w:p>
            <w:pPr>
              <w:spacing w:line="360" w:lineRule="auto"/>
              <w:jc w:val="left"/>
              <w:rPr>
                <w:sz w:val="24"/>
              </w:rPr>
            </w:pPr>
            <w:r>
              <w:rPr>
                <w:rFonts w:hint="eastAsia"/>
                <w:sz w:val="24"/>
              </w:rPr>
              <w:t>提供上述两项完整内容的承诺（格式自定）并加盖投标人公章得3分，未提供承诺或承诺内容不满足要求则得0分。</w:t>
            </w:r>
          </w:p>
        </w:tc>
        <w:tc>
          <w:tcPr>
            <w:tcW w:w="860" w:type="dxa"/>
            <w:vAlign w:val="center"/>
          </w:tcPr>
          <w:p>
            <w:pPr>
              <w:spacing w:line="360" w:lineRule="auto"/>
              <w:jc w:val="center"/>
              <w:rPr>
                <w:rFonts w:ascii="宋体" w:hAnsi="宋体" w:cs="宋体"/>
                <w:sz w:val="24"/>
              </w:rPr>
            </w:pPr>
            <w:r>
              <w:rPr>
                <w:rFonts w:hint="eastAsia" w:ascii="宋体" w:hAnsi="宋体" w:cs="宋体"/>
                <w:sz w:val="24"/>
              </w:rPr>
              <w:t>3</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5</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lang w:val="zh-CN"/>
              </w:rPr>
              <w:t>团队主要成员情况</w:t>
            </w:r>
          </w:p>
        </w:tc>
        <w:tc>
          <w:tcPr>
            <w:tcW w:w="5907" w:type="dxa"/>
            <w:vAlign w:val="center"/>
          </w:tcPr>
          <w:p>
            <w:pPr>
              <w:spacing w:line="360" w:lineRule="auto"/>
              <w:jc w:val="left"/>
              <w:rPr>
                <w:sz w:val="24"/>
              </w:rPr>
            </w:pPr>
            <w:r>
              <w:rPr>
                <w:rFonts w:hint="eastAsia"/>
                <w:sz w:val="24"/>
              </w:rPr>
              <w:t>（一）评审内容：</w:t>
            </w:r>
          </w:p>
          <w:p>
            <w:pPr>
              <w:spacing w:line="360" w:lineRule="auto"/>
              <w:jc w:val="left"/>
              <w:rPr>
                <w:sz w:val="24"/>
              </w:rPr>
            </w:pPr>
            <w:r>
              <w:rPr>
                <w:rFonts w:hint="eastAsia"/>
                <w:sz w:val="24"/>
              </w:rPr>
              <w:t>1.导演团队：具有举办同类型活动统筹、策划、组织等方面工作经验的总导演至少1人，需同时具备二级（或以上）导演职称和政府机关或企事业单位一类会议（活动）执行经验；艺术指导至少1人、执行导演至少1人。</w:t>
            </w:r>
          </w:p>
          <w:p>
            <w:pPr>
              <w:spacing w:line="360" w:lineRule="auto"/>
              <w:jc w:val="left"/>
              <w:rPr>
                <w:sz w:val="24"/>
              </w:rPr>
            </w:pPr>
            <w:r>
              <w:rPr>
                <w:rFonts w:hint="eastAsia"/>
                <w:sz w:val="24"/>
              </w:rPr>
              <w:t>2.会务团队：具有舞美设计及搭建、物料制作、嘉宾邀请对接、技术控台、场地保障等方面工作经验的人员至少4人。</w:t>
            </w:r>
          </w:p>
          <w:p>
            <w:pPr>
              <w:spacing w:line="360" w:lineRule="auto"/>
              <w:jc w:val="left"/>
              <w:rPr>
                <w:sz w:val="24"/>
              </w:rPr>
            </w:pPr>
            <w:r>
              <w:rPr>
                <w:rFonts w:hint="eastAsia"/>
                <w:sz w:val="24"/>
              </w:rPr>
              <w:t>3.宣传团队：具有宣传策划及执行等方面工作经验的人员至少2人。</w:t>
            </w:r>
          </w:p>
          <w:p>
            <w:pPr>
              <w:spacing w:line="360" w:lineRule="auto"/>
              <w:jc w:val="left"/>
              <w:rPr>
                <w:sz w:val="24"/>
              </w:rPr>
            </w:pPr>
            <w:r>
              <w:rPr>
                <w:rFonts w:hint="eastAsia"/>
                <w:sz w:val="24"/>
              </w:rPr>
              <w:t>4.设计团队：具有视觉设计、平面设计、3D设计、动画设计等方面工作经验的人员至少2人。</w:t>
            </w:r>
          </w:p>
          <w:p>
            <w:pPr>
              <w:spacing w:line="360" w:lineRule="auto"/>
              <w:jc w:val="left"/>
              <w:rPr>
                <w:sz w:val="24"/>
              </w:rPr>
            </w:pPr>
            <w:r>
              <w:rPr>
                <w:rFonts w:hint="eastAsia"/>
                <w:sz w:val="24"/>
              </w:rPr>
              <w:t>5.音视频团队：具有视频编导、拍摄、特效设计、剪辑、包装、音乐制作等方面工作经验的人员至少2人。</w:t>
            </w:r>
          </w:p>
          <w:p>
            <w:pPr>
              <w:spacing w:line="360" w:lineRule="auto"/>
              <w:jc w:val="left"/>
              <w:rPr>
                <w:sz w:val="24"/>
              </w:rPr>
            </w:pPr>
            <w:r>
              <w:rPr>
                <w:rFonts w:hint="eastAsia"/>
                <w:sz w:val="24"/>
              </w:rPr>
              <w:t>6.后勤及物料管理团队：具有应急保障、翻译、礼仪、物料管理等方面工作经验的人员至少2人。</w:t>
            </w:r>
          </w:p>
          <w:p>
            <w:pPr>
              <w:spacing w:line="360" w:lineRule="auto"/>
              <w:jc w:val="left"/>
              <w:rPr>
                <w:sz w:val="24"/>
              </w:rPr>
            </w:pPr>
            <w:r>
              <w:rPr>
                <w:rFonts w:hint="eastAsia"/>
                <w:sz w:val="24"/>
              </w:rPr>
              <w:t>（二）评分依据：</w:t>
            </w:r>
          </w:p>
          <w:p>
            <w:pPr>
              <w:spacing w:line="360" w:lineRule="auto"/>
              <w:jc w:val="left"/>
              <w:rPr>
                <w:sz w:val="24"/>
              </w:rPr>
            </w:pPr>
            <w:r>
              <w:rPr>
                <w:rFonts w:hint="eastAsia"/>
                <w:sz w:val="24"/>
              </w:rPr>
              <w:t>1.每提供一项内容得2</w:t>
            </w:r>
            <w:r>
              <w:rPr>
                <w:sz w:val="24"/>
              </w:rPr>
              <w:t>.5分，</w:t>
            </w:r>
            <w:r>
              <w:rPr>
                <w:rFonts w:hint="eastAsia"/>
                <w:sz w:val="24"/>
              </w:rPr>
              <w:t xml:space="preserve">提供上述六项完整内容的得15分。 </w:t>
            </w:r>
          </w:p>
          <w:p>
            <w:pPr>
              <w:spacing w:line="360" w:lineRule="auto"/>
              <w:jc w:val="left"/>
              <w:rPr>
                <w:sz w:val="24"/>
              </w:rPr>
            </w:pPr>
            <w:r>
              <w:rPr>
                <w:rFonts w:hint="eastAsia"/>
                <w:sz w:val="24"/>
              </w:rPr>
              <w:t>2.提供相关人员近一个月在投标人缴纳的的社保证明（由于社保部门系统原因，最近一个月的社保证明无法提供的可往前顺延一个月）作为得分条件，成立不足一个月的，提供自成立以来的社保证明。</w:t>
            </w:r>
          </w:p>
          <w:p>
            <w:pPr>
              <w:spacing w:line="360" w:lineRule="auto"/>
              <w:jc w:val="left"/>
              <w:rPr>
                <w:sz w:val="24"/>
              </w:rPr>
            </w:pPr>
            <w:r>
              <w:rPr>
                <w:rFonts w:hint="eastAsia"/>
                <w:sz w:val="24"/>
              </w:rPr>
              <w:t>3.同一人员不可兼任多个工作岗位，同一人员具有多重经验的，按照得分最高的计算一次得分。</w:t>
            </w:r>
          </w:p>
          <w:p>
            <w:pPr>
              <w:spacing w:line="360" w:lineRule="auto"/>
              <w:jc w:val="left"/>
              <w:rPr>
                <w:sz w:val="24"/>
              </w:rPr>
            </w:pPr>
            <w:r>
              <w:rPr>
                <w:sz w:val="24"/>
              </w:rPr>
              <w:t>4</w:t>
            </w:r>
            <w:r>
              <w:rPr>
                <w:rFonts w:hint="eastAsia"/>
                <w:sz w:val="24"/>
              </w:rPr>
              <w:t>.以上资料均要求提供复印件（或官方网站截图）并加盖投标人公章，原件备查。评分中出现无证明资料或专家无法凭借所提供资料判断是否得分的情况，一律作不得分处理。</w:t>
            </w:r>
          </w:p>
          <w:p>
            <w:pPr>
              <w:spacing w:line="360" w:lineRule="auto"/>
              <w:jc w:val="left"/>
              <w:rPr>
                <w:sz w:val="24"/>
              </w:rPr>
            </w:pPr>
            <w:r>
              <w:rPr>
                <w:sz w:val="24"/>
              </w:rPr>
              <w:t>5.</w:t>
            </w:r>
            <w:r>
              <w:rPr>
                <w:rFonts w:hint="eastAsia"/>
                <w:sz w:val="24"/>
              </w:rPr>
              <w:t>如涉及考察人员工作经验，要求提供团队主要成员名单表格及组织架构图（格式自拟），同时提供项目合同（服务合同或劳务合同）关键信息或相关作品作为得分依据。通过合同关键信息无法判断是否得分的，须同时提供该合同甲方出具的证明文件。</w:t>
            </w:r>
          </w:p>
          <w:p>
            <w:pPr>
              <w:spacing w:line="360" w:lineRule="auto"/>
              <w:jc w:val="left"/>
              <w:rPr>
                <w:sz w:val="24"/>
              </w:rPr>
            </w:pPr>
            <w:r>
              <w:rPr>
                <w:rFonts w:hint="eastAsia"/>
                <w:sz w:val="24"/>
              </w:rPr>
              <w:t>6.一类会议是指副省级以上城市以市委、市人大、市政府、市政协名义召开的全市性会议。一类会议（活动）标准参考《深圳市市直党政机关和事业单位会议费管理办法》（深财行〔2022〕8号）内相关规定。</w:t>
            </w:r>
          </w:p>
        </w:tc>
        <w:tc>
          <w:tcPr>
            <w:tcW w:w="860" w:type="dxa"/>
            <w:vAlign w:val="center"/>
          </w:tcPr>
          <w:p>
            <w:pPr>
              <w:spacing w:line="360" w:lineRule="auto"/>
              <w:jc w:val="center"/>
              <w:rPr>
                <w:rFonts w:ascii="宋体" w:hAnsi="宋体" w:cs="宋体"/>
                <w:sz w:val="24"/>
              </w:rPr>
            </w:pPr>
            <w:r>
              <w:rPr>
                <w:rFonts w:hint="eastAsia" w:ascii="宋体" w:hAnsi="宋体" w:cs="宋体"/>
                <w:sz w:val="24"/>
              </w:rPr>
              <w:t>15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6</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lang w:val="zh-CN"/>
              </w:rPr>
              <w:t>拟投入的服务资源</w:t>
            </w:r>
          </w:p>
        </w:tc>
        <w:tc>
          <w:tcPr>
            <w:tcW w:w="5907" w:type="dxa"/>
            <w:vAlign w:val="center"/>
          </w:tcPr>
          <w:p>
            <w:pPr>
              <w:spacing w:line="360" w:lineRule="auto"/>
              <w:jc w:val="left"/>
              <w:rPr>
                <w:sz w:val="24"/>
              </w:rPr>
            </w:pPr>
            <w:r>
              <w:rPr>
                <w:rFonts w:hint="eastAsia"/>
                <w:sz w:val="24"/>
              </w:rPr>
              <w:t>（一）评审内容：</w:t>
            </w:r>
          </w:p>
          <w:p>
            <w:pPr>
              <w:spacing w:line="360" w:lineRule="auto"/>
              <w:jc w:val="left"/>
              <w:rPr>
                <w:sz w:val="24"/>
              </w:rPr>
            </w:pPr>
            <w:r>
              <w:rPr>
                <w:rFonts w:hint="eastAsia"/>
                <w:sz w:val="24"/>
              </w:rPr>
              <w:t>1.人力资源：根据活动实际需要，配备摄影摄像、翻译、礼仪、安保、后勤等人员。</w:t>
            </w:r>
          </w:p>
          <w:p>
            <w:pPr>
              <w:spacing w:line="360" w:lineRule="auto"/>
              <w:jc w:val="left"/>
              <w:rPr>
                <w:sz w:val="24"/>
              </w:rPr>
            </w:pPr>
            <w:r>
              <w:rPr>
                <w:rFonts w:hint="eastAsia"/>
                <w:sz w:val="24"/>
              </w:rPr>
              <w:t>2.工作用车：根据活动实际需要，配备工作人员等接驳车、接送机、备用车。</w:t>
            </w:r>
          </w:p>
          <w:p>
            <w:pPr>
              <w:spacing w:line="360" w:lineRule="auto"/>
              <w:jc w:val="left"/>
              <w:rPr>
                <w:sz w:val="24"/>
              </w:rPr>
            </w:pPr>
            <w:r>
              <w:rPr>
                <w:rFonts w:hint="eastAsia"/>
                <w:sz w:val="24"/>
              </w:rPr>
              <w:t>3.工作用餐：根据活动实际需要，配备工作人员、后勤、礼仪、安保人员等工作用餐。</w:t>
            </w:r>
          </w:p>
          <w:p>
            <w:pPr>
              <w:spacing w:line="360" w:lineRule="auto"/>
              <w:jc w:val="left"/>
              <w:rPr>
                <w:sz w:val="24"/>
              </w:rPr>
            </w:pPr>
            <w:r>
              <w:rPr>
                <w:rFonts w:hint="eastAsia"/>
                <w:sz w:val="24"/>
              </w:rPr>
              <w:t>4.办公用品：根据活动实际需要，配备打印机、打印用纸、电脑、录音笔、文具等办公用品。</w:t>
            </w:r>
          </w:p>
          <w:p>
            <w:pPr>
              <w:spacing w:line="360" w:lineRule="auto"/>
              <w:jc w:val="left"/>
              <w:rPr>
                <w:sz w:val="24"/>
              </w:rPr>
            </w:pPr>
            <w:r>
              <w:rPr>
                <w:rFonts w:hint="eastAsia"/>
                <w:sz w:val="24"/>
              </w:rPr>
              <w:t>（二）评分依据:</w:t>
            </w:r>
          </w:p>
          <w:p>
            <w:pPr>
              <w:spacing w:line="360" w:lineRule="auto"/>
              <w:jc w:val="left"/>
              <w:rPr>
                <w:sz w:val="24"/>
              </w:rPr>
            </w:pPr>
            <w:r>
              <w:rPr>
                <w:rFonts w:hint="eastAsia"/>
                <w:sz w:val="24"/>
              </w:rPr>
              <w:t>提供上述四项完整内容的承诺函（格式自定）并加盖投标人公章得4分，否则每一项不满足扣1分，扣完得0分。</w:t>
            </w:r>
          </w:p>
        </w:tc>
        <w:tc>
          <w:tcPr>
            <w:tcW w:w="860" w:type="dxa"/>
            <w:vAlign w:val="center"/>
          </w:tcPr>
          <w:p>
            <w:pPr>
              <w:spacing w:line="360" w:lineRule="auto"/>
              <w:jc w:val="center"/>
              <w:rPr>
                <w:rFonts w:ascii="宋体" w:hAnsi="宋体" w:cs="宋体"/>
                <w:sz w:val="24"/>
              </w:rPr>
            </w:pPr>
            <w:r>
              <w:rPr>
                <w:rFonts w:hint="eastAsia" w:ascii="宋体" w:hAnsi="宋体" w:cs="宋体"/>
                <w:sz w:val="24"/>
              </w:rPr>
              <w:t>4</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w:t>
            </w:r>
            <w:r>
              <w:rPr>
                <w:rFonts w:hint="eastAsia" w:ascii="宋体" w:hAnsi="宋体" w:cs="宋体"/>
                <w:b/>
                <w:sz w:val="24"/>
              </w:rPr>
              <w:t>商务</w:t>
            </w:r>
            <w:r>
              <w:rPr>
                <w:rFonts w:hint="eastAsia" w:ascii="宋体" w:hAnsi="宋体" w:cs="宋体"/>
                <w:b/>
                <w:sz w:val="24"/>
                <w:lang w:val="zh-CN"/>
              </w:rPr>
              <w:t>部分（</w:t>
            </w:r>
            <w:r>
              <w:rPr>
                <w:rFonts w:hint="eastAsia" w:ascii="宋体" w:hAnsi="宋体" w:cs="宋体"/>
                <w:b/>
                <w:sz w:val="24"/>
              </w:rPr>
              <w:t>45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同类业绩</w:t>
            </w:r>
          </w:p>
        </w:tc>
        <w:tc>
          <w:tcPr>
            <w:tcW w:w="5907" w:type="dxa"/>
            <w:vAlign w:val="center"/>
          </w:tcPr>
          <w:p>
            <w:pPr>
              <w:pStyle w:val="51"/>
              <w:widowControl/>
              <w:spacing w:line="360" w:lineRule="auto"/>
              <w:ind w:firstLine="0" w:firstLineChars="0"/>
              <w:jc w:val="left"/>
              <w:rPr>
                <w:sz w:val="24"/>
              </w:rPr>
            </w:pPr>
            <w:r>
              <w:rPr>
                <w:rFonts w:hint="eastAsia"/>
                <w:sz w:val="24"/>
              </w:rPr>
              <w:t>（一）评审标准：</w:t>
            </w:r>
          </w:p>
          <w:p>
            <w:pPr>
              <w:pStyle w:val="51"/>
              <w:widowControl/>
              <w:spacing w:line="360" w:lineRule="auto"/>
              <w:ind w:firstLine="0" w:firstLineChars="0"/>
              <w:jc w:val="left"/>
              <w:rPr>
                <w:sz w:val="24"/>
              </w:rPr>
            </w:pPr>
            <w:r>
              <w:rPr>
                <w:rFonts w:hint="eastAsia"/>
                <w:sz w:val="24"/>
              </w:rPr>
              <w:t>自2021年1月1日至本项目投标截止之日（以合同签订时间为准），投标人作为总承包方成功举办的政府同类型一类、二类、三类会议（活动）过往案例。每提供1个三类会议（活动）得1分，每提供1个二类会议（活动）得3分，每提供1个一类会议（活动）得5分，本项最高得20分</w:t>
            </w:r>
          </w:p>
          <w:p>
            <w:pPr>
              <w:pStyle w:val="51"/>
              <w:widowControl/>
              <w:spacing w:line="360" w:lineRule="auto"/>
              <w:ind w:firstLine="0" w:firstLineChars="0"/>
              <w:jc w:val="left"/>
              <w:rPr>
                <w:sz w:val="24"/>
              </w:rPr>
            </w:pPr>
            <w:r>
              <w:rPr>
                <w:rFonts w:hint="eastAsia"/>
                <w:sz w:val="24"/>
              </w:rPr>
              <w:t>（二）评分依据：</w:t>
            </w:r>
          </w:p>
          <w:p>
            <w:pPr>
              <w:pStyle w:val="51"/>
              <w:widowControl/>
              <w:spacing w:line="360" w:lineRule="auto"/>
              <w:ind w:firstLine="0" w:firstLineChars="0"/>
              <w:jc w:val="left"/>
              <w:rPr>
                <w:sz w:val="24"/>
              </w:rPr>
            </w:pPr>
            <w:r>
              <w:rPr>
                <w:rFonts w:hint="eastAsia"/>
                <w:sz w:val="24"/>
              </w:rPr>
              <w:t>1.需同时提供合同关键信息和已完成且履约评价合格（或者验收合格证明文件）作为得分依据，合同和履约评价合格（或者验收合格证明文件）需加盖合同甲方公章（或甲方业务章）。</w:t>
            </w:r>
          </w:p>
          <w:p>
            <w:pPr>
              <w:pStyle w:val="51"/>
              <w:widowControl/>
              <w:spacing w:line="360" w:lineRule="auto"/>
              <w:ind w:firstLine="0" w:firstLineChars="0"/>
              <w:jc w:val="left"/>
              <w:rPr>
                <w:sz w:val="24"/>
              </w:rPr>
            </w:pPr>
            <w:r>
              <w:rPr>
                <w:sz w:val="24"/>
              </w:rPr>
              <w:t>2</w:t>
            </w:r>
            <w:r>
              <w:rPr>
                <w:rFonts w:hint="eastAsia"/>
                <w:sz w:val="24"/>
              </w:rPr>
              <w:t>.通过合同关键信息无法判断是否得分的，还须同时提供能证明得分的其它证明资料，如项目报告或合同甲方出具的证明文件等。</w:t>
            </w:r>
          </w:p>
          <w:p>
            <w:pPr>
              <w:pStyle w:val="51"/>
              <w:widowControl/>
              <w:spacing w:line="360" w:lineRule="auto"/>
              <w:ind w:firstLine="0" w:firstLineChars="0"/>
              <w:jc w:val="left"/>
              <w:rPr>
                <w:sz w:val="24"/>
              </w:rPr>
            </w:pPr>
            <w:r>
              <w:rPr>
                <w:sz w:val="24"/>
              </w:rPr>
              <w:t>3</w:t>
            </w:r>
            <w:r>
              <w:rPr>
                <w:rFonts w:hint="eastAsia"/>
                <w:sz w:val="24"/>
              </w:rPr>
              <w:t>.以上资料均要求提供复印件并加盖投标人公章，原件备查。评分中出现无证明资料或专家无法凭所提供资料判断是否得分的情况，一律作不得分处理。</w:t>
            </w:r>
          </w:p>
          <w:p>
            <w:pPr>
              <w:pStyle w:val="51"/>
              <w:widowControl/>
              <w:spacing w:line="360" w:lineRule="auto"/>
              <w:ind w:firstLine="0" w:firstLineChars="0"/>
              <w:jc w:val="left"/>
              <w:rPr>
                <w:sz w:val="24"/>
              </w:rPr>
            </w:pPr>
            <w:r>
              <w:rPr>
                <w:sz w:val="24"/>
              </w:rPr>
              <w:t>4</w:t>
            </w:r>
            <w:r>
              <w:rPr>
                <w:rFonts w:hint="eastAsia"/>
                <w:sz w:val="24"/>
              </w:rPr>
              <w:t>.一类会议是指副省级以上城市以市委、市人大、市政府、市政协名义召开的全市性会议。二类会议是指副省级以上城市市直单位召开的本系统全市性会议。三类会议是指副省级以上城市市直单位召开的除上述一、二类会议以外的其他业务性会议，包括小型研讨会、座谈会、评审会。一类、二类、三类会议（活动）标准参考《深圳市市直党政机关和事业单位会议费管理办法》（深财行〔2022〕8号）内相关规定。</w:t>
            </w:r>
          </w:p>
          <w:p>
            <w:pPr>
              <w:pStyle w:val="51"/>
              <w:widowControl/>
              <w:spacing w:line="360" w:lineRule="auto"/>
              <w:ind w:firstLine="0" w:firstLineChars="0"/>
              <w:jc w:val="left"/>
              <w:rPr>
                <w:rFonts w:ascii="宋体" w:hAnsi="宋体" w:cs="宋体"/>
                <w:sz w:val="24"/>
              </w:rPr>
            </w:pPr>
            <w:r>
              <w:rPr>
                <w:rFonts w:hint="eastAsia"/>
                <w:sz w:val="24"/>
              </w:rPr>
              <w:t>注：省级单位、国家级单位召开的会议参照一类会议计分。</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20</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2</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宣传能力</w:t>
            </w:r>
          </w:p>
        </w:tc>
        <w:tc>
          <w:tcPr>
            <w:tcW w:w="5907" w:type="dxa"/>
            <w:vAlign w:val="center"/>
          </w:tcPr>
          <w:p>
            <w:pPr>
              <w:pStyle w:val="51"/>
              <w:widowControl/>
              <w:spacing w:line="360" w:lineRule="auto"/>
              <w:ind w:firstLine="0" w:firstLineChars="0"/>
              <w:jc w:val="left"/>
              <w:rPr>
                <w:sz w:val="24"/>
              </w:rPr>
            </w:pPr>
            <w:r>
              <w:rPr>
                <w:rFonts w:hint="eastAsia"/>
                <w:sz w:val="24"/>
              </w:rPr>
              <w:t>（一）评分内容：</w:t>
            </w:r>
          </w:p>
          <w:p>
            <w:pPr>
              <w:pStyle w:val="51"/>
              <w:widowControl/>
              <w:spacing w:line="360" w:lineRule="auto"/>
              <w:ind w:firstLine="0" w:firstLineChars="0"/>
              <w:jc w:val="left"/>
              <w:rPr>
                <w:sz w:val="24"/>
              </w:rPr>
            </w:pPr>
            <w:r>
              <w:rPr>
                <w:rFonts w:hint="eastAsia"/>
                <w:sz w:val="24"/>
              </w:rPr>
              <w:t>在投标人作为总承包方举办的政府同类型会议（活动）过往宣传效果案例，具体如下：</w:t>
            </w:r>
          </w:p>
          <w:p>
            <w:pPr>
              <w:pStyle w:val="51"/>
              <w:widowControl/>
              <w:spacing w:line="360" w:lineRule="auto"/>
              <w:ind w:firstLine="0" w:firstLineChars="0"/>
              <w:jc w:val="left"/>
              <w:rPr>
                <w:sz w:val="24"/>
              </w:rPr>
            </w:pPr>
            <w:r>
              <w:rPr>
                <w:rFonts w:hint="eastAsia"/>
                <w:sz w:val="24"/>
              </w:rPr>
              <w:t>1.单场活动达20家及以上的媒体对活动进行报道，其中包括2家及以上国家级媒体、2家及以上境外媒体。</w:t>
            </w:r>
          </w:p>
          <w:p>
            <w:pPr>
              <w:pStyle w:val="51"/>
              <w:widowControl/>
              <w:spacing w:line="360" w:lineRule="auto"/>
              <w:ind w:firstLine="0" w:firstLineChars="0"/>
              <w:jc w:val="left"/>
              <w:rPr>
                <w:sz w:val="24"/>
              </w:rPr>
            </w:pPr>
            <w:r>
              <w:rPr>
                <w:rFonts w:hint="eastAsia"/>
                <w:sz w:val="24"/>
              </w:rPr>
              <w:t>2.单场活动得到中央电视台《新闻联播》报道。</w:t>
            </w:r>
          </w:p>
          <w:p>
            <w:pPr>
              <w:pStyle w:val="51"/>
              <w:widowControl/>
              <w:spacing w:line="360" w:lineRule="auto"/>
              <w:ind w:firstLine="0" w:firstLineChars="0"/>
              <w:jc w:val="left"/>
              <w:rPr>
                <w:sz w:val="24"/>
              </w:rPr>
            </w:pPr>
            <w:r>
              <w:rPr>
                <w:rFonts w:hint="eastAsia"/>
                <w:sz w:val="24"/>
              </w:rPr>
              <w:t>3.单场活动与3家及以上的网络直播平台合作。</w:t>
            </w:r>
          </w:p>
          <w:p>
            <w:pPr>
              <w:pStyle w:val="51"/>
              <w:widowControl/>
              <w:spacing w:line="360" w:lineRule="auto"/>
              <w:ind w:firstLine="0" w:firstLineChars="0"/>
              <w:jc w:val="left"/>
              <w:rPr>
                <w:sz w:val="24"/>
              </w:rPr>
            </w:pPr>
            <w:r>
              <w:rPr>
                <w:rFonts w:hint="eastAsia"/>
                <w:sz w:val="24"/>
              </w:rPr>
              <w:t>4.单场活动5家及以上媒体到活动现场进行报道。</w:t>
            </w:r>
          </w:p>
          <w:p>
            <w:pPr>
              <w:pStyle w:val="51"/>
              <w:widowControl/>
              <w:spacing w:line="360" w:lineRule="auto"/>
              <w:ind w:firstLine="0" w:firstLineChars="0"/>
              <w:jc w:val="left"/>
              <w:rPr>
                <w:sz w:val="24"/>
              </w:rPr>
            </w:pPr>
            <w:r>
              <w:rPr>
                <w:rFonts w:hint="eastAsia"/>
                <w:sz w:val="24"/>
              </w:rPr>
              <w:t>（二）评分依据：</w:t>
            </w:r>
          </w:p>
          <w:p>
            <w:pPr>
              <w:pStyle w:val="51"/>
              <w:widowControl/>
              <w:spacing w:line="360" w:lineRule="auto"/>
              <w:ind w:firstLine="0" w:firstLineChars="0"/>
              <w:jc w:val="left"/>
              <w:rPr>
                <w:sz w:val="24"/>
              </w:rPr>
            </w:pPr>
            <w:r>
              <w:rPr>
                <w:rFonts w:hint="eastAsia"/>
                <w:sz w:val="24"/>
              </w:rPr>
              <w:t>1.满足以上其中一项得5分，最高得20分。</w:t>
            </w:r>
          </w:p>
          <w:p>
            <w:pPr>
              <w:pStyle w:val="51"/>
              <w:widowControl/>
              <w:spacing w:line="360" w:lineRule="auto"/>
              <w:ind w:firstLine="0" w:firstLineChars="0"/>
              <w:jc w:val="left"/>
              <w:rPr>
                <w:sz w:val="24"/>
              </w:rPr>
            </w:pPr>
            <w:r>
              <w:rPr>
                <w:rFonts w:hint="eastAsia"/>
                <w:sz w:val="24"/>
              </w:rPr>
              <w:t>2.需提供合同关键信息复印件作为总承包方的依据，原件备查，无投标人作为总承包方证明资料或专家无法凭所提供资料判断是否总承包方的情况，作不得分处理。</w:t>
            </w:r>
          </w:p>
          <w:p>
            <w:pPr>
              <w:pStyle w:val="51"/>
              <w:widowControl/>
              <w:spacing w:line="360" w:lineRule="auto"/>
              <w:ind w:firstLine="0" w:firstLineChars="0"/>
              <w:jc w:val="left"/>
              <w:rPr>
                <w:sz w:val="24"/>
              </w:rPr>
            </w:pPr>
            <w:r>
              <w:rPr>
                <w:rFonts w:hint="eastAsia"/>
                <w:sz w:val="24"/>
              </w:rPr>
              <w:t>3.文字报道需提供报道登载页面截图或纸质报道复印件（原件备查），需清晰显示报道时间、报道全文及版面或栏目；提供转载页面不得分，不清晰或未提供不得分。</w:t>
            </w:r>
          </w:p>
          <w:p>
            <w:pPr>
              <w:pStyle w:val="51"/>
              <w:widowControl/>
              <w:spacing w:line="360" w:lineRule="auto"/>
              <w:ind w:firstLine="0" w:firstLineChars="0"/>
              <w:jc w:val="left"/>
              <w:rPr>
                <w:sz w:val="24"/>
              </w:rPr>
            </w:pPr>
            <w:r>
              <w:rPr>
                <w:rFonts w:hint="eastAsia"/>
                <w:sz w:val="24"/>
              </w:rPr>
              <w:t>4.电视报道需提供报道画面高清图片（原视频备查），需清晰显示栏目名称、报道标题、活动情况等；不清晰或未提供不得分。</w:t>
            </w:r>
          </w:p>
          <w:p>
            <w:pPr>
              <w:pStyle w:val="51"/>
              <w:widowControl/>
              <w:spacing w:line="360" w:lineRule="auto"/>
              <w:ind w:firstLine="0" w:firstLineChars="0"/>
              <w:jc w:val="left"/>
              <w:rPr>
                <w:sz w:val="24"/>
              </w:rPr>
            </w:pPr>
            <w:r>
              <w:rPr>
                <w:rFonts w:hint="eastAsia"/>
                <w:sz w:val="24"/>
              </w:rPr>
              <w:t>5.每个网络直播平台直播情况，需提供至少2张页面截图，不清晰或未提供不得分。</w:t>
            </w:r>
          </w:p>
          <w:p>
            <w:pPr>
              <w:pStyle w:val="51"/>
              <w:widowControl/>
              <w:spacing w:line="360" w:lineRule="auto"/>
              <w:ind w:firstLine="0" w:firstLineChars="0"/>
              <w:jc w:val="left"/>
              <w:rPr>
                <w:sz w:val="24"/>
              </w:rPr>
            </w:pPr>
            <w:r>
              <w:rPr>
                <w:rFonts w:hint="eastAsia"/>
                <w:sz w:val="24"/>
              </w:rPr>
              <w:t>6.媒体到达活动现场情况，需提供现场办公照片及户外宣传投放现场照片，不清晰或未提供不得分。</w:t>
            </w:r>
          </w:p>
          <w:p>
            <w:pPr>
              <w:pStyle w:val="51"/>
              <w:widowControl/>
              <w:spacing w:line="360" w:lineRule="auto"/>
              <w:ind w:firstLine="0" w:firstLineChars="0"/>
              <w:jc w:val="left"/>
              <w:rPr>
                <w:sz w:val="24"/>
              </w:rPr>
            </w:pPr>
            <w:r>
              <w:rPr>
                <w:rFonts w:hint="eastAsia"/>
                <w:sz w:val="24"/>
              </w:rPr>
              <w:t>7</w:t>
            </w:r>
            <w:r>
              <w:rPr>
                <w:sz w:val="24"/>
              </w:rPr>
              <w:t>.</w:t>
            </w:r>
            <w:r>
              <w:rPr>
                <w:rFonts w:hint="eastAsia"/>
                <w:sz w:val="24"/>
              </w:rPr>
              <w:t xml:space="preserve"> 以上资料均要求提供复印件并加盖投标人公章，原件备查。评分中出现无证明资料或专家无法凭所提供资料判断是否得分的情况，一律作不得分处理。</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20</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3</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诚信评价</w:t>
            </w:r>
          </w:p>
        </w:tc>
        <w:tc>
          <w:tcPr>
            <w:tcW w:w="5907" w:type="dxa"/>
            <w:vAlign w:val="center"/>
          </w:tcPr>
          <w:p>
            <w:pPr>
              <w:pStyle w:val="51"/>
              <w:widowControl/>
              <w:spacing w:line="360" w:lineRule="auto"/>
              <w:ind w:firstLine="0" w:firstLineChars="0"/>
              <w:jc w:val="left"/>
              <w:rPr>
                <w:sz w:val="24"/>
              </w:rPr>
            </w:pPr>
            <w:r>
              <w:rPr>
                <w:rFonts w:hint="eastAsia"/>
                <w:sz w:val="24"/>
              </w:rPr>
              <w:t>投标人在参与政府采购活动中存在诚信相关问题的，本项不得分，未出现相关诚信问题的得满分。</w:t>
            </w:r>
          </w:p>
          <w:p>
            <w:pPr>
              <w:pStyle w:val="51"/>
              <w:widowControl/>
              <w:spacing w:line="360" w:lineRule="auto"/>
              <w:ind w:firstLine="0" w:firstLineChars="0"/>
              <w:jc w:val="left"/>
              <w:rPr>
                <w:rFonts w:ascii="宋体" w:hAnsi="宋体" w:cs="宋体"/>
                <w:sz w:val="24"/>
              </w:rPr>
            </w:pPr>
            <w:r>
              <w:rPr>
                <w:rFonts w:hint="eastAsia"/>
                <w:sz w:val="24"/>
              </w:rPr>
              <w:t>评分依据：投标人须提供《诚信承诺函》，否则不得分。如若投标人承诺与实际情况不相符，将按照虚假投标的情况报相关主管部门处理，承诺函应按招标文件格式填写原件加盖投标人公章。</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bl>
    <w:p/>
    <w:p>
      <w:pPr>
        <w:pStyle w:val="5"/>
        <w:jc w:val="both"/>
        <w:rPr>
          <w:rFonts w:ascii="宋体" w:eastAsia="宋体" w:cs="宋体"/>
          <w:b/>
          <w:bCs/>
          <w:sz w:val="24"/>
          <w:szCs w:val="24"/>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sz w:val="24"/>
        </w:rPr>
      </w:pPr>
      <w:bookmarkStart w:id="21" w:name="_Toc9548"/>
      <w:bookmarkStart w:id="22" w:name="_Hlk28269117"/>
      <w:r>
        <w:rPr>
          <w:rFonts w:hint="eastAsia" w:ascii="宋体" w:hAnsi="宋体" w:cs="宋体"/>
          <w:b/>
          <w:bCs/>
          <w:sz w:val="24"/>
        </w:rPr>
        <w:t>第七章 附件（投标文件格式）</w:t>
      </w:r>
      <w:bookmarkEnd w:id="21"/>
    </w:p>
    <w:p>
      <w:pPr>
        <w:keepNext/>
        <w:keepLines/>
        <w:spacing w:before="260" w:after="260" w:line="440" w:lineRule="exact"/>
        <w:jc w:val="center"/>
        <w:outlineLvl w:val="1"/>
        <w:rPr>
          <w:rFonts w:ascii="宋体" w:hAnsi="宋体" w:cs="宋体"/>
          <w:b/>
          <w:bCs/>
          <w:sz w:val="24"/>
        </w:rPr>
      </w:pPr>
      <w:bookmarkStart w:id="23" w:name="_Toc31827"/>
      <w:bookmarkStart w:id="24" w:name="_Toc5116"/>
      <w:bookmarkStart w:id="25" w:name="_Toc19494"/>
      <w:bookmarkStart w:id="26" w:name="_Toc6548"/>
      <w:r>
        <w:rPr>
          <w:rFonts w:hint="eastAsia" w:ascii="宋体" w:hAnsi="宋体" w:cs="宋体"/>
          <w:b/>
          <w:bCs/>
          <w:sz w:val="24"/>
        </w:rPr>
        <w:t>1、投标文件密封袋/封面参考</w:t>
      </w:r>
      <w:bookmarkEnd w:id="23"/>
      <w:bookmarkEnd w:id="24"/>
      <w:bookmarkEnd w:id="25"/>
      <w:bookmarkEnd w:id="26"/>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jc w:val="center"/>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
            <w:pPr>
              <w:pStyle w:val="2"/>
              <w:tabs>
                <w:tab w:val="left" w:pos="562"/>
                <w:tab w:val="left" w:pos="3372"/>
                <w:tab w:val="left" w:pos="3653"/>
              </w:tabs>
              <w:spacing w:line="400" w:lineRule="exact"/>
              <w:ind w:firstLine="900" w:firstLineChars="320"/>
              <w:rPr>
                <w:rFonts w:ascii="仿宋_GB2312" w:eastAsia="仿宋_GB2312"/>
                <w:b/>
                <w:sz w:val="28"/>
                <w:szCs w:val="28"/>
              </w:rPr>
            </w:pP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2"/>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27" w:name="_Toc16724"/>
      <w:r>
        <w:rPr>
          <w:rFonts w:hint="eastAsia" w:ascii="宋体" w:hAnsi="宋体" w:cs="宋体"/>
          <w:b/>
          <w:sz w:val="24"/>
        </w:rPr>
        <w:t>2、投标文件—目录</w:t>
      </w:r>
      <w:bookmarkEnd w:id="27"/>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8"/>
        </w:numPr>
        <w:tabs>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8"/>
        </w:numPr>
        <w:tabs>
          <w:tab w:val="clear" w:pos="425"/>
        </w:tabs>
        <w:spacing w:line="360" w:lineRule="auto"/>
        <w:ind w:left="625" w:hanging="625"/>
        <w:rPr>
          <w:rFonts w:ascii="宋体" w:hAnsi="宋体" w:cs="宋体"/>
          <w:sz w:val="24"/>
        </w:rPr>
      </w:pPr>
      <w:r>
        <w:rPr>
          <w:rFonts w:hint="eastAsia" w:ascii="宋体" w:hAnsi="宋体" w:cs="宋体"/>
          <w:sz w:val="24"/>
        </w:rPr>
        <w:t>分类报价明细表；</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9"/>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投标函；</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9"/>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法定代表人授权书及身份证明；</w:t>
      </w:r>
    </w:p>
    <w:p>
      <w:pPr>
        <w:numPr>
          <w:ilvl w:val="0"/>
          <w:numId w:val="9"/>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招标代理服务费承诺书；</w:t>
      </w:r>
    </w:p>
    <w:p>
      <w:pPr>
        <w:numPr>
          <w:ilvl w:val="0"/>
          <w:numId w:val="9"/>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投标人简介；</w:t>
      </w:r>
    </w:p>
    <w:p>
      <w:pPr>
        <w:numPr>
          <w:ilvl w:val="0"/>
          <w:numId w:val="9"/>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同类业绩；</w:t>
      </w:r>
    </w:p>
    <w:p>
      <w:pPr>
        <w:numPr>
          <w:ilvl w:val="0"/>
          <w:numId w:val="9"/>
        </w:numPr>
        <w:tabs>
          <w:tab w:val="left" w:pos="640"/>
          <w:tab w:val="left" w:pos="840"/>
          <w:tab w:val="left" w:pos="1260"/>
          <w:tab w:val="left" w:pos="1418"/>
        </w:tabs>
        <w:spacing w:line="360" w:lineRule="auto"/>
        <w:rPr>
          <w:rFonts w:ascii="宋体" w:hAnsi="宋体" w:cs="宋体"/>
          <w:sz w:val="24"/>
          <w:lang w:val="fr-CH"/>
        </w:rPr>
      </w:pPr>
      <w:r>
        <w:rPr>
          <w:rFonts w:hint="eastAsia" w:ascii="宋体" w:hAnsi="宋体" w:cs="宋体"/>
          <w:sz w:val="24"/>
          <w:lang w:val="fr-CH"/>
        </w:rPr>
        <w:t>宣传能力；</w:t>
      </w:r>
    </w:p>
    <w:p>
      <w:pPr>
        <w:numPr>
          <w:ilvl w:val="0"/>
          <w:numId w:val="9"/>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诚信评价；</w:t>
      </w:r>
    </w:p>
    <w:p>
      <w:pPr>
        <w:numPr>
          <w:ilvl w:val="0"/>
          <w:numId w:val="9"/>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10"/>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实施方案；</w:t>
      </w:r>
    </w:p>
    <w:p>
      <w:pPr>
        <w:numPr>
          <w:ilvl w:val="0"/>
          <w:numId w:val="10"/>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质量保障措施及方案；</w:t>
      </w:r>
    </w:p>
    <w:p>
      <w:pPr>
        <w:numPr>
          <w:ilvl w:val="0"/>
          <w:numId w:val="10"/>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项目完成后的服务承诺；</w:t>
      </w:r>
    </w:p>
    <w:p>
      <w:pPr>
        <w:numPr>
          <w:ilvl w:val="0"/>
          <w:numId w:val="10"/>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违约承诺；</w:t>
      </w:r>
    </w:p>
    <w:p>
      <w:pPr>
        <w:tabs>
          <w:tab w:val="left" w:pos="425"/>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（6）团队主要成员情况；</w:t>
      </w:r>
    </w:p>
    <w:p>
      <w:pPr>
        <w:tabs>
          <w:tab w:val="left" w:pos="425"/>
          <w:tab w:val="left" w:pos="640"/>
          <w:tab w:val="left" w:pos="1260"/>
          <w:tab w:val="left" w:pos="1418"/>
        </w:tabs>
        <w:spacing w:line="360" w:lineRule="auto"/>
        <w:ind w:right="-420" w:rightChars="-200"/>
        <w:rPr>
          <w:rFonts w:ascii="宋体" w:hAnsi="宋体" w:cs="宋体"/>
          <w:sz w:val="24"/>
          <w:lang w:val="fr-CH"/>
        </w:rPr>
      </w:pPr>
      <w:r>
        <w:rPr>
          <w:rFonts w:ascii="宋体" w:hAnsi="宋体" w:cs="宋体"/>
          <w:sz w:val="24"/>
          <w:lang w:val="fr-CH"/>
        </w:rPr>
        <w:t>（</w:t>
      </w:r>
      <w:r>
        <w:rPr>
          <w:rFonts w:hint="eastAsia" w:ascii="宋体" w:hAnsi="宋体" w:cs="宋体"/>
          <w:sz w:val="24"/>
          <w:lang w:val="fr-CH"/>
        </w:rPr>
        <w:t>7</w:t>
      </w:r>
      <w:r>
        <w:rPr>
          <w:rFonts w:ascii="宋体" w:hAnsi="宋体" w:cs="宋体"/>
          <w:sz w:val="24"/>
          <w:lang w:val="fr-CH"/>
        </w:rPr>
        <w:t>）</w:t>
      </w:r>
      <w:r>
        <w:rPr>
          <w:rFonts w:hint="eastAsia" w:ascii="宋体" w:hAnsi="宋体" w:cs="宋体"/>
          <w:sz w:val="24"/>
          <w:lang w:val="fr-CH"/>
        </w:rPr>
        <w:t>拟投入的服务资源；</w:t>
      </w:r>
    </w:p>
    <w:p>
      <w:pPr>
        <w:tabs>
          <w:tab w:val="left" w:pos="425"/>
          <w:tab w:val="left" w:pos="640"/>
          <w:tab w:val="left" w:pos="1260"/>
          <w:tab w:val="left" w:pos="1418"/>
        </w:tabs>
        <w:spacing w:line="360" w:lineRule="auto"/>
        <w:ind w:right="-420" w:rightChars="-200"/>
        <w:rPr>
          <w:rFonts w:ascii="宋体" w:hAnsi="宋体" w:cs="宋体"/>
          <w:sz w:val="24"/>
          <w:lang w:val="fr-CH"/>
        </w:rPr>
      </w:pPr>
      <w:r>
        <w:rPr>
          <w:rFonts w:ascii="宋体" w:hAnsi="宋体" w:cs="宋体"/>
          <w:sz w:val="24"/>
          <w:lang w:val="fr-CH"/>
        </w:rPr>
        <w:t>（</w:t>
      </w:r>
      <w:r>
        <w:rPr>
          <w:rFonts w:hint="eastAsia" w:ascii="宋体" w:hAnsi="宋体" w:cs="宋体"/>
          <w:sz w:val="24"/>
          <w:lang w:val="fr-CH"/>
        </w:rPr>
        <w:t>8</w:t>
      </w:r>
      <w:r>
        <w:rPr>
          <w:rFonts w:ascii="宋体" w:hAnsi="宋体" w:cs="宋体"/>
          <w:sz w:val="24"/>
          <w:lang w:val="fr-CH"/>
        </w:rPr>
        <w:t>）</w:t>
      </w:r>
      <w:r>
        <w:rPr>
          <w:rFonts w:hint="eastAsia" w:ascii="宋体" w:hAnsi="宋体" w:cs="宋体"/>
          <w:sz w:val="24"/>
          <w:lang w:val="fr-CH"/>
        </w:rPr>
        <w:t>投标人认为有必要提供的其他材料。</w:t>
      </w: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1"/>
        </w:numPr>
        <w:tabs>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3"/>
        <w:tblW w:w="7698" w:type="dxa"/>
        <w:tblInd w:w="1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u w:val="single"/>
              </w:rPr>
            </w:pPr>
          </w:p>
        </w:tc>
        <w:tc>
          <w:tcPr>
            <w:tcW w:w="2896" w:type="dxa"/>
            <w:vAlign w:val="center"/>
          </w:tcPr>
          <w:p>
            <w:pPr>
              <w:spacing w:line="360" w:lineRule="auto"/>
              <w:jc w:val="center"/>
              <w:rPr>
                <w:rFonts w:ascii="宋体" w:hAnsi="宋体" w:cs="宋体"/>
                <w:sz w:val="24"/>
                <w:u w:val="single"/>
              </w:rPr>
            </w:pPr>
          </w:p>
        </w:tc>
        <w:tc>
          <w:tcPr>
            <w:tcW w:w="131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pPr>
    </w:p>
    <w:p>
      <w:pPr>
        <w:numPr>
          <w:ilvl w:val="0"/>
          <w:numId w:val="11"/>
        </w:numPr>
        <w:tabs>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序号</w:t>
            </w:r>
          </w:p>
        </w:tc>
        <w:tc>
          <w:tcPr>
            <w:tcW w:w="2212" w:type="dxa"/>
            <w:vAlign w:val="center"/>
          </w:tcPr>
          <w:p>
            <w:pPr>
              <w:pStyle w:val="12"/>
              <w:spacing w:line="360" w:lineRule="auto"/>
              <w:jc w:val="center"/>
              <w:rPr>
                <w:rFonts w:hAnsi="宋体" w:cs="宋体"/>
                <w:sz w:val="24"/>
              </w:rPr>
            </w:pPr>
            <w:r>
              <w:rPr>
                <w:rFonts w:hint="eastAsia" w:hAnsi="宋体" w:cs="宋体"/>
                <w:sz w:val="24"/>
              </w:rPr>
              <w:t>项目名称、内容</w:t>
            </w:r>
          </w:p>
        </w:tc>
        <w:tc>
          <w:tcPr>
            <w:tcW w:w="720" w:type="dxa"/>
            <w:vAlign w:val="center"/>
          </w:tcPr>
          <w:p>
            <w:pPr>
              <w:pStyle w:val="12"/>
              <w:spacing w:line="360" w:lineRule="auto"/>
              <w:jc w:val="center"/>
              <w:rPr>
                <w:rFonts w:hAnsi="宋体" w:cs="宋体"/>
                <w:sz w:val="24"/>
              </w:rPr>
            </w:pPr>
            <w:r>
              <w:rPr>
                <w:rFonts w:hint="eastAsia" w:hAnsi="宋体" w:cs="宋体"/>
                <w:sz w:val="24"/>
              </w:rPr>
              <w:t>单位</w:t>
            </w:r>
          </w:p>
        </w:tc>
        <w:tc>
          <w:tcPr>
            <w:tcW w:w="1800" w:type="dxa"/>
            <w:vAlign w:val="center"/>
          </w:tcPr>
          <w:p>
            <w:pPr>
              <w:pStyle w:val="12"/>
              <w:spacing w:line="360" w:lineRule="auto"/>
              <w:jc w:val="center"/>
              <w:rPr>
                <w:rFonts w:hAnsi="宋体" w:cs="宋体"/>
                <w:sz w:val="24"/>
              </w:rPr>
            </w:pPr>
            <w:r>
              <w:rPr>
                <w:rFonts w:hint="eastAsia" w:hAnsi="宋体" w:cs="宋体"/>
                <w:sz w:val="24"/>
              </w:rPr>
              <w:t>数量（工作量）</w:t>
            </w:r>
          </w:p>
        </w:tc>
        <w:tc>
          <w:tcPr>
            <w:tcW w:w="1620" w:type="dxa"/>
            <w:vAlign w:val="center"/>
          </w:tcPr>
          <w:p>
            <w:pPr>
              <w:pStyle w:val="12"/>
              <w:spacing w:line="360" w:lineRule="auto"/>
              <w:jc w:val="center"/>
              <w:rPr>
                <w:rFonts w:hAnsi="宋体" w:cs="宋体"/>
                <w:sz w:val="24"/>
              </w:rPr>
            </w:pPr>
            <w:r>
              <w:rPr>
                <w:rFonts w:hint="eastAsia" w:hAnsi="宋体" w:cs="宋体"/>
                <w:sz w:val="24"/>
              </w:rPr>
              <w:t>单价</w:t>
            </w:r>
          </w:p>
        </w:tc>
        <w:tc>
          <w:tcPr>
            <w:tcW w:w="1620" w:type="dxa"/>
            <w:vAlign w:val="center"/>
          </w:tcPr>
          <w:p>
            <w:pPr>
              <w:pStyle w:val="12"/>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1</w:t>
            </w:r>
          </w:p>
        </w:tc>
        <w:tc>
          <w:tcPr>
            <w:tcW w:w="2212" w:type="dxa"/>
            <w:vAlign w:val="center"/>
          </w:tcPr>
          <w:p>
            <w:pPr>
              <w:pStyle w:val="12"/>
              <w:spacing w:line="360" w:lineRule="auto"/>
              <w:jc w:val="center"/>
              <w:rPr>
                <w:rFonts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w:t>
            </w:r>
          </w:p>
        </w:tc>
        <w:tc>
          <w:tcPr>
            <w:tcW w:w="2212" w:type="dxa"/>
            <w:vAlign w:val="center"/>
          </w:tcPr>
          <w:p>
            <w:pPr>
              <w:pStyle w:val="12"/>
              <w:spacing w:line="360" w:lineRule="auto"/>
              <w:jc w:val="center"/>
              <w:rPr>
                <w:rFonts w:hAnsi="宋体" w:cs="宋体"/>
                <w:sz w:val="24"/>
              </w:rPr>
            </w:pPr>
            <w:r>
              <w:rPr>
                <w:rFonts w:hint="eastAsia" w:hAnsi="宋体" w:cs="宋体"/>
                <w:sz w:val="24"/>
              </w:rPr>
              <w:t>…</w:t>
            </w: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2"/>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2"/>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投标函；</w:t>
      </w:r>
    </w:p>
    <w:p>
      <w:pPr>
        <w:spacing w:line="360" w:lineRule="auto"/>
        <w:jc w:val="center"/>
        <w:rPr>
          <w:rFonts w:ascii="宋体" w:hAnsi="宋体" w:cs="宋体"/>
          <w:b/>
          <w:bCs/>
          <w:sz w:val="24"/>
        </w:rPr>
      </w:pPr>
      <w:r>
        <w:rPr>
          <w:rFonts w:hint="eastAsia" w:ascii="宋体" w:hAnsi="宋体" w:cs="宋体"/>
          <w:b/>
          <w:bCs/>
          <w:sz w:val="24"/>
        </w:rPr>
        <w:t>投标函</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pP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3"/>
        </w:numPr>
        <w:spacing w:line="360" w:lineRule="auto"/>
        <w:ind w:firstLine="480" w:firstLineChars="200"/>
        <w:rPr>
          <w:rFonts w:ascii="宋体" w:hAnsi="宋体" w:cs="宋体"/>
          <w:sz w:val="24"/>
        </w:rPr>
      </w:pPr>
      <w:r>
        <w:rPr>
          <w:rFonts w:hint="eastAsia" w:ascii="宋体" w:hAnsi="宋体" w:cs="宋体"/>
          <w:kern w:val="0"/>
          <w:sz w:val="24"/>
        </w:rPr>
        <w:t>符合财政部和深圳市财政局关于诚信管理的要求，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我单位不存在单位法定代表人（负责人）为同一人或者存在直接控股、管理关系的不同供应商，同时参加本项目投标之情形；我</w:t>
      </w:r>
      <w:r>
        <w:rPr>
          <w:rFonts w:ascii="宋体" w:hAnsi="宋体" w:cs="宋体"/>
          <w:sz w:val="24"/>
        </w:rPr>
        <w:t>单位</w:t>
      </w:r>
      <w:r>
        <w:rPr>
          <w:rFonts w:hint="eastAsia" w:ascii="宋体" w:hAnsi="宋体" w:cs="宋体"/>
          <w:sz w:val="24"/>
        </w:rPr>
        <w:t>未为本项目提供过整体设计、规范编制或者项目管理、监理、检测等服务。</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w:t>
      </w:r>
      <w:r>
        <w:rPr>
          <w:rFonts w:ascii="宋体" w:hAnsi="宋体" w:cs="宋体"/>
          <w:sz w:val="24"/>
        </w:rPr>
        <w:t>单位</w:t>
      </w:r>
      <w:r>
        <w:rPr>
          <w:rFonts w:hint="eastAsia" w:ascii="宋体" w:hAnsi="宋体" w:cs="宋体"/>
          <w:sz w:val="24"/>
        </w:rPr>
        <w:t>对投标文件中全部投标资料的真实性负责，如被证实我单位的投标文件中存在虚假资料的，则视为我单位隐瞒真实情况、提供虚假资料，我单位愿意接受主管部门作出的行政处罚。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w:t>
      </w:r>
      <w:r>
        <w:rPr>
          <w:rFonts w:ascii="宋体" w:hAnsi="宋体" w:cs="宋体"/>
          <w:sz w:val="24"/>
        </w:rPr>
        <w:t>定代表</w:t>
      </w:r>
      <w:r>
        <w:rPr>
          <w:rFonts w:hint="eastAsia" w:ascii="宋体" w:hAnsi="宋体" w:cs="宋体"/>
          <w:sz w:val="24"/>
          <w:lang w:val="fr-CH"/>
        </w:rPr>
        <w:t>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3"/>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2"/>
              <w:spacing w:line="360" w:lineRule="auto"/>
              <w:rPr>
                <w:rFonts w:ascii="Arial Narrow" w:hAnsi="Arial Narrow"/>
                <w:b/>
                <w:bCs/>
                <w:szCs w:val="21"/>
              </w:rPr>
            </w:pPr>
          </w:p>
        </w:tc>
        <w:tc>
          <w:tcPr>
            <w:tcW w:w="4240" w:type="dxa"/>
          </w:tcPr>
          <w:p>
            <w:pPr>
              <w:pStyle w:val="12"/>
              <w:spacing w:line="360" w:lineRule="auto"/>
              <w:rPr>
                <w:rFonts w:ascii="Arial Narrow" w:hAnsi="Arial Narrow"/>
                <w:b/>
                <w:bCs/>
                <w:szCs w:val="21"/>
              </w:rPr>
            </w:pPr>
          </w:p>
        </w:tc>
      </w:tr>
    </w:tbl>
    <w:p>
      <w:pPr>
        <w:pStyle w:val="2"/>
        <w:rPr>
          <w:lang w:val="fr-CH"/>
        </w:rPr>
      </w:pPr>
    </w:p>
    <w:p>
      <w:pPr>
        <w:numPr>
          <w:ilvl w:val="0"/>
          <w:numId w:val="12"/>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2"/>
        <w:spacing w:line="360" w:lineRule="auto"/>
        <w:jc w:val="center"/>
        <w:rPr>
          <w:rFonts w:hAnsi="宋体" w:cs="宋体"/>
          <w:b/>
          <w:sz w:val="24"/>
        </w:rPr>
      </w:pPr>
    </w:p>
    <w:p>
      <w:pPr>
        <w:pStyle w:val="12"/>
        <w:spacing w:line="360" w:lineRule="auto"/>
        <w:jc w:val="center"/>
        <w:rPr>
          <w:rFonts w:hAnsi="宋体" w:cs="宋体"/>
          <w:b/>
          <w:sz w:val="24"/>
        </w:rPr>
      </w:pPr>
      <w:r>
        <w:rPr>
          <w:rFonts w:hint="eastAsia" w:hAnsi="宋体" w:cs="宋体"/>
          <w:b/>
          <w:sz w:val="24"/>
        </w:rPr>
        <w:t>法定代表人授权书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2"/>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12"/>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投标人</w:t>
      </w:r>
      <w:r>
        <w:rPr>
          <w:rFonts w:hint="eastAsia" w:ascii="宋体" w:hAnsi="宋体" w:cs="宋体"/>
          <w:sz w:val="24"/>
          <w:lang w:val="fr-CH"/>
        </w:rPr>
        <w:t>简介；</w:t>
      </w:r>
    </w:p>
    <w:p>
      <w:pPr>
        <w:pStyle w:val="12"/>
        <w:spacing w:line="360" w:lineRule="auto"/>
        <w:jc w:val="center"/>
        <w:rPr>
          <w:rFonts w:hAnsi="宋体" w:cs="宋体"/>
          <w:b/>
          <w:bCs/>
          <w:sz w:val="24"/>
        </w:rPr>
      </w:pPr>
      <w:r>
        <w:rPr>
          <w:rFonts w:hint="eastAsia" w:hAnsi="宋体" w:cs="宋体"/>
          <w:b/>
          <w:bCs/>
          <w:sz w:val="24"/>
        </w:rPr>
        <w:t>投标人基本情况一览表</w:t>
      </w:r>
    </w:p>
    <w:p>
      <w:pPr>
        <w:pStyle w:val="12"/>
        <w:spacing w:line="360" w:lineRule="auto"/>
        <w:ind w:firstLine="420"/>
        <w:rPr>
          <w:rFonts w:hAnsi="宋体" w:cs="宋体"/>
          <w:sz w:val="24"/>
        </w:rPr>
      </w:pPr>
      <w:r>
        <w:rPr>
          <w:rFonts w:hint="eastAsia" w:hAnsi="宋体" w:cs="宋体"/>
          <w:sz w:val="24"/>
        </w:rPr>
        <w:t>1．名称及概况：</w:t>
      </w:r>
    </w:p>
    <w:p>
      <w:pPr>
        <w:pStyle w:val="12"/>
        <w:spacing w:line="360" w:lineRule="auto"/>
        <w:ind w:firstLine="420"/>
        <w:rPr>
          <w:rFonts w:hAnsi="宋体" w:cs="宋体"/>
          <w:sz w:val="24"/>
        </w:rPr>
      </w:pPr>
      <w:r>
        <w:rPr>
          <w:rFonts w:hint="eastAsia" w:hAnsi="宋体" w:cs="宋体"/>
          <w:sz w:val="24"/>
        </w:rPr>
        <w:t>（1）投标人名称：_______________________________________</w:t>
      </w:r>
    </w:p>
    <w:p>
      <w:pPr>
        <w:pStyle w:val="12"/>
        <w:spacing w:line="360" w:lineRule="auto"/>
        <w:ind w:firstLine="420"/>
        <w:rPr>
          <w:rFonts w:hAnsi="宋体" w:cs="宋体"/>
          <w:sz w:val="24"/>
        </w:rPr>
      </w:pPr>
      <w:r>
        <w:rPr>
          <w:rFonts w:hint="eastAsia" w:hAnsi="宋体" w:cs="宋体"/>
          <w:sz w:val="24"/>
        </w:rPr>
        <w:t>（2）地址：______________________________________________</w:t>
      </w:r>
    </w:p>
    <w:p>
      <w:pPr>
        <w:pStyle w:val="12"/>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12"/>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12"/>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12"/>
        <w:spacing w:line="360" w:lineRule="auto"/>
        <w:ind w:firstLine="420"/>
        <w:rPr>
          <w:rFonts w:hAnsi="宋体" w:cs="宋体"/>
          <w:sz w:val="24"/>
        </w:rPr>
      </w:pPr>
      <w:r>
        <w:rPr>
          <w:rFonts w:hint="eastAsia" w:hAnsi="宋体" w:cs="宋体"/>
          <w:sz w:val="24"/>
        </w:rPr>
        <w:t>（3）成立和／或注册日期：_________________________________</w:t>
      </w:r>
    </w:p>
    <w:p>
      <w:pPr>
        <w:pStyle w:val="12"/>
        <w:spacing w:line="360" w:lineRule="auto"/>
        <w:ind w:firstLine="420"/>
        <w:rPr>
          <w:rFonts w:hAnsi="宋体" w:cs="宋体"/>
          <w:sz w:val="24"/>
        </w:rPr>
      </w:pPr>
      <w:r>
        <w:rPr>
          <w:rFonts w:hint="eastAsia" w:hAnsi="宋体" w:cs="宋体"/>
          <w:sz w:val="24"/>
        </w:rPr>
        <w:t>（4）法人代表：___________________________________________</w:t>
      </w:r>
    </w:p>
    <w:p>
      <w:pPr>
        <w:pStyle w:val="12"/>
        <w:spacing w:line="360" w:lineRule="auto"/>
        <w:ind w:firstLine="420"/>
        <w:rPr>
          <w:rFonts w:hAnsi="宋体" w:cs="宋体"/>
          <w:sz w:val="24"/>
        </w:rPr>
      </w:pPr>
      <w:r>
        <w:rPr>
          <w:rFonts w:hint="eastAsia" w:hAnsi="宋体" w:cs="宋体"/>
          <w:sz w:val="24"/>
        </w:rPr>
        <w:t>（5）开户银行：___________________________________________</w:t>
      </w:r>
    </w:p>
    <w:p>
      <w:pPr>
        <w:pStyle w:val="12"/>
        <w:spacing w:line="360" w:lineRule="auto"/>
        <w:ind w:firstLine="420"/>
        <w:rPr>
          <w:rFonts w:hAnsi="宋体" w:cs="宋体"/>
          <w:sz w:val="24"/>
        </w:rPr>
      </w:pPr>
      <w:r>
        <w:rPr>
          <w:rFonts w:hint="eastAsia" w:hAnsi="宋体" w:cs="宋体"/>
          <w:sz w:val="24"/>
        </w:rPr>
        <w:t>（6）开户帐号：___________________________________________</w:t>
      </w:r>
    </w:p>
    <w:p>
      <w:pPr>
        <w:pStyle w:val="12"/>
        <w:spacing w:line="360" w:lineRule="auto"/>
        <w:ind w:firstLine="420"/>
        <w:rPr>
          <w:rFonts w:hAnsi="宋体" w:cs="宋体"/>
          <w:sz w:val="24"/>
        </w:rPr>
      </w:pPr>
      <w:r>
        <w:rPr>
          <w:rFonts w:hint="eastAsia" w:hAnsi="宋体" w:cs="宋体"/>
          <w:sz w:val="24"/>
        </w:rPr>
        <w:t>（7）注册资金：___________________________________________</w:t>
      </w:r>
    </w:p>
    <w:p>
      <w:pPr>
        <w:pStyle w:val="12"/>
        <w:spacing w:line="360" w:lineRule="auto"/>
        <w:ind w:firstLine="420"/>
        <w:rPr>
          <w:rFonts w:hAnsi="宋体" w:cs="宋体"/>
          <w:sz w:val="24"/>
        </w:rPr>
      </w:pPr>
      <w:r>
        <w:rPr>
          <w:rFonts w:hint="eastAsia" w:hAnsi="宋体" w:cs="宋体"/>
          <w:sz w:val="24"/>
        </w:rPr>
        <w:t>（8）近两年财务基本情况</w:t>
      </w:r>
    </w:p>
    <w:p>
      <w:pPr>
        <w:pStyle w:val="12"/>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12"/>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12"/>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12"/>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12"/>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12"/>
        <w:spacing w:line="360" w:lineRule="auto"/>
        <w:ind w:firstLine="420"/>
        <w:rPr>
          <w:rFonts w:hAnsi="宋体" w:cs="宋体"/>
          <w:sz w:val="24"/>
        </w:rPr>
      </w:pPr>
      <w:r>
        <w:rPr>
          <w:rFonts w:hint="eastAsia" w:hAnsi="宋体" w:cs="宋体"/>
          <w:sz w:val="24"/>
        </w:rPr>
        <w:t>（9）项目主要联系人（姓名、职务、通讯）：</w:t>
      </w:r>
    </w:p>
    <w:p>
      <w:pPr>
        <w:pStyle w:val="12"/>
        <w:spacing w:line="360" w:lineRule="auto"/>
        <w:rPr>
          <w:rFonts w:hAnsi="宋体" w:cs="宋体"/>
          <w:sz w:val="24"/>
        </w:rPr>
      </w:pPr>
      <w:r>
        <w:rPr>
          <w:rFonts w:hint="eastAsia" w:hAnsi="宋体" w:cs="宋体"/>
          <w:sz w:val="24"/>
        </w:rPr>
        <w:t>_____________________________________________________________________</w:t>
      </w:r>
    </w:p>
    <w:p>
      <w:pPr>
        <w:pStyle w:val="12"/>
        <w:spacing w:line="360" w:lineRule="auto"/>
        <w:ind w:firstLine="420"/>
        <w:rPr>
          <w:rFonts w:hAnsi="宋体" w:cs="宋体"/>
          <w:sz w:val="24"/>
        </w:rPr>
      </w:pPr>
      <w:r>
        <w:rPr>
          <w:rFonts w:hint="eastAsia" w:hAnsi="宋体" w:cs="宋体"/>
          <w:sz w:val="24"/>
        </w:rPr>
        <w:t>（10）公司概况；</w:t>
      </w:r>
    </w:p>
    <w:p>
      <w:pPr>
        <w:pStyle w:val="12"/>
        <w:spacing w:line="360" w:lineRule="auto"/>
        <w:ind w:firstLine="420"/>
        <w:rPr>
          <w:rFonts w:hAnsi="宋体" w:cs="宋体"/>
          <w:sz w:val="24"/>
        </w:rPr>
      </w:pPr>
      <w:r>
        <w:rPr>
          <w:rFonts w:hint="eastAsia" w:hAnsi="宋体" w:cs="宋体"/>
          <w:sz w:val="24"/>
        </w:rPr>
        <w:t>（11）公司组织机构；</w:t>
      </w:r>
    </w:p>
    <w:p>
      <w:pPr>
        <w:pStyle w:val="12"/>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2"/>
        <w:rPr>
          <w:lang w:val="fr-CH"/>
        </w:rPr>
      </w:pPr>
    </w:p>
    <w:p>
      <w:pPr>
        <w:tabs>
          <w:tab w:val="left" w:pos="640"/>
        </w:tabs>
        <w:spacing w:line="360" w:lineRule="auto"/>
        <w:rPr>
          <w:rFonts w:ascii="宋体" w:hAnsi="宋体" w:cs="宋体"/>
          <w:color w:val="FF0000"/>
          <w:sz w:val="24"/>
          <w:lang w:val="fr-CH"/>
        </w:rPr>
      </w:pPr>
    </w:p>
    <w:p>
      <w:pPr>
        <w:numPr>
          <w:ilvl w:val="0"/>
          <w:numId w:val="12"/>
        </w:numPr>
        <w:tabs>
          <w:tab w:val="left" w:pos="640"/>
        </w:tabs>
        <w:spacing w:line="360" w:lineRule="auto"/>
        <w:ind w:left="845" w:hanging="845"/>
        <w:rPr>
          <w:rFonts w:ascii="宋体" w:hAnsi="宋体" w:cs="宋体"/>
          <w:sz w:val="24"/>
          <w:lang w:val="fr-CH"/>
        </w:rPr>
      </w:pPr>
      <w:r>
        <w:rPr>
          <w:rFonts w:hint="eastAsia" w:ascii="宋体" w:hAnsi="宋体" w:cs="宋体"/>
          <w:sz w:val="24"/>
        </w:rPr>
        <w:t>同类业绩；</w:t>
      </w:r>
    </w:p>
    <w:p>
      <w:pPr>
        <w:pStyle w:val="52"/>
        <w:numPr>
          <w:ilvl w:val="0"/>
          <w:numId w:val="12"/>
        </w:numPr>
        <w:ind w:firstLineChars="0"/>
        <w:rPr>
          <w:rFonts w:ascii="宋体" w:hAnsi="宋体" w:cs="宋体"/>
          <w:sz w:val="24"/>
        </w:rPr>
      </w:pPr>
      <w:r>
        <w:rPr>
          <w:rFonts w:hint="eastAsia" w:ascii="宋体" w:hAnsi="宋体" w:cs="宋体"/>
          <w:sz w:val="24"/>
        </w:rPr>
        <w:t>宣传能力；</w:t>
      </w: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诚信评价；</w:t>
      </w:r>
    </w:p>
    <w:p>
      <w:pPr>
        <w:spacing w:line="360" w:lineRule="auto"/>
        <w:jc w:val="center"/>
        <w:rPr>
          <w:rFonts w:ascii="宋体" w:hAnsi="宋体" w:cs="宋体"/>
          <w:b/>
          <w:bCs/>
          <w:sz w:val="24"/>
        </w:rPr>
      </w:pPr>
      <w:r>
        <w:rPr>
          <w:rFonts w:hint="eastAsia" w:ascii="宋体" w:hAnsi="宋体" w:cs="宋体"/>
          <w:b/>
          <w:bCs/>
          <w:sz w:val="24"/>
        </w:rPr>
        <w:t>诚信承诺函</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我单位承诺无财政部《财政部关于在政府采购活动中查询及使用信用记录有关问题的通知》及其他相关文件中规定的予以扣分的情形。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我单位对上述内容的真实性负责。如有虚假，将依法承担相应责任。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12"/>
        <w:spacing w:line="360" w:lineRule="auto"/>
        <w:jc w:val="left"/>
        <w:rPr>
          <w:rFonts w:hAnsi="宋体" w:cs="宋体"/>
          <w:sz w:val="24"/>
        </w:rPr>
      </w:pPr>
    </w:p>
    <w:p>
      <w:pPr>
        <w:pStyle w:val="12"/>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rPr>
          <w:lang w:val="fr-CH"/>
        </w:rPr>
      </w:pPr>
    </w:p>
    <w:p>
      <w:pPr>
        <w:numPr>
          <w:ilvl w:val="0"/>
          <w:numId w:val="12"/>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4"/>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据招标文件要求，我单位承诺响应如下：</w:t>
      </w:r>
    </w:p>
    <w:tbl>
      <w:tblPr>
        <w:tblStyle w:val="23"/>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rPr>
          <w:lang w:val="fr-CH"/>
        </w:rPr>
      </w:pP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实施方案；</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fr-CH"/>
        </w:rPr>
        <w:t>质量保障措施及方案</w:t>
      </w:r>
      <w:r>
        <w:rPr>
          <w:rFonts w:hint="eastAsia" w:ascii="宋体" w:hAnsi="宋体" w:cs="宋体"/>
          <w:sz w:val="24"/>
          <w:lang w:val="sq-AL"/>
        </w:rPr>
        <w:t>；</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fr-CH"/>
        </w:rPr>
        <w:t>项目完成后的服务承诺</w:t>
      </w:r>
      <w:r>
        <w:rPr>
          <w:rFonts w:hint="eastAsia" w:ascii="宋体" w:hAnsi="宋体" w:cs="宋体"/>
          <w:sz w:val="24"/>
          <w:lang w:val="sq-AL"/>
        </w:rPr>
        <w:t>；</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fr-CH"/>
        </w:rPr>
        <w:t>违约承诺</w:t>
      </w:r>
      <w:r>
        <w:rPr>
          <w:rFonts w:hint="eastAsia" w:ascii="宋体" w:hAnsi="宋体" w:cs="宋体"/>
          <w:sz w:val="24"/>
          <w:lang w:val="sq-AL"/>
        </w:rPr>
        <w:t>；</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fr-CH"/>
        </w:rPr>
        <w:t>团队主要成员情况；</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fr-CH"/>
        </w:rPr>
        <w:t>拟投入的服务资源；</w:t>
      </w: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22"/>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28" w:name="_Toc6251"/>
      <w:bookmarkStart w:id="29" w:name="_Toc742"/>
      <w:r>
        <w:rPr>
          <w:rFonts w:hint="eastAsia" w:ascii="宋体" w:hAnsi="宋体" w:cs="宋体"/>
          <w:b/>
          <w:bCs/>
          <w:sz w:val="24"/>
        </w:rPr>
        <w:t>附件：相关政策</w:t>
      </w:r>
      <w:bookmarkEnd w:id="28"/>
      <w:bookmarkEnd w:id="29"/>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rPr>
      </w:pPr>
    </w:p>
    <w:p>
      <w:pPr>
        <w:widowControl/>
        <w:shd w:val="clear" w:color="auto" w:fill="FFFFFF"/>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ascii="宋体" w:hAnsi="宋体" w:cs="宋体"/>
          <w:kern w:val="0"/>
          <w:sz w:val="24"/>
        </w:rPr>
      </w:pPr>
      <w:r>
        <w:rPr>
          <w:rFonts w:hint="eastAsia" w:ascii="宋体" w:hAnsi="宋体" w:cs="宋体"/>
          <w:kern w:val="0"/>
          <w:sz w:val="24"/>
        </w:rPr>
        <w:t>财  政  部</w:t>
      </w:r>
    </w:p>
    <w:p>
      <w:pPr>
        <w:widowControl/>
        <w:shd w:val="clear" w:color="auto" w:fill="FFFFFF"/>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rPr>
      </w:pP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附：1.中小企业声明函</w:t>
      </w:r>
    </w:p>
    <w:p>
      <w:pPr>
        <w:pStyle w:val="2"/>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2"/>
        <w:tabs>
          <w:tab w:val="left" w:pos="562"/>
          <w:tab w:val="left" w:pos="3372"/>
          <w:tab w:val="left" w:pos="3653"/>
        </w:tabs>
        <w:spacing w:before="3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2"/>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spacing w:val="-2"/>
        </w:rPr>
      </w:pPr>
    </w:p>
    <w:p>
      <w:pPr>
        <w:pStyle w:val="2"/>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2"/>
        <w:tabs>
          <w:tab w:val="left" w:pos="562"/>
          <w:tab w:val="left" w:pos="3372"/>
          <w:tab w:val="left" w:pos="3653"/>
        </w:tabs>
        <w:rPr>
          <w:rFonts w:ascii="宋体" w:hAnsi="宋体" w:cs="宋体"/>
          <w:spacing w:val="-2"/>
        </w:rPr>
      </w:pPr>
    </w:p>
    <w:p>
      <w:pPr>
        <w:pStyle w:val="2"/>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2"/>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23"/>
        <w:tblW w:w="882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6"/>
              <w:jc w:val="center"/>
              <w:rPr>
                <w:b/>
                <w:sz w:val="24"/>
                <w:szCs w:val="24"/>
              </w:rPr>
            </w:pPr>
            <w:r>
              <w:rPr>
                <w:rFonts w:hint="eastAsia"/>
                <w:b/>
                <w:sz w:val="24"/>
                <w:szCs w:val="24"/>
              </w:rPr>
              <w:t>序号</w:t>
            </w:r>
          </w:p>
        </w:tc>
        <w:tc>
          <w:tcPr>
            <w:tcW w:w="1866" w:type="dxa"/>
            <w:vAlign w:val="center"/>
          </w:tcPr>
          <w:p>
            <w:pPr>
              <w:pStyle w:val="56"/>
              <w:jc w:val="center"/>
              <w:rPr>
                <w:b/>
                <w:sz w:val="24"/>
                <w:szCs w:val="24"/>
              </w:rPr>
            </w:pPr>
            <w:r>
              <w:rPr>
                <w:rFonts w:hint="eastAsia"/>
                <w:b/>
                <w:sz w:val="24"/>
                <w:szCs w:val="24"/>
              </w:rPr>
              <w:t>项目名称</w:t>
            </w:r>
          </w:p>
        </w:tc>
        <w:tc>
          <w:tcPr>
            <w:tcW w:w="2010" w:type="dxa"/>
            <w:vAlign w:val="center"/>
          </w:tcPr>
          <w:p>
            <w:pPr>
              <w:pStyle w:val="56"/>
              <w:jc w:val="center"/>
              <w:rPr>
                <w:b/>
                <w:sz w:val="24"/>
                <w:szCs w:val="24"/>
              </w:rPr>
            </w:pPr>
            <w:r>
              <w:rPr>
                <w:rFonts w:hint="eastAsia"/>
                <w:b/>
                <w:sz w:val="24"/>
                <w:szCs w:val="24"/>
              </w:rPr>
              <w:t>预留选项</w:t>
            </w:r>
          </w:p>
        </w:tc>
        <w:tc>
          <w:tcPr>
            <w:tcW w:w="2296" w:type="dxa"/>
            <w:vAlign w:val="center"/>
          </w:tcPr>
          <w:p>
            <w:pPr>
              <w:pStyle w:val="56"/>
              <w:jc w:val="center"/>
              <w:rPr>
                <w:b/>
                <w:sz w:val="24"/>
                <w:szCs w:val="24"/>
              </w:rPr>
            </w:pPr>
            <w:r>
              <w:rPr>
                <w:rFonts w:hint="eastAsia"/>
                <w:b/>
                <w:sz w:val="24"/>
                <w:szCs w:val="24"/>
              </w:rPr>
              <w:t>面向中小企业采购金额</w:t>
            </w:r>
          </w:p>
        </w:tc>
        <w:tc>
          <w:tcPr>
            <w:tcW w:w="1784" w:type="dxa"/>
            <w:vAlign w:val="center"/>
          </w:tcPr>
          <w:p>
            <w:pPr>
              <w:pStyle w:val="56"/>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6"/>
              <w:jc w:val="center"/>
              <w:rPr>
                <w:sz w:val="24"/>
                <w:szCs w:val="24"/>
              </w:rPr>
            </w:pPr>
          </w:p>
        </w:tc>
        <w:tc>
          <w:tcPr>
            <w:tcW w:w="1866" w:type="dxa"/>
            <w:tcBorders>
              <w:bottom w:val="nil"/>
            </w:tcBorders>
            <w:vAlign w:val="center"/>
          </w:tcPr>
          <w:p>
            <w:pPr>
              <w:pStyle w:val="56"/>
              <w:jc w:val="center"/>
              <w:rPr>
                <w:sz w:val="24"/>
                <w:szCs w:val="24"/>
              </w:rPr>
            </w:pPr>
          </w:p>
        </w:tc>
        <w:tc>
          <w:tcPr>
            <w:tcW w:w="2010" w:type="dxa"/>
            <w:tcBorders>
              <w:bottom w:val="nil"/>
            </w:tcBorders>
            <w:vAlign w:val="center"/>
          </w:tcPr>
          <w:p>
            <w:pPr>
              <w:pStyle w:val="56"/>
              <w:jc w:val="center"/>
              <w:rPr>
                <w:sz w:val="24"/>
                <w:szCs w:val="24"/>
              </w:rPr>
            </w:pPr>
            <w:r>
              <w:rPr>
                <w:rFonts w:hint="eastAsia"/>
                <w:sz w:val="24"/>
                <w:szCs w:val="24"/>
              </w:rPr>
              <w:t>（填写“采购项</w:t>
            </w:r>
          </w:p>
        </w:tc>
        <w:tc>
          <w:tcPr>
            <w:tcW w:w="2296" w:type="dxa"/>
            <w:tcBorders>
              <w:bottom w:val="nil"/>
            </w:tcBorders>
            <w:vAlign w:val="center"/>
          </w:tcPr>
          <w:p>
            <w:pPr>
              <w:pStyle w:val="56"/>
              <w:jc w:val="center"/>
              <w:rPr>
                <w:sz w:val="24"/>
                <w:szCs w:val="24"/>
              </w:rPr>
            </w:pPr>
          </w:p>
        </w:tc>
        <w:tc>
          <w:tcPr>
            <w:tcW w:w="1784" w:type="dxa"/>
            <w:vMerge w:val="restart"/>
            <w:vAlign w:val="center"/>
          </w:tcPr>
          <w:p>
            <w:pPr>
              <w:pStyle w:val="56"/>
              <w:jc w:val="center"/>
              <w:rPr>
                <w:sz w:val="24"/>
                <w:szCs w:val="24"/>
              </w:rPr>
            </w:pPr>
          </w:p>
          <w:p>
            <w:pPr>
              <w:pStyle w:val="56"/>
              <w:jc w:val="center"/>
              <w:rPr>
                <w:sz w:val="24"/>
                <w:szCs w:val="24"/>
              </w:rPr>
            </w:pPr>
          </w:p>
          <w:p>
            <w:pPr>
              <w:pStyle w:val="56"/>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目整体预留”、</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“设置专门采购</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（填写集中采</w:t>
            </w:r>
          </w:p>
        </w:tc>
        <w:tc>
          <w:tcPr>
            <w:tcW w:w="2010" w:type="dxa"/>
            <w:tcBorders>
              <w:top w:val="nil"/>
              <w:bottom w:val="nil"/>
            </w:tcBorders>
            <w:vAlign w:val="center"/>
          </w:tcPr>
          <w:p>
            <w:pPr>
              <w:pStyle w:val="56"/>
              <w:jc w:val="center"/>
              <w:rPr>
                <w:sz w:val="24"/>
                <w:szCs w:val="24"/>
              </w:rPr>
            </w:pPr>
            <w:r>
              <w:rPr>
                <w:rFonts w:hint="eastAsia"/>
                <w:sz w:val="24"/>
                <w:szCs w:val="24"/>
              </w:rPr>
              <w:t>包”、“要求以</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购目录以内或</w:t>
            </w:r>
          </w:p>
        </w:tc>
        <w:tc>
          <w:tcPr>
            <w:tcW w:w="2010" w:type="dxa"/>
            <w:tcBorders>
              <w:top w:val="nil"/>
              <w:bottom w:val="nil"/>
            </w:tcBorders>
            <w:vAlign w:val="center"/>
          </w:tcPr>
          <w:p>
            <w:pPr>
              <w:pStyle w:val="56"/>
              <w:jc w:val="center"/>
              <w:rPr>
                <w:sz w:val="24"/>
                <w:szCs w:val="24"/>
              </w:rPr>
            </w:pPr>
            <w:r>
              <w:rPr>
                <w:rFonts w:hint="eastAsia"/>
                <w:sz w:val="24"/>
                <w:szCs w:val="24"/>
              </w:rPr>
              <w:t>联合体形式参</w:t>
            </w:r>
          </w:p>
        </w:tc>
        <w:tc>
          <w:tcPr>
            <w:tcW w:w="2296" w:type="dxa"/>
            <w:tcBorders>
              <w:top w:val="nil"/>
              <w:bottom w:val="nil"/>
            </w:tcBorders>
            <w:vAlign w:val="center"/>
          </w:tcPr>
          <w:p>
            <w:pPr>
              <w:pStyle w:val="56"/>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者采购限额标</w:t>
            </w:r>
          </w:p>
        </w:tc>
        <w:tc>
          <w:tcPr>
            <w:tcW w:w="2010" w:type="dxa"/>
            <w:tcBorders>
              <w:top w:val="nil"/>
              <w:bottom w:val="nil"/>
            </w:tcBorders>
            <w:vAlign w:val="center"/>
          </w:tcPr>
          <w:p>
            <w:pPr>
              <w:pStyle w:val="56"/>
              <w:jc w:val="center"/>
              <w:rPr>
                <w:sz w:val="24"/>
                <w:szCs w:val="24"/>
              </w:rPr>
            </w:pPr>
            <w:r>
              <w:rPr>
                <w:rFonts w:hint="eastAsia"/>
                <w:sz w:val="24"/>
                <w:szCs w:val="24"/>
              </w:rPr>
              <w:t>加”或者“要求</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56"/>
              <w:jc w:val="center"/>
              <w:rPr>
                <w:sz w:val="24"/>
                <w:szCs w:val="24"/>
              </w:rPr>
            </w:pPr>
            <w:r>
              <w:rPr>
                <w:rFonts w:hint="eastAsia"/>
                <w:sz w:val="24"/>
                <w:szCs w:val="24"/>
              </w:rPr>
              <w:t>合同分包”，除</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“采购项目全部</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预留”外，还应</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当填写预留给中</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56"/>
              <w:jc w:val="center"/>
              <w:rPr>
                <w:sz w:val="24"/>
                <w:szCs w:val="24"/>
              </w:rPr>
            </w:pPr>
          </w:p>
        </w:tc>
        <w:tc>
          <w:tcPr>
            <w:tcW w:w="2010" w:type="dxa"/>
            <w:tcBorders>
              <w:top w:val="nil"/>
            </w:tcBorders>
            <w:vAlign w:val="center"/>
          </w:tcPr>
          <w:p>
            <w:pPr>
              <w:pStyle w:val="56"/>
              <w:jc w:val="center"/>
              <w:rPr>
                <w:sz w:val="24"/>
                <w:szCs w:val="24"/>
              </w:rPr>
            </w:pPr>
            <w:r>
              <w:rPr>
                <w:rFonts w:hint="eastAsia"/>
                <w:sz w:val="24"/>
                <w:szCs w:val="24"/>
              </w:rPr>
              <w:t>小企业的比例）</w:t>
            </w:r>
          </w:p>
        </w:tc>
        <w:tc>
          <w:tcPr>
            <w:tcW w:w="2296" w:type="dxa"/>
            <w:tcBorders>
              <w:top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6"/>
              <w:jc w:val="center"/>
              <w:rPr>
                <w:sz w:val="24"/>
                <w:szCs w:val="24"/>
              </w:rPr>
            </w:pPr>
            <w:r>
              <w:rPr>
                <w:rFonts w:hint="eastAsia"/>
                <w:sz w:val="24"/>
                <w:szCs w:val="24"/>
              </w:rPr>
              <w:t>……</w:t>
            </w:r>
          </w:p>
        </w:tc>
        <w:tc>
          <w:tcPr>
            <w:tcW w:w="1866" w:type="dxa"/>
            <w:vAlign w:val="center"/>
          </w:tcPr>
          <w:p>
            <w:pPr>
              <w:pStyle w:val="56"/>
              <w:jc w:val="center"/>
              <w:rPr>
                <w:sz w:val="24"/>
                <w:szCs w:val="24"/>
              </w:rPr>
            </w:pPr>
            <w:r>
              <w:rPr>
                <w:rFonts w:hint="eastAsia"/>
                <w:sz w:val="24"/>
                <w:szCs w:val="24"/>
              </w:rPr>
              <w:t>……</w:t>
            </w:r>
          </w:p>
        </w:tc>
        <w:tc>
          <w:tcPr>
            <w:tcW w:w="2010" w:type="dxa"/>
            <w:vAlign w:val="center"/>
          </w:tcPr>
          <w:p>
            <w:pPr>
              <w:pStyle w:val="56"/>
              <w:jc w:val="center"/>
              <w:rPr>
                <w:sz w:val="24"/>
                <w:szCs w:val="24"/>
              </w:rPr>
            </w:pPr>
            <w:r>
              <w:rPr>
                <w:rFonts w:hint="eastAsia"/>
                <w:sz w:val="24"/>
                <w:szCs w:val="24"/>
              </w:rPr>
              <w:t>……</w:t>
            </w:r>
          </w:p>
        </w:tc>
        <w:tc>
          <w:tcPr>
            <w:tcW w:w="2296" w:type="dxa"/>
            <w:vAlign w:val="center"/>
          </w:tcPr>
          <w:p>
            <w:pPr>
              <w:pStyle w:val="56"/>
              <w:jc w:val="center"/>
              <w:rPr>
                <w:sz w:val="24"/>
                <w:szCs w:val="24"/>
              </w:rPr>
            </w:pPr>
            <w:r>
              <w:rPr>
                <w:rFonts w:hint="eastAsia"/>
                <w:sz w:val="24"/>
                <w:szCs w:val="24"/>
              </w:rPr>
              <w:t>……</w:t>
            </w:r>
          </w:p>
        </w:tc>
        <w:tc>
          <w:tcPr>
            <w:tcW w:w="1784" w:type="dxa"/>
            <w:vAlign w:val="center"/>
          </w:tcPr>
          <w:p>
            <w:pPr>
              <w:pStyle w:val="56"/>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2"/>
        <w:tabs>
          <w:tab w:val="left" w:pos="562"/>
          <w:tab w:val="left" w:pos="3372"/>
          <w:tab w:val="left" w:pos="3653"/>
        </w:tabs>
        <w:rPr>
          <w:rFonts w:ascii="宋体" w:hAnsi="宋体" w:cs="宋体"/>
        </w:rPr>
      </w:pPr>
    </w:p>
    <w:p>
      <w:pPr>
        <w:pStyle w:val="21"/>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1"/>
        <w:jc w:val="both"/>
        <w:outlineLvl w:val="9"/>
        <w:rPr>
          <w:rFonts w:ascii="宋体" w:hAnsi="宋体" w:eastAsia="宋体" w:cs="宋体"/>
          <w:sz w:val="24"/>
          <w:szCs w:val="24"/>
        </w:rPr>
      </w:pPr>
    </w:p>
    <w:p>
      <w:pPr>
        <w:pStyle w:val="21"/>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ascii="宋体" w:hAnsi="宋体" w:cs="宋体"/>
          <w:b/>
          <w:bCs/>
          <w:kern w:val="0"/>
          <w:sz w:val="24"/>
        </w:rPr>
      </w:pPr>
    </w:p>
    <w:p>
      <w:pPr>
        <w:widowControl/>
        <w:shd w:val="clear" w:color="auto" w:fill="FFFFFF"/>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rPr>
      </w:pPr>
    </w:p>
    <w:p>
      <w:pPr>
        <w:pStyle w:val="21"/>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ascii="宋体" w:hAnsi="宋体" w:cs="宋体"/>
          <w:bCs/>
          <w:sz w:val="24"/>
        </w:rPr>
      </w:pPr>
    </w:p>
    <w:p>
      <w:pPr>
        <w:shd w:val="clear" w:color="auto" w:fill="FFFFFF"/>
        <w:rPr>
          <w:rFonts w:ascii="宋体" w:hAnsi="宋体" w:cs="宋体"/>
          <w:bCs/>
          <w:sz w:val="24"/>
        </w:rPr>
      </w:pPr>
      <w:r>
        <w:rPr>
          <w:rFonts w:hint="eastAsia" w:ascii="宋体" w:hAnsi="宋体" w:cs="宋体"/>
          <w:bCs/>
          <w:sz w:val="24"/>
        </w:rPr>
        <w:t>关于促进残疾人就业政府采购政策的通知</w:t>
      </w:r>
    </w:p>
    <w:p>
      <w:pPr>
        <w:pStyle w:val="20"/>
        <w:shd w:val="clear" w:color="auto" w:fill="FFFFFF"/>
        <w:spacing w:before="0" w:beforeAutospacing="0" w:after="0" w:afterAutospacing="0"/>
        <w:jc w:val="center"/>
      </w:pPr>
      <w:r>
        <w:rPr>
          <w:rFonts w:hint="eastAsia"/>
        </w:rPr>
        <w:t>　　</w:t>
      </w:r>
      <w:bookmarkStart w:id="30" w:name="sendNo"/>
      <w:r>
        <w:rPr>
          <w:rFonts w:hint="eastAsia"/>
        </w:rPr>
        <w:t>财库〔</w:t>
      </w:r>
      <w:bookmarkEnd w:id="30"/>
      <w:r>
        <w:rPr>
          <w:rFonts w:hint="eastAsia"/>
        </w:rPr>
        <w:t>2017〕141号</w:t>
      </w:r>
    </w:p>
    <w:p>
      <w:pPr>
        <w:pStyle w:val="20"/>
        <w:shd w:val="clear" w:color="auto" w:fill="FFFFFF"/>
        <w:spacing w:before="0" w:beforeAutospacing="0" w:after="0" w:afterAutospacing="0"/>
        <w:ind w:firstLine="480" w:firstLineChars="200"/>
      </w:pPr>
      <w:bookmarkStart w:id="3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rPr>
        <w:t>：</w:t>
      </w:r>
    </w:p>
    <w:p>
      <w:pPr>
        <w:pStyle w:val="20"/>
        <w:shd w:val="clear" w:color="auto" w:fill="FFFFFF"/>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20"/>
        <w:shd w:val="clear" w:color="auto" w:fill="FFFFFF"/>
        <w:spacing w:before="0" w:beforeAutospacing="0" w:after="0" w:afterAutospacing="0"/>
        <w:ind w:firstLine="480" w:firstLineChars="200"/>
      </w:pPr>
      <w:r>
        <w:rPr>
          <w:rFonts w:hint="eastAsia"/>
        </w:rPr>
        <w:t>一、享受政府采购支持政策的残疾人福利性单位应当同时满足以下条件：</w:t>
      </w:r>
    </w:p>
    <w:p>
      <w:pPr>
        <w:pStyle w:val="20"/>
        <w:shd w:val="clear" w:color="auto" w:fill="FFFFFF"/>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20"/>
        <w:shd w:val="clear" w:color="auto" w:fill="FFFFFF"/>
        <w:spacing w:before="0" w:beforeAutospacing="0" w:after="0" w:afterAutospacing="0"/>
        <w:ind w:firstLine="480" w:firstLineChars="200"/>
      </w:pPr>
      <w:r>
        <w:rPr>
          <w:rFonts w:hint="eastAsia"/>
        </w:rPr>
        <w:t>（二）依法与安置的每位残疾人签订了一年以上（含一年）的劳动合同或服务协议；</w:t>
      </w:r>
    </w:p>
    <w:p>
      <w:pPr>
        <w:pStyle w:val="20"/>
        <w:shd w:val="clear" w:color="auto" w:fill="FFFFFF"/>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20"/>
        <w:shd w:val="clear" w:color="auto" w:fill="FFFFFF"/>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20"/>
        <w:shd w:val="clear" w:color="auto" w:fill="FFFFFF"/>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20"/>
        <w:shd w:val="clear" w:color="auto" w:fill="FFFFFF"/>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0"/>
        <w:shd w:val="clear" w:color="auto" w:fill="FFFFFF"/>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20"/>
        <w:shd w:val="clear" w:color="auto" w:fill="FFFFFF"/>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20"/>
        <w:shd w:val="clear" w:color="auto" w:fill="FFFFFF"/>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0"/>
        <w:shd w:val="clear" w:color="auto" w:fill="FFFFFF"/>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20"/>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0"/>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0"/>
        <w:shd w:val="clear" w:color="auto" w:fill="FFFFFF"/>
        <w:spacing w:before="0" w:beforeAutospacing="0" w:after="0" w:afterAutospacing="0" w:line="560" w:lineRule="exact"/>
        <w:ind w:firstLine="480" w:firstLineChars="200"/>
      </w:pPr>
      <w:r>
        <w:rPr>
          <w:rFonts w:hint="eastAsia"/>
        </w:rPr>
        <w:t>七、本通知自2017年10月1日起执行。</w:t>
      </w:r>
    </w:p>
    <w:p>
      <w:pPr>
        <w:pStyle w:val="20"/>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20"/>
        <w:shd w:val="clear" w:color="auto" w:fill="FFFFFF"/>
        <w:spacing w:before="0" w:beforeAutospacing="0" w:after="0" w:afterAutospacing="0" w:line="560" w:lineRule="exact"/>
        <w:ind w:firstLine="480" w:firstLineChars="200"/>
        <w:jc w:val="right"/>
      </w:pPr>
      <w:r>
        <w:rPr>
          <w:rFonts w:hint="eastAsia"/>
        </w:rPr>
        <w:t>2017年8月22日</w:t>
      </w:r>
    </w:p>
    <w:p>
      <w:pPr>
        <w:pStyle w:val="57"/>
        <w:shd w:val="clear" w:color="auto" w:fill="FFFFFF"/>
        <w:spacing w:before="0" w:beforeAutospacing="0" w:after="0" w:afterAutospacing="0" w:line="560" w:lineRule="exact"/>
        <w:jc w:val="both"/>
      </w:pPr>
      <w:r>
        <w:rPr>
          <w:rFonts w:hint="eastAsia"/>
        </w:rPr>
        <w:t>附件：</w:t>
      </w:r>
    </w:p>
    <w:p>
      <w:pPr>
        <w:pStyle w:val="57"/>
        <w:shd w:val="clear" w:color="auto" w:fill="FFFFFF"/>
        <w:spacing w:before="0" w:beforeAutospacing="0" w:after="0" w:afterAutospacing="0" w:line="560" w:lineRule="exact"/>
        <w:ind w:firstLine="482" w:firstLineChars="200"/>
        <w:jc w:val="center"/>
      </w:pPr>
      <w:r>
        <w:rPr>
          <w:rStyle w:val="39"/>
          <w:rFonts w:hint="eastAsia"/>
          <w:b/>
          <w:bCs/>
        </w:rPr>
        <w:t>残疾人福利性单位声明函</w:t>
      </w:r>
    </w:p>
    <w:p>
      <w:pPr>
        <w:pStyle w:val="57"/>
        <w:shd w:val="clear" w:color="auto" w:fill="FFFFFF"/>
        <w:spacing w:before="0" w:beforeAutospacing="0" w:after="0" w:afterAutospacing="0" w:line="560" w:lineRule="exact"/>
        <w:ind w:firstLine="480" w:firstLineChars="200"/>
        <w:jc w:val="both"/>
      </w:pPr>
      <w:r>
        <w:rPr>
          <w:rStyle w:val="39"/>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shd w:val="clear" w:color="auto" w:fill="FFFFFF"/>
        <w:spacing w:before="0" w:beforeAutospacing="0" w:after="0" w:afterAutospacing="0" w:line="560" w:lineRule="exact"/>
        <w:ind w:firstLine="480" w:firstLineChars="200"/>
        <w:jc w:val="both"/>
      </w:pPr>
      <w:r>
        <w:rPr>
          <w:rStyle w:val="39"/>
          <w:rFonts w:hint="eastAsia"/>
        </w:rPr>
        <w:t>本单位对上述声明的真实性负责。如有虚假，将依法承担相应责任。</w:t>
      </w:r>
    </w:p>
    <w:p>
      <w:pPr>
        <w:pStyle w:val="57"/>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7"/>
        <w:shd w:val="clear" w:color="auto" w:fill="FFFFFF"/>
        <w:spacing w:before="0" w:beforeAutospacing="0" w:after="0" w:afterAutospacing="0" w:line="560" w:lineRule="exact"/>
        <w:ind w:right="2100" w:rightChars="1000"/>
        <w:jc w:val="right"/>
      </w:pPr>
      <w:r>
        <w:rPr>
          <w:rStyle w:val="39"/>
          <w:rFonts w:hint="eastAsia"/>
        </w:rPr>
        <w:t>单位名称（盖章）：</w:t>
      </w:r>
    </w:p>
    <w:p>
      <w:pPr>
        <w:pStyle w:val="57"/>
        <w:shd w:val="clear" w:color="auto" w:fill="FFFFFF"/>
        <w:spacing w:before="0" w:beforeAutospacing="0" w:after="0" w:afterAutospacing="0" w:line="560" w:lineRule="exact"/>
        <w:ind w:right="2100" w:rightChars="1000"/>
        <w:jc w:val="right"/>
        <w:rPr>
          <w:lang w:val="fr-CH"/>
        </w:rPr>
      </w:pPr>
      <w:r>
        <w:rPr>
          <w:rStyle w:val="39"/>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lvlText w:val="（%1）"/>
      <w:lvlJc w:val="left"/>
      <w:pPr>
        <w:tabs>
          <w:tab w:val="left" w:pos="425"/>
        </w:tabs>
        <w:ind w:left="425" w:hanging="425"/>
      </w:pPr>
      <w:rPr>
        <w:rFonts w:hint="default"/>
      </w:r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pPr>
        <w:ind w:left="480" w:firstLine="0"/>
      </w:pPr>
    </w:lvl>
  </w:abstractNum>
  <w:abstractNum w:abstractNumId="5">
    <w:nsid w:val="00000006"/>
    <w:multiLevelType w:val="singleLevel"/>
    <w:tmpl w:val="00000006"/>
    <w:lvl w:ilvl="0" w:tentative="0">
      <w:start w:val="5"/>
      <w:numFmt w:val="decimal"/>
      <w:suff w:val="nothing"/>
      <w:lvlText w:val="%1、"/>
      <w:lvlJc w:val="left"/>
    </w:lvl>
  </w:abstractNum>
  <w:abstractNum w:abstractNumId="6">
    <w:nsid w:val="00000007"/>
    <w:multiLevelType w:val="singleLevel"/>
    <w:tmpl w:val="00000007"/>
    <w:lvl w:ilvl="0" w:tentative="0">
      <w:start w:val="1"/>
      <w:numFmt w:val="decimal"/>
      <w:lvlText w:val="（%1）"/>
      <w:lvlJc w:val="left"/>
      <w:pPr>
        <w:tabs>
          <w:tab w:val="left" w:pos="425"/>
        </w:tabs>
        <w:ind w:left="425" w:hanging="425"/>
      </w:pPr>
      <w:rPr>
        <w:rFonts w:hint="default"/>
      </w:rPr>
    </w:lvl>
  </w:abstractNum>
  <w:abstractNum w:abstractNumId="7">
    <w:nsid w:val="00000008"/>
    <w:multiLevelType w:val="singleLevel"/>
    <w:tmpl w:val="00000008"/>
    <w:lvl w:ilvl="0" w:tentative="0">
      <w:start w:val="1"/>
      <w:numFmt w:val="decimal"/>
      <w:lvlText w:val="（%1）"/>
      <w:lvlJc w:val="left"/>
      <w:pPr>
        <w:tabs>
          <w:tab w:val="left" w:pos="425"/>
        </w:tabs>
        <w:ind w:left="425" w:hanging="425"/>
      </w:pPr>
      <w:rPr>
        <w:rFonts w:hint="default"/>
      </w:rPr>
    </w:lvl>
  </w:abstractNum>
  <w:abstractNum w:abstractNumId="8">
    <w:nsid w:val="00000009"/>
    <w:multiLevelType w:val="singleLevel"/>
    <w:tmpl w:val="00000009"/>
    <w:lvl w:ilvl="0" w:tentative="0">
      <w:start w:val="1"/>
      <w:numFmt w:val="decimal"/>
      <w:lvlText w:val="(%1)"/>
      <w:lvlJc w:val="left"/>
      <w:pPr>
        <w:tabs>
          <w:tab w:val="left" w:pos="-420"/>
        </w:tabs>
        <w:ind w:left="5" w:hanging="425"/>
      </w:pPr>
      <w:rPr>
        <w:rFonts w:hint="default"/>
      </w:rPr>
    </w:lvl>
  </w:abstractNum>
  <w:abstractNum w:abstractNumId="9">
    <w:nsid w:val="0000000A"/>
    <w:multiLevelType w:val="multilevel"/>
    <w:tmpl w:val="0000000A"/>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11">
    <w:nsid w:val="0000000D"/>
    <w:multiLevelType w:val="singleLevel"/>
    <w:tmpl w:val="0000000D"/>
    <w:lvl w:ilvl="0" w:tentative="0">
      <w:start w:val="1"/>
      <w:numFmt w:val="decimal"/>
      <w:lvlText w:val="（%1）"/>
      <w:lvlJc w:val="left"/>
      <w:pPr>
        <w:tabs>
          <w:tab w:val="left" w:pos="425"/>
        </w:tabs>
        <w:ind w:left="425" w:hanging="425"/>
      </w:pPr>
      <w:rPr>
        <w:rFonts w:hint="default"/>
      </w:rPr>
    </w:lvl>
  </w:abstractNum>
  <w:abstractNum w:abstractNumId="12">
    <w:nsid w:val="0000000E"/>
    <w:multiLevelType w:val="singleLevel"/>
    <w:tmpl w:val="0000000E"/>
    <w:lvl w:ilvl="0" w:tentative="0">
      <w:start w:val="1"/>
      <w:numFmt w:val="chineseCounting"/>
      <w:suff w:val="space"/>
      <w:lvlText w:val="第%1章"/>
      <w:lvlJc w:val="left"/>
      <w:rPr>
        <w:rFonts w:hint="eastAsia"/>
        <w:color w:val="auto"/>
      </w:rPr>
    </w:lvl>
  </w:abstractNum>
  <w:abstractNum w:abstractNumId="13">
    <w:nsid w:val="081C4A7D"/>
    <w:multiLevelType w:val="singleLevel"/>
    <w:tmpl w:val="081C4A7D"/>
    <w:lvl w:ilvl="0" w:tentative="0">
      <w:start w:val="1"/>
      <w:numFmt w:val="decimal"/>
      <w:lvlText w:val="（%1）"/>
      <w:lvlJc w:val="left"/>
      <w:pPr>
        <w:tabs>
          <w:tab w:val="left" w:pos="425"/>
        </w:tabs>
        <w:ind w:left="425" w:hanging="425"/>
      </w:pPr>
      <w:rPr>
        <w:rFonts w:hint="default"/>
      </w:rPr>
    </w:lvl>
  </w:abstractNum>
  <w:num w:numId="1">
    <w:abstractNumId w:val="12"/>
  </w:num>
  <w:num w:numId="2">
    <w:abstractNumId w:val="3"/>
  </w:num>
  <w:num w:numId="3">
    <w:abstractNumId w:val="1"/>
  </w:num>
  <w:num w:numId="4">
    <w:abstractNumId w:val="8"/>
  </w:num>
  <w:num w:numId="5">
    <w:abstractNumId w:val="4"/>
  </w:num>
  <w:num w:numId="6">
    <w:abstractNumId w:val="5"/>
  </w:num>
  <w:num w:numId="7">
    <w:abstractNumId w:val="9"/>
  </w:num>
  <w:num w:numId="8">
    <w:abstractNumId w:val="2"/>
  </w:num>
  <w:num w:numId="9">
    <w:abstractNumId w:val="6"/>
  </w:num>
  <w:num w:numId="10">
    <w:abstractNumId w:val="0"/>
  </w:num>
  <w:num w:numId="11">
    <w:abstractNumId w:val="13"/>
  </w:num>
  <w:num w:numId="12">
    <w:abstractNumId w:val="7"/>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M2IzYTg4Y2VlODMxNWQ4MDFjNzhlOTJkOGEyNDcifQ=="/>
  </w:docVars>
  <w:rsids>
    <w:rsidRoot w:val="00B167C8"/>
    <w:rsid w:val="00145DD3"/>
    <w:rsid w:val="001706F5"/>
    <w:rsid w:val="001A1352"/>
    <w:rsid w:val="001B2688"/>
    <w:rsid w:val="001B7C04"/>
    <w:rsid w:val="001E5A50"/>
    <w:rsid w:val="002357FC"/>
    <w:rsid w:val="00254797"/>
    <w:rsid w:val="00255C8C"/>
    <w:rsid w:val="00263773"/>
    <w:rsid w:val="0026489F"/>
    <w:rsid w:val="002A0586"/>
    <w:rsid w:val="002E3082"/>
    <w:rsid w:val="00322AC1"/>
    <w:rsid w:val="00433BDF"/>
    <w:rsid w:val="005B001D"/>
    <w:rsid w:val="005E79B8"/>
    <w:rsid w:val="00607E62"/>
    <w:rsid w:val="00653C47"/>
    <w:rsid w:val="0068317C"/>
    <w:rsid w:val="006A69C7"/>
    <w:rsid w:val="006D6D9E"/>
    <w:rsid w:val="007416CD"/>
    <w:rsid w:val="007958AE"/>
    <w:rsid w:val="007E226C"/>
    <w:rsid w:val="007F4E7E"/>
    <w:rsid w:val="00856BBF"/>
    <w:rsid w:val="008F0812"/>
    <w:rsid w:val="0096061F"/>
    <w:rsid w:val="009F240F"/>
    <w:rsid w:val="00AA788D"/>
    <w:rsid w:val="00B167C8"/>
    <w:rsid w:val="00B93EF7"/>
    <w:rsid w:val="00BB4371"/>
    <w:rsid w:val="00BD25F8"/>
    <w:rsid w:val="00C4307E"/>
    <w:rsid w:val="00CD4967"/>
    <w:rsid w:val="00D47135"/>
    <w:rsid w:val="00D64226"/>
    <w:rsid w:val="00D766AF"/>
    <w:rsid w:val="00EE6C80"/>
    <w:rsid w:val="00FB0D9D"/>
    <w:rsid w:val="00FB34C6"/>
    <w:rsid w:val="030B4298"/>
    <w:rsid w:val="085112D5"/>
    <w:rsid w:val="0FFF575C"/>
    <w:rsid w:val="11AF786F"/>
    <w:rsid w:val="17B0376D"/>
    <w:rsid w:val="182F172D"/>
    <w:rsid w:val="21B121A0"/>
    <w:rsid w:val="38FA1486"/>
    <w:rsid w:val="3E2D3787"/>
    <w:rsid w:val="3FF81852"/>
    <w:rsid w:val="428103F3"/>
    <w:rsid w:val="4E3BBC0D"/>
    <w:rsid w:val="5B7E1B70"/>
    <w:rsid w:val="61982206"/>
    <w:rsid w:val="623B504D"/>
    <w:rsid w:val="69026262"/>
    <w:rsid w:val="6D8E6D84"/>
    <w:rsid w:val="710A276A"/>
    <w:rsid w:val="75BC66E2"/>
    <w:rsid w:val="7F3726F0"/>
    <w:rsid w:val="7F6B3344"/>
    <w:rsid w:val="7FDD1D7D"/>
    <w:rsid w:val="9EF747B7"/>
    <w:rsid w:val="BBEB062F"/>
    <w:rsid w:val="DDFAB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32"/>
    <w:qFormat/>
    <w:uiPriority w:val="0"/>
    <w:pPr>
      <w:spacing w:after="120"/>
    </w:pPr>
    <w:rPr>
      <w:sz w:val="24"/>
    </w:rPr>
  </w:style>
  <w:style w:type="paragraph" w:styleId="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9">
    <w:name w:val="Normal Indent"/>
    <w:basedOn w:val="1"/>
    <w:qFormat/>
    <w:uiPriority w:val="0"/>
    <w:pPr>
      <w:ind w:firstLine="420"/>
    </w:pPr>
    <w:rPr>
      <w:szCs w:val="20"/>
    </w:rPr>
  </w:style>
  <w:style w:type="paragraph" w:styleId="10">
    <w:name w:val="annotation text"/>
    <w:basedOn w:val="1"/>
    <w:link w:val="31"/>
    <w:qFormat/>
    <w:uiPriority w:val="0"/>
    <w:pPr>
      <w:jc w:val="left"/>
    </w:pPr>
  </w:style>
  <w:style w:type="paragraph" w:styleId="11">
    <w:name w:val="Body Text Indent"/>
    <w:basedOn w:val="1"/>
    <w:qFormat/>
    <w:uiPriority w:val="99"/>
    <w:pPr>
      <w:spacing w:after="120"/>
      <w:ind w:left="420" w:leftChars="200"/>
    </w:pPr>
    <w:rPr>
      <w:kern w:val="0"/>
      <w:sz w:val="20"/>
      <w:szCs w:val="20"/>
    </w:rPr>
  </w:style>
  <w:style w:type="paragraph" w:styleId="12">
    <w:name w:val="Plain Text"/>
    <w:basedOn w:val="1"/>
    <w:next w:val="13"/>
    <w:link w:val="33"/>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4"/>
    <w:qFormat/>
    <w:uiPriority w:val="99"/>
    <w:rPr>
      <w:sz w:val="18"/>
      <w:szCs w:val="18"/>
    </w:rPr>
  </w:style>
  <w:style w:type="paragraph" w:styleId="15">
    <w:name w:val="footer"/>
    <w:basedOn w:val="1"/>
    <w:link w:val="35"/>
    <w:qFormat/>
    <w:uiPriority w:val="0"/>
    <w:pPr>
      <w:tabs>
        <w:tab w:val="center" w:pos="4153"/>
        <w:tab w:val="right" w:pos="8306"/>
      </w:tabs>
      <w:snapToGrid w:val="0"/>
      <w:jc w:val="left"/>
    </w:pPr>
    <w:rPr>
      <w:rFonts w:ascii="Calibri" w:hAnsi="Calibri"/>
      <w:sz w:val="18"/>
      <w:szCs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toc 1"/>
    <w:basedOn w:val="1"/>
    <w:next w:val="1"/>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eastAsia="隶书"/>
      <w:b/>
      <w:bCs/>
      <w:sz w:val="32"/>
      <w:szCs w:val="32"/>
    </w:rPr>
  </w:style>
  <w:style w:type="paragraph" w:styleId="22">
    <w:name w:val="annotation subject"/>
    <w:basedOn w:val="10"/>
    <w:next w:val="10"/>
    <w:link w:val="37"/>
    <w:qFormat/>
    <w:uiPriority w:val="99"/>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FollowedHyperlink"/>
    <w:qFormat/>
    <w:uiPriority w:val="99"/>
    <w:rPr>
      <w:color w:val="954F72"/>
      <w:u w:val="single"/>
    </w:rPr>
  </w:style>
  <w:style w:type="character" w:styleId="28">
    <w:name w:val="Hyperlink"/>
    <w:qFormat/>
    <w:uiPriority w:val="0"/>
    <w:rPr>
      <w:color w:val="0000FF"/>
      <w:u w:val="none"/>
    </w:rPr>
  </w:style>
  <w:style w:type="character" w:styleId="29">
    <w:name w:val="annotation reference"/>
    <w:qFormat/>
    <w:uiPriority w:val="0"/>
    <w:rPr>
      <w:sz w:val="21"/>
      <w:szCs w:val="21"/>
    </w:rPr>
  </w:style>
  <w:style w:type="character" w:customStyle="1" w:styleId="30">
    <w:name w:val="标题 5 字符"/>
    <w:link w:val="8"/>
    <w:qFormat/>
    <w:uiPriority w:val="9"/>
    <w:rPr>
      <w:b/>
      <w:bCs/>
      <w:kern w:val="2"/>
      <w:sz w:val="28"/>
      <w:szCs w:val="28"/>
    </w:rPr>
  </w:style>
  <w:style w:type="character" w:customStyle="1" w:styleId="31">
    <w:name w:val="批注文字 字符"/>
    <w:link w:val="10"/>
    <w:qFormat/>
    <w:uiPriority w:val="0"/>
    <w:rPr>
      <w:rFonts w:ascii="Times New Roman" w:hAnsi="Times New Roman" w:eastAsia="宋体" w:cs="Times New Roman"/>
      <w:szCs w:val="24"/>
    </w:rPr>
  </w:style>
  <w:style w:type="character" w:customStyle="1" w:styleId="32">
    <w:name w:val="正文文本 字符"/>
    <w:link w:val="2"/>
    <w:qFormat/>
    <w:uiPriority w:val="0"/>
    <w:rPr>
      <w:rFonts w:ascii="Times New Roman" w:hAnsi="Times New Roman" w:eastAsia="宋体"/>
      <w:kern w:val="2"/>
      <w:sz w:val="24"/>
      <w:szCs w:val="24"/>
    </w:rPr>
  </w:style>
  <w:style w:type="character" w:customStyle="1" w:styleId="33">
    <w:name w:val="纯文本 字符1"/>
    <w:link w:val="12"/>
    <w:qFormat/>
    <w:uiPriority w:val="0"/>
    <w:rPr>
      <w:rFonts w:ascii="宋体" w:hAnsi="Courier New"/>
      <w:kern w:val="2"/>
      <w:sz w:val="21"/>
      <w:szCs w:val="24"/>
    </w:rPr>
  </w:style>
  <w:style w:type="character" w:customStyle="1" w:styleId="34">
    <w:name w:val="批注框文本 字符"/>
    <w:link w:val="14"/>
    <w:qFormat/>
    <w:uiPriority w:val="99"/>
    <w:rPr>
      <w:rFonts w:ascii="Times New Roman" w:hAnsi="Times New Roman" w:eastAsia="宋体" w:cs="Times New Roman"/>
      <w:sz w:val="18"/>
      <w:szCs w:val="18"/>
    </w:rPr>
  </w:style>
  <w:style w:type="character" w:customStyle="1" w:styleId="35">
    <w:name w:val="页脚 字符1"/>
    <w:link w:val="15"/>
    <w:qFormat/>
    <w:uiPriority w:val="99"/>
    <w:rPr>
      <w:sz w:val="18"/>
      <w:szCs w:val="18"/>
    </w:rPr>
  </w:style>
  <w:style w:type="character" w:customStyle="1" w:styleId="36">
    <w:name w:val="页眉 字符"/>
    <w:link w:val="16"/>
    <w:qFormat/>
    <w:uiPriority w:val="99"/>
    <w:rPr>
      <w:sz w:val="18"/>
      <w:szCs w:val="18"/>
    </w:rPr>
  </w:style>
  <w:style w:type="character" w:customStyle="1" w:styleId="37">
    <w:name w:val="批注主题 字符"/>
    <w:link w:val="22"/>
    <w:qFormat/>
    <w:uiPriority w:val="99"/>
    <w:rPr>
      <w:rFonts w:ascii="Times New Roman" w:hAnsi="Times New Roman" w:eastAsia="宋体" w:cs="Times New Roman"/>
      <w:b/>
      <w:bCs/>
      <w:szCs w:val="24"/>
    </w:rPr>
  </w:style>
  <w:style w:type="paragraph" w:customStyle="1" w:styleId="38">
    <w:name w:val="Char"/>
    <w:basedOn w:val="1"/>
    <w:qFormat/>
    <w:uiPriority w:val="0"/>
    <w:pPr>
      <w:widowControl/>
      <w:spacing w:after="160" w:line="240" w:lineRule="exact"/>
      <w:jc w:val="left"/>
    </w:pPr>
  </w:style>
  <w:style w:type="character" w:customStyle="1" w:styleId="39">
    <w:name w:val="qowt-font5-gb2312"/>
    <w:qFormat/>
    <w:uiPriority w:val="0"/>
  </w:style>
  <w:style w:type="character" w:customStyle="1" w:styleId="40">
    <w:name w:val="标题1"/>
    <w:qFormat/>
    <w:uiPriority w:val="0"/>
  </w:style>
  <w:style w:type="character" w:customStyle="1" w:styleId="41">
    <w:name w:val="页脚 字符"/>
    <w:qFormat/>
    <w:uiPriority w:val="99"/>
    <w:rPr>
      <w:rFonts w:ascii="Calibri" w:hAnsi="Calibri"/>
      <w:kern w:val="2"/>
      <w:sz w:val="18"/>
      <w:szCs w:val="18"/>
    </w:rPr>
  </w:style>
  <w:style w:type="character" w:customStyle="1" w:styleId="42">
    <w:name w:val="纯文本 字符"/>
    <w:qFormat/>
    <w:uiPriority w:val="99"/>
    <w:rPr>
      <w:rFonts w:ascii="宋体" w:hAnsi="Courier New" w:cs="Courier New"/>
      <w:kern w:val="2"/>
      <w:sz w:val="21"/>
      <w:szCs w:val="21"/>
    </w:rPr>
  </w:style>
  <w:style w:type="character" w:customStyle="1" w:styleId="43">
    <w:name w:val="Hyperlink.0"/>
    <w:qFormat/>
    <w:uiPriority w:val="0"/>
    <w:rPr>
      <w:rFonts w:ascii="宋体" w:hAnsi="宋体" w:eastAsia="宋体" w:cs="宋体"/>
      <w:lang w:val="en-US" w:eastAsia="zh-TW"/>
    </w:rPr>
  </w:style>
  <w:style w:type="character" w:customStyle="1" w:styleId="44">
    <w:name w:val="批注文字 字符1"/>
    <w:qFormat/>
    <w:uiPriority w:val="0"/>
    <w:rPr>
      <w:rFonts w:ascii="Times New Roman" w:hAnsi="Times New Roman" w:eastAsia="宋体" w:cs="Times New Roman"/>
      <w:szCs w:val="24"/>
    </w:rPr>
  </w:style>
  <w:style w:type="paragraph" w:customStyle="1" w:styleId="45">
    <w:name w:val="修订1"/>
    <w:qFormat/>
    <w:uiPriority w:val="99"/>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7">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4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9">
    <w:name w:val="Other|1"/>
    <w:basedOn w:val="1"/>
    <w:qFormat/>
    <w:uiPriority w:val="0"/>
    <w:pPr>
      <w:spacing w:line="300" w:lineRule="auto"/>
      <w:ind w:firstLine="400"/>
    </w:pPr>
    <w:rPr>
      <w:rFonts w:ascii="宋体" w:hAnsi="宋体" w:cs="宋体"/>
      <w:lang w:val="zh-TW" w:eastAsia="zh-TW" w:bidi="zh-TW"/>
    </w:rPr>
  </w:style>
  <w:style w:type="paragraph" w:customStyle="1" w:styleId="50">
    <w:name w:val="正文格式"/>
    <w:basedOn w:val="11"/>
    <w:qFormat/>
    <w:uiPriority w:val="99"/>
    <w:pPr>
      <w:spacing w:after="0" w:line="360" w:lineRule="auto"/>
      <w:ind w:left="0" w:leftChars="0" w:firstLine="600"/>
    </w:pPr>
    <w:rPr>
      <w:rFonts w:eastAsia="仿宋_GB2312"/>
      <w:sz w:val="30"/>
      <w:szCs w:val="30"/>
    </w:rPr>
  </w:style>
  <w:style w:type="paragraph" w:customStyle="1" w:styleId="51">
    <w:name w:val="msolistparagraph"/>
    <w:basedOn w:val="1"/>
    <w:qFormat/>
    <w:uiPriority w:val="0"/>
    <w:pPr>
      <w:ind w:firstLine="420" w:firstLineChars="200"/>
    </w:pPr>
  </w:style>
  <w:style w:type="paragraph" w:styleId="52">
    <w:name w:val="List Paragraph"/>
    <w:basedOn w:val="1"/>
    <w:qFormat/>
    <w:uiPriority w:val="34"/>
    <w:pPr>
      <w:ind w:firstLine="420" w:firstLineChars="200"/>
    </w:pPr>
  </w:style>
  <w:style w:type="paragraph" w:customStyle="1" w:styleId="5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6">
    <w:name w:val="Table Paragraph"/>
    <w:basedOn w:val="1"/>
    <w:qFormat/>
    <w:uiPriority w:val="0"/>
    <w:pPr>
      <w:autoSpaceDE w:val="0"/>
      <w:autoSpaceDN w:val="0"/>
      <w:jc w:val="left"/>
    </w:pPr>
    <w:rPr>
      <w:rFonts w:ascii="宋体" w:hAnsi="宋体" w:cs="宋体"/>
      <w:kern w:val="0"/>
      <w:sz w:val="22"/>
      <w:szCs w:val="22"/>
    </w:rPr>
  </w:style>
  <w:style w:type="paragraph" w:customStyle="1" w:styleId="57">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中等深浅网格 2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76</Pages>
  <Words>6682</Words>
  <Characters>38090</Characters>
  <Lines>317</Lines>
  <Paragraphs>89</Paragraphs>
  <TotalTime>2</TotalTime>
  <ScaleCrop>false</ScaleCrop>
  <LinksUpToDate>false</LinksUpToDate>
  <CharactersWithSpaces>44683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2024-07-01T13:36:00Z</dcterms:created>
  <dc:creator>Զб-13728851925</dc:creator>
  <cp:lastModifiedBy>陈可欣</cp:lastModifiedBy>
  <cp:lastPrinted>2023-06-22T17:11:00Z</cp:lastPrinted>
  <dcterms:modified xsi:type="dcterms:W3CDTF">2024-07-03T01:40:28Z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E0DE1D2B5CA7444CA2FB3AE57C1B6A1C_13</vt:lpwstr>
  </property>
  <property fmtid="{D5CDD505-2E9C-101B-9397-08002B2CF9AE}" pid="4" name="commondata">
    <vt:lpwstr>eyJoZGlkIjoiYmMxMDc3MzEwOWIzMjRmOWFjY2ZmMjJjMThlMGUwZWUifQ==</vt:lpwstr>
  </property>
</Properties>
</file>