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：</w:t>
      </w:r>
    </w:p>
    <w:tbl>
      <w:tblPr>
        <w:tblStyle w:val="3"/>
        <w:tblW w:w="86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750"/>
        <w:gridCol w:w="6015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2024年第一批次人才住房期满七年续租企业名单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续签套数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创金合信基金管理有限公司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恒生前海基金管理有限公司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前海开源基金管理有限公司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前海再保险股份有限公司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深圳前海微众银行股份有限公司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深圳顺丰泰森控股（集团）有限公司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深圳天祥质量技术服务有限公司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友联船厂（蛇口）有限公司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玉山银行（中国）有限公司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招联消费金融股份有限公司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中广核国际融资租赁有限公司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中证信用增进股份有限公司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众惠财产相互保险社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华润融资租赁有限公司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南方资本管理有限公司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创维集团财务有限公司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华润元大基金管理有限公司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前海金融控股有限公司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山钢金控融资租赁（深圳）有限公司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深圳市诚正科技小额贷款有限公司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深圳市联银小额贷款有限公司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深圳市中小微企业融资再担保有限公司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顺诚融资租赁（深圳）有限公司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顺丰恒通支付有限公司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招商财富资产管理有限公司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中广核保险经纪有限责任公司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中国工商银行股份有限公司前海分行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中国农业银行股份有限公司前海分行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中航期货有限公司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中信银行股份有限公司深圳前海分行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紫元元（深圳）国际融资租赁有限公司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深圳妈港仓码有限公司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深圳科捷物流有限公司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深圳联合国际船舶代理有限公司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深圳市东方嘉盛供应链股份有限公司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深圳市南油（集团）有限公司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深圳市顺丰供应链有限公司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深圳市深国际西部物流有限公司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深圳市外代报关有限公司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深圳市中芯供应链有限公司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深圳越海全球供应链股份有限公司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中国深圳外轮代理有限公司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IV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金蝶蝶金云计算有限公司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IV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金蝶汽车网络科技有限公司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IV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深圳市前海服务集团有限公司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IV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深圳市前海智慧园区有限公司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IV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前海科技创新集团有限公司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IV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云盛海宏信息技术（深圳）有限公司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IV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招商局重工（深圳）有限公司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IV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深圳大数信科技术有限公司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深圳联想海外控股有限公司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深圳市腾讯信息技术有限公司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港交所科技（深圳）有限公司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深圳前海百递网络有限公司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深圳前海联合交易中心有限公司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深圳日月星光传媒有限公司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深圳市大疆软件科技有限公司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深圳市国信互联科技有限公司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深圳市前海数据服务有限公司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广东省深圳市前海公证处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广东星辰（前海）律师事务所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深圳市前海建设投资控股集团有限公司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深圳市前海商务秘书有限公司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港交所（深圳）控股有限公司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华融前海财富管理股份有限公司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bidi w:val="0"/>
        <w:rPr>
          <w:rFonts w:hint="eastAsia"/>
          <w:color w:val="auto"/>
        </w:rPr>
      </w:pPr>
    </w:p>
    <w:p>
      <w:pPr>
        <w:bidi w:val="0"/>
        <w:rPr>
          <w:rFonts w:hint="eastAsia"/>
          <w:color w:val="auto"/>
        </w:rPr>
      </w:pPr>
    </w:p>
    <w:p>
      <w:pPr>
        <w:bidi w:val="0"/>
        <w:rPr>
          <w:rFonts w:hint="eastAsia"/>
          <w:color w:val="auto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ZDIzNzhhYTlmMzg0NjJmNmU4NzI5MGNmYmM5NGYifQ=="/>
  </w:docVars>
  <w:rsids>
    <w:rsidRoot w:val="22287C89"/>
    <w:rsid w:val="2228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2024-05-27T13:38:00Z</dcterms:created>
  <dc:creator>WPS_1564277195</dc:creator>
  <cp:lastModifiedBy>WPS_1564277195</cp:lastModifiedBy>
  <dcterms:modified xsi:type="dcterms:W3CDTF">2024-05-27T13:38:20Z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DA34A75BA7E646ADBA849BEA324C168B_11</vt:lpwstr>
  </property>
</Properties>
</file>