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72"/>
          <w:szCs w:val="7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招标编号：QH2024029</w:t>
      </w: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招标项目：2024年多语种翻译服务项目</w:t>
      </w:r>
    </w:p>
    <w:p>
      <w:pPr>
        <w:ind w:firstLine="3264" w:firstLineChars="739"/>
        <w:rPr>
          <w:rFonts w:ascii="宋体" w:hAnsi="宋体" w:cs="宋体"/>
          <w:b/>
          <w:color w:val="000000" w:themeColor="text1"/>
          <w:sz w:val="44"/>
          <w14:textFill>
            <w14:solidFill>
              <w14:schemeClr w14:val="tx1"/>
            </w14:solidFill>
          </w14:textFill>
        </w:rPr>
      </w:pPr>
    </w:p>
    <w:p>
      <w:pPr>
        <w:ind w:left="1260" w:leftChars="600" w:firstLine="1855" w:firstLineChars="420"/>
        <w:rPr>
          <w:rFonts w:ascii="宋体" w:hAnsi="宋体" w:cs="宋体"/>
          <w:b/>
          <w:color w:val="000000" w:themeColor="text1"/>
          <w:sz w:val="44"/>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2024年</w:t>
      </w:r>
      <w:r>
        <w:rPr>
          <w:rFonts w:ascii="宋体" w:hAnsi="宋体" w:cs="宋体"/>
          <w:b/>
          <w:bCs/>
          <w:color w:val="000000" w:themeColor="text1"/>
          <w:sz w:val="36"/>
          <w:szCs w:val="36"/>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2"/>
        <w:rPr>
          <w:color w:val="000000" w:themeColor="text1"/>
          <w14:textFill>
            <w14:solidFill>
              <w14:schemeClr w14:val="tx1"/>
            </w14:solidFill>
          </w14:textFill>
        </w:rPr>
      </w:pP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0"/>
        <w:tabs>
          <w:tab w:val="right" w:leader="dot" w:pos="8306"/>
        </w:tabs>
        <w:spacing w:line="480" w:lineRule="auto"/>
        <w:rPr>
          <w:b/>
          <w:bCs/>
          <w:color w:val="000000" w:themeColor="text1"/>
          <w:sz w:val="24"/>
          <w:szCs w:val="32"/>
          <w14:textFill>
            <w14:solidFill>
              <w14:schemeClr w14:val="tx1"/>
            </w14:solidFill>
          </w14:textFill>
        </w:rPr>
      </w:pP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fldChar w:fldCharType="begin"/>
      </w:r>
      <w:r>
        <w:instrText xml:space="preserve"> HYPERLINK \l "_Toc17273" </w:instrText>
      </w:r>
      <w: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"_Toc10214" </w:instrText>
      </w:r>
      <w: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"_Toc20176" </w:instrText>
      </w:r>
      <w: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"_Toc3567" </w:instrText>
      </w:r>
      <w: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"_Toc25518" </w:instrText>
      </w:r>
      <w: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"_Toc23822" </w:instrText>
      </w:r>
      <w: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"_Toc9548" </w:instrText>
      </w:r>
      <w: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0"/>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"_Toc742" </w:instrText>
      </w:r>
      <w: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0"/>
        <w:tabs>
          <w:tab w:val="right" w:leader="dot" w:pos="8306"/>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招标公告</w:t>
      </w:r>
      <w:bookmarkEnd w:id="2"/>
    </w:p>
    <w:p>
      <w:pPr>
        <w:spacing w:line="360" w:lineRule="auto"/>
        <w:ind w:firstLine="480" w:firstLineChars="200"/>
        <w:jc w:val="right"/>
        <w:rPr>
          <w:rFonts w:ascii="宋体" w:hAnsi="宋体" w:cs="宋体"/>
          <w:color w:val="000000" w:themeColor="text1"/>
          <w:sz w:val="24"/>
          <w:highlight w:val="yellow"/>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深圳交易咨询集团有限公司（以下简称采购代理机构）受深圳市前海深港现代服务业合作区管理局委托就“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2024年多语种翻译服务采购项目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QH2024029</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2024年多语种翻译服务项目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sz w:val="24"/>
              </w:rPr>
              <w:t>为配合前海高水平对外开放，为前海面向世界开展双招双引和国际化招商推介提供便利，满足前海日益增长的多语种翻译需求，拟开展2024年多语种翻译服务采购工作。具体详见用户需求书。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（支付上限）</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¥360,000.00（人民币叁拾陆万元整）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2024年</w:t>
            </w:r>
            <w:r>
              <w:rPr>
                <w:rFonts w:ascii="宋体" w:hAnsi="宋体" w:cs="宋体"/>
                <w:b/>
                <w:bCs/>
                <w:color w:val="000000" w:themeColor="text1"/>
                <w:kern w:val="0"/>
                <w:sz w:val="24"/>
                <w14:textFill>
                  <w14:solidFill>
                    <w14:schemeClr w14:val="tx1"/>
                  </w14:solidFill>
                </w14:textFill>
              </w:rPr>
              <w:t>5</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31</w:t>
            </w:r>
            <w:r>
              <w:rPr>
                <w:rFonts w:hint="eastAsia" w:ascii="宋体" w:hAnsi="宋体" w:cs="宋体"/>
                <w:b/>
                <w:bCs/>
                <w:color w:val="000000" w:themeColor="text1"/>
                <w:kern w:val="0"/>
                <w:sz w:val="24"/>
                <w14:textFill>
                  <w14:solidFill>
                    <w14:schemeClr w14:val="tx1"/>
                  </w14:solidFill>
                </w14:textFill>
              </w:rPr>
              <w:t>日上午1</w:t>
            </w:r>
            <w:r>
              <w:rPr>
                <w:rFonts w:ascii="宋体" w:hAnsi="宋体" w:cs="宋体"/>
                <w:b/>
                <w:bCs/>
                <w:color w:val="000000" w:themeColor="text1"/>
                <w:kern w:val="0"/>
                <w:sz w:val="24"/>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：0</w:t>
            </w:r>
            <w:r>
              <w:rPr>
                <w:rFonts w:ascii="宋体" w:hAnsi="宋体" w:cs="宋体"/>
                <w:b/>
                <w:bCs/>
                <w:color w:val="000000" w:themeColor="text1"/>
                <w:kern w:val="0"/>
                <w:sz w:val="24"/>
                <w14:textFill>
                  <w14:solidFill>
                    <w14:schemeClr w14:val="tx1"/>
                  </w14:solidFill>
                </w14:textFill>
              </w:rPr>
              <w:t>0</w:t>
            </w:r>
            <w:r>
              <w:rPr>
                <w:rFonts w:hint="eastAsia" w:ascii="宋体" w:hAnsi="宋体" w:cs="宋体"/>
                <w:b/>
                <w:bCs/>
                <w:color w:val="000000" w:themeColor="text1"/>
                <w:kern w:val="0"/>
                <w:sz w:val="24"/>
                <w14:textFill>
                  <w14:solidFill>
                    <w14:schemeClr w14:val="tx1"/>
                  </w14:solidFill>
                </w14:textFill>
              </w:rPr>
              <w:t>时（北京时间）</w:t>
            </w:r>
            <w:r>
              <w:rPr>
                <w:rFonts w:hint="eastAsia" w:ascii="宋体" w:hAnsi="宋体" w:cs="宋体"/>
                <w:color w:val="000000" w:themeColor="text1"/>
                <w:kern w:val="0"/>
                <w:sz w:val="24"/>
                <w14:textFill>
                  <w14:solidFill>
                    <w14:schemeClr w14:val="tx1"/>
                  </w14:solidFill>
                </w14:textFill>
              </w:rPr>
              <w:t>前送达（现场递交或邮寄）至  深圳市南山区前海深港合作区桂湾五路123号前海管理局前海大厦T1栋</w:t>
            </w:r>
            <w:r>
              <w:rPr>
                <w:rFonts w:ascii="宋体" w:hAnsi="宋体" w:cs="宋体"/>
                <w:color w:val="000000" w:themeColor="text1"/>
                <w:kern w:val="0"/>
                <w:sz w:val="24"/>
                <w14:textFill>
                  <w14:solidFill>
                    <w14:schemeClr w14:val="tx1"/>
                  </w14:solidFill>
                </w14:textFill>
              </w:rPr>
              <w:t>2312</w:t>
            </w:r>
            <w:r>
              <w:rPr>
                <w:rFonts w:hint="eastAsia" w:ascii="宋体" w:hAnsi="宋体" w:cs="宋体"/>
                <w:color w:val="000000" w:themeColor="text1"/>
                <w:kern w:val="0"/>
                <w:sz w:val="24"/>
                <w14:textFill>
                  <w14:solidFill>
                    <w14:schemeClr w14:val="tx1"/>
                  </w14:solidFill>
                </w14:textFill>
              </w:rPr>
              <w:t>室</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人：黄女士</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w:t>
            </w:r>
            <w:r>
              <w:rPr>
                <w:rFonts w:hint="eastAsia" w:ascii="宋体" w:hAnsi="宋体" w:cs="宋体"/>
                <w:color w:val="000000"/>
                <w:kern w:val="0"/>
                <w:sz w:val="24"/>
              </w:rPr>
              <w:t>88105319</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本次投标单价合计金额</w:t>
            </w:r>
            <w:r>
              <w:rPr>
                <w:rFonts w:hint="eastAsia"/>
                <w:sz w:val="24"/>
                <w:szCs w:val="32"/>
              </w:rPr>
              <w:t>(笔译级别+口译级别)</w:t>
            </w:r>
            <w:r>
              <w:rPr>
                <w:rFonts w:hint="eastAsia" w:ascii="宋体" w:hAnsi="宋体" w:cs="宋体"/>
                <w:color w:val="000000" w:themeColor="text1"/>
                <w:sz w:val="24"/>
                <w14:textFill>
                  <w14:solidFill>
                    <w14:schemeClr w14:val="tx1"/>
                  </w14:solidFill>
                </w14:textFill>
              </w:rPr>
              <w:t>作为价格评分依据，投标人需按采购人列出的清单填报相应单价，实际结算单价等于所投标单价。投标单价不得超过相应限价，如投标单价超过相应限价，则视同无效报价。本项目服务费按合同期内实际翻译的数量结算,费用结算按照服务项目单价乘以数量结算。</w:t>
            </w:r>
            <w:r>
              <w:rPr>
                <w:rFonts w:hint="eastAsia" w:ascii="宋体" w:hAnsi="宋体" w:cs="宋体"/>
                <w:color w:val="000000"/>
                <w:sz w:val="24"/>
              </w:rPr>
              <w:t>项目预算控制及合同总金额(支付上限)36万元</w:t>
            </w:r>
            <w:r>
              <w:rPr>
                <w:rFonts w:hint="eastAsia" w:ascii="宋体" w:hAnsi="宋体" w:cs="宋体"/>
                <w:color w:val="000000" w:themeColor="text1"/>
                <w:sz w:val="24"/>
                <w14:textFill>
                  <w14:solidFill>
                    <w14:schemeClr w14:val="tx1"/>
                  </w14:solidFill>
                </w14:textFill>
              </w:rPr>
              <w:t>。投标人的投标报价为完成项目及招标文件或合同条款所规定的工作内容的各项费用，项目服务费包括但不限于口译服务费用、设备费用、投标人工作人员成本、中标服务费、资料费、通讯费、交通费、税金、后续服务、利润等所有费用，并提供合同要求的成果文件，以及其它相关服务的全部费用。</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人：黄女士</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w:t>
            </w:r>
            <w:r>
              <w:rPr>
                <w:rFonts w:hint="eastAsia" w:ascii="宋体" w:hAnsi="宋体" w:cs="宋体"/>
                <w:color w:val="000000"/>
                <w:kern w:val="0"/>
                <w:sz w:val="24"/>
              </w:rPr>
              <w:t>88105319</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深圳交易咨询集团有限公司</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址：深圳市南山区沙河西路 3157 号南山智谷产业园 A 座21楼</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人：曹茜、黎子帅</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电      话： </w:t>
            </w:r>
            <w:r>
              <w:rPr>
                <w:rFonts w:ascii="宋体" w:hAnsi="宋体" w:cs="宋体"/>
                <w:color w:val="000000" w:themeColor="text1"/>
                <w:kern w:val="0"/>
                <w:sz w:val="24"/>
                <w14:textFill>
                  <w14:solidFill>
                    <w14:schemeClr w14:val="tx1"/>
                  </w14:solidFill>
                </w14:textFill>
              </w:rPr>
              <w:t>18599127733、</w:t>
            </w:r>
            <w:r>
              <w:rPr>
                <w:rFonts w:hint="eastAsia" w:ascii="宋体" w:hAnsi="宋体" w:cs="宋体"/>
                <w:color w:val="000000" w:themeColor="text1"/>
                <w:kern w:val="0"/>
                <w:sz w:val="24"/>
                <w14:textFill>
                  <w14:solidFill>
                    <w14:schemeClr w14:val="tx1"/>
                  </w14:solidFill>
                </w14:textFill>
              </w:rPr>
              <w:t>18598091126</w:t>
            </w:r>
          </w:p>
        </w:tc>
      </w:tr>
    </w:tbl>
    <w:p>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深圳交易咨询集团有限公司</w:t>
      </w:r>
    </w:p>
    <w:p>
      <w:pPr>
        <w:adjustRightInd w:val="0"/>
        <w:snapToGrid w:val="0"/>
        <w:spacing w:line="360" w:lineRule="auto"/>
        <w:ind w:firstLine="480" w:firstLineChars="200"/>
        <w:jc w:val="righ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2024年</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1、本项目是深圳市前海深港现代服务业合作区管理局的2024年多语种翻译服务采购项目。</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政府采购条例》的有关规定，深圳交易咨询集团有限公司受深圳市前海深港现代服务业合作区管理局委托组织采购。</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23"/>
        <w:snapToGrid w:val="0"/>
        <w:spacing w:line="360" w:lineRule="auto"/>
        <w:ind w:firstLine="48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w:t>
      </w:r>
      <w:r>
        <w:rPr>
          <w:rFonts w:hint="eastAsia" w:ascii="宋体" w:hAnsi="宋体" w:cs="宋体"/>
          <w:sz w:val="24"/>
        </w:rPr>
        <w:t>参与投标且符合招标文件要求的供应商仅有一家，</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开户名称：深圳交易咨询集团有限公司</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r>
        <w:rPr>
          <w:rFonts w:hint="eastAsia" w:ascii="宋体" w:hAnsi="宋体" w:cs="宋体"/>
          <w:color w:val="000000" w:themeColor="text1"/>
          <w:sz w:val="24"/>
          <w:lang w:val="en-US" w:eastAsia="zh-CN"/>
          <w14:textFill>
            <w14:solidFill>
              <w14:schemeClr w14:val="tx1"/>
            </w14:solidFill>
          </w14:textFill>
        </w:rPr>
        <w:t>账号</w:t>
      </w:r>
      <w:bookmarkStart w:id="29" w:name="_GoBack"/>
      <w:bookmarkEnd w:id="29"/>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11002982389701</w:t>
      </w:r>
    </w:p>
    <w:p>
      <w:pPr>
        <w:spacing w:line="360" w:lineRule="auto"/>
        <w:rPr>
          <w:rFonts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开户银行：平安银行深圳江苏大厦支行</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三、会议主持人：深圳交易咨询集团有限公司工作人员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四、开标时间：2024年</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31</w:t>
      </w:r>
      <w:r>
        <w:rPr>
          <w:rFonts w:hint="eastAsia" w:ascii="宋体" w:hAnsi="宋体" w:cs="宋体"/>
          <w:color w:val="000000" w:themeColor="text1"/>
          <w:sz w:val="24"/>
          <w14:textFill>
            <w14:solidFill>
              <w14:schemeClr w14:val="tx1"/>
            </w14:solidFill>
          </w14:textFill>
        </w:rPr>
        <w:t>日下午14:30时（北京时间）。</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五、会议开始：2024年5月</w:t>
      </w:r>
      <w:r>
        <w:rPr>
          <w:rFonts w:hint="eastAsia" w:ascii="宋体" w:hAnsi="宋体" w:cs="宋体"/>
          <w:color w:val="000000" w:themeColor="text1"/>
          <w:sz w:val="24"/>
          <w:lang w:val="en-US" w:eastAsia="zh-CN"/>
          <w14:textFill>
            <w14:solidFill>
              <w14:schemeClr w14:val="tx1"/>
            </w14:solidFill>
          </w14:textFill>
        </w:rPr>
        <w:t>31</w:t>
      </w:r>
      <w:r>
        <w:rPr>
          <w:rFonts w:hint="eastAsia" w:ascii="宋体" w:hAnsi="宋体" w:cs="宋体"/>
          <w:color w:val="000000" w:themeColor="text1"/>
          <w:sz w:val="24"/>
          <w14:textFill>
            <w14:solidFill>
              <w14:schemeClr w14:val="tx1"/>
            </w14:solidFill>
          </w14:textFill>
        </w:rPr>
        <w:t>日下午14:30时（北京时间）由会议主持人宣布定标会议开始。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w:t>
      </w:r>
      <w:r>
        <w:rPr>
          <w:rFonts w:hint="eastAsia" w:ascii="宋体" w:hAnsi="宋体" w:cs="宋体"/>
          <w:sz w:val="24"/>
        </w:rPr>
        <w:t>参与投标且符合招标文件要求的供应商仅有一家，</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ascii="宋体" w:hAnsi="宋体" w:cs="宋体"/>
          <w:color w:val="000000" w:themeColor="text1"/>
          <w:sz w:val="24"/>
          <w14:textFill>
            <w14:solidFill>
              <w14:schemeClr w14:val="tx1"/>
            </w14:solidFill>
          </w14:textFill>
        </w:rPr>
      </w:pPr>
      <w:bookmarkStart w:id="6" w:name="_Toc73518163"/>
      <w:bookmarkStart w:id="7" w:name="_Toc84303603"/>
      <w:bookmarkStart w:id="8" w:name="_Toc100052414"/>
      <w:bookmarkStart w:id="9" w:name="_Toc73521680"/>
      <w:bookmarkStart w:id="10" w:name="_Toc73521592"/>
      <w:bookmarkStart w:id="11" w:name="_Toc73517685"/>
      <w:bookmarkStart w:id="12" w:name="_Toc101074886"/>
    </w:p>
    <w:bookmarkEnd w:id="6"/>
    <w:bookmarkEnd w:id="7"/>
    <w:bookmarkEnd w:id="8"/>
    <w:bookmarkEnd w:id="9"/>
    <w:bookmarkEnd w:id="10"/>
    <w:bookmarkEnd w:id="11"/>
    <w:bookmarkEnd w:id="12"/>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p>
    <w:p>
      <w:pPr>
        <w:pStyle w:val="23"/>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3"/>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2024年多语种翻译服务项目</w:t>
      </w:r>
    </w:p>
    <w:p>
      <w:pPr>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3"/>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3"/>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2024年多语种翻译服务项目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二〇二四年  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QH2024029】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2024年多语种翻译服务项目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第一条 项目内容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val="zh-CN"/>
        </w:rPr>
        <w:t>2024年多语种翻译服务采购项目</w:t>
      </w:r>
    </w:p>
    <w:p>
      <w:pPr>
        <w:spacing w:line="360" w:lineRule="auto"/>
        <w:ind w:firstLine="482" w:firstLineChars="200"/>
        <w:rPr>
          <w:rFonts w:ascii="宋体" w:hAnsi="宋体" w:cs="宋体"/>
          <w:b/>
          <w:bCs/>
          <w:sz w:val="24"/>
        </w:rPr>
      </w:pPr>
      <w:r>
        <w:rPr>
          <w:rFonts w:hint="eastAsia" w:ascii="宋体" w:hAnsi="宋体" w:cs="宋体"/>
          <w:b/>
          <w:bCs/>
          <w:sz w:val="24"/>
        </w:rPr>
        <w:t>1.项目内容</w:t>
      </w:r>
    </w:p>
    <w:p>
      <w:pPr>
        <w:spacing w:line="360" w:lineRule="auto"/>
        <w:ind w:firstLine="480" w:firstLineChars="200"/>
        <w:outlineLvl w:val="2"/>
        <w:rPr>
          <w:rFonts w:ascii="宋体" w:hAnsi="宋体" w:cs="宋体"/>
          <w:sz w:val="24"/>
          <w:lang w:val="zh-CN"/>
        </w:rPr>
      </w:pPr>
      <w:r>
        <w:rPr>
          <w:rFonts w:hint="eastAsia" w:ascii="宋体" w:hAnsi="宋体" w:cs="宋体"/>
          <w:sz w:val="24"/>
          <w:lang w:val="zh-CN"/>
        </w:rPr>
        <w:t>1.1 口译服务内容：</w:t>
      </w:r>
    </w:p>
    <w:p>
      <w:pPr>
        <w:spacing w:line="360" w:lineRule="auto"/>
        <w:ind w:firstLine="480" w:firstLineChars="200"/>
        <w:rPr>
          <w:rFonts w:ascii="宋体" w:hAnsi="宋体" w:cs="宋体"/>
          <w:sz w:val="24"/>
          <w:lang w:val="zh-CN"/>
        </w:rPr>
      </w:pPr>
      <w:r>
        <w:rPr>
          <w:rFonts w:hint="eastAsia" w:ascii="宋体" w:hAnsi="宋体" w:cs="宋体"/>
          <w:sz w:val="24"/>
          <w:lang w:val="zh-CN"/>
        </w:rPr>
        <w:t>1.1.1 乙方应按照甲方要求委派口译员，为甲方提供口译服务。如口译服务中需要同传设备，乙方应向甲方提供同传设备，并同时向甲方提供租赁设备之外的免费技术支持、维护等软性服务；乙方按照甲方要求，在会议开始前将设备送达指定地点，乙方负责调试安装，现场有专人全程陪同负责。</w:t>
      </w:r>
    </w:p>
    <w:p>
      <w:pPr>
        <w:spacing w:line="360" w:lineRule="auto"/>
        <w:ind w:firstLine="480" w:firstLineChars="200"/>
        <w:rPr>
          <w:rFonts w:ascii="宋体" w:hAnsi="宋体" w:cs="宋体"/>
          <w:sz w:val="24"/>
          <w:lang w:val="zh-CN"/>
        </w:rPr>
      </w:pPr>
      <w:r>
        <w:rPr>
          <w:rFonts w:hint="eastAsia" w:ascii="宋体" w:hAnsi="宋体" w:cs="宋体"/>
          <w:sz w:val="24"/>
          <w:lang w:val="zh-CN"/>
        </w:rPr>
        <w:t>1.1.2 口译服务人员需求：经过长期现场口译实践，有5年以上的大型会议口译经验。</w:t>
      </w:r>
    </w:p>
    <w:p>
      <w:pPr>
        <w:spacing w:line="360" w:lineRule="auto"/>
        <w:ind w:firstLine="480" w:firstLineChars="200"/>
        <w:rPr>
          <w:rFonts w:ascii="宋体" w:hAnsi="宋体" w:cs="宋体"/>
          <w:sz w:val="24"/>
          <w:lang w:val="zh-CN"/>
        </w:rPr>
      </w:pPr>
      <w:r>
        <w:rPr>
          <w:rFonts w:hint="eastAsia" w:ascii="宋体" w:hAnsi="宋体" w:cs="宋体"/>
          <w:sz w:val="24"/>
          <w:lang w:val="zh-CN"/>
        </w:rPr>
        <w:t>1.1.3 接收机（如有需要）的分发流程：</w:t>
      </w:r>
    </w:p>
    <w:p>
      <w:pPr>
        <w:spacing w:line="360" w:lineRule="auto"/>
        <w:ind w:firstLine="480" w:firstLineChars="200"/>
        <w:rPr>
          <w:rFonts w:ascii="宋体" w:hAnsi="宋体" w:cs="宋体"/>
          <w:sz w:val="24"/>
          <w:lang w:val="zh-CN"/>
        </w:rPr>
      </w:pPr>
      <w:r>
        <w:rPr>
          <w:rFonts w:hint="eastAsia" w:ascii="宋体" w:hAnsi="宋体" w:cs="宋体"/>
          <w:sz w:val="24"/>
          <w:lang w:val="zh-CN"/>
        </w:rPr>
        <w:t>a. 所有参会嘉宾必须凭本人有效身份证或护照在会议现场换取接收机的使用权，并于当场会议结束后及时归还接收机并取回相关证件。乙方负责指定专门人员进行接收机发放、咨询及回收，保证现场有序。甲方以其他特殊方式领取接收机的，甲方负责保管与追回或赔偿。如发生未归还，甲方有义务协助乙方积极追回接收机。</w:t>
      </w:r>
    </w:p>
    <w:p>
      <w:pPr>
        <w:spacing w:line="360" w:lineRule="auto"/>
        <w:ind w:firstLine="480" w:firstLineChars="200"/>
        <w:rPr>
          <w:rFonts w:ascii="宋体" w:hAnsi="宋体" w:cs="宋体"/>
          <w:sz w:val="24"/>
          <w:lang w:val="zh-CN"/>
        </w:rPr>
      </w:pPr>
      <w:r>
        <w:rPr>
          <w:rFonts w:hint="eastAsia" w:ascii="宋体" w:hAnsi="宋体" w:cs="宋体"/>
          <w:sz w:val="24"/>
          <w:lang w:val="zh-CN"/>
        </w:rPr>
        <w:t>b. 重要特殊嘉宾如无法用有效证件换取接收机的，请甲方在会议现场指定唯一甲方工作人员来领取并负责回收与保管。</w:t>
      </w:r>
    </w:p>
    <w:p>
      <w:pPr>
        <w:spacing w:line="360" w:lineRule="auto"/>
        <w:ind w:firstLine="480" w:firstLineChars="200"/>
        <w:rPr>
          <w:rFonts w:ascii="宋体" w:hAnsi="宋体" w:cs="宋体"/>
          <w:sz w:val="24"/>
          <w:lang w:val="zh-CN"/>
        </w:rPr>
      </w:pPr>
      <w:r>
        <w:rPr>
          <w:rFonts w:hint="eastAsia" w:ascii="宋体" w:hAnsi="宋体" w:cs="宋体"/>
          <w:sz w:val="24"/>
          <w:lang w:val="zh-CN"/>
        </w:rPr>
        <w:t>c. 乙方负责在会场显眼区域设置接收机领取处，张贴易拉宝等用于宣传接收机的使用说明。</w:t>
      </w:r>
    </w:p>
    <w:p>
      <w:pPr>
        <w:spacing w:line="360" w:lineRule="auto"/>
        <w:ind w:firstLine="480" w:firstLineChars="200"/>
        <w:outlineLvl w:val="2"/>
        <w:rPr>
          <w:rFonts w:ascii="宋体" w:hAnsi="宋体" w:cs="宋体"/>
          <w:kern w:val="0"/>
          <w:sz w:val="24"/>
        </w:rPr>
      </w:pPr>
      <w:r>
        <w:rPr>
          <w:rFonts w:hint="eastAsia" w:ascii="宋体" w:hAnsi="宋体" w:cs="宋体"/>
          <w:kern w:val="0"/>
          <w:sz w:val="24"/>
        </w:rPr>
        <w:t>1.2.笔译部分</w:t>
      </w:r>
    </w:p>
    <w:p>
      <w:pPr>
        <w:spacing w:line="360" w:lineRule="auto"/>
        <w:ind w:firstLine="480" w:firstLineChars="200"/>
        <w:rPr>
          <w:rFonts w:ascii="宋体" w:hAnsi="宋体" w:cs="宋体"/>
          <w:kern w:val="0"/>
          <w:sz w:val="24"/>
        </w:rPr>
      </w:pPr>
      <w:r>
        <w:rPr>
          <w:rFonts w:hint="eastAsia" w:ascii="宋体" w:hAnsi="宋体" w:cs="宋体"/>
          <w:kern w:val="0"/>
          <w:sz w:val="24"/>
        </w:rPr>
        <w:t>1.2.1.定义及释义</w:t>
      </w:r>
    </w:p>
    <w:p>
      <w:pPr>
        <w:spacing w:line="360" w:lineRule="auto"/>
        <w:ind w:firstLine="480" w:firstLineChars="200"/>
        <w:rPr>
          <w:rFonts w:ascii="宋体" w:hAnsi="宋体" w:cs="宋体"/>
          <w:kern w:val="0"/>
          <w:sz w:val="24"/>
        </w:rPr>
      </w:pPr>
      <w:r>
        <w:rPr>
          <w:rFonts w:hint="eastAsia" w:ascii="宋体" w:hAnsi="宋体" w:cs="宋体"/>
          <w:kern w:val="0"/>
          <w:sz w:val="24"/>
        </w:rPr>
        <w:t>原件：指甲方提供给乙方、要求乙方翻译的文件，其所采用的语言为源语言。</w:t>
      </w:r>
    </w:p>
    <w:p>
      <w:pPr>
        <w:spacing w:line="360" w:lineRule="auto"/>
        <w:ind w:firstLine="480" w:firstLineChars="200"/>
        <w:rPr>
          <w:rFonts w:ascii="宋体" w:hAnsi="宋体" w:cs="宋体"/>
          <w:kern w:val="0"/>
          <w:sz w:val="24"/>
        </w:rPr>
      </w:pPr>
      <w:r>
        <w:rPr>
          <w:rFonts w:hint="eastAsia" w:ascii="宋体" w:hAnsi="宋体" w:cs="宋体"/>
          <w:kern w:val="0"/>
          <w:sz w:val="24"/>
        </w:rPr>
        <w:t>译件：指乙方按要求在约定的时间、按约定的方式交付的翻译文件，其所采用的语言为目标语言。</w:t>
      </w:r>
    </w:p>
    <w:p>
      <w:pPr>
        <w:spacing w:line="360" w:lineRule="auto"/>
        <w:ind w:firstLine="480" w:firstLineChars="200"/>
        <w:rPr>
          <w:rFonts w:ascii="宋体" w:hAnsi="宋体" w:cs="宋体"/>
          <w:kern w:val="0"/>
          <w:sz w:val="24"/>
        </w:rPr>
      </w:pPr>
      <w:r>
        <w:rPr>
          <w:rFonts w:hint="eastAsia" w:ascii="宋体" w:hAnsi="宋体" w:cs="宋体"/>
          <w:kern w:val="0"/>
          <w:sz w:val="24"/>
        </w:rPr>
        <w:t>文本：指采用Microsoft® WORD 2010TM “工具”栏“字数统计”可以统计的内容，包括文本框、脚注、尾注等，其他格式可以转化成 Microsoft® WORD 2010TM统计。</w:t>
      </w:r>
    </w:p>
    <w:p>
      <w:pPr>
        <w:spacing w:line="360" w:lineRule="auto"/>
        <w:ind w:firstLine="480" w:firstLineChars="200"/>
        <w:rPr>
          <w:rFonts w:ascii="宋体" w:hAnsi="宋体" w:cs="宋体"/>
          <w:kern w:val="0"/>
          <w:sz w:val="24"/>
        </w:rPr>
      </w:pPr>
      <w:r>
        <w:rPr>
          <w:rFonts w:hint="eastAsia" w:ascii="宋体" w:hAnsi="宋体" w:cs="宋体"/>
          <w:kern w:val="0"/>
          <w:sz w:val="24"/>
        </w:rPr>
        <w:t>插图：指采用上述工具无法统计的内容，包括但不限于页眉页脚、图框、艺术字、图片等。</w:t>
      </w:r>
    </w:p>
    <w:p>
      <w:pPr>
        <w:spacing w:line="360" w:lineRule="auto"/>
        <w:ind w:firstLine="480" w:firstLineChars="200"/>
        <w:rPr>
          <w:rFonts w:ascii="宋体" w:hAnsi="宋体" w:cs="宋体"/>
          <w:kern w:val="0"/>
          <w:sz w:val="24"/>
        </w:rPr>
      </w:pPr>
      <w:r>
        <w:rPr>
          <w:rFonts w:hint="eastAsia" w:ascii="宋体" w:hAnsi="宋体" w:cs="宋体"/>
          <w:kern w:val="0"/>
          <w:sz w:val="24"/>
        </w:rPr>
        <w:t>图纸：指以Autodesk® AutoCADTM、Adobe® PhotoshopTM等图形制作工具绘制的文档。</w:t>
      </w:r>
    </w:p>
    <w:p>
      <w:pPr>
        <w:spacing w:line="360" w:lineRule="auto"/>
        <w:ind w:firstLine="480" w:firstLineChars="200"/>
        <w:rPr>
          <w:rFonts w:ascii="宋体" w:hAnsi="宋体" w:cs="宋体"/>
          <w:kern w:val="0"/>
          <w:sz w:val="24"/>
        </w:rPr>
      </w:pPr>
      <w:r>
        <w:rPr>
          <w:rFonts w:hint="eastAsia" w:ascii="宋体" w:hAnsi="宋体" w:cs="宋体"/>
          <w:kern w:val="0"/>
          <w:sz w:val="24"/>
        </w:rPr>
        <w:t>译文等级：指按照翻译所需技术专业性、语言要求、译件用途等不同要求而划分的等级。</w:t>
      </w:r>
    </w:p>
    <w:p>
      <w:pPr>
        <w:spacing w:line="360" w:lineRule="auto"/>
        <w:ind w:firstLine="480" w:firstLineChars="200"/>
        <w:rPr>
          <w:rFonts w:ascii="宋体" w:hAnsi="宋体" w:cs="宋体"/>
          <w:kern w:val="0"/>
          <w:sz w:val="24"/>
        </w:rPr>
      </w:pPr>
      <w:r>
        <w:rPr>
          <w:rFonts w:hint="eastAsia" w:ascii="宋体" w:hAnsi="宋体" w:cs="宋体"/>
          <w:kern w:val="0"/>
          <w:sz w:val="24"/>
        </w:rPr>
        <w:t>1.2.2.译文等级</w:t>
      </w:r>
    </w:p>
    <w:p>
      <w:pPr>
        <w:spacing w:line="360" w:lineRule="auto"/>
        <w:ind w:firstLine="480" w:firstLineChars="200"/>
        <w:rPr>
          <w:rFonts w:ascii="宋体" w:hAnsi="宋体" w:cs="宋体"/>
          <w:kern w:val="0"/>
          <w:sz w:val="24"/>
        </w:rPr>
      </w:pPr>
      <w:r>
        <w:rPr>
          <w:rFonts w:hint="eastAsia" w:ascii="宋体" w:hAnsi="宋体" w:cs="宋体"/>
          <w:kern w:val="0"/>
          <w:sz w:val="24"/>
        </w:rPr>
        <w:t>普通级：一般为内部参考用，语言与专业性要求不高。适用于普通信函、个人资料、出国资料等一般性稿件。</w:t>
      </w:r>
    </w:p>
    <w:p>
      <w:pPr>
        <w:spacing w:line="360" w:lineRule="auto"/>
        <w:ind w:firstLine="480" w:firstLineChars="200"/>
        <w:rPr>
          <w:rFonts w:ascii="宋体" w:hAnsi="宋体" w:cs="宋体"/>
          <w:kern w:val="0"/>
          <w:sz w:val="24"/>
        </w:rPr>
      </w:pPr>
      <w:r>
        <w:rPr>
          <w:rFonts w:hint="eastAsia" w:ascii="宋体" w:hAnsi="宋体" w:cs="宋体"/>
          <w:kern w:val="0"/>
          <w:sz w:val="24"/>
        </w:rPr>
        <w:t>专业级：由5年以上专业译员翻译，适用于法律合同、招投标书、技术安装手册等专业性较强的文件。</w:t>
      </w:r>
    </w:p>
    <w:p>
      <w:pPr>
        <w:spacing w:line="360" w:lineRule="auto"/>
        <w:ind w:firstLine="480" w:firstLineChars="200"/>
        <w:rPr>
          <w:rFonts w:ascii="宋体" w:hAnsi="宋体" w:cs="宋体"/>
          <w:sz w:val="24"/>
          <w:lang w:val="zh-CN"/>
        </w:rPr>
      </w:pPr>
      <w:r>
        <w:rPr>
          <w:rFonts w:hint="eastAsia" w:ascii="宋体" w:hAnsi="宋体" w:cs="宋体"/>
          <w:kern w:val="0"/>
          <w:sz w:val="24"/>
        </w:rPr>
        <w:t>资深级：由国内一流译员翻译，并由外籍专家或长期在国外居住的华人专家对稿件进行润色。译文用词精准，语句流畅，文辞优美，满足客户主体特定或出版需求，达到准母语水平。适用于公司宣传资料、国际论文发表、书籍出版翻译等重要文件。</w:t>
      </w:r>
    </w:p>
    <w:p>
      <w:pPr>
        <w:pStyle w:val="13"/>
        <w:spacing w:beforeAutospacing="0" w:afterAutospacing="0"/>
        <w:ind w:firstLine="480" w:firstLineChars="200"/>
        <w:outlineLvl w:val="2"/>
      </w:pPr>
      <w:r>
        <w:rPr>
          <w:rFonts w:hint="eastAsia"/>
        </w:rPr>
        <w:t>1.3.工作量及收费说明</w:t>
      </w:r>
    </w:p>
    <w:p>
      <w:pPr>
        <w:widowControl/>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.1 工作量：以中文版本计算笔译服务的工作量；文本以字符数（不计空格）计量，插图以个数计量，图纸以自然张计量或双方约定以图纸的实际字数加排版费的方式计算。</w:t>
      </w:r>
    </w:p>
    <w:p>
      <w:pPr>
        <w:widowControl/>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.2 统计方式：</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a. 统计时应当包含所有需要翻译的文字和需要编辑的图形，文本以Microsoft® Word 2010TM “工具栏-字数统计-字符数（不计空格）”包括文本框、脚注及尾注所显示的结果为准（以1000字起算，不足1000字按1000字统计）；</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b. 证件类稿件按份收费；</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c. 插图按个数统计；</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d. 图纸按一个自然张为一张统计，且图纸字数应不超过500字；图纸字数超过500字的，按字数+排版费计价；</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e. PPT格式按“文件-属性-统计-字数”× 1.8统计；</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f. 原件为中文，但无法采用上述方式统计，且目标语言为英语的，以译件的“字数”×2为准；目标语言为其他语种的，系数由双方协商。</w:t>
      </w:r>
    </w:p>
    <w:p>
      <w:pPr>
        <w:widowControl/>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.3 单价浮动：</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a. 以上项目若需安排母语翻译与/或审校，价格另议；</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b. A0及以上图纸，价格双方另行协商；</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c. 以上原件均应为可编辑电子文件，包括Microsoft® Word、EXCEL、PPT、PDF及Autodesk CAD文件，如原件为不可编辑电子文件或印刷件以及其他软件编辑的文件，译前排版与译后排版价格双方另行协商；</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d. 若遇上述</w:t>
      </w:r>
      <w:r>
        <w:rPr>
          <w:rFonts w:hint="eastAsia" w:ascii="宋体" w:hAnsi="宋体" w:cs="宋体"/>
          <w:sz w:val="24"/>
        </w:rPr>
        <w:t>a</w:t>
      </w:r>
      <w:r>
        <w:rPr>
          <w:rFonts w:hint="eastAsia" w:ascii="宋体" w:hAnsi="宋体" w:cs="宋体"/>
          <w:sz w:val="24"/>
          <w:lang w:val="zh-CN"/>
        </w:rPr>
        <w:t>中未报价语种与/或其他服务，价格由双方另行协商；</w:t>
      </w:r>
    </w:p>
    <w:p>
      <w:pPr>
        <w:widowControl/>
        <w:spacing w:line="360" w:lineRule="auto"/>
        <w:ind w:firstLine="480" w:firstLineChars="200"/>
        <w:rPr>
          <w:rFonts w:ascii="宋体" w:hAnsi="宋体" w:cs="宋体"/>
          <w:sz w:val="24"/>
          <w:lang w:val="zh-CN"/>
        </w:rPr>
      </w:pPr>
      <w:r>
        <w:rPr>
          <w:rFonts w:hint="eastAsia" w:ascii="宋体" w:hAnsi="宋体" w:cs="宋体"/>
          <w:sz w:val="24"/>
          <w:lang w:val="zh-CN"/>
        </w:rPr>
        <w:t>e. 若甲方对于统计规则有其他要求，应当在每次下单前书面协商确定。</w:t>
      </w:r>
    </w:p>
    <w:p>
      <w:pPr>
        <w:pStyle w:val="13"/>
        <w:spacing w:beforeAutospacing="0" w:afterAutospacing="0"/>
        <w:ind w:firstLine="482" w:firstLineChars="200"/>
        <w:outlineLvl w:val="2"/>
        <w:rPr>
          <w:b/>
          <w:bCs/>
          <w:lang w:val="zh-CN"/>
        </w:rPr>
      </w:pPr>
      <w:r>
        <w:rPr>
          <w:rFonts w:hint="eastAsia"/>
          <w:b/>
          <w:bCs/>
        </w:rPr>
        <w:t>1.4.质量及进度保证</w:t>
      </w:r>
    </w:p>
    <w:p>
      <w:pPr>
        <w:widowControl/>
        <w:spacing w:line="360" w:lineRule="auto"/>
        <w:ind w:firstLine="480" w:firstLineChars="200"/>
        <w:rPr>
          <w:rFonts w:ascii="宋体" w:hAnsi="宋体" w:cs="宋体"/>
          <w:sz w:val="24"/>
          <w:lang w:val="zh-CN"/>
        </w:rPr>
      </w:pPr>
      <w:r>
        <w:rPr>
          <w:rFonts w:hint="eastAsia" w:ascii="宋体" w:hAnsi="宋体" w:cs="宋体"/>
          <w:sz w:val="24"/>
        </w:rPr>
        <w:t>1.4</w:t>
      </w:r>
      <w:r>
        <w:rPr>
          <w:rFonts w:hint="eastAsia" w:ascii="宋体" w:hAnsi="宋体" w:cs="宋体"/>
          <w:sz w:val="24"/>
          <w:lang w:val="zh-CN"/>
        </w:rPr>
        <w:t>.1乙方应按照翻译行业通用规范和国家标准《翻译服务规范GB/T19363.1-2003》进行质量控制，并按甲方选定的译文等级所对应的正常翻译、校对程序工作，准确地传达原件信息，确保文体适当、语句通顺、专有名词准确。如果甲方对翻译质量有专门的质量评价体系与/或标准或对语言风格与术语表述等方面有特殊要求，应在每次向乙方委托翻译任务时，以书面方式告知乙方，否则甲方应承担乙方因此而额外支出的费用，同时，乙方不承担相应语言风格和专业术语偏差的责任。该要求不应当超过上述服务规范要求的标准与/或本合同约定译文等级的质量要求。</w:t>
      </w:r>
    </w:p>
    <w:p>
      <w:pPr>
        <w:widowControl/>
        <w:spacing w:line="360" w:lineRule="auto"/>
        <w:ind w:firstLine="480" w:firstLineChars="200"/>
        <w:rPr>
          <w:rFonts w:ascii="宋体" w:hAnsi="宋体" w:cs="宋体"/>
          <w:sz w:val="24"/>
          <w:lang w:val="zh-CN"/>
        </w:rPr>
      </w:pPr>
      <w:r>
        <w:rPr>
          <w:rFonts w:hint="eastAsia" w:ascii="宋体" w:hAnsi="宋体" w:cs="宋体"/>
          <w:sz w:val="24"/>
        </w:rPr>
        <w:t>1.4</w:t>
      </w:r>
      <w:r>
        <w:rPr>
          <w:rFonts w:hint="eastAsia" w:ascii="宋体" w:hAnsi="宋体" w:cs="宋体"/>
          <w:sz w:val="24"/>
          <w:lang w:val="zh-CN"/>
        </w:rPr>
        <w:t>.2</w:t>
      </w:r>
      <w:r>
        <w:rPr>
          <w:rFonts w:hint="eastAsia" w:ascii="宋体" w:hAnsi="宋体" w:cs="宋体"/>
          <w:sz w:val="24"/>
        </w:rPr>
        <w:t>.</w:t>
      </w:r>
      <w:r>
        <w:rPr>
          <w:rFonts w:hint="eastAsia" w:ascii="宋体" w:hAnsi="宋体" w:cs="宋体"/>
          <w:sz w:val="24"/>
          <w:lang w:val="zh-CN"/>
        </w:rPr>
        <w:t>乙方提供为期1年的质量保证，自译件交付甲方之日起计算。保证期内，若甲方对译件提出异议，则乙方有义务按照合同约定质量标准并结合甲方的合理要求对其进行修改或校对，不计费用；保证期内，甲方因修改原件或增加翻译要求等非乙方原因需要修改译件的，乙方应全力配合并按本合同的约定或者双方另行约定收取费用。</w:t>
      </w:r>
    </w:p>
    <w:p>
      <w:pPr>
        <w:widowControl/>
        <w:spacing w:line="360" w:lineRule="auto"/>
        <w:ind w:firstLine="480" w:firstLineChars="200"/>
        <w:rPr>
          <w:rFonts w:ascii="宋体" w:hAnsi="宋体" w:cs="宋体"/>
          <w:sz w:val="24"/>
          <w:lang w:val="zh-CN"/>
        </w:rPr>
      </w:pPr>
      <w:r>
        <w:rPr>
          <w:rFonts w:hint="eastAsia" w:ascii="宋体" w:hAnsi="宋体" w:cs="宋体"/>
          <w:sz w:val="24"/>
        </w:rPr>
        <w:t>1.4</w:t>
      </w: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乙方未按约定时间交付译件的，甲方有权按所延误部分翻译费用的3 ‰（千分之三）按日收取违约金。但因甲方原因导致的延误，或双方达成一致的情况除外。</w:t>
      </w:r>
    </w:p>
    <w:p>
      <w:pPr>
        <w:widowControl/>
        <w:spacing w:line="360" w:lineRule="auto"/>
        <w:ind w:firstLine="480" w:firstLineChars="200"/>
        <w:rPr>
          <w:rFonts w:ascii="宋体" w:hAnsi="宋体" w:cs="宋体"/>
          <w:sz w:val="24"/>
          <w:lang w:val="zh-CN"/>
        </w:rPr>
      </w:pPr>
      <w:r>
        <w:rPr>
          <w:rFonts w:hint="eastAsia" w:ascii="宋体" w:hAnsi="宋体" w:cs="宋体"/>
          <w:sz w:val="24"/>
        </w:rPr>
        <w:t>1.4</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甲、乙双方应协商确定，标准工期为：</w:t>
      </w:r>
      <w:r>
        <w:rPr>
          <w:rFonts w:hint="eastAsia" w:ascii="宋体" w:hAnsi="宋体" w:cs="宋体"/>
          <w:sz w:val="24"/>
          <w:u w:val="single"/>
          <w:lang w:val="zh-CN"/>
        </w:rPr>
        <w:t xml:space="preserve"> 三个工作日 </w:t>
      </w:r>
      <w:r>
        <w:rPr>
          <w:rFonts w:hint="eastAsia" w:ascii="宋体" w:hAnsi="宋体" w:cs="宋体"/>
          <w:sz w:val="24"/>
          <w:lang w:val="zh-CN"/>
        </w:rPr>
        <w:t>。</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第二条  服务期限</w:t>
      </w:r>
    </w:p>
    <w:p>
      <w:pPr>
        <w:widowControl/>
        <w:spacing w:line="360" w:lineRule="auto"/>
        <w:ind w:firstLine="482" w:firstLineChars="200"/>
        <w:rPr>
          <w:rFonts w:ascii="宋体" w:hAnsi="宋体" w:cs="宋体"/>
          <w:b/>
          <w:bCs/>
          <w:sz w:val="24"/>
        </w:rPr>
      </w:pPr>
      <w:r>
        <w:rPr>
          <w:rFonts w:hint="eastAsia" w:ascii="宋体" w:hAnsi="宋体" w:cs="宋体"/>
          <w:b/>
          <w:bCs/>
          <w:sz w:val="24"/>
        </w:rPr>
        <w:t>1.服务期限：</w:t>
      </w:r>
    </w:p>
    <w:p>
      <w:pPr>
        <w:spacing w:line="360" w:lineRule="auto"/>
        <w:ind w:firstLine="480" w:firstLineChars="200"/>
        <w:rPr>
          <w:rFonts w:ascii="宋体" w:hAnsi="宋体" w:cs="宋体"/>
          <w:sz w:val="24"/>
        </w:rPr>
      </w:pPr>
      <w:r>
        <w:rPr>
          <w:rFonts w:hint="eastAsia" w:ascii="宋体" w:hAnsi="宋体" w:cs="宋体"/>
          <w:sz w:val="24"/>
        </w:rPr>
        <w:t>本项目合同服务期限为自合同签订之日起至2024年11月30日。</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第三条  项目资料归属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1.所有提交给甲方的项目文件及相关资料的</w:t>
      </w:r>
      <w:r>
        <w:rPr>
          <w:rFonts w:ascii="宋体" w:hAnsi="宋体" w:cs="宋体"/>
          <w:color w:val="000000"/>
          <w:sz w:val="24"/>
        </w:rPr>
        <w:t>阶段性成果及</w:t>
      </w:r>
      <w:r>
        <w:rPr>
          <w:rFonts w:hint="eastAsia" w:ascii="宋体" w:hAnsi="宋体" w:cs="宋体"/>
          <w:color w:val="000000"/>
          <w:sz w:val="24"/>
        </w:rPr>
        <w:t>最后文本，包括为履行服务范围所编制的计划和证明资料等，都属于甲方</w:t>
      </w:r>
      <w:r>
        <w:rPr>
          <w:rFonts w:ascii="宋体" w:hAnsi="宋体" w:cs="宋体"/>
          <w:color w:val="000000"/>
          <w:sz w:val="24"/>
        </w:rPr>
        <w:t>所有</w:t>
      </w:r>
      <w:r>
        <w:rPr>
          <w:rFonts w:hint="eastAsia" w:ascii="宋体" w:hAnsi="宋体" w:cs="宋体"/>
          <w:color w:val="000000"/>
          <w:sz w:val="24"/>
        </w:rPr>
        <w:t>，乙方在提交给甲方之前应将上述资料进行整理归类和编制索引。</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第四条  双方的权利义务</w:t>
      </w:r>
    </w:p>
    <w:p>
      <w:pPr>
        <w:spacing w:line="360" w:lineRule="auto"/>
        <w:ind w:firstLine="480" w:firstLineChars="200"/>
        <w:outlineLvl w:val="2"/>
        <w:rPr>
          <w:rFonts w:ascii="宋体" w:hAnsi="宋体" w:cs="宋体"/>
          <w:color w:val="000000"/>
          <w:sz w:val="24"/>
        </w:rPr>
      </w:pPr>
      <w:r>
        <w:rPr>
          <w:rFonts w:hint="eastAsia" w:ascii="宋体" w:hAnsi="宋体" w:cs="宋体"/>
          <w:color w:val="000000"/>
          <w:sz w:val="24"/>
        </w:rPr>
        <w:t>（一）甲方的权利义务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1.甲方应保证合理利用乙方口译译员的服务，不得要求乙方口译人员执行任何未在本合同中规定的活动（例如：笔译、进行会议记录、提供旅游和组织服务）。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2.根据具体工作情况，甲方可调整项目需求，但须在会前至少提前五日以邮件形式通知乙方,本协议总价以附件一约定单价为基础,随项目需求调整而调整。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3.在服务前和服务期间，向乙方口译人员提供必要的介绍或培训以及会议资料，以及能够使口译人员了解和熟悉相关项目/活动的一切相关知识和信息，以利于口译服务的开展。</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4.未经乙方事先书面同意，甲方不得与乙方提供的译员私求达成与本合同相关内容的交易。</w:t>
      </w:r>
    </w:p>
    <w:p>
      <w:pPr>
        <w:spacing w:line="360" w:lineRule="auto"/>
        <w:ind w:firstLine="480" w:firstLineChars="200"/>
        <w:rPr>
          <w:rFonts w:ascii="宋体" w:hAnsi="宋体" w:cs="宋体"/>
          <w:color w:val="000000"/>
          <w:sz w:val="24"/>
        </w:rPr>
      </w:pPr>
      <w:r>
        <w:rPr>
          <w:rFonts w:hint="eastAsia" w:ascii="宋体" w:hAnsi="宋体" w:cs="宋体"/>
          <w:color w:val="000000"/>
          <w:sz w:val="24"/>
        </w:rPr>
        <w:t>5.甲方应在乙方完成口译服务且通过甲方验收后，严格按照双方合同约定的期限及时付清余款，否则视为违约。</w:t>
      </w:r>
    </w:p>
    <w:p>
      <w:pPr>
        <w:spacing w:line="360" w:lineRule="auto"/>
        <w:ind w:firstLine="480" w:firstLineChars="200"/>
        <w:rPr>
          <w:rFonts w:ascii="宋体" w:hAnsi="宋体" w:cs="宋体"/>
          <w:color w:val="000000"/>
          <w:sz w:val="24"/>
        </w:rPr>
      </w:pPr>
      <w:r>
        <w:rPr>
          <w:rFonts w:hint="eastAsia" w:ascii="宋体" w:hAnsi="宋体" w:cs="宋体"/>
          <w:color w:val="000000"/>
          <w:sz w:val="24"/>
        </w:rPr>
        <w:t>6.甲方有权向乙方询问项目工作进展及相关情况，并要求乙方在指定时间内作出答复。甲方有权对乙方的工作进行验收。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7.如甲方确认乙方工作人员未按照本协议要求履行职责，甲方有权要求乙方限期更换人员，直至终止协议并要求乙方承担相应赔偿责任。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8.甲方对乙方在委托权限范围内完成委托事项有指导、监督权利。</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9.甲方有权要求乙方全面履行协议。甲方不接受部分履行，如本协议项下部分成果文件未能按时交付则视为整体延误。 </w:t>
      </w:r>
    </w:p>
    <w:p>
      <w:pPr>
        <w:spacing w:line="360" w:lineRule="auto"/>
        <w:ind w:firstLine="480" w:firstLineChars="200"/>
        <w:rPr>
          <w:rFonts w:ascii="宋体" w:hAnsi="宋体" w:cs="宋体"/>
          <w:color w:val="000000"/>
          <w:sz w:val="24"/>
        </w:rPr>
      </w:pPr>
      <w:r>
        <w:rPr>
          <w:rFonts w:hint="eastAsia" w:ascii="宋体" w:hAnsi="宋体" w:cs="宋体"/>
          <w:color w:val="000000"/>
          <w:sz w:val="24"/>
        </w:rPr>
        <w:t>10.如乙方所提供的项目成果不符合本协议的要求，甲方有权要求乙方重新执行相应的工作服务，由此产生的全部费用由乙方自行承担，同时，甲方的付款时间相应顺延。</w:t>
      </w:r>
    </w:p>
    <w:p>
      <w:pPr>
        <w:spacing w:line="360" w:lineRule="auto"/>
        <w:ind w:firstLine="480" w:firstLineChars="200"/>
        <w:rPr>
          <w:rFonts w:ascii="宋体" w:hAnsi="宋体" w:cs="宋体"/>
          <w:color w:val="000000"/>
          <w:sz w:val="24"/>
        </w:rPr>
      </w:pPr>
      <w:r>
        <w:rPr>
          <w:rFonts w:hint="eastAsia" w:ascii="宋体" w:hAnsi="宋体" w:cs="宋体"/>
          <w:color w:val="000000"/>
          <w:sz w:val="24"/>
        </w:rPr>
        <w:t>11.甲方指定项目联系人：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姓名：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联系方式： </w:t>
      </w:r>
    </w:p>
    <w:p>
      <w:pPr>
        <w:spacing w:line="360" w:lineRule="auto"/>
        <w:ind w:firstLine="480" w:firstLineChars="200"/>
        <w:outlineLvl w:val="2"/>
        <w:rPr>
          <w:rFonts w:ascii="宋体" w:hAnsi="宋体" w:cs="宋体"/>
          <w:color w:val="000000"/>
          <w:sz w:val="24"/>
        </w:rPr>
      </w:pPr>
      <w:r>
        <w:rPr>
          <w:rFonts w:hint="eastAsia" w:ascii="宋体" w:hAnsi="宋体" w:cs="宋体"/>
          <w:color w:val="000000"/>
          <w:sz w:val="24"/>
        </w:rPr>
        <w:t>（二）乙方的权利义务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 按照本协议约定收取口译服务费用。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2.乙方应确保本协议约定的译员按时到达指定地点进行口译服务。如因不可抗力导致约定译员无法按时到场，乙方有义务及时调配同档次及以上译员，为甲方提供服务保障。</w:t>
      </w:r>
    </w:p>
    <w:p>
      <w:pPr>
        <w:spacing w:line="360" w:lineRule="auto"/>
        <w:ind w:firstLine="480" w:firstLineChars="200"/>
        <w:rPr>
          <w:rFonts w:ascii="宋体" w:hAnsi="宋体" w:cs="宋体"/>
          <w:color w:val="000000"/>
          <w:sz w:val="24"/>
        </w:rPr>
      </w:pPr>
      <w:r>
        <w:rPr>
          <w:rFonts w:hint="eastAsia" w:ascii="宋体" w:hAnsi="宋体" w:cs="宋体"/>
          <w:color w:val="000000"/>
          <w:sz w:val="24"/>
        </w:rPr>
        <w:t>3.对译员进行翻译业务的管理和监督，确保口译服务达到甲方需要。</w:t>
      </w:r>
    </w:p>
    <w:p>
      <w:pPr>
        <w:spacing w:line="360" w:lineRule="auto"/>
        <w:ind w:firstLine="480" w:firstLineChars="200"/>
        <w:rPr>
          <w:rFonts w:ascii="宋体" w:hAnsi="宋体" w:cs="宋体"/>
          <w:color w:val="000000"/>
          <w:sz w:val="24"/>
        </w:rPr>
      </w:pPr>
      <w:r>
        <w:rPr>
          <w:rFonts w:hint="eastAsia" w:ascii="宋体" w:hAnsi="宋体" w:cs="宋体"/>
          <w:color w:val="000000"/>
          <w:sz w:val="24"/>
        </w:rPr>
        <w:t>4.对译员进行保密意识教育和监督，并签署保密协议，确保甲方有关技术和商业秘密不被泄漏。</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5.乙方译员尽力提供优质的翻译；翻译质量符合《口译翻译服务规范》国家标准（GB/T 19363.2-2006）。</w:t>
      </w:r>
    </w:p>
    <w:p>
      <w:pPr>
        <w:spacing w:line="360" w:lineRule="auto"/>
        <w:ind w:firstLine="480" w:firstLineChars="200"/>
        <w:rPr>
          <w:rFonts w:ascii="宋体" w:hAnsi="宋体" w:cs="宋体"/>
          <w:color w:val="000000"/>
          <w:sz w:val="24"/>
        </w:rPr>
      </w:pPr>
      <w:r>
        <w:rPr>
          <w:rFonts w:hint="eastAsia" w:ascii="宋体" w:hAnsi="宋体" w:cs="宋体"/>
          <w:color w:val="000000"/>
          <w:sz w:val="24"/>
        </w:rPr>
        <w:t>6.乙方负责安排并承担译员交通等相关费用。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7.如使用到同传设备，乙方应在甲方指定的时间和地点提供同传活动前约定的全部配套机器，并且保证所有器材运行良好。如因设备自身原因导致大会间断10分钟以上，乙方应向甲方做出赔偿。赔偿金额不超过合同金额的50%。</w:t>
      </w:r>
    </w:p>
    <w:p>
      <w:pPr>
        <w:spacing w:line="360" w:lineRule="auto"/>
        <w:ind w:firstLine="480" w:firstLineChars="200"/>
        <w:rPr>
          <w:rFonts w:ascii="宋体" w:hAnsi="宋体" w:cs="宋体"/>
          <w:color w:val="000000"/>
          <w:sz w:val="24"/>
        </w:rPr>
      </w:pPr>
      <w:r>
        <w:rPr>
          <w:rFonts w:hint="eastAsia" w:ascii="宋体" w:hAnsi="宋体" w:cs="宋体"/>
          <w:color w:val="000000"/>
          <w:sz w:val="24"/>
        </w:rPr>
        <w:t>8.乙方保证具备提供本协议约定服务的全部合法资质与权力，且提供服务不侵害甲方及任何第三方合法权益。乙方提供全部服务应符合双方约定的数量、质量、标准，无故障、中断及不能使用的情况，甲方有权进行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9.乙方指定项目联系人：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姓名：</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联系方式：</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第五条  人员要求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以下为本项目核心领导团队。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拟任</w:t>
            </w:r>
            <w:r>
              <w:rPr>
                <w:rFonts w:ascii="宋体" w:hAnsi="宋体" w:cs="宋体"/>
                <w:color w:val="000000"/>
                <w:sz w:val="24"/>
              </w:rPr>
              <w:t>团队</w:t>
            </w:r>
            <w:r>
              <w:rPr>
                <w:rFonts w:hint="eastAsia" w:ascii="宋体" w:hAnsi="宋体" w:cs="宋体"/>
                <w:color w:val="00000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1.参加本项目编制的人员必须具有国家和有关部门规定的相应资质。</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2.参加本项目编制的人员配置必须与合同中的项目成员组成一致，若需调整需经甲方</w:t>
      </w:r>
      <w:r>
        <w:rPr>
          <w:rFonts w:ascii="宋体" w:hAnsi="宋体" w:cs="宋体"/>
          <w:color w:val="000000"/>
          <w:sz w:val="24"/>
        </w:rPr>
        <w:t>书面</w:t>
      </w:r>
      <w:r>
        <w:rPr>
          <w:rFonts w:hint="eastAsia" w:ascii="宋体" w:hAnsi="宋体" w:cs="宋体"/>
          <w:color w:val="000000"/>
          <w:sz w:val="24"/>
        </w:rPr>
        <w:t>同意后，方可变更。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3.必须以乙方直属人员</w:t>
      </w:r>
      <w:r>
        <w:rPr>
          <w:rFonts w:ascii="宋体" w:hAnsi="宋体" w:cs="宋体"/>
          <w:color w:val="000000"/>
          <w:sz w:val="24"/>
        </w:rPr>
        <w:t>（直属人员指</w:t>
      </w:r>
      <w:r>
        <w:rPr>
          <w:rFonts w:hint="eastAsia" w:ascii="宋体" w:hAnsi="宋体" w:cs="宋体"/>
          <w:color w:val="000000"/>
          <w:sz w:val="24"/>
        </w:rPr>
        <w:t>劳动合同、社会保险等劳动关系</w:t>
      </w:r>
      <w:r>
        <w:rPr>
          <w:rFonts w:ascii="宋体" w:hAnsi="宋体" w:cs="宋体"/>
          <w:color w:val="000000"/>
          <w:sz w:val="24"/>
        </w:rPr>
        <w:t>在乙方的人员）</w:t>
      </w:r>
      <w:r>
        <w:rPr>
          <w:rFonts w:hint="eastAsia" w:ascii="宋体" w:hAnsi="宋体" w:cs="宋体"/>
          <w:color w:val="000000"/>
          <w:sz w:val="24"/>
        </w:rPr>
        <w:t>参与本项目服务，不得使用挂靠队伍。</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第六条 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10%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第七条  保密条款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应以保密方式处理在提供本协议项下翻译服务过程中自甲方、甲方工作人员或甲方关联机构获得的相关信息、资料、图纸、数据等，或由甲方在履行本协议过程中明确指明为秘密的任何信息，以及乙方因本项目工作内容所直接或间接取得、处理或接触的任何其他资料。未经甲方书面在先同意，乙方不得向任何第三方透露与本项目有关的内容，或公开本项目的翻译内容。即使向与履行本协议有关的人员提供前述保密信息，也应限于履行协议的必需范围，且这些人员应接受至少与本条款同等严格的保密条款的约束。</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3.乙方实施项目的程序应符合国家安全、保密的有关规定和标准。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4.上述保密义务不适用以下情况：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5.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6.无论本合同或本合同其他条款是否有效，本保密条款始终约束双方。国家秘密的保密期限由国家有关部门确定，工作秘密的保密期限由甲方确定。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 xml:space="preserve">第八条  验收标准     </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甲方在每次乙方服务结束后，对服务内容进行验收。对于验收过程中发现的问题，乙方应在发现问题之日起3天内进行改正，以符合甲方的需要。</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第九条  项目服务费用及付款方式</w:t>
      </w:r>
    </w:p>
    <w:p>
      <w:pPr>
        <w:spacing w:line="360" w:lineRule="auto"/>
        <w:ind w:firstLine="480" w:firstLineChars="200"/>
        <w:rPr>
          <w:rFonts w:ascii="宋体" w:hAnsi="宋体" w:cs="宋体"/>
          <w:sz w:val="24"/>
        </w:rPr>
      </w:pPr>
      <w:r>
        <w:rPr>
          <w:rFonts w:hint="eastAsia" w:ascii="宋体" w:hAnsi="宋体" w:cs="宋体"/>
          <w:sz w:val="24"/>
        </w:rPr>
        <w:t>1.合同价款：据实结算，合同支付上限为</w:t>
      </w:r>
      <w:r>
        <w:rPr>
          <w:rFonts w:ascii="宋体" w:hAnsi="宋体" w:cs="宋体"/>
          <w:sz w:val="24"/>
        </w:rPr>
        <w:t>人民币</w:t>
      </w:r>
      <w:r>
        <w:rPr>
          <w:rFonts w:hint="eastAsia" w:ascii="宋体" w:hAnsi="宋体" w:cs="宋体"/>
          <w:sz w:val="24"/>
          <w:u w:val="single"/>
        </w:rPr>
        <w:t>叁拾陆万</w:t>
      </w:r>
      <w:r>
        <w:rPr>
          <w:rFonts w:ascii="宋体" w:hAnsi="宋体" w:cs="宋体"/>
          <w:sz w:val="24"/>
        </w:rPr>
        <w:t>整（</w:t>
      </w:r>
      <w:r>
        <w:rPr>
          <w:rFonts w:hint="eastAsia" w:ascii="宋体" w:hAnsi="宋体" w:cs="宋体"/>
          <w:sz w:val="24"/>
        </w:rPr>
        <w:t>¥360,000.00元</w:t>
      </w:r>
      <w:r>
        <w:rPr>
          <w:rFonts w:ascii="宋体" w:hAnsi="宋体" w:cs="宋体"/>
          <w:sz w:val="24"/>
        </w:rPr>
        <w:t>）</w:t>
      </w:r>
      <w:r>
        <w:rPr>
          <w:rFonts w:hint="eastAsia" w:ascii="宋体" w:hAnsi="宋体" w:cs="宋体"/>
          <w:sz w:val="24"/>
        </w:rPr>
        <w:t>。</w:t>
      </w:r>
      <w:r>
        <w:rPr>
          <w:rFonts w:hint="eastAsia" w:ascii="宋体" w:hAnsi="宋体" w:cs="宋体"/>
          <w:sz w:val="24"/>
          <w:lang w:val="zh-CN"/>
        </w:rPr>
        <w:t>合同单价：见附件一（报价单），</w:t>
      </w:r>
      <w:r>
        <w:rPr>
          <w:rFonts w:hint="eastAsia" w:ascii="宋体" w:hAnsi="宋体" w:cs="宋体"/>
          <w:sz w:val="24"/>
        </w:rPr>
        <w:t>包括但不限于口译服务费用、设备费用、乙方工作人员成本、中标服务费、资料费、通讯费、交通费、税金、利润等所有费用，并提供合同要求的成果文件，以及其它相关服务的全部费用。</w:t>
      </w:r>
    </w:p>
    <w:p>
      <w:pPr>
        <w:pStyle w:val="2"/>
        <w:spacing w:after="0" w:line="360" w:lineRule="auto"/>
        <w:ind w:firstLine="480" w:firstLineChars="200"/>
        <w:rPr>
          <w:rFonts w:ascii="宋体" w:hAnsi="宋体" w:cs="宋体"/>
        </w:rPr>
      </w:pPr>
      <w:r>
        <w:rPr>
          <w:rFonts w:hint="eastAsia" w:ascii="宋体" w:hAnsi="宋体" w:cs="宋体"/>
        </w:rPr>
        <w:t>2.乙方提交相应工作服务项目并经过甲方验收合格后，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spacing w:after="0" w:line="360" w:lineRule="auto"/>
        <w:ind w:firstLine="480" w:firstLineChars="200"/>
        <w:rPr>
          <w:rFonts w:ascii="宋体" w:hAnsi="宋体" w:cs="宋体"/>
          <w:color w:val="000000"/>
        </w:rPr>
      </w:pPr>
      <w:r>
        <w:rPr>
          <w:rFonts w:hint="eastAsia" w:ascii="宋体" w:hAnsi="宋体" w:cs="宋体"/>
          <w:color w:val="000000"/>
        </w:rPr>
        <w:t>3.乙方银行账户信息：</w:t>
      </w:r>
    </w:p>
    <w:p>
      <w:pPr>
        <w:pStyle w:val="2"/>
        <w:spacing w:after="0" w:line="360" w:lineRule="auto"/>
        <w:ind w:firstLine="480" w:firstLineChars="200"/>
        <w:rPr>
          <w:rFonts w:ascii="宋体" w:hAnsi="宋体" w:cs="宋体"/>
          <w:color w:val="000000"/>
        </w:rPr>
      </w:pPr>
      <w:r>
        <w:rPr>
          <w:rFonts w:hint="eastAsia" w:ascii="宋体" w:hAnsi="宋体" w:cs="宋体"/>
          <w:color w:val="000000"/>
        </w:rPr>
        <w:t xml:space="preserve">开户银行： </w:t>
      </w:r>
    </w:p>
    <w:p>
      <w:pPr>
        <w:pStyle w:val="2"/>
        <w:spacing w:after="0" w:line="360" w:lineRule="auto"/>
        <w:ind w:firstLine="480" w:firstLineChars="200"/>
        <w:rPr>
          <w:rFonts w:ascii="宋体" w:hAnsi="宋体" w:cs="宋体"/>
          <w:color w:val="000000"/>
        </w:rPr>
      </w:pPr>
      <w:r>
        <w:rPr>
          <w:rFonts w:hint="eastAsia" w:ascii="宋体" w:hAnsi="宋体" w:cs="宋体"/>
          <w:color w:val="000000"/>
        </w:rPr>
        <w:t>户名：</w:t>
      </w:r>
    </w:p>
    <w:p>
      <w:pPr>
        <w:pStyle w:val="2"/>
        <w:spacing w:after="0" w:line="360" w:lineRule="auto"/>
        <w:ind w:firstLine="480" w:firstLineChars="200"/>
        <w:rPr>
          <w:rFonts w:ascii="宋体" w:hAnsi="宋体" w:cs="宋体"/>
          <w:color w:val="000000"/>
        </w:rPr>
      </w:pPr>
      <w:r>
        <w:rPr>
          <w:rFonts w:hint="eastAsia" w:ascii="宋体" w:hAnsi="宋体" w:cs="宋体"/>
          <w:color w:val="000000"/>
        </w:rPr>
        <w:t>账号：</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第十条 合同提前终止</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1.双方协商同意提前终止本合同的，按双方协商约定的方式进行清算执行。</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（1）甲方的职能发生转变，不再具有委托职能。</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（2）本合同签订时适用的法律法规或政策发生变化，且对本合同的继续履行造成重大影响。</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发生以上情形，甲方已向乙方支付的款项不退还，尚未支付的款项不再支付，同时乙方应向甲方提交在合同终止日前完成的所有项目文件和相关资料。</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（2）发生不可抗力，甲乙双方承担各自的损失。由于其中一方迟延履行合同义务后发生不可抗力的，其违约责任不能免除。</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第十一条  争议解决办法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因本合同的履行发生的或与本合同有关的争议或纠纷，由甲乙双方协商解决。协商不成的，双方同意将争议提交深圳前海合作区人民法院通过诉讼解决。</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第十二条  项目变更</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4.在合同所约定的工作范畴内的服务，本合同价格不予变更。</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第十三条  风险责任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乙方应完全地按照【  】号招标文件的要求和乙方投标文件的承诺完成本项目，出于自身财务、技术、人力等原因导致项目失败的，应承担全部责任。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第十四条  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1.乙方未按照本合同约定的时间完成本项目各阶段工作，每延迟一日，甲方有权自尚未支付的合同款项中扣除本合同服务费总金额的3‰的逾期违约金。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2.本项目项下的工作内容不可分割，任一文件的迟延交付均视为整个项目的迟延交付。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（1）乙方未能按合同约定的日期(含协商延缓的日期)提交各阶段成果或最终成果，延误时间超过15个工作日；</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themeColor="text1"/>
          <w:sz w:val="24"/>
          <w14:textFill>
            <w14:solidFill>
              <w14:schemeClr w14:val="tx1"/>
            </w14:solidFill>
          </w14:textFill>
        </w:rPr>
        <w:t>因乙方工作的错误或遗漏造成翻译服务质量不符合本协议要求，且乙方未按甲方要求采取及时有效的补救措施的</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（4）项目负责人未承担本合同项目实质性工作，或未经甲方书面在先同意，乙方擅自更换项目负责人的；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（6）乙方明确表示或者以自己的行为表明不履行本合同的。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10%的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5.上述违约责任各自独立且可累加。本合同所约定的违约金如低于因违约行为所造成的损失，违约方应补偿上述不足部分的损失</w:t>
      </w:r>
      <w:r>
        <w:rPr>
          <w:rFonts w:hint="eastAsia" w:ascii="宋体" w:hAnsi="宋体" w:cs="宋体"/>
          <w:color w:val="000000" w:themeColor="text1"/>
          <w:sz w:val="24"/>
          <w14:textFill>
            <w14:solidFill>
              <w14:schemeClr w14:val="tx1"/>
            </w14:solidFill>
          </w14:textFill>
        </w:rPr>
        <w:t>，包括但不限于前述责任所产生的诉讼费用、合理的律师费用、鉴定评估费用、调查费用、和解金额或生效法律文书中规定的赔偿金额</w:t>
      </w:r>
      <w:r>
        <w:rPr>
          <w:rFonts w:hint="eastAsia" w:ascii="宋体" w:hAnsi="宋体" w:cs="宋体"/>
          <w:color w:val="000000"/>
          <w:sz w:val="24"/>
        </w:rPr>
        <w:t>。</w:t>
      </w:r>
    </w:p>
    <w:p>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第十五条  其他</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（1）合同书及补充协议；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（3）招标文件（编号：</w:t>
      </w:r>
      <w:r>
        <w:rPr>
          <w:rFonts w:hint="eastAsia" w:ascii="宋体" w:hAnsi="宋体" w:cs="宋体"/>
          <w:color w:val="000000"/>
          <w:sz w:val="24"/>
          <w:u w:val="single"/>
        </w:rPr>
        <w:t xml:space="preserve">    </w:t>
      </w:r>
      <w:r>
        <w:rPr>
          <w:rFonts w:hint="eastAsia" w:ascii="宋体" w:hAnsi="宋体" w:cs="宋体"/>
          <w:color w:val="000000"/>
          <w:sz w:val="24"/>
        </w:rPr>
        <w:t>）及其澄清、补正公告；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3.本合同各条标题仅为提示之用，应以条文内容确定各方的权利义务。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4.本合同未尽事宜，由双方协商签订补充协议进行约定。补充协议应以书面形式作成，经双方法定代表人或其授权代表签字、盖章后与本合同具有同等法律效力。</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5.本合同约定的权利和义务不因合同双方发生收购、兼并、重组、分立而发生变化。如果发生上述情形，则本合同约定的权利和义务随之转移至收购、兼并、重组或分立后成立的单位。</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7.如果本合同的任何条款在任何时候变成不合法、无效或不可强制执行而不从根本上影响本合同的效力时，本合同的其他条款不受影响。</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9.任何一方未经另一方同意不得向任何第三方透露本合同的签订及其内容。甲方向其关联公司透露前述内容的，不受此限。</w:t>
      </w:r>
    </w:p>
    <w:p>
      <w:pPr>
        <w:pStyle w:val="23"/>
        <w:spacing w:line="360" w:lineRule="auto"/>
        <w:ind w:firstLine="480"/>
        <w:rPr>
          <w:rFonts w:ascii="宋体" w:hAnsi="宋体" w:cs="宋体"/>
          <w:color w:val="000000"/>
          <w:sz w:val="24"/>
          <w:szCs w:val="24"/>
        </w:rPr>
      </w:pPr>
      <w:r>
        <w:rPr>
          <w:rFonts w:hint="eastAsia" w:ascii="宋体" w:hAnsi="宋体" w:cs="宋体"/>
          <w:color w:val="000000"/>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12.本合同一式六份，甲、乙方各执三份，均具有同等法律效力。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（以下无正文，为签章栏）</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3" w:name="_Toc25518"/>
      <w:r>
        <w:rPr>
          <w:rFonts w:hint="eastAsia" w:ascii="宋体" w:hAnsi="宋体" w:cs="宋体"/>
          <w:b/>
          <w:bCs/>
          <w:color w:val="000000" w:themeColor="text1"/>
          <w:sz w:val="24"/>
          <w14:textFill>
            <w14:solidFill>
              <w14:schemeClr w14:val="tx1"/>
            </w14:solidFill>
          </w14:textFill>
        </w:rPr>
        <w:t>用户需求书</w:t>
      </w:r>
      <w:bookmarkEnd w:id="13"/>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bookmarkStart w:id="14" w:name="_Toc23726"/>
      <w:bookmarkStart w:id="15" w:name="_Toc11045"/>
      <w:r>
        <w:rPr>
          <w:rFonts w:hint="eastAsia" w:ascii="宋体" w:hAnsi="宋体" w:cs="宋体"/>
          <w:b/>
          <w:color w:val="000000" w:themeColor="text1"/>
          <w:sz w:val="24"/>
          <w14:textFill>
            <w14:solidFill>
              <w14:schemeClr w14:val="tx1"/>
            </w14:solidFill>
          </w14:textFill>
        </w:rPr>
        <w:t>一、</w:t>
      </w:r>
      <w:bookmarkEnd w:id="14"/>
      <w:bookmarkEnd w:id="15"/>
      <w:bookmarkStart w:id="16" w:name="_Toc51746099"/>
      <w:r>
        <w:rPr>
          <w:rFonts w:hint="eastAsia" w:ascii="宋体" w:hAnsi="宋体" w:cs="宋体"/>
          <w:b/>
          <w:color w:val="000000" w:themeColor="text1"/>
          <w:sz w:val="24"/>
          <w:lang w:val="zh-CN"/>
          <w14:textFill>
            <w14:solidFill>
              <w14:schemeClr w14:val="tx1"/>
            </w14:solidFill>
          </w14:textFill>
        </w:rPr>
        <w:t>项目概况</w:t>
      </w:r>
    </w:p>
    <w:bookmarkEnd w:id="16"/>
    <w:p>
      <w:pPr>
        <w:pStyle w:val="2"/>
        <w:spacing w:after="0" w:line="360" w:lineRule="auto"/>
        <w:ind w:firstLine="480" w:firstLineChars="200"/>
        <w:rPr>
          <w:rFonts w:ascii="宋体" w:hAnsi="宋体" w:cs="宋体"/>
          <w:szCs w:val="32"/>
        </w:rPr>
      </w:pPr>
      <w:r>
        <w:rPr>
          <w:rFonts w:hint="eastAsia" w:ascii="宋体" w:hAnsi="宋体" w:cs="宋体"/>
          <w:szCs w:val="32"/>
        </w:rPr>
        <w:t>为配合前海高水平对外开放，为前海面向世界开展双招双引和国际化招商推介提供便利，满足前海日益增长的多语种翻译需求，拟开展2024年多语种翻译服务采购工作。</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二、工作内容</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rPr>
        <w:t>（一）口译服务内容：</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1.中标人应按照采购人要求委派口译员，为采购人提供口译服务。如口译服务中需要同传设备，中标人应向采购人提供同传设备，并同时向采购人提供租赁设备之外的免费技术支持、维护等软性服务；中标人按照采购人要求，在会议开始前将设备送达指定地点，中标人负责调试安装，现场有专人全程陪同负责。</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2.口译服务人员需求：不少于8人，经过长期现场口译实践，有5年以上的大型会议口译经验。</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3.接收机（如有需要）的分发流程：</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3.1.所有参会嘉宾必须凭本人有效身份证或护照在会议现场换取接收机的使用权，并于当场会议结束后及时归还接收机并取回相关证件。中标人负责指定专门人员进行接收机发放、咨询及回收，保证现场有序。采购人以其他特殊方式领取接收机的，采购人负责保管与追回或赔偿。如发生未归还，采购人有义务协助中标人积极追回接收机。</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3.2.重要特殊嘉宾如无法用有效证件换取接收机的，请采购人在会议现场指定唯一采购人工作人员来领取并负责回收与保管。</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3.3.中标人负责在会场显眼区域设置接收机领取处，张贴易拉宝等用于宣传接收机的使用说明。</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rPr>
        <w:t>（二）笔译部分</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1.定义及释义</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原件：指采购人提供给中标人、要求中标人翻译的文件，其所采用的语言为源语言。</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译件：指中标人按要求在约定的时间、按约定的方式交付的翻译文件，其所采用的语言为目标语言。</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文本：指采用Microsoft® WORD 2010TM “工具”栏“字数统计”可以统计的内容，包括文本框、脚注、尾注等，其他格式可以转化成 Microsoft® WORD 2010TM统计。</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插图：指采用上述工具无法统计的内容，包括但不限于页眉页脚、图框、艺术字、图片等。</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图纸：指以Autodesk® AutoCADTM、Adobe® PhotoshopTM等图形制作工具绘制的文档。</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译文等级：指按照翻译所需技术专业性、语言要求、译件用途等不同要求而划分的等级。</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2.译文等级</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普通级：一般为内部参考用，语言与专业性要求不高。适用于普通信函、个人资料、出国资料等一般性稿件。</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专业级：由5年以上专业译员翻译，适用于法律合同、招投标书、技术安装手册等专业性较强的文件。</w:t>
      </w:r>
    </w:p>
    <w:p>
      <w:pPr>
        <w:pStyle w:val="24"/>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资深级：由国内一流译员翻译，并由外籍专家或长期在国外居住的华人专家对稿件进行润色。译文用词精准，语句流畅，文辞优美，满足客户主体特定或出版需求，达到准母语水平。适用于公司宣传资料、国际论文发表、书籍出版翻译等重要文件。</w:t>
      </w:r>
    </w:p>
    <w:p>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三、工作量及收费说明</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1.工作量：以中文版本计算笔译服务的工作量；文本以字符数（不计空格）计量，插图以个数计量，图纸以自然张计量或双方约定以图纸的实际字数加排版费的方式计算。</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2.统计方式：</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2.1.统计时应当包含所有需要翻译的文字和需要编辑的图形，文本以Microsoft® Word 2010TM “工具栏-字数统计-字符数（不计空格）”包括文本框、脚注及尾注所显示的结果为准（以1000字起算，不足1000字按1000字统计）；</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2.2.证件类稿件按份收费；</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2.3.插图按个数统计；</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2.4.图纸按一个自然张为一张统计，且图纸字数应不超过500字；图纸字数超过500字的，按字数+排版费计价；</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2.5.PPT格式按“文件-属性-统计-字数”× 1.8统计；</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2.6.原件为中文，但无法采用上述方式统计，且目标语言为英语的，以译件的“字数”×2为准；目标语言为其他语种的，系数由双方协商。</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3.单价浮动：</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3.1.以上项目若需安排母语翻译与/或审校，价格另议；</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3.2.A0及以上图纸，价格双方另行协商；</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3.3.以上原件均应为可编辑电子文件，包括Microsoft® Word、EXCEL、PPT、PDF及Autodesk CAD文件，如原件为不可编辑电子文件或印刷件以及其他软件编辑的文件，译前排版与译后排版价格双方另行协商；</w:t>
      </w:r>
    </w:p>
    <w:p>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3.4.若遇上述3.1中未报价语种与/或其他服务，价格由双方另行协商；</w:t>
      </w:r>
    </w:p>
    <w:p>
      <w:pPr>
        <w:spacing w:line="500" w:lineRule="exact"/>
        <w:ind w:firstLine="480" w:firstLineChars="20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3.5.若采购人对于统计规则有其他要求，应当在每次下单前书面协商确定。</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四、质量及进度保证</w:t>
      </w:r>
    </w:p>
    <w:p>
      <w:pPr>
        <w:pStyle w:val="24"/>
        <w:tabs>
          <w:tab w:val="left" w:pos="720"/>
        </w:tabs>
        <w:autoSpaceDE w:val="0"/>
        <w:autoSpaceDN w:val="0"/>
        <w:adjustRightInd w:val="0"/>
        <w:spacing w:line="360" w:lineRule="auto"/>
        <w:ind w:right="17" w:firstLine="48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zh-CN"/>
          <w14:textFill>
            <w14:solidFill>
              <w14:schemeClr w14:val="tx1"/>
            </w14:solidFill>
          </w14:textFill>
        </w:rPr>
        <w:t>中标人应按照翻译行业通用规范和国家标准《翻译服务规范GB/T19363.1-2003》进行质量控制，并按采购人选定的译文等级所对应的正常翻译、校对程序工作，准确地传达原件信息，确保文体适当、语句通顺、专有名词准确。如果采购人对翻译质量有专门的质量评价体系与/或标准或对语言风格与术语表述等方面有特殊要求，应在每次向中标人委托翻译任务时，以书面方式告知中标人，否则采购人应承担中标人因此而额外支出的费用，同时，中标人不承担相应语言风格和专业术语偏差的责任。该要求不应当超过上述服务规范要求的标准与/或本合同约定译文等级的质量要求。</w:t>
      </w:r>
    </w:p>
    <w:p>
      <w:pPr>
        <w:pStyle w:val="24"/>
        <w:tabs>
          <w:tab w:val="left" w:pos="720"/>
        </w:tabs>
        <w:autoSpaceDE w:val="0"/>
        <w:autoSpaceDN w:val="0"/>
        <w:adjustRightInd w:val="0"/>
        <w:spacing w:line="360" w:lineRule="auto"/>
        <w:ind w:right="17" w:firstLine="48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zh-CN"/>
          <w14:textFill>
            <w14:solidFill>
              <w14:schemeClr w14:val="tx1"/>
            </w14:solidFill>
          </w14:textFill>
        </w:rPr>
        <w:t>中标人提供为期1年的质量保证，自译件交付采购人之日起计算。保证期内，若采购人对译件提出异议，则中标人有义务按照合同约定质量标准并结合采购人的合理要求对其进行修改或校对，不计费用；保证期内，采购人因修改原件或增加翻译要求等非中标人原因需要修改译件的，中标人应全力配合并按本合同的约定或者双方另行约定收取费用。</w:t>
      </w:r>
    </w:p>
    <w:p>
      <w:pPr>
        <w:pStyle w:val="24"/>
        <w:tabs>
          <w:tab w:val="left" w:pos="720"/>
        </w:tabs>
        <w:autoSpaceDE w:val="0"/>
        <w:autoSpaceDN w:val="0"/>
        <w:adjustRightInd w:val="0"/>
        <w:spacing w:line="360" w:lineRule="auto"/>
        <w:ind w:right="17" w:firstLine="48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lang w:val="zh-CN"/>
          <w14:textFill>
            <w14:solidFill>
              <w14:schemeClr w14:val="tx1"/>
            </w14:solidFill>
          </w14:textFill>
        </w:rPr>
        <w:t>中标人未按约定时间交付译件的，采购人有权按所延误部分翻译费用的3 ‰（千分之三）按日收取违约金。但因采购人原因导致的延误，或双方达成一致的情况除外。</w:t>
      </w:r>
    </w:p>
    <w:p>
      <w:pPr>
        <w:pStyle w:val="24"/>
        <w:tabs>
          <w:tab w:val="left" w:pos="720"/>
        </w:tabs>
        <w:autoSpaceDE w:val="0"/>
        <w:autoSpaceDN w:val="0"/>
        <w:adjustRightInd w:val="0"/>
        <w:spacing w:line="360" w:lineRule="auto"/>
        <w:ind w:right="17" w:firstLine="48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zh-CN"/>
          <w14:textFill>
            <w14:solidFill>
              <w14:schemeClr w14:val="tx1"/>
            </w14:solidFill>
          </w14:textFill>
        </w:rPr>
        <w:t>.标准工期为：</w:t>
      </w:r>
      <w:r>
        <w:rPr>
          <w:rFonts w:hint="eastAsia" w:ascii="宋体" w:hAnsi="宋体" w:cs="宋体"/>
          <w:bCs/>
          <w:color w:val="000000" w:themeColor="text1"/>
          <w:sz w:val="24"/>
          <w:u w:val="single"/>
          <w:lang w:val="zh-CN"/>
          <w14:textFill>
            <w14:solidFill>
              <w14:schemeClr w14:val="tx1"/>
            </w14:solidFill>
          </w14:textFill>
        </w:rPr>
        <w:t>三个工作日</w:t>
      </w:r>
      <w:r>
        <w:rPr>
          <w:rFonts w:hint="eastAsia" w:ascii="宋体" w:hAnsi="宋体" w:cs="宋体"/>
          <w:bCs/>
          <w:color w:val="000000" w:themeColor="text1"/>
          <w:sz w:val="24"/>
          <w:u w:val="single"/>
          <w14:textFill>
            <w14:solidFill>
              <w14:schemeClr w14:val="tx1"/>
            </w14:solidFill>
          </w14:textFill>
        </w:rPr>
        <w:t>内</w:t>
      </w:r>
      <w:r>
        <w:rPr>
          <w:rFonts w:hint="eastAsia" w:ascii="宋体" w:hAnsi="宋体" w:cs="宋体"/>
          <w:bCs/>
          <w:color w:val="000000" w:themeColor="text1"/>
          <w:sz w:val="24"/>
          <w:lang w:val="zh-CN"/>
          <w14:textFill>
            <w14:solidFill>
              <w14:schemeClr w14:val="tx1"/>
            </w14:solidFill>
          </w14:textFill>
        </w:rPr>
        <w:t>。</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六、验收标准</w:t>
      </w:r>
    </w:p>
    <w:p>
      <w:pPr>
        <w:pStyle w:val="24"/>
        <w:tabs>
          <w:tab w:val="left" w:pos="720"/>
        </w:tabs>
        <w:autoSpaceDE w:val="0"/>
        <w:autoSpaceDN w:val="0"/>
        <w:adjustRightInd w:val="0"/>
        <w:spacing w:line="360" w:lineRule="auto"/>
        <w:ind w:right="17" w:firstLine="480"/>
        <w:jc w:val="left"/>
        <w:rPr>
          <w:rFonts w:ascii="宋体" w:hAnsi="宋体" w:cs="宋体"/>
          <w:bCs/>
          <w:color w:val="222A35" w:themeColor="text2" w:themeShade="80"/>
          <w:sz w:val="24"/>
        </w:rPr>
      </w:pPr>
      <w:r>
        <w:rPr>
          <w:rFonts w:hint="eastAsia" w:ascii="宋体" w:hAnsi="宋体" w:cs="宋体"/>
          <w:bCs/>
          <w:color w:val="000000" w:themeColor="text1"/>
          <w:sz w:val="24"/>
          <w14:textFill>
            <w14:solidFill>
              <w14:schemeClr w14:val="tx1"/>
            </w14:solidFill>
          </w14:textFill>
        </w:rPr>
        <w:t>采购人在每次中标人服务结束后，对服务内容进行验收。对于验收过程中发</w:t>
      </w:r>
      <w:r>
        <w:rPr>
          <w:rFonts w:hint="eastAsia" w:ascii="宋体" w:hAnsi="宋体" w:cs="宋体"/>
          <w:bCs/>
          <w:color w:val="222A35" w:themeColor="text2" w:themeShade="80"/>
          <w:sz w:val="24"/>
        </w:rPr>
        <w:t>现的问题，中标人应在发现问题之日起3天内进行改正，以符合采购人的需要。</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222A35" w:themeColor="text2" w:themeShade="80"/>
          <w:sz w:val="24"/>
        </w:rPr>
      </w:pPr>
      <w:r>
        <w:rPr>
          <w:rFonts w:hint="eastAsia" w:ascii="宋体" w:hAnsi="宋体" w:cs="宋体"/>
          <w:b/>
          <w:color w:val="222A35" w:themeColor="text2" w:themeShade="80"/>
          <w:sz w:val="24"/>
        </w:rPr>
        <w:t>七、商务要求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222A35" w:themeColor="text2" w:themeShade="80"/>
          <w:sz w:val="24"/>
        </w:rPr>
      </w:pPr>
      <w:r>
        <w:rPr>
          <w:rFonts w:hint="eastAsia" w:ascii="宋体" w:hAnsi="宋体" w:cs="宋体"/>
          <w:b/>
          <w:bCs/>
          <w:color w:val="222A35" w:themeColor="text2" w:themeShade="80"/>
          <w:kern w:val="0"/>
          <w:sz w:val="24"/>
        </w:rPr>
        <w:t>（一）服务期限</w:t>
      </w:r>
    </w:p>
    <w:p>
      <w:pPr>
        <w:spacing w:after="159" w:afterLines="50" w:line="360" w:lineRule="auto"/>
        <w:ind w:firstLine="480" w:firstLineChars="200"/>
        <w:rPr>
          <w:color w:val="222A35" w:themeColor="text2" w:themeShade="80"/>
        </w:rPr>
      </w:pPr>
      <w:r>
        <w:rPr>
          <w:rFonts w:hint="eastAsia" w:ascii="宋体" w:hAnsi="宋体" w:cs="宋体"/>
          <w:color w:val="222A35" w:themeColor="text2" w:themeShade="80"/>
          <w:sz w:val="24"/>
        </w:rPr>
        <w:t>本项目合同服务期限为自合同签订之日起至2024年11月30日。</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222A35" w:themeColor="text2" w:themeShade="80"/>
          <w:sz w:val="24"/>
        </w:rPr>
      </w:pPr>
      <w:r>
        <w:rPr>
          <w:rFonts w:hint="eastAsia" w:ascii="宋体" w:hAnsi="宋体" w:cs="宋体"/>
          <w:color w:val="222A35" w:themeColor="text2" w:themeShade="80"/>
          <w:sz w:val="24"/>
        </w:rPr>
        <w:t>1.本次投标单价合计金额(笔译级别+口译级别)作为价格评分依据，投标人需按采购人列出的清单填报相应单价，实际结算单价等于所投标单价，据实结算。投标单价不得超过相应限价，如投标单价超过相应限价，则视同无效报价。本项目服务费按合同期内实际翻译的数量结算,费用结算按照服务项目单价乘以数量结算。项目预算控制及合同总金额(支付上限)36万元。投标人的投标报价为完成项目及招标文件或合同条款所规定的工作内容的各项费用，项目服务费包括但不限于口译服务费用、设备费用、投标人工作人员成本、中标服务费、资料费、通讯费、交通费、税金、后续服务、利润等所有费用，并提供合同要求的成果文件，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222A35" w:themeColor="text2" w:themeShade="80"/>
          <w:kern w:val="0"/>
          <w:sz w:val="24"/>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w:t>
      </w:r>
      <w:r>
        <w:rPr>
          <w:rFonts w:hint="eastAsia" w:ascii="宋体" w:hAnsi="宋体" w:cs="宋体"/>
          <w:color w:val="222A35" w:themeColor="text2" w:themeShade="80"/>
          <w:sz w:val="24"/>
        </w:rPr>
        <w:t>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222A35" w:themeColor="text2" w:themeShade="80"/>
          <w:kern w:val="0"/>
          <w:sz w:val="24"/>
        </w:rPr>
      </w:pPr>
      <w:r>
        <w:rPr>
          <w:rFonts w:hint="eastAsia" w:ascii="宋体" w:hAnsi="宋体" w:cs="宋体"/>
          <w:b/>
          <w:bCs/>
          <w:color w:val="222A35" w:themeColor="text2" w:themeShade="80"/>
          <w:kern w:val="0"/>
          <w:sz w:val="24"/>
        </w:rPr>
        <w:t>（三）付款方式</w:t>
      </w:r>
    </w:p>
    <w:p>
      <w:pPr>
        <w:widowControl/>
        <w:spacing w:line="360" w:lineRule="auto"/>
        <w:ind w:firstLine="480" w:firstLineChars="200"/>
        <w:rPr>
          <w:rFonts w:ascii="宋体" w:hAnsi="宋体" w:cs="宋体"/>
          <w:color w:val="222A35" w:themeColor="text2" w:themeShade="80"/>
          <w:sz w:val="24"/>
        </w:rPr>
      </w:pPr>
      <w:r>
        <w:rPr>
          <w:rFonts w:hint="eastAsia" w:ascii="宋体" w:hAnsi="宋体" w:cs="宋体"/>
          <w:color w:val="000000" w:themeColor="text1"/>
          <w:sz w:val="24"/>
          <w14:textFill>
            <w14:solidFill>
              <w14:schemeClr w14:val="tx1"/>
            </w14:solidFill>
          </w14:textFill>
        </w:rPr>
        <w:t>本项目为单价报价，支付上限金额为36万元，按实际发生翻译服务工作量及实际结算单价据实结算，实际结算单价等于中标人所投标单价。中标人提交相应工作服务项目并经过采购人验收合格后，采购人向中标人指定银行账户支付相应金额。</w:t>
      </w:r>
    </w:p>
    <w:p>
      <w:pPr>
        <w:widowControl/>
        <w:spacing w:line="360" w:lineRule="auto"/>
        <w:ind w:firstLine="480" w:firstLineChars="200"/>
        <w:rPr>
          <w:rFonts w:ascii="宋体" w:hAnsi="宋体" w:cs="宋体"/>
          <w:color w:val="222A35" w:themeColor="text2" w:themeShade="80"/>
          <w:sz w:val="24"/>
        </w:rPr>
      </w:pPr>
      <w:r>
        <w:rPr>
          <w:rFonts w:hint="eastAsia" w:ascii="宋体" w:hAnsi="宋体" w:cs="宋体"/>
          <w:color w:val="222A35" w:themeColor="text2" w:themeShade="80"/>
          <w:sz w:val="24"/>
        </w:rPr>
        <w:t>乙方提交相应工作服务项目并经过甲方验收合格后，且采购人收到中标人开具的载明相应金额的合格发票后15个工作日内付至中标人指定银行账户。如未及时收到发票，则采购人相应付款时间顺延。若因</w:t>
      </w:r>
      <w:r>
        <w:rPr>
          <w:rFonts w:ascii="宋体" w:hAnsi="宋体" w:cs="宋体"/>
          <w:color w:val="222A35" w:themeColor="text2" w:themeShade="80"/>
          <w:sz w:val="24"/>
        </w:rPr>
        <w:t>采购人</w:t>
      </w:r>
      <w:r>
        <w:rPr>
          <w:rFonts w:hint="eastAsia" w:ascii="宋体" w:hAnsi="宋体" w:cs="宋体"/>
          <w:color w:val="222A35" w:themeColor="text2" w:themeShade="80"/>
          <w:sz w:val="24"/>
        </w:rPr>
        <w:t>付款审批影响支付进度，请</w:t>
      </w:r>
      <w:r>
        <w:rPr>
          <w:rFonts w:ascii="宋体" w:hAnsi="宋体" w:cs="宋体"/>
          <w:color w:val="222A35" w:themeColor="text2" w:themeShade="80"/>
          <w:sz w:val="24"/>
        </w:rPr>
        <w:t>中标人</w:t>
      </w:r>
      <w:r>
        <w:rPr>
          <w:rFonts w:hint="eastAsia" w:ascii="宋体" w:hAnsi="宋体" w:cs="宋体"/>
          <w:color w:val="222A35" w:themeColor="text2" w:themeShade="80"/>
          <w:sz w:val="24"/>
        </w:rPr>
        <w:t>予以谅解，并不得就此向</w:t>
      </w:r>
      <w:r>
        <w:rPr>
          <w:rFonts w:ascii="宋体" w:hAnsi="宋体" w:cs="宋体"/>
          <w:color w:val="222A35" w:themeColor="text2" w:themeShade="80"/>
          <w:sz w:val="24"/>
        </w:rPr>
        <w:t>采购人</w:t>
      </w:r>
      <w:r>
        <w:rPr>
          <w:rFonts w:hint="eastAsia" w:ascii="宋体" w:hAnsi="宋体" w:cs="宋体"/>
          <w:color w:val="222A35" w:themeColor="text2" w:themeShade="80"/>
          <w:sz w:val="24"/>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10%的违约金，如果违约金无法弥补采购人的损失，采购人有权要求中标人赔偿全部损失。</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应以保密方式处理在提供本协议项下翻译服务过程中自采购人、采购人工作人员或采购人关联机构获得的相关信息、资料、图纸、数据等，或由采购人在履行本协议过程中明确指明为秘密的任何信息，以及中标人因本项目工作内容所直接或间接取得、处理或接触的任何其他资料。未经采购人书面在先同意，中标人不得向任何第三方透露与本项目有关的内容，或公开本项目的翻译内容。即使向与履行本协议有关的人员提供前述保密信息，也应限于履行协议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3.中标人实施项目的程序应符合国家安全、保密的有关规定和标准。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1.中标人未按照本合同约定的时间完成本项目各阶段工作，每延迟一日，采购人有权自尚未支付的合同款项中扣除本合同服务费总金额的3‰的逾期违约金。</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2.本合同项下的工作内容不可分割，任一文件的迟延交付均视为整个项目的迟延交付。</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（1）中标人未能按合同约定的日期(含协商延缓的日期)提交各阶段工作成果，延误时间超过15个工作日；</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（2）因中标人工作的错误或遗漏造成翻译服务质量不符合本协议要求，且中标人未按采购人要求采取及时有效的补救措施的；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10%的违约金。</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center"/>
        <w:outlineLvl w:val="0"/>
        <w:rPr>
          <w:rFonts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7" w:name="_Toc23822"/>
      <w:r>
        <w:rPr>
          <w:rFonts w:hint="eastAsia" w:ascii="宋体" w:cs="宋体"/>
          <w:b/>
          <w:bCs/>
          <w:color w:val="000000" w:themeColor="text1"/>
          <w:sz w:val="24"/>
          <w14:textFill>
            <w14:solidFill>
              <w14:schemeClr w14:val="tx1"/>
            </w14:solidFill>
          </w14:textFill>
        </w:rPr>
        <w:t>第六章 投标文件初审及招标项目评分表</w:t>
      </w:r>
      <w:bookmarkEnd w:id="17"/>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pStyle w:val="3"/>
              <w:spacing w:line="360" w:lineRule="auto"/>
              <w:rPr>
                <w:rFonts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3"/>
              <w:spacing w:line="360" w:lineRule="auto"/>
              <w:rPr>
                <w:rFonts w:ascii="宋体" w:hAnsi="宋体" w:cs="宋体"/>
                <w:sz w:val="24"/>
              </w:rPr>
            </w:pPr>
            <w:r>
              <w:rPr>
                <w:rFonts w:hint="eastAsia" w:ascii="宋体" w:hAnsi="宋体" w:cs="宋体"/>
                <w:b/>
                <w:bCs/>
                <w:sz w:val="24"/>
              </w:rPr>
              <w:t>投标报价得分=(评标基准价／投标报价)×10</w:t>
            </w:r>
          </w:p>
          <w:p>
            <w:pPr>
              <w:numPr>
                <w:ilvl w:val="0"/>
                <w:numId w:val="7"/>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7"/>
              </w:numPr>
              <w:spacing w:line="360" w:lineRule="auto"/>
              <w:ind w:left="250" w:hanging="249" w:hangingChars="104"/>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3"/>
              <w:spacing w:line="360" w:lineRule="auto"/>
              <w:ind w:left="216" w:leftChars="103"/>
              <w:rPr>
                <w:rFonts w:ascii="宋体" w:hAnsi="宋体" w:cs="宋体"/>
                <w:sz w:val="24"/>
              </w:rPr>
            </w:pPr>
            <w:r>
              <w:rPr>
                <w:rFonts w:hint="eastAsia" w:ascii="宋体" w:hAnsi="宋体" w:cs="宋体"/>
                <w:bCs/>
                <w:kern w:val="2"/>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相关项目经验</w:t>
            </w:r>
          </w:p>
        </w:tc>
        <w:tc>
          <w:tcPr>
            <w:tcW w:w="5907" w:type="dxa"/>
            <w:vAlign w:val="center"/>
          </w:tcPr>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从20</w:t>
            </w:r>
            <w:r>
              <w:rPr>
                <w:rFonts w:hint="eastAsia" w:ascii="宋体" w:hAnsi="宋体" w:cs="宋体"/>
                <w:kern w:val="0"/>
                <w:sz w:val="24"/>
              </w:rPr>
              <w:t>21</w:t>
            </w:r>
            <w:r>
              <w:rPr>
                <w:rFonts w:hint="eastAsia" w:ascii="宋体" w:hAnsi="宋体" w:cs="宋体"/>
                <w:kern w:val="0"/>
                <w:sz w:val="24"/>
                <w:lang w:val="zh-CN"/>
              </w:rPr>
              <w:t>年1月1日至</w:t>
            </w:r>
            <w:r>
              <w:rPr>
                <w:rFonts w:hint="eastAsia" w:ascii="宋体" w:hAnsi="宋体" w:cs="宋体"/>
                <w:kern w:val="0"/>
                <w:sz w:val="24"/>
              </w:rPr>
              <w:t>投标截止</w:t>
            </w:r>
            <w:r>
              <w:rPr>
                <w:rFonts w:hint="eastAsia" w:ascii="宋体" w:hAnsi="宋体" w:cs="宋体"/>
                <w:kern w:val="0"/>
                <w:sz w:val="24"/>
                <w:lang w:val="zh-CN"/>
              </w:rPr>
              <w:t>日（</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有与翻译相关的项目经验</w:t>
            </w:r>
            <w:r>
              <w:rPr>
                <w:rFonts w:hint="eastAsia" w:ascii="宋体" w:hAnsi="宋体" w:cs="宋体"/>
                <w:kern w:val="0"/>
                <w:sz w:val="24"/>
                <w:lang w:val="zh-CN"/>
              </w:rPr>
              <w:t>，每项</w:t>
            </w:r>
            <w:r>
              <w:rPr>
                <w:rFonts w:hint="eastAsia" w:ascii="宋体" w:hAnsi="宋体" w:cs="宋体"/>
                <w:kern w:val="0"/>
                <w:sz w:val="24"/>
              </w:rPr>
              <w:t>5</w:t>
            </w:r>
            <w:r>
              <w:rPr>
                <w:rFonts w:hint="eastAsia" w:ascii="宋体" w:hAnsi="宋体" w:cs="宋体"/>
                <w:kern w:val="0"/>
                <w:sz w:val="24"/>
                <w:lang w:val="zh-CN"/>
              </w:rPr>
              <w:t>分，最高</w:t>
            </w:r>
            <w:r>
              <w:rPr>
                <w:rFonts w:hint="eastAsia" w:ascii="宋体" w:hAnsi="宋体" w:cs="宋体"/>
                <w:kern w:val="0"/>
                <w:sz w:val="24"/>
              </w:rPr>
              <w:t>15</w:t>
            </w:r>
            <w:r>
              <w:rPr>
                <w:rFonts w:hint="eastAsia" w:ascii="宋体" w:hAnsi="宋体" w:cs="宋体"/>
                <w:kern w:val="0"/>
                <w:sz w:val="24"/>
                <w:lang w:val="zh-CN"/>
              </w:rPr>
              <w:t>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（二）证明文件：</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须提供业绩合同关键页（包括但不限于合同封面、合作内容、</w:t>
            </w:r>
            <w:r>
              <w:rPr>
                <w:rFonts w:hint="eastAsia" w:ascii="宋体" w:hAnsi="宋体" w:cs="宋体"/>
                <w:sz w:val="24"/>
              </w:rPr>
              <w:t>合同签订日期页及</w:t>
            </w:r>
            <w:r>
              <w:rPr>
                <w:rFonts w:hint="eastAsia" w:ascii="宋体" w:hAnsi="宋体" w:cs="宋体"/>
                <w:sz w:val="24"/>
                <w:lang w:val="zh-CN"/>
              </w:rPr>
              <w:t>双方</w:t>
            </w:r>
            <w:r>
              <w:rPr>
                <w:rFonts w:hint="eastAsia" w:ascii="宋体" w:hAnsi="宋体" w:cs="宋体"/>
                <w:sz w:val="24"/>
              </w:rPr>
              <w:t>签字</w:t>
            </w:r>
            <w:r>
              <w:rPr>
                <w:rFonts w:hint="eastAsia" w:ascii="宋体" w:hAnsi="宋体" w:cs="宋体"/>
                <w:sz w:val="24"/>
                <w:lang w:val="zh-CN"/>
              </w:rPr>
              <w:t>盖章页等）扫描件，扫描件加盖投标人公章，原件备查。投标人提供虚假材料的，将做无效投标处理，涉嫌存在违法违规行为的，依法报主管部门处理处罚。</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vAlign w:val="center"/>
          </w:tcPr>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（一）评分内容：</w:t>
            </w:r>
          </w:p>
          <w:p>
            <w:pPr>
              <w:spacing w:line="360" w:lineRule="auto"/>
              <w:jc w:val="left"/>
              <w:rPr>
                <w:rFonts w:ascii="宋体" w:hAnsi="宋体" w:cs="宋体"/>
                <w:sz w:val="24"/>
              </w:rPr>
            </w:pPr>
            <w:r>
              <w:rPr>
                <w:rFonts w:hint="eastAsia" w:ascii="宋体" w:hAnsi="宋体" w:cs="宋体"/>
                <w:sz w:val="24"/>
              </w:rPr>
              <w:t>1.项目负责人需具有笔译口译资质。满足条件得5分，其他不得分。</w:t>
            </w:r>
          </w:p>
          <w:p>
            <w:pPr>
              <w:spacing w:line="360" w:lineRule="auto"/>
              <w:jc w:val="left"/>
              <w:rPr>
                <w:rFonts w:ascii="宋体" w:hAnsi="宋体" w:cs="宋体"/>
                <w:sz w:val="24"/>
              </w:rPr>
            </w:pPr>
            <w:r>
              <w:rPr>
                <w:rFonts w:hint="eastAsia" w:ascii="宋体" w:hAnsi="宋体" w:cs="宋体"/>
                <w:sz w:val="24"/>
              </w:rPr>
              <w:t>2.项目负责人为投标人在职员工，且具有十年及以上的从业经验。满足条件得5分，其他不得分。</w:t>
            </w:r>
          </w:p>
          <w:p>
            <w:pPr>
              <w:spacing w:line="360" w:lineRule="auto"/>
              <w:jc w:val="left"/>
              <w:rPr>
                <w:rFonts w:ascii="宋体" w:hAnsi="宋体" w:cs="宋体"/>
                <w:sz w:val="24"/>
              </w:rPr>
            </w:pPr>
            <w:r>
              <w:rPr>
                <w:rFonts w:hint="eastAsia" w:ascii="宋体" w:hAnsi="宋体" w:cs="宋体"/>
                <w:sz w:val="24"/>
              </w:rPr>
              <w:t>3.项目负责人在2023年全年内服务过不少于30场国际线下会议。满足条件得5分，其他不得分。</w:t>
            </w:r>
          </w:p>
          <w:p>
            <w:pPr>
              <w:spacing w:line="360" w:lineRule="auto"/>
              <w:jc w:val="left"/>
              <w:rPr>
                <w:rFonts w:ascii="宋体" w:hAnsi="宋体" w:cs="宋体"/>
                <w:sz w:val="24"/>
                <w:lang w:val="zh-CN"/>
              </w:rPr>
            </w:pPr>
            <w:r>
              <w:rPr>
                <w:rFonts w:hint="eastAsia" w:ascii="宋体" w:hAnsi="宋体" w:cs="宋体"/>
                <w:sz w:val="24"/>
                <w:lang w:val="zh-CN"/>
              </w:rPr>
              <w:t>（二）评分依据：</w:t>
            </w:r>
          </w:p>
          <w:p>
            <w:pPr>
              <w:spacing w:line="360" w:lineRule="auto"/>
              <w:jc w:val="left"/>
              <w:rPr>
                <w:rFonts w:ascii="宋体" w:hAnsi="宋体" w:cs="宋体"/>
                <w:sz w:val="24"/>
              </w:rPr>
            </w:pPr>
            <w:r>
              <w:rPr>
                <w:rFonts w:hint="eastAsia" w:ascii="宋体" w:hAnsi="宋体" w:cs="宋体"/>
                <w:sz w:val="24"/>
                <w:lang w:val="zh-CN"/>
              </w:rPr>
              <w:t>1.提供能证明具有</w:t>
            </w:r>
            <w:r>
              <w:rPr>
                <w:rFonts w:hint="eastAsia" w:ascii="宋体" w:hAnsi="宋体" w:cs="宋体"/>
                <w:sz w:val="24"/>
              </w:rPr>
              <w:t>笔译口译资质的相关证书（人社部门颁发的考试资格证书或外语口译类证书或国内外院校高级翻译学院的毕业证书），需体现人员名称。涉及学历的，提供毕业证书扫描件及学信网查询记录截图（如较早颁发的毕业证书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spacing w:line="360" w:lineRule="auto"/>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拟安排的项目负责人须为投标人在职员工，提供通过投标人缴纳的</w:t>
            </w:r>
            <w:r>
              <w:rPr>
                <w:rFonts w:hint="eastAsia" w:ascii="宋体" w:hAnsi="宋体" w:cs="宋体"/>
                <w:sz w:val="24"/>
              </w:rPr>
              <w:t>近六个月内任意一个月社保缴纳记录</w:t>
            </w:r>
            <w:r>
              <w:rPr>
                <w:rFonts w:hint="eastAsia" w:ascii="宋体" w:hAnsi="宋体" w:cs="宋体"/>
                <w:sz w:val="24"/>
                <w:lang w:val="zh-CN"/>
              </w:rPr>
              <w:t>作为本单位员工的证明依据，且需提供毕业证书、入职证明等相关证明材料，需体现人员名称和时间等。</w:t>
            </w:r>
          </w:p>
          <w:p>
            <w:pPr>
              <w:autoSpaceDE w:val="0"/>
              <w:autoSpaceDN w:val="0"/>
              <w:adjustRightInd w:val="0"/>
              <w:spacing w:line="360" w:lineRule="auto"/>
              <w:jc w:val="left"/>
            </w:pPr>
            <w:r>
              <w:rPr>
                <w:rFonts w:hint="eastAsia" w:ascii="宋体" w:hAnsi="宋体" w:cs="宋体"/>
                <w:sz w:val="24"/>
              </w:rPr>
              <w:t>3.项目负责人从业经验以高级翻译学院毕业年份至投标截止时间为得分依据。</w:t>
            </w:r>
          </w:p>
          <w:p>
            <w:pPr>
              <w:autoSpaceDE w:val="0"/>
              <w:autoSpaceDN w:val="0"/>
              <w:adjustRightIn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sz w:val="24"/>
                <w:lang w:val="zh-CN"/>
              </w:rPr>
              <w:t>项目负责人的项目经验须提供服务项目合同关键信息（包括但不限于合同封面、合作内容、双方盖章页等，</w:t>
            </w:r>
            <w:r>
              <w:rPr>
                <w:rFonts w:hint="eastAsia" w:ascii="宋体" w:hAnsi="宋体" w:cs="宋体"/>
                <w:sz w:val="24"/>
              </w:rPr>
              <w:t>需体现人员名称</w:t>
            </w:r>
            <w:r>
              <w:rPr>
                <w:rFonts w:hint="eastAsia" w:ascii="宋体" w:hAnsi="宋体" w:cs="宋体"/>
                <w:sz w:val="24"/>
                <w:lang w:val="zh-CN"/>
              </w:rPr>
              <w:t>）作为得分依据，通过合同关键信息无法判断是否得分的，还须同时提供合同甲方出具的证明文件等。专家无法凭所提供资料判断是否得分的情况。</w:t>
            </w:r>
          </w:p>
          <w:p>
            <w:pPr>
              <w:autoSpaceDE w:val="0"/>
              <w:autoSpaceDN w:val="0"/>
              <w:adjustRightIn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sz w:val="24"/>
                <w:lang w:val="zh-CN"/>
              </w:rPr>
              <w:t>.以上资料均要求提供复印件加盖投标人公章，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团队成员（项目负责人除外）</w:t>
            </w:r>
          </w:p>
        </w:tc>
        <w:tc>
          <w:tcPr>
            <w:tcW w:w="5907" w:type="dxa"/>
            <w:vAlign w:val="center"/>
          </w:tcPr>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（一）评分内容：</w:t>
            </w:r>
          </w:p>
          <w:p>
            <w:pPr>
              <w:spacing w:line="360" w:lineRule="auto"/>
              <w:jc w:val="left"/>
              <w:rPr>
                <w:rFonts w:ascii="宋体" w:hAnsi="宋体" w:cs="宋体"/>
                <w:sz w:val="24"/>
              </w:rPr>
            </w:pPr>
            <w:r>
              <w:rPr>
                <w:rFonts w:hint="eastAsia" w:ascii="宋体" w:hAnsi="宋体" w:cs="宋体"/>
                <w:sz w:val="24"/>
              </w:rPr>
              <w:t>1.具有10年及以上同传行业工作经验。</w:t>
            </w:r>
            <w:r>
              <w:rPr>
                <w:rFonts w:hint="eastAsia" w:ascii="宋体" w:hAnsi="宋体" w:cs="宋体"/>
                <w:sz w:val="24"/>
                <w:lang w:val="zh-CN"/>
              </w:rPr>
              <w:t>每提供</w:t>
            </w:r>
            <w:r>
              <w:rPr>
                <w:rFonts w:ascii="宋体" w:hAnsi="宋体" w:cs="宋体"/>
                <w:sz w:val="24"/>
                <w:lang w:val="zh-CN"/>
              </w:rPr>
              <w:t>1</w:t>
            </w:r>
            <w:r>
              <w:rPr>
                <w:rFonts w:hint="eastAsia" w:ascii="宋体" w:hAnsi="宋体" w:cs="宋体"/>
                <w:sz w:val="24"/>
              </w:rPr>
              <w:t>人</w:t>
            </w:r>
            <w:r>
              <w:rPr>
                <w:rFonts w:hint="eastAsia" w:ascii="宋体" w:hAnsi="宋体" w:cs="宋体"/>
                <w:sz w:val="24"/>
                <w:lang w:val="zh-CN"/>
              </w:rPr>
              <w:t>得</w:t>
            </w:r>
            <w:r>
              <w:rPr>
                <w:rFonts w:hint="eastAsia" w:ascii="宋体" w:hAnsi="宋体" w:cs="宋体"/>
                <w:sz w:val="24"/>
              </w:rPr>
              <w:t>3</w:t>
            </w:r>
            <w:r>
              <w:rPr>
                <w:rFonts w:hint="eastAsia" w:ascii="宋体" w:hAnsi="宋体" w:cs="宋体"/>
                <w:sz w:val="24"/>
                <w:lang w:val="zh-CN"/>
              </w:rPr>
              <w:t>分，满分</w:t>
            </w:r>
            <w:r>
              <w:rPr>
                <w:rFonts w:hint="eastAsia" w:ascii="宋体" w:hAnsi="宋体" w:cs="宋体"/>
                <w:sz w:val="24"/>
              </w:rPr>
              <w:t>6</w:t>
            </w:r>
            <w:r>
              <w:rPr>
                <w:rFonts w:hint="eastAsia" w:ascii="宋体" w:hAnsi="宋体" w:cs="宋体"/>
                <w:sz w:val="24"/>
                <w:lang w:val="zh-CN"/>
              </w:rPr>
              <w:t>分。其他不得分。</w:t>
            </w:r>
          </w:p>
          <w:p>
            <w:pPr>
              <w:spacing w:line="360" w:lineRule="auto"/>
              <w:jc w:val="left"/>
              <w:rPr>
                <w:rFonts w:ascii="宋体" w:hAnsi="宋体" w:cs="宋体"/>
                <w:sz w:val="24"/>
              </w:rPr>
            </w:pPr>
            <w:r>
              <w:rPr>
                <w:rFonts w:ascii="宋体" w:hAnsi="宋体" w:cs="宋体"/>
                <w:sz w:val="24"/>
              </w:rPr>
              <w:t>2.</w:t>
            </w:r>
            <w:r>
              <w:rPr>
                <w:rFonts w:hint="eastAsia" w:ascii="宋体" w:hAnsi="宋体" w:cs="宋体"/>
                <w:sz w:val="24"/>
              </w:rPr>
              <w:t>在具有10年及以上同传行业工作经验基础上，团队成员满足研究生学历的。每提供1人得2分，满分4分。</w:t>
            </w:r>
          </w:p>
          <w:p>
            <w:pPr>
              <w:spacing w:line="360" w:lineRule="auto"/>
              <w:jc w:val="left"/>
              <w:rPr>
                <w:rFonts w:ascii="宋体" w:hAnsi="宋体" w:cs="宋体"/>
                <w:sz w:val="24"/>
                <w:lang w:val="zh-CN"/>
              </w:rPr>
            </w:pPr>
            <w:r>
              <w:rPr>
                <w:rFonts w:hint="eastAsia" w:ascii="宋体" w:hAnsi="宋体" w:cs="宋体"/>
                <w:sz w:val="24"/>
                <w:lang w:val="zh-CN"/>
              </w:rPr>
              <w:t>（二）评分依据：</w:t>
            </w:r>
          </w:p>
          <w:p>
            <w:pPr>
              <w:spacing w:line="360" w:lineRule="auto"/>
              <w:jc w:val="left"/>
              <w:rPr>
                <w:rFonts w:ascii="宋体" w:hAnsi="宋体" w:cs="宋体"/>
                <w:sz w:val="24"/>
                <w:lang w:val="zh-CN"/>
              </w:rPr>
            </w:pPr>
            <w:r>
              <w:rPr>
                <w:rFonts w:hint="eastAsia" w:ascii="宋体" w:hAnsi="宋体" w:cs="宋体"/>
                <w:sz w:val="24"/>
                <w:lang w:val="zh-CN"/>
              </w:rPr>
              <w:t>1.拟安排的项目团队成员须为投标人在职员工，提供通过投标人缴纳的</w:t>
            </w:r>
            <w:r>
              <w:rPr>
                <w:rFonts w:hint="eastAsia" w:ascii="宋体" w:hAnsi="宋体" w:cs="宋体"/>
                <w:sz w:val="24"/>
              </w:rPr>
              <w:t>近六个月内任意一个月社保缴纳记录</w:t>
            </w:r>
            <w:r>
              <w:rPr>
                <w:rFonts w:hint="eastAsia" w:ascii="宋体" w:hAnsi="宋体" w:cs="宋体"/>
                <w:sz w:val="24"/>
                <w:lang w:val="zh-CN"/>
              </w:rPr>
              <w:t>作为本单位员工的证明依据，且需提供毕业证书、入职证明等相关证明材料，需体现人员名称和关键时间等。</w:t>
            </w:r>
          </w:p>
          <w:p>
            <w:pPr>
              <w:spacing w:line="360" w:lineRule="auto"/>
              <w:jc w:val="left"/>
            </w:pPr>
            <w:r>
              <w:rPr>
                <w:rFonts w:hint="eastAsia" w:ascii="宋体" w:hAnsi="宋体" w:cs="宋体"/>
                <w:sz w:val="24"/>
              </w:rPr>
              <w:t>2.</w:t>
            </w:r>
            <w:r>
              <w:rPr>
                <w:rFonts w:hint="eastAsia" w:ascii="宋体" w:hAnsi="宋体" w:cs="宋体"/>
                <w:sz w:val="24"/>
                <w:lang w:val="zh-CN"/>
              </w:rPr>
              <w:t>提供学历证明，学历证明要求提供学历证书及学信网查询记录截图（如较早颁发的毕业证书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证明文件需体现人员名称。</w:t>
            </w:r>
          </w:p>
          <w:p>
            <w:pPr>
              <w:autoSpaceDE w:val="0"/>
              <w:autoSpaceDN w:val="0"/>
              <w:adjustRightInd w:val="0"/>
              <w:spacing w:line="360" w:lineRule="auto"/>
              <w:jc w:val="left"/>
            </w:pPr>
            <w:r>
              <w:rPr>
                <w:rFonts w:hint="eastAsia" w:ascii="宋体" w:hAnsi="宋体" w:cs="宋体"/>
                <w:sz w:val="24"/>
              </w:rPr>
              <w:t>3.团队人员从业经验以高级翻译学院毕业年份至投标截止时间为得分依据。</w:t>
            </w:r>
          </w:p>
          <w:p>
            <w:pPr>
              <w:autoSpaceDE w:val="0"/>
              <w:autoSpaceDN w:val="0"/>
              <w:adjustRightInd w:val="0"/>
              <w:spacing w:line="360" w:lineRule="auto"/>
              <w:jc w:val="left"/>
              <w:rPr>
                <w:rFonts w:ascii="宋体" w:hAnsi="宋体" w:cs="宋体"/>
                <w:kern w:val="0"/>
                <w:sz w:val="24"/>
              </w:rPr>
            </w:pPr>
            <w:r>
              <w:rPr>
                <w:rFonts w:ascii="宋体" w:hAnsi="宋体" w:cs="宋体"/>
                <w:sz w:val="24"/>
              </w:rPr>
              <w:t>4</w:t>
            </w:r>
            <w:r>
              <w:rPr>
                <w:rFonts w:hint="eastAsia" w:ascii="宋体" w:hAnsi="宋体" w:cs="宋体"/>
                <w:sz w:val="24"/>
                <w:lang w:val="zh-CN"/>
              </w:rPr>
              <w:t>.以上资料均要求提供复印件加盖投标人公章，</w:t>
            </w:r>
            <w:r>
              <w:rPr>
                <w:rFonts w:hint="eastAsia" w:ascii="宋体" w:hAnsi="宋体" w:cs="宋体"/>
                <w:sz w:val="24"/>
              </w:rPr>
              <w:t>原件备查，</w:t>
            </w:r>
            <w:r>
              <w:rPr>
                <w:rFonts w:hint="eastAsia" w:ascii="宋体" w:hAnsi="宋体" w:cs="宋体"/>
                <w:sz w:val="24"/>
                <w:lang w:val="zh-CN"/>
              </w:rPr>
              <w:t>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诚信声明与承诺</w:t>
            </w:r>
          </w:p>
        </w:tc>
        <w:tc>
          <w:tcPr>
            <w:tcW w:w="5907" w:type="dxa"/>
            <w:vAlign w:val="center"/>
          </w:tcPr>
          <w:p>
            <w:pPr>
              <w:wordWrap w:val="0"/>
              <w:spacing w:line="360" w:lineRule="auto"/>
              <w:rPr>
                <w:rFonts w:ascii="宋体" w:hAnsi="宋体" w:cs="宋体"/>
                <w:kern w:val="0"/>
                <w:sz w:val="24"/>
                <w:lang w:val="zh-CN"/>
              </w:rPr>
            </w:pPr>
            <w:r>
              <w:rPr>
                <w:rFonts w:hint="eastAsia" w:ascii="宋体" w:hAnsi="宋体" w:cs="宋体"/>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901" w:type="dxa"/>
            <w:vAlign w:val="center"/>
          </w:tcPr>
          <w:p>
            <w:pPr>
              <w:spacing w:line="360" w:lineRule="auto"/>
              <w:jc w:val="center"/>
              <w:rPr>
                <w:rFonts w:ascii="宋体" w:hAnsi="宋体" w:cs="宋体"/>
                <w:sz w:val="24"/>
              </w:rPr>
            </w:pPr>
            <w:r>
              <w:rPr>
                <w:rFonts w:hint="eastAsia" w:ascii="宋体" w:hAnsi="宋体" w:cs="宋体"/>
                <w:sz w:val="24"/>
              </w:rPr>
              <w:t>5</w:t>
            </w:r>
          </w:p>
        </w:tc>
        <w:tc>
          <w:tcPr>
            <w:tcW w:w="1079" w:type="dxa"/>
            <w:vAlign w:val="center"/>
          </w:tcPr>
          <w:p>
            <w:pPr>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rPr>
              <w:t>项目实施方案</w:t>
            </w:r>
          </w:p>
        </w:tc>
        <w:tc>
          <w:tcPr>
            <w:tcW w:w="5907" w:type="dxa"/>
            <w:vAlign w:val="center"/>
          </w:tcPr>
          <w:p>
            <w:pPr>
              <w:spacing w:line="360" w:lineRule="auto"/>
              <w:rPr>
                <w:rFonts w:ascii="宋体" w:hAnsi="宋体" w:cs="宋体"/>
                <w:sz w:val="24"/>
              </w:rPr>
            </w:pPr>
            <w:r>
              <w:rPr>
                <w:rFonts w:hint="eastAsia" w:ascii="宋体" w:hAnsi="宋体" w:cs="宋体"/>
                <w:sz w:val="24"/>
              </w:rPr>
              <w:t>评审内容：</w:t>
            </w:r>
          </w:p>
          <w:p>
            <w:pPr>
              <w:spacing w:line="360" w:lineRule="auto"/>
              <w:rPr>
                <w:rFonts w:ascii="宋体" w:hAnsi="宋体" w:cs="宋体"/>
                <w:sz w:val="24"/>
              </w:rPr>
            </w:pPr>
            <w:r>
              <w:rPr>
                <w:rFonts w:hint="eastAsia" w:ascii="宋体" w:hAnsi="宋体" w:cs="宋体"/>
                <w:sz w:val="24"/>
              </w:rPr>
              <w:t>投标人根据项目自身特点，针对项目运行的整体设想和策划，编制实施方案。包括但不限于以下内容：</w:t>
            </w:r>
          </w:p>
          <w:p>
            <w:pPr>
              <w:spacing w:line="360" w:lineRule="auto"/>
              <w:rPr>
                <w:rFonts w:ascii="宋体" w:hAnsi="宋体" w:cs="宋体"/>
                <w:sz w:val="24"/>
              </w:rPr>
            </w:pPr>
            <w:r>
              <w:rPr>
                <w:rFonts w:hint="eastAsia" w:ascii="宋体" w:hAnsi="宋体" w:cs="宋体"/>
                <w:sz w:val="24"/>
              </w:rPr>
              <w:t>1、项目背景；</w:t>
            </w:r>
          </w:p>
          <w:p>
            <w:pPr>
              <w:spacing w:line="360" w:lineRule="auto"/>
              <w:rPr>
                <w:rFonts w:ascii="宋体" w:hAnsi="宋体" w:cs="宋体"/>
                <w:sz w:val="24"/>
              </w:rPr>
            </w:pPr>
            <w:r>
              <w:rPr>
                <w:rFonts w:hint="eastAsia" w:ascii="宋体" w:hAnsi="宋体" w:cs="宋体"/>
                <w:sz w:val="24"/>
              </w:rPr>
              <w:t>2、服务目标；</w:t>
            </w:r>
          </w:p>
          <w:p>
            <w:pPr>
              <w:spacing w:line="360" w:lineRule="auto"/>
              <w:rPr>
                <w:rFonts w:ascii="宋体" w:hAnsi="宋体" w:cs="宋体"/>
                <w:sz w:val="24"/>
              </w:rPr>
            </w:pPr>
            <w:r>
              <w:rPr>
                <w:rFonts w:hint="eastAsia" w:ascii="宋体" w:hAnsi="宋体" w:cs="宋体"/>
                <w:sz w:val="24"/>
              </w:rPr>
              <w:t>3、服务内容。</w:t>
            </w:r>
          </w:p>
          <w:p>
            <w:pPr>
              <w:spacing w:line="360" w:lineRule="auto"/>
              <w:rPr>
                <w:rFonts w:ascii="宋体" w:hAnsi="宋体" w:cs="宋体"/>
                <w:sz w:val="24"/>
              </w:rPr>
            </w:pPr>
            <w:r>
              <w:rPr>
                <w:rFonts w:hint="eastAsia" w:ascii="宋体" w:hAnsi="宋体" w:cs="宋体"/>
                <w:sz w:val="24"/>
              </w:rPr>
              <w:t>评分标准：</w:t>
            </w:r>
          </w:p>
          <w:p>
            <w:pPr>
              <w:spacing w:line="360" w:lineRule="auto"/>
              <w:rPr>
                <w:rFonts w:ascii="宋体" w:hAnsi="宋体" w:cs="宋体"/>
                <w:sz w:val="24"/>
              </w:rPr>
            </w:pPr>
            <w:r>
              <w:rPr>
                <w:rFonts w:hint="eastAsia" w:ascii="宋体" w:hAnsi="宋体" w:cs="宋体"/>
                <w:sz w:val="24"/>
              </w:rPr>
              <w:t>1、每满足1点得2分，最高得6分，未满足不得分。</w:t>
            </w:r>
          </w:p>
          <w:p>
            <w:pPr>
              <w:spacing w:line="360" w:lineRule="auto"/>
              <w:rPr>
                <w:rFonts w:ascii="宋体" w:hAnsi="宋体" w:cs="宋体"/>
                <w:sz w:val="24"/>
              </w:rPr>
            </w:pPr>
            <w:r>
              <w:rPr>
                <w:rFonts w:hint="eastAsia" w:ascii="宋体" w:hAnsi="宋体" w:cs="宋体"/>
                <w:sz w:val="24"/>
              </w:rPr>
              <w:t>2、在此基础上，评审专家根据投标人的具体相应内容按照量化的评审因素指标进一步评审：</w:t>
            </w:r>
          </w:p>
          <w:p>
            <w:pPr>
              <w:spacing w:line="360" w:lineRule="auto"/>
              <w:rPr>
                <w:rFonts w:ascii="宋体" w:hAnsi="宋体" w:cs="宋体"/>
                <w:sz w:val="24"/>
              </w:rPr>
            </w:pPr>
            <w:r>
              <w:rPr>
                <w:rFonts w:hint="eastAsia" w:ascii="宋体" w:hAnsi="宋体" w:cs="宋体"/>
                <w:sz w:val="24"/>
              </w:rPr>
              <w:t>评审为优：方案内容完整详细且符合项目实际，可行性强的，加4分；</w:t>
            </w:r>
          </w:p>
          <w:p>
            <w:pPr>
              <w:spacing w:line="360" w:lineRule="auto"/>
              <w:rPr>
                <w:rFonts w:ascii="宋体" w:hAnsi="宋体" w:cs="宋体"/>
                <w:sz w:val="24"/>
              </w:rPr>
            </w:pPr>
            <w:r>
              <w:rPr>
                <w:rFonts w:hint="eastAsia" w:ascii="宋体" w:hAnsi="宋体" w:cs="宋体"/>
                <w:sz w:val="24"/>
              </w:rPr>
              <w:t>评审为良：方案内容完整，可行性较好的，加2分；</w:t>
            </w:r>
          </w:p>
          <w:p>
            <w:pPr>
              <w:spacing w:line="360" w:lineRule="auto"/>
              <w:rPr>
                <w:rFonts w:ascii="宋体" w:hAnsi="宋体" w:cs="宋体"/>
                <w:sz w:val="24"/>
              </w:rPr>
            </w:pPr>
            <w:r>
              <w:rPr>
                <w:rFonts w:hint="eastAsia" w:ascii="宋体" w:hAnsi="宋体" w:cs="宋体"/>
                <w:sz w:val="24"/>
              </w:rPr>
              <w:t>评审为中：方案内容能符合项目部分要求，较贴近项目实际的，加1分；</w:t>
            </w:r>
          </w:p>
          <w:p>
            <w:pPr>
              <w:spacing w:line="360" w:lineRule="auto"/>
              <w:rPr>
                <w:rFonts w:ascii="宋体" w:hAnsi="宋体" w:cs="宋体"/>
                <w:sz w:val="24"/>
              </w:rPr>
            </w:pPr>
            <w:r>
              <w:rPr>
                <w:rFonts w:hint="eastAsia" w:ascii="宋体" w:hAnsi="宋体" w:cs="宋体"/>
                <w:sz w:val="24"/>
              </w:rPr>
              <w:t>评审为差：方案内容不符合项目要求的，不加分。</w:t>
            </w:r>
          </w:p>
          <w:p>
            <w:pPr>
              <w:pStyle w:val="11"/>
              <w:ind w:left="0" w:leftChars="0"/>
            </w:pPr>
            <w:r>
              <w:rPr>
                <w:rFonts w:hint="eastAsia" w:ascii="宋体" w:hAnsi="宋体" w:cs="宋体"/>
                <w:sz w:val="24"/>
              </w:rPr>
              <w:t>如果评审为差，要求专家书面说明理由，并记录在档。</w:t>
            </w:r>
          </w:p>
        </w:tc>
        <w:tc>
          <w:tcPr>
            <w:tcW w:w="901" w:type="dxa"/>
            <w:vAlign w:val="center"/>
          </w:tcPr>
          <w:p>
            <w:pPr>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rPr>
              <w:t>项目重难点分析及解决方案</w:t>
            </w:r>
          </w:p>
        </w:tc>
        <w:tc>
          <w:tcPr>
            <w:tcW w:w="5907" w:type="dxa"/>
            <w:vAlign w:val="center"/>
          </w:tcPr>
          <w:p>
            <w:pPr>
              <w:spacing w:line="360" w:lineRule="auto"/>
              <w:rPr>
                <w:rFonts w:ascii="宋体" w:hAnsi="宋体" w:cs="宋体"/>
                <w:sz w:val="24"/>
              </w:rPr>
            </w:pPr>
            <w:r>
              <w:rPr>
                <w:rFonts w:hint="eastAsia" w:ascii="宋体" w:hAnsi="宋体" w:cs="宋体"/>
                <w:sz w:val="24"/>
              </w:rPr>
              <w:t>评审内容：</w:t>
            </w:r>
          </w:p>
          <w:p>
            <w:pPr>
              <w:spacing w:line="360" w:lineRule="auto"/>
              <w:rPr>
                <w:rFonts w:ascii="宋体" w:hAnsi="宋体" w:cs="宋体"/>
                <w:sz w:val="24"/>
              </w:rPr>
            </w:pPr>
            <w:r>
              <w:rPr>
                <w:rFonts w:hint="eastAsia" w:ascii="宋体" w:hAnsi="宋体" w:cs="宋体"/>
                <w:sz w:val="24"/>
              </w:rPr>
              <w:t>投标人根据投标文件，提供对本项目的重点难点分析、应对措施及相关的合理化建议。包括但不限于以下内容：</w:t>
            </w:r>
          </w:p>
          <w:p>
            <w:pPr>
              <w:spacing w:line="360" w:lineRule="auto"/>
              <w:rPr>
                <w:rFonts w:ascii="宋体" w:hAnsi="宋体" w:cs="宋体"/>
                <w:sz w:val="24"/>
              </w:rPr>
            </w:pPr>
            <w:r>
              <w:rPr>
                <w:rFonts w:hint="eastAsia" w:ascii="宋体" w:hAnsi="宋体" w:cs="宋体"/>
                <w:sz w:val="24"/>
              </w:rPr>
              <w:t>1、项目重点难点分析；</w:t>
            </w:r>
          </w:p>
          <w:p>
            <w:pPr>
              <w:spacing w:line="360" w:lineRule="auto"/>
              <w:rPr>
                <w:rFonts w:ascii="宋体" w:hAnsi="宋体" w:cs="宋体"/>
                <w:sz w:val="24"/>
              </w:rPr>
            </w:pPr>
            <w:r>
              <w:rPr>
                <w:rFonts w:hint="eastAsia" w:ascii="宋体" w:hAnsi="宋体" w:cs="宋体"/>
                <w:sz w:val="24"/>
              </w:rPr>
              <w:t>2、重点难点应对措施；</w:t>
            </w:r>
          </w:p>
          <w:p>
            <w:pPr>
              <w:spacing w:line="360" w:lineRule="auto"/>
              <w:rPr>
                <w:rFonts w:ascii="宋体" w:hAnsi="宋体" w:cs="宋体"/>
                <w:sz w:val="24"/>
              </w:rPr>
            </w:pPr>
            <w:r>
              <w:rPr>
                <w:rFonts w:hint="eastAsia" w:ascii="宋体" w:hAnsi="宋体" w:cs="宋体"/>
                <w:sz w:val="24"/>
              </w:rPr>
              <w:t>3、对本项目的服务优化意见和建议。</w:t>
            </w:r>
          </w:p>
          <w:p>
            <w:pPr>
              <w:spacing w:line="360" w:lineRule="auto"/>
              <w:rPr>
                <w:rFonts w:ascii="宋体" w:hAnsi="宋体" w:cs="宋体"/>
                <w:sz w:val="24"/>
              </w:rPr>
            </w:pPr>
            <w:r>
              <w:rPr>
                <w:rFonts w:hint="eastAsia" w:ascii="宋体" w:hAnsi="宋体" w:cs="宋体"/>
                <w:sz w:val="24"/>
              </w:rPr>
              <w:t>评分标准：</w:t>
            </w:r>
          </w:p>
          <w:p>
            <w:pPr>
              <w:spacing w:line="360" w:lineRule="auto"/>
              <w:rPr>
                <w:rFonts w:ascii="宋体" w:hAnsi="宋体" w:cs="宋体"/>
                <w:sz w:val="24"/>
              </w:rPr>
            </w:pPr>
            <w:r>
              <w:rPr>
                <w:rFonts w:hint="eastAsia" w:ascii="宋体" w:hAnsi="宋体" w:cs="宋体"/>
                <w:sz w:val="24"/>
              </w:rPr>
              <w:t>1、每满足1点得2分，最高得6分，未满足不得分。</w:t>
            </w:r>
          </w:p>
          <w:p>
            <w:pPr>
              <w:spacing w:line="360" w:lineRule="auto"/>
              <w:rPr>
                <w:rFonts w:ascii="宋体" w:hAnsi="宋体" w:cs="宋体"/>
                <w:sz w:val="24"/>
              </w:rPr>
            </w:pPr>
            <w:r>
              <w:rPr>
                <w:rFonts w:hint="eastAsia" w:ascii="宋体" w:hAnsi="宋体" w:cs="宋体"/>
                <w:sz w:val="24"/>
              </w:rPr>
              <w:t>2、在此基础上，根据投标人的具体相应内容按照量化的评审因素指标进一步评审：</w:t>
            </w:r>
          </w:p>
          <w:p>
            <w:pPr>
              <w:spacing w:line="360" w:lineRule="auto"/>
              <w:rPr>
                <w:rFonts w:ascii="宋体" w:hAnsi="宋体" w:cs="宋体"/>
                <w:sz w:val="24"/>
              </w:rPr>
            </w:pPr>
            <w:r>
              <w:rPr>
                <w:rFonts w:hint="eastAsia" w:ascii="宋体" w:hAnsi="宋体" w:cs="宋体"/>
                <w:sz w:val="24"/>
              </w:rPr>
              <w:t>评审为优：内容完整详细且符合项目实际，可行性强的，加4分；</w:t>
            </w:r>
          </w:p>
          <w:p>
            <w:pPr>
              <w:spacing w:line="360" w:lineRule="auto"/>
              <w:rPr>
                <w:rFonts w:ascii="宋体" w:hAnsi="宋体" w:cs="宋体"/>
                <w:sz w:val="24"/>
              </w:rPr>
            </w:pPr>
            <w:r>
              <w:rPr>
                <w:rFonts w:hint="eastAsia" w:ascii="宋体" w:hAnsi="宋体" w:cs="宋体"/>
                <w:sz w:val="24"/>
              </w:rPr>
              <w:t>评审为良：内容完整，可行性较好的，加3分；</w:t>
            </w:r>
          </w:p>
          <w:p>
            <w:pPr>
              <w:spacing w:line="360" w:lineRule="auto"/>
              <w:rPr>
                <w:rFonts w:ascii="宋体" w:hAnsi="宋体" w:cs="宋体"/>
                <w:sz w:val="24"/>
              </w:rPr>
            </w:pPr>
            <w:r>
              <w:rPr>
                <w:rFonts w:hint="eastAsia" w:ascii="宋体" w:hAnsi="宋体" w:cs="宋体"/>
                <w:sz w:val="24"/>
              </w:rPr>
              <w:t>评审为中：内容能符合项目部分要求，较贴近项目实际的，加1分；</w:t>
            </w:r>
          </w:p>
          <w:p>
            <w:pPr>
              <w:spacing w:line="360" w:lineRule="auto"/>
              <w:rPr>
                <w:rFonts w:ascii="宋体" w:hAnsi="宋体" w:cs="宋体"/>
                <w:sz w:val="24"/>
              </w:rPr>
            </w:pPr>
            <w:r>
              <w:rPr>
                <w:rFonts w:ascii="宋体" w:hAnsi="宋体" w:cs="宋体"/>
                <w:sz w:val="24"/>
              </w:rPr>
              <w:t>评审为差：方案内容不符合项目要求的，不加分。</w:t>
            </w:r>
          </w:p>
          <w:p>
            <w:pPr>
              <w:spacing w:line="360" w:lineRule="auto"/>
            </w:pPr>
            <w:r>
              <w:rPr>
                <w:rFonts w:ascii="宋体" w:hAnsi="宋体" w:cs="宋体"/>
                <w:sz w:val="24"/>
              </w:rPr>
              <w:t>如果评审为差，要求专家书面说明理由，并记录在档。</w:t>
            </w:r>
          </w:p>
        </w:tc>
        <w:tc>
          <w:tcPr>
            <w:tcW w:w="901" w:type="dxa"/>
            <w:vAlign w:val="center"/>
          </w:tcPr>
          <w:p>
            <w:pPr>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3</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rPr>
              <w:t>项目管理措施和进度计划</w:t>
            </w:r>
          </w:p>
        </w:tc>
        <w:tc>
          <w:tcPr>
            <w:tcW w:w="5907" w:type="dxa"/>
            <w:vAlign w:val="center"/>
          </w:tcPr>
          <w:p>
            <w:pPr>
              <w:spacing w:line="360" w:lineRule="auto"/>
              <w:rPr>
                <w:rFonts w:ascii="宋体" w:hAnsi="宋体" w:cs="宋体"/>
                <w:sz w:val="24"/>
              </w:rPr>
            </w:pPr>
            <w:r>
              <w:rPr>
                <w:rFonts w:hint="eastAsia" w:ascii="宋体" w:hAnsi="宋体" w:cs="宋体"/>
                <w:sz w:val="24"/>
              </w:rPr>
              <w:t>评审内容：</w:t>
            </w:r>
          </w:p>
          <w:p>
            <w:pPr>
              <w:spacing w:line="360" w:lineRule="auto"/>
              <w:rPr>
                <w:rFonts w:ascii="宋体" w:hAnsi="宋体" w:cs="宋体"/>
                <w:sz w:val="24"/>
              </w:rPr>
            </w:pPr>
            <w:r>
              <w:rPr>
                <w:rFonts w:hint="eastAsia" w:ascii="宋体" w:hAnsi="宋体" w:cs="宋体"/>
                <w:sz w:val="24"/>
              </w:rPr>
              <w:t>投标人根据项目需求和目标，制定质量保障措施和方案，包括但不限于以下内容：</w:t>
            </w:r>
          </w:p>
          <w:p>
            <w:pPr>
              <w:spacing w:line="360" w:lineRule="auto"/>
              <w:rPr>
                <w:rFonts w:ascii="宋体" w:hAnsi="宋体" w:cs="宋体"/>
                <w:sz w:val="24"/>
              </w:rPr>
            </w:pPr>
            <w:r>
              <w:rPr>
                <w:rFonts w:hint="eastAsia" w:ascii="宋体" w:hAnsi="宋体" w:cs="宋体"/>
                <w:sz w:val="24"/>
              </w:rPr>
              <w:t>1、项目时间管理制度与措施；</w:t>
            </w:r>
          </w:p>
          <w:p>
            <w:pPr>
              <w:spacing w:line="360" w:lineRule="auto"/>
              <w:rPr>
                <w:rFonts w:ascii="宋体" w:hAnsi="宋体" w:cs="宋体"/>
                <w:sz w:val="24"/>
              </w:rPr>
            </w:pPr>
            <w:r>
              <w:rPr>
                <w:rFonts w:hint="eastAsia" w:ascii="宋体" w:hAnsi="宋体" w:cs="宋体"/>
                <w:sz w:val="24"/>
              </w:rPr>
              <w:t>2、项目质量管理制度与措施；</w:t>
            </w:r>
          </w:p>
          <w:p>
            <w:pPr>
              <w:spacing w:line="360" w:lineRule="auto"/>
              <w:rPr>
                <w:rFonts w:ascii="宋体" w:hAnsi="宋体" w:cs="宋体"/>
                <w:sz w:val="24"/>
              </w:rPr>
            </w:pPr>
            <w:r>
              <w:rPr>
                <w:rFonts w:hint="eastAsia" w:ascii="宋体" w:hAnsi="宋体" w:cs="宋体"/>
                <w:sz w:val="24"/>
              </w:rPr>
              <w:t>3、项目资料、成果安全性保障制度与措施；</w:t>
            </w:r>
          </w:p>
          <w:p>
            <w:pPr>
              <w:spacing w:line="360" w:lineRule="auto"/>
              <w:rPr>
                <w:rFonts w:ascii="宋体" w:hAnsi="宋体" w:cs="宋体"/>
                <w:sz w:val="24"/>
              </w:rPr>
            </w:pPr>
            <w:r>
              <w:rPr>
                <w:rFonts w:hint="eastAsia" w:ascii="宋体" w:hAnsi="宋体" w:cs="宋体"/>
                <w:sz w:val="24"/>
              </w:rPr>
              <w:t>4、响应时间。</w:t>
            </w:r>
          </w:p>
          <w:p>
            <w:pPr>
              <w:spacing w:line="360" w:lineRule="auto"/>
              <w:rPr>
                <w:rFonts w:ascii="宋体" w:hAnsi="宋体" w:cs="宋体"/>
                <w:sz w:val="24"/>
              </w:rPr>
            </w:pPr>
            <w:r>
              <w:rPr>
                <w:rFonts w:hint="eastAsia" w:ascii="宋体" w:hAnsi="宋体" w:cs="宋体"/>
                <w:sz w:val="24"/>
              </w:rPr>
              <w:t>评分标准：</w:t>
            </w:r>
          </w:p>
          <w:p>
            <w:pPr>
              <w:spacing w:line="360" w:lineRule="auto"/>
              <w:rPr>
                <w:rFonts w:ascii="宋体" w:hAnsi="宋体" w:cs="宋体"/>
                <w:sz w:val="24"/>
              </w:rPr>
            </w:pPr>
            <w:r>
              <w:rPr>
                <w:rFonts w:hint="eastAsia" w:ascii="宋体" w:hAnsi="宋体" w:cs="宋体"/>
                <w:sz w:val="24"/>
              </w:rPr>
              <w:t>1、每满足1点得2分，最高得8分，未满足不得分。</w:t>
            </w:r>
          </w:p>
          <w:p>
            <w:pPr>
              <w:spacing w:line="360" w:lineRule="auto"/>
              <w:rPr>
                <w:rFonts w:ascii="宋体" w:hAnsi="宋体" w:cs="宋体"/>
                <w:sz w:val="24"/>
              </w:rPr>
            </w:pPr>
            <w:r>
              <w:rPr>
                <w:rFonts w:hint="eastAsia" w:ascii="宋体" w:hAnsi="宋体" w:cs="宋体"/>
                <w:sz w:val="24"/>
              </w:rPr>
              <w:t>2、在此基础上，根据投标人的具体相应内容按照量化的评审因素指标进一步评审；</w:t>
            </w:r>
          </w:p>
          <w:p>
            <w:pPr>
              <w:spacing w:line="360" w:lineRule="auto"/>
              <w:rPr>
                <w:rFonts w:ascii="宋体" w:hAnsi="宋体" w:cs="宋体"/>
                <w:sz w:val="24"/>
              </w:rPr>
            </w:pPr>
            <w:r>
              <w:rPr>
                <w:rFonts w:hint="eastAsia" w:ascii="宋体" w:hAnsi="宋体" w:cs="宋体"/>
                <w:sz w:val="24"/>
              </w:rPr>
              <w:t>评审为优：内容完整详细且符合项目实际，可行性强的，加7分；</w:t>
            </w:r>
          </w:p>
          <w:p>
            <w:pPr>
              <w:spacing w:line="360" w:lineRule="auto"/>
              <w:rPr>
                <w:rFonts w:ascii="宋体" w:hAnsi="宋体" w:cs="宋体"/>
                <w:sz w:val="24"/>
              </w:rPr>
            </w:pPr>
            <w:r>
              <w:rPr>
                <w:rFonts w:hint="eastAsia" w:ascii="宋体" w:hAnsi="宋体" w:cs="宋体"/>
                <w:sz w:val="24"/>
              </w:rPr>
              <w:t>评审为良：内容完整，可行性较好的，加3分；</w:t>
            </w:r>
          </w:p>
          <w:p>
            <w:pPr>
              <w:spacing w:line="360" w:lineRule="auto"/>
              <w:rPr>
                <w:rFonts w:ascii="宋体" w:hAnsi="宋体" w:cs="宋体"/>
                <w:sz w:val="24"/>
              </w:rPr>
            </w:pPr>
            <w:r>
              <w:rPr>
                <w:rFonts w:hint="eastAsia" w:ascii="宋体" w:hAnsi="宋体" w:cs="宋体"/>
                <w:sz w:val="24"/>
              </w:rPr>
              <w:t>评审为中：方案内容能符合项目部分要求，较贴近项目实际的，加1分；</w:t>
            </w:r>
          </w:p>
          <w:p>
            <w:pPr>
              <w:spacing w:line="360" w:lineRule="auto"/>
              <w:rPr>
                <w:rFonts w:ascii="宋体" w:hAnsi="宋体" w:cs="宋体"/>
                <w:sz w:val="24"/>
              </w:rPr>
            </w:pPr>
            <w:r>
              <w:rPr>
                <w:rFonts w:hint="eastAsia" w:ascii="宋体" w:hAnsi="宋体" w:cs="宋体"/>
                <w:sz w:val="24"/>
              </w:rPr>
              <w:t>评审为差：方案内容不符合项目要求的，不加分。</w:t>
            </w:r>
          </w:p>
          <w:p>
            <w:pPr>
              <w:spacing w:line="360" w:lineRule="auto"/>
            </w:pPr>
            <w:r>
              <w:rPr>
                <w:rFonts w:hint="eastAsia" w:ascii="宋体" w:hAnsi="宋体" w:cs="宋体"/>
                <w:sz w:val="24"/>
              </w:rPr>
              <w:t>如果评审为差，要求专家书面说明理由，并记录在档。</w:t>
            </w:r>
          </w:p>
        </w:tc>
        <w:tc>
          <w:tcPr>
            <w:tcW w:w="901" w:type="dxa"/>
            <w:vAlign w:val="center"/>
          </w:tcPr>
          <w:p>
            <w:pPr>
              <w:spacing w:line="360" w:lineRule="auto"/>
              <w:jc w:val="center"/>
              <w:rPr>
                <w:rFonts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spacing w:line="360" w:lineRule="auto"/>
              <w:jc w:val="center"/>
              <w:rPr>
                <w:rFonts w:ascii="宋体" w:hAnsi="宋体" w:cs="宋体"/>
                <w:sz w:val="24"/>
              </w:rPr>
            </w:pPr>
            <w:r>
              <w:rPr>
                <w:rFonts w:hint="eastAsia" w:ascii="宋体" w:hAnsi="宋体" w:cs="宋体"/>
                <w:sz w:val="24"/>
              </w:rPr>
              <w:t>现场笔译及口译测试</w:t>
            </w:r>
          </w:p>
        </w:tc>
        <w:tc>
          <w:tcPr>
            <w:tcW w:w="5907" w:type="dxa"/>
            <w:vAlign w:val="center"/>
          </w:tcPr>
          <w:p>
            <w:pPr>
              <w:spacing w:line="360" w:lineRule="auto"/>
              <w:rPr>
                <w:rFonts w:ascii="宋体" w:hAnsi="宋体" w:cs="宋体"/>
                <w:sz w:val="24"/>
              </w:rPr>
            </w:pPr>
            <w:r>
              <w:rPr>
                <w:rFonts w:hint="eastAsia" w:ascii="宋体" w:hAnsi="宋体" w:cs="宋体"/>
                <w:sz w:val="24"/>
              </w:rPr>
              <w:t>投标人安排1位项目负责人或成员通过现场或线上形式，根据招标现场临时发放的材料，进行现场即时笔译和口译测试</w:t>
            </w:r>
            <w:r>
              <w:rPr>
                <w:rStyle w:val="20"/>
                <w:rFonts w:hint="eastAsia"/>
                <w:kern w:val="0"/>
              </w:rPr>
              <w:t>，</w:t>
            </w:r>
            <w:r>
              <w:rPr>
                <w:rStyle w:val="20"/>
                <w:rFonts w:hint="eastAsia"/>
                <w:kern w:val="0"/>
                <w:sz w:val="24"/>
                <w:szCs w:val="24"/>
              </w:rPr>
              <w:t>测试</w:t>
            </w:r>
            <w:r>
              <w:rPr>
                <w:rFonts w:hint="eastAsia" w:ascii="宋体" w:hAnsi="宋体" w:cs="宋体"/>
                <w:sz w:val="24"/>
              </w:rPr>
              <w:t>语种为英语，并由三位专家进行评分。</w:t>
            </w:r>
          </w:p>
          <w:p>
            <w:pPr>
              <w:spacing w:line="360" w:lineRule="auto"/>
              <w:rPr>
                <w:rFonts w:ascii="宋体" w:hAnsi="宋体" w:cs="宋体"/>
                <w:sz w:val="24"/>
              </w:rPr>
            </w:pPr>
            <w:r>
              <w:rPr>
                <w:rFonts w:hint="eastAsia" w:ascii="宋体" w:hAnsi="宋体" w:cs="宋体"/>
                <w:sz w:val="24"/>
              </w:rPr>
              <w:t>评分标准：</w:t>
            </w:r>
          </w:p>
          <w:p>
            <w:pPr>
              <w:spacing w:line="360" w:lineRule="auto"/>
              <w:rPr>
                <w:rFonts w:ascii="宋体" w:hAnsi="宋体" w:cs="宋体"/>
                <w:sz w:val="24"/>
              </w:rPr>
            </w:pPr>
            <w:r>
              <w:rPr>
                <w:rFonts w:hint="eastAsia" w:ascii="宋体" w:hAnsi="宋体" w:cs="宋体"/>
                <w:sz w:val="24"/>
              </w:rPr>
              <w:t>1.评审为优：口译语速流利，翻译内容（口译、笔译）准确率达95%，加10分；</w:t>
            </w:r>
          </w:p>
          <w:p>
            <w:pPr>
              <w:spacing w:line="360" w:lineRule="auto"/>
              <w:rPr>
                <w:rFonts w:ascii="宋体" w:hAnsi="宋体" w:cs="宋体"/>
                <w:sz w:val="24"/>
              </w:rPr>
            </w:pPr>
            <w:r>
              <w:rPr>
                <w:rFonts w:hint="eastAsia" w:ascii="宋体" w:hAnsi="宋体" w:cs="宋体"/>
                <w:sz w:val="24"/>
              </w:rPr>
              <w:t>2.评审为良：口译语速正常，翻译内容（口译、笔译）准确率达70%，加6分；</w:t>
            </w:r>
          </w:p>
          <w:p>
            <w:pPr>
              <w:spacing w:line="360" w:lineRule="auto"/>
              <w:rPr>
                <w:rFonts w:ascii="宋体" w:hAnsi="宋体" w:cs="宋体"/>
                <w:sz w:val="24"/>
              </w:rPr>
            </w:pPr>
            <w:r>
              <w:rPr>
                <w:rFonts w:hint="eastAsia" w:ascii="宋体" w:hAnsi="宋体" w:cs="宋体"/>
                <w:sz w:val="24"/>
              </w:rPr>
              <w:t>3.评审为中：能够基本翻译材料内容，完成率达50%，加3分；</w:t>
            </w:r>
          </w:p>
          <w:p>
            <w:pPr>
              <w:spacing w:line="360" w:lineRule="auto"/>
            </w:pPr>
            <w:r>
              <w:rPr>
                <w:rFonts w:hint="eastAsia" w:ascii="宋体" w:hAnsi="宋体" w:cs="宋体"/>
                <w:sz w:val="24"/>
              </w:rPr>
              <w:t>4.评审为差：翻译内容与材料不符，语速卡顿，不加分。</w:t>
            </w:r>
          </w:p>
        </w:tc>
        <w:tc>
          <w:tcPr>
            <w:tcW w:w="901" w:type="dxa"/>
            <w:vAlign w:val="center"/>
          </w:tcPr>
          <w:p>
            <w:pPr>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tabs>
          <w:tab w:val="left" w:pos="640"/>
          <w:tab w:val="left" w:pos="1260"/>
          <w:tab w:val="left" w:pos="1418"/>
        </w:tabs>
        <w:spacing w:line="360" w:lineRule="auto"/>
        <w:ind w:right="-420" w:rightChars="-200"/>
        <w:rPr>
          <w:rFonts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themeColor="text1"/>
          <w:sz w:val="24"/>
          <w14:textFill>
            <w14:solidFill>
              <w14:schemeClr w14:val="tx1"/>
            </w14:solidFill>
          </w14:textFill>
        </w:rPr>
      </w:pPr>
      <w:bookmarkStart w:id="18" w:name="_Toc9548"/>
      <w:bookmarkStart w:id="19" w:name="_Hlk28269117"/>
      <w:r>
        <w:rPr>
          <w:rFonts w:hint="eastAsia" w:ascii="宋体" w:hAnsi="宋体" w:cs="宋体"/>
          <w:b/>
          <w:bCs/>
          <w:color w:val="000000" w:themeColor="text1"/>
          <w:sz w:val="24"/>
          <w14:textFill>
            <w14:solidFill>
              <w14:schemeClr w14:val="tx1"/>
            </w14:solidFill>
          </w14:textFill>
        </w:rPr>
        <w:t>第七章 附件（投标文件格式）</w:t>
      </w:r>
      <w:bookmarkEnd w:id="18"/>
    </w:p>
    <w:p>
      <w:pPr>
        <w:keepNext/>
        <w:keepLines/>
        <w:spacing w:before="260" w:after="260" w:line="440" w:lineRule="exact"/>
        <w:jc w:val="center"/>
        <w:outlineLvl w:val="1"/>
        <w:rPr>
          <w:rFonts w:ascii="宋体" w:hAnsi="宋体" w:cs="宋体"/>
          <w:b/>
          <w:bCs/>
          <w:color w:val="000000" w:themeColor="text1"/>
          <w:sz w:val="24"/>
          <w14:textFill>
            <w14:solidFill>
              <w14:schemeClr w14:val="tx1"/>
            </w14:solidFill>
          </w14:textFill>
        </w:rPr>
      </w:pPr>
      <w:bookmarkStart w:id="20" w:name="_Toc19494"/>
      <w:bookmarkStart w:id="21" w:name="_Toc31827"/>
      <w:bookmarkStart w:id="22" w:name="_Toc6548"/>
      <w:bookmarkStart w:id="23" w:name="_Toc5116"/>
      <w:r>
        <w:rPr>
          <w:rFonts w:hint="eastAsia" w:ascii="宋体" w:hAnsi="宋体" w:cs="宋体"/>
          <w:b/>
          <w:bCs/>
          <w:color w:val="000000" w:themeColor="text1"/>
          <w:sz w:val="24"/>
          <w14:textFill>
            <w14:solidFill>
              <w14:schemeClr w14:val="tx1"/>
            </w14:solidFill>
          </w14:textFill>
        </w:rPr>
        <w:t>1、投标文件密封袋/封面参考</w:t>
      </w:r>
      <w:bookmarkEnd w:id="20"/>
      <w:bookmarkEnd w:id="21"/>
      <w:bookmarkEnd w:id="22"/>
      <w:bookmarkEnd w:id="23"/>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ascii="宋体" w:hAnsi="宋体" w:cs="宋体"/>
          <w:b/>
          <w:color w:val="000000" w:themeColor="text1"/>
          <w:sz w:val="24"/>
          <w14:textFill>
            <w14:solidFill>
              <w14:schemeClr w14:val="tx1"/>
            </w14:solidFill>
          </w14:textFill>
        </w:rPr>
      </w:pPr>
      <w:bookmarkStart w:id="24" w:name="_Toc16724"/>
      <w:r>
        <w:rPr>
          <w:rFonts w:hint="eastAsia" w:ascii="宋体" w:hAnsi="宋体" w:cs="宋体"/>
          <w:b/>
          <w:color w:val="000000" w:themeColor="text1"/>
          <w:sz w:val="24"/>
          <w14:textFill>
            <w14:solidFill>
              <w14:schemeClr w14:val="tx1"/>
            </w14:solidFill>
          </w14:textFill>
        </w:rPr>
        <w:t>2、投标文件—目录</w:t>
      </w:r>
      <w:bookmarkEnd w:id="24"/>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相关项目经验；</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拟安排项目负责人（仅一人）情况；</w:t>
      </w:r>
    </w:p>
    <w:p>
      <w:pPr>
        <w:numPr>
          <w:ilvl w:val="0"/>
          <w:numId w:val="9"/>
        </w:numPr>
        <w:tabs>
          <w:tab w:val="left" w:pos="640"/>
          <w:tab w:val="left" w:pos="840"/>
          <w:tab w:val="left" w:pos="1260"/>
          <w:tab w:val="left" w:pos="1418"/>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团队成员（项目负责人除外）；</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项目实施方案；</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项目重难点分析及解决方案；</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FF0000"/>
          <w:sz w:val="24"/>
          <w:lang w:val="fr-CH"/>
        </w:rPr>
      </w:pPr>
      <w:r>
        <w:rPr>
          <w:rFonts w:hint="eastAsia" w:ascii="宋体" w:hAnsi="宋体" w:cs="宋体"/>
          <w:color w:val="FF0000"/>
          <w:sz w:val="24"/>
          <w:lang w:val="fr-CH"/>
        </w:rPr>
        <w:t>项目管理措施和进度计划；</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ascii="宋体" w:hAnsi="宋体" w:cs="宋体"/>
          <w:b/>
          <w:bCs/>
          <w:color w:val="FF0000"/>
          <w:sz w:val="24"/>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FF0000"/>
          <w:sz w:val="24"/>
        </w:rPr>
        <w:t>（一）</w:t>
      </w:r>
      <w:r>
        <w:rPr>
          <w:rFonts w:hint="eastAsia" w:ascii="宋体" w:hAnsi="宋体" w:cs="宋体"/>
          <w:b/>
          <w:bCs/>
          <w:color w:val="FF0000"/>
          <w:sz w:val="24"/>
          <w:lang w:val="zh-CN"/>
        </w:rPr>
        <w:t>价格部分</w:t>
      </w:r>
    </w:p>
    <w:p>
      <w:pPr>
        <w:numPr>
          <w:ilvl w:val="0"/>
          <w:numId w:val="11"/>
        </w:numPr>
        <w:tabs>
          <w:tab w:val="left" w:pos="640"/>
          <w:tab w:val="clear" w:pos="425"/>
        </w:tabs>
        <w:ind w:left="625" w:hanging="625"/>
        <w:rPr>
          <w:rFonts w:ascii="宋体" w:hAnsi="宋体" w:cs="宋体"/>
          <w:color w:val="FF0000"/>
          <w:sz w:val="24"/>
        </w:rPr>
      </w:pPr>
      <w:r>
        <w:rPr>
          <w:rFonts w:hint="eastAsia" w:ascii="宋体" w:hAnsi="宋体" w:cs="宋体"/>
          <w:color w:val="FF0000"/>
          <w:sz w:val="24"/>
        </w:rPr>
        <w:t>投标一览表；</w:t>
      </w:r>
    </w:p>
    <w:p>
      <w:pPr>
        <w:spacing w:line="360" w:lineRule="auto"/>
        <w:rPr>
          <w:rFonts w:ascii="宋体" w:hAnsi="宋体" w:cs="宋体"/>
          <w:color w:val="FF0000"/>
          <w:sz w:val="24"/>
        </w:rPr>
      </w:pPr>
    </w:p>
    <w:p>
      <w:pPr>
        <w:spacing w:line="360" w:lineRule="auto"/>
        <w:jc w:val="center"/>
        <w:rPr>
          <w:rFonts w:ascii="宋体" w:hAnsi="宋体" w:cs="宋体"/>
          <w:b/>
          <w:bCs/>
          <w:color w:val="FF0000"/>
          <w:sz w:val="24"/>
        </w:rPr>
      </w:pPr>
      <w:r>
        <w:rPr>
          <w:rFonts w:hint="eastAsia" w:ascii="宋体" w:hAnsi="宋体" w:cs="宋体"/>
          <w:b/>
          <w:bCs/>
          <w:color w:val="FF0000"/>
          <w:sz w:val="24"/>
        </w:rPr>
        <w:t>投标一览表</w:t>
      </w:r>
    </w:p>
    <w:p>
      <w:pPr>
        <w:spacing w:line="360" w:lineRule="auto"/>
        <w:rPr>
          <w:rFonts w:ascii="宋体" w:hAnsi="宋体" w:cs="宋体"/>
          <w:color w:val="FF0000"/>
          <w:sz w:val="24"/>
        </w:rPr>
      </w:pPr>
      <w:r>
        <w:rPr>
          <w:rFonts w:hint="eastAsia" w:ascii="宋体" w:hAnsi="宋体" w:cs="宋体"/>
          <w:color w:val="FF0000"/>
          <w:sz w:val="24"/>
        </w:rPr>
        <w:t>投标供应商名称：（公章）</w:t>
      </w:r>
      <w:r>
        <w:rPr>
          <w:rFonts w:hint="eastAsia" w:ascii="宋体" w:hAnsi="宋体" w:cs="宋体"/>
          <w:color w:val="FF0000"/>
          <w:sz w:val="24"/>
          <w:u w:val="single"/>
        </w:rPr>
        <w:t xml:space="preserve">                             </w:t>
      </w:r>
    </w:p>
    <w:p>
      <w:pPr>
        <w:spacing w:line="360" w:lineRule="auto"/>
        <w:rPr>
          <w:rFonts w:ascii="宋体" w:hAnsi="宋体" w:cs="宋体"/>
          <w:color w:val="FF0000"/>
          <w:sz w:val="24"/>
          <w:u w:val="single"/>
        </w:rPr>
      </w:pPr>
      <w:r>
        <w:rPr>
          <w:rFonts w:hint="eastAsia" w:ascii="宋体" w:hAnsi="宋体" w:cs="宋体"/>
          <w:color w:val="FF0000"/>
          <w:sz w:val="24"/>
        </w:rPr>
        <w:t>招标编号：</w:t>
      </w:r>
      <w:r>
        <w:rPr>
          <w:rFonts w:hint="eastAsia" w:ascii="宋体" w:hAnsi="宋体" w:cs="宋体"/>
          <w:color w:val="FF0000"/>
          <w:sz w:val="24"/>
          <w:u w:val="single"/>
        </w:rPr>
        <w:t xml:space="preserve">                                      </w:t>
      </w:r>
    </w:p>
    <w:p>
      <w:pPr>
        <w:pStyle w:val="2"/>
        <w:rPr>
          <w:b/>
          <w:bCs/>
          <w:color w:val="FF0000"/>
        </w:rPr>
      </w:pPr>
      <w:r>
        <w:rPr>
          <w:rFonts w:hint="eastAsia"/>
          <w:b/>
          <w:bCs/>
          <w:color w:val="FF0000"/>
        </w:rPr>
        <w:t>（一）笔译报价（元/千中文字符）:</w:t>
      </w:r>
    </w:p>
    <w:tbl>
      <w:tblPr>
        <w:tblStyle w:val="17"/>
        <w:tblW w:w="56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0"/>
        <w:gridCol w:w="986"/>
        <w:gridCol w:w="1187"/>
        <w:gridCol w:w="1009"/>
        <w:gridCol w:w="941"/>
        <w:gridCol w:w="1091"/>
        <w:gridCol w:w="998"/>
        <w:gridCol w:w="770"/>
        <w:gridCol w:w="746"/>
        <w:gridCol w:w="8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566" w:type="pct"/>
            <w:vMerge w:val="restart"/>
            <w:vAlign w:val="center"/>
          </w:tcPr>
          <w:p>
            <w:pPr>
              <w:spacing w:after="60"/>
              <w:jc w:val="center"/>
              <w:rPr>
                <w:rFonts w:ascii="宋体" w:hAnsi="宋体" w:cs="Arial"/>
                <w:b/>
                <w:bCs/>
                <w:color w:val="FF0000"/>
              </w:rPr>
            </w:pPr>
            <w:r>
              <w:rPr>
                <w:rFonts w:hint="eastAsia" w:ascii="宋体" w:hAnsi="宋体" w:cs="Arial"/>
                <w:b/>
                <w:bCs/>
                <w:color w:val="FF0000"/>
              </w:rPr>
              <w:t>笔译级别</w:t>
            </w:r>
          </w:p>
        </w:tc>
        <w:tc>
          <w:tcPr>
            <w:tcW w:w="2123" w:type="pct"/>
            <w:gridSpan w:val="4"/>
            <w:vAlign w:val="center"/>
          </w:tcPr>
          <w:p>
            <w:pPr>
              <w:spacing w:after="60"/>
              <w:jc w:val="center"/>
              <w:rPr>
                <w:rFonts w:ascii="宋体" w:hAnsi="宋体" w:cs="Arial"/>
                <w:b/>
                <w:bCs/>
                <w:color w:val="FF0000"/>
              </w:rPr>
            </w:pPr>
            <w:r>
              <w:rPr>
                <w:rFonts w:hint="eastAsia" w:ascii="宋体" w:hAnsi="宋体" w:cs="Arial"/>
                <w:b/>
                <w:bCs/>
                <w:color w:val="FF0000"/>
              </w:rPr>
              <w:t>英语</w:t>
            </w:r>
          </w:p>
        </w:tc>
        <w:tc>
          <w:tcPr>
            <w:tcW w:w="1857" w:type="pct"/>
            <w:gridSpan w:val="4"/>
            <w:vAlign w:val="center"/>
          </w:tcPr>
          <w:p>
            <w:pPr>
              <w:spacing w:after="60"/>
              <w:jc w:val="center"/>
              <w:rPr>
                <w:rFonts w:ascii="宋体" w:hAnsi="宋体" w:cs="Arial"/>
                <w:b/>
                <w:bCs/>
                <w:color w:val="FF0000"/>
              </w:rPr>
            </w:pPr>
            <w:r>
              <w:rPr>
                <w:rFonts w:hint="eastAsia" w:ascii="宋体" w:hAnsi="宋体" w:cs="Arial"/>
                <w:b/>
                <w:bCs/>
                <w:color w:val="FF0000"/>
              </w:rPr>
              <w:t>日/韩/德/法/俄/西</w:t>
            </w:r>
          </w:p>
        </w:tc>
        <w:tc>
          <w:tcPr>
            <w:tcW w:w="453" w:type="pct"/>
            <w:vAlign w:val="center"/>
          </w:tcPr>
          <w:p>
            <w:pPr>
              <w:spacing w:after="60"/>
              <w:jc w:val="center"/>
              <w:rPr>
                <w:rFonts w:ascii="宋体" w:hAnsi="宋体" w:cs="Arial"/>
                <w:b/>
                <w:bCs/>
                <w:color w:val="FF0000"/>
              </w:rPr>
            </w:pPr>
            <w:r>
              <w:rPr>
                <w:rFonts w:hint="eastAsia" w:ascii="宋体" w:hAnsi="宋体" w:cs="Arial"/>
                <w:b/>
                <w:bCs/>
                <w:color w:val="FF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566" w:type="pct"/>
            <w:vMerge w:val="continue"/>
            <w:vAlign w:val="center"/>
          </w:tcPr>
          <w:p>
            <w:pPr>
              <w:spacing w:after="60"/>
              <w:jc w:val="center"/>
              <w:rPr>
                <w:rFonts w:ascii="宋体" w:hAnsi="宋体" w:cs="Arial"/>
                <w:b/>
                <w:bCs/>
                <w:color w:val="FF0000"/>
              </w:rPr>
            </w:pPr>
          </w:p>
        </w:tc>
        <w:tc>
          <w:tcPr>
            <w:tcW w:w="507" w:type="pct"/>
            <w:vAlign w:val="center"/>
          </w:tcPr>
          <w:p>
            <w:pPr>
              <w:spacing w:after="60"/>
              <w:jc w:val="center"/>
              <w:rPr>
                <w:rFonts w:ascii="宋体" w:hAnsi="宋体" w:cs="Arial"/>
                <w:b/>
                <w:bCs/>
                <w:color w:val="FF0000"/>
              </w:rPr>
            </w:pPr>
            <w:r>
              <w:rPr>
                <w:rFonts w:hint="eastAsia" w:ascii="宋体" w:hAnsi="宋体" w:cs="Arial"/>
                <w:b/>
                <w:bCs/>
                <w:color w:val="FF0000"/>
              </w:rPr>
              <w:t>英</w:t>
            </w:r>
            <w:r>
              <w:rPr>
                <w:rFonts w:hint="eastAsia"/>
                <w:b/>
                <w:bCs/>
                <w:color w:val="FF0000"/>
                <w:sz w:val="24"/>
              </w:rPr>
              <w:t>译中</w:t>
            </w:r>
          </w:p>
        </w:tc>
        <w:tc>
          <w:tcPr>
            <w:tcW w:w="611" w:type="pct"/>
            <w:vAlign w:val="center"/>
          </w:tcPr>
          <w:p>
            <w:pPr>
              <w:spacing w:after="60"/>
              <w:jc w:val="center"/>
              <w:rPr>
                <w:rFonts w:ascii="宋体" w:hAnsi="宋体" w:cs="Arial"/>
                <w:b/>
                <w:bCs/>
                <w:color w:val="FF0000"/>
              </w:rPr>
            </w:pPr>
            <w:r>
              <w:rPr>
                <w:rFonts w:hint="eastAsia" w:ascii="宋体" w:hAnsi="宋体" w:cs="Arial"/>
                <w:b/>
                <w:bCs/>
                <w:color w:val="FF0000"/>
              </w:rPr>
              <w:t>投标上限价</w:t>
            </w:r>
          </w:p>
        </w:tc>
        <w:tc>
          <w:tcPr>
            <w:tcW w:w="520" w:type="pct"/>
            <w:vAlign w:val="center"/>
          </w:tcPr>
          <w:p>
            <w:pPr>
              <w:spacing w:after="60"/>
              <w:jc w:val="center"/>
              <w:rPr>
                <w:rFonts w:ascii="宋体" w:hAnsi="宋体" w:cs="Arial"/>
                <w:b/>
                <w:bCs/>
                <w:color w:val="FF0000"/>
              </w:rPr>
            </w:pPr>
            <w:r>
              <w:rPr>
                <w:rFonts w:hint="eastAsia"/>
                <w:b/>
                <w:bCs/>
                <w:color w:val="FF0000"/>
                <w:sz w:val="24"/>
              </w:rPr>
              <w:t>中译</w:t>
            </w:r>
            <w:r>
              <w:rPr>
                <w:rFonts w:hint="eastAsia" w:ascii="宋体" w:hAnsi="宋体" w:cs="Arial"/>
                <w:b/>
                <w:bCs/>
                <w:color w:val="FF0000"/>
              </w:rPr>
              <w:t>英</w:t>
            </w:r>
          </w:p>
        </w:tc>
        <w:tc>
          <w:tcPr>
            <w:tcW w:w="483" w:type="pct"/>
            <w:vAlign w:val="center"/>
          </w:tcPr>
          <w:p>
            <w:pPr>
              <w:spacing w:after="60"/>
              <w:jc w:val="center"/>
              <w:rPr>
                <w:b/>
                <w:bCs/>
                <w:color w:val="FF0000"/>
                <w:sz w:val="24"/>
              </w:rPr>
            </w:pPr>
            <w:r>
              <w:rPr>
                <w:rFonts w:hint="eastAsia" w:ascii="宋体" w:hAnsi="宋体" w:cs="Arial"/>
                <w:b/>
                <w:bCs/>
                <w:color w:val="FF0000"/>
              </w:rPr>
              <w:t>投标上限价</w:t>
            </w:r>
          </w:p>
        </w:tc>
        <w:tc>
          <w:tcPr>
            <w:tcW w:w="562" w:type="pct"/>
            <w:vAlign w:val="center"/>
          </w:tcPr>
          <w:p>
            <w:pPr>
              <w:spacing w:after="60"/>
              <w:jc w:val="center"/>
              <w:rPr>
                <w:rFonts w:ascii="宋体" w:hAnsi="宋体" w:cs="Arial"/>
                <w:b/>
                <w:bCs/>
                <w:color w:val="FF0000"/>
              </w:rPr>
            </w:pPr>
            <w:r>
              <w:rPr>
                <w:rFonts w:hint="eastAsia" w:ascii="宋体" w:hAnsi="宋体" w:cs="Arial"/>
                <w:b/>
                <w:bCs/>
                <w:color w:val="FF0000"/>
              </w:rPr>
              <w:t>外</w:t>
            </w:r>
            <w:r>
              <w:rPr>
                <w:rFonts w:hint="eastAsia"/>
                <w:b/>
                <w:bCs/>
                <w:color w:val="FF0000"/>
                <w:sz w:val="24"/>
              </w:rPr>
              <w:t>译中</w:t>
            </w:r>
          </w:p>
        </w:tc>
        <w:tc>
          <w:tcPr>
            <w:tcW w:w="514" w:type="pct"/>
            <w:vAlign w:val="center"/>
          </w:tcPr>
          <w:p>
            <w:pPr>
              <w:spacing w:after="60"/>
              <w:jc w:val="center"/>
              <w:rPr>
                <w:rFonts w:ascii="宋体" w:hAnsi="宋体" w:cs="Arial"/>
                <w:b/>
                <w:bCs/>
                <w:color w:val="FF0000"/>
              </w:rPr>
            </w:pPr>
            <w:r>
              <w:rPr>
                <w:rFonts w:hint="eastAsia" w:ascii="宋体" w:hAnsi="宋体" w:cs="Arial"/>
                <w:b/>
                <w:bCs/>
                <w:color w:val="FF0000"/>
              </w:rPr>
              <w:t>投标上限价</w:t>
            </w:r>
          </w:p>
        </w:tc>
        <w:tc>
          <w:tcPr>
            <w:tcW w:w="397" w:type="pct"/>
            <w:vAlign w:val="center"/>
          </w:tcPr>
          <w:p>
            <w:pPr>
              <w:spacing w:after="60"/>
              <w:jc w:val="center"/>
              <w:rPr>
                <w:rFonts w:ascii="宋体" w:hAnsi="宋体" w:cs="Arial"/>
                <w:b/>
                <w:bCs/>
                <w:color w:val="FF0000"/>
              </w:rPr>
            </w:pPr>
            <w:r>
              <w:rPr>
                <w:rFonts w:hint="eastAsia"/>
                <w:b/>
                <w:bCs/>
                <w:color w:val="FF0000"/>
                <w:sz w:val="24"/>
              </w:rPr>
              <w:t>中译外</w:t>
            </w:r>
          </w:p>
        </w:tc>
        <w:tc>
          <w:tcPr>
            <w:tcW w:w="382" w:type="pct"/>
            <w:vAlign w:val="center"/>
          </w:tcPr>
          <w:p>
            <w:pPr>
              <w:spacing w:after="60"/>
              <w:jc w:val="center"/>
              <w:rPr>
                <w:b/>
                <w:bCs/>
                <w:color w:val="FF0000"/>
                <w:sz w:val="24"/>
              </w:rPr>
            </w:pPr>
            <w:r>
              <w:rPr>
                <w:rFonts w:hint="eastAsia" w:ascii="宋体" w:hAnsi="宋体" w:cs="Arial"/>
                <w:b/>
                <w:bCs/>
                <w:color w:val="FF0000"/>
              </w:rPr>
              <w:t>投标上限价</w:t>
            </w:r>
          </w:p>
        </w:tc>
        <w:tc>
          <w:tcPr>
            <w:tcW w:w="453" w:type="pct"/>
            <w:vMerge w:val="restart"/>
            <w:vAlign w:val="center"/>
          </w:tcPr>
          <w:p>
            <w:pPr>
              <w:jc w:val="center"/>
              <w:rPr>
                <w:rFonts w:ascii="宋体" w:hAnsi="宋体" w:cs="宋体"/>
                <w:color w:val="FF0000"/>
                <w:sz w:val="22"/>
                <w:szCs w:val="22"/>
              </w:rPr>
            </w:pPr>
            <w:r>
              <w:rPr>
                <w:rFonts w:hint="eastAsia" w:ascii="宋体" w:hAnsi="宋体" w:cs="宋体"/>
                <w:color w:val="FF0000"/>
                <w:szCs w:val="21"/>
              </w:rPr>
              <w:t>投标单价不得超过对应上限价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566" w:type="pct"/>
            <w:vAlign w:val="center"/>
          </w:tcPr>
          <w:p>
            <w:pPr>
              <w:jc w:val="center"/>
              <w:rPr>
                <w:rFonts w:ascii="宋体" w:hAnsi="宋体"/>
                <w:color w:val="FF0000"/>
              </w:rPr>
            </w:pPr>
            <w:r>
              <w:rPr>
                <w:rFonts w:hint="eastAsia" w:ascii="宋体" w:hAnsi="宋体"/>
                <w:color w:val="FF0000"/>
              </w:rPr>
              <w:t>普通</w:t>
            </w:r>
          </w:p>
        </w:tc>
        <w:tc>
          <w:tcPr>
            <w:tcW w:w="507" w:type="pct"/>
            <w:tcBorders>
              <w:right w:val="single" w:color="auto" w:sz="4" w:space="0"/>
            </w:tcBorders>
            <w:vAlign w:val="center"/>
          </w:tcPr>
          <w:p>
            <w:pPr>
              <w:jc w:val="center"/>
              <w:rPr>
                <w:rFonts w:ascii="宋体" w:hAnsi="宋体"/>
                <w:color w:val="FF0000"/>
                <w:sz w:val="24"/>
                <w:u w:val="single"/>
              </w:rPr>
            </w:pPr>
          </w:p>
        </w:tc>
        <w:tc>
          <w:tcPr>
            <w:tcW w:w="611" w:type="pct"/>
            <w:tcBorders>
              <w:left w:val="single" w:color="auto" w:sz="4" w:space="0"/>
            </w:tcBorders>
            <w:vAlign w:val="center"/>
          </w:tcPr>
          <w:p>
            <w:pPr>
              <w:jc w:val="center"/>
              <w:rPr>
                <w:rFonts w:ascii="宋体" w:hAnsi="宋体"/>
                <w:color w:val="FF0000"/>
              </w:rPr>
            </w:pPr>
            <w:r>
              <w:rPr>
                <w:rFonts w:hint="eastAsia" w:ascii="宋体" w:hAnsi="宋体"/>
                <w:color w:val="FF0000"/>
              </w:rPr>
              <w:t>260</w:t>
            </w:r>
          </w:p>
        </w:tc>
        <w:tc>
          <w:tcPr>
            <w:tcW w:w="520" w:type="pct"/>
            <w:tcBorders>
              <w:right w:val="single" w:color="auto" w:sz="4" w:space="0"/>
            </w:tcBorders>
            <w:vAlign w:val="center"/>
          </w:tcPr>
          <w:p>
            <w:pPr>
              <w:jc w:val="center"/>
              <w:rPr>
                <w:rFonts w:ascii="宋体" w:hAnsi="宋体"/>
                <w:color w:val="FF0000"/>
              </w:rPr>
            </w:pPr>
          </w:p>
        </w:tc>
        <w:tc>
          <w:tcPr>
            <w:tcW w:w="483" w:type="pct"/>
            <w:tcBorders>
              <w:left w:val="single" w:color="auto" w:sz="4" w:space="0"/>
            </w:tcBorders>
            <w:vAlign w:val="center"/>
          </w:tcPr>
          <w:p>
            <w:pPr>
              <w:jc w:val="center"/>
              <w:rPr>
                <w:rFonts w:ascii="宋体" w:hAnsi="宋体"/>
                <w:color w:val="FF0000"/>
              </w:rPr>
            </w:pPr>
            <w:r>
              <w:rPr>
                <w:rFonts w:hint="eastAsia" w:ascii="宋体" w:hAnsi="宋体"/>
                <w:color w:val="FF0000"/>
              </w:rPr>
              <w:t>300</w:t>
            </w:r>
          </w:p>
        </w:tc>
        <w:tc>
          <w:tcPr>
            <w:tcW w:w="562" w:type="pct"/>
            <w:tcBorders>
              <w:right w:val="single" w:color="auto" w:sz="4" w:space="0"/>
            </w:tcBorders>
            <w:vAlign w:val="center"/>
          </w:tcPr>
          <w:p>
            <w:pPr>
              <w:jc w:val="center"/>
              <w:rPr>
                <w:rFonts w:ascii="宋体" w:hAnsi="宋体"/>
                <w:color w:val="FF0000"/>
              </w:rPr>
            </w:pPr>
          </w:p>
        </w:tc>
        <w:tc>
          <w:tcPr>
            <w:tcW w:w="514" w:type="pct"/>
            <w:tcBorders>
              <w:left w:val="single" w:color="auto" w:sz="4" w:space="0"/>
            </w:tcBorders>
            <w:vAlign w:val="center"/>
          </w:tcPr>
          <w:p>
            <w:pPr>
              <w:jc w:val="center"/>
              <w:rPr>
                <w:rFonts w:ascii="宋体" w:hAnsi="宋体"/>
                <w:color w:val="FF0000"/>
              </w:rPr>
            </w:pPr>
            <w:r>
              <w:rPr>
                <w:rFonts w:hint="eastAsia" w:ascii="宋体" w:hAnsi="宋体"/>
                <w:color w:val="FF0000"/>
              </w:rPr>
              <w:t>350</w:t>
            </w:r>
          </w:p>
        </w:tc>
        <w:tc>
          <w:tcPr>
            <w:tcW w:w="397"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382"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420</w:t>
            </w:r>
          </w:p>
        </w:tc>
        <w:tc>
          <w:tcPr>
            <w:tcW w:w="45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566" w:type="pct"/>
            <w:vAlign w:val="center"/>
          </w:tcPr>
          <w:p>
            <w:pPr>
              <w:jc w:val="center"/>
              <w:rPr>
                <w:rFonts w:ascii="宋体" w:hAnsi="宋体"/>
                <w:color w:val="FF0000"/>
              </w:rPr>
            </w:pPr>
            <w:r>
              <w:rPr>
                <w:rFonts w:hint="eastAsia" w:ascii="宋体" w:hAnsi="宋体"/>
                <w:color w:val="FF0000"/>
              </w:rPr>
              <w:t>专业</w:t>
            </w:r>
          </w:p>
        </w:tc>
        <w:tc>
          <w:tcPr>
            <w:tcW w:w="507" w:type="pct"/>
            <w:tcBorders>
              <w:right w:val="single" w:color="auto" w:sz="4" w:space="0"/>
            </w:tcBorders>
            <w:vAlign w:val="center"/>
          </w:tcPr>
          <w:p>
            <w:pPr>
              <w:jc w:val="center"/>
              <w:rPr>
                <w:rFonts w:ascii="宋体" w:hAnsi="宋体"/>
                <w:color w:val="FF0000"/>
                <w:sz w:val="24"/>
                <w:u w:val="single"/>
              </w:rPr>
            </w:pPr>
          </w:p>
        </w:tc>
        <w:tc>
          <w:tcPr>
            <w:tcW w:w="611"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380</w:t>
            </w:r>
          </w:p>
        </w:tc>
        <w:tc>
          <w:tcPr>
            <w:tcW w:w="520" w:type="pct"/>
            <w:tcBorders>
              <w:right w:val="single" w:color="auto" w:sz="4" w:space="0"/>
            </w:tcBorders>
            <w:vAlign w:val="center"/>
          </w:tcPr>
          <w:p>
            <w:pPr>
              <w:jc w:val="center"/>
              <w:rPr>
                <w:rFonts w:ascii="宋体" w:hAnsi="宋体"/>
                <w:color w:val="FF0000"/>
                <w:sz w:val="24"/>
                <w:u w:val="single"/>
              </w:rPr>
            </w:pPr>
          </w:p>
        </w:tc>
        <w:tc>
          <w:tcPr>
            <w:tcW w:w="483"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450</w:t>
            </w:r>
          </w:p>
        </w:tc>
        <w:tc>
          <w:tcPr>
            <w:tcW w:w="562"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514"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420</w:t>
            </w:r>
          </w:p>
        </w:tc>
        <w:tc>
          <w:tcPr>
            <w:tcW w:w="397"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382"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550</w:t>
            </w:r>
          </w:p>
        </w:tc>
        <w:tc>
          <w:tcPr>
            <w:tcW w:w="45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566" w:type="pct"/>
            <w:vAlign w:val="center"/>
          </w:tcPr>
          <w:p>
            <w:pPr>
              <w:jc w:val="center"/>
              <w:rPr>
                <w:rFonts w:ascii="宋体" w:hAnsi="宋体"/>
                <w:color w:val="FF0000"/>
              </w:rPr>
            </w:pPr>
            <w:r>
              <w:rPr>
                <w:rFonts w:hint="eastAsia" w:ascii="宋体" w:hAnsi="宋体"/>
                <w:color w:val="FF0000"/>
              </w:rPr>
              <w:t>资深</w:t>
            </w:r>
          </w:p>
        </w:tc>
        <w:tc>
          <w:tcPr>
            <w:tcW w:w="507" w:type="pct"/>
            <w:tcBorders>
              <w:right w:val="single" w:color="auto" w:sz="4" w:space="0"/>
            </w:tcBorders>
            <w:vAlign w:val="center"/>
          </w:tcPr>
          <w:p>
            <w:pPr>
              <w:jc w:val="center"/>
              <w:rPr>
                <w:rFonts w:ascii="宋体" w:hAnsi="宋体"/>
                <w:color w:val="FF0000"/>
                <w:sz w:val="24"/>
                <w:u w:val="single"/>
              </w:rPr>
            </w:pPr>
          </w:p>
        </w:tc>
        <w:tc>
          <w:tcPr>
            <w:tcW w:w="611"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800</w:t>
            </w:r>
          </w:p>
        </w:tc>
        <w:tc>
          <w:tcPr>
            <w:tcW w:w="520" w:type="pct"/>
            <w:tcBorders>
              <w:right w:val="single" w:color="auto" w:sz="4" w:space="0"/>
            </w:tcBorders>
            <w:vAlign w:val="center"/>
          </w:tcPr>
          <w:p>
            <w:pPr>
              <w:jc w:val="center"/>
              <w:rPr>
                <w:rFonts w:ascii="宋体" w:hAnsi="宋体"/>
                <w:color w:val="FF0000"/>
                <w:sz w:val="24"/>
                <w:u w:val="single"/>
              </w:rPr>
            </w:pPr>
          </w:p>
        </w:tc>
        <w:tc>
          <w:tcPr>
            <w:tcW w:w="483"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1200</w:t>
            </w:r>
          </w:p>
        </w:tc>
        <w:tc>
          <w:tcPr>
            <w:tcW w:w="562"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514"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1000</w:t>
            </w:r>
          </w:p>
        </w:tc>
        <w:tc>
          <w:tcPr>
            <w:tcW w:w="397"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382"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1500</w:t>
            </w:r>
          </w:p>
        </w:tc>
        <w:tc>
          <w:tcPr>
            <w:tcW w:w="45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566" w:type="pct"/>
            <w:vAlign w:val="center"/>
          </w:tcPr>
          <w:p>
            <w:pPr>
              <w:jc w:val="center"/>
              <w:rPr>
                <w:rFonts w:ascii="宋体" w:hAnsi="宋体"/>
                <w:color w:val="FF0000"/>
              </w:rPr>
            </w:pPr>
            <w:r>
              <w:rPr>
                <w:rFonts w:hint="eastAsia" w:ascii="宋体" w:hAnsi="宋体"/>
                <w:color w:val="FF0000"/>
              </w:rPr>
              <w:t>投标单价合计</w:t>
            </w:r>
          </w:p>
        </w:tc>
        <w:tc>
          <w:tcPr>
            <w:tcW w:w="4433" w:type="pct"/>
            <w:gridSpan w:val="9"/>
            <w:vAlign w:val="center"/>
          </w:tcPr>
          <w:p>
            <w:pPr>
              <w:jc w:val="left"/>
              <w:rPr>
                <w:rFonts w:ascii="宋体" w:hAnsi="宋体" w:cs="宋体"/>
                <w:color w:val="FF0000"/>
                <w:sz w:val="22"/>
                <w:szCs w:val="22"/>
                <w:u w:val="single"/>
              </w:rPr>
            </w:pPr>
            <w:r>
              <w:rPr>
                <w:rFonts w:hint="eastAsia" w:ascii="宋体" w:hAnsi="宋体" w:cs="宋体"/>
                <w:color w:val="FF0000"/>
                <w:sz w:val="22"/>
                <w:szCs w:val="22"/>
                <w:u w:val="single"/>
              </w:rPr>
              <w:t xml:space="preserve">           </w:t>
            </w:r>
            <w:r>
              <w:rPr>
                <w:rFonts w:hint="eastAsia" w:ascii="宋体" w:hAnsi="宋体" w:cs="宋体"/>
                <w:color w:val="FF0000"/>
                <w:sz w:val="22"/>
                <w:szCs w:val="22"/>
              </w:rPr>
              <w:t>元</w:t>
            </w:r>
          </w:p>
        </w:tc>
      </w:tr>
    </w:tbl>
    <w:p>
      <w:pPr>
        <w:spacing w:line="360" w:lineRule="auto"/>
        <w:rPr>
          <w:rFonts w:ascii="宋体" w:hAnsi="宋体" w:cs="宋体"/>
          <w:color w:val="FF0000"/>
          <w:sz w:val="24"/>
        </w:rPr>
      </w:pPr>
      <w:r>
        <w:rPr>
          <w:rFonts w:hint="eastAsia" w:ascii="宋体" w:hAnsi="宋体" w:cs="宋体"/>
          <w:color w:val="FF0000"/>
          <w:sz w:val="24"/>
        </w:rPr>
        <w:t>备注：1.证件类稿件、插图图纸除字数统计费用外，额外加收人民币50元每件的排版费用。</w:t>
      </w:r>
    </w:p>
    <w:p>
      <w:pPr>
        <w:spacing w:line="360" w:lineRule="auto"/>
        <w:ind w:firstLine="720" w:firstLineChars="300"/>
        <w:rPr>
          <w:rFonts w:ascii="宋体" w:hAnsi="宋体" w:cs="宋体"/>
          <w:color w:val="FF0000"/>
          <w:sz w:val="24"/>
        </w:rPr>
      </w:pPr>
      <w:r>
        <w:rPr>
          <w:rFonts w:hint="eastAsia" w:ascii="宋体" w:hAnsi="宋体" w:cs="宋体"/>
          <w:color w:val="FF0000"/>
          <w:sz w:val="24"/>
        </w:rPr>
        <w:t>2.其他语种价格以双方协商为准；</w:t>
      </w:r>
    </w:p>
    <w:p>
      <w:pPr>
        <w:spacing w:line="360" w:lineRule="auto"/>
        <w:ind w:left="-218" w:leftChars="-104" w:firstLine="960" w:firstLineChars="400"/>
        <w:rPr>
          <w:rFonts w:ascii="宋体" w:hAnsi="宋体" w:cs="宋体"/>
          <w:color w:val="FF0000"/>
          <w:sz w:val="24"/>
        </w:rPr>
      </w:pPr>
      <w:r>
        <w:rPr>
          <w:rFonts w:hint="eastAsia" w:ascii="宋体" w:hAnsi="宋体" w:cs="宋体"/>
          <w:color w:val="FF0000"/>
          <w:sz w:val="24"/>
        </w:rPr>
        <w:t>3.投标人需按采购人列出的清单填报相应单价，实际结算单价等于所投标单价。投标单价不得超过相应限价，如投标单价超过相应限价，则视同无效报价。</w:t>
      </w:r>
    </w:p>
    <w:p>
      <w:pPr>
        <w:spacing w:line="360" w:lineRule="auto"/>
        <w:rPr>
          <w:rFonts w:ascii="宋体" w:hAnsi="宋体" w:cs="宋体"/>
          <w:b/>
          <w:bCs/>
          <w:color w:val="FF0000"/>
          <w:sz w:val="24"/>
        </w:rPr>
      </w:pPr>
    </w:p>
    <w:p>
      <w:pPr>
        <w:spacing w:line="360" w:lineRule="auto"/>
        <w:rPr>
          <w:rFonts w:ascii="宋体" w:hAnsi="宋体" w:cs="宋体"/>
          <w:b/>
          <w:bCs/>
          <w:color w:val="FF0000"/>
          <w:sz w:val="24"/>
        </w:rPr>
      </w:pPr>
      <w:r>
        <w:rPr>
          <w:rFonts w:hint="eastAsia" w:ascii="宋体" w:hAnsi="宋体" w:cs="宋体"/>
          <w:b/>
          <w:bCs/>
          <w:color w:val="FF0000"/>
          <w:sz w:val="24"/>
        </w:rPr>
        <w:t>（二）口译报价（元/人/天）</w:t>
      </w:r>
    </w:p>
    <w:tbl>
      <w:tblPr>
        <w:tblStyle w:val="17"/>
        <w:tblW w:w="567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5"/>
        <w:gridCol w:w="712"/>
        <w:gridCol w:w="1309"/>
        <w:gridCol w:w="831"/>
        <w:gridCol w:w="1191"/>
        <w:gridCol w:w="1162"/>
        <w:gridCol w:w="1168"/>
        <w:gridCol w:w="1199"/>
        <w:gridCol w:w="8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649" w:type="pct"/>
            <w:vMerge w:val="restart"/>
            <w:vAlign w:val="center"/>
          </w:tcPr>
          <w:p>
            <w:pPr>
              <w:spacing w:after="60"/>
              <w:jc w:val="center"/>
              <w:rPr>
                <w:rFonts w:ascii="宋体" w:hAnsi="宋体" w:cs="Arial"/>
                <w:b/>
                <w:bCs/>
                <w:color w:val="FF0000"/>
              </w:rPr>
            </w:pPr>
            <w:r>
              <w:rPr>
                <w:rFonts w:hint="eastAsia" w:ascii="宋体" w:hAnsi="宋体" w:cs="Arial"/>
                <w:b/>
                <w:bCs/>
                <w:color w:val="FF0000"/>
              </w:rPr>
              <w:t>口译级别</w:t>
            </w:r>
          </w:p>
        </w:tc>
        <w:tc>
          <w:tcPr>
            <w:tcW w:w="368" w:type="pct"/>
            <w:vMerge w:val="restart"/>
            <w:vAlign w:val="center"/>
          </w:tcPr>
          <w:p>
            <w:pPr>
              <w:spacing w:after="60"/>
              <w:jc w:val="center"/>
              <w:rPr>
                <w:rFonts w:ascii="宋体" w:hAnsi="宋体" w:cs="Arial"/>
                <w:b/>
                <w:bCs/>
                <w:color w:val="FF0000"/>
              </w:rPr>
            </w:pPr>
            <w:r>
              <w:rPr>
                <w:rFonts w:hint="eastAsia" w:ascii="宋体" w:hAnsi="宋体" w:cs="Arial"/>
                <w:b/>
                <w:bCs/>
                <w:color w:val="FF0000"/>
              </w:rPr>
              <w:t>级别</w:t>
            </w:r>
          </w:p>
        </w:tc>
        <w:tc>
          <w:tcPr>
            <w:tcW w:w="2324" w:type="pct"/>
            <w:gridSpan w:val="4"/>
            <w:vAlign w:val="center"/>
          </w:tcPr>
          <w:p>
            <w:pPr>
              <w:spacing w:after="60"/>
              <w:jc w:val="center"/>
              <w:rPr>
                <w:rFonts w:ascii="宋体" w:hAnsi="宋体" w:cs="Arial"/>
                <w:b/>
                <w:bCs/>
                <w:color w:val="FF0000"/>
              </w:rPr>
            </w:pPr>
            <w:r>
              <w:rPr>
                <w:rFonts w:hint="eastAsia" w:ascii="宋体" w:hAnsi="宋体" w:cs="Arial"/>
                <w:b/>
                <w:bCs/>
                <w:color w:val="FF0000"/>
              </w:rPr>
              <w:t>英语</w:t>
            </w:r>
          </w:p>
        </w:tc>
        <w:tc>
          <w:tcPr>
            <w:tcW w:w="1224" w:type="pct"/>
            <w:gridSpan w:val="2"/>
            <w:vAlign w:val="center"/>
          </w:tcPr>
          <w:p>
            <w:pPr>
              <w:spacing w:after="60"/>
              <w:jc w:val="center"/>
              <w:rPr>
                <w:rFonts w:ascii="宋体" w:hAnsi="宋体" w:cs="Arial"/>
                <w:b/>
                <w:bCs/>
                <w:color w:val="FF0000"/>
              </w:rPr>
            </w:pPr>
            <w:r>
              <w:rPr>
                <w:rFonts w:hint="eastAsia" w:ascii="宋体" w:hAnsi="宋体" w:cs="Arial"/>
                <w:b/>
                <w:bCs/>
                <w:color w:val="FF0000"/>
              </w:rPr>
              <w:t>日/韩/德/法/俄/西</w:t>
            </w:r>
          </w:p>
        </w:tc>
        <w:tc>
          <w:tcPr>
            <w:tcW w:w="433" w:type="pct"/>
            <w:vAlign w:val="center"/>
          </w:tcPr>
          <w:p>
            <w:pPr>
              <w:spacing w:after="60"/>
              <w:jc w:val="center"/>
              <w:rPr>
                <w:rFonts w:ascii="宋体" w:hAnsi="宋体" w:cs="Arial"/>
                <w:b/>
                <w:bCs/>
                <w:color w:val="FF0000"/>
              </w:rPr>
            </w:pPr>
            <w:r>
              <w:rPr>
                <w:rFonts w:hint="eastAsia" w:ascii="宋体" w:hAnsi="宋体" w:cs="Arial"/>
                <w:b/>
                <w:bCs/>
                <w:color w:val="FF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649" w:type="pct"/>
            <w:vMerge w:val="continue"/>
            <w:vAlign w:val="center"/>
          </w:tcPr>
          <w:p>
            <w:pPr>
              <w:spacing w:after="60"/>
              <w:jc w:val="center"/>
              <w:rPr>
                <w:rFonts w:ascii="宋体" w:hAnsi="宋体" w:cs="Arial"/>
                <w:b/>
                <w:bCs/>
                <w:color w:val="FF0000"/>
              </w:rPr>
            </w:pPr>
          </w:p>
        </w:tc>
        <w:tc>
          <w:tcPr>
            <w:tcW w:w="368" w:type="pct"/>
            <w:vMerge w:val="continue"/>
            <w:vAlign w:val="center"/>
          </w:tcPr>
          <w:p>
            <w:pPr>
              <w:spacing w:after="60"/>
              <w:jc w:val="center"/>
              <w:rPr>
                <w:rFonts w:ascii="宋体" w:hAnsi="宋体" w:cs="Arial"/>
                <w:b/>
                <w:bCs/>
                <w:color w:val="FF0000"/>
              </w:rPr>
            </w:pPr>
          </w:p>
        </w:tc>
        <w:tc>
          <w:tcPr>
            <w:tcW w:w="677" w:type="pct"/>
            <w:vAlign w:val="center"/>
          </w:tcPr>
          <w:p>
            <w:pPr>
              <w:spacing w:after="60"/>
              <w:jc w:val="center"/>
              <w:rPr>
                <w:rFonts w:ascii="宋体" w:hAnsi="宋体" w:cs="Arial"/>
                <w:b/>
                <w:bCs/>
                <w:color w:val="FF0000"/>
              </w:rPr>
            </w:pPr>
            <w:r>
              <w:rPr>
                <w:rFonts w:hint="eastAsia" w:ascii="宋体" w:hAnsi="宋体" w:cs="Arial"/>
                <w:b/>
                <w:bCs/>
                <w:color w:val="FF0000"/>
              </w:rPr>
              <w:t>半天/4小时</w:t>
            </w:r>
          </w:p>
        </w:tc>
        <w:tc>
          <w:tcPr>
            <w:tcW w:w="430" w:type="pct"/>
            <w:vAlign w:val="center"/>
          </w:tcPr>
          <w:p>
            <w:pPr>
              <w:spacing w:after="60"/>
              <w:jc w:val="center"/>
              <w:rPr>
                <w:rFonts w:ascii="宋体" w:hAnsi="宋体" w:cs="Arial"/>
                <w:b/>
                <w:bCs/>
                <w:color w:val="FF0000"/>
              </w:rPr>
            </w:pPr>
            <w:r>
              <w:rPr>
                <w:rFonts w:hint="eastAsia" w:ascii="宋体" w:hAnsi="宋体" w:cs="Arial"/>
                <w:b/>
                <w:bCs/>
                <w:color w:val="FF0000"/>
              </w:rPr>
              <w:t>投标上限价</w:t>
            </w:r>
          </w:p>
        </w:tc>
        <w:tc>
          <w:tcPr>
            <w:tcW w:w="616" w:type="pct"/>
            <w:vAlign w:val="center"/>
          </w:tcPr>
          <w:p>
            <w:pPr>
              <w:spacing w:after="60"/>
              <w:jc w:val="center"/>
              <w:rPr>
                <w:rFonts w:ascii="宋体" w:hAnsi="宋体" w:cs="Arial"/>
                <w:b/>
                <w:bCs/>
                <w:color w:val="FF0000"/>
              </w:rPr>
            </w:pPr>
            <w:r>
              <w:rPr>
                <w:rFonts w:hint="eastAsia" w:ascii="宋体" w:hAnsi="宋体" w:cs="Arial"/>
                <w:b/>
                <w:bCs/>
                <w:color w:val="FF0000"/>
              </w:rPr>
              <w:t>全天/8小时</w:t>
            </w:r>
          </w:p>
        </w:tc>
        <w:tc>
          <w:tcPr>
            <w:tcW w:w="601" w:type="pct"/>
            <w:vAlign w:val="center"/>
          </w:tcPr>
          <w:p>
            <w:pPr>
              <w:spacing w:after="60"/>
              <w:jc w:val="center"/>
              <w:rPr>
                <w:b/>
                <w:bCs/>
                <w:color w:val="FF0000"/>
                <w:sz w:val="24"/>
              </w:rPr>
            </w:pPr>
            <w:r>
              <w:rPr>
                <w:rFonts w:hint="eastAsia" w:ascii="宋体" w:hAnsi="宋体" w:cs="Arial"/>
                <w:b/>
                <w:bCs/>
                <w:color w:val="FF0000"/>
              </w:rPr>
              <w:t>投标上限价</w:t>
            </w:r>
          </w:p>
        </w:tc>
        <w:tc>
          <w:tcPr>
            <w:tcW w:w="604" w:type="pct"/>
            <w:vAlign w:val="center"/>
          </w:tcPr>
          <w:p>
            <w:pPr>
              <w:spacing w:after="60"/>
              <w:jc w:val="center"/>
              <w:rPr>
                <w:rFonts w:ascii="宋体" w:hAnsi="宋体" w:cs="Arial"/>
                <w:b/>
                <w:bCs/>
                <w:color w:val="FF0000"/>
              </w:rPr>
            </w:pPr>
            <w:r>
              <w:rPr>
                <w:rFonts w:hint="eastAsia" w:ascii="宋体" w:hAnsi="宋体" w:cs="Arial"/>
                <w:b/>
                <w:bCs/>
                <w:color w:val="FF0000"/>
              </w:rPr>
              <w:t>全天</w:t>
            </w:r>
          </w:p>
        </w:tc>
        <w:tc>
          <w:tcPr>
            <w:tcW w:w="620" w:type="pct"/>
            <w:vAlign w:val="center"/>
          </w:tcPr>
          <w:p>
            <w:pPr>
              <w:spacing w:after="60"/>
              <w:jc w:val="center"/>
              <w:rPr>
                <w:b/>
                <w:bCs/>
                <w:color w:val="FF0000"/>
                <w:sz w:val="24"/>
              </w:rPr>
            </w:pPr>
            <w:r>
              <w:rPr>
                <w:rFonts w:hint="eastAsia" w:ascii="宋体" w:hAnsi="宋体" w:cs="Arial"/>
                <w:b/>
                <w:bCs/>
                <w:color w:val="FF0000"/>
              </w:rPr>
              <w:t>投标上限价</w:t>
            </w:r>
          </w:p>
        </w:tc>
        <w:tc>
          <w:tcPr>
            <w:tcW w:w="433" w:type="pct"/>
            <w:vMerge w:val="restart"/>
            <w:vAlign w:val="center"/>
          </w:tcPr>
          <w:p>
            <w:pPr>
              <w:jc w:val="center"/>
              <w:rPr>
                <w:rFonts w:ascii="宋体" w:hAnsi="宋体" w:cs="宋体"/>
                <w:color w:val="FF0000"/>
                <w:sz w:val="22"/>
                <w:szCs w:val="22"/>
              </w:rPr>
            </w:pPr>
            <w:r>
              <w:rPr>
                <w:rFonts w:hint="eastAsia" w:ascii="宋体" w:hAnsi="宋体" w:cs="宋体"/>
                <w:color w:val="FF0000"/>
                <w:szCs w:val="21"/>
              </w:rPr>
              <w:t>投标单价不得超过对应上限价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649" w:type="pct"/>
            <w:vAlign w:val="center"/>
          </w:tcPr>
          <w:p>
            <w:pPr>
              <w:jc w:val="center"/>
              <w:rPr>
                <w:rFonts w:ascii="宋体" w:hAnsi="宋体"/>
                <w:color w:val="FF0000"/>
              </w:rPr>
            </w:pPr>
            <w:r>
              <w:rPr>
                <w:rFonts w:hint="eastAsia" w:ascii="宋体" w:hAnsi="宋体"/>
                <w:color w:val="FF0000"/>
              </w:rPr>
              <w:t>陪同口译</w:t>
            </w:r>
          </w:p>
        </w:tc>
        <w:tc>
          <w:tcPr>
            <w:tcW w:w="368" w:type="pct"/>
            <w:tcBorders>
              <w:right w:val="single" w:color="auto" w:sz="4" w:space="0"/>
            </w:tcBorders>
            <w:vAlign w:val="center"/>
          </w:tcPr>
          <w:p>
            <w:pPr>
              <w:jc w:val="center"/>
              <w:rPr>
                <w:rFonts w:ascii="宋体" w:hAnsi="宋体"/>
                <w:color w:val="FF0000"/>
              </w:rPr>
            </w:pPr>
            <w:r>
              <w:rPr>
                <w:rFonts w:hint="eastAsia" w:ascii="宋体" w:hAnsi="宋体"/>
                <w:color w:val="FF0000"/>
              </w:rPr>
              <w:t>高级</w:t>
            </w:r>
          </w:p>
        </w:tc>
        <w:tc>
          <w:tcPr>
            <w:tcW w:w="677" w:type="pct"/>
            <w:tcBorders>
              <w:right w:val="single" w:color="auto" w:sz="4" w:space="0"/>
            </w:tcBorders>
            <w:vAlign w:val="center"/>
          </w:tcPr>
          <w:p>
            <w:pPr>
              <w:jc w:val="center"/>
              <w:rPr>
                <w:rFonts w:ascii="宋体" w:hAnsi="宋体"/>
                <w:color w:val="FF0000"/>
                <w:sz w:val="24"/>
                <w:u w:val="single"/>
              </w:rPr>
            </w:pPr>
          </w:p>
        </w:tc>
        <w:tc>
          <w:tcPr>
            <w:tcW w:w="430" w:type="pct"/>
            <w:tcBorders>
              <w:left w:val="single" w:color="auto" w:sz="4" w:space="0"/>
            </w:tcBorders>
            <w:vAlign w:val="center"/>
          </w:tcPr>
          <w:p>
            <w:pPr>
              <w:jc w:val="center"/>
              <w:rPr>
                <w:rFonts w:ascii="宋体" w:hAnsi="宋体"/>
                <w:color w:val="FF0000"/>
              </w:rPr>
            </w:pPr>
            <w:r>
              <w:rPr>
                <w:rFonts w:hint="eastAsia" w:ascii="宋体" w:hAnsi="宋体"/>
                <w:color w:val="FF0000"/>
              </w:rPr>
              <w:t>1800</w:t>
            </w:r>
          </w:p>
        </w:tc>
        <w:tc>
          <w:tcPr>
            <w:tcW w:w="616" w:type="pct"/>
            <w:tcBorders>
              <w:right w:val="single" w:color="auto" w:sz="4" w:space="0"/>
            </w:tcBorders>
            <w:vAlign w:val="center"/>
          </w:tcPr>
          <w:p>
            <w:pPr>
              <w:jc w:val="center"/>
              <w:rPr>
                <w:rFonts w:ascii="宋体" w:hAnsi="宋体"/>
                <w:color w:val="FF0000"/>
              </w:rPr>
            </w:pPr>
          </w:p>
        </w:tc>
        <w:tc>
          <w:tcPr>
            <w:tcW w:w="601" w:type="pct"/>
            <w:tcBorders>
              <w:left w:val="single" w:color="auto" w:sz="4" w:space="0"/>
            </w:tcBorders>
            <w:vAlign w:val="center"/>
          </w:tcPr>
          <w:p>
            <w:pPr>
              <w:jc w:val="center"/>
              <w:rPr>
                <w:rFonts w:ascii="宋体" w:hAnsi="宋体"/>
                <w:color w:val="FF0000"/>
              </w:rPr>
            </w:pPr>
            <w:r>
              <w:rPr>
                <w:rFonts w:hint="eastAsia" w:ascii="宋体" w:hAnsi="宋体"/>
                <w:color w:val="FF0000"/>
              </w:rPr>
              <w:t>3000</w:t>
            </w:r>
          </w:p>
        </w:tc>
        <w:tc>
          <w:tcPr>
            <w:tcW w:w="604" w:type="pct"/>
            <w:tcBorders>
              <w:right w:val="single" w:color="auto" w:sz="4" w:space="0"/>
            </w:tcBorders>
            <w:vAlign w:val="center"/>
          </w:tcPr>
          <w:p>
            <w:pPr>
              <w:jc w:val="center"/>
              <w:rPr>
                <w:rFonts w:ascii="宋体" w:hAnsi="宋体"/>
                <w:color w:val="FF0000"/>
              </w:rPr>
            </w:pPr>
          </w:p>
        </w:tc>
        <w:tc>
          <w:tcPr>
            <w:tcW w:w="620"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宋体" w:hAnsi="宋体"/>
                <w:color w:val="FF0000"/>
              </w:rPr>
              <w:t>4200</w:t>
            </w:r>
          </w:p>
        </w:tc>
        <w:tc>
          <w:tcPr>
            <w:tcW w:w="43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649" w:type="pct"/>
            <w:vAlign w:val="center"/>
          </w:tcPr>
          <w:p>
            <w:pPr>
              <w:jc w:val="center"/>
              <w:rPr>
                <w:rFonts w:ascii="宋体" w:hAnsi="宋体"/>
                <w:color w:val="FF0000"/>
              </w:rPr>
            </w:pPr>
            <w:r>
              <w:rPr>
                <w:rFonts w:hint="eastAsia" w:ascii="宋体" w:hAnsi="宋体"/>
                <w:color w:val="FF0000"/>
              </w:rPr>
              <w:t>会议交传</w:t>
            </w:r>
          </w:p>
        </w:tc>
        <w:tc>
          <w:tcPr>
            <w:tcW w:w="368" w:type="pct"/>
            <w:tcBorders>
              <w:right w:val="single" w:color="auto" w:sz="4" w:space="0"/>
            </w:tcBorders>
            <w:vAlign w:val="center"/>
          </w:tcPr>
          <w:p>
            <w:pPr>
              <w:jc w:val="center"/>
              <w:rPr>
                <w:rFonts w:ascii="宋体" w:hAnsi="宋体"/>
                <w:color w:val="FF0000"/>
              </w:rPr>
            </w:pPr>
            <w:r>
              <w:rPr>
                <w:rFonts w:hint="eastAsia" w:ascii="宋体" w:hAnsi="宋体"/>
                <w:color w:val="FF0000"/>
              </w:rPr>
              <w:t>高级</w:t>
            </w:r>
          </w:p>
        </w:tc>
        <w:tc>
          <w:tcPr>
            <w:tcW w:w="677" w:type="pct"/>
            <w:tcBorders>
              <w:right w:val="single" w:color="auto" w:sz="4" w:space="0"/>
            </w:tcBorders>
            <w:vAlign w:val="center"/>
          </w:tcPr>
          <w:p>
            <w:pPr>
              <w:jc w:val="center"/>
              <w:rPr>
                <w:rFonts w:ascii="宋体" w:hAnsi="宋体"/>
                <w:color w:val="FF0000"/>
                <w:sz w:val="24"/>
                <w:u w:val="single"/>
              </w:rPr>
            </w:pPr>
          </w:p>
        </w:tc>
        <w:tc>
          <w:tcPr>
            <w:tcW w:w="430"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2500</w:t>
            </w:r>
          </w:p>
        </w:tc>
        <w:tc>
          <w:tcPr>
            <w:tcW w:w="616" w:type="pct"/>
            <w:tcBorders>
              <w:right w:val="single" w:color="auto" w:sz="4" w:space="0"/>
            </w:tcBorders>
            <w:vAlign w:val="center"/>
          </w:tcPr>
          <w:p>
            <w:pPr>
              <w:jc w:val="center"/>
              <w:rPr>
                <w:rFonts w:ascii="宋体" w:hAnsi="宋体"/>
                <w:color w:val="FF0000"/>
                <w:sz w:val="24"/>
                <w:u w:val="single"/>
              </w:rPr>
            </w:pPr>
          </w:p>
        </w:tc>
        <w:tc>
          <w:tcPr>
            <w:tcW w:w="601"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4000</w:t>
            </w:r>
          </w:p>
        </w:tc>
        <w:tc>
          <w:tcPr>
            <w:tcW w:w="604"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620"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仿宋_GB2312" w:hAnsi="仿宋_GB2312" w:eastAsia="仿宋_GB2312" w:cs="仿宋_GB2312"/>
                <w:color w:val="FF0000"/>
                <w:sz w:val="22"/>
                <w:szCs w:val="22"/>
              </w:rPr>
              <w:t>5500</w:t>
            </w:r>
          </w:p>
        </w:tc>
        <w:tc>
          <w:tcPr>
            <w:tcW w:w="43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649" w:type="pct"/>
            <w:vAlign w:val="center"/>
          </w:tcPr>
          <w:p>
            <w:pPr>
              <w:jc w:val="center"/>
              <w:rPr>
                <w:rFonts w:ascii="宋体" w:hAnsi="宋体"/>
                <w:color w:val="FF0000"/>
              </w:rPr>
            </w:pPr>
            <w:r>
              <w:rPr>
                <w:rFonts w:hint="eastAsia" w:ascii="宋体" w:hAnsi="宋体"/>
                <w:color w:val="FF0000"/>
              </w:rPr>
              <w:t>会议同传</w:t>
            </w:r>
          </w:p>
        </w:tc>
        <w:tc>
          <w:tcPr>
            <w:tcW w:w="368" w:type="pct"/>
            <w:tcBorders>
              <w:right w:val="single" w:color="auto" w:sz="4" w:space="0"/>
            </w:tcBorders>
            <w:vAlign w:val="center"/>
          </w:tcPr>
          <w:p>
            <w:pPr>
              <w:jc w:val="center"/>
              <w:rPr>
                <w:rFonts w:ascii="宋体" w:hAnsi="宋体"/>
                <w:color w:val="FF0000"/>
              </w:rPr>
            </w:pPr>
            <w:r>
              <w:rPr>
                <w:rFonts w:hint="eastAsia" w:ascii="宋体" w:hAnsi="宋体"/>
                <w:color w:val="FF0000"/>
              </w:rPr>
              <w:t>咨询</w:t>
            </w:r>
          </w:p>
        </w:tc>
        <w:tc>
          <w:tcPr>
            <w:tcW w:w="677" w:type="pct"/>
            <w:tcBorders>
              <w:right w:val="single" w:color="auto" w:sz="4" w:space="0"/>
            </w:tcBorders>
            <w:vAlign w:val="center"/>
          </w:tcPr>
          <w:p>
            <w:pPr>
              <w:jc w:val="center"/>
              <w:rPr>
                <w:rFonts w:ascii="宋体" w:hAnsi="宋体"/>
                <w:color w:val="FF0000"/>
                <w:sz w:val="24"/>
                <w:u w:val="single"/>
              </w:rPr>
            </w:pPr>
          </w:p>
        </w:tc>
        <w:tc>
          <w:tcPr>
            <w:tcW w:w="430"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4200</w:t>
            </w:r>
          </w:p>
        </w:tc>
        <w:tc>
          <w:tcPr>
            <w:tcW w:w="616" w:type="pct"/>
            <w:tcBorders>
              <w:right w:val="single" w:color="auto" w:sz="4" w:space="0"/>
            </w:tcBorders>
            <w:vAlign w:val="center"/>
          </w:tcPr>
          <w:p>
            <w:pPr>
              <w:jc w:val="center"/>
              <w:rPr>
                <w:rFonts w:ascii="宋体" w:hAnsi="宋体"/>
                <w:color w:val="FF0000"/>
                <w:sz w:val="24"/>
                <w:u w:val="single"/>
              </w:rPr>
            </w:pPr>
          </w:p>
        </w:tc>
        <w:tc>
          <w:tcPr>
            <w:tcW w:w="601" w:type="pct"/>
            <w:tcBorders>
              <w:left w:val="single" w:color="auto" w:sz="4" w:space="0"/>
            </w:tcBorders>
            <w:vAlign w:val="center"/>
          </w:tcPr>
          <w:p>
            <w:pPr>
              <w:jc w:val="center"/>
              <w:rPr>
                <w:rFonts w:ascii="宋体" w:hAnsi="宋体"/>
                <w:color w:val="FF0000"/>
                <w:sz w:val="24"/>
                <w:u w:val="single"/>
              </w:rPr>
            </w:pPr>
            <w:r>
              <w:rPr>
                <w:rFonts w:hint="eastAsia" w:ascii="宋体" w:hAnsi="宋体"/>
                <w:color w:val="FF0000"/>
              </w:rPr>
              <w:t>6500</w:t>
            </w:r>
          </w:p>
        </w:tc>
        <w:tc>
          <w:tcPr>
            <w:tcW w:w="604" w:type="pct"/>
            <w:tcBorders>
              <w:righ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p>
        </w:tc>
        <w:tc>
          <w:tcPr>
            <w:tcW w:w="620" w:type="pct"/>
            <w:tcBorders>
              <w:left w:val="single" w:color="auto" w:sz="4" w:space="0"/>
            </w:tcBorders>
            <w:vAlign w:val="center"/>
          </w:tcPr>
          <w:p>
            <w:pPr>
              <w:widowControl/>
              <w:jc w:val="center"/>
              <w:textAlignment w:val="center"/>
              <w:rPr>
                <w:rFonts w:ascii="仿宋_GB2312" w:hAnsi="仿宋_GB2312" w:eastAsia="仿宋_GB2312" w:cs="仿宋_GB2312"/>
                <w:color w:val="FF0000"/>
                <w:sz w:val="22"/>
                <w:szCs w:val="22"/>
              </w:rPr>
            </w:pPr>
            <w:r>
              <w:rPr>
                <w:rFonts w:hint="eastAsia" w:ascii="仿宋_GB2312" w:hAnsi="仿宋_GB2312" w:eastAsia="仿宋_GB2312" w:cs="仿宋_GB2312"/>
                <w:color w:val="FF0000"/>
                <w:sz w:val="22"/>
                <w:szCs w:val="22"/>
              </w:rPr>
              <w:t>8500</w:t>
            </w:r>
          </w:p>
        </w:tc>
        <w:tc>
          <w:tcPr>
            <w:tcW w:w="433" w:type="pct"/>
            <w:vMerge w:val="continue"/>
            <w:vAlign w:val="center"/>
          </w:tcPr>
          <w:p>
            <w:pPr>
              <w:jc w:val="center"/>
              <w:rPr>
                <w:rFonts w:ascii="宋体" w:hAnsi="宋体" w:cs="宋体"/>
                <w:color w:val="FF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649" w:type="pct"/>
            <w:vAlign w:val="center"/>
          </w:tcPr>
          <w:p>
            <w:pPr>
              <w:jc w:val="center"/>
              <w:rPr>
                <w:rFonts w:ascii="宋体" w:hAnsi="宋体"/>
                <w:color w:val="FF0000"/>
              </w:rPr>
            </w:pPr>
            <w:r>
              <w:rPr>
                <w:rFonts w:hint="eastAsia" w:ascii="宋体" w:hAnsi="宋体"/>
                <w:color w:val="FF0000"/>
              </w:rPr>
              <w:t>投标单价合计</w:t>
            </w:r>
          </w:p>
        </w:tc>
        <w:tc>
          <w:tcPr>
            <w:tcW w:w="4350" w:type="pct"/>
            <w:gridSpan w:val="8"/>
            <w:vAlign w:val="center"/>
          </w:tcPr>
          <w:p>
            <w:pPr>
              <w:jc w:val="left"/>
              <w:rPr>
                <w:rFonts w:ascii="宋体" w:hAnsi="宋体" w:cs="宋体"/>
                <w:color w:val="FF0000"/>
                <w:sz w:val="22"/>
                <w:szCs w:val="22"/>
                <w:u w:val="single"/>
              </w:rPr>
            </w:pPr>
            <w:r>
              <w:rPr>
                <w:rFonts w:hint="eastAsia" w:ascii="宋体" w:hAnsi="宋体" w:cs="宋体"/>
                <w:color w:val="FF0000"/>
                <w:sz w:val="22"/>
                <w:szCs w:val="22"/>
                <w:u w:val="single"/>
              </w:rPr>
              <w:t xml:space="preserve">           </w:t>
            </w:r>
            <w:r>
              <w:rPr>
                <w:rFonts w:hint="eastAsia" w:ascii="宋体" w:hAnsi="宋体" w:cs="宋体"/>
                <w:color w:val="FF0000"/>
                <w:sz w:val="22"/>
                <w:szCs w:val="22"/>
              </w:rPr>
              <w:t>元</w:t>
            </w:r>
          </w:p>
        </w:tc>
      </w:tr>
    </w:tbl>
    <w:p>
      <w:pPr>
        <w:spacing w:line="360" w:lineRule="auto"/>
        <w:rPr>
          <w:rFonts w:ascii="宋体" w:hAnsi="宋体" w:cs="宋体"/>
          <w:color w:val="FF0000"/>
          <w:sz w:val="24"/>
        </w:rPr>
      </w:pPr>
      <w:r>
        <w:rPr>
          <w:rFonts w:hint="eastAsia" w:ascii="宋体" w:hAnsi="宋体" w:cs="宋体"/>
          <w:color w:val="FF0000"/>
          <w:sz w:val="24"/>
        </w:rPr>
        <w:t>备注：1.其他语种价格以双方协商为准；</w:t>
      </w:r>
    </w:p>
    <w:p>
      <w:pPr>
        <w:spacing w:line="360" w:lineRule="auto"/>
        <w:ind w:firstLine="720" w:firstLineChars="300"/>
        <w:rPr>
          <w:rFonts w:ascii="宋体" w:hAnsi="宋体" w:cs="宋体"/>
          <w:color w:val="FF0000"/>
          <w:sz w:val="24"/>
        </w:rPr>
      </w:pPr>
      <w:r>
        <w:rPr>
          <w:rFonts w:hint="eastAsia" w:ascii="宋体" w:hAnsi="宋体" w:cs="宋体"/>
          <w:color w:val="FF0000"/>
          <w:sz w:val="24"/>
        </w:rPr>
        <w:t>2.投标人需按采购人列出的清单填报相应单价，实际结算单价等于所投标单价。投标单价不得超过相应限价，如投标单价超过相应限价，则视同无效报价。</w:t>
      </w:r>
    </w:p>
    <w:p>
      <w:pPr>
        <w:spacing w:line="360" w:lineRule="auto"/>
        <w:rPr>
          <w:rFonts w:ascii="宋体" w:hAnsi="宋体" w:cs="宋体"/>
          <w:color w:val="FF0000"/>
          <w:sz w:val="24"/>
        </w:rPr>
      </w:pPr>
    </w:p>
    <w:tbl>
      <w:tblPr>
        <w:tblStyle w:val="1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97"/>
        <w:gridCol w:w="3759"/>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936" w:type="pct"/>
            <w:vAlign w:val="center"/>
          </w:tcPr>
          <w:p>
            <w:pPr>
              <w:spacing w:line="360" w:lineRule="auto"/>
              <w:jc w:val="center"/>
              <w:rPr>
                <w:rFonts w:ascii="宋体" w:hAnsi="宋体" w:cs="宋体"/>
                <w:color w:val="FF0000"/>
                <w:sz w:val="24"/>
              </w:rPr>
            </w:pPr>
            <w:r>
              <w:rPr>
                <w:rFonts w:hint="eastAsia" w:ascii="宋体" w:hAnsi="宋体" w:cs="宋体"/>
                <w:color w:val="FF0000"/>
                <w:sz w:val="24"/>
              </w:rPr>
              <w:t>项目</w:t>
            </w:r>
          </w:p>
        </w:tc>
        <w:tc>
          <w:tcPr>
            <w:tcW w:w="2207" w:type="pct"/>
            <w:vAlign w:val="center"/>
          </w:tcPr>
          <w:p>
            <w:pPr>
              <w:spacing w:line="360" w:lineRule="auto"/>
              <w:jc w:val="center"/>
              <w:rPr>
                <w:rFonts w:ascii="宋体" w:hAnsi="宋体" w:cs="宋体"/>
                <w:color w:val="FF0000"/>
                <w:sz w:val="24"/>
              </w:rPr>
            </w:pPr>
            <w:r>
              <w:rPr>
                <w:rFonts w:hint="eastAsia" w:ascii="宋体" w:hAnsi="宋体" w:cs="宋体"/>
                <w:color w:val="FF0000"/>
                <w:sz w:val="24"/>
              </w:rPr>
              <w:t>投标单价合计</w:t>
            </w:r>
          </w:p>
          <w:p>
            <w:pPr>
              <w:spacing w:line="360" w:lineRule="auto"/>
              <w:jc w:val="center"/>
              <w:rPr>
                <w:rFonts w:ascii="宋体" w:hAnsi="宋体" w:cs="宋体"/>
                <w:color w:val="FF0000"/>
                <w:sz w:val="24"/>
              </w:rPr>
            </w:pPr>
            <w:r>
              <w:rPr>
                <w:rFonts w:hint="eastAsia" w:ascii="宋体" w:hAnsi="宋体" w:cs="宋体"/>
                <w:color w:val="FF0000"/>
                <w:sz w:val="24"/>
              </w:rPr>
              <w:t>（人民币）</w:t>
            </w:r>
          </w:p>
        </w:tc>
        <w:tc>
          <w:tcPr>
            <w:tcW w:w="856" w:type="pct"/>
            <w:vAlign w:val="center"/>
          </w:tcPr>
          <w:p>
            <w:pPr>
              <w:spacing w:line="360" w:lineRule="auto"/>
              <w:jc w:val="center"/>
              <w:rPr>
                <w:rFonts w:ascii="宋体" w:hAnsi="宋体" w:cs="宋体"/>
                <w:color w:val="FF0000"/>
                <w:sz w:val="24"/>
              </w:rPr>
            </w:pPr>
            <w:r>
              <w:rPr>
                <w:rFonts w:hint="eastAsia" w:ascii="宋体" w:hAnsi="宋体" w:cs="宋体"/>
                <w:color w:val="FF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1936" w:type="pct"/>
            <w:vAlign w:val="center"/>
          </w:tcPr>
          <w:p>
            <w:pPr>
              <w:spacing w:line="360" w:lineRule="auto"/>
              <w:jc w:val="center"/>
              <w:rPr>
                <w:rFonts w:ascii="宋体" w:hAnsi="宋体" w:cs="宋体"/>
                <w:color w:val="FF0000"/>
                <w:sz w:val="24"/>
                <w:u w:val="single"/>
              </w:rPr>
            </w:pPr>
            <w:r>
              <w:rPr>
                <w:rFonts w:hint="eastAsia" w:ascii="宋体" w:hAnsi="宋体" w:cs="Arial"/>
                <w:b/>
                <w:bCs/>
                <w:color w:val="FF0000"/>
              </w:rPr>
              <w:t>笔译级别</w:t>
            </w:r>
          </w:p>
        </w:tc>
        <w:tc>
          <w:tcPr>
            <w:tcW w:w="2207" w:type="pct"/>
            <w:vAlign w:val="center"/>
          </w:tcPr>
          <w:p>
            <w:pPr>
              <w:spacing w:line="360" w:lineRule="auto"/>
              <w:jc w:val="center"/>
              <w:rPr>
                <w:rFonts w:ascii="宋体" w:hAnsi="宋体" w:cs="宋体"/>
                <w:color w:val="FF0000"/>
                <w:sz w:val="24"/>
                <w:u w:val="single"/>
              </w:rPr>
            </w:pPr>
          </w:p>
        </w:tc>
        <w:tc>
          <w:tcPr>
            <w:tcW w:w="856" w:type="pct"/>
            <w:vAlign w:val="center"/>
          </w:tcPr>
          <w:p>
            <w:pPr>
              <w:spacing w:line="360" w:lineRule="auto"/>
              <w:jc w:val="center"/>
              <w:rPr>
                <w:rFonts w:ascii="宋体" w:hAnsi="宋体" w:cs="宋体"/>
                <w:color w:val="FF0000"/>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1936" w:type="pct"/>
            <w:vAlign w:val="center"/>
          </w:tcPr>
          <w:p>
            <w:pPr>
              <w:spacing w:line="360" w:lineRule="auto"/>
              <w:jc w:val="center"/>
              <w:rPr>
                <w:rFonts w:ascii="宋体" w:hAnsi="宋体" w:cs="宋体"/>
                <w:color w:val="FF0000"/>
                <w:sz w:val="24"/>
                <w:u w:val="single"/>
              </w:rPr>
            </w:pPr>
            <w:r>
              <w:rPr>
                <w:rFonts w:hint="eastAsia" w:ascii="宋体" w:hAnsi="宋体" w:cs="Arial"/>
                <w:b/>
                <w:bCs/>
                <w:color w:val="FF0000"/>
              </w:rPr>
              <w:t>口译级别</w:t>
            </w:r>
          </w:p>
        </w:tc>
        <w:tc>
          <w:tcPr>
            <w:tcW w:w="2207" w:type="pct"/>
            <w:vAlign w:val="center"/>
          </w:tcPr>
          <w:p>
            <w:pPr>
              <w:spacing w:line="360" w:lineRule="auto"/>
              <w:jc w:val="center"/>
              <w:rPr>
                <w:rFonts w:ascii="宋体" w:hAnsi="宋体" w:cs="宋体"/>
                <w:color w:val="FF0000"/>
                <w:sz w:val="24"/>
                <w:u w:val="single"/>
              </w:rPr>
            </w:pPr>
          </w:p>
        </w:tc>
        <w:tc>
          <w:tcPr>
            <w:tcW w:w="856" w:type="pct"/>
            <w:vAlign w:val="center"/>
          </w:tcPr>
          <w:p>
            <w:pPr>
              <w:spacing w:line="360" w:lineRule="auto"/>
              <w:jc w:val="center"/>
              <w:rPr>
                <w:rFonts w:ascii="宋体" w:hAnsi="宋体" w:cs="宋体"/>
                <w:color w:val="FF0000"/>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1936" w:type="pct"/>
            <w:vAlign w:val="center"/>
          </w:tcPr>
          <w:p>
            <w:pPr>
              <w:spacing w:line="360" w:lineRule="auto"/>
              <w:jc w:val="center"/>
              <w:rPr>
                <w:rFonts w:ascii="宋体" w:hAnsi="宋体" w:cs="宋体"/>
                <w:color w:val="FF0000"/>
                <w:sz w:val="24"/>
                <w:u w:val="single"/>
              </w:rPr>
            </w:pPr>
            <w:r>
              <w:rPr>
                <w:rFonts w:hint="eastAsia" w:ascii="宋体" w:hAnsi="宋体"/>
                <w:color w:val="FF0000"/>
              </w:rPr>
              <w:t>投标单价合计（笔译级别+口译级别）</w:t>
            </w:r>
          </w:p>
        </w:tc>
        <w:tc>
          <w:tcPr>
            <w:tcW w:w="3063" w:type="pct"/>
            <w:gridSpan w:val="2"/>
            <w:vAlign w:val="center"/>
          </w:tcPr>
          <w:p>
            <w:pPr>
              <w:spacing w:line="360" w:lineRule="auto"/>
              <w:jc w:val="center"/>
              <w:rPr>
                <w:rFonts w:ascii="宋体" w:hAnsi="宋体" w:cs="宋体"/>
                <w:color w:val="FF0000"/>
                <w:sz w:val="24"/>
                <w:u w:val="single"/>
              </w:rPr>
            </w:pPr>
            <w:r>
              <w:rPr>
                <w:rFonts w:hint="eastAsia" w:ascii="宋体" w:hAnsi="宋体" w:cs="宋体"/>
                <w:color w:val="FF0000"/>
                <w:sz w:val="22"/>
                <w:szCs w:val="22"/>
                <w:u w:val="single"/>
              </w:rPr>
              <w:t xml:space="preserve">           </w:t>
            </w:r>
            <w:r>
              <w:rPr>
                <w:rFonts w:hint="eastAsia" w:ascii="宋体" w:hAnsi="宋体" w:cs="宋体"/>
                <w:color w:val="FF0000"/>
                <w:sz w:val="22"/>
                <w:szCs w:val="22"/>
              </w:rPr>
              <w:t>元</w:t>
            </w:r>
          </w:p>
        </w:tc>
      </w:tr>
    </w:tbl>
    <w:p>
      <w:pPr>
        <w:spacing w:line="360" w:lineRule="auto"/>
        <w:rPr>
          <w:rFonts w:ascii="宋体" w:hAnsi="宋体" w:cs="宋体"/>
          <w:color w:val="FF0000"/>
          <w:sz w:val="24"/>
        </w:rPr>
      </w:pPr>
      <w:r>
        <w:rPr>
          <w:rFonts w:hint="eastAsia" w:ascii="宋体" w:hAnsi="宋体" w:cs="宋体"/>
          <w:color w:val="FF0000"/>
          <w:sz w:val="24"/>
        </w:rPr>
        <w:t>备注：本次投标单价合计金额(笔译级别+口译级别)作为价格评分依据。</w:t>
      </w:r>
    </w:p>
    <w:p>
      <w:pPr>
        <w:spacing w:line="360" w:lineRule="auto"/>
        <w:rPr>
          <w:rFonts w:ascii="宋体" w:hAnsi="宋体" w:cs="宋体"/>
          <w:color w:val="FF0000"/>
          <w:sz w:val="24"/>
        </w:rPr>
      </w:pPr>
    </w:p>
    <w:p>
      <w:pPr>
        <w:spacing w:line="360" w:lineRule="auto"/>
        <w:rPr>
          <w:rFonts w:ascii="宋体" w:hAnsi="宋体" w:cs="宋体"/>
          <w:color w:val="FF0000"/>
          <w:sz w:val="24"/>
        </w:rPr>
      </w:pPr>
      <w:r>
        <w:rPr>
          <w:rFonts w:hint="eastAsia" w:ascii="宋体" w:hAnsi="宋体" w:cs="宋体"/>
          <w:color w:val="FF0000"/>
          <w:sz w:val="24"/>
        </w:rPr>
        <w:t>投标供应商授权代表：</w:t>
      </w:r>
      <w:r>
        <w:rPr>
          <w:rFonts w:hint="eastAsia" w:ascii="宋体" w:hAnsi="宋体" w:cs="宋体"/>
          <w:color w:val="FF0000"/>
          <w:sz w:val="24"/>
          <w:u w:val="single"/>
        </w:rPr>
        <w:t xml:space="preserve">                   </w:t>
      </w:r>
    </w:p>
    <w:p>
      <w:pPr>
        <w:spacing w:line="360" w:lineRule="auto"/>
        <w:rPr>
          <w:rFonts w:ascii="宋体" w:hAnsi="宋体" w:cs="宋体"/>
          <w:color w:val="FF0000"/>
          <w:sz w:val="24"/>
        </w:rPr>
      </w:pPr>
      <w:r>
        <w:rPr>
          <w:rFonts w:hint="eastAsia" w:ascii="宋体" w:hAnsi="宋体" w:cs="宋体"/>
          <w:color w:val="FF0000"/>
          <w:sz w:val="24"/>
        </w:rPr>
        <w:t>职              务：</w:t>
      </w:r>
      <w:r>
        <w:rPr>
          <w:rFonts w:hint="eastAsia" w:ascii="宋体" w:hAnsi="宋体" w:cs="宋体"/>
          <w:color w:val="FF0000"/>
          <w:sz w:val="24"/>
          <w:u w:val="single"/>
        </w:rPr>
        <w:t xml:space="preserve">                   </w:t>
      </w:r>
      <w:r>
        <w:rPr>
          <w:rFonts w:hint="eastAsia" w:ascii="宋体" w:hAnsi="宋体" w:cs="宋体"/>
          <w:color w:val="FF0000"/>
          <w:sz w:val="24"/>
        </w:rPr>
        <w:t xml:space="preserve">        </w:t>
      </w:r>
    </w:p>
    <w:p>
      <w:pPr>
        <w:spacing w:line="360" w:lineRule="auto"/>
        <w:rPr>
          <w:rFonts w:ascii="宋体" w:hAnsi="宋体" w:cs="宋体"/>
          <w:color w:val="FF0000"/>
          <w:sz w:val="24"/>
          <w:u w:val="single"/>
        </w:rPr>
      </w:pPr>
      <w:r>
        <w:rPr>
          <w:rFonts w:hint="eastAsia" w:ascii="宋体" w:hAnsi="宋体" w:cs="宋体"/>
          <w:color w:val="FF0000"/>
          <w:sz w:val="24"/>
        </w:rPr>
        <w:t>日              期：</w:t>
      </w:r>
      <w:r>
        <w:rPr>
          <w:rFonts w:hint="eastAsia" w:ascii="宋体" w:hAnsi="宋体" w:cs="宋体"/>
          <w:color w:val="FF0000"/>
          <w:sz w:val="24"/>
          <w:u w:val="single"/>
        </w:rPr>
        <w:t xml:space="preserve">                   </w:t>
      </w:r>
    </w:p>
    <w:p>
      <w:pPr>
        <w:pStyle w:val="2"/>
        <w:rPr>
          <w:color w:val="000000" w:themeColor="text1"/>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spacing w:line="360" w:lineRule="auto"/>
        <w:outlineLvl w:val="2"/>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autoSpaceDE w:val="0"/>
        <w:spacing w:line="520" w:lineRule="exact"/>
        <w:rPr>
          <w:rFonts w:ascii="宋体" w:hAnsi="宋体" w:cs="宋体"/>
          <w:color w:val="000000"/>
          <w:sz w:val="24"/>
        </w:rPr>
      </w:pPr>
      <w:r>
        <w:rPr>
          <w:rFonts w:hint="eastAsia" w:ascii="宋体" w:hAnsi="宋体" w:cs="宋体"/>
          <w:color w:val="000000"/>
          <w:sz w:val="24"/>
          <w:lang w:bidi="ar"/>
        </w:rPr>
        <w:t>深圳市前海深港现代服务业合作区管理局：</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 xml:space="preserve">我公司在参与单位的 </w:t>
      </w:r>
      <w:r>
        <w:rPr>
          <w:rFonts w:hint="eastAsia" w:ascii="宋体" w:hAnsi="宋体" w:cs="宋体"/>
          <w:color w:val="000000"/>
          <w:sz w:val="24"/>
          <w:u w:val="single"/>
          <w:lang w:bidi="ar"/>
        </w:rPr>
        <w:t xml:space="preserve">         </w:t>
      </w:r>
      <w:r>
        <w:rPr>
          <w:rFonts w:hint="eastAsia" w:ascii="宋体" w:hAnsi="宋体" w:cs="宋体"/>
          <w:color w:val="000000"/>
          <w:sz w:val="24"/>
          <w:lang w:bidi="ar"/>
        </w:rPr>
        <w:t>项目投标，我公司承诺如下：</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1.前三年内，在经营活动中没有重大违法记录；</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2.参与本项目政府采购活动时不存在被有关部门禁止参与政府采购活动且在有效期内的情况；</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3.具备《中华人民共和国政府采购法》第二十二条的条件；</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4.未被列入失信被执行人、重大税收违法案件当事人名单（重大税收违法失信主体）、政府采购严重违法失信行为记录名单；</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5.单位负责人为同一人或者存在直接控股、管理关系的不同供应商，未参加同一合同项下的政府采购活动；为采购项目提供整体设计、规范编制或者项目管理、监理、检测等服务的供应商，未参加该采购项目的其他采购活动；</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6.参与本项目政府采购活动不存在与其他采购参与人串通投标，隐瞒真实情况，提供虚假资料等违法违规情形。</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 xml:space="preserve">               </w:t>
      </w:r>
    </w:p>
    <w:p>
      <w:pPr>
        <w:autoSpaceDE w:val="0"/>
        <w:spacing w:line="520" w:lineRule="exact"/>
        <w:ind w:firstLine="480" w:firstLineChars="200"/>
        <w:rPr>
          <w:rFonts w:ascii="宋体" w:hAnsi="宋体" w:cs="宋体"/>
          <w:color w:val="000000"/>
          <w:sz w:val="24"/>
        </w:rPr>
      </w:pPr>
      <w:r>
        <w:rPr>
          <w:rFonts w:hint="eastAsia" w:ascii="宋体" w:hAnsi="宋体" w:cs="宋体"/>
          <w:color w:val="000000"/>
          <w:sz w:val="24"/>
          <w:lang w:bidi="ar"/>
        </w:rPr>
        <w:t xml:space="preserve">                         **公司（盖章）</w:t>
      </w:r>
    </w:p>
    <w:p>
      <w:pPr>
        <w:rPr>
          <w:rFonts w:ascii="宋体" w:hAnsi="宋体" w:cs="宋体"/>
        </w:rPr>
      </w:pPr>
      <w:r>
        <w:rPr>
          <w:rFonts w:hint="eastAsia" w:ascii="宋体" w:hAnsi="宋体" w:cs="宋体"/>
          <w:color w:val="000000"/>
          <w:sz w:val="24"/>
          <w:lang w:bidi="ar"/>
        </w:rPr>
        <w:t xml:space="preserve">                         2024年**月**日</w:t>
      </w:r>
    </w:p>
    <w:p>
      <w:pPr>
        <w:numPr>
          <w:ilvl w:val="0"/>
          <w:numId w:val="12"/>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ascii="宋体" w:hAnsi="宋体" w:cs="宋体"/>
          <w:b/>
          <w:color w:val="000000" w:themeColor="text1"/>
          <w:sz w:val="24"/>
          <w14:textFill>
            <w14:solidFill>
              <w14:schemeClr w14:val="tx1"/>
            </w14:solidFill>
          </w14:textFill>
        </w:rPr>
      </w:pPr>
    </w:p>
    <w:p>
      <w:pPr>
        <w:spacing w:before="120" w:after="120"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ascii="宋体" w:hAnsi="宋体" w:cs="宋体"/>
          <w:color w:val="000000" w:themeColor="text1"/>
          <w:szCs w:val="21"/>
          <w14:textFill>
            <w14:solidFill>
              <w14:schemeClr w14:val="tx1"/>
            </w14:solidFill>
          </w14:textFill>
        </w:rPr>
      </w:pPr>
    </w:p>
    <w:p>
      <w:pPr>
        <w:spacing w:before="120" w:after="120"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5"/>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5"/>
              <w:spacing w:line="360" w:lineRule="auto"/>
              <w:rPr>
                <w:rFonts w:ascii="Arial Narrow" w:hAnsi="Arial Narrow"/>
                <w:b/>
                <w:bCs/>
                <w:color w:val="000000" w:themeColor="text1"/>
                <w:szCs w:val="21"/>
                <w14:textFill>
                  <w14:solidFill>
                    <w14:schemeClr w14:val="tx1"/>
                  </w14:solidFill>
                </w14:textFill>
              </w:rPr>
            </w:pPr>
          </w:p>
        </w:tc>
      </w:tr>
    </w:tbl>
    <w:p>
      <w:pPr>
        <w:pStyle w:val="2"/>
        <w:rPr>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5"/>
        <w:spacing w:line="360" w:lineRule="auto"/>
        <w:jc w:val="center"/>
        <w:rPr>
          <w:rFonts w:hAnsi="宋体" w:cs="宋体"/>
          <w:b/>
          <w:color w:val="000000" w:themeColor="text1"/>
          <w:sz w:val="24"/>
          <w14:textFill>
            <w14:solidFill>
              <w14:schemeClr w14:val="tx1"/>
            </w14:solidFill>
          </w14:textFill>
        </w:rPr>
      </w:pPr>
    </w:p>
    <w:p>
      <w:pPr>
        <w:pStyle w:val="5"/>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5"/>
        <w:spacing w:line="360" w:lineRule="auto"/>
        <w:rPr>
          <w:rFonts w:hAnsi="宋体" w:cs="宋体"/>
          <w:color w:val="000000" w:themeColor="text1"/>
          <w:sz w:val="24"/>
          <w14:textFill>
            <w14:solidFill>
              <w14:schemeClr w14:val="tx1"/>
            </w14:solidFill>
          </w14:textFill>
        </w:rPr>
      </w:pPr>
    </w:p>
    <w:p>
      <w:pPr>
        <w:pStyle w:val="5"/>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5"/>
        <w:spacing w:line="360" w:lineRule="auto"/>
        <w:rPr>
          <w:rFonts w:hAnsi="宋体" w:cs="宋体"/>
          <w:color w:val="000000" w:themeColor="text1"/>
          <w:sz w:val="24"/>
          <w14:textFill>
            <w14:solidFill>
              <w14:schemeClr w14:val="tx1"/>
            </w14:solidFill>
          </w14:textFill>
        </w:rPr>
      </w:pPr>
    </w:p>
    <w:p>
      <w:pPr>
        <w:spacing w:line="36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5"/>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致：深圳交易咨询集团有限公司</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5"/>
        <w:spacing w:line="360" w:lineRule="auto"/>
        <w:jc w:val="center"/>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5"/>
        <w:spacing w:line="360" w:lineRule="auto"/>
        <w:ind w:firstLine="660" w:firstLineChars="2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5"/>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ascii="宋体" w:hAnsi="宋体" w:cs="宋体"/>
          <w:color w:val="FF0000"/>
          <w:sz w:val="24"/>
          <w:lang w:val="fr-CH"/>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FF0000"/>
          <w:sz w:val="24"/>
          <w:lang w:val="fr-CH"/>
        </w:rPr>
        <w:t>相关项目经验；</w:t>
      </w:r>
      <w:r>
        <w:rPr>
          <w:rFonts w:hint="eastAsia" w:ascii="宋体" w:hAnsi="宋体" w:cs="宋体"/>
          <w:color w:val="FF0000"/>
          <w:sz w:val="24"/>
        </w:rPr>
        <w:t>；</w:t>
      </w:r>
    </w:p>
    <w:p>
      <w:pPr>
        <w:numPr>
          <w:ilvl w:val="0"/>
          <w:numId w:val="12"/>
        </w:numPr>
        <w:tabs>
          <w:tab w:val="left" w:pos="640"/>
        </w:tabs>
        <w:spacing w:line="360" w:lineRule="auto"/>
        <w:ind w:left="845" w:hanging="845"/>
        <w:rPr>
          <w:rFonts w:ascii="宋体" w:hAnsi="宋体" w:cs="宋体"/>
          <w:color w:val="FF0000"/>
          <w:sz w:val="24"/>
          <w:lang w:val="fr-CH"/>
        </w:rPr>
      </w:pPr>
      <w:r>
        <w:rPr>
          <w:rFonts w:hint="eastAsia" w:ascii="宋体" w:hAnsi="宋体" w:cs="宋体"/>
          <w:color w:val="FF0000"/>
          <w:sz w:val="24"/>
          <w:lang w:val="fr-CH"/>
        </w:rPr>
        <w:t>拟安排项目负责人（仅一人）情况；</w:t>
      </w:r>
    </w:p>
    <w:p>
      <w:pPr>
        <w:numPr>
          <w:ilvl w:val="0"/>
          <w:numId w:val="12"/>
        </w:numPr>
        <w:tabs>
          <w:tab w:val="left" w:pos="640"/>
        </w:tabs>
        <w:spacing w:line="360" w:lineRule="auto"/>
        <w:ind w:left="845" w:hanging="845"/>
        <w:rPr>
          <w:rFonts w:ascii="宋体" w:hAnsi="宋体" w:cs="宋体"/>
          <w:color w:val="FF0000"/>
          <w:sz w:val="24"/>
        </w:rPr>
      </w:pPr>
      <w:r>
        <w:rPr>
          <w:rFonts w:hint="eastAsia" w:ascii="宋体" w:hAnsi="宋体" w:cs="宋体"/>
          <w:color w:val="FF0000"/>
          <w:sz w:val="24"/>
          <w:lang w:val="fr-CH"/>
        </w:rPr>
        <w:t>团队成员（项目负责人除外）</w:t>
      </w:r>
      <w:r>
        <w:rPr>
          <w:rFonts w:hint="eastAsia" w:ascii="宋体" w:hAnsi="宋体" w:cs="宋体"/>
          <w:color w:val="FF0000"/>
          <w:sz w:val="24"/>
        </w:rPr>
        <w:t>；</w:t>
      </w:r>
    </w:p>
    <w:p>
      <w:pPr>
        <w:tabs>
          <w:tab w:val="left" w:pos="640"/>
          <w:tab w:val="left" w:pos="1260"/>
          <w:tab w:val="left" w:pos="1418"/>
        </w:tabs>
        <w:jc w:val="center"/>
        <w:rPr>
          <w:rFonts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深圳交易咨询集团有限公司：</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ascii="宋体" w:hAnsi="宋体" w:cs="宋体"/>
          <w:color w:val="000000" w:themeColor="text1"/>
          <w:sz w:val="24"/>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spacing w:line="360" w:lineRule="auto"/>
        <w:rPr>
          <w:rFonts w:ascii="宋体" w:hAnsi="宋体" w:cs="宋体"/>
          <w:color w:val="000000"/>
          <w:sz w:val="24"/>
          <w:lang w:bidi="ar"/>
        </w:rPr>
      </w:pPr>
    </w:p>
    <w:p>
      <w:pPr>
        <w:spacing w:line="360" w:lineRule="auto"/>
        <w:rPr>
          <w:rFonts w:ascii="宋体" w:hAnsi="宋体" w:cs="宋体"/>
          <w:color w:val="000000"/>
          <w:sz w:val="24"/>
          <w:lang w:bidi="ar"/>
        </w:rPr>
      </w:pPr>
    </w:p>
    <w:p>
      <w:pPr>
        <w:spacing w:line="360" w:lineRule="auto"/>
        <w:rPr>
          <w:rFonts w:ascii="宋体" w:hAnsi="宋体" w:cs="宋体"/>
          <w:color w:val="000000"/>
          <w:sz w:val="24"/>
          <w:lang w:bidi="ar"/>
        </w:rPr>
      </w:pPr>
    </w:p>
    <w:p>
      <w:pPr>
        <w:spacing w:line="360" w:lineRule="auto"/>
        <w:rPr>
          <w:rFonts w:ascii="宋体" w:hAnsi="宋体" w:cs="宋体"/>
          <w:color w:val="000000"/>
          <w:sz w:val="24"/>
        </w:rPr>
      </w:pPr>
      <w:r>
        <w:rPr>
          <w:rFonts w:hint="eastAsia" w:ascii="宋体" w:hAnsi="宋体" w:cs="宋体"/>
          <w:color w:val="000000"/>
          <w:sz w:val="24"/>
          <w:lang w:bidi="ar"/>
        </w:rPr>
        <w:t>深圳市前海深港现代服务业合作区管理局：</w:t>
      </w: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我公司在参与单位的</w:t>
      </w:r>
      <w:r>
        <w:rPr>
          <w:rFonts w:hint="eastAsia" w:ascii="宋体" w:hAnsi="宋体" w:cs="宋体"/>
          <w:color w:val="000000"/>
          <w:sz w:val="24"/>
          <w:u w:val="single"/>
          <w:lang w:bidi="ar"/>
        </w:rPr>
        <w:t xml:space="preserve">          </w:t>
      </w:r>
      <w:r>
        <w:rPr>
          <w:rFonts w:hint="eastAsia" w:ascii="宋体" w:hAnsi="宋体" w:cs="宋体"/>
          <w:color w:val="000000"/>
          <w:sz w:val="24"/>
          <w:lang w:bidi="ar"/>
        </w:rPr>
        <w:t>项目投标，我公司承诺如下：我公司在参与政府采购活动中不存在诚信相关问题且没有在主管部门相关处理措施实施期限内的情况。</w:t>
      </w: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 xml:space="preserve"> </w:t>
      </w:r>
    </w:p>
    <w:p>
      <w:pPr>
        <w:spacing w:line="360" w:lineRule="auto"/>
        <w:ind w:firstLine="1680" w:firstLineChars="700"/>
        <w:rPr>
          <w:rFonts w:ascii="宋体" w:hAnsi="宋体" w:cs="宋体"/>
          <w:color w:val="000000"/>
          <w:sz w:val="24"/>
        </w:rPr>
      </w:pPr>
      <w:r>
        <w:rPr>
          <w:rFonts w:hint="eastAsia" w:ascii="宋体" w:hAnsi="宋体" w:cs="宋体"/>
          <w:color w:val="000000"/>
          <w:sz w:val="24"/>
          <w:lang w:bidi="ar"/>
        </w:rPr>
        <w:t xml:space="preserve">               **公司（盖章）</w:t>
      </w:r>
    </w:p>
    <w:p>
      <w:pPr>
        <w:rPr>
          <w:rFonts w:ascii="宋体" w:hAnsi="宋体" w:cs="宋体"/>
        </w:rPr>
      </w:pPr>
      <w:r>
        <w:rPr>
          <w:rFonts w:hint="eastAsia" w:ascii="宋体" w:hAnsi="宋体" w:cs="宋体"/>
          <w:color w:val="000000"/>
          <w:sz w:val="24"/>
          <w:lang w:bidi="ar"/>
        </w:rPr>
        <w:t xml:space="preserve">                         2024年**月**日</w:t>
      </w:r>
    </w:p>
    <w:p>
      <w:pPr>
        <w:pStyle w:val="5"/>
        <w:spacing w:line="360" w:lineRule="auto"/>
        <w:jc w:val="left"/>
        <w:rPr>
          <w:rFonts w:hAnsi="宋体" w:cs="宋体"/>
          <w:color w:val="000000" w:themeColor="text1"/>
          <w:sz w:val="24"/>
          <w14:textFill>
            <w14:solidFill>
              <w14:schemeClr w14:val="tx1"/>
            </w14:solidFill>
          </w14:textFill>
        </w:rPr>
      </w:pPr>
    </w:p>
    <w:p>
      <w:pPr>
        <w:pStyle w:val="5"/>
        <w:spacing w:line="360" w:lineRule="auto"/>
        <w:jc w:val="left"/>
        <w:rPr>
          <w:rFonts w:hAnsi="宋体" w:cs="宋体"/>
          <w:color w:val="000000" w:themeColor="text1"/>
          <w:sz w:val="24"/>
          <w14:textFill>
            <w14:solidFill>
              <w14:schemeClr w14:val="tx1"/>
            </w14:solidFill>
          </w14:textFill>
        </w:rPr>
      </w:pPr>
    </w:p>
    <w:p>
      <w:pPr>
        <w:spacing w:before="100" w:beforeAutospacing="1" w:after="100" w:afterAutospacing="1"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FF0000"/>
          <w:sz w:val="24"/>
        </w:rPr>
        <w:t>注：近三年内，如投标人有任何违法违规、受惩罚和禁止、不良信用等记录，必须列明记载，并附网络截图（加盖公章）</w:t>
      </w:r>
      <w:r>
        <w:rPr>
          <w:rFonts w:hint="eastAsia" w:ascii="宋体" w:hAnsi="宋体" w:cs="宋体"/>
          <w:b/>
          <w:bCs/>
          <w:color w:val="000000" w:themeColor="text1"/>
          <w:sz w:val="24"/>
          <w14:textFill>
            <w14:solidFill>
              <w14:schemeClr w14:val="tx1"/>
            </w14:solidFill>
          </w14:textFill>
        </w:rPr>
        <w:t>。</w:t>
      </w:r>
    </w:p>
    <w:p>
      <w:pPr>
        <w:pStyle w:val="2"/>
        <w:rPr>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ascii="宋体" w:hAnsi="宋体" w:cs="宋体"/>
          <w:color w:val="000000" w:themeColor="text1"/>
          <w:sz w:val="24"/>
          <w14:textFill>
            <w14:solidFill>
              <w14:schemeClr w14:val="tx1"/>
            </w14:solidFill>
          </w14:textFill>
        </w:rPr>
      </w:pPr>
    </w:p>
    <w:p>
      <w:pPr>
        <w:spacing w:line="360" w:lineRule="auto"/>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vAlign w:val="center"/>
          </w:tcPr>
          <w:p>
            <w:pPr>
              <w:spacing w:line="360" w:lineRule="auto"/>
              <w:jc w:val="center"/>
              <w:rPr>
                <w:rFonts w:ascii="宋体" w:hAnsi="宋体" w:cs="宋体"/>
                <w:bCs/>
                <w:color w:val="000000" w:themeColor="text1"/>
                <w:sz w:val="24"/>
                <w14:textFill>
                  <w14:solidFill>
                    <w14:schemeClr w14:val="tx1"/>
                  </w14:solidFill>
                </w14:textFill>
              </w:rPr>
            </w:pPr>
          </w:p>
        </w:tc>
      </w:tr>
    </w:tbl>
    <w:p>
      <w:pPr>
        <w:spacing w:after="78" w:line="360" w:lineRule="auto"/>
        <w:rPr>
          <w:rFonts w:ascii="宋体" w:hAnsi="宋体" w:cs="宋体"/>
          <w:bCs/>
          <w:color w:val="000000" w:themeColor="text1"/>
          <w:sz w:val="24"/>
          <w14:textFill>
            <w14:solidFill>
              <w14:schemeClr w14:val="tx1"/>
            </w14:solidFill>
          </w14:textFill>
        </w:rPr>
      </w:pP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FF0000"/>
          <w:sz w:val="24"/>
          <w:lang w:val="sq-AL"/>
        </w:rPr>
        <w:t>项目实施方案；</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FF0000"/>
          <w:sz w:val="24"/>
          <w:lang w:val="sq-AL"/>
        </w:rPr>
        <w:t>项目重难点分析及解决方案；</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FF0000"/>
          <w:sz w:val="24"/>
          <w:lang w:val="sq-AL"/>
        </w:rPr>
      </w:pPr>
      <w:r>
        <w:rPr>
          <w:rFonts w:hint="eastAsia" w:ascii="宋体" w:hAnsi="宋体" w:cs="宋体"/>
          <w:color w:val="FF0000"/>
          <w:sz w:val="24"/>
          <w:lang w:val="sq-AL"/>
        </w:rPr>
        <w:t>项目管理措施和进度计划；</w:t>
      </w: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9"/>
    </w:p>
    <w:p>
      <w:pPr>
        <w:tabs>
          <w:tab w:val="left" w:pos="360"/>
        </w:tabs>
        <w:spacing w:line="300" w:lineRule="auto"/>
        <w:outlineLvl w:val="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5" w:name="_Toc6251"/>
      <w:bookmarkStart w:id="26" w:name="_Toc742"/>
      <w:r>
        <w:rPr>
          <w:rFonts w:hint="eastAsia" w:ascii="宋体" w:hAnsi="宋体" w:cs="宋体"/>
          <w:b/>
          <w:bCs/>
          <w:color w:val="000000" w:themeColor="text1"/>
          <w:sz w:val="24"/>
          <w14:textFill>
            <w14:solidFill>
              <w14:schemeClr w14:val="tx1"/>
            </w14:solidFill>
          </w14:textFill>
        </w:rPr>
        <w:t>附件：相关政策</w:t>
      </w:r>
      <w:bookmarkEnd w:id="25"/>
      <w:bookmarkEnd w:id="26"/>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000000" w:themeColor="text1"/>
          <w14:textFill>
            <w14:solidFill>
              <w14:schemeClr w14:val="tx1"/>
            </w14:solidFill>
          </w14:textFill>
        </w:rPr>
      </w:pPr>
    </w:p>
    <w:p>
      <w:pPr>
        <w:widowControl/>
        <w:shd w:val="clear" w:color="auto" w:fill="FFFFFF"/>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ascii="宋体" w:hAnsi="宋体" w:cs="宋体"/>
          <w:color w:val="000000" w:themeColor="text1"/>
          <w:kern w:val="0"/>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rPr>
          <w:rFonts w:ascii="宋体" w:hAnsi="宋体" w:cs="宋体"/>
          <w:color w:val="000000" w:themeColor="text1"/>
          <w:spacing w:val="-2"/>
          <w14:textFill>
            <w14:solidFill>
              <w14:schemeClr w14:val="tx1"/>
            </w14:solidFill>
          </w14:textFill>
        </w:rPr>
      </w:pPr>
    </w:p>
    <w:p>
      <w:pPr>
        <w:pStyle w:val="2"/>
        <w:tabs>
          <w:tab w:val="left" w:pos="562"/>
          <w:tab w:val="left" w:pos="3372"/>
          <w:tab w:val="left" w:pos="3653"/>
        </w:tabs>
        <w:spacing w:before="3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6"/>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6"/>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6"/>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6"/>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6"/>
              <w:jc w:val="center"/>
              <w:rPr>
                <w:color w:val="000000" w:themeColor="text1"/>
                <w:sz w:val="24"/>
                <w:szCs w:val="24"/>
                <w14:textFill>
                  <w14:solidFill>
                    <w14:schemeClr w14:val="tx1"/>
                  </w14:solidFill>
                </w14:textFill>
              </w:rPr>
            </w:pPr>
          </w:p>
        </w:tc>
        <w:tc>
          <w:tcPr>
            <w:tcW w:w="1866" w:type="dxa"/>
            <w:tcBorders>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restart"/>
            <w:vAlign w:val="center"/>
          </w:tcPr>
          <w:p>
            <w:pPr>
              <w:pStyle w:val="26"/>
              <w:jc w:val="center"/>
              <w:rPr>
                <w:color w:val="000000" w:themeColor="text1"/>
                <w:sz w:val="24"/>
                <w:szCs w:val="24"/>
                <w14:textFill>
                  <w14:solidFill>
                    <w14:schemeClr w14:val="tx1"/>
                  </w14:solidFill>
                </w14:textFill>
              </w:rPr>
            </w:pPr>
          </w:p>
          <w:p>
            <w:pPr>
              <w:pStyle w:val="26"/>
              <w:jc w:val="center"/>
              <w:rPr>
                <w:color w:val="000000" w:themeColor="text1"/>
                <w:sz w:val="24"/>
                <w:szCs w:val="24"/>
                <w14:textFill>
                  <w14:solidFill>
                    <w14:schemeClr w14:val="tx1"/>
                  </w14:solidFill>
                </w14:textFill>
              </w:rPr>
            </w:pPr>
          </w:p>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6"/>
              <w:jc w:val="center"/>
              <w:rPr>
                <w:color w:val="000000" w:themeColor="text1"/>
                <w:sz w:val="24"/>
                <w:szCs w:val="24"/>
                <w14:textFill>
                  <w14:solidFill>
                    <w14:schemeClr w14:val="tx1"/>
                  </w14:solidFill>
                </w14:textFill>
              </w:rPr>
            </w:pPr>
          </w:p>
        </w:tc>
        <w:tc>
          <w:tcPr>
            <w:tcW w:w="2010" w:type="dxa"/>
            <w:tcBorders>
              <w:top w:val="nil"/>
            </w:tcBorders>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6"/>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ascii="宋体" w:hAnsi="宋体" w:cs="宋体"/>
          <w:color w:val="000000" w:themeColor="text1"/>
          <w14:textFill>
            <w14:solidFill>
              <w14:schemeClr w14:val="tx1"/>
            </w14:solidFill>
          </w14:textFill>
        </w:rPr>
      </w:pPr>
    </w:p>
    <w:p>
      <w:pPr>
        <w:pStyle w:val="14"/>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000000" w:themeColor="text1"/>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themeColor="text1"/>
          <w:sz w:val="24"/>
          <w14:textFill>
            <w14:solidFill>
              <w14:schemeClr w14:val="tx1"/>
            </w14:solidFill>
          </w14:textFill>
        </w:rPr>
      </w:pPr>
    </w:p>
    <w:p>
      <w:pPr>
        <w:pStyle w:val="14"/>
        <w:jc w:val="both"/>
        <w:outlineLvl w:val="9"/>
        <w:rPr>
          <w:rFonts w:ascii="宋体" w:hAnsi="宋体" w:eastAsia="宋体" w:cs="宋体"/>
          <w:color w:val="000000" w:themeColor="text1"/>
          <w:sz w:val="24"/>
          <w:szCs w:val="24"/>
          <w14:textFill>
            <w14:solidFill>
              <w14:schemeClr w14:val="tx1"/>
            </w14:solidFill>
          </w14:textFill>
        </w:rPr>
      </w:pPr>
    </w:p>
    <w:p>
      <w:pPr>
        <w:pStyle w:val="14"/>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p>
    <w:p>
      <w:pPr>
        <w:widowControl/>
        <w:shd w:val="clear" w:color="auto" w:fill="FFFFFF"/>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ascii="宋体" w:hAnsi="宋体" w:cs="宋体"/>
          <w:color w:val="000000" w:themeColor="text1"/>
          <w:kern w:val="0"/>
          <w:sz w:val="24"/>
          <w14:textFill>
            <w14:solidFill>
              <w14:schemeClr w14:val="tx1"/>
            </w14:solidFill>
          </w14:textFill>
        </w:rPr>
      </w:pP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000000" w:themeColor="text1"/>
          <w14:textFill>
            <w14:solidFill>
              <w14:schemeClr w14:val="tx1"/>
            </w14:solidFill>
          </w14:textFill>
        </w:rPr>
      </w:pPr>
    </w:p>
    <w:p>
      <w:pPr>
        <w:pStyle w:val="14"/>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ascii="宋体" w:hAnsi="宋体" w:cs="宋体"/>
          <w:bCs/>
          <w:color w:val="000000" w:themeColor="text1"/>
          <w:sz w:val="24"/>
          <w14:textFill>
            <w14:solidFill>
              <w14:schemeClr w14:val="tx1"/>
            </w14:solidFill>
          </w14:textFill>
        </w:rPr>
      </w:pPr>
    </w:p>
    <w:p>
      <w:pPr>
        <w:shd w:val="clear" w:color="auto" w:fill="FFFFFF"/>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3"/>
        <w:shd w:val="clear" w:color="auto" w:fill="FFFFFF"/>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7" w:name="sendNo"/>
      <w:r>
        <w:rPr>
          <w:rFonts w:hint="eastAsia"/>
          <w:color w:val="000000" w:themeColor="text1"/>
          <w14:textFill>
            <w14:solidFill>
              <w14:schemeClr w14:val="tx1"/>
            </w14:solidFill>
          </w14:textFill>
        </w:rPr>
        <w:t>财库〔</w:t>
      </w:r>
      <w:bookmarkEnd w:id="27"/>
      <w:r>
        <w:rPr>
          <w:rFonts w:hint="eastAsia"/>
          <w:color w:val="000000" w:themeColor="text1"/>
          <w14:textFill>
            <w14:solidFill>
              <w14:schemeClr w14:val="tx1"/>
            </w14:solidFill>
          </w14:textFill>
        </w:rPr>
        <w:t>2017〕141号</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bookmarkStart w:id="2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000000" w:themeColor="text1"/>
          <w14:textFill>
            <w14:solidFill>
              <w14:schemeClr w14:val="tx1"/>
            </w14:solidFill>
          </w14:textFill>
        </w:rPr>
        <w:t>：</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3"/>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3"/>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7"/>
        <w:shd w:val="clear" w:color="auto" w:fill="FFFFFF"/>
        <w:spacing w:before="0" w:beforeAutospacing="0" w:after="0" w:afterAutospacing="0" w:line="5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7"/>
        <w:shd w:val="clear" w:color="auto" w:fill="FFFFFF"/>
        <w:spacing w:before="0" w:beforeAutospacing="0" w:after="0" w:afterAutospacing="0" w:line="560" w:lineRule="exact"/>
        <w:ind w:firstLine="482" w:firstLineChars="200"/>
        <w:jc w:val="center"/>
        <w:rPr>
          <w:color w:val="000000" w:themeColor="text1"/>
          <w14:textFill>
            <w14:solidFill>
              <w14:schemeClr w14:val="tx1"/>
            </w14:solidFill>
          </w14:textFill>
        </w:rPr>
      </w:pPr>
      <w:r>
        <w:rPr>
          <w:rStyle w:val="28"/>
          <w:rFonts w:hint="eastAsia"/>
          <w:b/>
          <w:bCs/>
          <w:color w:val="000000" w:themeColor="text1"/>
          <w14:textFill>
            <w14:solidFill>
              <w14:schemeClr w14:val="tx1"/>
            </w14:solidFill>
          </w14:textFill>
        </w:rPr>
        <w:t>残疾人福利性单位声明函</w:t>
      </w:r>
    </w:p>
    <w:p>
      <w:pPr>
        <w:pStyle w:val="27"/>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Style w:val="28"/>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Style w:val="28"/>
          <w:rFonts w:hint="eastAsia"/>
          <w:color w:val="000000" w:themeColor="text1"/>
          <w14:textFill>
            <w14:solidFill>
              <w14:schemeClr w14:val="tx1"/>
            </w14:solidFill>
          </w14:textFill>
        </w:rPr>
        <w:t>本单位对上述声明的真实性负责。如有虚假，将依法承担相应责任。</w:t>
      </w:r>
    </w:p>
    <w:p>
      <w:pPr>
        <w:pStyle w:val="27"/>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spacing w:before="0" w:beforeAutospacing="0" w:after="0" w:afterAutospacing="0" w:line="560" w:lineRule="exact"/>
        <w:ind w:right="2100" w:rightChars="1000"/>
        <w:jc w:val="right"/>
        <w:rPr>
          <w:color w:val="000000" w:themeColor="text1"/>
          <w14:textFill>
            <w14:solidFill>
              <w14:schemeClr w14:val="tx1"/>
            </w14:solidFill>
          </w14:textFill>
        </w:rPr>
      </w:pPr>
      <w:r>
        <w:rPr>
          <w:rStyle w:val="28"/>
          <w:rFonts w:hint="eastAsia"/>
          <w:color w:val="000000" w:themeColor="text1"/>
          <w14:textFill>
            <w14:solidFill>
              <w14:schemeClr w14:val="tx1"/>
            </w14:solidFill>
          </w14:textFill>
        </w:rPr>
        <w:t>单位名称（盖章）：</w:t>
      </w:r>
    </w:p>
    <w:p>
      <w:pPr>
        <w:pStyle w:val="27"/>
        <w:shd w:val="clear" w:color="auto" w:fill="FFFFFF"/>
        <w:spacing w:before="0" w:beforeAutospacing="0" w:after="0" w:afterAutospacing="0" w:line="560" w:lineRule="exact"/>
        <w:ind w:right="2100" w:rightChars="1000"/>
        <w:jc w:val="right"/>
        <w:rPr>
          <w:color w:val="000000" w:themeColor="text1"/>
          <w:lang w:val="fr-CH"/>
          <w14:textFill>
            <w14:solidFill>
              <w14:schemeClr w14:val="tx1"/>
            </w14:solidFill>
          </w14:textFill>
        </w:rPr>
      </w:pPr>
      <w:r>
        <w:rPr>
          <w:rStyle w:val="28"/>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ascii="宋体" w:hAnsi="宋体" w:cs="宋体"/>
          <w:color w:val="000000" w:themeColor="text1"/>
          <w:sz w:val="24"/>
          <w:lang w:val="fr-CH"/>
          <w14:textFill>
            <w14:solidFill>
              <w14:schemeClr w14:val="tx1"/>
            </w14:solidFill>
          </w14:textFill>
        </w:rPr>
      </w:pPr>
    </w:p>
    <w:p>
      <w:pPr>
        <w:pStyle w:val="22"/>
        <w:rPr>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2IzYTg4Y2VlODMxNWQ4MDFjNzhlOTJkOGEyNDcifQ=="/>
  </w:docVars>
  <w:rsids>
    <w:rsidRoot w:val="6F152D9A"/>
    <w:rsid w:val="00065246"/>
    <w:rsid w:val="000832E8"/>
    <w:rsid w:val="0009033C"/>
    <w:rsid w:val="000A0243"/>
    <w:rsid w:val="000E1BDD"/>
    <w:rsid w:val="0010138B"/>
    <w:rsid w:val="00165D03"/>
    <w:rsid w:val="001B44E3"/>
    <w:rsid w:val="001E218C"/>
    <w:rsid w:val="00203616"/>
    <w:rsid w:val="00240DC9"/>
    <w:rsid w:val="003309ED"/>
    <w:rsid w:val="003860DF"/>
    <w:rsid w:val="004062CE"/>
    <w:rsid w:val="0043346B"/>
    <w:rsid w:val="00445E03"/>
    <w:rsid w:val="0045151A"/>
    <w:rsid w:val="0045287C"/>
    <w:rsid w:val="0052643A"/>
    <w:rsid w:val="0053496B"/>
    <w:rsid w:val="005528B7"/>
    <w:rsid w:val="005F7EDC"/>
    <w:rsid w:val="00600302"/>
    <w:rsid w:val="00704F8C"/>
    <w:rsid w:val="0072587C"/>
    <w:rsid w:val="00776F03"/>
    <w:rsid w:val="00816C1D"/>
    <w:rsid w:val="00871DA4"/>
    <w:rsid w:val="008A2C60"/>
    <w:rsid w:val="008B536F"/>
    <w:rsid w:val="008E7B61"/>
    <w:rsid w:val="008F2F65"/>
    <w:rsid w:val="00911DA2"/>
    <w:rsid w:val="0097794D"/>
    <w:rsid w:val="009B000F"/>
    <w:rsid w:val="009B237D"/>
    <w:rsid w:val="009E6322"/>
    <w:rsid w:val="00A37F36"/>
    <w:rsid w:val="00A54895"/>
    <w:rsid w:val="00A97ABC"/>
    <w:rsid w:val="00AC1C6E"/>
    <w:rsid w:val="00AD03F6"/>
    <w:rsid w:val="00B42665"/>
    <w:rsid w:val="00C01B81"/>
    <w:rsid w:val="00C26B54"/>
    <w:rsid w:val="00CB45A4"/>
    <w:rsid w:val="00CD55F8"/>
    <w:rsid w:val="00D22B6D"/>
    <w:rsid w:val="00DB4078"/>
    <w:rsid w:val="00DE5743"/>
    <w:rsid w:val="00E409D4"/>
    <w:rsid w:val="00EF32B0"/>
    <w:rsid w:val="00EF5296"/>
    <w:rsid w:val="00F34506"/>
    <w:rsid w:val="00F64E7C"/>
    <w:rsid w:val="00FA2946"/>
    <w:rsid w:val="00FF2AA8"/>
    <w:rsid w:val="01211AD4"/>
    <w:rsid w:val="0159301C"/>
    <w:rsid w:val="02287D7E"/>
    <w:rsid w:val="023010F1"/>
    <w:rsid w:val="02881E0B"/>
    <w:rsid w:val="031134B4"/>
    <w:rsid w:val="03226467"/>
    <w:rsid w:val="0341645D"/>
    <w:rsid w:val="03743014"/>
    <w:rsid w:val="042277B0"/>
    <w:rsid w:val="04A005CC"/>
    <w:rsid w:val="04B91F33"/>
    <w:rsid w:val="04C63705"/>
    <w:rsid w:val="05A44EE0"/>
    <w:rsid w:val="06336033"/>
    <w:rsid w:val="06791730"/>
    <w:rsid w:val="069B3B3F"/>
    <w:rsid w:val="069E458D"/>
    <w:rsid w:val="072F63A4"/>
    <w:rsid w:val="07446369"/>
    <w:rsid w:val="07787DB5"/>
    <w:rsid w:val="078057A6"/>
    <w:rsid w:val="0785622D"/>
    <w:rsid w:val="082C3238"/>
    <w:rsid w:val="087C541A"/>
    <w:rsid w:val="08950582"/>
    <w:rsid w:val="08E57A87"/>
    <w:rsid w:val="090D0B49"/>
    <w:rsid w:val="09300B06"/>
    <w:rsid w:val="09F77876"/>
    <w:rsid w:val="09F92323"/>
    <w:rsid w:val="0A5E16A3"/>
    <w:rsid w:val="0A602146"/>
    <w:rsid w:val="0AA72E75"/>
    <w:rsid w:val="0AB85257"/>
    <w:rsid w:val="0ABC56D2"/>
    <w:rsid w:val="0AE05F7E"/>
    <w:rsid w:val="0B56604D"/>
    <w:rsid w:val="0B7B37EB"/>
    <w:rsid w:val="0BB91DF1"/>
    <w:rsid w:val="0BE62205"/>
    <w:rsid w:val="0C366CF2"/>
    <w:rsid w:val="0C822ACA"/>
    <w:rsid w:val="0CDA3DB9"/>
    <w:rsid w:val="0D046532"/>
    <w:rsid w:val="0D3F1CF7"/>
    <w:rsid w:val="0D5C54A5"/>
    <w:rsid w:val="0DBA3094"/>
    <w:rsid w:val="0DE851E0"/>
    <w:rsid w:val="0E7912E8"/>
    <w:rsid w:val="0E81749C"/>
    <w:rsid w:val="0F670FFA"/>
    <w:rsid w:val="0FAC4C5F"/>
    <w:rsid w:val="0FE96BFE"/>
    <w:rsid w:val="105F7C6D"/>
    <w:rsid w:val="10634BF3"/>
    <w:rsid w:val="10A9182E"/>
    <w:rsid w:val="120431B8"/>
    <w:rsid w:val="12431D83"/>
    <w:rsid w:val="125157C8"/>
    <w:rsid w:val="13160D6D"/>
    <w:rsid w:val="13242E4C"/>
    <w:rsid w:val="13596EAB"/>
    <w:rsid w:val="136F7F1D"/>
    <w:rsid w:val="138A5087"/>
    <w:rsid w:val="139B74C4"/>
    <w:rsid w:val="13A1291C"/>
    <w:rsid w:val="13F57F6C"/>
    <w:rsid w:val="14356A77"/>
    <w:rsid w:val="145B077C"/>
    <w:rsid w:val="14895609"/>
    <w:rsid w:val="15347304"/>
    <w:rsid w:val="15BB713F"/>
    <w:rsid w:val="16027A14"/>
    <w:rsid w:val="164B3423"/>
    <w:rsid w:val="166075E8"/>
    <w:rsid w:val="169A1CB5"/>
    <w:rsid w:val="16E178E4"/>
    <w:rsid w:val="172577D0"/>
    <w:rsid w:val="18254071"/>
    <w:rsid w:val="190B1AB7"/>
    <w:rsid w:val="190E1E92"/>
    <w:rsid w:val="193E2DCB"/>
    <w:rsid w:val="194B4539"/>
    <w:rsid w:val="19677F5C"/>
    <w:rsid w:val="19AA0461"/>
    <w:rsid w:val="19EF3664"/>
    <w:rsid w:val="1A8E78C8"/>
    <w:rsid w:val="1A914D5C"/>
    <w:rsid w:val="1BDC73AB"/>
    <w:rsid w:val="1C2529FF"/>
    <w:rsid w:val="1C427076"/>
    <w:rsid w:val="1C6F14EE"/>
    <w:rsid w:val="1D02212B"/>
    <w:rsid w:val="1D2B18B9"/>
    <w:rsid w:val="1D595DC4"/>
    <w:rsid w:val="1D815FCC"/>
    <w:rsid w:val="1D927B8A"/>
    <w:rsid w:val="1DCA2E80"/>
    <w:rsid w:val="1E340C41"/>
    <w:rsid w:val="1E781388"/>
    <w:rsid w:val="1EC51899"/>
    <w:rsid w:val="1F27593E"/>
    <w:rsid w:val="1F394761"/>
    <w:rsid w:val="200208BE"/>
    <w:rsid w:val="200655C0"/>
    <w:rsid w:val="207417C9"/>
    <w:rsid w:val="20AA3CDC"/>
    <w:rsid w:val="20C41902"/>
    <w:rsid w:val="218B0B78"/>
    <w:rsid w:val="21ED7804"/>
    <w:rsid w:val="21EE5BE9"/>
    <w:rsid w:val="21F030D1"/>
    <w:rsid w:val="2221328A"/>
    <w:rsid w:val="22462A8A"/>
    <w:rsid w:val="22696FF6"/>
    <w:rsid w:val="229F2035"/>
    <w:rsid w:val="23006025"/>
    <w:rsid w:val="230C1C0F"/>
    <w:rsid w:val="23664217"/>
    <w:rsid w:val="240F5A90"/>
    <w:rsid w:val="243A63CC"/>
    <w:rsid w:val="24D5402F"/>
    <w:rsid w:val="24E56118"/>
    <w:rsid w:val="25F62C52"/>
    <w:rsid w:val="27DA0163"/>
    <w:rsid w:val="28150C75"/>
    <w:rsid w:val="284003E8"/>
    <w:rsid w:val="286F3F95"/>
    <w:rsid w:val="287B7F79"/>
    <w:rsid w:val="28B94B6A"/>
    <w:rsid w:val="29916F47"/>
    <w:rsid w:val="29CD4DD1"/>
    <w:rsid w:val="2B0674C1"/>
    <w:rsid w:val="2B353322"/>
    <w:rsid w:val="2B4B28F2"/>
    <w:rsid w:val="2B5A3EBA"/>
    <w:rsid w:val="2BB9468C"/>
    <w:rsid w:val="2BD73CFD"/>
    <w:rsid w:val="2C8F5E2C"/>
    <w:rsid w:val="2CF30C2B"/>
    <w:rsid w:val="2DC3606E"/>
    <w:rsid w:val="2DDE2D62"/>
    <w:rsid w:val="2EB52733"/>
    <w:rsid w:val="2EBA15B9"/>
    <w:rsid w:val="2F37730B"/>
    <w:rsid w:val="302610FC"/>
    <w:rsid w:val="3058256D"/>
    <w:rsid w:val="30766E97"/>
    <w:rsid w:val="30B71989"/>
    <w:rsid w:val="30D756C5"/>
    <w:rsid w:val="30E33504"/>
    <w:rsid w:val="310B6BF3"/>
    <w:rsid w:val="316513A8"/>
    <w:rsid w:val="325A2178"/>
    <w:rsid w:val="32B50E33"/>
    <w:rsid w:val="32C26F97"/>
    <w:rsid w:val="335D7410"/>
    <w:rsid w:val="336D3EA4"/>
    <w:rsid w:val="33C64EB5"/>
    <w:rsid w:val="33F26834"/>
    <w:rsid w:val="343E641F"/>
    <w:rsid w:val="34C74165"/>
    <w:rsid w:val="34E751DD"/>
    <w:rsid w:val="35C012AA"/>
    <w:rsid w:val="363D6170"/>
    <w:rsid w:val="367E6AA5"/>
    <w:rsid w:val="36C546D4"/>
    <w:rsid w:val="37155888"/>
    <w:rsid w:val="37205FF6"/>
    <w:rsid w:val="37B51780"/>
    <w:rsid w:val="37BD5D71"/>
    <w:rsid w:val="38624A88"/>
    <w:rsid w:val="38DC3EDC"/>
    <w:rsid w:val="38FA68B7"/>
    <w:rsid w:val="391D76E1"/>
    <w:rsid w:val="39202096"/>
    <w:rsid w:val="39394B01"/>
    <w:rsid w:val="39F50E2C"/>
    <w:rsid w:val="3A43428E"/>
    <w:rsid w:val="3A950543"/>
    <w:rsid w:val="3ADA56C8"/>
    <w:rsid w:val="3B00217F"/>
    <w:rsid w:val="3BD21711"/>
    <w:rsid w:val="3BD80F0D"/>
    <w:rsid w:val="3C1C4D96"/>
    <w:rsid w:val="3C4B11D8"/>
    <w:rsid w:val="3C53008C"/>
    <w:rsid w:val="3C69156F"/>
    <w:rsid w:val="3D7F382F"/>
    <w:rsid w:val="3D9B4E64"/>
    <w:rsid w:val="3D9F527F"/>
    <w:rsid w:val="3DC54FBA"/>
    <w:rsid w:val="3E6B3DB3"/>
    <w:rsid w:val="3EBE3EE3"/>
    <w:rsid w:val="3EE33949"/>
    <w:rsid w:val="3EF97772"/>
    <w:rsid w:val="3EFF69F7"/>
    <w:rsid w:val="3F3C7CCF"/>
    <w:rsid w:val="3F8C5D8F"/>
    <w:rsid w:val="3FD00372"/>
    <w:rsid w:val="3FDD483D"/>
    <w:rsid w:val="3FFA719D"/>
    <w:rsid w:val="40D519B8"/>
    <w:rsid w:val="40D53845"/>
    <w:rsid w:val="41032081"/>
    <w:rsid w:val="411B561D"/>
    <w:rsid w:val="41361B95"/>
    <w:rsid w:val="413F1CD1"/>
    <w:rsid w:val="41A265EF"/>
    <w:rsid w:val="41C938EB"/>
    <w:rsid w:val="4215787B"/>
    <w:rsid w:val="421C7965"/>
    <w:rsid w:val="42300585"/>
    <w:rsid w:val="428F6994"/>
    <w:rsid w:val="42D55690"/>
    <w:rsid w:val="42DE3E28"/>
    <w:rsid w:val="430D647A"/>
    <w:rsid w:val="434C7124"/>
    <w:rsid w:val="439971FA"/>
    <w:rsid w:val="43EF4B3E"/>
    <w:rsid w:val="43F41FD8"/>
    <w:rsid w:val="448B4DEB"/>
    <w:rsid w:val="450862B9"/>
    <w:rsid w:val="453A31F7"/>
    <w:rsid w:val="459C6E90"/>
    <w:rsid w:val="45B00E23"/>
    <w:rsid w:val="469C746C"/>
    <w:rsid w:val="46BB8F57"/>
    <w:rsid w:val="46EA2143"/>
    <w:rsid w:val="483D0F26"/>
    <w:rsid w:val="490168B9"/>
    <w:rsid w:val="49302C4E"/>
    <w:rsid w:val="4ACC3E2B"/>
    <w:rsid w:val="4BA60AB1"/>
    <w:rsid w:val="4BE34546"/>
    <w:rsid w:val="4BF94C2F"/>
    <w:rsid w:val="4C5F0CDA"/>
    <w:rsid w:val="4C6E3E4A"/>
    <w:rsid w:val="4C906769"/>
    <w:rsid w:val="4D1635EC"/>
    <w:rsid w:val="4E3E2CE9"/>
    <w:rsid w:val="4E5A52AA"/>
    <w:rsid w:val="4E5E1120"/>
    <w:rsid w:val="4E9208C3"/>
    <w:rsid w:val="4F205D20"/>
    <w:rsid w:val="4F226DC8"/>
    <w:rsid w:val="4F234ACC"/>
    <w:rsid w:val="4F2A7373"/>
    <w:rsid w:val="4F6351A5"/>
    <w:rsid w:val="4F7F44DF"/>
    <w:rsid w:val="4FBA3692"/>
    <w:rsid w:val="501C6CBB"/>
    <w:rsid w:val="504F0E3F"/>
    <w:rsid w:val="50601F36"/>
    <w:rsid w:val="50964CC0"/>
    <w:rsid w:val="513E236A"/>
    <w:rsid w:val="515D758B"/>
    <w:rsid w:val="516C5CF7"/>
    <w:rsid w:val="51867B3E"/>
    <w:rsid w:val="519D3E2C"/>
    <w:rsid w:val="51A575B0"/>
    <w:rsid w:val="520774F7"/>
    <w:rsid w:val="521D38D2"/>
    <w:rsid w:val="525B75EF"/>
    <w:rsid w:val="52666914"/>
    <w:rsid w:val="5267529D"/>
    <w:rsid w:val="53135B7C"/>
    <w:rsid w:val="53A6051D"/>
    <w:rsid w:val="53B92BD0"/>
    <w:rsid w:val="53C27B7A"/>
    <w:rsid w:val="53DF6035"/>
    <w:rsid w:val="54B41A73"/>
    <w:rsid w:val="55366A71"/>
    <w:rsid w:val="553757FC"/>
    <w:rsid w:val="55D532B1"/>
    <w:rsid w:val="55E0055B"/>
    <w:rsid w:val="56256E96"/>
    <w:rsid w:val="571006E4"/>
    <w:rsid w:val="571D7A4B"/>
    <w:rsid w:val="577E1E59"/>
    <w:rsid w:val="580D41E5"/>
    <w:rsid w:val="58844C17"/>
    <w:rsid w:val="58FC3B2E"/>
    <w:rsid w:val="59405C8C"/>
    <w:rsid w:val="596238D8"/>
    <w:rsid w:val="596B65E2"/>
    <w:rsid w:val="59F1326F"/>
    <w:rsid w:val="5A084201"/>
    <w:rsid w:val="5AA44386"/>
    <w:rsid w:val="5AF304F6"/>
    <w:rsid w:val="5B1834F7"/>
    <w:rsid w:val="5B3BA7C1"/>
    <w:rsid w:val="5BF60D08"/>
    <w:rsid w:val="5C4D4754"/>
    <w:rsid w:val="5C5D1481"/>
    <w:rsid w:val="5C6F429B"/>
    <w:rsid w:val="5C700ABB"/>
    <w:rsid w:val="5CFFB12B"/>
    <w:rsid w:val="5D1A517B"/>
    <w:rsid w:val="5D2517BF"/>
    <w:rsid w:val="5DC91F2A"/>
    <w:rsid w:val="5DD14279"/>
    <w:rsid w:val="5E436EA1"/>
    <w:rsid w:val="5E6006BC"/>
    <w:rsid w:val="5E740CAF"/>
    <w:rsid w:val="5E7D486A"/>
    <w:rsid w:val="5EB729BA"/>
    <w:rsid w:val="5F132FF0"/>
    <w:rsid w:val="5F1E0A25"/>
    <w:rsid w:val="5FD01870"/>
    <w:rsid w:val="60211516"/>
    <w:rsid w:val="605E3790"/>
    <w:rsid w:val="607E751E"/>
    <w:rsid w:val="60A01243"/>
    <w:rsid w:val="60E45417"/>
    <w:rsid w:val="613876CD"/>
    <w:rsid w:val="616A6E87"/>
    <w:rsid w:val="61B93862"/>
    <w:rsid w:val="61E45BE1"/>
    <w:rsid w:val="6341070D"/>
    <w:rsid w:val="637901FC"/>
    <w:rsid w:val="638C3E3F"/>
    <w:rsid w:val="63A075C4"/>
    <w:rsid w:val="64427DEE"/>
    <w:rsid w:val="648F0A9B"/>
    <w:rsid w:val="65E358B9"/>
    <w:rsid w:val="65FC3B45"/>
    <w:rsid w:val="65FF9593"/>
    <w:rsid w:val="66524D8D"/>
    <w:rsid w:val="66903B07"/>
    <w:rsid w:val="6739419F"/>
    <w:rsid w:val="674768BC"/>
    <w:rsid w:val="678629DB"/>
    <w:rsid w:val="679F2254"/>
    <w:rsid w:val="67BC1D30"/>
    <w:rsid w:val="686F41A0"/>
    <w:rsid w:val="6881195A"/>
    <w:rsid w:val="68D12617"/>
    <w:rsid w:val="69F942E4"/>
    <w:rsid w:val="6A6467C8"/>
    <w:rsid w:val="6B7F6F78"/>
    <w:rsid w:val="6C134FBF"/>
    <w:rsid w:val="6C643B3D"/>
    <w:rsid w:val="6C7C48CD"/>
    <w:rsid w:val="6C9E6F7E"/>
    <w:rsid w:val="6CC369E5"/>
    <w:rsid w:val="6D137BCA"/>
    <w:rsid w:val="6D152C7A"/>
    <w:rsid w:val="6D5835D1"/>
    <w:rsid w:val="6D8C6AB1"/>
    <w:rsid w:val="6DD93A3B"/>
    <w:rsid w:val="6E1556F6"/>
    <w:rsid w:val="6E9D0F19"/>
    <w:rsid w:val="6EC17357"/>
    <w:rsid w:val="6F101C89"/>
    <w:rsid w:val="6F152D9A"/>
    <w:rsid w:val="6F5B1425"/>
    <w:rsid w:val="6FA64098"/>
    <w:rsid w:val="6FF56BEC"/>
    <w:rsid w:val="6FFF7C0E"/>
    <w:rsid w:val="70A42689"/>
    <w:rsid w:val="70D34C8F"/>
    <w:rsid w:val="719167F9"/>
    <w:rsid w:val="72273572"/>
    <w:rsid w:val="72583E79"/>
    <w:rsid w:val="725A654C"/>
    <w:rsid w:val="735E0EFB"/>
    <w:rsid w:val="73941CCC"/>
    <w:rsid w:val="73ED0CF9"/>
    <w:rsid w:val="73FC8A81"/>
    <w:rsid w:val="745B25CA"/>
    <w:rsid w:val="75347F55"/>
    <w:rsid w:val="75DF6FA8"/>
    <w:rsid w:val="75F52BA6"/>
    <w:rsid w:val="76031347"/>
    <w:rsid w:val="76934ECB"/>
    <w:rsid w:val="77107490"/>
    <w:rsid w:val="774F2E3E"/>
    <w:rsid w:val="77C61FA0"/>
    <w:rsid w:val="77E32C2D"/>
    <w:rsid w:val="78125870"/>
    <w:rsid w:val="7814559E"/>
    <w:rsid w:val="785E1FEF"/>
    <w:rsid w:val="787D1225"/>
    <w:rsid w:val="78A21BA4"/>
    <w:rsid w:val="79061938"/>
    <w:rsid w:val="79065175"/>
    <w:rsid w:val="791B1604"/>
    <w:rsid w:val="796365C3"/>
    <w:rsid w:val="796B3CC4"/>
    <w:rsid w:val="79973B38"/>
    <w:rsid w:val="79BD7886"/>
    <w:rsid w:val="79BF480D"/>
    <w:rsid w:val="7A344A7E"/>
    <w:rsid w:val="7A886B78"/>
    <w:rsid w:val="7BFF585B"/>
    <w:rsid w:val="7C052A67"/>
    <w:rsid w:val="7C445F6B"/>
    <w:rsid w:val="7CB507B6"/>
    <w:rsid w:val="7DCC76C3"/>
    <w:rsid w:val="7DEB3451"/>
    <w:rsid w:val="7E372D8F"/>
    <w:rsid w:val="7EC91358"/>
    <w:rsid w:val="7ECD5546"/>
    <w:rsid w:val="7EF0118F"/>
    <w:rsid w:val="7F341DFF"/>
    <w:rsid w:val="7F397464"/>
    <w:rsid w:val="7F3DA136"/>
    <w:rsid w:val="7FBED365"/>
    <w:rsid w:val="7FDC3989"/>
    <w:rsid w:val="7FEA09E2"/>
    <w:rsid w:val="7FF37189"/>
    <w:rsid w:val="9B872542"/>
    <w:rsid w:val="ADF65459"/>
    <w:rsid w:val="B3BDF780"/>
    <w:rsid w:val="C7ABA81B"/>
    <w:rsid w:val="D7F31B8F"/>
    <w:rsid w:val="DAE36AB4"/>
    <w:rsid w:val="EBDBCAF1"/>
    <w:rsid w:val="FD9BAD52"/>
    <w:rsid w:val="FDFB8351"/>
    <w:rsid w:val="FEE7C4F9"/>
    <w:rsid w:val="FEFD3CBB"/>
    <w:rsid w:val="FFAE51A5"/>
    <w:rsid w:val="FFCF59D6"/>
    <w:rsid w:val="FFD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3">
    <w:name w:val="annotation text"/>
    <w:basedOn w:val="1"/>
    <w:link w:val="35"/>
    <w:unhideWhenUsed/>
    <w:qFormat/>
    <w:uiPriority w:val="0"/>
    <w:pPr>
      <w:jc w:val="left"/>
    </w:pPr>
    <w:rPr>
      <w:kern w:val="0"/>
      <w:sz w:val="20"/>
    </w:rPr>
  </w:style>
  <w:style w:type="paragraph" w:styleId="4">
    <w:name w:val="Body Text Indent"/>
    <w:basedOn w:val="1"/>
    <w:unhideWhenUsed/>
    <w:qFormat/>
    <w:uiPriority w:val="99"/>
    <w:pPr>
      <w:spacing w:after="120"/>
      <w:ind w:left="420" w:leftChars="200"/>
    </w:pPr>
    <w:rPr>
      <w:kern w:val="0"/>
      <w:sz w:val="20"/>
      <w:szCs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Balloon Text"/>
    <w:basedOn w:val="1"/>
    <w:link w:val="3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3"/>
    <w:next w:val="3"/>
    <w:link w:val="36"/>
    <w:qFormat/>
    <w:uiPriority w:val="0"/>
    <w:rPr>
      <w:b/>
      <w:bCs/>
      <w:kern w:val="2"/>
      <w:sz w:val="21"/>
    </w:rPr>
  </w:style>
  <w:style w:type="paragraph" w:styleId="16">
    <w:name w:val="Body Text First Indent 2"/>
    <w:basedOn w:val="4"/>
    <w:qFormat/>
    <w:uiPriority w:val="0"/>
    <w:pPr>
      <w:ind w:firstLine="420" w:firstLineChars="200"/>
    </w:pPr>
  </w:style>
  <w:style w:type="character" w:styleId="19">
    <w:name w:val="page number"/>
    <w:qFormat/>
    <w:uiPriority w:val="0"/>
  </w:style>
  <w:style w:type="character" w:styleId="20">
    <w:name w:val="annotation reference"/>
    <w:basedOn w:val="18"/>
    <w:qFormat/>
    <w:uiPriority w:val="0"/>
    <w:rPr>
      <w:sz w:val="21"/>
      <w:szCs w:val="21"/>
    </w:rPr>
  </w:style>
  <w:style w:type="paragraph" w:styleId="2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2">
    <w:name w:val="正文格式"/>
    <w:basedOn w:val="4"/>
    <w:qFormat/>
    <w:uiPriority w:val="99"/>
    <w:pPr>
      <w:spacing w:after="0" w:line="360" w:lineRule="auto"/>
      <w:ind w:left="0" w:leftChars="0" w:firstLine="600"/>
    </w:pPr>
    <w:rPr>
      <w:rFonts w:eastAsia="仿宋_GB2312"/>
      <w:sz w:val="30"/>
      <w:szCs w:val="30"/>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4">
    <w:name w:val="List Paragraph"/>
    <w:basedOn w:val="1"/>
    <w:qFormat/>
    <w:uiPriority w:val="34"/>
    <w:pPr>
      <w:ind w:firstLine="420" w:firstLineChars="200"/>
    </w:pPr>
  </w:style>
  <w:style w:type="paragraph" w:customStyle="1" w:styleId="25">
    <w:name w:val="（）列表模式"/>
    <w:basedOn w:val="1"/>
    <w:qFormat/>
    <w:uiPriority w:val="0"/>
    <w:pPr>
      <w:tabs>
        <w:tab w:val="left" w:pos="960"/>
        <w:tab w:val="left" w:pos="1470"/>
      </w:tabs>
      <w:spacing w:line="360" w:lineRule="auto"/>
      <w:ind w:left="1470" w:hanging="420"/>
    </w:pPr>
    <w:rPr>
      <w:sz w:val="24"/>
      <w:szCs w:val="20"/>
    </w:r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qowt-font5-gb2312"/>
    <w:qFormat/>
    <w:uiPriority w:val="0"/>
  </w:style>
  <w:style w:type="paragraph" w:customStyle="1" w:styleId="29">
    <w:name w:val="正文 2级"/>
    <w:next w:val="1"/>
    <w:qFormat/>
    <w:uiPriority w:val="0"/>
    <w:pPr>
      <w:spacing w:before="300" w:after="200" w:line="288" w:lineRule="auto"/>
    </w:pPr>
    <w:rPr>
      <w:rFonts w:ascii="Helvetica Neue" w:hAnsi="Helvetica Neue" w:eastAsia="宋体" w:cs="Arial Unicode MS"/>
      <w:color w:val="000000"/>
      <w:sz w:val="22"/>
      <w:szCs w:val="22"/>
      <w:lang w:val="en-US" w:eastAsia="zh-CN" w:bidi="ar-SA"/>
    </w:rPr>
  </w:style>
  <w:style w:type="paragraph" w:customStyle="1" w:styleId="30">
    <w:name w:val="正文 3级"/>
    <w:qFormat/>
    <w:uiPriority w:val="0"/>
    <w:pPr>
      <w:spacing w:before="100" w:after="100" w:line="288" w:lineRule="auto"/>
      <w:ind w:firstLine="454"/>
    </w:pPr>
    <w:rPr>
      <w:rFonts w:ascii="Helvetica Neue" w:hAnsi="Helvetica Neue" w:eastAsia="宋体" w:cs="Arial Unicode MS"/>
      <w:color w:val="000000"/>
      <w:sz w:val="22"/>
      <w:szCs w:val="22"/>
      <w:lang w:val="en-US" w:eastAsia="zh-CN" w:bidi="ar-SA"/>
    </w:rPr>
  </w:style>
  <w:style w:type="paragraph" w:customStyle="1" w:styleId="31">
    <w:name w:val="正文 1级"/>
    <w:qFormat/>
    <w:uiPriority w:val="0"/>
    <w:pPr>
      <w:spacing w:before="400" w:after="200" w:line="288" w:lineRule="auto"/>
    </w:pPr>
    <w:rPr>
      <w:rFonts w:ascii="Helvetica Neue" w:hAnsi="Helvetica Neue" w:eastAsia="宋体" w:cs="Arial Unicode MS"/>
      <w:b/>
      <w:bCs/>
      <w:color w:val="000000"/>
      <w:sz w:val="22"/>
      <w:szCs w:val="22"/>
      <w:lang w:val="en-US" w:eastAsia="zh-CN" w:bidi="ar-SA"/>
    </w:rPr>
  </w:style>
  <w:style w:type="paragraph" w:customStyle="1" w:styleId="32">
    <w:name w:val="正文 4级"/>
    <w:qFormat/>
    <w:uiPriority w:val="0"/>
    <w:pPr>
      <w:spacing w:line="288" w:lineRule="auto"/>
      <w:ind w:firstLine="907"/>
    </w:pPr>
    <w:rPr>
      <w:rFonts w:ascii="Helvetica Neue" w:hAnsi="Helvetica Neue" w:eastAsia="宋体" w:cs="Arial Unicode MS"/>
      <w:color w:val="000000"/>
      <w:sz w:val="22"/>
      <w:szCs w:val="22"/>
      <w:lang w:val="en-US" w:eastAsia="zh-CN" w:bidi="ar-SA"/>
    </w:rPr>
  </w:style>
  <w:style w:type="paragraph" w:customStyle="1" w:styleId="33">
    <w:name w:val="小标题 3"/>
    <w:next w:val="1"/>
    <w:qFormat/>
    <w:uiPriority w:val="0"/>
    <w:pPr>
      <w:keepNext/>
      <w:spacing w:before="360" w:after="40" w:line="288" w:lineRule="auto"/>
      <w:outlineLvl w:val="2"/>
    </w:pPr>
    <w:rPr>
      <w:rFonts w:hint="eastAsia" w:ascii="Arial Unicode MS" w:hAnsi="Arial Unicode MS" w:eastAsia="Helvetica Neue" w:cs="Arial Unicode MS"/>
      <w:b/>
      <w:bCs/>
      <w:color w:val="000000"/>
      <w:spacing w:val="4"/>
      <w:sz w:val="24"/>
      <w:szCs w:val="24"/>
      <w:lang w:val="zh-CN" w:eastAsia="zh-CN" w:bidi="ar-SA"/>
    </w:rPr>
  </w:style>
  <w:style w:type="character" w:customStyle="1" w:styleId="34">
    <w:name w:val="批注框文本 Char"/>
    <w:basedOn w:val="18"/>
    <w:link w:val="7"/>
    <w:qFormat/>
    <w:uiPriority w:val="0"/>
    <w:rPr>
      <w:kern w:val="2"/>
      <w:sz w:val="18"/>
      <w:szCs w:val="18"/>
    </w:rPr>
  </w:style>
  <w:style w:type="character" w:customStyle="1" w:styleId="35">
    <w:name w:val="批注文字 Char"/>
    <w:basedOn w:val="18"/>
    <w:link w:val="3"/>
    <w:qFormat/>
    <w:uiPriority w:val="0"/>
    <w:rPr>
      <w:szCs w:val="24"/>
    </w:rPr>
  </w:style>
  <w:style w:type="character" w:customStyle="1" w:styleId="36">
    <w:name w:val="批注主题 Char"/>
    <w:basedOn w:val="35"/>
    <w:link w:val="15"/>
    <w:qFormat/>
    <w:uiPriority w:val="0"/>
    <w:rPr>
      <w:b/>
      <w:bCs/>
      <w:kern w:val="2"/>
      <w:sz w:val="21"/>
      <w:szCs w:val="24"/>
    </w:rPr>
  </w:style>
  <w:style w:type="character" w:customStyle="1" w:styleId="37">
    <w:name w:val="页眉 Char"/>
    <w:basedOn w:val="18"/>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39826</Words>
  <Characters>42734</Characters>
  <Lines>56</Lines>
  <Paragraphs>93</Paragraphs>
  <TotalTime>22</TotalTime>
  <ScaleCrop>false</ScaleCrop>
  <LinksUpToDate>false</LinksUpToDate>
  <CharactersWithSpaces>44708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2024-04-25T09:18:00Z</dcterms:created>
  <dc:creator>姬崽</dc:creator>
  <cp:lastModifiedBy>黎俊</cp:lastModifiedBy>
  <dcterms:modified xsi:type="dcterms:W3CDTF">2024-05-24T08:18:36Z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0D0201E2A5C44EE89864C2909C579A84_13</vt:lpwstr>
  </property>
</Properties>
</file>