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color w:val="000000" w:themeColor="text1"/>
          <w:sz w:val="72"/>
          <w:szCs w:val="72"/>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jc w:val="center"/>
        <w:rPr>
          <w:rFonts w:hint="eastAsia" w:ascii="宋体" w:hAnsi="宋体" w:cs="宋体"/>
          <w:b/>
          <w:color w:val="000000" w:themeColor="text1"/>
          <w:sz w:val="72"/>
          <w:szCs w:val="72"/>
          <w14:textFill>
            <w14:solidFill>
              <w14:schemeClr w14:val="tx1"/>
            </w14:solidFill>
          </w14:textFill>
        </w:rPr>
      </w:pPr>
      <w:r>
        <w:rPr>
          <w:rFonts w:hint="eastAsia" w:ascii="宋体" w:hAnsi="宋体" w:cs="宋体"/>
          <w:b/>
          <w:color w:val="000000" w:themeColor="text1"/>
          <w:sz w:val="72"/>
          <w:szCs w:val="72"/>
          <w14:textFill>
            <w14:solidFill>
              <w14:schemeClr w14:val="tx1"/>
            </w14:solidFill>
          </w14:textFill>
        </w:rPr>
        <w:t>简易招标文件</w:t>
      </w:r>
      <w:bookmarkStart w:id="29" w:name="_GoBack"/>
      <w:bookmarkEnd w:id="29"/>
    </w:p>
    <w:p>
      <w:pPr>
        <w:jc w:val="center"/>
        <w:rPr>
          <w:rFonts w:hint="eastAsia" w:ascii="宋体" w:hAnsi="宋体" w:cs="宋体"/>
          <w:color w:val="000000" w:themeColor="text1"/>
          <w14:textFill>
            <w14:solidFill>
              <w14:schemeClr w14:val="tx1"/>
            </w14:solidFill>
          </w14:textFill>
        </w:rPr>
      </w:pPr>
    </w:p>
    <w:p>
      <w:pPr>
        <w:rPr>
          <w:rFonts w:hint="eastAsia" w:ascii="宋体" w:hAnsi="宋体" w:cs="宋体"/>
          <w:color w:val="000000" w:themeColor="text1"/>
          <w14:textFill>
            <w14:solidFill>
              <w14:schemeClr w14:val="tx1"/>
            </w14:solidFill>
          </w14:textFill>
        </w:rPr>
      </w:pPr>
    </w:p>
    <w:p>
      <w:pPr>
        <w:pStyle w:val="21"/>
        <w:ind w:firstLine="420"/>
        <w:rPr>
          <w:rFonts w:hint="eastAsia" w:ascii="宋体" w:hAnsi="宋体" w:cs="宋体"/>
          <w:color w:val="000000" w:themeColor="text1"/>
          <w14:textFill>
            <w14:solidFill>
              <w14:schemeClr w14:val="tx1"/>
            </w14:solidFill>
          </w14:textFill>
        </w:rPr>
      </w:pPr>
    </w:p>
    <w:p>
      <w:pPr>
        <w:pStyle w:val="21"/>
        <w:ind w:firstLine="420"/>
        <w:rPr>
          <w:rFonts w:hint="eastAsia" w:ascii="宋体" w:hAnsi="宋体" w:cs="宋体"/>
          <w:color w:val="000000" w:themeColor="text1"/>
          <w14:textFill>
            <w14:solidFill>
              <w14:schemeClr w14:val="tx1"/>
            </w14:solidFill>
          </w14:textFill>
        </w:rPr>
      </w:pPr>
    </w:p>
    <w:p>
      <w:pPr>
        <w:rPr>
          <w:rFonts w:hint="eastAsia" w:ascii="宋体" w:hAnsi="宋体" w:cs="宋体"/>
          <w:b/>
          <w:color w:val="000000" w:themeColor="text1"/>
          <w:sz w:val="44"/>
          <w14:textFill>
            <w14:solidFill>
              <w14:schemeClr w14:val="tx1"/>
            </w14:solidFill>
          </w14:textFill>
        </w:rPr>
      </w:pPr>
    </w:p>
    <w:p>
      <w:pPr>
        <w:ind w:left="2326" w:leftChars="247" w:right="-319" w:rightChars="-152" w:hanging="1807" w:hangingChars="500"/>
        <w:rPr>
          <w:rFonts w:hint="default" w:ascii="宋体" w:hAnsi="宋体" w:eastAsia="宋体" w:cs="宋体"/>
          <w:b/>
          <w:color w:val="000000" w:themeColor="text1"/>
          <w:sz w:val="36"/>
          <w:szCs w:val="36"/>
          <w:lang w:val="en-US" w:eastAsia="zh-CN"/>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招标编号：</w:t>
      </w:r>
      <w:r>
        <w:rPr>
          <w:rFonts w:hint="eastAsia" w:ascii="宋体" w:hAnsi="宋体" w:cs="宋体"/>
          <w:b/>
          <w:color w:val="000000" w:themeColor="text1"/>
          <w:sz w:val="36"/>
          <w:szCs w:val="36"/>
          <w:lang w:eastAsia="zh-CN"/>
          <w14:textFill>
            <w14:solidFill>
              <w14:schemeClr w14:val="tx1"/>
            </w14:solidFill>
          </w14:textFill>
        </w:rPr>
        <w:t>QH2024</w:t>
      </w:r>
      <w:r>
        <w:rPr>
          <w:rFonts w:hint="eastAsia" w:ascii="宋体" w:hAnsi="宋体" w:cs="宋体"/>
          <w:b/>
          <w:color w:val="000000" w:themeColor="text1"/>
          <w:sz w:val="36"/>
          <w:szCs w:val="36"/>
          <w:lang w:val="en-US" w:eastAsia="zh-CN"/>
          <w14:textFill>
            <w14:solidFill>
              <w14:schemeClr w14:val="tx1"/>
            </w14:solidFill>
          </w14:textFill>
        </w:rPr>
        <w:t>025</w:t>
      </w:r>
    </w:p>
    <w:p>
      <w:pPr>
        <w:pStyle w:val="21"/>
        <w:ind w:firstLine="420"/>
        <w:rPr>
          <w:rFonts w:hint="eastAsia" w:ascii="宋体" w:hAnsi="宋体" w:cs="宋体"/>
          <w:color w:val="000000" w:themeColor="text1"/>
          <w14:textFill>
            <w14:solidFill>
              <w14:schemeClr w14:val="tx1"/>
            </w14:solidFill>
          </w14:textFill>
        </w:rPr>
      </w:pPr>
    </w:p>
    <w:p>
      <w:pPr>
        <w:pStyle w:val="21"/>
        <w:ind w:firstLine="420"/>
        <w:rPr>
          <w:rFonts w:hint="eastAsia" w:ascii="宋体" w:hAnsi="宋体" w:cs="宋体"/>
          <w:color w:val="000000" w:themeColor="text1"/>
          <w14:textFill>
            <w14:solidFill>
              <w14:schemeClr w14:val="tx1"/>
            </w14:solidFill>
          </w14:textFill>
        </w:rPr>
      </w:pPr>
    </w:p>
    <w:p>
      <w:pPr>
        <w:pStyle w:val="21"/>
        <w:ind w:firstLine="420"/>
        <w:rPr>
          <w:rFonts w:hint="eastAsia" w:ascii="宋体" w:hAnsi="宋体" w:cs="宋体"/>
          <w:color w:val="000000" w:themeColor="text1"/>
          <w14:textFill>
            <w14:solidFill>
              <w14:schemeClr w14:val="tx1"/>
            </w14:solidFill>
          </w14:textFill>
        </w:rPr>
      </w:pPr>
    </w:p>
    <w:p>
      <w:pPr>
        <w:ind w:left="2326" w:leftChars="247" w:right="-319" w:rightChars="-152" w:hanging="1807" w:hangingChars="500"/>
        <w:rPr>
          <w:rFonts w:hint="eastAsia" w:ascii="宋体" w:hAnsi="宋体" w:eastAsia="宋体" w:cs="宋体"/>
          <w:b/>
          <w:color w:val="000000" w:themeColor="text1"/>
          <w:sz w:val="36"/>
          <w:szCs w:val="36"/>
          <w:lang w:eastAsia="zh-CN"/>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招标项目：</w:t>
      </w:r>
      <w:r>
        <w:rPr>
          <w:rFonts w:hint="eastAsia" w:ascii="宋体" w:hAnsi="宋体" w:cs="宋体"/>
          <w:b/>
          <w:color w:val="000000" w:themeColor="text1"/>
          <w:sz w:val="36"/>
          <w:szCs w:val="36"/>
          <w:lang w:eastAsia="zh-CN"/>
          <w14:textFill>
            <w14:solidFill>
              <w14:schemeClr w14:val="tx1"/>
            </w14:solidFill>
          </w14:textFill>
        </w:rPr>
        <w:t>前海合作区城市第六立面近期行动规划研究及技术</w:t>
      </w:r>
      <w:r>
        <w:rPr>
          <w:rFonts w:hint="eastAsia" w:ascii="宋体" w:hAnsi="宋体" w:cs="宋体"/>
          <w:b/>
          <w:color w:val="000000" w:themeColor="text1"/>
          <w:sz w:val="36"/>
          <w:szCs w:val="36"/>
          <w:lang w:val="en-US" w:eastAsia="zh-CN"/>
          <w14:textFill>
            <w14:solidFill>
              <w14:schemeClr w14:val="tx1"/>
            </w14:solidFill>
          </w14:textFill>
        </w:rPr>
        <w:t>咨询</w:t>
      </w:r>
    </w:p>
    <w:p>
      <w:pPr>
        <w:ind w:firstLine="3264" w:firstLineChars="739"/>
        <w:rPr>
          <w:rFonts w:hint="eastAsia" w:ascii="宋体" w:hAnsi="宋体" w:cs="宋体"/>
          <w:b/>
          <w:color w:val="000000" w:themeColor="text1"/>
          <w:sz w:val="44"/>
          <w14:textFill>
            <w14:solidFill>
              <w14:schemeClr w14:val="tx1"/>
            </w14:solidFill>
          </w14:textFill>
        </w:rPr>
      </w:pPr>
    </w:p>
    <w:p>
      <w:pPr>
        <w:ind w:left="1260" w:leftChars="600" w:firstLine="1855" w:firstLineChars="420"/>
        <w:rPr>
          <w:rFonts w:hint="eastAsia" w:ascii="宋体" w:hAnsi="宋体" w:cs="宋体"/>
          <w:b/>
          <w:color w:val="000000" w:themeColor="text1"/>
          <w:sz w:val="44"/>
          <w14:textFill>
            <w14:solidFill>
              <w14:schemeClr w14:val="tx1"/>
            </w14:solidFill>
          </w14:textFill>
        </w:rPr>
      </w:pPr>
    </w:p>
    <w:p>
      <w:pPr>
        <w:rPr>
          <w:rFonts w:hint="eastAsia" w:ascii="宋体" w:hAnsi="宋体" w:cs="宋体"/>
          <w:b/>
          <w:color w:val="000000" w:themeColor="text1"/>
          <w:sz w:val="44"/>
          <w14:textFill>
            <w14:solidFill>
              <w14:schemeClr w14:val="tx1"/>
            </w14:solidFill>
          </w14:textFill>
        </w:rPr>
      </w:pPr>
    </w:p>
    <w:p>
      <w:pPr>
        <w:jc w:val="center"/>
        <w:rPr>
          <w:rFonts w:hint="eastAsia" w:ascii="宋体" w:hAnsi="宋体" w:cs="宋体"/>
          <w:b/>
          <w:bCs/>
          <w:color w:val="000000" w:themeColor="text1"/>
          <w:sz w:val="36"/>
          <w:szCs w:val="36"/>
          <w:lang w:val="zh-CN"/>
          <w14:textFill>
            <w14:solidFill>
              <w14:schemeClr w14:val="tx1"/>
            </w14:solidFill>
          </w14:textFill>
        </w:rPr>
      </w:pPr>
      <w:r>
        <w:rPr>
          <w:rFonts w:hint="eastAsia" w:ascii="宋体" w:hAnsi="宋体" w:cs="宋体"/>
          <w:b/>
          <w:bCs/>
          <w:color w:val="000000" w:themeColor="text1"/>
          <w:sz w:val="36"/>
          <w:szCs w:val="36"/>
          <w:lang w:val="zh-CN"/>
          <w14:textFill>
            <w14:solidFill>
              <w14:schemeClr w14:val="tx1"/>
            </w14:solidFill>
          </w14:textFill>
        </w:rPr>
        <w:t>深圳市前海深港现代服务业合作区管理局</w:t>
      </w:r>
    </w:p>
    <w:p>
      <w:pPr>
        <w:jc w:val="center"/>
        <w:rPr>
          <w:rFonts w:hint="eastAsia"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202</w:t>
      </w:r>
      <w:r>
        <w:rPr>
          <w:rFonts w:hint="eastAsia" w:ascii="宋体" w:hAnsi="宋体" w:cs="宋体"/>
          <w:b/>
          <w:bCs/>
          <w:color w:val="000000" w:themeColor="text1"/>
          <w:sz w:val="36"/>
          <w:szCs w:val="36"/>
          <w:lang w:val="en-US" w:eastAsia="zh-CN"/>
          <w14:textFill>
            <w14:solidFill>
              <w14:schemeClr w14:val="tx1"/>
            </w14:solidFill>
          </w14:textFill>
        </w:rPr>
        <w:t>4</w:t>
      </w:r>
      <w:r>
        <w:rPr>
          <w:rFonts w:hint="eastAsia" w:ascii="宋体" w:hAnsi="宋体" w:cs="宋体"/>
          <w:b/>
          <w:bCs/>
          <w:color w:val="000000" w:themeColor="text1"/>
          <w:sz w:val="36"/>
          <w:szCs w:val="36"/>
          <w14:textFill>
            <w14:solidFill>
              <w14:schemeClr w14:val="tx1"/>
            </w14:solidFill>
          </w14:textFill>
        </w:rPr>
        <w:t>年</w:t>
      </w:r>
      <w:r>
        <w:rPr>
          <w:rFonts w:hint="eastAsia" w:ascii="宋体" w:hAnsi="宋体" w:cs="宋体"/>
          <w:b/>
          <w:bCs/>
          <w:color w:val="000000" w:themeColor="text1"/>
          <w:sz w:val="36"/>
          <w:szCs w:val="36"/>
          <w:lang w:val="en-US" w:eastAsia="zh-CN"/>
          <w14:textFill>
            <w14:solidFill>
              <w14:schemeClr w14:val="tx1"/>
            </w14:solidFill>
          </w14:textFill>
        </w:rPr>
        <w:t>4</w:t>
      </w:r>
      <w:r>
        <w:rPr>
          <w:rFonts w:hint="eastAsia" w:ascii="宋体" w:hAnsi="宋体" w:cs="宋体"/>
          <w:b/>
          <w:bCs/>
          <w:color w:val="000000" w:themeColor="text1"/>
          <w:sz w:val="36"/>
          <w:szCs w:val="36"/>
          <w14:textFill>
            <w14:solidFill>
              <w14:schemeClr w14:val="tx1"/>
            </w14:solidFill>
          </w14:textFill>
        </w:rPr>
        <w:t>月</w:t>
      </w:r>
    </w:p>
    <w:p>
      <w:pPr>
        <w:autoSpaceDE w:val="0"/>
        <w:autoSpaceDN w:val="0"/>
        <w:adjustRightInd w:val="0"/>
        <w:spacing w:line="360" w:lineRule="auto"/>
        <w:jc w:val="center"/>
        <w:rPr>
          <w:rFonts w:hint="eastAsia" w:ascii="宋体" w:hAnsi="宋体" w:cs="宋体"/>
          <w:b/>
          <w:bCs/>
          <w:color w:val="000000" w:themeColor="text1"/>
          <w:kern w:val="0"/>
          <w:sz w:val="36"/>
          <w:szCs w:val="36"/>
          <w14:textFill>
            <w14:solidFill>
              <w14:schemeClr w14:val="tx1"/>
            </w14:solidFill>
          </w14:textFill>
        </w:rPr>
      </w:pPr>
      <w:bookmarkStart w:id="0" w:name="_Toc12932"/>
      <w:r>
        <w:rPr>
          <w:rFonts w:ascii="宋体" w:hAnsi="宋体"/>
          <w:b/>
          <w:bCs/>
          <w:color w:val="000000" w:themeColor="text1"/>
          <w:sz w:val="32"/>
          <w:szCs w:val="40"/>
          <w:u w:val="single"/>
          <w14:textFill>
            <w14:solidFill>
              <w14:schemeClr w14:val="tx1"/>
            </w14:solidFill>
          </w14:textFill>
        </w:rPr>
        <w:br w:type="page"/>
      </w:r>
      <w:r>
        <w:rPr>
          <w:rFonts w:hint="eastAsia" w:ascii="宋体" w:hAnsi="宋体" w:cs="宋体"/>
          <w:b/>
          <w:bCs/>
          <w:color w:val="000000" w:themeColor="text1"/>
          <w:kern w:val="0"/>
          <w:sz w:val="36"/>
          <w:szCs w:val="36"/>
          <w14:textFill>
            <w14:solidFill>
              <w14:schemeClr w14:val="tx1"/>
            </w14:solidFill>
          </w14:textFill>
        </w:rPr>
        <w:t>特别警示条款</w:t>
      </w:r>
    </w:p>
    <w:p>
      <w:pPr>
        <w:pStyle w:val="2"/>
        <w:rPr>
          <w:rFonts w:hint="eastAsia"/>
          <w:color w:val="000000" w:themeColor="text1"/>
          <w14:textFill>
            <w14:solidFill>
              <w14:schemeClr w14:val="tx1"/>
            </w14:solidFill>
          </w14:textFill>
        </w:rPr>
      </w:pP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（一）在采购活动中应当回避而未回避的；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（二）未按本条例规定签订、履行采购合同，造成严重后果的；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（三）隐瞒真实情况，提供虚假资料的；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（四）以非法手段排斥其他供应商参与竞争的；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（五）与其他采购参加人串通投标的；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（六）恶意投诉的；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（七）向采购项目相关人行贿或者提供其他不当利益的；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（八）阻碍、抗拒主管部门监督检查的；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（九）其他违反本条例规定的行为。</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二、《深圳经济特区政府采购条例实施细则》</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第七十五条 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第七十七条 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投标供应商不能提供项目负责人或者主要技术人员的劳动合同、社会保险等劳动关系证明材料的，视为存在前款第（三）项规定的情形。</w:t>
      </w:r>
    </w:p>
    <w:p>
      <w:pPr>
        <w:jc w:val="center"/>
        <w:outlineLvl w:val="0"/>
        <w:rPr>
          <w:rFonts w:hint="eastAsia" w:ascii="宋体" w:hAnsi="宋体" w:cs="宋体"/>
          <w:b/>
          <w:bCs/>
          <w:color w:val="000000" w:themeColor="text1"/>
          <w:sz w:val="36"/>
          <w:szCs w:val="36"/>
          <w:lang w:val="zh-CN"/>
          <w14:textFill>
            <w14:solidFill>
              <w14:schemeClr w14:val="tx1"/>
            </w14:solidFill>
          </w14:textFill>
        </w:rPr>
      </w:pPr>
      <w:r>
        <w:rPr>
          <w:rFonts w:hint="eastAsia" w:ascii="宋体" w:hAnsi="宋体" w:cs="宋体"/>
          <w:b/>
          <w:bCs/>
          <w:color w:val="000000" w:themeColor="text1"/>
          <w:sz w:val="36"/>
          <w:szCs w:val="36"/>
          <w:lang w:val="zh-CN"/>
          <w14:textFill>
            <w14:solidFill>
              <w14:schemeClr w14:val="tx1"/>
            </w14:solidFill>
          </w14:textFill>
        </w:rPr>
        <w:br w:type="page"/>
      </w:r>
      <w:bookmarkStart w:id="1" w:name="_Toc20808"/>
      <w:r>
        <w:rPr>
          <w:rFonts w:hint="eastAsia" w:ascii="宋体" w:hAnsi="宋体" w:cs="宋体"/>
          <w:b/>
          <w:bCs/>
          <w:color w:val="000000" w:themeColor="text1"/>
          <w:sz w:val="36"/>
          <w:szCs w:val="36"/>
          <w:lang w:val="zh-CN"/>
          <w14:textFill>
            <w14:solidFill>
              <w14:schemeClr w14:val="tx1"/>
            </w14:solidFill>
          </w14:textFill>
        </w:rPr>
        <w:t>目录</w:t>
      </w:r>
      <w:bookmarkEnd w:id="0"/>
      <w:bookmarkEnd w:id="1"/>
    </w:p>
    <w:p>
      <w:pPr>
        <w:pStyle w:val="11"/>
        <w:tabs>
          <w:tab w:val="right" w:leader="dot" w:pos="8306"/>
        </w:tabs>
        <w:spacing w:line="480" w:lineRule="auto"/>
        <w:rPr>
          <w:b/>
          <w:bCs/>
          <w:color w:val="000000" w:themeColor="text1"/>
          <w:sz w:val="24"/>
          <w:szCs w:val="32"/>
          <w14:textFill>
            <w14:solidFill>
              <w14:schemeClr w14:val="tx1"/>
            </w14:solidFill>
          </w14:textFill>
        </w:rPr>
      </w:pPr>
    </w:p>
    <w:p>
      <w:pPr>
        <w:pStyle w:val="11"/>
        <w:tabs>
          <w:tab w:val="right" w:leader="dot" w:pos="8306"/>
        </w:tabs>
        <w:spacing w:line="360" w:lineRule="auto"/>
        <w:rPr>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TOC \o "1-1" \h \u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HYPERLINK \l _Toc17273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第一章 招标邀请书（招标公告）</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begin"/>
      </w:r>
      <w:r>
        <w:rPr>
          <w:b/>
          <w:bCs/>
          <w:color w:val="000000" w:themeColor="text1"/>
          <w:sz w:val="24"/>
          <w14:textFill>
            <w14:solidFill>
              <w14:schemeClr w14:val="tx1"/>
            </w14:solidFill>
          </w14:textFill>
        </w:rPr>
        <w:instrText xml:space="preserve"> PAGEREF _Toc17273 \h </w:instrText>
      </w:r>
      <w:r>
        <w:rPr>
          <w:b/>
          <w:bCs/>
          <w:color w:val="000000" w:themeColor="text1"/>
          <w:sz w:val="24"/>
          <w14:textFill>
            <w14:solidFill>
              <w14:schemeClr w14:val="tx1"/>
            </w14:solidFill>
          </w14:textFill>
        </w:rPr>
        <w:fldChar w:fldCharType="separate"/>
      </w:r>
      <w:r>
        <w:rPr>
          <w:b/>
          <w:bCs/>
          <w:color w:val="000000" w:themeColor="text1"/>
          <w:sz w:val="24"/>
          <w14:textFill>
            <w14:solidFill>
              <w14:schemeClr w14:val="tx1"/>
            </w14:solidFill>
          </w14:textFill>
        </w:rPr>
        <w:t>5</w:t>
      </w:r>
      <w:r>
        <w:rPr>
          <w:b/>
          <w:bCs/>
          <w:color w:val="000000" w:themeColor="text1"/>
          <w:sz w:val="24"/>
          <w14:textFill>
            <w14:solidFill>
              <w14:schemeClr w14:val="tx1"/>
            </w14:solidFill>
          </w14:textFill>
        </w:rPr>
        <w:fldChar w:fldCharType="end"/>
      </w:r>
      <w:r>
        <w:rPr>
          <w:rFonts w:hint="eastAsia" w:ascii="宋体" w:hAnsi="宋体" w:cs="宋体"/>
          <w:b/>
          <w:bCs/>
          <w:color w:val="000000" w:themeColor="text1"/>
          <w:sz w:val="24"/>
          <w14:textFill>
            <w14:solidFill>
              <w14:schemeClr w14:val="tx1"/>
            </w14:solidFill>
          </w14:textFill>
        </w:rPr>
        <w:fldChar w:fldCharType="end"/>
      </w:r>
    </w:p>
    <w:p>
      <w:pPr>
        <w:pStyle w:val="11"/>
        <w:tabs>
          <w:tab w:val="right" w:leader="dot" w:pos="8306"/>
        </w:tabs>
        <w:spacing w:line="360" w:lineRule="auto"/>
        <w:rPr>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HYPERLINK \l _Toc10214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第二章 投标须知</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begin"/>
      </w:r>
      <w:r>
        <w:rPr>
          <w:b/>
          <w:bCs/>
          <w:color w:val="000000" w:themeColor="text1"/>
          <w:sz w:val="24"/>
          <w14:textFill>
            <w14:solidFill>
              <w14:schemeClr w14:val="tx1"/>
            </w14:solidFill>
          </w14:textFill>
        </w:rPr>
        <w:instrText xml:space="preserve"> PAGEREF _Toc10214 \h </w:instrText>
      </w:r>
      <w:r>
        <w:rPr>
          <w:b/>
          <w:bCs/>
          <w:color w:val="000000" w:themeColor="text1"/>
          <w:sz w:val="24"/>
          <w14:textFill>
            <w14:solidFill>
              <w14:schemeClr w14:val="tx1"/>
            </w14:solidFill>
          </w14:textFill>
        </w:rPr>
        <w:fldChar w:fldCharType="separate"/>
      </w:r>
      <w:r>
        <w:rPr>
          <w:b/>
          <w:bCs/>
          <w:color w:val="000000" w:themeColor="text1"/>
          <w:sz w:val="24"/>
          <w14:textFill>
            <w14:solidFill>
              <w14:schemeClr w14:val="tx1"/>
            </w14:solidFill>
          </w14:textFill>
        </w:rPr>
        <w:t>8</w:t>
      </w:r>
      <w:r>
        <w:rPr>
          <w:b/>
          <w:bCs/>
          <w:color w:val="000000" w:themeColor="text1"/>
          <w:sz w:val="24"/>
          <w14:textFill>
            <w14:solidFill>
              <w14:schemeClr w14:val="tx1"/>
            </w14:solidFill>
          </w14:textFill>
        </w:rPr>
        <w:fldChar w:fldCharType="end"/>
      </w:r>
      <w:r>
        <w:rPr>
          <w:rFonts w:hint="eastAsia" w:ascii="宋体" w:hAnsi="宋体" w:cs="宋体"/>
          <w:b/>
          <w:bCs/>
          <w:color w:val="000000" w:themeColor="text1"/>
          <w:sz w:val="24"/>
          <w14:textFill>
            <w14:solidFill>
              <w14:schemeClr w14:val="tx1"/>
            </w14:solidFill>
          </w14:textFill>
        </w:rPr>
        <w:fldChar w:fldCharType="end"/>
      </w:r>
    </w:p>
    <w:p>
      <w:pPr>
        <w:pStyle w:val="11"/>
        <w:tabs>
          <w:tab w:val="right" w:leader="dot" w:pos="8306"/>
        </w:tabs>
        <w:spacing w:line="360" w:lineRule="auto"/>
        <w:rPr>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HYPERLINK \l _Toc20176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第三章 评标程序</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begin"/>
      </w:r>
      <w:r>
        <w:rPr>
          <w:b/>
          <w:bCs/>
          <w:color w:val="000000" w:themeColor="text1"/>
          <w:sz w:val="24"/>
          <w14:textFill>
            <w14:solidFill>
              <w14:schemeClr w14:val="tx1"/>
            </w14:solidFill>
          </w14:textFill>
        </w:rPr>
        <w:instrText xml:space="preserve"> PAGEREF _Toc20176 \h </w:instrText>
      </w:r>
      <w:r>
        <w:rPr>
          <w:b/>
          <w:bCs/>
          <w:color w:val="000000" w:themeColor="text1"/>
          <w:sz w:val="24"/>
          <w14:textFill>
            <w14:solidFill>
              <w14:schemeClr w14:val="tx1"/>
            </w14:solidFill>
          </w14:textFill>
        </w:rPr>
        <w:fldChar w:fldCharType="separate"/>
      </w:r>
      <w:r>
        <w:rPr>
          <w:b/>
          <w:bCs/>
          <w:color w:val="000000" w:themeColor="text1"/>
          <w:sz w:val="24"/>
          <w14:textFill>
            <w14:solidFill>
              <w14:schemeClr w14:val="tx1"/>
            </w14:solidFill>
          </w14:textFill>
        </w:rPr>
        <w:t>11</w:t>
      </w:r>
      <w:r>
        <w:rPr>
          <w:b/>
          <w:bCs/>
          <w:color w:val="000000" w:themeColor="text1"/>
          <w:sz w:val="24"/>
          <w14:textFill>
            <w14:solidFill>
              <w14:schemeClr w14:val="tx1"/>
            </w14:solidFill>
          </w14:textFill>
        </w:rPr>
        <w:fldChar w:fldCharType="end"/>
      </w:r>
      <w:r>
        <w:rPr>
          <w:rFonts w:hint="eastAsia" w:ascii="宋体" w:hAnsi="宋体" w:cs="宋体"/>
          <w:b/>
          <w:bCs/>
          <w:color w:val="000000" w:themeColor="text1"/>
          <w:sz w:val="24"/>
          <w14:textFill>
            <w14:solidFill>
              <w14:schemeClr w14:val="tx1"/>
            </w14:solidFill>
          </w14:textFill>
        </w:rPr>
        <w:fldChar w:fldCharType="end"/>
      </w:r>
    </w:p>
    <w:p>
      <w:pPr>
        <w:pStyle w:val="11"/>
        <w:tabs>
          <w:tab w:val="right" w:leader="dot" w:pos="8306"/>
        </w:tabs>
        <w:spacing w:line="360" w:lineRule="auto"/>
        <w:rPr>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HYPERLINK \l _Toc3567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第四章 合同格式及合同条款</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begin"/>
      </w:r>
      <w:r>
        <w:rPr>
          <w:b/>
          <w:bCs/>
          <w:color w:val="000000" w:themeColor="text1"/>
          <w:sz w:val="24"/>
          <w14:textFill>
            <w14:solidFill>
              <w14:schemeClr w14:val="tx1"/>
            </w14:solidFill>
          </w14:textFill>
        </w:rPr>
        <w:instrText xml:space="preserve"> PAGEREF _Toc3567 \h </w:instrText>
      </w:r>
      <w:r>
        <w:rPr>
          <w:b/>
          <w:bCs/>
          <w:color w:val="000000" w:themeColor="text1"/>
          <w:sz w:val="24"/>
          <w14:textFill>
            <w14:solidFill>
              <w14:schemeClr w14:val="tx1"/>
            </w14:solidFill>
          </w14:textFill>
        </w:rPr>
        <w:fldChar w:fldCharType="separate"/>
      </w:r>
      <w:r>
        <w:rPr>
          <w:b/>
          <w:bCs/>
          <w:color w:val="000000" w:themeColor="text1"/>
          <w:sz w:val="24"/>
          <w14:textFill>
            <w14:solidFill>
              <w14:schemeClr w14:val="tx1"/>
            </w14:solidFill>
          </w14:textFill>
        </w:rPr>
        <w:t>13</w:t>
      </w:r>
      <w:r>
        <w:rPr>
          <w:b/>
          <w:bCs/>
          <w:color w:val="000000" w:themeColor="text1"/>
          <w:sz w:val="24"/>
          <w14:textFill>
            <w14:solidFill>
              <w14:schemeClr w14:val="tx1"/>
            </w14:solidFill>
          </w14:textFill>
        </w:rPr>
        <w:fldChar w:fldCharType="end"/>
      </w:r>
      <w:r>
        <w:rPr>
          <w:rFonts w:hint="eastAsia" w:ascii="宋体" w:hAnsi="宋体" w:cs="宋体"/>
          <w:b/>
          <w:bCs/>
          <w:color w:val="000000" w:themeColor="text1"/>
          <w:sz w:val="24"/>
          <w14:textFill>
            <w14:solidFill>
              <w14:schemeClr w14:val="tx1"/>
            </w14:solidFill>
          </w14:textFill>
        </w:rPr>
        <w:fldChar w:fldCharType="end"/>
      </w:r>
    </w:p>
    <w:p>
      <w:pPr>
        <w:pStyle w:val="11"/>
        <w:tabs>
          <w:tab w:val="right" w:leader="dot" w:pos="8306"/>
        </w:tabs>
        <w:spacing w:line="360" w:lineRule="auto"/>
        <w:rPr>
          <w:rFonts w:hint="default" w:eastAsia="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HYPERLINK \l _Toc25518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第五章 用户需求书</w:t>
      </w:r>
      <w:r>
        <w:rPr>
          <w:b/>
          <w:bCs/>
          <w:color w:val="000000" w:themeColor="text1"/>
          <w:sz w:val="24"/>
          <w14:textFill>
            <w14:solidFill>
              <w14:schemeClr w14:val="tx1"/>
            </w14:solidFill>
          </w14:textFill>
        </w:rPr>
        <w:tab/>
      </w:r>
      <w:r>
        <w:rPr>
          <w:rFonts w:hint="eastAsia" w:ascii="宋体" w:hAnsi="宋体" w:cs="宋体"/>
          <w:b/>
          <w:bCs/>
          <w:color w:val="000000" w:themeColor="text1"/>
          <w:sz w:val="24"/>
          <w14:textFill>
            <w14:solidFill>
              <w14:schemeClr w14:val="tx1"/>
            </w14:solidFill>
          </w14:textFill>
        </w:rPr>
        <w:fldChar w:fldCharType="end"/>
      </w:r>
      <w:r>
        <w:rPr>
          <w:rFonts w:hint="eastAsia"/>
          <w:b/>
          <w:bCs/>
          <w:color w:val="000000" w:themeColor="text1"/>
          <w:sz w:val="24"/>
          <w:lang w:val="en-US" w:eastAsia="zh-CN"/>
          <w14:textFill>
            <w14:solidFill>
              <w14:schemeClr w14:val="tx1"/>
            </w14:solidFill>
          </w14:textFill>
        </w:rPr>
        <w:t>26</w:t>
      </w:r>
    </w:p>
    <w:p>
      <w:pPr>
        <w:pStyle w:val="11"/>
        <w:tabs>
          <w:tab w:val="right" w:leader="dot" w:pos="8306"/>
        </w:tabs>
        <w:spacing w:line="360" w:lineRule="auto"/>
        <w:rPr>
          <w:rFonts w:hint="default" w:eastAsia="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HYPERLINK \l _Toc23822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cs="宋体"/>
          <w:b/>
          <w:bCs/>
          <w:color w:val="000000" w:themeColor="text1"/>
          <w:sz w:val="24"/>
          <w14:textFill>
            <w14:solidFill>
              <w14:schemeClr w14:val="tx1"/>
            </w14:solidFill>
          </w14:textFill>
        </w:rPr>
        <w:t>第六章 投标文件初审及招标项目评分表</w:t>
      </w:r>
      <w:r>
        <w:rPr>
          <w:b/>
          <w:bCs/>
          <w:color w:val="000000" w:themeColor="text1"/>
          <w:sz w:val="24"/>
          <w14:textFill>
            <w14:solidFill>
              <w14:schemeClr w14:val="tx1"/>
            </w14:solidFill>
          </w14:textFill>
        </w:rPr>
        <w:tab/>
      </w:r>
      <w:r>
        <w:rPr>
          <w:rFonts w:hint="eastAsia" w:ascii="宋体" w:hAnsi="宋体" w:cs="宋体"/>
          <w:b/>
          <w:bCs/>
          <w:color w:val="000000" w:themeColor="text1"/>
          <w:sz w:val="24"/>
          <w14:textFill>
            <w14:solidFill>
              <w14:schemeClr w14:val="tx1"/>
            </w14:solidFill>
          </w14:textFill>
        </w:rPr>
        <w:fldChar w:fldCharType="end"/>
      </w:r>
      <w:r>
        <w:rPr>
          <w:rFonts w:hint="eastAsia"/>
          <w:b/>
          <w:bCs/>
          <w:color w:val="000000" w:themeColor="text1"/>
          <w:sz w:val="24"/>
          <w:lang w:val="en-US" w:eastAsia="zh-CN"/>
          <w14:textFill>
            <w14:solidFill>
              <w14:schemeClr w14:val="tx1"/>
            </w14:solidFill>
          </w14:textFill>
        </w:rPr>
        <w:t>32</w:t>
      </w:r>
    </w:p>
    <w:p>
      <w:pPr>
        <w:pStyle w:val="11"/>
        <w:tabs>
          <w:tab w:val="right" w:leader="dot" w:pos="8306"/>
        </w:tabs>
        <w:spacing w:line="360" w:lineRule="auto"/>
        <w:rPr>
          <w:rFonts w:hint="default" w:eastAsia="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HYPERLINK \l _Toc9548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第七章 附件（投标文件格式）</w:t>
      </w:r>
      <w:r>
        <w:rPr>
          <w:b/>
          <w:bCs/>
          <w:color w:val="000000" w:themeColor="text1"/>
          <w:sz w:val="24"/>
          <w14:textFill>
            <w14:solidFill>
              <w14:schemeClr w14:val="tx1"/>
            </w14:solidFill>
          </w14:textFill>
        </w:rPr>
        <w:tab/>
      </w:r>
      <w:r>
        <w:rPr>
          <w:rFonts w:hint="eastAsia" w:ascii="宋体" w:hAnsi="宋体" w:cs="宋体"/>
          <w:b/>
          <w:bCs/>
          <w:color w:val="000000" w:themeColor="text1"/>
          <w:sz w:val="24"/>
          <w14:textFill>
            <w14:solidFill>
              <w14:schemeClr w14:val="tx1"/>
            </w14:solidFill>
          </w14:textFill>
        </w:rPr>
        <w:fldChar w:fldCharType="end"/>
      </w:r>
      <w:r>
        <w:rPr>
          <w:rFonts w:hint="eastAsia"/>
          <w:b/>
          <w:bCs/>
          <w:color w:val="000000" w:themeColor="text1"/>
          <w:sz w:val="24"/>
          <w:lang w:val="en-US" w:eastAsia="zh-CN"/>
          <w14:textFill>
            <w14:solidFill>
              <w14:schemeClr w14:val="tx1"/>
            </w14:solidFill>
          </w14:textFill>
        </w:rPr>
        <w:t>38</w:t>
      </w:r>
    </w:p>
    <w:p>
      <w:pPr>
        <w:pStyle w:val="11"/>
        <w:tabs>
          <w:tab w:val="right" w:leader="dot" w:pos="8306"/>
        </w:tabs>
        <w:spacing w:line="360" w:lineRule="auto"/>
        <w:rPr>
          <w:rFonts w:hint="default" w:eastAsia="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HYPERLINK \l _Toc742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附件：相关政策</w:t>
      </w:r>
      <w:r>
        <w:rPr>
          <w:b/>
          <w:bCs/>
          <w:color w:val="000000" w:themeColor="text1"/>
          <w:sz w:val="24"/>
          <w14:textFill>
            <w14:solidFill>
              <w14:schemeClr w14:val="tx1"/>
            </w14:solidFill>
          </w14:textFill>
        </w:rPr>
        <w:tab/>
      </w:r>
      <w:r>
        <w:rPr>
          <w:rFonts w:hint="eastAsia" w:ascii="宋体" w:hAnsi="宋体" w:cs="宋体"/>
          <w:b/>
          <w:bCs/>
          <w:color w:val="000000" w:themeColor="text1"/>
          <w:sz w:val="24"/>
          <w14:textFill>
            <w14:solidFill>
              <w14:schemeClr w14:val="tx1"/>
            </w14:solidFill>
          </w14:textFill>
        </w:rPr>
        <w:fldChar w:fldCharType="end"/>
      </w:r>
      <w:r>
        <w:rPr>
          <w:rFonts w:hint="eastAsia"/>
          <w:b/>
          <w:bCs/>
          <w:color w:val="000000" w:themeColor="text1"/>
          <w:sz w:val="24"/>
          <w:lang w:val="en-US" w:eastAsia="zh-CN"/>
          <w14:textFill>
            <w14:solidFill>
              <w14:schemeClr w14:val="tx1"/>
            </w14:solidFill>
          </w14:textFill>
        </w:rPr>
        <w:t>57</w:t>
      </w:r>
    </w:p>
    <w:p>
      <w:pPr>
        <w:pStyle w:val="11"/>
        <w:tabs>
          <w:tab w:val="right" w:leader="dot" w:pos="8306"/>
        </w:tabs>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end"/>
      </w:r>
    </w:p>
    <w:p>
      <w:pPr>
        <w:spacing w:line="360" w:lineRule="auto"/>
        <w:rPr>
          <w:color w:val="000000" w:themeColor="text1"/>
          <w14:textFill>
            <w14:solidFill>
              <w14:schemeClr w14:val="tx1"/>
            </w14:solidFill>
          </w14:textFill>
        </w:rPr>
      </w:pPr>
    </w:p>
    <w:p>
      <w:pPr>
        <w:numPr>
          <w:ilvl w:val="0"/>
          <w:numId w:val="1"/>
        </w:numPr>
        <w:spacing w:line="360" w:lineRule="auto"/>
        <w:jc w:val="center"/>
        <w:outlineLvl w:val="0"/>
        <w:rPr>
          <w:rFonts w:hint="eastAsia" w:ascii="宋体" w:hAnsi="宋体" w:cs="宋体"/>
          <w:b/>
          <w:bCs/>
          <w:color w:val="000000" w:themeColor="text1"/>
          <w:sz w:val="24"/>
          <w14:textFill>
            <w14:solidFill>
              <w14:schemeClr w14:val="tx1"/>
            </w14:solidFill>
          </w14:textFill>
        </w:rPr>
      </w:pPr>
      <w:r>
        <w:rPr>
          <w:rFonts w:ascii="宋体"/>
          <w:b/>
          <w:bCs/>
          <w:color w:val="000000" w:themeColor="text1"/>
          <w:sz w:val="32"/>
          <w:szCs w:val="28"/>
          <w14:textFill>
            <w14:solidFill>
              <w14:schemeClr w14:val="tx1"/>
            </w14:solidFill>
          </w14:textFill>
        </w:rPr>
        <w:br w:type="page"/>
      </w:r>
      <w:r>
        <w:rPr>
          <w:rFonts w:hint="eastAsia" w:ascii="宋体"/>
          <w:b/>
          <w:bCs/>
          <w:color w:val="000000" w:themeColor="text1"/>
          <w:sz w:val="32"/>
          <w:szCs w:val="28"/>
          <w14:textFill>
            <w14:solidFill>
              <w14:schemeClr w14:val="tx1"/>
            </w14:solidFill>
          </w14:textFill>
        </w:rPr>
        <w:t xml:space="preserve"> </w:t>
      </w:r>
      <w:bookmarkStart w:id="2" w:name="_Toc17273"/>
      <w:r>
        <w:rPr>
          <w:rFonts w:hint="eastAsia" w:ascii="宋体" w:hAnsi="宋体" w:cs="宋体"/>
          <w:b/>
          <w:bCs/>
          <w:color w:val="000000" w:themeColor="text1"/>
          <w:sz w:val="24"/>
          <w14:textFill>
            <w14:solidFill>
              <w14:schemeClr w14:val="tx1"/>
            </w14:solidFill>
          </w14:textFill>
        </w:rPr>
        <w:t>招标邀请书（招标公告）</w:t>
      </w:r>
      <w:bookmarkEnd w:id="2"/>
    </w:p>
    <w:p>
      <w:pPr>
        <w:spacing w:line="360" w:lineRule="auto"/>
        <w:ind w:firstLine="480" w:firstLineChars="200"/>
        <w:jc w:val="right"/>
        <w:rPr>
          <w:rFonts w:hint="eastAsia"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14:textFill>
            <w14:solidFill>
              <w14:schemeClr w14:val="tx1"/>
            </w14:solidFill>
          </w14:textFill>
        </w:rPr>
        <w:t>文件编码:0722-2024FE1929SZF-1</w:t>
      </w:r>
    </w:p>
    <w:p>
      <w:pPr>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中国远东国际招标有限公司（以下简称采购代理机构）受深圳市前海深港现代服务业合作区管理局委托就“</w:t>
      </w:r>
      <w:r>
        <w:rPr>
          <w:rFonts w:hint="eastAsia" w:ascii="宋体" w:hAnsi="宋体" w:cs="宋体"/>
          <w:color w:val="000000" w:themeColor="text1"/>
          <w:sz w:val="24"/>
          <w:u w:val="single"/>
          <w:lang w:eastAsia="zh-CN"/>
          <w14:textFill>
            <w14:solidFill>
              <w14:schemeClr w14:val="tx1"/>
            </w14:solidFill>
          </w14:textFill>
        </w:rPr>
        <w:t>前海合作区城市第六立面近期行动规划研究及技术</w:t>
      </w:r>
      <w:r>
        <w:rPr>
          <w:rFonts w:hint="eastAsia" w:ascii="宋体" w:hAnsi="宋体" w:cs="宋体"/>
          <w:color w:val="000000" w:themeColor="text1"/>
          <w:sz w:val="24"/>
          <w:u w:val="single"/>
          <w:lang w:val="en-US" w:eastAsia="zh-CN"/>
          <w14:textFill>
            <w14:solidFill>
              <w14:schemeClr w14:val="tx1"/>
            </w14:solidFill>
          </w14:textFill>
        </w:rPr>
        <w:t>咨询</w:t>
      </w: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u w:val="single"/>
          <w:lang w:eastAsia="zh-CN"/>
          <w14:textFill>
            <w14:solidFill>
              <w14:schemeClr w14:val="tx1"/>
            </w14:solidFill>
          </w14:textFill>
        </w:rPr>
        <w:t>QH2024</w:t>
      </w:r>
      <w:r>
        <w:rPr>
          <w:rFonts w:hint="eastAsia" w:ascii="宋体" w:hAnsi="宋体" w:cs="宋体"/>
          <w:color w:val="000000" w:themeColor="text1"/>
          <w:sz w:val="24"/>
          <w:u w:val="single"/>
          <w:lang w:val="en-US" w:eastAsia="zh-CN"/>
          <w14:textFill>
            <w14:solidFill>
              <w14:schemeClr w14:val="tx1"/>
            </w14:solidFill>
          </w14:textFill>
        </w:rPr>
        <w:t>025</w:t>
      </w:r>
      <w:r>
        <w:rPr>
          <w:rFonts w:hint="eastAsia" w:ascii="宋体" w:hAnsi="宋体" w:cs="宋体"/>
          <w:color w:val="000000" w:themeColor="text1"/>
          <w:sz w:val="24"/>
          <w14:textFill>
            <w14:solidFill>
              <w14:schemeClr w14:val="tx1"/>
            </w14:solidFill>
          </w14:textFill>
        </w:rPr>
        <w:t>）”采用简易招标方式采购，欢迎符合投标人资格要求的专业供应商积极参加投标。</w:t>
      </w:r>
    </w:p>
    <w:tbl>
      <w:tblPr>
        <w:tblStyle w:val="15"/>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 w:hRule="atLeast"/>
          <w:jc w:val="center"/>
        </w:trPr>
        <w:tc>
          <w:tcPr>
            <w:tcW w:w="1676" w:type="dxa"/>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招标编号</w:t>
            </w:r>
          </w:p>
        </w:tc>
        <w:tc>
          <w:tcPr>
            <w:tcW w:w="7015" w:type="dxa"/>
            <w:noWrap w:val="0"/>
            <w:vAlign w:val="center"/>
          </w:tcPr>
          <w:p>
            <w:pPr>
              <w:spacing w:line="360" w:lineRule="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QH2024025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招标项目名称</w:t>
            </w:r>
          </w:p>
        </w:tc>
        <w:tc>
          <w:tcPr>
            <w:tcW w:w="7015" w:type="dxa"/>
            <w:noWrap w:val="0"/>
            <w:vAlign w:val="center"/>
          </w:tcPr>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前海合作区城市第六立面近期行动规划研究及技术</w:t>
            </w:r>
            <w:r>
              <w:rPr>
                <w:rFonts w:hint="eastAsia" w:ascii="宋体" w:hAnsi="宋体" w:cs="宋体"/>
                <w:color w:val="000000" w:themeColor="text1"/>
                <w:sz w:val="24"/>
                <w:lang w:val="en-US" w:eastAsia="zh-CN"/>
                <w14:textFill>
                  <w14:solidFill>
                    <w14:schemeClr w14:val="tx1"/>
                  </w14:solidFill>
                </w14:textFill>
              </w:rPr>
              <w:t>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标的内容</w:t>
            </w:r>
          </w:p>
        </w:tc>
        <w:tc>
          <w:tcPr>
            <w:tcW w:w="7015" w:type="dxa"/>
            <w:noWrap w:val="0"/>
            <w:vAlign w:val="center"/>
          </w:tcPr>
          <w:p>
            <w:pPr>
              <w:spacing w:line="360" w:lineRule="auto"/>
              <w:ind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1.编制规划设计方案。深入研究深圳市</w:t>
            </w:r>
            <w:r>
              <w:rPr>
                <w:rFonts w:hint="eastAsia" w:ascii="宋体" w:hAnsi="宋体" w:cs="宋体"/>
                <w:color w:val="000000" w:themeColor="text1"/>
                <w:sz w:val="24"/>
                <w:lang w:val="en-US" w:eastAsia="zh-CN"/>
                <w14:textFill>
                  <w14:solidFill>
                    <w14:schemeClr w14:val="tx1"/>
                  </w14:solidFill>
                </w14:textFill>
              </w:rPr>
              <w:t>城市</w:t>
            </w:r>
            <w:r>
              <w:rPr>
                <w:rFonts w:hint="eastAsia" w:ascii="宋体" w:hAnsi="宋体" w:cs="宋体"/>
                <w:color w:val="000000" w:themeColor="text1"/>
                <w:sz w:val="24"/>
                <w14:textFill>
                  <w14:solidFill>
                    <w14:schemeClr w14:val="tx1"/>
                  </w14:solidFill>
                </w14:textFill>
              </w:rPr>
              <w:t>第六立面工作及相关规划，解读全市30个第六立面重点片区的空间分布、现状特征等基本信息，吸收借鉴试点工作经验；对片区内俯瞰点、建筑屋顶和城市底板进行深入调研与评估，摸排在建、计划建设项目情况，分析总结现状问题、提升潜力和设计改造条件；借鉴国际先进城市第六立面建设经验，研究前海发展特色与片区建设情况，明确提升目标与设计意象；制定空间结构方案，并从俯瞰点、屋顶、底板三方面出发提出系统性提升策略；完善重点项目清单、明确提升内容，形成有序可落地的实施计划。</w:t>
            </w:r>
          </w:p>
          <w:p>
            <w:pPr>
              <w:spacing w:line="360" w:lineRule="auto"/>
              <w:ind w:firstLine="240" w:firstLineChars="100"/>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2.技术咨询及宣传材料制作。</w:t>
            </w:r>
            <w:r>
              <w:rPr>
                <w:rFonts w:hint="eastAsia" w:ascii="宋体" w:hAnsi="宋体" w:cs="宋体"/>
                <w:color w:val="000000" w:themeColor="text1"/>
                <w:sz w:val="24"/>
                <w:lang w:val="en-US" w:eastAsia="zh-CN"/>
                <w14:textFill>
                  <w14:solidFill>
                    <w14:schemeClr w14:val="tx1"/>
                  </w14:solidFill>
                </w14:textFill>
              </w:rPr>
              <w:t>对前海合作区城市第六立面提升工作提供全过程技术咨询，对面向实施的城市第六立面专项设计方案提出专业技术咨询意见，加强对方案编制思路、内容、品质的技术把控；对实施情况技术总结，针对2024年度和2025年度前海合作区完成实施的城市第六立面提升工作实施情况提升效果等提供技术分析，总结经验与问题，提出改善建议；协助开展舆论宣传推广，制作相关宣传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项目预算</w:t>
            </w:r>
          </w:p>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（最高限价）</w:t>
            </w:r>
          </w:p>
        </w:tc>
        <w:tc>
          <w:tcPr>
            <w:tcW w:w="7015"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916</w:t>
            </w:r>
            <w:r>
              <w:rPr>
                <w:rFonts w:hint="eastAsia" w:ascii="宋体" w:hAnsi="宋体" w:cs="宋体"/>
                <w:color w:val="000000" w:themeColor="text1"/>
                <w:sz w:val="24"/>
                <w:lang w:eastAsia="zh-CN"/>
                <w14:textFill>
                  <w14:solidFill>
                    <w14:schemeClr w14:val="tx1"/>
                  </w14:solidFill>
                </w14:textFill>
              </w:rPr>
              <w:t>,000.00（人民币</w:t>
            </w:r>
            <w:r>
              <w:rPr>
                <w:rFonts w:hint="eastAsia" w:ascii="宋体" w:hAnsi="宋体" w:cs="宋体"/>
                <w:color w:val="000000" w:themeColor="text1"/>
                <w:sz w:val="24"/>
                <w:lang w:val="en-US" w:eastAsia="zh-CN"/>
                <w14:textFill>
                  <w14:solidFill>
                    <w14:schemeClr w14:val="tx1"/>
                  </w14:solidFill>
                </w14:textFill>
              </w:rPr>
              <w:t>玖拾壹万陆仟</w:t>
            </w:r>
            <w:r>
              <w:rPr>
                <w:rFonts w:hint="eastAsia" w:ascii="宋体" w:hAnsi="宋体" w:cs="宋体"/>
                <w:color w:val="000000" w:themeColor="text1"/>
                <w:sz w:val="24"/>
                <w:lang w:eastAsia="zh-CN"/>
                <w14:textFill>
                  <w14:solidFill>
                    <w14:schemeClr w14:val="tx1"/>
                  </w14:solidFill>
                </w14:textFill>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noWrap w:val="0"/>
            <w:vAlign w:val="center"/>
          </w:tcPr>
          <w:p>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标书获得办法</w:t>
            </w:r>
          </w:p>
        </w:tc>
        <w:tc>
          <w:tcPr>
            <w:tcW w:w="7015" w:type="dxa"/>
            <w:noWrap w:val="0"/>
            <w:vAlign w:val="center"/>
          </w:tcPr>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noWrap w:val="0"/>
            <w:vAlign w:val="center"/>
          </w:tcPr>
          <w:p>
            <w:pPr>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本项目所属行业</w:t>
            </w:r>
          </w:p>
        </w:tc>
        <w:tc>
          <w:tcPr>
            <w:tcW w:w="7015" w:type="dxa"/>
            <w:noWrap w:val="0"/>
            <w:vAlign w:val="center"/>
          </w:tcPr>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u w:val="none"/>
                <w14:textFill>
                  <w14:solidFill>
                    <w14:schemeClr w14:val="tx1"/>
                  </w14:solidFill>
                </w14:textFill>
              </w:rPr>
              <w:t>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noWrap w:val="0"/>
            <w:vAlign w:val="center"/>
          </w:tcPr>
          <w:p>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报名方式</w:t>
            </w:r>
          </w:p>
        </w:tc>
        <w:tc>
          <w:tcPr>
            <w:tcW w:w="7015" w:type="dxa"/>
            <w:noWrap w:val="0"/>
            <w:vAlign w:val="center"/>
          </w:tcPr>
          <w:p>
            <w:pPr>
              <w:adjustRightInd w:val="0"/>
              <w:snapToGrid w:val="0"/>
              <w:spacing w:line="360" w:lineRule="auto"/>
              <w:jc w:val="left"/>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将投标文件密封并在</w:t>
            </w:r>
            <w:r>
              <w:rPr>
                <w:rFonts w:hint="eastAsia" w:ascii="宋体" w:hAnsi="宋体" w:cs="宋体"/>
                <w:b/>
                <w:bCs/>
                <w:color w:val="000000" w:themeColor="text1"/>
                <w:kern w:val="0"/>
                <w:sz w:val="24"/>
                <w14:textFill>
                  <w14:solidFill>
                    <w14:schemeClr w14:val="tx1"/>
                  </w14:solidFill>
                </w14:textFill>
              </w:rPr>
              <w:t>202</w:t>
            </w:r>
            <w:r>
              <w:rPr>
                <w:rFonts w:hint="eastAsia" w:ascii="宋体" w:hAnsi="宋体" w:cs="宋体"/>
                <w:b/>
                <w:bCs/>
                <w:color w:val="000000" w:themeColor="text1"/>
                <w:kern w:val="0"/>
                <w:sz w:val="24"/>
                <w:lang w:val="en-US" w:eastAsia="zh-CN"/>
                <w14:textFill>
                  <w14:solidFill>
                    <w14:schemeClr w14:val="tx1"/>
                  </w14:solidFill>
                </w14:textFill>
              </w:rPr>
              <w:t>4</w:t>
            </w:r>
            <w:r>
              <w:rPr>
                <w:rFonts w:hint="eastAsia" w:ascii="宋体" w:hAnsi="宋体" w:cs="宋体"/>
                <w:b/>
                <w:bCs/>
                <w:color w:val="000000" w:themeColor="text1"/>
                <w:kern w:val="0"/>
                <w:sz w:val="24"/>
                <w14:textFill>
                  <w14:solidFill>
                    <w14:schemeClr w14:val="tx1"/>
                  </w14:solidFill>
                </w14:textFill>
              </w:rPr>
              <w:t>年</w:t>
            </w:r>
            <w:r>
              <w:rPr>
                <w:rFonts w:hint="eastAsia" w:ascii="宋体" w:hAnsi="宋体" w:cs="宋体"/>
                <w:b/>
                <w:bCs/>
                <w:color w:val="000000" w:themeColor="text1"/>
                <w:kern w:val="0"/>
                <w:sz w:val="24"/>
                <w:highlight w:val="none"/>
                <w:lang w:val="en-US" w:eastAsia="zh-CN"/>
                <w14:textFill>
                  <w14:solidFill>
                    <w14:schemeClr w14:val="tx1"/>
                  </w14:solidFill>
                </w14:textFill>
              </w:rPr>
              <w:t>5</w:t>
            </w:r>
            <w:r>
              <w:rPr>
                <w:rFonts w:hint="eastAsia" w:ascii="宋体" w:hAnsi="宋体" w:cs="宋体"/>
                <w:b/>
                <w:bCs/>
                <w:color w:val="000000" w:themeColor="text1"/>
                <w:kern w:val="0"/>
                <w:sz w:val="24"/>
                <w:highlight w:val="none"/>
                <w14:textFill>
                  <w14:solidFill>
                    <w14:schemeClr w14:val="tx1"/>
                  </w14:solidFill>
                </w14:textFill>
              </w:rPr>
              <w:t>月</w:t>
            </w:r>
            <w:r>
              <w:rPr>
                <w:rFonts w:hint="eastAsia" w:ascii="宋体" w:hAnsi="宋体" w:cs="宋体"/>
                <w:b/>
                <w:bCs/>
                <w:color w:val="000000" w:themeColor="text1"/>
                <w:kern w:val="0"/>
                <w:sz w:val="24"/>
                <w:highlight w:val="none"/>
                <w:lang w:val="en-US" w:eastAsia="zh-CN"/>
                <w14:textFill>
                  <w14:solidFill>
                    <w14:schemeClr w14:val="tx1"/>
                  </w14:solidFill>
                </w14:textFill>
              </w:rPr>
              <w:t>7</w:t>
            </w:r>
            <w:r>
              <w:rPr>
                <w:rFonts w:hint="eastAsia" w:ascii="宋体" w:hAnsi="宋体" w:cs="宋体"/>
                <w:b/>
                <w:bCs/>
                <w:color w:val="000000" w:themeColor="text1"/>
                <w:kern w:val="0"/>
                <w:sz w:val="24"/>
                <w:highlight w:val="none"/>
                <w14:textFill>
                  <w14:solidFill>
                    <w14:schemeClr w14:val="tx1"/>
                  </w14:solidFill>
                </w14:textFill>
              </w:rPr>
              <w:t>日下午</w:t>
            </w:r>
            <w:r>
              <w:rPr>
                <w:rFonts w:hint="eastAsia" w:ascii="宋体" w:hAnsi="宋体" w:cs="宋体"/>
                <w:b/>
                <w:bCs/>
                <w:color w:val="000000" w:themeColor="text1"/>
                <w:kern w:val="0"/>
                <w:sz w:val="24"/>
                <w:highlight w:val="none"/>
                <w:lang w:val="en-US" w:eastAsia="zh-CN"/>
                <w14:textFill>
                  <w14:solidFill>
                    <w14:schemeClr w14:val="tx1"/>
                  </w14:solidFill>
                </w14:textFill>
              </w:rPr>
              <w:t>14</w:t>
            </w:r>
            <w:r>
              <w:rPr>
                <w:rFonts w:hint="eastAsia" w:ascii="宋体" w:hAnsi="宋体" w:cs="宋体"/>
                <w:b/>
                <w:bCs/>
                <w:color w:val="000000" w:themeColor="text1"/>
                <w:kern w:val="0"/>
                <w:sz w:val="24"/>
                <w:lang w:eastAsia="zh-CN"/>
                <w14:textFill>
                  <w14:solidFill>
                    <w14:schemeClr w14:val="tx1"/>
                  </w14:solidFill>
                </w14:textFill>
              </w:rPr>
              <w:t>：</w:t>
            </w:r>
            <w:r>
              <w:rPr>
                <w:rFonts w:hint="eastAsia" w:ascii="宋体" w:hAnsi="宋体" w:cs="宋体"/>
                <w:b/>
                <w:bCs/>
                <w:color w:val="000000" w:themeColor="text1"/>
                <w:kern w:val="0"/>
                <w:sz w:val="24"/>
                <w:lang w:val="en-US" w:eastAsia="zh-CN"/>
                <w14:textFill>
                  <w14:solidFill>
                    <w14:schemeClr w14:val="tx1"/>
                  </w14:solidFill>
                </w14:textFill>
              </w:rPr>
              <w:t>30时</w:t>
            </w:r>
            <w:r>
              <w:rPr>
                <w:rFonts w:hint="eastAsia" w:ascii="宋体" w:hAnsi="宋体" w:cs="宋体"/>
                <w:b/>
                <w:bCs/>
                <w:color w:val="000000" w:themeColor="text1"/>
                <w:kern w:val="0"/>
                <w:sz w:val="24"/>
                <w14:textFill>
                  <w14:solidFill>
                    <w14:schemeClr w14:val="tx1"/>
                  </w14:solidFill>
                </w14:textFill>
              </w:rPr>
              <w:t>（北京时间）</w:t>
            </w:r>
            <w:r>
              <w:rPr>
                <w:rFonts w:hint="eastAsia" w:ascii="宋体" w:hAnsi="宋体" w:cs="宋体"/>
                <w:color w:val="000000" w:themeColor="text1"/>
                <w:kern w:val="0"/>
                <w:sz w:val="24"/>
                <w14:textFill>
                  <w14:solidFill>
                    <w14:schemeClr w14:val="tx1"/>
                  </w14:solidFill>
                </w14:textFill>
              </w:rPr>
              <w:t>前送达（现场递交或邮寄）</w:t>
            </w:r>
            <w:r>
              <w:rPr>
                <w:rFonts w:hint="eastAsia" w:ascii="宋体" w:hAnsi="宋体" w:cs="宋体"/>
                <w:color w:val="000000" w:themeColor="text1"/>
                <w:kern w:val="0"/>
                <w:sz w:val="24"/>
                <w:u w:val="none"/>
                <w14:textFill>
                  <w14:solidFill>
                    <w14:schemeClr w14:val="tx1"/>
                  </w14:solidFill>
                </w14:textFill>
              </w:rPr>
              <w:t>至深圳市南</w:t>
            </w:r>
            <w:r>
              <w:rPr>
                <w:rFonts w:hint="eastAsia" w:ascii="宋体" w:hAnsi="宋体" w:cs="宋体"/>
                <w:color w:val="000000" w:themeColor="text1"/>
                <w:kern w:val="0"/>
                <w:sz w:val="24"/>
                <w14:textFill>
                  <w14:solidFill>
                    <w14:schemeClr w14:val="tx1"/>
                  </w14:solidFill>
                </w14:textFill>
              </w:rPr>
              <w:t>山区前海深港合作区桂湾五路123号前海管理</w:t>
            </w:r>
            <w:r>
              <w:rPr>
                <w:rFonts w:hint="eastAsia" w:ascii="宋体" w:hAnsi="宋体" w:cs="宋体"/>
                <w:color w:val="000000" w:themeColor="text1"/>
                <w:kern w:val="0"/>
                <w:sz w:val="24"/>
                <w:highlight w:val="none"/>
                <w14:textFill>
                  <w14:solidFill>
                    <w14:schemeClr w14:val="tx1"/>
                  </w14:solidFill>
                </w14:textFill>
              </w:rPr>
              <w:t>局前海大厦T1栋</w:t>
            </w:r>
            <w:r>
              <w:rPr>
                <w:rFonts w:hint="eastAsia" w:ascii="宋体" w:hAnsi="宋体" w:cs="宋体"/>
                <w:color w:val="000000" w:themeColor="text1"/>
                <w:kern w:val="0"/>
                <w:sz w:val="24"/>
                <w:highlight w:val="none"/>
                <w:u w:val="none"/>
                <w:lang w:val="en-US" w:eastAsia="zh-CN"/>
                <w14:textFill>
                  <w14:solidFill>
                    <w14:schemeClr w14:val="tx1"/>
                  </w14:solidFill>
                </w14:textFill>
              </w:rPr>
              <w:t>2515</w:t>
            </w:r>
            <w:r>
              <w:rPr>
                <w:rFonts w:hint="eastAsia" w:ascii="宋体" w:hAnsi="宋体" w:eastAsia="宋体" w:cs="宋体"/>
                <w:color w:val="000000" w:themeColor="text1"/>
                <w:kern w:val="0"/>
                <w:sz w:val="24"/>
                <w:highlight w:val="none"/>
                <w:u w:val="none"/>
                <w:lang w:val="en-US" w:eastAsia="zh-CN"/>
                <w14:textFill>
                  <w14:solidFill>
                    <w14:schemeClr w14:val="tx1"/>
                  </w14:solidFill>
                </w14:textFill>
              </w:rPr>
              <w:t>室</w:t>
            </w:r>
          </w:p>
          <w:p>
            <w:pPr>
              <w:adjustRightInd w:val="0"/>
              <w:snapToGrid w:val="0"/>
              <w:spacing w:line="360" w:lineRule="auto"/>
              <w:jc w:val="left"/>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  系  人：杨</w:t>
            </w:r>
            <w:r>
              <w:rPr>
                <w:rFonts w:hint="eastAsia" w:ascii="宋体" w:hAnsi="宋体" w:cs="宋体"/>
                <w:color w:val="000000" w:themeColor="text1"/>
                <w:kern w:val="0"/>
                <w:sz w:val="24"/>
                <w:highlight w:val="none"/>
                <w:lang w:val="en-US" w:eastAsia="zh-CN"/>
                <w14:textFill>
                  <w14:solidFill>
                    <w14:schemeClr w14:val="tx1"/>
                  </w14:solidFill>
                </w14:textFill>
              </w:rPr>
              <w:t>先生</w:t>
            </w:r>
          </w:p>
          <w:p>
            <w:pPr>
              <w:adjustRightInd w:val="0"/>
              <w:snapToGrid w:val="0"/>
              <w:spacing w:line="360" w:lineRule="auto"/>
              <w:jc w:val="left"/>
              <w:rPr>
                <w:rFonts w:hint="default" w:ascii="宋体" w:hAnsi="宋体" w:cs="宋体"/>
                <w:color w:val="000000" w:themeColor="text1"/>
                <w:kern w:val="0"/>
                <w:sz w:val="24"/>
                <w:highlight w:val="none"/>
                <w:lang w:val="en-US"/>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电      话：0755-88105412</w:t>
            </w:r>
          </w:p>
          <w:p>
            <w:pPr>
              <w:adjustRightInd w:val="0"/>
              <w:snapToGrid w:val="0"/>
              <w:spacing w:line="360"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注：如需现场谈判，投标人需在评标半小时内到达评标现场。若因特殊原因，可进行视频会议谈判。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noWrap w:val="0"/>
            <w:vAlign w:val="center"/>
          </w:tcPr>
          <w:p>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投标人资格要求</w:t>
            </w:r>
          </w:p>
        </w:tc>
        <w:tc>
          <w:tcPr>
            <w:tcW w:w="7015" w:type="dxa"/>
            <w:noWrap w:val="0"/>
            <w:vAlign w:val="center"/>
          </w:tcPr>
          <w:p>
            <w:pPr>
              <w:numPr>
                <w:ilvl w:val="0"/>
                <w:numId w:val="2"/>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在中华人民共和国境内注册的具有独立法人资格或具有独立承担民事责任的能力的其它组织</w:t>
            </w:r>
            <w:r>
              <w:rPr>
                <w:rFonts w:hint="eastAsia" w:ascii="宋体" w:hAnsi="宋体" w:cs="宋体"/>
                <w:b/>
                <w:bCs/>
                <w:color w:val="000000" w:themeColor="text1"/>
                <w:kern w:val="0"/>
                <w:sz w:val="24"/>
                <w14:textFill>
                  <w14:solidFill>
                    <w14:schemeClr w14:val="tx1"/>
                  </w14:solidFill>
                </w14:textFill>
              </w:rPr>
              <w:t>（提供营业执照或事业单位法人证等法人证明复印件加盖投标人公章）</w:t>
            </w:r>
            <w:r>
              <w:rPr>
                <w:rFonts w:hint="eastAsia" w:ascii="宋体" w:hAnsi="宋体" w:cs="宋体"/>
                <w:color w:val="000000" w:themeColor="text1"/>
                <w:kern w:val="0"/>
                <w:sz w:val="24"/>
                <w14:textFill>
                  <w14:solidFill>
                    <w14:schemeClr w14:val="tx1"/>
                  </w14:solidFill>
                </w14:textFill>
              </w:rPr>
              <w:t>；</w:t>
            </w:r>
          </w:p>
          <w:p>
            <w:pPr>
              <w:numPr>
                <w:ilvl w:val="0"/>
                <w:numId w:val="2"/>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参与政府采购项目投标的供应商近三年内无行贿犯罪记录</w:t>
            </w:r>
            <w:r>
              <w:rPr>
                <w:rFonts w:hint="eastAsia" w:ascii="宋体" w:hAnsi="宋体" w:cs="宋体"/>
                <w:b/>
                <w:bCs/>
                <w:color w:val="000000" w:themeColor="text1"/>
                <w:kern w:val="0"/>
                <w:sz w:val="24"/>
                <w14:textFill>
                  <w14:solidFill>
                    <w14:schemeClr w14:val="tx1"/>
                  </w14:solidFill>
                </w14:textFill>
              </w:rPr>
              <w:t>（由投标人在《政府采购投标及履约承诺函》中作出声明）</w:t>
            </w:r>
            <w:r>
              <w:rPr>
                <w:rFonts w:hint="eastAsia" w:ascii="宋体" w:hAnsi="宋体" w:cs="宋体"/>
                <w:color w:val="000000" w:themeColor="text1"/>
                <w:kern w:val="0"/>
                <w:sz w:val="24"/>
                <w14:textFill>
                  <w14:solidFill>
                    <w14:schemeClr w14:val="tx1"/>
                  </w14:solidFill>
                </w14:textFill>
              </w:rPr>
              <w:t>；</w:t>
            </w:r>
          </w:p>
          <w:p>
            <w:pPr>
              <w:numPr>
                <w:ilvl w:val="0"/>
                <w:numId w:val="2"/>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参与本项目投标前三年内，在经营活动中没有重大违法记录以及不存在被有关部门禁止参与政府采购活动且在有效期内的情况</w:t>
            </w:r>
            <w:r>
              <w:rPr>
                <w:rFonts w:hint="eastAsia" w:ascii="宋体" w:hAnsi="宋体" w:cs="宋体"/>
                <w:b/>
                <w:bCs/>
                <w:color w:val="000000" w:themeColor="text1"/>
                <w:kern w:val="0"/>
                <w:sz w:val="24"/>
                <w14:textFill>
                  <w14:solidFill>
                    <w14:schemeClr w14:val="tx1"/>
                  </w14:solidFill>
                </w14:textFill>
              </w:rPr>
              <w:t>（由投标人在《政府采购投标及履约承诺函》中作出声明）</w:t>
            </w:r>
            <w:r>
              <w:rPr>
                <w:rFonts w:hint="eastAsia" w:ascii="宋体" w:hAnsi="宋体" w:cs="宋体"/>
                <w:color w:val="000000" w:themeColor="text1"/>
                <w:kern w:val="0"/>
                <w:sz w:val="24"/>
                <w14:textFill>
                  <w14:solidFill>
                    <w14:schemeClr w14:val="tx1"/>
                  </w14:solidFill>
                </w14:textFill>
              </w:rPr>
              <w:t>；</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numPr>
                <w:ilvl w:val="0"/>
                <w:numId w:val="2"/>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本项目</w:t>
            </w:r>
            <w:r>
              <w:rPr>
                <w:rFonts w:ascii="宋体" w:hAnsi="宋体" w:cs="宋体"/>
                <w:color w:val="000000" w:themeColor="text1"/>
                <w:kern w:val="0"/>
                <w:sz w:val="24"/>
                <w14:textFill>
                  <w14:solidFill>
                    <w14:schemeClr w14:val="tx1"/>
                  </w14:solidFill>
                </w14:textFill>
              </w:rPr>
              <w:t>不</w:t>
            </w:r>
            <w:r>
              <w:rPr>
                <w:rFonts w:hint="eastAsia" w:ascii="宋体" w:hAnsi="宋体" w:cs="宋体"/>
                <w:color w:val="000000" w:themeColor="text1"/>
                <w:kern w:val="0"/>
                <w:sz w:val="24"/>
                <w14:textFill>
                  <w14:solidFill>
                    <w14:schemeClr w14:val="tx1"/>
                  </w14:solidFill>
                </w14:textFill>
              </w:rPr>
              <w:t>接受联合体投标，不允许转包、分包。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noWrap w:val="0"/>
            <w:vAlign w:val="center"/>
          </w:tcPr>
          <w:p>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报价要求</w:t>
            </w:r>
          </w:p>
        </w:tc>
        <w:tc>
          <w:tcPr>
            <w:tcW w:w="7015" w:type="dxa"/>
            <w:noWrap w:val="0"/>
            <w:vAlign w:val="center"/>
          </w:tcPr>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本次投标为总价包干，投标报价总价作为中标人与采购人签定的合同金额。项目预算控制</w:t>
            </w:r>
            <w:r>
              <w:rPr>
                <w:rFonts w:hint="default" w:ascii="宋体" w:hAnsi="宋体" w:cs="宋体"/>
                <w:color w:val="000000" w:themeColor="text1"/>
                <w:sz w:val="24"/>
                <w:lang w:val="en-US" w:eastAsia="zh-CN"/>
                <w14:textFill>
                  <w14:solidFill>
                    <w14:schemeClr w14:val="tx1"/>
                  </w14:solidFill>
                </w14:textFill>
              </w:rPr>
              <w:t>91.6</w:t>
            </w:r>
            <w:r>
              <w:rPr>
                <w:rFonts w:hint="eastAsia" w:ascii="宋体" w:hAnsi="宋体" w:cs="宋体"/>
                <w:color w:val="000000" w:themeColor="text1"/>
                <w:sz w:val="24"/>
                <w:lang w:val="en-US" w:eastAsia="zh-CN"/>
                <w14:textFill>
                  <w14:solidFill>
                    <w14:schemeClr w14:val="tx1"/>
                  </w14:solidFill>
                </w14:textFill>
              </w:rPr>
              <w:t>万元</w:t>
            </w:r>
            <w:r>
              <w:rPr>
                <w:rFonts w:hint="eastAsia" w:ascii="宋体" w:hAnsi="宋体" w:cs="宋体"/>
                <w:color w:val="000000" w:themeColor="text1"/>
                <w:sz w:val="24"/>
                <w14:textFill>
                  <w14:solidFill>
                    <w14:schemeClr w14:val="tx1"/>
                  </w14:solidFill>
                </w14:textFill>
              </w:rPr>
              <w:t>以内，投标人的报价不可高于</w:t>
            </w:r>
            <w:r>
              <w:rPr>
                <w:rFonts w:hint="eastAsia" w:ascii="宋体" w:hAnsi="宋体" w:cs="宋体"/>
                <w:color w:val="000000" w:themeColor="text1"/>
                <w:kern w:val="0"/>
                <w:sz w:val="24"/>
                <w14:textFill>
                  <w14:solidFill>
                    <w14:schemeClr w14:val="tx1"/>
                  </w14:solidFill>
                </w14:textFill>
              </w:rPr>
              <w:t>预算（限价），否则投标人的投标文件视同无效。</w:t>
            </w:r>
            <w:r>
              <w:rPr>
                <w:rFonts w:hint="eastAsia" w:ascii="宋体" w:hAnsi="宋体" w:cs="宋体"/>
                <w:color w:val="000000" w:themeColor="text1"/>
                <w:kern w:val="0"/>
                <w:sz w:val="24"/>
                <w:lang w:eastAsia="zh-CN"/>
                <w14:textFill>
                  <w14:solidFill>
                    <w14:schemeClr w14:val="tx1"/>
                  </w14:solidFill>
                </w14:textFill>
              </w:rPr>
              <w:t>投标人的投标总价为完成项目及招标文件或合同条款所规定的工作内容的各项费用，项目服务费包括</w:t>
            </w:r>
            <w:r>
              <w:rPr>
                <w:rFonts w:hint="eastAsia" w:ascii="宋体" w:hAnsi="宋体" w:cs="宋体"/>
                <w:color w:val="000000" w:themeColor="text1"/>
                <w:kern w:val="0"/>
                <w:sz w:val="24"/>
                <w:lang w:val="en-US" w:eastAsia="zh-CN"/>
                <w14:textFill>
                  <w14:solidFill>
                    <w14:schemeClr w14:val="tx1"/>
                  </w14:solidFill>
                </w14:textFill>
              </w:rPr>
              <w:t>但不限于：工程测量、调查调研、差旅费、项目成果报告编制、印刷费、专家咨询费以及会议费等所有费用，并提供合同要求的报告、全部规划研究成果文件和全部资料，以及其它相关服务的全部费用；由企业根据招标文件所提供的资料自行测算投标报价；一经中标，投标报价总价作为中标单位与采购人签定的合同金额，合同期限内不做调整</w:t>
            </w:r>
            <w:r>
              <w:rPr>
                <w:rFonts w:hint="eastAsia" w:ascii="宋体" w:hAnsi="宋体" w:cs="宋体"/>
                <w:color w:val="000000" w:themeColor="text1"/>
                <w:sz w:val="24"/>
                <w14:textFill>
                  <w14:solidFill>
                    <w14:schemeClr w14:val="tx1"/>
                  </w14:solidFill>
                </w14:textFill>
              </w:rPr>
              <w:t>。</w:t>
            </w:r>
          </w:p>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投标人的投标报价，应是本项目招标范围和招标文件及合同条款上所列的各项内容中所述的全部，不得以任何理由予以重复，并以投标人在投标文件中提出的综合单价或总价为依据。</w:t>
            </w:r>
          </w:p>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投标人应充分了解项目的位置、情况、道路及任何其他足以影响投标报价的情况，任何因忽视或误解项目情况而导致的索赔或服务期限延长申请将不获批准。</w:t>
            </w:r>
          </w:p>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noWrap w:val="0"/>
            <w:vAlign w:val="center"/>
          </w:tcPr>
          <w:p>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联系方式</w:t>
            </w:r>
          </w:p>
        </w:tc>
        <w:tc>
          <w:tcPr>
            <w:tcW w:w="7015" w:type="dxa"/>
            <w:noWrap w:val="0"/>
            <w:vAlign w:val="center"/>
          </w:tcPr>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采购人信息：</w:t>
            </w:r>
          </w:p>
          <w:p>
            <w:pPr>
              <w:spacing w:line="360" w:lineRule="auto"/>
              <w:rPr>
                <w:rFonts w:hint="eastAsia" w:ascii="宋体" w:hAnsi="宋体" w:cs="宋体"/>
                <w:color w:val="000000" w:themeColor="text1"/>
                <w:kern w:val="0"/>
                <w:sz w:val="24"/>
                <w:u w:val="none"/>
                <w14:textFill>
                  <w14:solidFill>
                    <w14:schemeClr w14:val="tx1"/>
                  </w14:solidFill>
                </w14:textFill>
              </w:rPr>
            </w:pPr>
            <w:r>
              <w:rPr>
                <w:rFonts w:hint="eastAsia" w:ascii="宋体" w:hAnsi="宋体" w:cs="宋体"/>
                <w:color w:val="000000" w:themeColor="text1"/>
                <w:kern w:val="0"/>
                <w:sz w:val="24"/>
                <w:u w:val="none"/>
                <w14:textFill>
                  <w14:solidFill>
                    <w14:schemeClr w14:val="tx1"/>
                  </w14:solidFill>
                </w14:textFill>
              </w:rPr>
              <w:t>名      称：深圳市前海深港现代服务业合作区管理局</w:t>
            </w:r>
          </w:p>
          <w:p>
            <w:pPr>
              <w:spacing w:line="360" w:lineRule="auto"/>
              <w:rPr>
                <w:rFonts w:hint="default" w:ascii="宋体" w:hAnsi="宋体" w:cs="宋体"/>
                <w:color w:val="000000" w:themeColor="text1"/>
                <w:kern w:val="0"/>
                <w:sz w:val="24"/>
                <w:u w:val="none"/>
                <w:lang w:val="en-US"/>
                <w14:textFill>
                  <w14:solidFill>
                    <w14:schemeClr w14:val="tx1"/>
                  </w14:solidFill>
                </w14:textFill>
              </w:rPr>
            </w:pPr>
            <w:r>
              <w:rPr>
                <w:rFonts w:hint="eastAsia" w:ascii="宋体" w:hAnsi="宋体" w:cs="宋体"/>
                <w:color w:val="000000" w:themeColor="text1"/>
                <w:kern w:val="0"/>
                <w:sz w:val="24"/>
                <w:u w:val="none"/>
                <w14:textFill>
                  <w14:solidFill>
                    <w14:schemeClr w14:val="tx1"/>
                  </w14:solidFill>
                </w14:textFill>
              </w:rPr>
              <w:t>联  系  人：</w:t>
            </w:r>
            <w:r>
              <w:rPr>
                <w:rFonts w:hint="eastAsia" w:ascii="宋体" w:hAnsi="宋体" w:cs="宋体"/>
                <w:color w:val="000000" w:themeColor="text1"/>
                <w:kern w:val="0"/>
                <w:sz w:val="24"/>
                <w14:textFill>
                  <w14:solidFill>
                    <w14:schemeClr w14:val="tx1"/>
                  </w14:solidFill>
                </w14:textFill>
              </w:rPr>
              <w:t>杨</w:t>
            </w:r>
            <w:r>
              <w:rPr>
                <w:rFonts w:hint="eastAsia" w:ascii="宋体" w:hAnsi="宋体" w:cs="宋体"/>
                <w:color w:val="000000" w:themeColor="text1"/>
                <w:kern w:val="0"/>
                <w:sz w:val="24"/>
                <w:lang w:val="en-US" w:eastAsia="zh-CN"/>
                <w14:textFill>
                  <w14:solidFill>
                    <w14:schemeClr w14:val="tx1"/>
                  </w14:solidFill>
                </w14:textFill>
              </w:rPr>
              <w:t>先生</w:t>
            </w:r>
          </w:p>
          <w:p>
            <w:pPr>
              <w:spacing w:line="360" w:lineRule="auto"/>
              <w:rPr>
                <w:rFonts w:hint="eastAsia" w:ascii="宋体" w:hAnsi="宋体" w:cs="宋体"/>
                <w:color w:val="000000" w:themeColor="text1"/>
                <w:kern w:val="0"/>
                <w:sz w:val="24"/>
                <w:u w:val="none"/>
                <w:lang w:val="en-US" w:eastAsia="zh-CN"/>
                <w14:textFill>
                  <w14:solidFill>
                    <w14:schemeClr w14:val="tx1"/>
                  </w14:solidFill>
                </w14:textFill>
              </w:rPr>
            </w:pPr>
            <w:r>
              <w:rPr>
                <w:rFonts w:hint="eastAsia" w:ascii="宋体" w:hAnsi="宋体" w:cs="宋体"/>
                <w:color w:val="000000" w:themeColor="text1"/>
                <w:kern w:val="0"/>
                <w:sz w:val="24"/>
                <w:u w:val="none"/>
                <w14:textFill>
                  <w14:solidFill>
                    <w14:schemeClr w14:val="tx1"/>
                  </w14:solidFill>
                </w14:textFill>
              </w:rPr>
              <w:t>电      话：0755-</w:t>
            </w:r>
            <w:r>
              <w:rPr>
                <w:rFonts w:hint="eastAsia" w:ascii="宋体" w:hAnsi="宋体" w:cs="宋体"/>
                <w:color w:val="000000" w:themeColor="text1"/>
                <w:kern w:val="0"/>
                <w:sz w:val="24"/>
                <w14:textFill>
                  <w14:solidFill>
                    <w14:schemeClr w14:val="tx1"/>
                  </w14:solidFill>
                </w14:textFill>
              </w:rPr>
              <w:t>88105412</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采购代理机构信息：</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名      称： 中国远东国际招标有限公司</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地      址： 深圳市福田区上步南路1001号锦峰大厦22楼</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  系  人： 凌女士、伍先生</w:t>
            </w:r>
          </w:p>
          <w:p>
            <w:pPr>
              <w:spacing w:line="360" w:lineRule="auto"/>
              <w:rPr>
                <w:rFonts w:hint="default"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电      话： 0755-82078919、82077364转</w:t>
            </w:r>
            <w:r>
              <w:rPr>
                <w:rFonts w:hint="eastAsia" w:ascii="宋体" w:hAnsi="宋体" w:cs="宋体"/>
                <w:color w:val="000000" w:themeColor="text1"/>
                <w:kern w:val="0"/>
                <w:sz w:val="24"/>
                <w:lang w:val="en-US" w:eastAsia="zh-CN"/>
                <w14:textFill>
                  <w14:solidFill>
                    <w14:schemeClr w14:val="tx1"/>
                  </w14:solidFill>
                </w14:textFill>
              </w:rPr>
              <w:t>110</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传      真： 0755-82077519、82078847 </w:t>
            </w:r>
          </w:p>
        </w:tc>
      </w:tr>
    </w:tbl>
    <w:p>
      <w:pPr>
        <w:adjustRightInd w:val="0"/>
        <w:snapToGrid w:val="0"/>
        <w:spacing w:line="360" w:lineRule="auto"/>
        <w:ind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中国远东国际招标有限公司</w:t>
      </w:r>
    </w:p>
    <w:p>
      <w:pPr>
        <w:adjustRightInd w:val="0"/>
        <w:snapToGrid w:val="0"/>
        <w:spacing w:line="360" w:lineRule="auto"/>
        <w:ind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202</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25</w:t>
      </w:r>
      <w:r>
        <w:rPr>
          <w:rFonts w:hint="eastAsia" w:ascii="宋体" w:hAnsi="宋体" w:cs="宋体"/>
          <w:color w:val="000000" w:themeColor="text1"/>
          <w:sz w:val="24"/>
          <w14:textFill>
            <w14:solidFill>
              <w14:schemeClr w14:val="tx1"/>
            </w14:solidFill>
          </w14:textFill>
        </w:rPr>
        <w:t>日</w:t>
      </w:r>
    </w:p>
    <w:p>
      <w:pPr>
        <w:numPr>
          <w:ilvl w:val="0"/>
          <w:numId w:val="1"/>
        </w:numPr>
        <w:spacing w:line="360" w:lineRule="auto"/>
        <w:jc w:val="center"/>
        <w:outlineLvl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 xml:space="preserve"> </w:t>
      </w:r>
      <w:bookmarkStart w:id="3" w:name="_Toc10214"/>
      <w:r>
        <w:rPr>
          <w:rFonts w:hint="eastAsia" w:ascii="宋体" w:hAnsi="宋体" w:cs="宋体"/>
          <w:b/>
          <w:bCs/>
          <w:color w:val="000000" w:themeColor="text1"/>
          <w:sz w:val="24"/>
          <w14:textFill>
            <w14:solidFill>
              <w14:schemeClr w14:val="tx1"/>
            </w14:solidFill>
          </w14:textFill>
        </w:rPr>
        <w:t>投标须知</w:t>
      </w:r>
      <w:bookmarkEnd w:id="3"/>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1、本项目是深圳市前海深港现代服务业合作区管理局的</w:t>
      </w:r>
      <w:r>
        <w:rPr>
          <w:rFonts w:hint="eastAsia" w:ascii="宋体" w:hAnsi="宋体" w:cs="宋体"/>
          <w:color w:val="000000" w:themeColor="text1"/>
          <w:sz w:val="24"/>
          <w:lang w:eastAsia="zh-CN"/>
          <w14:textFill>
            <w14:solidFill>
              <w14:schemeClr w14:val="tx1"/>
            </w14:solidFill>
          </w14:textFill>
        </w:rPr>
        <w:t>前海合作区城市第六立面近期行动规划研究及技术</w:t>
      </w:r>
      <w:r>
        <w:rPr>
          <w:rFonts w:hint="eastAsia" w:ascii="宋体" w:hAnsi="宋体" w:cs="宋体"/>
          <w:color w:val="000000" w:themeColor="text1"/>
          <w:sz w:val="24"/>
          <w:lang w:val="en-US" w:eastAsia="zh-CN"/>
          <w14:textFill>
            <w14:solidFill>
              <w14:schemeClr w14:val="tx1"/>
            </w14:solidFill>
          </w14:textFill>
        </w:rPr>
        <w:t>咨询</w:t>
      </w:r>
      <w:r>
        <w:rPr>
          <w:rFonts w:hint="eastAsia" w:ascii="宋体" w:hAnsi="宋体" w:cs="宋体"/>
          <w:color w:val="000000" w:themeColor="text1"/>
          <w:sz w:val="24"/>
          <w14:textFill>
            <w14:solidFill>
              <w14:schemeClr w14:val="tx1"/>
            </w14:solidFill>
          </w14:textFill>
        </w:rPr>
        <w:t>。</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2、本项目不属于《深圳市2023—2024年政府集中采购目录及限额标准》规定应集中采购项目，根据《中华人民共和国政府采购法》、《深圳经济特区</w:t>
      </w:r>
      <w:r>
        <w:rPr>
          <w:rFonts w:hint="eastAsia" w:ascii="宋体" w:hAnsi="宋体" w:cs="宋体"/>
          <w:color w:val="000000" w:themeColor="text1"/>
          <w:sz w:val="24"/>
          <w:lang w:val="en-US" w:eastAsia="zh-CN"/>
          <w14:textFill>
            <w14:solidFill>
              <w14:schemeClr w14:val="tx1"/>
            </w14:solidFill>
          </w14:textFill>
        </w:rPr>
        <w:t>政府</w:t>
      </w:r>
      <w:r>
        <w:rPr>
          <w:rFonts w:hint="eastAsia" w:ascii="宋体" w:hAnsi="宋体" w:cs="宋体"/>
          <w:color w:val="000000" w:themeColor="text1"/>
          <w:sz w:val="24"/>
          <w14:textFill>
            <w14:solidFill>
              <w14:schemeClr w14:val="tx1"/>
            </w14:solidFill>
          </w14:textFill>
        </w:rPr>
        <w:t>采购条例》的有关规定，中国远东国际招标有限公司受深圳市前海深港现代服务业合作区管理局委托组织采购</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本次采购公开征集供应商，报名且符合招标文件初审的供应商满足3家或3家以上的，采用综合评分法的方式进行。报名且符合招标文件初审的供应商不足3家而致招标失败的，按以下流程执行：</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a.有效投标人为2家的，可在2家有效投标人中取得分最高者为中标供应商；</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b.如参与投标且符合招标文件要求的供应商仅有1家，评审委员会应与投标供应商进行谈判，原则上成交价应为最初报价的95%。</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3、本项目根据项目的实际情况，公开征集符合投标人资格的供应商。请各供应商根据本文件的要求，准备</w:t>
      </w:r>
      <w:r>
        <w:rPr>
          <w:rFonts w:hint="eastAsia" w:ascii="宋体" w:hAnsi="宋体" w:cs="宋体"/>
          <w:b/>
          <w:bCs/>
          <w:color w:val="000000" w:themeColor="text1"/>
          <w:sz w:val="24"/>
          <w14:textFill>
            <w14:solidFill>
              <w14:schemeClr w14:val="tx1"/>
            </w14:solidFill>
          </w14:textFill>
        </w:rPr>
        <w:t>5套（1套正本，4套副本，1份电子文档）</w:t>
      </w:r>
      <w:r>
        <w:rPr>
          <w:rFonts w:hint="eastAsia" w:ascii="宋体" w:hAnsi="宋体" w:cs="宋体"/>
          <w:color w:val="000000" w:themeColor="text1"/>
          <w:sz w:val="24"/>
          <w14:textFill>
            <w14:solidFill>
              <w14:schemeClr w14:val="tx1"/>
            </w14:solidFill>
          </w14:textFill>
        </w:rPr>
        <w:t>完备的资料进行投标。</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4、本招标文件已对本次采购项目的商务条件和货物或服务的质量、技术要求、成果要求、交货要求、售后服务作出了明确的规定。</w:t>
      </w:r>
    </w:p>
    <w:p>
      <w:pPr>
        <w:snapToGrid w:val="0"/>
        <w:spacing w:after="78" w:afterLines="25"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5、响应文件要包括如下内容：</w:t>
      </w:r>
    </w:p>
    <w:p>
      <w:pPr>
        <w:numPr>
          <w:ilvl w:val="0"/>
          <w:numId w:val="4"/>
        </w:numPr>
        <w:tabs>
          <w:tab w:val="clear" w:pos="-420"/>
        </w:tabs>
        <w:snapToGrid w:val="0"/>
        <w:spacing w:after="78" w:afterLines="25" w:line="360" w:lineRule="auto"/>
        <w:ind w:left="1050" w:hanging="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价格部分；</w:t>
      </w:r>
    </w:p>
    <w:p>
      <w:pPr>
        <w:numPr>
          <w:ilvl w:val="0"/>
          <w:numId w:val="4"/>
        </w:numPr>
        <w:tabs>
          <w:tab w:val="clear" w:pos="-420"/>
        </w:tabs>
        <w:snapToGrid w:val="0"/>
        <w:spacing w:after="78" w:afterLines="25" w:line="360" w:lineRule="auto"/>
        <w:ind w:left="1050" w:hanging="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商务部分；</w:t>
      </w:r>
    </w:p>
    <w:p>
      <w:pPr>
        <w:numPr>
          <w:ilvl w:val="0"/>
          <w:numId w:val="4"/>
        </w:numPr>
        <w:tabs>
          <w:tab w:val="clear" w:pos="-420"/>
        </w:tabs>
        <w:snapToGrid w:val="0"/>
        <w:spacing w:after="78" w:afterLines="25" w:line="360" w:lineRule="auto"/>
        <w:ind w:left="1050" w:hanging="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技术部分。</w:t>
      </w:r>
    </w:p>
    <w:p>
      <w:pPr>
        <w:snapToGrid w:val="0"/>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hint="eastAsia" w:ascii="宋体" w:hAnsi="宋体" w:cs="宋体"/>
          <w:bCs/>
          <w:color w:val="000000" w:themeColor="text1"/>
          <w:sz w:val="24"/>
          <w14:textFill>
            <w14:solidFill>
              <w14:schemeClr w14:val="tx1"/>
            </w14:solidFill>
          </w14:textFill>
        </w:rPr>
        <w:t>采购人会对本次招标的项目确定一个最高限价，最终成交价格超出最高限价将会被当作投标无效处理。</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7、如采购人要求参加投标的供应商需在现场述标时，要派出熟悉本项目情况的项目负责人和对报价有决策权的代表参加，供应商代表要有法人代表的授权，同时要提供法人代表证明。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8、采购人有权根据项目的实际情况提出质量标准、服务标准、交货标准、交货时间、验收方式、付款方式、履约保证、价格等方面的要求，并就这些内容进行评审，所有供应商都在同一标准下进行评审。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9、本次采购凡涉及知识产权问题，由项目供应商负责。</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10、采购人将组成评审委员会，评审工作由评审委员会独立负责。</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11、供应商应在规定的时间内提交投标文件，如需供应商代表到达现场，采购人或采购代理机构将至少在开标前一个工作日发出通知，供应商代表必须在规定的时间到达现场。</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12、采用综合评分法的情况：评审委员会将分别对供应商递交的投标文件进行评审。</w:t>
      </w:r>
    </w:p>
    <w:p>
      <w:pPr>
        <w:pStyle w:val="21"/>
        <w:snapToGrid w:val="0"/>
        <w:spacing w:line="360" w:lineRule="auto"/>
        <w:ind w:firstLine="480"/>
        <w:rPr>
          <w:rFonts w:hint="eastAsia"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（1）评审委员会将根据供应商的供货能力、服务能力、货物的质量、是否满足本次采购的商务条件、报价等方面的情况进行综合评审，评标委员会依据得分情况，取综合得分最高的供应商为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color w:val="000000" w:themeColor="text1"/>
          <w:sz w:val="24"/>
          <w:szCs w:val="24"/>
          <w14:textFill>
            <w14:solidFill>
              <w14:schemeClr w14:val="tx1"/>
            </w14:solidFill>
          </w14:textFill>
        </w:rPr>
        <w:t>第一</w:t>
      </w:r>
      <w:r>
        <w:rPr>
          <w:rFonts w:hint="eastAsia" w:ascii="宋体" w:hAnsi="宋体" w:cs="宋体"/>
          <w:color w:val="000000" w:themeColor="text1"/>
          <w:kern w:val="2"/>
          <w:sz w:val="24"/>
          <w:szCs w:val="24"/>
          <w14:textFill>
            <w14:solidFill>
              <w14:schemeClr w14:val="tx1"/>
            </w14:solidFill>
          </w14:textFill>
        </w:rPr>
        <w:t>中标候选人。</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（2）如果二个及以上供应商的综合评分相同时，取投标价格低者为第一中标候选人。</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（3）如果二个及以上供应商的综合评分相同，且投标价格也相同时，取技术部分得分高者为第一中标候选人。</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13、采用谈判的情况：参与投标且符合招标文件要求的供应商仅有一家，评审委员会将与投标供应商进行谈判。</w:t>
      </w:r>
    </w:p>
    <w:p>
      <w:pPr>
        <w:snapToGrid w:val="0"/>
        <w:spacing w:line="360" w:lineRule="auto"/>
        <w:ind w:firstLine="360" w:firstLineChars="1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（1）供应商在谈判时由项目负责人与评审委员会进行谈判；</w:t>
      </w:r>
    </w:p>
    <w:p>
      <w:pPr>
        <w:snapToGrid w:val="0"/>
        <w:spacing w:line="360" w:lineRule="auto"/>
        <w:ind w:firstLine="360" w:firstLineChars="1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（2）原则上成交价应为最初报价的95%。</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14、所有的评审/谈判内容都必须保密。</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15、招标代理服务收费：</w:t>
      </w:r>
    </w:p>
    <w:p>
      <w:pPr>
        <w:snapToGrid w:val="0"/>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numPr>
          <w:ilvl w:val="0"/>
          <w:numId w:val="5"/>
        </w:numPr>
        <w:adjustRightInd w:val="0"/>
        <w:snapToGrid w:val="0"/>
        <w:spacing w:line="360" w:lineRule="auto"/>
        <w:ind w:right="26"/>
        <w:jc w:val="left"/>
        <w:rPr>
          <w:rFonts w:hint="eastAsia"/>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具体计取费率标准如下表所示：</w:t>
      </w:r>
    </w:p>
    <w:tbl>
      <w:tblPr>
        <w:tblStyle w:val="15"/>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noWrap w:val="0"/>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中标金额</w:t>
            </w:r>
          </w:p>
        </w:tc>
        <w:tc>
          <w:tcPr>
            <w:tcW w:w="5495" w:type="dxa"/>
            <w:gridSpan w:val="3"/>
            <w:shd w:val="clear" w:color="auto" w:fill="D7D7D7"/>
            <w:noWrap w:val="0"/>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3124" w:type="dxa"/>
            <w:vMerge w:val="continue"/>
            <w:shd w:val="clear" w:color="auto" w:fill="D7D7D7"/>
            <w:noWrap w:val="0"/>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p>
        </w:tc>
        <w:tc>
          <w:tcPr>
            <w:tcW w:w="1843" w:type="dxa"/>
            <w:shd w:val="clear" w:color="auto" w:fill="D7D7D7"/>
            <w:noWrap w:val="0"/>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货物招标</w:t>
            </w:r>
          </w:p>
        </w:tc>
        <w:tc>
          <w:tcPr>
            <w:tcW w:w="1755" w:type="dxa"/>
            <w:shd w:val="clear" w:color="auto" w:fill="D7D7D7"/>
            <w:noWrap w:val="0"/>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服务招标</w:t>
            </w:r>
          </w:p>
        </w:tc>
        <w:tc>
          <w:tcPr>
            <w:tcW w:w="1897" w:type="dxa"/>
            <w:shd w:val="clear" w:color="auto" w:fill="D7D7D7"/>
            <w:noWrap w:val="0"/>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100万元以下</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100万元（含）-500万元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0.8%</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500万元（含）-1000万元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0.8%</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0.45%</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1000万元（含）-5000万元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0.5%</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0.25%</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5000万元（含）-1亿元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0.25%</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0.1%</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1亿元（含）-5亿元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0.05%</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0.05%</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5亿元（含）-10亿元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0.035%</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0.035%</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10亿元（含）-50亿元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0.008%</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0.008%</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50亿元（含）-100亿元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0.006%</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0.006%</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100亿元（含）以上</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0.004%</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0.004%</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0.004%</w:t>
            </w:r>
          </w:p>
        </w:tc>
      </w:tr>
    </w:tbl>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招标代理服务费缴纳至：</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开户名称：中国远东国际招标有限公司深圳分公司</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银行帐号：11013651025501</w:t>
      </w:r>
    </w:p>
    <w:p>
      <w:pPr>
        <w:spacing w:line="360" w:lineRule="auto"/>
        <w:rPr>
          <w:rFonts w:hint="eastAsia" w:ascii="宋体" w:hAnsi="宋体" w:cs="宋体"/>
          <w:b/>
          <w:bCs/>
          <w:color w:val="000000" w:themeColor="text1"/>
          <w:sz w:val="24"/>
          <w14:textFill>
            <w14:solidFill>
              <w14:schemeClr w14:val="tx1"/>
            </w14:solidFill>
          </w14:textFill>
        </w:rPr>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pPr>
      <w:r>
        <w:rPr>
          <w:rFonts w:hint="eastAsia" w:ascii="宋体" w:hAnsi="宋体" w:cs="宋体"/>
          <w:color w:val="000000" w:themeColor="text1"/>
          <w:sz w:val="24"/>
          <w14:textFill>
            <w14:solidFill>
              <w14:schemeClr w14:val="tx1"/>
            </w14:solidFill>
          </w14:textFill>
        </w:rPr>
        <w:t>开户银行：平安银行深圳中电支行</w:t>
      </w:r>
    </w:p>
    <w:p>
      <w:pPr>
        <w:numPr>
          <w:ilvl w:val="0"/>
          <w:numId w:val="1"/>
        </w:numPr>
        <w:spacing w:line="360" w:lineRule="auto"/>
        <w:jc w:val="center"/>
        <w:outlineLvl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 </w:t>
      </w:r>
      <w:bookmarkStart w:id="4" w:name="_Toc20176"/>
      <w:r>
        <w:rPr>
          <w:rFonts w:hint="eastAsia" w:ascii="宋体" w:hAnsi="宋体" w:cs="宋体"/>
          <w:b/>
          <w:bCs/>
          <w:color w:val="000000" w:themeColor="text1"/>
          <w:sz w:val="24"/>
          <w14:textFill>
            <w14:solidFill>
              <w14:schemeClr w14:val="tx1"/>
            </w14:solidFill>
          </w14:textFill>
        </w:rPr>
        <w:t>评标程序</w:t>
      </w:r>
      <w:bookmarkEnd w:id="4"/>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依法成立评审委员会。在投标截止日前由前海管理局授权招标代理机构在深圳市政府采购评审专家库中抽取专家，组建不少于3人（单数）的评审委员会，其中专家人数为1人，其他专家由采购主办部门委派，评审委员会在投标截止日前一天组成。</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二、参加会议人员：投标人代表（如需）、项目负责代表、评审委员会成员、监督部门代表（如需）、采购代理机构代表。</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三、会议主持人：中国远东国际招标有限公司工作人员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四、开标时间：202</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日下午14:30时（北京时间）。</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五、会议开始：202</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日下午14:30时（北京时间）由会议主持人宣布定标会议开始。</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六、项目负责代表向采购代理机构代表送交投标文件，监督部门代表（如</w:t>
      </w:r>
      <w:r>
        <w:rPr>
          <w:rFonts w:hint="eastAsia" w:ascii="宋体" w:hAnsi="宋体" w:cs="宋体"/>
          <w:color w:val="000000" w:themeColor="text1"/>
          <w:sz w:val="24"/>
          <w:lang w:val="en-US" w:eastAsia="zh-CN"/>
          <w14:textFill>
            <w14:solidFill>
              <w14:schemeClr w14:val="tx1"/>
            </w14:solidFill>
          </w14:textFill>
        </w:rPr>
        <w:t>有</w:t>
      </w:r>
      <w:r>
        <w:rPr>
          <w:rFonts w:hint="eastAsia" w:ascii="宋体" w:hAnsi="宋体" w:cs="宋体"/>
          <w:color w:val="000000" w:themeColor="text1"/>
          <w:sz w:val="24"/>
          <w14:textFill>
            <w14:solidFill>
              <w14:schemeClr w14:val="tx1"/>
            </w14:solidFill>
          </w14:textFill>
        </w:rPr>
        <w:t>）确认投标文件密封完整，未密封投标文件将作为投标无效处理。</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七、由采购代理机构代表现场拆封投标文件，并分发给评审委员会成员。</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八、评审委员会审查供应商的投标文件，工作人员记录审查的情况。</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九、评审委员会按以下工作程序进行：</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1、评标委员会对各供应商的投标文件进行初审，对未能通过初审的投标文件作投标无效处理。</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2、对通过初审的供应商的投标文件进行详细的比较和评价。如需要，进行必要的澄清/说明工作。</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3、根据参与投标且符合招标文件要求的供应商数量情况，确定本项目的评审方法。</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4、采用综合评分法的情况：评审委员会将分别对供应商递交的投标文件进行评审。</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4.2如果二个及以上供应商的综合评分相同时，取投标价格低者为第一中标候选人。</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4.3如果二个及以上供应商的综合评分相同，且投标价格也相同时，取技术部分得分高者为第一中标候选人。</w:t>
      </w:r>
    </w:p>
    <w:p>
      <w:pPr>
        <w:numPr>
          <w:ilvl w:val="0"/>
          <w:numId w:val="6"/>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采用谈判的情况：参与投标且符合招标文件要求的供应商仅有一家，评审委员会将与投标供应商进行谈判。</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 供应商在谈判时由项目负责人与评审委员会进行谈判；</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 原则上成交价应为最初报价的95%。</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6、评审委员会按照本项目招标文件中规定的评标方法确定中标供应商。</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十、根据本次采购的结果，10个工作日内与中标供应商签订合同。</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p>
    <w:p>
      <w:pPr>
        <w:pStyle w:val="2"/>
        <w:rPr>
          <w:rFonts w:hint="eastAsia"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numPr>
          <w:ilvl w:val="0"/>
          <w:numId w:val="1"/>
        </w:numPr>
        <w:spacing w:line="360" w:lineRule="auto"/>
        <w:jc w:val="center"/>
        <w:outlineLvl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 </w:t>
      </w:r>
      <w:bookmarkStart w:id="5" w:name="_Toc3567"/>
      <w:r>
        <w:rPr>
          <w:rFonts w:hint="eastAsia" w:ascii="宋体" w:hAnsi="宋体" w:cs="宋体"/>
          <w:b/>
          <w:bCs/>
          <w:color w:val="000000" w:themeColor="text1"/>
          <w:sz w:val="24"/>
          <w14:textFill>
            <w14:solidFill>
              <w14:schemeClr w14:val="tx1"/>
            </w14:solidFill>
          </w14:textFill>
        </w:rPr>
        <w:t>合同格式及合同条款</w:t>
      </w:r>
      <w:bookmarkEnd w:id="5"/>
    </w:p>
    <w:p>
      <w:pPr>
        <w:spacing w:line="360" w:lineRule="auto"/>
        <w:ind w:firstLine="470" w:firstLineChars="196"/>
        <w:jc w:val="center"/>
        <w:rPr>
          <w:rFonts w:hint="eastAsia" w:ascii="宋体" w:hAnsi="宋体" w:cs="宋体"/>
          <w:color w:val="000000" w:themeColor="text1"/>
          <w:sz w:val="24"/>
          <w14:textFill>
            <w14:solidFill>
              <w14:schemeClr w14:val="tx1"/>
            </w14:solidFill>
          </w14:textFill>
        </w:rPr>
      </w:pPr>
      <w:bookmarkStart w:id="6" w:name="_Toc73517685"/>
      <w:bookmarkStart w:id="7" w:name="_Toc100052414"/>
      <w:bookmarkStart w:id="8" w:name="_Toc73521592"/>
      <w:bookmarkStart w:id="9" w:name="_Toc73521680"/>
      <w:bookmarkStart w:id="10" w:name="_Toc73518163"/>
      <w:bookmarkStart w:id="11" w:name="_Toc84303603"/>
      <w:bookmarkStart w:id="12" w:name="_Toc101074886"/>
    </w:p>
    <w:bookmarkEnd w:id="6"/>
    <w:bookmarkEnd w:id="7"/>
    <w:bookmarkEnd w:id="8"/>
    <w:bookmarkEnd w:id="9"/>
    <w:bookmarkEnd w:id="10"/>
    <w:bookmarkEnd w:id="11"/>
    <w:bookmarkEnd w:id="12"/>
    <w:p>
      <w:pPr>
        <w:pStyle w:val="21"/>
        <w:spacing w:line="360" w:lineRule="auto"/>
        <w:ind w:left="1470" w:right="1470" w:firstLine="482"/>
        <w:jc w:val="center"/>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合同编号（甲方）：            </w:t>
      </w:r>
    </w:p>
    <w:p>
      <w:pPr>
        <w:pStyle w:val="21"/>
        <w:spacing w:line="360" w:lineRule="auto"/>
        <w:ind w:left="1470" w:right="1470" w:firstLine="482"/>
        <w:jc w:val="center"/>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合同编号（乙方）：            </w:t>
      </w:r>
    </w:p>
    <w:p>
      <w:pPr>
        <w:pStyle w:val="21"/>
        <w:spacing w:line="360" w:lineRule="auto"/>
        <w:ind w:left="1470" w:right="1470" w:firstLine="482"/>
        <w:jc w:val="center"/>
        <w:rPr>
          <w:rFonts w:hint="eastAsia" w:ascii="宋体" w:hAnsi="宋体" w:cs="宋体"/>
          <w:b/>
          <w:color w:val="000000" w:themeColor="text1"/>
          <w:sz w:val="24"/>
          <w:szCs w:val="24"/>
          <w14:textFill>
            <w14:solidFill>
              <w14:schemeClr w14:val="tx1"/>
            </w14:solidFill>
          </w14:textFill>
        </w:rPr>
      </w:pPr>
    </w:p>
    <w:p>
      <w:pPr>
        <w:pStyle w:val="21"/>
        <w:spacing w:line="360" w:lineRule="auto"/>
        <w:ind w:left="1470" w:right="1470" w:firstLine="482"/>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w:t>
      </w:r>
    </w:p>
    <w:p>
      <w:pPr>
        <w:pStyle w:val="21"/>
        <w:spacing w:line="360" w:lineRule="auto"/>
        <w:ind w:left="1470" w:right="1470" w:firstLine="482"/>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w:t>
      </w:r>
    </w:p>
    <w:p>
      <w:pPr>
        <w:spacing w:line="360" w:lineRule="auto"/>
        <w:jc w:val="center"/>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cs="宋体"/>
          <w:b/>
          <w:color w:val="000000" w:themeColor="text1"/>
          <w:sz w:val="28"/>
          <w:szCs w:val="28"/>
          <w:lang w:eastAsia="zh-CN"/>
          <w14:textFill>
            <w14:solidFill>
              <w14:schemeClr w14:val="tx1"/>
            </w14:solidFill>
          </w14:textFill>
        </w:rPr>
        <w:t>前海合作区城市第六立面近期行动规划研究及技术</w:t>
      </w:r>
      <w:r>
        <w:rPr>
          <w:rFonts w:hint="eastAsia" w:ascii="宋体" w:hAnsi="宋体" w:cs="宋体"/>
          <w:b/>
          <w:color w:val="000000" w:themeColor="text1"/>
          <w:sz w:val="28"/>
          <w:szCs w:val="28"/>
          <w:lang w:val="en-US" w:eastAsia="zh-CN"/>
          <w14:textFill>
            <w14:solidFill>
              <w14:schemeClr w14:val="tx1"/>
            </w14:solidFill>
          </w14:textFill>
        </w:rPr>
        <w:t>咨询</w:t>
      </w:r>
    </w:p>
    <w:p>
      <w:pPr>
        <w:spacing w:line="360" w:lineRule="auto"/>
        <w:jc w:val="center"/>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委托合同</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pStyle w:val="21"/>
        <w:spacing w:line="360" w:lineRule="auto"/>
        <w:ind w:left="1470" w:right="1470"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p>
    <w:p>
      <w:pPr>
        <w:pStyle w:val="21"/>
        <w:spacing w:line="360" w:lineRule="auto"/>
        <w:ind w:left="1470" w:right="1470"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p>
    <w:p>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eastAsia="zh-CN"/>
          <w14:textFill>
            <w14:solidFill>
              <w14:schemeClr w14:val="tx1"/>
            </w14:solidFill>
          </w14:textFill>
        </w:rPr>
        <w:t>前海合作区城市第六立面近期行动规划研究及技术</w:t>
      </w:r>
      <w:r>
        <w:rPr>
          <w:rFonts w:hint="eastAsia" w:ascii="宋体" w:hAnsi="宋体" w:cs="宋体"/>
          <w:color w:val="000000" w:themeColor="text1"/>
          <w:sz w:val="24"/>
          <w:u w:val="single"/>
          <w:lang w:val="en-US" w:eastAsia="zh-CN"/>
          <w14:textFill>
            <w14:solidFill>
              <w14:schemeClr w14:val="tx1"/>
            </w14:solidFill>
          </w14:textFill>
        </w:rPr>
        <w:t>咨询</w:t>
      </w:r>
    </w:p>
    <w:p>
      <w:pPr>
        <w:spacing w:line="360" w:lineRule="auto"/>
        <w:ind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项目类型：</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委托方（甲方）：</w:t>
      </w:r>
      <w:r>
        <w:rPr>
          <w:rFonts w:hint="eastAsia" w:ascii="宋体" w:hAnsi="宋体" w:cs="宋体"/>
          <w:color w:val="000000" w:themeColor="text1"/>
          <w:sz w:val="24"/>
          <w:u w:val="single"/>
          <w14:textFill>
            <w14:solidFill>
              <w14:schemeClr w14:val="tx1"/>
            </w14:solidFill>
          </w14:textFill>
        </w:rPr>
        <w:t xml:space="preserve">  深圳市前海深港现代服务业合作区管理局  </w:t>
      </w:r>
    </w:p>
    <w:p>
      <w:pPr>
        <w:spacing w:line="360" w:lineRule="auto"/>
        <w:ind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承接方（乙方）：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w:t>
      </w:r>
    </w:p>
    <w:p>
      <w:pPr>
        <w:spacing w:line="360" w:lineRule="auto"/>
        <w:jc w:val="center"/>
        <w:rPr>
          <w:rFonts w:hint="eastAsia" w:ascii="宋体" w:hAnsi="宋体" w:cs="宋体"/>
          <w:color w:val="000000" w:themeColor="text1"/>
          <w:sz w:val="24"/>
          <w14:textFill>
            <w14:solidFill>
              <w14:schemeClr w14:val="tx1"/>
            </w14:solidFill>
          </w14:textFill>
        </w:rPr>
      </w:pPr>
    </w:p>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二〇二</w:t>
      </w:r>
      <w:r>
        <w:rPr>
          <w:rFonts w:hint="eastAsia" w:ascii="宋体" w:hAnsi="宋体" w:cs="宋体"/>
          <w:color w:val="000000" w:themeColor="text1"/>
          <w:sz w:val="24"/>
          <w:lang w:eastAsia="zh-CN"/>
          <w14:textFill>
            <w14:solidFill>
              <w14:schemeClr w14:val="tx1"/>
            </w14:solidFill>
          </w14:textFill>
        </w:rPr>
        <w:t>四</w:t>
      </w:r>
      <w:r>
        <w:rPr>
          <w:rFonts w:hint="eastAsia" w:ascii="宋体" w:hAnsi="宋体" w:cs="宋体"/>
          <w:color w:val="000000" w:themeColor="text1"/>
          <w:sz w:val="24"/>
          <w14:textFill>
            <w14:solidFill>
              <w14:schemeClr w14:val="tx1"/>
            </w14:solidFill>
          </w14:textFill>
        </w:rPr>
        <w:t>年  月</w:t>
      </w:r>
    </w:p>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本合同共    页（不含封面）</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 xml:space="preserve">甲方： </w:t>
      </w:r>
      <w:r>
        <w:rPr>
          <w:rFonts w:hint="eastAsia" w:ascii="宋体" w:hAnsi="宋体" w:cs="宋体"/>
          <w:color w:val="000000" w:themeColor="text1"/>
          <w:sz w:val="24"/>
          <w:u w:val="single"/>
          <w14:textFill>
            <w14:solidFill>
              <w14:schemeClr w14:val="tx1"/>
            </w14:solidFill>
          </w14:textFill>
        </w:rPr>
        <w:t>深圳市前海深港现代服务业合作区管理局</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地址： </w:t>
      </w:r>
      <w:r>
        <w:rPr>
          <w:rFonts w:hint="eastAsia" w:ascii="宋体" w:hAnsi="宋体" w:cs="宋体"/>
          <w:color w:val="000000" w:themeColor="text1"/>
          <w:sz w:val="24"/>
          <w:u w:val="single"/>
          <w14:textFill>
            <w14:solidFill>
              <w14:schemeClr w14:val="tx1"/>
            </w14:solidFill>
          </w14:textFill>
        </w:rPr>
        <w:t>深圳市前海深港合作区</w:t>
      </w:r>
      <w:r>
        <w:rPr>
          <w:rFonts w:ascii="宋体" w:hAnsi="宋体" w:cs="宋体"/>
          <w:color w:val="000000" w:themeColor="text1"/>
          <w:sz w:val="24"/>
          <w:u w:val="single"/>
          <w14:textFill>
            <w14:solidFill>
              <w14:schemeClr w14:val="tx1"/>
            </w14:solidFill>
          </w14:textFill>
        </w:rPr>
        <w:t>桂湾五路123号前海大厦T1栋前海管理局</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 </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乙方：</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地址：</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 </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以下甲方和乙方合称“双方”。</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根据《中华人民共和国民法典》等法律、法规的相关规定和编号为【</w:t>
      </w:r>
      <w:r>
        <w:rPr>
          <w:rFonts w:hint="eastAsia" w:ascii="宋体" w:hAnsi="宋体" w:cs="宋体"/>
          <w:color w:val="000000" w:themeColor="text1"/>
          <w:sz w:val="24"/>
          <w:lang w:val="en-US" w:eastAsia="zh-CN"/>
          <w14:textFill>
            <w14:solidFill>
              <w14:schemeClr w14:val="tx1"/>
            </w14:solidFill>
          </w14:textFill>
        </w:rPr>
        <w:t>QH2024025</w:t>
      </w:r>
      <w:r>
        <w:rPr>
          <w:rFonts w:hint="eastAsia" w:ascii="宋体" w:hAnsi="宋体" w:cs="宋体"/>
          <w:color w:val="000000" w:themeColor="text1"/>
          <w:sz w:val="24"/>
          <w14:textFill>
            <w14:solidFill>
              <w14:schemeClr w14:val="tx1"/>
            </w14:solidFill>
          </w14:textFill>
        </w:rPr>
        <w:t>】招标项目的中标结果，由【***】单位（以下简称乙方）为中标人。按照《中华人民共和国民法典》和《深圳经济特区政府采购条例》，经深圳市前海深港现代服务业合作区管理局（以下简称甲方）和【***】单位（以下简称乙方）协商，就甲方委托</w:t>
      </w:r>
      <w:r>
        <w:rPr>
          <w:rFonts w:hint="eastAsia" w:ascii="宋体" w:hAnsi="宋体" w:cs="宋体"/>
          <w:b/>
          <w:bCs/>
          <w:color w:val="000000" w:themeColor="text1"/>
          <w:sz w:val="24"/>
          <w:u w:val="single"/>
          <w14:textFill>
            <w14:solidFill>
              <w14:schemeClr w14:val="tx1"/>
            </w14:solidFill>
          </w14:textFill>
        </w:rPr>
        <w:t>乙方</w:t>
      </w:r>
      <w:r>
        <w:rPr>
          <w:rFonts w:hint="eastAsia" w:ascii="宋体" w:hAnsi="宋体" w:cs="宋体"/>
          <w:color w:val="000000" w:themeColor="text1"/>
          <w:sz w:val="24"/>
          <w14:textFill>
            <w14:solidFill>
              <w14:schemeClr w14:val="tx1"/>
            </w14:solidFill>
          </w14:textFill>
        </w:rPr>
        <w:t>共同承担</w:t>
      </w:r>
      <w:r>
        <w:rPr>
          <w:rFonts w:hint="eastAsia" w:ascii="宋体" w:hAnsi="宋体" w:cs="宋体"/>
          <w:b/>
          <w:bCs/>
          <w:color w:val="000000" w:themeColor="text1"/>
          <w:kern w:val="0"/>
          <w:sz w:val="24"/>
          <w:u w:val="single"/>
          <w14:textFill>
            <w14:solidFill>
              <w14:schemeClr w14:val="tx1"/>
            </w14:solidFill>
          </w14:textFill>
        </w:rPr>
        <w:t xml:space="preserve"> </w:t>
      </w:r>
      <w:r>
        <w:rPr>
          <w:rFonts w:hint="eastAsia" w:ascii="宋体" w:hAnsi="宋体" w:cs="宋体"/>
          <w:b w:val="0"/>
          <w:bCs w:val="0"/>
          <w:color w:val="000000" w:themeColor="text1"/>
          <w:kern w:val="0"/>
          <w:sz w:val="24"/>
          <w:u w:val="single"/>
          <w:lang w:eastAsia="zh-CN"/>
          <w14:textFill>
            <w14:solidFill>
              <w14:schemeClr w14:val="tx1"/>
            </w14:solidFill>
          </w14:textFill>
        </w:rPr>
        <w:t>前海合作区城市第六立面近期行动规划研究及技术</w:t>
      </w:r>
      <w:r>
        <w:rPr>
          <w:rFonts w:hint="eastAsia" w:ascii="宋体" w:hAnsi="宋体" w:cs="宋体"/>
          <w:b w:val="0"/>
          <w:bCs w:val="0"/>
          <w:color w:val="000000" w:themeColor="text1"/>
          <w:kern w:val="0"/>
          <w:sz w:val="24"/>
          <w:u w:val="single"/>
          <w:lang w:val="en-US" w:eastAsia="zh-CN"/>
          <w14:textFill>
            <w14:solidFill>
              <w14:schemeClr w14:val="tx1"/>
            </w14:solidFill>
          </w14:textFill>
        </w:rPr>
        <w:t>咨询</w:t>
      </w:r>
      <w:r>
        <w:rPr>
          <w:rFonts w:hint="eastAsia" w:ascii="宋体" w:hAnsi="宋体" w:cs="宋体"/>
          <w:b/>
          <w:bCs/>
          <w:color w:val="000000" w:themeColor="text1"/>
          <w:kern w:val="0"/>
          <w:sz w:val="24"/>
          <w:u w:val="single"/>
          <w14:textFill>
            <w14:solidFill>
              <w14:schemeClr w14:val="tx1"/>
            </w14:solidFill>
          </w14:textFill>
        </w:rPr>
        <w:t>（以下简称本项目）</w:t>
      </w:r>
      <w:r>
        <w:rPr>
          <w:rFonts w:hint="eastAsia" w:ascii="宋体" w:hAnsi="宋体" w:cs="宋体"/>
          <w:color w:val="000000" w:themeColor="text1"/>
          <w:sz w:val="24"/>
          <w14:textFill>
            <w14:solidFill>
              <w14:schemeClr w14:val="tx1"/>
            </w14:solidFill>
          </w14:textFill>
        </w:rPr>
        <w:t>，达成以下合同条款：</w:t>
      </w:r>
    </w:p>
    <w:p>
      <w:pPr>
        <w:pageBreakBefore w:val="0"/>
        <w:kinsoku/>
        <w:overflowPunct/>
        <w:topLinePunct w:val="0"/>
        <w:bidi w:val="0"/>
        <w:spacing w:line="360" w:lineRule="auto"/>
        <w:ind w:firstLine="482" w:firstLineChars="200"/>
        <w:rPr>
          <w:rFonts w:hint="default" w:ascii="宋体" w:hAnsi="宋体" w:eastAsia="宋体" w:cs="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highlight w:val="none"/>
          <w:shd w:val="clear" w:color="auto" w:fill="auto"/>
          <w14:textFill>
            <w14:solidFill>
              <w14:schemeClr w14:val="tx1"/>
            </w14:solidFill>
          </w14:textFill>
        </w:rPr>
        <w:t>第一条 项目内容</w:t>
      </w:r>
      <w:r>
        <w:rPr>
          <w:rFonts w:hint="eastAsia" w:ascii="宋体" w:hAnsi="宋体" w:cs="宋体"/>
          <w:b/>
          <w:bCs/>
          <w:color w:val="000000" w:themeColor="text1"/>
          <w:sz w:val="24"/>
          <w:highlight w:val="none"/>
          <w:shd w:val="clear" w:color="auto" w:fill="auto"/>
          <w:lang w:val="en-US" w:eastAsia="zh-CN"/>
          <w14:textFill>
            <w14:solidFill>
              <w14:schemeClr w14:val="tx1"/>
            </w14:solidFill>
          </w14:textFill>
        </w:rPr>
        <w:t>、工作成果及验收</w:t>
      </w:r>
    </w:p>
    <w:p>
      <w:pPr>
        <w:pageBreakBefore w:val="0"/>
        <w:kinsoku/>
        <w:overflowPunct/>
        <w:topLinePunct w:val="0"/>
        <w:bidi w:val="0"/>
        <w:spacing w:line="360" w:lineRule="auto"/>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项</w:t>
      </w:r>
      <w:r>
        <w:rPr>
          <w:rFonts w:hint="eastAsia" w:ascii="宋体" w:hAnsi="宋体" w:eastAsia="宋体" w:cs="宋体"/>
          <w:color w:val="000000" w:themeColor="text1"/>
          <w:sz w:val="24"/>
          <w14:textFill>
            <w14:solidFill>
              <w14:schemeClr w14:val="tx1"/>
            </w14:solidFill>
          </w14:textFill>
        </w:rPr>
        <w:t>目名称：</w:t>
      </w:r>
      <w:r>
        <w:rPr>
          <w:rFonts w:hint="eastAsia" w:ascii="宋体" w:hAnsi="宋体" w:cs="宋体"/>
          <w:b w:val="0"/>
          <w:bCs w:val="0"/>
          <w:color w:val="000000" w:themeColor="text1"/>
          <w:sz w:val="24"/>
          <w:szCs w:val="24"/>
          <w:lang w:val="zh-CN"/>
          <w14:textFill>
            <w14:solidFill>
              <w14:schemeClr w14:val="tx1"/>
            </w14:solidFill>
          </w14:textFill>
        </w:rPr>
        <w:t>前海合作区城市第六立面近期行动规划研究及技术</w:t>
      </w:r>
      <w:r>
        <w:rPr>
          <w:rFonts w:hint="eastAsia" w:ascii="宋体" w:hAnsi="宋体" w:cs="宋体"/>
          <w:b w:val="0"/>
          <w:bCs w:val="0"/>
          <w:color w:val="000000" w:themeColor="text1"/>
          <w:sz w:val="24"/>
          <w:szCs w:val="24"/>
          <w:lang w:val="en-US" w:eastAsia="zh-CN"/>
          <w14:textFill>
            <w14:solidFill>
              <w14:schemeClr w14:val="tx1"/>
            </w14:solidFill>
          </w14:textFill>
        </w:rPr>
        <w:t>咨询</w:t>
      </w:r>
    </w:p>
    <w:p>
      <w:pPr>
        <w:pageBreakBefore w:val="0"/>
        <w:kinsoku/>
        <w:overflowPunct/>
        <w:topLinePunct w:val="0"/>
        <w:bidi w:val="0"/>
        <w:spacing w:line="360" w:lineRule="auto"/>
        <w:ind w:firstLine="480" w:firstLineChars="200"/>
        <w:rPr>
          <w:rFonts w:hint="eastAsia" w:ascii="宋体" w:hAnsi="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（一）项目</w:t>
      </w:r>
      <w:r>
        <w:rPr>
          <w:rFonts w:hint="eastAsia" w:ascii="宋体" w:hAnsi="宋体" w:cs="宋体"/>
          <w:b w:val="0"/>
          <w:bCs w:val="0"/>
          <w:color w:val="000000" w:themeColor="text1"/>
          <w:sz w:val="24"/>
          <w14:textFill>
            <w14:solidFill>
              <w14:schemeClr w14:val="tx1"/>
            </w14:solidFill>
          </w14:textFill>
        </w:rPr>
        <w:t>内容</w:t>
      </w:r>
    </w:p>
    <w:p>
      <w:pPr>
        <w:spacing w:line="360" w:lineRule="auto"/>
        <w:ind w:firstLine="480" w:firstLineChars="200"/>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1.规划设计研究。深入研究深圳市城市第六立面工作及相关规划，解读全市30个第六立面重点片区的空间分布、现状特征等基本信息，吸收借鉴试点工作经验；对片区内俯瞰点、建筑屋顶和城市底板进行深入调研与评估，摸排在建、计划建设项目情况，分析总结现状问题、提升潜力和设计改造条件；借鉴国际先进城市第六立面建设经验，研究前海发展特色与片区建设情况，明确提升目标与设计意象；制定空间结构方案，并从俯瞰点、屋顶、底板三方面出发提出系统性提升策略；完善重点项目清单、明确提升内容，形成有序可落地的实施计划。</w:t>
      </w:r>
    </w:p>
    <w:p>
      <w:pPr>
        <w:spacing w:line="360" w:lineRule="auto"/>
        <w:ind w:firstLine="480" w:firstLineChars="200"/>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2.技术咨询及宣传材料制作。对前海合作区城市第六立面提升工作提供全过程技术咨询，对面向实施的城市第六立面专项设计方案提出专业技术咨询意见，加强对方案编制思路、内容、品质的技术把控；对实施情况技术总结，针对2024年度和2025年度前海合作区完成实施的城市第六立面提升工作实施情况提升效果等提供技术分析，总结经验与问题，提出改善建议；协助开展舆论宣传推广，制作相关宣传材料。</w:t>
      </w:r>
    </w:p>
    <w:p>
      <w:pPr>
        <w:pStyle w:val="2"/>
        <w:numPr>
          <w:ilvl w:val="-1"/>
          <w:numId w:val="0"/>
        </w:numPr>
        <w:ind w:firstLine="240" w:firstLineChars="100"/>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 xml:space="preserve">  （二）工作成果</w:t>
      </w:r>
    </w:p>
    <w:p>
      <w:pPr>
        <w:spacing w:line="360" w:lineRule="auto"/>
        <w:ind w:firstLine="480" w:firstLineChars="200"/>
        <w:rPr>
          <w:rFonts w:hint="eastAsia" w:ascii="宋体" w:hAnsi="宋体" w:cs="宋体"/>
          <w:b w:val="0"/>
          <w:bCs w:val="0"/>
          <w:color w:val="000000" w:themeColor="text1"/>
          <w:sz w:val="24"/>
          <w:lang w:eastAsia="zh-CN"/>
          <w14:textFill>
            <w14:solidFill>
              <w14:schemeClr w14:val="tx1"/>
            </w14:solidFill>
          </w14:textFill>
        </w:rPr>
      </w:pPr>
      <w:r>
        <w:rPr>
          <w:rFonts w:hint="eastAsia" w:ascii="宋体" w:hAnsi="宋体" w:cs="宋体"/>
          <w:b w:val="0"/>
          <w:bCs w:val="0"/>
          <w:color w:val="000000" w:themeColor="text1"/>
          <w:sz w:val="24"/>
          <w:lang w:eastAsia="zh-CN"/>
          <w14:textFill>
            <w14:solidFill>
              <w14:schemeClr w14:val="tx1"/>
            </w14:solidFill>
          </w14:textFill>
        </w:rPr>
        <w:t>1.规划设计</w:t>
      </w:r>
      <w:r>
        <w:rPr>
          <w:rFonts w:hint="eastAsia" w:ascii="宋体" w:hAnsi="宋体" w:cs="宋体"/>
          <w:b w:val="0"/>
          <w:bCs w:val="0"/>
          <w:color w:val="000000" w:themeColor="text1"/>
          <w:sz w:val="24"/>
          <w:lang w:val="en-US" w:eastAsia="zh-CN"/>
          <w14:textFill>
            <w14:solidFill>
              <w14:schemeClr w14:val="tx1"/>
            </w14:solidFill>
          </w14:textFill>
        </w:rPr>
        <w:t>研究</w:t>
      </w:r>
    </w:p>
    <w:p>
      <w:pPr>
        <w:spacing w:line="360" w:lineRule="auto"/>
        <w:ind w:firstLine="480" w:firstLineChars="200"/>
        <w:rPr>
          <w:rFonts w:hint="eastAsia" w:ascii="宋体" w:hAnsi="宋体" w:cs="宋体"/>
          <w:b w:val="0"/>
          <w:bCs w:val="0"/>
          <w:color w:val="000000" w:themeColor="text1"/>
          <w:sz w:val="24"/>
          <w:lang w:eastAsia="zh-CN"/>
          <w14:textFill>
            <w14:solidFill>
              <w14:schemeClr w14:val="tx1"/>
            </w14:solidFill>
          </w14:textFill>
        </w:rPr>
      </w:pPr>
      <w:r>
        <w:rPr>
          <w:rFonts w:hint="eastAsia" w:ascii="宋体" w:hAnsi="宋体" w:cs="宋体"/>
          <w:b w:val="0"/>
          <w:bCs w:val="0"/>
          <w:color w:val="000000" w:themeColor="text1"/>
          <w:sz w:val="24"/>
          <w:lang w:eastAsia="zh-CN"/>
          <w14:textFill>
            <w14:solidFill>
              <w14:schemeClr w14:val="tx1"/>
            </w14:solidFill>
          </w14:textFill>
        </w:rPr>
        <w:t>《前海</w:t>
      </w:r>
      <w:r>
        <w:rPr>
          <w:rFonts w:hint="eastAsia" w:ascii="宋体" w:hAnsi="宋体" w:cs="宋体"/>
          <w:b w:val="0"/>
          <w:bCs w:val="0"/>
          <w:color w:val="000000" w:themeColor="text1"/>
          <w:sz w:val="24"/>
          <w:lang w:val="en-US" w:eastAsia="zh-CN"/>
          <w14:textFill>
            <w14:solidFill>
              <w14:schemeClr w14:val="tx1"/>
            </w14:solidFill>
          </w14:textFill>
        </w:rPr>
        <w:t>城市</w:t>
      </w:r>
      <w:r>
        <w:rPr>
          <w:rFonts w:hint="eastAsia" w:ascii="宋体" w:hAnsi="宋体" w:cs="宋体"/>
          <w:b w:val="0"/>
          <w:bCs w:val="0"/>
          <w:color w:val="000000" w:themeColor="text1"/>
          <w:sz w:val="24"/>
          <w:lang w:eastAsia="zh-CN"/>
          <w14:textFill>
            <w14:solidFill>
              <w14:schemeClr w14:val="tx1"/>
            </w14:solidFill>
          </w14:textFill>
        </w:rPr>
        <w:t>第六立面提升</w:t>
      </w:r>
      <w:r>
        <w:rPr>
          <w:rFonts w:hint="eastAsia" w:ascii="宋体" w:hAnsi="宋体" w:cs="宋体"/>
          <w:b w:val="0"/>
          <w:bCs w:val="0"/>
          <w:color w:val="000000" w:themeColor="text1"/>
          <w:sz w:val="24"/>
          <w:lang w:val="en-US" w:eastAsia="zh-CN"/>
          <w14:textFill>
            <w14:solidFill>
              <w14:schemeClr w14:val="tx1"/>
            </w14:solidFill>
          </w14:textFill>
        </w:rPr>
        <w:t>规划设计研究报告（暂定名）</w:t>
      </w:r>
      <w:r>
        <w:rPr>
          <w:rFonts w:hint="eastAsia" w:ascii="宋体" w:hAnsi="宋体" w:cs="宋体"/>
          <w:b w:val="0"/>
          <w:bCs w:val="0"/>
          <w:color w:val="000000" w:themeColor="text1"/>
          <w:sz w:val="24"/>
          <w:lang w:eastAsia="zh-CN"/>
          <w14:textFill>
            <w14:solidFill>
              <w14:schemeClr w14:val="tx1"/>
            </w14:solidFill>
          </w14:textFill>
        </w:rPr>
        <w:t>》，</w:t>
      </w:r>
      <w:r>
        <w:rPr>
          <w:rFonts w:hint="eastAsia" w:ascii="宋体" w:hAnsi="宋体" w:cs="宋体"/>
          <w:b w:val="0"/>
          <w:bCs w:val="0"/>
          <w:color w:val="000000" w:themeColor="text1"/>
          <w:sz w:val="24"/>
          <w:lang w:val="en-US" w:eastAsia="zh-CN"/>
          <w14:textFill>
            <w14:solidFill>
              <w14:schemeClr w14:val="tx1"/>
            </w14:solidFill>
          </w14:textFill>
        </w:rPr>
        <w:t>包括但不限于《</w:t>
      </w:r>
      <w:r>
        <w:rPr>
          <w:rFonts w:hint="eastAsia" w:ascii="宋体" w:hAnsi="宋体" w:cs="宋体"/>
          <w:b w:val="0"/>
          <w:bCs w:val="0"/>
          <w:color w:val="000000" w:themeColor="text1"/>
          <w:sz w:val="24"/>
          <w:lang w:eastAsia="zh-CN"/>
          <w14:textFill>
            <w14:solidFill>
              <w14:schemeClr w14:val="tx1"/>
            </w14:solidFill>
          </w14:textFill>
        </w:rPr>
        <w:t>前海中集国际商务中心</w:t>
      </w:r>
      <w:r>
        <w:rPr>
          <w:rFonts w:hint="eastAsia" w:ascii="宋体" w:hAnsi="宋体" w:cs="宋体"/>
          <w:b w:val="0"/>
          <w:bCs w:val="0"/>
          <w:color w:val="000000" w:themeColor="text1"/>
          <w:sz w:val="24"/>
          <w:lang w:val="en-US" w:eastAsia="zh-CN"/>
          <w14:textFill>
            <w14:solidFill>
              <w14:schemeClr w14:val="tx1"/>
            </w14:solidFill>
          </w14:textFill>
        </w:rPr>
        <w:t>提升片区总体设计方案（暂定名）》</w:t>
      </w:r>
      <w:r>
        <w:rPr>
          <w:rFonts w:hint="eastAsia" w:ascii="宋体" w:hAnsi="宋体" w:cs="宋体"/>
          <w:b w:val="0"/>
          <w:bCs w:val="0"/>
          <w:color w:val="000000" w:themeColor="text1"/>
          <w:sz w:val="24"/>
          <w:lang w:eastAsia="zh-CN"/>
          <w14:textFill>
            <w14:solidFill>
              <w14:schemeClr w14:val="tx1"/>
            </w14:solidFill>
          </w14:textFill>
        </w:rPr>
        <w:t>。</w:t>
      </w:r>
    </w:p>
    <w:p>
      <w:pPr>
        <w:spacing w:line="360" w:lineRule="auto"/>
        <w:ind w:firstLine="480" w:firstLineChars="200"/>
        <w:rPr>
          <w:rFonts w:hint="eastAsia" w:ascii="宋体" w:hAnsi="宋体" w:cs="宋体"/>
          <w:b w:val="0"/>
          <w:bCs w:val="0"/>
          <w:color w:val="000000" w:themeColor="text1"/>
          <w:sz w:val="24"/>
          <w:lang w:eastAsia="zh-CN"/>
          <w14:textFill>
            <w14:solidFill>
              <w14:schemeClr w14:val="tx1"/>
            </w14:solidFill>
          </w14:textFill>
        </w:rPr>
      </w:pPr>
      <w:r>
        <w:rPr>
          <w:rFonts w:hint="eastAsia" w:ascii="宋体" w:hAnsi="宋体" w:cs="宋体"/>
          <w:b w:val="0"/>
          <w:bCs w:val="0"/>
          <w:color w:val="000000" w:themeColor="text1"/>
          <w:sz w:val="24"/>
          <w:lang w:eastAsia="zh-CN"/>
          <w14:textFill>
            <w14:solidFill>
              <w14:schemeClr w14:val="tx1"/>
            </w14:solidFill>
          </w14:textFill>
        </w:rPr>
        <w:t>2.技术</w:t>
      </w:r>
      <w:r>
        <w:rPr>
          <w:rFonts w:hint="eastAsia" w:ascii="宋体" w:hAnsi="宋体" w:cs="宋体"/>
          <w:b w:val="0"/>
          <w:bCs w:val="0"/>
          <w:color w:val="000000" w:themeColor="text1"/>
          <w:sz w:val="24"/>
          <w:lang w:val="en-US" w:eastAsia="zh-CN"/>
          <w14:textFill>
            <w14:solidFill>
              <w14:schemeClr w14:val="tx1"/>
            </w14:solidFill>
          </w14:textFill>
        </w:rPr>
        <w:t>咨询及宣传材料制作</w:t>
      </w:r>
    </w:p>
    <w:p>
      <w:pPr>
        <w:spacing w:line="360" w:lineRule="auto"/>
        <w:ind w:firstLine="480" w:firstLineChars="200"/>
        <w:rPr>
          <w:rFonts w:hint="eastAsia" w:ascii="宋体" w:hAnsi="宋体" w:cs="宋体"/>
          <w:b w:val="0"/>
          <w:bCs w:val="0"/>
          <w:color w:val="000000" w:themeColor="text1"/>
          <w:sz w:val="24"/>
          <w:lang w:eastAsia="zh-CN"/>
          <w14:textFill>
            <w14:solidFill>
              <w14:schemeClr w14:val="tx1"/>
            </w14:solidFill>
          </w14:textFill>
        </w:rPr>
      </w:pPr>
      <w:r>
        <w:rPr>
          <w:rFonts w:hint="eastAsia" w:ascii="宋体" w:hAnsi="宋体" w:cs="宋体"/>
          <w:b w:val="0"/>
          <w:bCs w:val="0"/>
          <w:color w:val="000000" w:themeColor="text1"/>
          <w:sz w:val="24"/>
          <w:lang w:eastAsia="zh-CN"/>
          <w14:textFill>
            <w14:solidFill>
              <w14:schemeClr w14:val="tx1"/>
            </w14:solidFill>
          </w14:textFill>
        </w:rPr>
        <w:t>《2024年度前海合作区城市第六立面提升实施情况</w:t>
      </w:r>
      <w:r>
        <w:rPr>
          <w:rFonts w:hint="eastAsia" w:ascii="宋体" w:hAnsi="宋体" w:cs="宋体"/>
          <w:b w:val="0"/>
          <w:bCs w:val="0"/>
          <w:color w:val="000000" w:themeColor="text1"/>
          <w:sz w:val="24"/>
          <w:lang w:val="en-US" w:eastAsia="zh-CN"/>
          <w14:textFill>
            <w14:solidFill>
              <w14:schemeClr w14:val="tx1"/>
            </w14:solidFill>
          </w14:textFill>
        </w:rPr>
        <w:t>技术</w:t>
      </w:r>
      <w:r>
        <w:rPr>
          <w:rFonts w:hint="eastAsia" w:ascii="宋体" w:hAnsi="宋体" w:cs="宋体"/>
          <w:b w:val="0"/>
          <w:bCs w:val="0"/>
          <w:color w:val="000000" w:themeColor="text1"/>
          <w:sz w:val="24"/>
          <w:lang w:eastAsia="zh-CN"/>
          <w14:textFill>
            <w14:solidFill>
              <w14:schemeClr w14:val="tx1"/>
            </w14:solidFill>
          </w14:textFill>
        </w:rPr>
        <w:t>总结</w:t>
      </w:r>
      <w:r>
        <w:rPr>
          <w:rFonts w:hint="eastAsia" w:ascii="宋体" w:hAnsi="宋体" w:cs="宋体"/>
          <w:b w:val="0"/>
          <w:bCs w:val="0"/>
          <w:color w:val="000000" w:themeColor="text1"/>
          <w:sz w:val="24"/>
          <w:lang w:val="en-US" w:eastAsia="zh-CN"/>
          <w14:textFill>
            <w14:solidFill>
              <w14:schemeClr w14:val="tx1"/>
            </w14:solidFill>
          </w14:textFill>
        </w:rPr>
        <w:t>报告（暂定名）</w:t>
      </w:r>
      <w:r>
        <w:rPr>
          <w:rFonts w:hint="eastAsia" w:ascii="宋体" w:hAnsi="宋体" w:cs="宋体"/>
          <w:b w:val="0"/>
          <w:bCs w:val="0"/>
          <w:color w:val="000000" w:themeColor="text1"/>
          <w:sz w:val="24"/>
          <w:lang w:eastAsia="zh-CN"/>
          <w14:textFill>
            <w14:solidFill>
              <w14:schemeClr w14:val="tx1"/>
            </w14:solidFill>
          </w14:textFill>
        </w:rPr>
        <w:t>》《2025年度前海合作区城市第六立面提升实施情况</w:t>
      </w:r>
      <w:r>
        <w:rPr>
          <w:rFonts w:hint="eastAsia" w:ascii="宋体" w:hAnsi="宋体" w:cs="宋体"/>
          <w:b w:val="0"/>
          <w:bCs w:val="0"/>
          <w:color w:val="000000" w:themeColor="text1"/>
          <w:sz w:val="24"/>
          <w:lang w:val="en-US" w:eastAsia="zh-CN"/>
          <w14:textFill>
            <w14:solidFill>
              <w14:schemeClr w14:val="tx1"/>
            </w14:solidFill>
          </w14:textFill>
        </w:rPr>
        <w:t>技术</w:t>
      </w:r>
      <w:r>
        <w:rPr>
          <w:rFonts w:hint="eastAsia" w:ascii="宋体" w:hAnsi="宋体" w:cs="宋体"/>
          <w:b w:val="0"/>
          <w:bCs w:val="0"/>
          <w:color w:val="000000" w:themeColor="text1"/>
          <w:sz w:val="24"/>
          <w:lang w:eastAsia="zh-CN"/>
          <w14:textFill>
            <w14:solidFill>
              <w14:schemeClr w14:val="tx1"/>
            </w14:solidFill>
          </w14:textFill>
        </w:rPr>
        <w:t>总结</w:t>
      </w:r>
      <w:r>
        <w:rPr>
          <w:rFonts w:hint="eastAsia" w:ascii="宋体" w:hAnsi="宋体" w:cs="宋体"/>
          <w:b w:val="0"/>
          <w:bCs w:val="0"/>
          <w:color w:val="000000" w:themeColor="text1"/>
          <w:sz w:val="24"/>
          <w:lang w:val="en-US" w:eastAsia="zh-CN"/>
          <w14:textFill>
            <w14:solidFill>
              <w14:schemeClr w14:val="tx1"/>
            </w14:solidFill>
          </w14:textFill>
        </w:rPr>
        <w:t>报告（暂定名）</w:t>
      </w:r>
      <w:r>
        <w:rPr>
          <w:rFonts w:hint="eastAsia" w:ascii="宋体" w:hAnsi="宋体" w:cs="宋体"/>
          <w:b w:val="0"/>
          <w:bCs w:val="0"/>
          <w:color w:val="000000" w:themeColor="text1"/>
          <w:sz w:val="24"/>
          <w:lang w:eastAsia="zh-CN"/>
          <w14:textFill>
            <w14:solidFill>
              <w14:schemeClr w14:val="tx1"/>
            </w14:solidFill>
          </w14:textFill>
        </w:rPr>
        <w:t>》、宣传</w:t>
      </w:r>
      <w:r>
        <w:rPr>
          <w:rFonts w:hint="eastAsia" w:ascii="宋体" w:hAnsi="宋体" w:cs="宋体"/>
          <w:b w:val="0"/>
          <w:bCs w:val="0"/>
          <w:color w:val="000000" w:themeColor="text1"/>
          <w:sz w:val="24"/>
          <w:lang w:val="en-US" w:eastAsia="zh-CN"/>
          <w14:textFill>
            <w14:solidFill>
              <w14:schemeClr w14:val="tx1"/>
            </w14:solidFill>
          </w14:textFill>
        </w:rPr>
        <w:t>视频（不少于2分钟，4K画质）、其他相关技术咨询文件及宣传材料等</w:t>
      </w:r>
      <w:r>
        <w:rPr>
          <w:rFonts w:hint="eastAsia" w:ascii="宋体" w:hAnsi="宋体" w:cs="宋体"/>
          <w:b w:val="0"/>
          <w:bCs w:val="0"/>
          <w:color w:val="000000" w:themeColor="text1"/>
          <w:sz w:val="24"/>
          <w:lang w:eastAsia="zh-CN"/>
          <w14:textFill>
            <w14:solidFill>
              <w14:schemeClr w14:val="tx1"/>
            </w14:solidFill>
          </w14:textFill>
        </w:rPr>
        <w:t>。</w:t>
      </w:r>
    </w:p>
    <w:p>
      <w:pPr>
        <w:spacing w:line="360" w:lineRule="auto"/>
        <w:ind w:firstLine="480" w:firstLineChars="200"/>
        <w:rPr>
          <w:rFonts w:hint="default"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eastAsia="zh-CN"/>
          <w14:textFill>
            <w14:solidFill>
              <w14:schemeClr w14:val="tx1"/>
            </w14:solidFill>
          </w14:textFill>
        </w:rPr>
        <w:t>（</w:t>
      </w:r>
      <w:r>
        <w:rPr>
          <w:rFonts w:hint="eastAsia" w:ascii="宋体" w:hAnsi="宋体" w:cs="宋体"/>
          <w:b w:val="0"/>
          <w:bCs w:val="0"/>
          <w:color w:val="000000" w:themeColor="text1"/>
          <w:sz w:val="24"/>
          <w:lang w:val="en-US" w:eastAsia="zh-CN"/>
          <w14:textFill>
            <w14:solidFill>
              <w14:schemeClr w14:val="tx1"/>
            </w14:solidFill>
          </w14:textFill>
        </w:rPr>
        <w:t>三）验收标准</w:t>
      </w:r>
    </w:p>
    <w:p>
      <w:pPr>
        <w:pageBreakBefore w:val="0"/>
        <w:widowControl/>
        <w:kinsoku/>
        <w:overflowPunct/>
        <w:topLinePunct w:val="0"/>
        <w:bidi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乙方</w:t>
      </w:r>
      <w:r>
        <w:rPr>
          <w:rFonts w:hint="eastAsia" w:ascii="宋体" w:hAnsi="宋体" w:eastAsia="宋体" w:cs="宋体"/>
          <w:color w:val="000000" w:themeColor="text1"/>
          <w:sz w:val="24"/>
          <w14:textFill>
            <w14:solidFill>
              <w14:schemeClr w14:val="tx1"/>
            </w14:solidFill>
          </w14:textFill>
        </w:rPr>
        <w:t>编制的本项目全部成果通过</w:t>
      </w:r>
      <w:r>
        <w:rPr>
          <w:rFonts w:hint="eastAsia" w:ascii="宋体" w:hAnsi="宋体" w:cs="宋体"/>
          <w:color w:val="000000" w:themeColor="text1"/>
          <w:sz w:val="24"/>
          <w:lang w:val="en-US" w:eastAsia="zh-CN"/>
          <w14:textFill>
            <w14:solidFill>
              <w14:schemeClr w14:val="tx1"/>
            </w14:solidFill>
          </w14:textFill>
        </w:rPr>
        <w:t>甲方</w:t>
      </w:r>
      <w:r>
        <w:rPr>
          <w:rFonts w:hint="eastAsia" w:ascii="宋体" w:hAnsi="宋体" w:eastAsia="宋体" w:cs="宋体"/>
          <w:color w:val="000000" w:themeColor="text1"/>
          <w:sz w:val="24"/>
          <w14:textFill>
            <w14:solidFill>
              <w14:schemeClr w14:val="tx1"/>
            </w14:solidFill>
          </w14:textFill>
        </w:rPr>
        <w:t>验收合格。</w:t>
      </w:r>
    </w:p>
    <w:p>
      <w:pPr>
        <w:pageBreakBefore w:val="0"/>
        <w:kinsoku/>
        <w:overflowPunct/>
        <w:topLinePunct w:val="0"/>
        <w:bidi w:val="0"/>
        <w:spacing w:line="360" w:lineRule="auto"/>
        <w:ind w:firstLine="482" w:firstLineChars="200"/>
        <w:rPr>
          <w:rFonts w:hint="default" w:ascii="宋体" w:hAnsi="宋体" w:eastAsia="宋体" w:cs="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第二条  服务期限</w:t>
      </w:r>
      <w:r>
        <w:rPr>
          <w:rFonts w:hint="eastAsia" w:ascii="宋体" w:hAnsi="宋体" w:cs="宋体"/>
          <w:b/>
          <w:bCs/>
          <w:color w:val="000000" w:themeColor="text1"/>
          <w:sz w:val="24"/>
          <w:lang w:eastAsia="zh-CN"/>
          <w14:textFill>
            <w14:solidFill>
              <w14:schemeClr w14:val="tx1"/>
            </w14:solidFill>
          </w14:textFill>
        </w:rPr>
        <w:t>、</w:t>
      </w:r>
      <w:r>
        <w:rPr>
          <w:rFonts w:hint="eastAsia" w:ascii="宋体" w:hAnsi="宋体" w:cs="宋体"/>
          <w:b/>
          <w:bCs/>
          <w:color w:val="000000" w:themeColor="text1"/>
          <w:sz w:val="24"/>
          <w:lang w:val="en-US" w:eastAsia="zh-CN"/>
          <w14:textFill>
            <w14:solidFill>
              <w14:schemeClr w14:val="tx1"/>
            </w14:solidFill>
          </w14:textFill>
        </w:rPr>
        <w:t>地点及后续服务要求</w:t>
      </w:r>
    </w:p>
    <w:p>
      <w:pPr>
        <w:pageBreakBefore w:val="0"/>
        <w:kinsoku/>
        <w:overflowPunct/>
        <w:topLinePunct w:val="0"/>
        <w:bidi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1.服务期限：</w:t>
      </w:r>
      <w:r>
        <w:rPr>
          <w:rFonts w:hint="eastAsia" w:ascii="宋体" w:hAnsi="宋体" w:eastAsia="宋体" w:cs="宋体"/>
          <w:color w:val="000000" w:themeColor="text1"/>
          <w:sz w:val="24"/>
          <w:lang w:val="en-US" w:eastAsia="zh-CN"/>
          <w14:textFill>
            <w14:solidFill>
              <w14:schemeClr w14:val="tx1"/>
            </w14:solidFill>
          </w14:textFill>
        </w:rPr>
        <w:t>自合同签订日期起至2025年12月31日。</w:t>
      </w:r>
    </w:p>
    <w:p>
      <w:pPr>
        <w:pageBreakBefore w:val="0"/>
        <w:kinsoku/>
        <w:overflowPunct/>
        <w:topLinePunct w:val="0"/>
        <w:bidi w:val="0"/>
        <w:spacing w:line="360" w:lineRule="auto"/>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2.后续服务要求：</w:t>
      </w:r>
      <w:r>
        <w:rPr>
          <w:rFonts w:hint="eastAsia" w:ascii="宋体" w:hAnsi="宋体" w:eastAsia="宋体" w:cs="宋体"/>
          <w:color w:val="000000" w:themeColor="text1"/>
          <w:sz w:val="24"/>
          <w:lang w:val="en-US" w:eastAsia="zh-CN"/>
          <w14:textFill>
            <w14:solidFill>
              <w14:schemeClr w14:val="tx1"/>
            </w14:solidFill>
          </w14:textFill>
        </w:rPr>
        <w:t>项目后续服务期限为最终成果通过甲方审查之日起的1年内，乙方须与甲方保持全面沟通，提供技术服务支持。</w:t>
      </w:r>
    </w:p>
    <w:p>
      <w:pPr>
        <w:pageBreakBefore w:val="0"/>
        <w:kinsoku/>
        <w:overflowPunct/>
        <w:topLinePunct w:val="0"/>
        <w:bidi w:val="0"/>
        <w:spacing w:line="360" w:lineRule="auto"/>
        <w:ind w:firstLine="480" w:firstLineChars="200"/>
        <w:rPr>
          <w:rFonts w:hint="default" w:ascii="宋体" w:hAnsi="宋体" w:eastAsia="宋体" w:cs="宋体"/>
          <w:b/>
          <w:bCs/>
          <w:color w:val="000000" w:themeColor="text1"/>
          <w:sz w:val="24"/>
          <w:lang w:val="en-US" w:eastAsia="zh-CN"/>
          <w14:textFill>
            <w14:solidFill>
              <w14:schemeClr w14:val="tx1"/>
            </w14:solidFill>
          </w14:textFill>
        </w:rPr>
      </w:pPr>
      <w:r>
        <w:rPr>
          <w:rFonts w:hint="eastAsia" w:ascii="宋体" w:hAnsi="宋体" w:eastAsia="宋体" w:cs="宋体"/>
          <w:b w:val="0"/>
          <w:bCs w:val="0"/>
          <w:color w:val="000000" w:themeColor="text1"/>
          <w:sz w:val="24"/>
          <w:lang w:val="en-US" w:eastAsia="zh-CN"/>
          <w14:textFill>
            <w14:solidFill>
              <w14:schemeClr w14:val="tx1"/>
            </w14:solidFill>
          </w14:textFill>
        </w:rPr>
        <w:t>3.服务地点</w:t>
      </w:r>
      <w:r>
        <w:rPr>
          <w:rFonts w:hint="eastAsia" w:ascii="宋体" w:hAnsi="宋体" w:cs="宋体"/>
          <w:b w:val="0"/>
          <w:bCs w:val="0"/>
          <w:color w:val="000000" w:themeColor="text1"/>
          <w:sz w:val="24"/>
          <w:lang w:val="en-US" w:eastAsia="zh-CN"/>
          <w14:textFill>
            <w14:solidFill>
              <w14:schemeClr w14:val="tx1"/>
            </w14:solidFill>
          </w14:textFill>
        </w:rPr>
        <w:t>：</w:t>
      </w:r>
      <w:r>
        <w:rPr>
          <w:rFonts w:hint="eastAsia" w:ascii="宋体" w:hAnsi="宋体" w:eastAsia="宋体" w:cs="宋体"/>
          <w:color w:val="000000" w:themeColor="text1"/>
          <w:sz w:val="24"/>
          <w:lang w:eastAsia="zh-CN"/>
          <w14:textFill>
            <w14:solidFill>
              <w14:schemeClr w14:val="tx1"/>
            </w14:solidFill>
          </w14:textFill>
        </w:rPr>
        <w:t>前海深港现代服务业合作区</w:t>
      </w:r>
      <w:r>
        <w:rPr>
          <w:rFonts w:hint="eastAsia" w:ascii="宋体" w:hAnsi="宋体" w:eastAsia="宋体" w:cs="宋体"/>
          <w:color w:val="000000" w:themeColor="text1"/>
          <w:sz w:val="24"/>
          <w:lang w:val="en-US" w:eastAsia="zh-CN"/>
          <w14:textFill>
            <w14:solidFill>
              <w14:schemeClr w14:val="tx1"/>
            </w14:solidFill>
          </w14:textFill>
        </w:rPr>
        <w:t>。</w:t>
      </w:r>
    </w:p>
    <w:p>
      <w:pPr>
        <w:pageBreakBefore w:val="0"/>
        <w:kinsoku/>
        <w:overflowPunct/>
        <w:topLinePunct w:val="0"/>
        <w:bidi w:val="0"/>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第三条  项目资料归属</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所有提交给甲方的项目文件及相关资料的</w:t>
      </w:r>
      <w:r>
        <w:rPr>
          <w:rFonts w:ascii="宋体" w:hAnsi="宋体" w:cs="宋体"/>
          <w:color w:val="000000" w:themeColor="text1"/>
          <w:sz w:val="24"/>
          <w14:textFill>
            <w14:solidFill>
              <w14:schemeClr w14:val="tx1"/>
            </w14:solidFill>
          </w14:textFill>
        </w:rPr>
        <w:t>阶段性成果及</w:t>
      </w:r>
      <w:r>
        <w:rPr>
          <w:rFonts w:hint="eastAsia" w:ascii="宋体" w:hAnsi="宋体" w:cs="宋体"/>
          <w:color w:val="000000" w:themeColor="text1"/>
          <w:sz w:val="24"/>
          <w14:textFill>
            <w14:solidFill>
              <w14:schemeClr w14:val="tx1"/>
            </w14:solidFill>
          </w14:textFill>
        </w:rPr>
        <w:t>最后文本，包括为履行服务范围所编制的计划和证明资料等，都属于甲方</w:t>
      </w:r>
      <w:r>
        <w:rPr>
          <w:rFonts w:ascii="宋体" w:hAnsi="宋体" w:cs="宋体"/>
          <w:color w:val="000000" w:themeColor="text1"/>
          <w:sz w:val="24"/>
          <w14:textFill>
            <w14:solidFill>
              <w14:schemeClr w14:val="tx1"/>
            </w14:solidFill>
          </w14:textFill>
        </w:rPr>
        <w:t>所有</w:t>
      </w:r>
      <w:r>
        <w:rPr>
          <w:rFonts w:hint="eastAsia" w:ascii="宋体" w:hAnsi="宋体" w:cs="宋体"/>
          <w:color w:val="000000" w:themeColor="text1"/>
          <w:sz w:val="24"/>
          <w14:textFill>
            <w14:solidFill>
              <w14:schemeClr w14:val="tx1"/>
            </w14:solidFill>
          </w14:textFill>
        </w:rPr>
        <w:t>，乙方在提交给甲方之前应将上述资料进行整理归类和编制索引。</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乙方未经甲方的书面同意，不得将上述资料用于与本项目之外的任何项目，也不得将其泄露或授权给第三方使用。</w:t>
      </w:r>
    </w:p>
    <w:p>
      <w:pPr>
        <w:pageBreakBefore w:val="0"/>
        <w:kinsoku/>
        <w:overflowPunct/>
        <w:topLinePunct w:val="0"/>
        <w:bidi w:val="0"/>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第四条  双方的权利义务</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（一）甲方的权利义务</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1.甲方对研究过程的决策、控制、实施等环节实行全面管理，协调和监督研究工作开展，控制研究工作过程，进行研究成果验收。</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2.检查乙方研究人员到位情况，如因人力、能力不足致使研究工作不能按计划完成时，有权要求乙方增加或替换相应的技术人员，直至甲方认可，乙方不得拒绝。</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3.甲方有权向乙方询问项目工作进展及相关情况，并要求乙方在指定时间内做出答复。</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4.甲方有权对乙方提交的阶段性成果、最终成果送审稿等相关工作文件进行审核并提出修改意见。</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如乙方所提供的用以说明和描述技术方案、研究成果、实施方案及步骤等项目成果文件，不具备实操性或实操性过低，影响最终方案、研究和设计成果文件的质量，甲方有权要求乙方重新执行相应的工作服务，由此产生的全部费用由乙方自行承担。</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6.甲方对乙方在委托权限范围内完成委托事项有指导、监督权利。</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7.甲方有权要求乙方全面履行合同。甲方不接受部分履行，如本合同项下部分成果文件未能按时交付则视为整体延误。</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8.如乙方所提供的项目成果不符合本合同的要求，甲方有权要求乙方重新执行相应的工作服务，由此产生的全部费用由乙方自行承担，同时，甲方的付款时间相应顺延。</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9</w:t>
      </w:r>
      <w:r>
        <w:rPr>
          <w:rFonts w:hint="eastAsia" w:ascii="宋体" w:hAnsi="宋体" w:cs="宋体"/>
          <w:color w:val="000000" w:themeColor="text1"/>
          <w:sz w:val="24"/>
          <w14:textFill>
            <w14:solidFill>
              <w14:schemeClr w14:val="tx1"/>
            </w14:solidFill>
          </w14:textFill>
        </w:rPr>
        <w:t>.负责与本项目有关的第三方协调，提供开展项目服务工作的外部条件。</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.向乙方提供与本项目服务工作有关的资料。</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.负责组织有关会议对项目成果的评审。</w:t>
      </w:r>
    </w:p>
    <w:p>
      <w:pPr>
        <w:pageBreakBefore w:val="0"/>
        <w:kinsoku/>
        <w:overflowPunct/>
        <w:topLinePunct w:val="0"/>
        <w:bidi w:val="0"/>
        <w:spacing w:line="360" w:lineRule="auto"/>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12</w:t>
      </w:r>
      <w:r>
        <w:rPr>
          <w:rFonts w:hint="eastAsia" w:ascii="宋体" w:hAnsi="宋体" w:cs="宋体"/>
          <w:color w:val="000000" w:themeColor="text1"/>
          <w:sz w:val="24"/>
          <w14:textFill>
            <w14:solidFill>
              <w14:schemeClr w14:val="tx1"/>
            </w14:solidFill>
          </w14:textFill>
        </w:rPr>
        <w:t>.根据合同的条款按时支付合同价款</w:t>
      </w:r>
      <w:r>
        <w:rPr>
          <w:rFonts w:hint="eastAsia" w:ascii="宋体" w:hAnsi="宋体" w:cs="宋体"/>
          <w:color w:val="000000" w:themeColor="text1"/>
          <w:sz w:val="24"/>
          <w:lang w:eastAsia="zh-CN"/>
          <w14:textFill>
            <w14:solidFill>
              <w14:schemeClr w14:val="tx1"/>
            </w14:solidFill>
          </w14:textFill>
        </w:rPr>
        <w:t>。</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13.</w:t>
      </w:r>
      <w:r>
        <w:rPr>
          <w:rFonts w:hint="eastAsia" w:ascii="宋体" w:hAnsi="宋体" w:cs="宋体"/>
          <w:color w:val="000000" w:themeColor="text1"/>
          <w:sz w:val="24"/>
          <w14:textFill>
            <w14:solidFill>
              <w14:schemeClr w14:val="tx1"/>
            </w14:solidFill>
          </w14:textFill>
        </w:rPr>
        <w:t>甲方指定项目联系人：</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姓名： </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联系方式： </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（二）乙方的权利义务</w:t>
      </w:r>
    </w:p>
    <w:p>
      <w:pPr>
        <w:pageBreakBefore w:val="0"/>
        <w:kinsoku/>
        <w:overflowPunct/>
        <w:topLinePunct w:val="0"/>
        <w:bidi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1.乙方在本项目服务过程中，如甲方提供的资料不明确时可向甲方提出书面报告。</w:t>
      </w:r>
    </w:p>
    <w:p>
      <w:pPr>
        <w:pageBreakBefore w:val="0"/>
        <w:kinsoku/>
        <w:overflowPunct/>
        <w:topLinePunct w:val="0"/>
        <w:bidi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2.乙方在本项目服务过程中，有权对第三方提出与本咨询服务业务有关的问题进行核对或查问。</w:t>
      </w:r>
    </w:p>
    <w:p>
      <w:pPr>
        <w:pageBreakBefore w:val="0"/>
        <w:kinsoku/>
        <w:overflowPunct/>
        <w:topLinePunct w:val="0"/>
        <w:bidi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3.乙方在本项目服务过程中，有到现场勘察并要求甲方协调的权利。</w:t>
      </w:r>
    </w:p>
    <w:p>
      <w:pPr>
        <w:pageBreakBefore w:val="0"/>
        <w:kinsoku/>
        <w:overflowPunct/>
        <w:topLinePunct w:val="0"/>
        <w:bidi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4.根据合同约定收取相应的合同价款。</w:t>
      </w:r>
    </w:p>
    <w:p>
      <w:pPr>
        <w:pageBreakBefore w:val="0"/>
        <w:kinsoku/>
        <w:overflowPunct/>
        <w:topLinePunct w:val="0"/>
        <w:bidi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6</w:t>
      </w:r>
      <w:r>
        <w:rPr>
          <w:rFonts w:hint="eastAsia" w:ascii="宋体" w:hAnsi="宋体" w:eastAsia="宋体" w:cs="宋体"/>
          <w:color w:val="000000" w:themeColor="text1"/>
          <w:sz w:val="24"/>
          <w14:textFill>
            <w14:solidFill>
              <w14:schemeClr w14:val="tx1"/>
            </w14:solidFill>
          </w14:textFill>
        </w:rPr>
        <w:t>.乙方就本协议项下全部义务无条件对甲方承担连带责任。</w:t>
      </w:r>
    </w:p>
    <w:p>
      <w:pPr>
        <w:pageBreakBefore w:val="0"/>
        <w:kinsoku/>
        <w:overflowPunct/>
        <w:topLinePunct w:val="0"/>
        <w:bidi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7</w:t>
      </w:r>
      <w:r>
        <w:rPr>
          <w:rFonts w:hint="eastAsia" w:ascii="宋体" w:hAnsi="宋体" w:eastAsia="宋体" w:cs="宋体"/>
          <w:color w:val="000000" w:themeColor="text1"/>
          <w:sz w:val="24"/>
          <w14:textFill>
            <w14:solidFill>
              <w14:schemeClr w14:val="tx1"/>
            </w14:solidFill>
          </w14:textFill>
        </w:rPr>
        <w:t>.应按照【QH2024025】号招标文件、乙方投标文件以及本合同的要求按期完成本项目服务工作。</w:t>
      </w:r>
    </w:p>
    <w:p>
      <w:pPr>
        <w:pageBreakBefore w:val="0"/>
        <w:kinsoku/>
        <w:overflowPunct/>
        <w:topLinePunct w:val="0"/>
        <w:bidi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8</w:t>
      </w:r>
      <w:r>
        <w:rPr>
          <w:rFonts w:hint="eastAsia" w:ascii="宋体" w:hAnsi="宋体" w:eastAsia="宋体" w:cs="宋体"/>
          <w:color w:val="000000" w:themeColor="text1"/>
          <w:sz w:val="24"/>
          <w14:textFill>
            <w14:solidFill>
              <w14:schemeClr w14:val="tx1"/>
            </w14:solidFill>
          </w14:textFill>
        </w:rPr>
        <w:t>.在履行合同期间或合同规定期限内，不得泄露与本合同规定业务活动有关的保密资料。</w:t>
      </w:r>
    </w:p>
    <w:p>
      <w:pPr>
        <w:pageBreakBefore w:val="0"/>
        <w:kinsoku/>
        <w:overflowPunct/>
        <w:topLinePunct w:val="0"/>
        <w:bidi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9</w:t>
      </w:r>
      <w:r>
        <w:rPr>
          <w:rFonts w:hint="eastAsia" w:ascii="宋体" w:hAnsi="宋体" w:eastAsia="宋体" w:cs="宋体"/>
          <w:color w:val="000000" w:themeColor="text1"/>
          <w:sz w:val="24"/>
          <w14:textFill>
            <w14:solidFill>
              <w14:schemeClr w14:val="tx1"/>
            </w14:solidFill>
          </w14:textFill>
        </w:rPr>
        <w:t>.乙方应按国家、省及深圳的有关法律法规、设计标准、技术规范以及本合同约定的工作内容、工作进度等要求提供研究服务，并对其提交的研究意见负责。对于与本项目工作内容相关的 其他相关项目，乙方应进行充分了解并做好协调与衔接工作。</w:t>
      </w:r>
    </w:p>
    <w:p>
      <w:pPr>
        <w:pageBreakBefore w:val="0"/>
        <w:kinsoku/>
        <w:overflowPunct/>
        <w:topLinePunct w:val="0"/>
        <w:bidi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10</w:t>
      </w:r>
      <w:r>
        <w:rPr>
          <w:rFonts w:hint="eastAsia" w:ascii="宋体" w:hAnsi="宋体" w:eastAsia="宋体" w:cs="宋体"/>
          <w:color w:val="000000" w:themeColor="text1"/>
          <w:sz w:val="24"/>
          <w14:textFill>
            <w14:solidFill>
              <w14:schemeClr w14:val="tx1"/>
            </w14:solidFill>
          </w14:textFill>
        </w:rPr>
        <w:t>.对甲方提出的合理的额外服务，不应予以拒绝。</w:t>
      </w:r>
    </w:p>
    <w:p>
      <w:pPr>
        <w:pageBreakBefore w:val="0"/>
        <w:kinsoku/>
        <w:overflowPunct/>
        <w:topLinePunct w:val="0"/>
        <w:bidi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11</w:t>
      </w:r>
      <w:r>
        <w:rPr>
          <w:rFonts w:hint="eastAsia" w:ascii="宋体" w:hAnsi="宋体" w:eastAsia="宋体" w:cs="宋体"/>
          <w:color w:val="000000" w:themeColor="text1"/>
          <w:sz w:val="24"/>
          <w14:textFill>
            <w14:solidFill>
              <w14:schemeClr w14:val="tx1"/>
            </w14:solidFill>
          </w14:textFill>
        </w:rPr>
        <w:t>.乙方应接受甲方对工作进展的询问、监督和指导，严格按本合同约定的内容、标准和期限完成项目研究工作，并向甲方提交项目研究成果。项目工作完成后，乙方应按照甲方要求将完成 本项目的工作总结和相关台帐资料交给甲方。</w:t>
      </w:r>
    </w:p>
    <w:p>
      <w:pPr>
        <w:pageBreakBefore w:val="0"/>
        <w:kinsoku/>
        <w:overflowPunct/>
        <w:topLinePunct w:val="0"/>
        <w:bidi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12</w:t>
      </w:r>
      <w:r>
        <w:rPr>
          <w:rFonts w:hint="eastAsia" w:ascii="宋体" w:hAnsi="宋体" w:eastAsia="宋体" w:cs="宋体"/>
          <w:color w:val="000000" w:themeColor="text1"/>
          <w:sz w:val="24"/>
          <w14:textFill>
            <w14:solidFill>
              <w14:schemeClr w14:val="tx1"/>
            </w14:solidFill>
          </w14:textFill>
        </w:rPr>
        <w:t>.乙方应采取必要措施配合甲方验收人员的工作,对于评审验收过程中发现的问题，乙方应在发现问题之日起3天内进行改正，以符合甲方的需要。</w:t>
      </w:r>
    </w:p>
    <w:p>
      <w:pPr>
        <w:pageBreakBefore w:val="0"/>
        <w:kinsoku/>
        <w:overflowPunct/>
        <w:topLinePunct w:val="0"/>
        <w:bidi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13</w:t>
      </w:r>
      <w:r>
        <w:rPr>
          <w:rFonts w:hint="eastAsia" w:ascii="宋体" w:hAnsi="宋体" w:eastAsia="宋体" w:cs="宋体"/>
          <w:color w:val="000000" w:themeColor="text1"/>
          <w:sz w:val="24"/>
          <w14:textFill>
            <w14:solidFill>
              <w14:schemeClr w14:val="tx1"/>
            </w14:solidFill>
          </w14:textFill>
        </w:rPr>
        <w:t>.如乙方提供的研究意见等成果文件不符合本合同要求，必须在甲方提出要求后3天内无条件修改，其费用由乙方自行承担。修改期间，甲方付款时间相应顺延。</w:t>
      </w:r>
    </w:p>
    <w:p>
      <w:pPr>
        <w:pageBreakBefore w:val="0"/>
        <w:kinsoku/>
        <w:overflowPunct/>
        <w:topLinePunct w:val="0"/>
        <w:bidi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14</w:t>
      </w:r>
      <w:r>
        <w:rPr>
          <w:rFonts w:hint="eastAsia" w:ascii="宋体" w:hAnsi="宋体" w:eastAsia="宋体" w:cs="宋体"/>
          <w:color w:val="000000" w:themeColor="text1"/>
          <w:sz w:val="24"/>
          <w14:textFill>
            <w14:solidFill>
              <w14:schemeClr w14:val="tx1"/>
            </w14:solidFill>
          </w14:textFill>
        </w:rPr>
        <w:t>.未经甲方书面在先同意，乙方不得向任何第三方全部或部分转让本项目。</w:t>
      </w:r>
    </w:p>
    <w:p>
      <w:pPr>
        <w:pageBreakBefore w:val="0"/>
        <w:kinsoku/>
        <w:overflowPunct/>
        <w:topLinePunct w:val="0"/>
        <w:bidi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15</w:t>
      </w:r>
      <w:r>
        <w:rPr>
          <w:rFonts w:hint="eastAsia" w:ascii="宋体" w:hAnsi="宋体" w:eastAsia="宋体" w:cs="宋体"/>
          <w:color w:val="000000" w:themeColor="text1"/>
          <w:sz w:val="24"/>
          <w14:textFill>
            <w14:solidFill>
              <w14:schemeClr w14:val="tx1"/>
            </w14:solidFill>
          </w14:textFill>
        </w:rPr>
        <w:t>.乙方对其工作人员在合同履行期间的一切行为负责，期间发生的一切安全事故责任、其它人身损害及因此发生的人身损害赔偿和其他费用由乙方自行承担，与甲方无关。若因此导致甲方 支付赔偿及其他费用，乙方应全部偿还给甲方。</w:t>
      </w:r>
    </w:p>
    <w:p>
      <w:pPr>
        <w:pageBreakBefore w:val="0"/>
        <w:kinsoku/>
        <w:overflowPunct/>
        <w:topLinePunct w:val="0"/>
        <w:bidi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r>
        <w:rPr>
          <w:rFonts w:hint="eastAsia" w:ascii="宋体" w:hAnsi="宋体" w:eastAsia="宋体" w:cs="宋体"/>
          <w:color w:val="000000" w:themeColor="text1"/>
          <w:sz w:val="24"/>
          <w:lang w:val="en-US" w:eastAsia="zh-CN"/>
          <w14:textFill>
            <w14:solidFill>
              <w14:schemeClr w14:val="tx1"/>
            </w14:solidFill>
          </w14:textFill>
        </w:rPr>
        <w:t>6</w:t>
      </w:r>
      <w:r>
        <w:rPr>
          <w:rFonts w:hint="eastAsia" w:ascii="宋体" w:hAnsi="宋体" w:eastAsia="宋体" w:cs="宋体"/>
          <w:color w:val="000000" w:themeColor="text1"/>
          <w:sz w:val="24"/>
          <w14:textFill>
            <w14:solidFill>
              <w14:schemeClr w14:val="tx1"/>
            </w14:solidFill>
          </w14:textFill>
        </w:rPr>
        <w:t>.为保证项目成果的质量，乙方在合同履行期间，应按照服务内容要求组织专家队伍，成立专门的项目小组，并保障项目团队成员到位。乙方应保证本合同的主要核心成员在项目实施期间全程参与项目实质性工作。如确需更换项目团队成员，乙方应事先征得甲方的同意，且接替人员的职位、资历应与原定成员相当。</w:t>
      </w:r>
    </w:p>
    <w:p>
      <w:pPr>
        <w:pageBreakBefore w:val="0"/>
        <w:kinsoku/>
        <w:overflowPunct/>
        <w:topLinePunct w:val="0"/>
        <w:bidi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r>
        <w:rPr>
          <w:rFonts w:hint="eastAsia" w:ascii="宋体" w:hAnsi="宋体" w:eastAsia="宋体" w:cs="宋体"/>
          <w:color w:val="000000" w:themeColor="text1"/>
          <w:sz w:val="24"/>
          <w:lang w:val="en-US" w:eastAsia="zh-CN"/>
          <w14:textFill>
            <w14:solidFill>
              <w14:schemeClr w14:val="tx1"/>
            </w14:solidFill>
          </w14:textFill>
        </w:rPr>
        <w:t>7</w:t>
      </w:r>
      <w:r>
        <w:rPr>
          <w:rFonts w:hint="eastAsia" w:ascii="宋体" w:hAnsi="宋体" w:eastAsia="宋体" w:cs="宋体"/>
          <w:color w:val="000000" w:themeColor="text1"/>
          <w:sz w:val="24"/>
          <w14:textFill>
            <w14:solidFill>
              <w14:schemeClr w14:val="tx1"/>
            </w14:solidFill>
          </w14:textFill>
        </w:rPr>
        <w:t>.乙方有维护甲方声誉的义务，乙方不能以甲方名义从事与本项目无关的任何事务，否则甲方有权追究其相关责任。</w:t>
      </w:r>
    </w:p>
    <w:p>
      <w:pPr>
        <w:pageBreakBefore w:val="0"/>
        <w:kinsoku/>
        <w:overflowPunct/>
        <w:topLinePunct w:val="0"/>
        <w:bidi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r>
        <w:rPr>
          <w:rFonts w:hint="eastAsia" w:ascii="宋体" w:hAnsi="宋体" w:eastAsia="宋体" w:cs="宋体"/>
          <w:color w:val="000000" w:themeColor="text1"/>
          <w:sz w:val="24"/>
          <w:lang w:val="en-US" w:eastAsia="zh-CN"/>
          <w14:textFill>
            <w14:solidFill>
              <w14:schemeClr w14:val="tx1"/>
            </w14:solidFill>
          </w14:textFill>
        </w:rPr>
        <w:t>8</w:t>
      </w:r>
      <w:r>
        <w:rPr>
          <w:rFonts w:hint="eastAsia" w:ascii="宋体" w:hAnsi="宋体" w:eastAsia="宋体" w:cs="宋体"/>
          <w:color w:val="000000" w:themeColor="text1"/>
          <w:sz w:val="24"/>
          <w14:textFill>
            <w14:solidFill>
              <w14:schemeClr w14:val="tx1"/>
            </w14:solidFill>
          </w14:textFill>
        </w:rPr>
        <w:t>.本合同期满或提前解除、终止后，乙方应将甲方的档案资料、信息数据等交还甲方，并应销毁或删除所有备份。</w:t>
      </w:r>
    </w:p>
    <w:p>
      <w:pPr>
        <w:pageBreakBefore w:val="0"/>
        <w:kinsoku/>
        <w:overflowPunct/>
        <w:topLinePunct w:val="0"/>
        <w:bidi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r>
        <w:rPr>
          <w:rFonts w:hint="eastAsia" w:ascii="宋体" w:hAnsi="宋体" w:eastAsia="宋体" w:cs="宋体"/>
          <w:color w:val="000000" w:themeColor="text1"/>
          <w:sz w:val="24"/>
          <w:lang w:val="en-US" w:eastAsia="zh-CN"/>
          <w14:textFill>
            <w14:solidFill>
              <w14:schemeClr w14:val="tx1"/>
            </w14:solidFill>
          </w14:textFill>
        </w:rPr>
        <w:t>9</w:t>
      </w:r>
      <w:r>
        <w:rPr>
          <w:rFonts w:hint="eastAsia" w:ascii="宋体" w:hAnsi="宋体" w:eastAsia="宋体" w:cs="宋体"/>
          <w:color w:val="000000" w:themeColor="text1"/>
          <w:sz w:val="24"/>
          <w14:textFill>
            <w14:solidFill>
              <w14:schemeClr w14:val="tx1"/>
            </w14:solidFill>
          </w14:textFill>
        </w:rPr>
        <w:t>.乙方在完成本项目过程中，不得损害其他任何第三方的知识产权等合法权益，否则由此造成的相关责任应当由乙方自行承担，与甲方无关。</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20</w:t>
      </w:r>
      <w:r>
        <w:rPr>
          <w:rFonts w:hint="eastAsia" w:ascii="宋体" w:hAnsi="宋体" w:cs="宋体"/>
          <w:color w:val="000000" w:themeColor="text1"/>
          <w:sz w:val="24"/>
          <w14:textFill>
            <w14:solidFill>
              <w14:schemeClr w14:val="tx1"/>
            </w14:solidFill>
          </w14:textFill>
        </w:rPr>
        <w:t>.乙方指定项目联系人：</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姓名：</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联系方式：</w:t>
      </w:r>
    </w:p>
    <w:p>
      <w:pPr>
        <w:pageBreakBefore w:val="0"/>
        <w:kinsoku/>
        <w:overflowPunct/>
        <w:topLinePunct w:val="0"/>
        <w:bidi w:val="0"/>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w:t>
      </w:r>
      <w:r>
        <w:rPr>
          <w:rFonts w:hint="eastAsia" w:ascii="宋体" w:hAnsi="宋体" w:cs="宋体"/>
          <w:b/>
          <w:bCs/>
          <w:color w:val="000000" w:themeColor="text1"/>
          <w:sz w:val="24"/>
          <w:lang w:val="en-US" w:eastAsia="zh-CN"/>
          <w14:textFill>
            <w14:solidFill>
              <w14:schemeClr w14:val="tx1"/>
            </w14:solidFill>
          </w14:textFill>
        </w:rPr>
        <w:t>五</w:t>
      </w:r>
      <w:r>
        <w:rPr>
          <w:rFonts w:hint="eastAsia" w:ascii="宋体" w:hAnsi="宋体" w:cs="宋体"/>
          <w:b/>
          <w:bCs/>
          <w:color w:val="000000" w:themeColor="text1"/>
          <w:sz w:val="24"/>
          <w14:textFill>
            <w14:solidFill>
              <w14:schemeClr w14:val="tx1"/>
            </w14:solidFill>
          </w14:textFill>
        </w:rPr>
        <w:t>条  人员要求</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以下为本项目核心领导团队。</w:t>
      </w:r>
    </w:p>
    <w:tbl>
      <w:tblPr>
        <w:tblStyle w:val="15"/>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677"/>
        <w:gridCol w:w="677"/>
        <w:gridCol w:w="677"/>
        <w:gridCol w:w="1392"/>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1169"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姓名</w:t>
            </w:r>
          </w:p>
        </w:tc>
        <w:tc>
          <w:tcPr>
            <w:tcW w:w="677"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性别</w:t>
            </w:r>
          </w:p>
        </w:tc>
        <w:tc>
          <w:tcPr>
            <w:tcW w:w="677"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年龄</w:t>
            </w:r>
          </w:p>
        </w:tc>
        <w:tc>
          <w:tcPr>
            <w:tcW w:w="677"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学历</w:t>
            </w:r>
          </w:p>
        </w:tc>
        <w:tc>
          <w:tcPr>
            <w:tcW w:w="1392"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职称、职务</w:t>
            </w:r>
          </w:p>
        </w:tc>
        <w:tc>
          <w:tcPr>
            <w:tcW w:w="2909"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拟任</w:t>
            </w:r>
            <w:r>
              <w:rPr>
                <w:rFonts w:ascii="宋体" w:hAnsi="宋体" w:cs="宋体"/>
                <w:color w:val="000000" w:themeColor="text1"/>
                <w:sz w:val="24"/>
                <w14:textFill>
                  <w14:solidFill>
                    <w14:schemeClr w14:val="tx1"/>
                  </w14:solidFill>
                </w14:textFill>
              </w:rPr>
              <w:t>团队</w:t>
            </w:r>
            <w:r>
              <w:rPr>
                <w:rFonts w:hint="eastAsia" w:ascii="宋体" w:hAnsi="宋体" w:cs="宋体"/>
                <w:color w:val="000000" w:themeColor="text1"/>
                <w:sz w:val="24"/>
                <w14:textFill>
                  <w14:solidFill>
                    <w14:schemeClr w14:val="tx1"/>
                  </w14:solidFill>
                </w14:textFill>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169"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000000" w:themeColor="text1"/>
                <w:sz w:val="24"/>
                <w14:textFill>
                  <w14:solidFill>
                    <w14:schemeClr w14:val="tx1"/>
                  </w14:solidFill>
                </w14:textFill>
              </w:rPr>
            </w:pPr>
          </w:p>
        </w:tc>
        <w:tc>
          <w:tcPr>
            <w:tcW w:w="1392"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000000" w:themeColor="text1"/>
                <w:sz w:val="24"/>
                <w14:textFill>
                  <w14:solidFill>
                    <w14:schemeClr w14:val="tx1"/>
                  </w14:solidFill>
                </w14:textFill>
              </w:rPr>
            </w:pPr>
          </w:p>
        </w:tc>
        <w:tc>
          <w:tcPr>
            <w:tcW w:w="2909"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169"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000000" w:themeColor="text1"/>
                <w:sz w:val="24"/>
                <w14:textFill>
                  <w14:solidFill>
                    <w14:schemeClr w14:val="tx1"/>
                  </w14:solidFill>
                </w14:textFill>
              </w:rPr>
            </w:pPr>
          </w:p>
        </w:tc>
        <w:tc>
          <w:tcPr>
            <w:tcW w:w="1392"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000000" w:themeColor="text1"/>
                <w:sz w:val="24"/>
                <w14:textFill>
                  <w14:solidFill>
                    <w14:schemeClr w14:val="tx1"/>
                  </w14:solidFill>
                </w14:textFill>
              </w:rPr>
            </w:pPr>
          </w:p>
        </w:tc>
        <w:tc>
          <w:tcPr>
            <w:tcW w:w="2909"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000000" w:themeColor="text1"/>
                <w:sz w:val="24"/>
                <w14:textFill>
                  <w14:solidFill>
                    <w14:schemeClr w14:val="tx1"/>
                  </w14:solidFill>
                </w14:textFill>
              </w:rPr>
            </w:pPr>
          </w:p>
        </w:tc>
      </w:tr>
    </w:tbl>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参加本项目编制的人员必须具有国家和有关部门规定的相应资质。</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参加本项目编制的人员配置必须与合同中的项目成员组成一致，若需调整需经甲方</w:t>
      </w:r>
      <w:r>
        <w:rPr>
          <w:rFonts w:ascii="宋体" w:hAnsi="宋体" w:cs="宋体"/>
          <w:color w:val="000000" w:themeColor="text1"/>
          <w:sz w:val="24"/>
          <w14:textFill>
            <w14:solidFill>
              <w14:schemeClr w14:val="tx1"/>
            </w14:solidFill>
          </w14:textFill>
        </w:rPr>
        <w:t>书面</w:t>
      </w:r>
      <w:r>
        <w:rPr>
          <w:rFonts w:hint="eastAsia" w:ascii="宋体" w:hAnsi="宋体" w:cs="宋体"/>
          <w:color w:val="000000" w:themeColor="text1"/>
          <w:sz w:val="24"/>
          <w14:textFill>
            <w14:solidFill>
              <w14:schemeClr w14:val="tx1"/>
            </w14:solidFill>
          </w14:textFill>
        </w:rPr>
        <w:t>同意后，方可变更。</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必须以乙方直属人员</w:t>
      </w:r>
      <w:r>
        <w:rPr>
          <w:rFonts w:ascii="宋体" w:hAnsi="宋体" w:cs="宋体"/>
          <w:color w:val="000000" w:themeColor="text1"/>
          <w:sz w:val="24"/>
          <w14:textFill>
            <w14:solidFill>
              <w14:schemeClr w14:val="tx1"/>
            </w14:solidFill>
          </w14:textFill>
        </w:rPr>
        <w:t>（直属人员指</w:t>
      </w:r>
      <w:r>
        <w:rPr>
          <w:rFonts w:hint="eastAsia" w:ascii="宋体" w:hAnsi="宋体" w:cs="宋体"/>
          <w:color w:val="000000" w:themeColor="text1"/>
          <w:sz w:val="24"/>
          <w14:textFill>
            <w14:solidFill>
              <w14:schemeClr w14:val="tx1"/>
            </w14:solidFill>
          </w14:textFill>
        </w:rPr>
        <w:t>劳动合同、社会保险等劳动关系</w:t>
      </w:r>
      <w:r>
        <w:rPr>
          <w:rFonts w:ascii="宋体" w:hAnsi="宋体" w:cs="宋体"/>
          <w:color w:val="000000" w:themeColor="text1"/>
          <w:sz w:val="24"/>
          <w14:textFill>
            <w14:solidFill>
              <w14:schemeClr w14:val="tx1"/>
            </w14:solidFill>
          </w14:textFill>
        </w:rPr>
        <w:t>在乙方的人员）</w:t>
      </w:r>
      <w:r>
        <w:rPr>
          <w:rFonts w:hint="eastAsia" w:ascii="宋体" w:hAnsi="宋体" w:cs="宋体"/>
          <w:color w:val="000000" w:themeColor="text1"/>
          <w:sz w:val="24"/>
          <w14:textFill>
            <w14:solidFill>
              <w14:schemeClr w14:val="tx1"/>
            </w14:solidFill>
          </w14:textFill>
        </w:rPr>
        <w:t>参与本项目服务，不得使用挂靠队伍。</w:t>
      </w:r>
    </w:p>
    <w:p>
      <w:pPr>
        <w:pageBreakBefore w:val="0"/>
        <w:kinsoku/>
        <w:overflowPunct/>
        <w:topLinePunct w:val="0"/>
        <w:bidi w:val="0"/>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w:t>
      </w:r>
      <w:r>
        <w:rPr>
          <w:rFonts w:hint="eastAsia" w:ascii="宋体" w:hAnsi="宋体" w:cs="宋体"/>
          <w:b/>
          <w:bCs/>
          <w:color w:val="000000" w:themeColor="text1"/>
          <w:sz w:val="24"/>
          <w:lang w:val="en-US" w:eastAsia="zh-CN"/>
          <w14:textFill>
            <w14:solidFill>
              <w14:schemeClr w14:val="tx1"/>
            </w14:solidFill>
          </w14:textFill>
        </w:rPr>
        <w:t>六</w:t>
      </w:r>
      <w:r>
        <w:rPr>
          <w:rFonts w:hint="eastAsia" w:ascii="宋体" w:hAnsi="宋体" w:cs="宋体"/>
          <w:b/>
          <w:bCs/>
          <w:color w:val="000000" w:themeColor="text1"/>
          <w:sz w:val="24"/>
          <w14:textFill>
            <w14:solidFill>
              <w14:schemeClr w14:val="tx1"/>
            </w14:solidFill>
          </w14:textFill>
        </w:rPr>
        <w:t>条 成果权属与知识产权</w:t>
      </w:r>
    </w:p>
    <w:p>
      <w:pPr>
        <w:pageBreakBefore w:val="0"/>
        <w:widowControl/>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1.本项目最终成果（包括为后续服务范围所编制的文件）的所有权、知识产权以及与之相关的所有权利归甲方所有；本合同签署前甲乙双方已经拥有的知识产权权利，仍归各自所有。</w:t>
      </w:r>
    </w:p>
    <w:p>
      <w:pPr>
        <w:pageBreakBefore w:val="0"/>
        <w:widowControl/>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2.双方确定，甲方有权对乙方按照本合同约定提供的成果进行后续改进。由此产生的具有实质性或创造性特征的新的技术成果及其权利全部由甲方享有。</w:t>
      </w:r>
    </w:p>
    <w:p>
      <w:pPr>
        <w:pageBreakBefore w:val="0"/>
        <w:widowControl/>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乙方所提交的最终成果文件及任何数据、资料、软件等不得侵犯任何第三方的知识产权或其他权利，由于该等文件、数据、资料、软件侵权所导致的任何索赔或责任均由乙方承担。同时，甲方有权要求乙方修改成果至不侵权或解除合同，并保留要求乙方赔偿全部损失的权利，包括但不限于上述索赔或责任所产生的诉讼费用、合理的律师费用、鉴定评估费用、 调查费用、和解金额或生效法律文书中规定的赔偿金额。</w:t>
      </w:r>
    </w:p>
    <w:p>
      <w:pPr>
        <w:pageBreakBefore w:val="0"/>
        <w:widowControl/>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4.未经甲方书面在先同意，乙方不得将本项目的最终成果文件及任何数据、资料、软件向任何第三方转让、授权任何第三方使用或用于本合同项目外的其他项目。如发生以上情况，乙方应向甲方支付本合同总价款 20%的违约金，同时，甲方保留要求乙方赔偿全部损失的权利，包括但不限于上述索赔或责任所产生的诉讼费用、合理的律师费用、鉴定评估费用、调查费用、和解金额或生效法律文书中规定的赔偿金额。</w:t>
      </w:r>
    </w:p>
    <w:p>
      <w:pPr>
        <w:pageBreakBefore w:val="0"/>
        <w:widowControl/>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5.乙方完成本项目的研究人员享有在有关技术成果文件上署名的权利和与甲方共同获得有关荣誉证书、奖励的权利。</w:t>
      </w:r>
    </w:p>
    <w:p>
      <w:pPr>
        <w:pageBreakBefore w:val="0"/>
        <w:kinsoku/>
        <w:overflowPunct/>
        <w:topLinePunct w:val="0"/>
        <w:bidi w:val="0"/>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w:t>
      </w:r>
      <w:r>
        <w:rPr>
          <w:rFonts w:hint="eastAsia" w:ascii="宋体" w:hAnsi="宋体" w:cs="宋体"/>
          <w:b/>
          <w:bCs/>
          <w:color w:val="000000" w:themeColor="text1"/>
          <w:sz w:val="24"/>
          <w:lang w:val="en-US" w:eastAsia="zh-CN"/>
          <w14:textFill>
            <w14:solidFill>
              <w14:schemeClr w14:val="tx1"/>
            </w14:solidFill>
          </w14:textFill>
        </w:rPr>
        <w:t>七</w:t>
      </w:r>
      <w:r>
        <w:rPr>
          <w:rFonts w:hint="eastAsia" w:ascii="宋体" w:hAnsi="宋体" w:cs="宋体"/>
          <w:b/>
          <w:bCs/>
          <w:color w:val="000000" w:themeColor="text1"/>
          <w:sz w:val="24"/>
          <w14:textFill>
            <w14:solidFill>
              <w14:schemeClr w14:val="tx1"/>
            </w14:solidFill>
          </w14:textFill>
        </w:rPr>
        <w:t>条  保密条款</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合同项下的义务，且只能由相关的技术人员使用。</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2.乙方应以保密方式处理在编制本项目成果文件过程中自甲方、甲方工作人员或甲方关联机 构获得的相关信息、资料、图纸、数据等，或由甲方在履行合同过程中明确指明为秘密的任何信 息，以及乙方因本项目工作内容所直接或间接取得、处理或接触的任何其他资料。未经甲方书面 在先同意，乙方不得向任何第三方透露与本项目有关的内容，或公开本项目的阶段性成果或最终 成果内容。即使向与履行合同有关的人员提供前述保密信息，也应限于履行合同的必需范围，且 这些人员应接受至少与本条款同等严格的保密条款的约束。</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3.乙方实施项目的程序应符合国家安全、保密的有关规定和标准。</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4.上述保密义务不适用以下情况：</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1）获取的信息已被合法公开；</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2）获得信息拥有方书面许可并在该许可范围内披露；</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3）国家法律、法规规定的情形。</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5.如乙方违反上述保密条款，甲方有权解除合同，乙方应在合同解除通知发出之日起 10 日内向甲方支付合同服务费总金额 20%的违约金，如果违约金无法弥补甲方损失，甲方保留要求乙方赔偿全部损失的权利，包括但不限于上述索赔或责任所产生的诉讼费用、合理的律师费用、鉴定评估费用、 调查费用、和解金额或生效法律文书中规定的赔偿金额。</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6.无论合同或合同其他条款是否有效，本保密条款始终约束双方。国家秘密的保密期限由国 家有关部门确定，工作秘密的保密期限由甲方确定。</w:t>
      </w:r>
    </w:p>
    <w:p>
      <w:pPr>
        <w:pageBreakBefore w:val="0"/>
        <w:kinsoku/>
        <w:overflowPunct/>
        <w:topLinePunct w:val="0"/>
        <w:bidi w:val="0"/>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w:t>
      </w:r>
      <w:r>
        <w:rPr>
          <w:rFonts w:hint="eastAsia" w:ascii="宋体" w:hAnsi="宋体" w:cs="宋体"/>
          <w:b/>
          <w:bCs/>
          <w:color w:val="000000" w:themeColor="text1"/>
          <w:sz w:val="24"/>
          <w:lang w:val="en-US" w:eastAsia="zh-CN"/>
          <w14:textFill>
            <w14:solidFill>
              <w14:schemeClr w14:val="tx1"/>
            </w14:solidFill>
          </w14:textFill>
        </w:rPr>
        <w:t>八</w:t>
      </w:r>
      <w:r>
        <w:rPr>
          <w:rFonts w:hint="eastAsia" w:ascii="宋体" w:hAnsi="宋体" w:cs="宋体"/>
          <w:b/>
          <w:bCs/>
          <w:color w:val="000000" w:themeColor="text1"/>
          <w:sz w:val="24"/>
          <w14:textFill>
            <w14:solidFill>
              <w14:schemeClr w14:val="tx1"/>
            </w14:solidFill>
          </w14:textFill>
        </w:rPr>
        <w:t>条  工作计划安排</w:t>
      </w:r>
    </w:p>
    <w:p>
      <w:pPr>
        <w:pageBreakBefore w:val="0"/>
        <w:numPr>
          <w:ilvl w:val="0"/>
          <w:numId w:val="0"/>
        </w:numPr>
        <w:kinsoku/>
        <w:overflowPunct/>
        <w:topLinePunct w:val="0"/>
        <w:bidi w:val="0"/>
        <w:spacing w:line="360" w:lineRule="auto"/>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本项目计划工作时间为自合同签订之日至2025年底内完成该项目相关成果的编制、汇报等工作，并经</w:t>
      </w:r>
      <w:r>
        <w:rPr>
          <w:rFonts w:hint="eastAsia" w:ascii="宋体" w:hAnsi="宋体" w:cs="宋体"/>
          <w:color w:val="000000" w:themeColor="text1"/>
          <w:sz w:val="24"/>
          <w:lang w:val="en-US" w:eastAsia="zh-CN"/>
          <w14:textFill>
            <w14:solidFill>
              <w14:schemeClr w14:val="tx1"/>
            </w14:solidFill>
          </w14:textFill>
        </w:rPr>
        <w:t>甲方</w:t>
      </w:r>
      <w:r>
        <w:rPr>
          <w:rFonts w:hint="eastAsia" w:ascii="宋体" w:hAnsi="宋体" w:eastAsia="宋体" w:cs="宋体"/>
          <w:color w:val="000000" w:themeColor="text1"/>
          <w:sz w:val="24"/>
          <w:lang w:val="en-US" w:eastAsia="zh-CN"/>
          <w14:textFill>
            <w14:solidFill>
              <w14:schemeClr w14:val="tx1"/>
            </w14:solidFill>
          </w14:textFill>
        </w:rPr>
        <w:t>审议通过。具体工作划分为3个阶段：</w:t>
      </w:r>
    </w:p>
    <w:p>
      <w:pPr>
        <w:pageBreakBefore w:val="0"/>
        <w:numPr>
          <w:ilvl w:val="0"/>
          <w:numId w:val="0"/>
        </w:numPr>
        <w:kinsoku/>
        <w:overflowPunct/>
        <w:topLinePunct w:val="0"/>
        <w:bidi w:val="0"/>
        <w:spacing w:line="360" w:lineRule="auto"/>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1.第一阶段：自合同签订日起两个月内，完成现状调研，解读上位规划，</w:t>
      </w:r>
      <w:r>
        <w:rPr>
          <w:rFonts w:hint="eastAsia" w:ascii="宋体" w:hAnsi="宋体" w:cs="宋体"/>
          <w:color w:val="000000" w:themeColor="text1"/>
          <w:sz w:val="24"/>
          <w:lang w:val="en-US" w:eastAsia="zh-CN"/>
          <w14:textFill>
            <w14:solidFill>
              <w14:schemeClr w14:val="tx1"/>
            </w14:solidFill>
          </w14:textFill>
        </w:rPr>
        <w:t>编制规划设计方案，</w:t>
      </w:r>
      <w:r>
        <w:rPr>
          <w:rFonts w:hint="eastAsia" w:ascii="宋体" w:hAnsi="宋体" w:eastAsia="宋体" w:cs="宋体"/>
          <w:color w:val="000000" w:themeColor="text1"/>
          <w:sz w:val="24"/>
          <w:lang w:val="en-US" w:eastAsia="zh-CN"/>
          <w14:textFill>
            <w14:solidFill>
              <w14:schemeClr w14:val="tx1"/>
            </w14:solidFill>
          </w14:textFill>
        </w:rPr>
        <w:t>完成《前海城市第六立面提升规划设计研究报告（暂定名）》，包括但不限于《前海中集国际商务中心提升片区总体设计方案》。</w:t>
      </w:r>
    </w:p>
    <w:p>
      <w:pPr>
        <w:pageBreakBefore w:val="0"/>
        <w:numPr>
          <w:ilvl w:val="0"/>
          <w:numId w:val="0"/>
        </w:numPr>
        <w:kinsoku/>
        <w:overflowPunct/>
        <w:topLinePunct w:val="0"/>
        <w:bidi w:val="0"/>
        <w:spacing w:line="360" w:lineRule="auto"/>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2.第二阶段：2024年12月31日前，完成《2024年度前海合作区城市第六立面提升实施情况技术总结报告（暂定名）》及2024年度相关技术咨询意见文件等，并提交成果文件；</w:t>
      </w:r>
    </w:p>
    <w:p>
      <w:pPr>
        <w:pageBreakBefore w:val="0"/>
        <w:numPr>
          <w:ilvl w:val="0"/>
          <w:numId w:val="0"/>
        </w:numPr>
        <w:kinsoku/>
        <w:overflowPunct/>
        <w:topLinePunct w:val="0"/>
        <w:bidi w:val="0"/>
        <w:spacing w:line="360" w:lineRule="auto"/>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3.第三阶段：2025年12月31日前，完成《2025年度前海合作区城市第六立面提升实施情况技术总结报告（暂定名）》及2025年度相关技术咨询意见文件、宣传</w:t>
      </w:r>
      <w:r>
        <w:rPr>
          <w:rFonts w:hint="eastAsia" w:ascii="宋体" w:hAnsi="宋体" w:cs="宋体"/>
          <w:color w:val="000000" w:themeColor="text1"/>
          <w:sz w:val="24"/>
          <w:lang w:val="en-US" w:eastAsia="zh-CN"/>
          <w14:textFill>
            <w14:solidFill>
              <w14:schemeClr w14:val="tx1"/>
            </w14:solidFill>
          </w14:textFill>
        </w:rPr>
        <w:t>材料（包括但不限于</w:t>
      </w:r>
      <w:r>
        <w:rPr>
          <w:rFonts w:hint="eastAsia" w:ascii="宋体" w:hAnsi="宋体" w:eastAsia="宋体" w:cs="宋体"/>
          <w:color w:val="000000" w:themeColor="text1"/>
          <w:sz w:val="24"/>
          <w:lang w:val="en-US" w:eastAsia="zh-CN"/>
          <w14:textFill>
            <w14:solidFill>
              <w14:schemeClr w14:val="tx1"/>
            </w14:solidFill>
          </w14:textFill>
        </w:rPr>
        <w:t>视频</w:t>
      </w:r>
      <w:r>
        <w:rPr>
          <w:rFonts w:hint="eastAsia" w:ascii="宋体" w:hAnsi="宋体" w:cs="宋体"/>
          <w:color w:val="000000" w:themeColor="text1"/>
          <w:sz w:val="24"/>
          <w:lang w:val="en-US" w:eastAsia="zh-CN"/>
          <w14:textFill>
            <w14:solidFill>
              <w14:schemeClr w14:val="tx1"/>
            </w14:solidFill>
          </w14:textFill>
        </w:rPr>
        <w:t>、照片、文字）</w:t>
      </w:r>
      <w:r>
        <w:rPr>
          <w:rFonts w:hint="eastAsia" w:ascii="宋体" w:hAnsi="宋体" w:eastAsia="宋体" w:cs="宋体"/>
          <w:color w:val="000000" w:themeColor="text1"/>
          <w:sz w:val="24"/>
          <w:lang w:val="en-US" w:eastAsia="zh-CN"/>
          <w14:textFill>
            <w14:solidFill>
              <w14:schemeClr w14:val="tx1"/>
            </w14:solidFill>
          </w14:textFill>
        </w:rPr>
        <w:t>等及全部工作内容成果，提交全部成果电子文件，包括电子光盘2份，纸质文件2份。</w:t>
      </w:r>
    </w:p>
    <w:p>
      <w:pPr>
        <w:pageBreakBefore w:val="0"/>
        <w:kinsoku/>
        <w:overflowPunct/>
        <w:topLinePunct w:val="0"/>
        <w:bidi w:val="0"/>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w:t>
      </w:r>
      <w:r>
        <w:rPr>
          <w:rFonts w:hint="eastAsia" w:ascii="宋体" w:hAnsi="宋体" w:cs="宋体"/>
          <w:b/>
          <w:bCs/>
          <w:color w:val="000000" w:themeColor="text1"/>
          <w:sz w:val="24"/>
          <w:lang w:val="en-US" w:eastAsia="zh-CN"/>
          <w14:textFill>
            <w14:solidFill>
              <w14:schemeClr w14:val="tx1"/>
            </w14:solidFill>
          </w14:textFill>
        </w:rPr>
        <w:t>九</w:t>
      </w:r>
      <w:r>
        <w:rPr>
          <w:rFonts w:hint="eastAsia" w:ascii="宋体" w:hAnsi="宋体" w:cs="宋体"/>
          <w:b/>
          <w:bCs/>
          <w:color w:val="000000" w:themeColor="text1"/>
          <w:sz w:val="24"/>
          <w14:textFill>
            <w14:solidFill>
              <w14:schemeClr w14:val="tx1"/>
            </w14:solidFill>
          </w14:textFill>
        </w:rPr>
        <w:t>条</w:t>
      </w:r>
      <w:r>
        <w:rPr>
          <w:rFonts w:hint="eastAsia" w:ascii="宋体" w:hAnsi="宋体" w:cs="宋体"/>
          <w:b/>
          <w:bCs/>
          <w:color w:val="000000" w:themeColor="text1"/>
          <w:sz w:val="24"/>
          <w:lang w:val="en-US" w:eastAsia="zh-CN"/>
          <w14:textFill>
            <w14:solidFill>
              <w14:schemeClr w14:val="tx1"/>
            </w14:solidFill>
          </w14:textFill>
        </w:rPr>
        <w:t xml:space="preserve">  </w:t>
      </w:r>
      <w:r>
        <w:rPr>
          <w:rFonts w:hint="eastAsia" w:ascii="宋体" w:hAnsi="宋体" w:cs="宋体"/>
          <w:b/>
          <w:bCs/>
          <w:color w:val="000000" w:themeColor="text1"/>
          <w:sz w:val="24"/>
          <w14:textFill>
            <w14:solidFill>
              <w14:schemeClr w14:val="tx1"/>
            </w14:solidFill>
          </w14:textFill>
        </w:rPr>
        <w:t>项目服务费用及付款方式</w:t>
      </w:r>
    </w:p>
    <w:p>
      <w:pPr>
        <w:pageBreakBefore w:val="0"/>
        <w:numPr>
          <w:ilvl w:val="0"/>
          <w:numId w:val="0"/>
        </w:numPr>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 xml:space="preserve">合同价款：合同总价为 </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14:textFill>
            <w14:solidFill>
              <w14:schemeClr w14:val="tx1"/>
            </w14:solidFill>
          </w14:textFill>
        </w:rPr>
        <w:t xml:space="preserve"> （含税）。包括</w:t>
      </w:r>
      <w:r>
        <w:rPr>
          <w:rFonts w:hint="eastAsia" w:ascii="宋体" w:hAnsi="宋体" w:cs="宋体"/>
          <w:color w:val="000000" w:themeColor="text1"/>
          <w:sz w:val="24"/>
          <w:lang w:val="en-US" w:eastAsia="zh-CN"/>
          <w14:textFill>
            <w14:solidFill>
              <w14:schemeClr w14:val="tx1"/>
            </w14:solidFill>
          </w14:textFill>
        </w:rPr>
        <w:t>但不限于：工程测量、调查调研、差旅费、项目成果报告编制、印刷费、专家咨询费以及会议费等所有费用，并提供合同要求的报告、全部规划研究成果文件和全部资料，以及其它相关服务的全部费用</w:t>
      </w:r>
      <w:r>
        <w:rPr>
          <w:rFonts w:hint="eastAsia" w:ascii="宋体" w:hAnsi="宋体" w:cs="宋体"/>
          <w:color w:val="000000" w:themeColor="text1"/>
          <w:sz w:val="24"/>
          <w:u w:val="none"/>
          <w14:textFill>
            <w14:solidFill>
              <w14:schemeClr w14:val="tx1"/>
            </w14:solidFill>
          </w14:textFill>
        </w:rPr>
        <w:t>。</w:t>
      </w:r>
    </w:p>
    <w:p>
      <w:pPr>
        <w:pStyle w:val="2"/>
        <w:pageBreakBefore w:val="0"/>
        <w:kinsoku/>
        <w:overflowPunct/>
        <w:topLinePunct w:val="0"/>
        <w:bidi w:val="0"/>
        <w:spacing w:after="0"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本合同共分四期进行付款：首期款30%，第二期款</w:t>
      </w:r>
      <w:r>
        <w:rPr>
          <w:rFonts w:hint="default" w:ascii="宋体" w:hAnsi="宋体" w:cs="宋体"/>
          <w:color w:val="000000" w:themeColor="text1"/>
          <w:sz w:val="24"/>
          <w:lang w:val="en-US"/>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0%，第三期款</w:t>
      </w:r>
      <w:r>
        <w:rPr>
          <w:rFonts w:hint="default" w:ascii="宋体" w:hAnsi="宋体" w:cs="宋体"/>
          <w:color w:val="000000" w:themeColor="text1"/>
          <w:sz w:val="24"/>
          <w:lang w:val="en-US"/>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0%，第四期</w:t>
      </w:r>
      <w:r>
        <w:rPr>
          <w:rFonts w:hint="default" w:ascii="宋体" w:hAnsi="宋体" w:cs="宋体"/>
          <w:color w:val="000000" w:themeColor="text1"/>
          <w:sz w:val="24"/>
          <w:lang w:val="en-US"/>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0%:</w:t>
      </w:r>
    </w:p>
    <w:p>
      <w:pPr>
        <w:pStyle w:val="2"/>
        <w:pageBreakBefore w:val="0"/>
        <w:kinsoku/>
        <w:overflowPunct/>
        <w:topLinePunct w:val="0"/>
        <w:bidi w:val="0"/>
        <w:spacing w:after="0"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（1）第一期：签订合同15个工作日内，支付合同总价款的30%</w:t>
      </w:r>
      <w:r>
        <w:rPr>
          <w:rFonts w:ascii="宋体" w:hAnsi="宋体" w:cs="宋体"/>
          <w:color w:val="000000" w:themeColor="text1"/>
          <w:sz w:val="24"/>
          <w14:textFill>
            <w14:solidFill>
              <w14:schemeClr w14:val="tx1"/>
            </w14:solidFill>
          </w14:textFill>
        </w:rPr>
        <w:t>，即人民币</w:t>
      </w:r>
      <w:r>
        <w:rPr>
          <w:rFonts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整（</w:t>
      </w:r>
      <w:r>
        <w:rPr>
          <w:rFonts w:hint="eastAsia" w:ascii="宋体" w:hAnsi="宋体" w:cs="宋体"/>
          <w:color w:val="000000" w:themeColor="text1"/>
          <w:sz w:val="24"/>
          <w14:textFill>
            <w14:solidFill>
              <w14:schemeClr w14:val="tx1"/>
            </w14:solidFill>
          </w14:textFill>
        </w:rPr>
        <w:t>¥  元</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p>
    <w:p>
      <w:pPr>
        <w:pStyle w:val="2"/>
        <w:pageBreakBefore w:val="0"/>
        <w:kinsoku/>
        <w:overflowPunct/>
        <w:topLinePunct w:val="0"/>
        <w:bidi w:val="0"/>
        <w:spacing w:after="0"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（2）第二期：完成《前海城市第六立面提升规划设计研究报告（暂定名）》，经专家评审并通过</w:t>
      </w:r>
      <w:r>
        <w:rPr>
          <w:rFonts w:hint="eastAsia" w:ascii="宋体" w:hAnsi="宋体" w:cs="宋体"/>
          <w:color w:val="000000" w:themeColor="text1"/>
          <w:sz w:val="24"/>
          <w:lang w:val="en-US" w:eastAsia="zh-CN"/>
          <w14:textFill>
            <w14:solidFill>
              <w14:schemeClr w14:val="tx1"/>
            </w14:solidFill>
          </w14:textFill>
        </w:rPr>
        <w:t>甲方</w:t>
      </w:r>
      <w:r>
        <w:rPr>
          <w:rFonts w:hint="eastAsia" w:ascii="宋体" w:hAnsi="宋体" w:cs="宋体"/>
          <w:color w:val="000000" w:themeColor="text1"/>
          <w:sz w:val="24"/>
          <w14:textFill>
            <w14:solidFill>
              <w14:schemeClr w14:val="tx1"/>
            </w14:solidFill>
          </w14:textFill>
        </w:rPr>
        <w:t>验收合格后，支付合同总价款的</w:t>
      </w:r>
      <w:r>
        <w:rPr>
          <w:rFonts w:hint="default" w:ascii="宋体" w:hAnsi="宋体" w:cs="宋体"/>
          <w:color w:val="000000" w:themeColor="text1"/>
          <w:sz w:val="24"/>
          <w:lang w:val="en-US"/>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0%</w:t>
      </w:r>
      <w:r>
        <w:rPr>
          <w:rFonts w:ascii="宋体" w:hAnsi="宋体" w:cs="宋体"/>
          <w:color w:val="000000" w:themeColor="text1"/>
          <w:sz w:val="24"/>
          <w14:textFill>
            <w14:solidFill>
              <w14:schemeClr w14:val="tx1"/>
            </w14:solidFill>
          </w14:textFill>
        </w:rPr>
        <w:t>，即人民币</w:t>
      </w:r>
      <w:r>
        <w:rPr>
          <w:rFonts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整（</w:t>
      </w:r>
      <w:r>
        <w:rPr>
          <w:rFonts w:hint="eastAsia" w:ascii="宋体" w:hAnsi="宋体" w:cs="宋体"/>
          <w:color w:val="000000" w:themeColor="text1"/>
          <w:sz w:val="24"/>
          <w14:textFill>
            <w14:solidFill>
              <w14:schemeClr w14:val="tx1"/>
            </w14:solidFill>
          </w14:textFill>
        </w:rPr>
        <w:t>¥  元</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p>
    <w:p>
      <w:pPr>
        <w:pStyle w:val="2"/>
        <w:pageBreakBefore w:val="0"/>
        <w:kinsoku/>
        <w:overflowPunct/>
        <w:topLinePunct w:val="0"/>
        <w:bidi w:val="0"/>
        <w:spacing w:after="0"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（3）第三期：完成《2024年度前海合作区城市第六立面提升实施情况技术总结报告（暂定名）》及2024年度相关技术咨询意见文件，并通过</w:t>
      </w:r>
      <w:r>
        <w:rPr>
          <w:rFonts w:hint="eastAsia" w:ascii="宋体" w:hAnsi="宋体" w:cs="宋体"/>
          <w:color w:val="000000" w:themeColor="text1"/>
          <w:sz w:val="24"/>
          <w:lang w:val="en-US" w:eastAsia="zh-CN"/>
          <w14:textFill>
            <w14:solidFill>
              <w14:schemeClr w14:val="tx1"/>
            </w14:solidFill>
          </w14:textFill>
        </w:rPr>
        <w:t>甲方</w:t>
      </w:r>
      <w:r>
        <w:rPr>
          <w:rFonts w:hint="eastAsia" w:ascii="宋体" w:hAnsi="宋体" w:cs="宋体"/>
          <w:color w:val="000000" w:themeColor="text1"/>
          <w:sz w:val="24"/>
          <w14:textFill>
            <w14:solidFill>
              <w14:schemeClr w14:val="tx1"/>
            </w14:solidFill>
          </w14:textFill>
        </w:rPr>
        <w:t>验收合格后，支付合同总价款的</w:t>
      </w:r>
      <w:r>
        <w:rPr>
          <w:rFonts w:hint="default" w:ascii="宋体" w:hAnsi="宋体" w:cs="宋体"/>
          <w:color w:val="000000" w:themeColor="text1"/>
          <w:sz w:val="24"/>
          <w:lang w:val="en-US"/>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0%</w:t>
      </w:r>
      <w:r>
        <w:rPr>
          <w:rFonts w:ascii="宋体" w:hAnsi="宋体" w:cs="宋体"/>
          <w:color w:val="000000" w:themeColor="text1"/>
          <w:sz w:val="24"/>
          <w14:textFill>
            <w14:solidFill>
              <w14:schemeClr w14:val="tx1"/>
            </w14:solidFill>
          </w14:textFill>
        </w:rPr>
        <w:t>，即人民币</w:t>
      </w:r>
      <w:r>
        <w:rPr>
          <w:rFonts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整（</w:t>
      </w:r>
      <w:r>
        <w:rPr>
          <w:rFonts w:hint="eastAsia" w:ascii="宋体" w:hAnsi="宋体" w:cs="宋体"/>
          <w:color w:val="000000" w:themeColor="text1"/>
          <w:sz w:val="24"/>
          <w14:textFill>
            <w14:solidFill>
              <w14:schemeClr w14:val="tx1"/>
            </w14:solidFill>
          </w14:textFill>
        </w:rPr>
        <w:t>¥  元</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p>
    <w:p>
      <w:pPr>
        <w:pStyle w:val="2"/>
        <w:pageBreakBefore w:val="0"/>
        <w:kinsoku/>
        <w:overflowPunct/>
        <w:topLinePunct w:val="0"/>
        <w:bidi w:val="0"/>
        <w:spacing w:after="0" w:line="360" w:lineRule="auto"/>
        <w:ind w:firstLine="480" w:firstLineChars="200"/>
        <w:rPr>
          <w:rFonts w:hint="eastAsia"/>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（4）第四期：完成全部工作内容并提交全部成果电子文件，并通过</w:t>
      </w:r>
      <w:r>
        <w:rPr>
          <w:rFonts w:hint="eastAsia" w:ascii="宋体" w:hAnsi="宋体" w:cs="宋体"/>
          <w:color w:val="000000" w:themeColor="text1"/>
          <w:sz w:val="24"/>
          <w:lang w:val="en-US" w:eastAsia="zh-CN"/>
          <w14:textFill>
            <w14:solidFill>
              <w14:schemeClr w14:val="tx1"/>
            </w14:solidFill>
          </w14:textFill>
        </w:rPr>
        <w:t>甲方</w:t>
      </w:r>
      <w:r>
        <w:rPr>
          <w:rFonts w:hint="eastAsia" w:ascii="宋体" w:hAnsi="宋体" w:cs="宋体"/>
          <w:color w:val="000000" w:themeColor="text1"/>
          <w:sz w:val="24"/>
          <w14:textFill>
            <w14:solidFill>
              <w14:schemeClr w14:val="tx1"/>
            </w14:solidFill>
          </w14:textFill>
        </w:rPr>
        <w:t>验收合格后，支付合同总价款的</w:t>
      </w:r>
      <w:r>
        <w:rPr>
          <w:rFonts w:hint="default" w:ascii="宋体" w:hAnsi="宋体" w:cs="宋体"/>
          <w:color w:val="000000" w:themeColor="text1"/>
          <w:sz w:val="24"/>
          <w:lang w:val="en-US"/>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0%</w:t>
      </w:r>
      <w:r>
        <w:rPr>
          <w:rFonts w:ascii="宋体" w:hAnsi="宋体" w:cs="宋体"/>
          <w:color w:val="000000" w:themeColor="text1"/>
          <w:sz w:val="24"/>
          <w14:textFill>
            <w14:solidFill>
              <w14:schemeClr w14:val="tx1"/>
            </w14:solidFill>
          </w14:textFill>
        </w:rPr>
        <w:t>，即人民币</w:t>
      </w:r>
      <w:r>
        <w:rPr>
          <w:rFonts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整（</w:t>
      </w:r>
      <w:r>
        <w:rPr>
          <w:rFonts w:hint="eastAsia" w:ascii="宋体" w:hAnsi="宋体" w:cs="宋体"/>
          <w:color w:val="000000" w:themeColor="text1"/>
          <w:sz w:val="24"/>
          <w14:textFill>
            <w14:solidFill>
              <w14:schemeClr w14:val="tx1"/>
            </w14:solidFill>
          </w14:textFill>
        </w:rPr>
        <w:t>¥  元</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p>
    <w:p>
      <w:pPr>
        <w:pStyle w:val="2"/>
        <w:pageBreakBefore w:val="0"/>
        <w:kinsoku/>
        <w:overflowPunct/>
        <w:topLinePunct w:val="0"/>
        <w:bidi w:val="0"/>
        <w:spacing w:after="0"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2.2.</w:t>
      </w:r>
      <w:r>
        <w:rPr>
          <w:rFonts w:hint="eastAsia" w:ascii="宋体" w:hAnsi="宋体" w:cs="宋体"/>
          <w:color w:val="000000" w:themeColor="text1"/>
          <w:sz w:val="24"/>
          <w14:textFill>
            <w14:solidFill>
              <w14:schemeClr w14:val="tx1"/>
            </w14:solidFill>
          </w14:textFill>
        </w:rPr>
        <w:t>上述每期款项均在满足付款条件，且甲方收到乙方开具的载明相应金额的合格发票后15个工作日内付至乙方指定银行账户。如未及时收到发票，则甲方相应付款时间顺延。若因甲方付款审批影响支付进度，请乙方予以谅解，并不得就此向甲方索赔。</w:t>
      </w:r>
    </w:p>
    <w:p>
      <w:pPr>
        <w:pStyle w:val="2"/>
        <w:pageBreakBefore w:val="0"/>
        <w:kinsoku/>
        <w:overflowPunct/>
        <w:topLinePunct w:val="0"/>
        <w:bidi w:val="0"/>
        <w:spacing w:after="0"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乙方银行账户信息：</w:t>
      </w:r>
    </w:p>
    <w:p>
      <w:pPr>
        <w:pStyle w:val="2"/>
        <w:pageBreakBefore w:val="0"/>
        <w:kinsoku/>
        <w:overflowPunct/>
        <w:topLinePunct w:val="0"/>
        <w:bidi w:val="0"/>
        <w:spacing w:after="0"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开户银行： </w:t>
      </w:r>
    </w:p>
    <w:p>
      <w:pPr>
        <w:pStyle w:val="2"/>
        <w:pageBreakBefore w:val="0"/>
        <w:kinsoku/>
        <w:overflowPunct/>
        <w:topLinePunct w:val="0"/>
        <w:bidi w:val="0"/>
        <w:spacing w:after="0"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户名：</w:t>
      </w:r>
    </w:p>
    <w:p>
      <w:pPr>
        <w:pStyle w:val="2"/>
        <w:pageBreakBefore w:val="0"/>
        <w:kinsoku/>
        <w:overflowPunct/>
        <w:topLinePunct w:val="0"/>
        <w:bidi w:val="0"/>
        <w:spacing w:after="0"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账号：</w:t>
      </w:r>
    </w:p>
    <w:p>
      <w:pPr>
        <w:pageBreakBefore w:val="0"/>
        <w:kinsoku/>
        <w:overflowPunct/>
        <w:topLinePunct w:val="0"/>
        <w:bidi w:val="0"/>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第十条 合同提前终止</w:t>
      </w:r>
    </w:p>
    <w:p>
      <w:pPr>
        <w:pStyle w:val="21"/>
        <w:pageBreakBefore w:val="0"/>
        <w:kinsoku/>
        <w:overflowPunct/>
        <w:topLinePunct w:val="0"/>
        <w:bidi w:val="0"/>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双方协商同意提前终止本合同的，按双方协商约定的方式进行清算执行。</w:t>
      </w:r>
    </w:p>
    <w:p>
      <w:pPr>
        <w:pStyle w:val="21"/>
        <w:pageBreakBefore w:val="0"/>
        <w:kinsoku/>
        <w:overflowPunct/>
        <w:topLinePunct w:val="0"/>
        <w:bidi w:val="0"/>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pStyle w:val="21"/>
        <w:pageBreakBefore w:val="0"/>
        <w:kinsoku/>
        <w:overflowPunct/>
        <w:topLinePunct w:val="0"/>
        <w:bidi w:val="0"/>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有下列情形之一的，本合同自甲方向乙方发出书面通知之日起终止：</w:t>
      </w:r>
    </w:p>
    <w:p>
      <w:pPr>
        <w:pStyle w:val="21"/>
        <w:pageBreakBefore w:val="0"/>
        <w:kinsoku/>
        <w:overflowPunct/>
        <w:topLinePunct w:val="0"/>
        <w:bidi w:val="0"/>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甲方的职能发生转变，不再具有委托职能。</w:t>
      </w:r>
    </w:p>
    <w:p>
      <w:pPr>
        <w:pStyle w:val="21"/>
        <w:pageBreakBefore w:val="0"/>
        <w:kinsoku/>
        <w:overflowPunct/>
        <w:topLinePunct w:val="0"/>
        <w:bidi w:val="0"/>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本合同签订时适用的法律法规或政策发生变化，且对本合同的继续履行造成重大影响。</w:t>
      </w:r>
    </w:p>
    <w:p>
      <w:pPr>
        <w:pStyle w:val="21"/>
        <w:pageBreakBefore w:val="0"/>
        <w:kinsoku/>
        <w:overflowPunct/>
        <w:topLinePunct w:val="0"/>
        <w:bidi w:val="0"/>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发生以上情形，甲方已向乙方支付的款项不退还，尚未支付的款项不再支付，同时乙方应向甲方提交在合同终止日前完成的所有项目文件和相关资料。</w:t>
      </w:r>
    </w:p>
    <w:p>
      <w:pPr>
        <w:pStyle w:val="21"/>
        <w:pageBreakBefore w:val="0"/>
        <w:kinsoku/>
        <w:overflowPunct/>
        <w:topLinePunct w:val="0"/>
        <w:bidi w:val="0"/>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如发生不可抗力或其他超出合同双方控制的事件，致使一方无法履行合同，本合同解除。</w:t>
      </w:r>
    </w:p>
    <w:p>
      <w:pPr>
        <w:pStyle w:val="21"/>
        <w:pageBreakBefore w:val="0"/>
        <w:kinsoku/>
        <w:overflowPunct/>
        <w:topLinePunct w:val="0"/>
        <w:bidi w:val="0"/>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pStyle w:val="21"/>
        <w:pageBreakBefore w:val="0"/>
        <w:kinsoku/>
        <w:overflowPunct/>
        <w:topLinePunct w:val="0"/>
        <w:bidi w:val="0"/>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发生不可抗力，甲乙双方承担各自的损失。由于其中一方迟延履行合同义务后发生不可抗力的，其违约责任不能免除。</w:t>
      </w:r>
    </w:p>
    <w:p>
      <w:pPr>
        <w:pStyle w:val="21"/>
        <w:pageBreakBefore w:val="0"/>
        <w:kinsoku/>
        <w:overflowPunct/>
        <w:topLinePunct w:val="0"/>
        <w:bidi w:val="0"/>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pageBreakBefore w:val="0"/>
        <w:kinsoku/>
        <w:overflowPunct/>
        <w:topLinePunct w:val="0"/>
        <w:bidi w:val="0"/>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w:t>
      </w:r>
      <w:r>
        <w:rPr>
          <w:rFonts w:hint="eastAsia" w:ascii="宋体" w:hAnsi="宋体" w:cs="宋体"/>
          <w:b/>
          <w:bCs/>
          <w:color w:val="000000" w:themeColor="text1"/>
          <w:sz w:val="24"/>
          <w:lang w:val="en-US" w:eastAsia="zh-CN"/>
          <w14:textFill>
            <w14:solidFill>
              <w14:schemeClr w14:val="tx1"/>
            </w14:solidFill>
          </w14:textFill>
        </w:rPr>
        <w:t>一</w:t>
      </w:r>
      <w:r>
        <w:rPr>
          <w:rFonts w:hint="eastAsia" w:ascii="宋体" w:hAnsi="宋体" w:cs="宋体"/>
          <w:b/>
          <w:bCs/>
          <w:color w:val="000000" w:themeColor="text1"/>
          <w:sz w:val="24"/>
          <w14:textFill>
            <w14:solidFill>
              <w14:schemeClr w14:val="tx1"/>
            </w14:solidFill>
          </w14:textFill>
        </w:rPr>
        <w:t>条  争议解决办法</w:t>
      </w:r>
    </w:p>
    <w:p>
      <w:pPr>
        <w:pageBreakBefore w:val="0"/>
        <w:kinsoku/>
        <w:overflowPunct/>
        <w:topLinePunct w:val="0"/>
        <w:bidi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因本合同的履行发生的或与本合同有关的争议或纠纷，由甲乙双方协商解决。协商不成的，</w:t>
      </w:r>
      <w:r>
        <w:rPr>
          <w:rFonts w:hint="eastAsia" w:ascii="宋体" w:hAnsi="宋体" w:cs="宋体"/>
          <w:color w:val="000000" w:themeColor="text1"/>
          <w:sz w:val="24"/>
          <w:lang w:eastAsia="zh-CN"/>
          <w14:textFill>
            <w14:solidFill>
              <w14:schemeClr w14:val="tx1"/>
            </w14:solidFill>
          </w14:textFill>
        </w:rPr>
        <w:t>双方同意将争议提交</w:t>
      </w:r>
      <w:r>
        <w:rPr>
          <w:rFonts w:hint="eastAsia" w:ascii="宋体" w:hAnsi="宋体" w:cs="宋体"/>
          <w:color w:val="000000" w:themeColor="text1"/>
          <w:sz w:val="24"/>
          <w14:textFill>
            <w14:solidFill>
              <w14:schemeClr w14:val="tx1"/>
            </w14:solidFill>
          </w14:textFill>
        </w:rPr>
        <w:t>深圳前海合作区人民法院</w:t>
      </w:r>
      <w:r>
        <w:rPr>
          <w:rFonts w:hint="eastAsia" w:ascii="宋体" w:hAnsi="宋体" w:cs="宋体"/>
          <w:color w:val="000000" w:themeColor="text1"/>
          <w:sz w:val="24"/>
          <w:lang w:eastAsia="zh-CN"/>
          <w14:textFill>
            <w14:solidFill>
              <w14:schemeClr w14:val="tx1"/>
            </w14:solidFill>
          </w14:textFill>
        </w:rPr>
        <w:t>通过</w:t>
      </w:r>
      <w:r>
        <w:rPr>
          <w:rFonts w:hint="eastAsia" w:ascii="宋体" w:hAnsi="宋体" w:cs="宋体"/>
          <w:color w:val="000000" w:themeColor="text1"/>
          <w:sz w:val="24"/>
          <w14:textFill>
            <w14:solidFill>
              <w14:schemeClr w14:val="tx1"/>
            </w14:solidFill>
          </w14:textFill>
        </w:rPr>
        <w:t>诉讼</w:t>
      </w:r>
      <w:r>
        <w:rPr>
          <w:rFonts w:hint="eastAsia" w:ascii="宋体" w:hAnsi="宋体" w:cs="宋体"/>
          <w:color w:val="000000" w:themeColor="text1"/>
          <w:sz w:val="24"/>
          <w:lang w:eastAsia="zh-CN"/>
          <w14:textFill>
            <w14:solidFill>
              <w14:schemeClr w14:val="tx1"/>
            </w14:solidFill>
          </w14:textFill>
        </w:rPr>
        <w:t>解决</w:t>
      </w:r>
      <w:r>
        <w:rPr>
          <w:rFonts w:hint="eastAsia" w:ascii="宋体" w:hAnsi="宋体" w:cs="宋体"/>
          <w:color w:val="000000" w:themeColor="text1"/>
          <w:sz w:val="24"/>
          <w14:textFill>
            <w14:solidFill>
              <w14:schemeClr w14:val="tx1"/>
            </w14:solidFill>
          </w14:textFill>
        </w:rPr>
        <w:t>。</w:t>
      </w:r>
    </w:p>
    <w:p>
      <w:pPr>
        <w:pageBreakBefore w:val="0"/>
        <w:numPr>
          <w:ilvl w:val="0"/>
          <w:numId w:val="0"/>
        </w:numPr>
        <w:kinsoku/>
        <w:overflowPunct/>
        <w:topLinePunct w:val="0"/>
        <w:bidi w:val="0"/>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w:t>
      </w:r>
      <w:r>
        <w:rPr>
          <w:rFonts w:hint="eastAsia" w:ascii="宋体" w:hAnsi="宋体" w:cs="宋体"/>
          <w:b/>
          <w:bCs/>
          <w:color w:val="000000" w:themeColor="text1"/>
          <w:sz w:val="24"/>
          <w:lang w:val="en-US" w:eastAsia="zh-CN"/>
          <w14:textFill>
            <w14:solidFill>
              <w14:schemeClr w14:val="tx1"/>
            </w14:solidFill>
          </w14:textFill>
        </w:rPr>
        <w:t>二</w:t>
      </w:r>
      <w:r>
        <w:rPr>
          <w:rFonts w:hint="eastAsia" w:ascii="宋体" w:hAnsi="宋体" w:cs="宋体"/>
          <w:b/>
          <w:bCs/>
          <w:color w:val="000000" w:themeColor="text1"/>
          <w:sz w:val="24"/>
          <w14:textFill>
            <w14:solidFill>
              <w14:schemeClr w14:val="tx1"/>
            </w14:solidFill>
          </w14:textFill>
        </w:rPr>
        <w:t>条</w:t>
      </w:r>
      <w:r>
        <w:rPr>
          <w:rFonts w:hint="eastAsia" w:ascii="宋体" w:hAnsi="宋体" w:cs="宋体"/>
          <w:b/>
          <w:bCs/>
          <w:color w:val="000000" w:themeColor="text1"/>
          <w:sz w:val="24"/>
          <w:lang w:val="en-US" w:eastAsia="zh-CN"/>
          <w14:textFill>
            <w14:solidFill>
              <w14:schemeClr w14:val="tx1"/>
            </w14:solidFill>
          </w14:textFill>
        </w:rPr>
        <w:t xml:space="preserve">  </w:t>
      </w:r>
      <w:r>
        <w:rPr>
          <w:rFonts w:hint="eastAsia" w:ascii="宋体" w:hAnsi="宋体" w:cs="宋体"/>
          <w:b/>
          <w:bCs/>
          <w:color w:val="000000" w:themeColor="text1"/>
          <w:sz w:val="24"/>
          <w14:textFill>
            <w14:solidFill>
              <w14:schemeClr w14:val="tx1"/>
            </w14:solidFill>
          </w14:textFill>
        </w:rPr>
        <w:t>项目变更</w:t>
      </w:r>
    </w:p>
    <w:p>
      <w:pPr>
        <w:pageBreakBefore w:val="0"/>
        <w:kinsoku/>
        <w:overflowPunct/>
        <w:topLinePunct w:val="0"/>
        <w:bidi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本合同履行过程中的需求变更和进度调整，以甲乙双方达成一致的书面文件为准。</w:t>
      </w:r>
    </w:p>
    <w:p>
      <w:pPr>
        <w:pageBreakBefore w:val="0"/>
        <w:kinsoku/>
        <w:overflowPunct/>
        <w:topLinePunct w:val="0"/>
        <w:bidi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乙方遇到不能按时交货或按期完工的情况，应及时以书面形式将不能按时完工的理由、延误时间通知甲方。甲方在收到乙方通知后，根据情况决定是否延长完成时间。如同意延长，则乙方责任期也相应延长。</w:t>
      </w:r>
    </w:p>
    <w:p>
      <w:pPr>
        <w:pageBreakBefore w:val="0"/>
        <w:kinsoku/>
        <w:overflowPunct/>
        <w:topLinePunct w:val="0"/>
        <w:bidi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因非乙方责任造成项目进度推迟或延误，无法按照合同约定的日期完成相应的项目，双方经过协商可以进一步约定完成的日期，乙方的责任期也随之顺延。</w:t>
      </w:r>
    </w:p>
    <w:p>
      <w:pPr>
        <w:pageBreakBefore w:val="0"/>
        <w:kinsoku/>
        <w:overflowPunct/>
        <w:topLinePunct w:val="0"/>
        <w:bidi w:val="0"/>
        <w:snapToGrid w:val="0"/>
        <w:spacing w:line="360" w:lineRule="auto"/>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在合同所约定的工作范畴内的服务，本合同价格不予变更</w:t>
      </w:r>
      <w:r>
        <w:rPr>
          <w:rFonts w:hint="eastAsia" w:ascii="宋体" w:hAnsi="宋体" w:cs="宋体"/>
          <w:color w:val="000000" w:themeColor="text1"/>
          <w:sz w:val="24"/>
          <w:lang w:eastAsia="zh-CN"/>
          <w14:textFill>
            <w14:solidFill>
              <w14:schemeClr w14:val="tx1"/>
            </w14:solidFill>
          </w14:textFill>
        </w:rPr>
        <w:t>。</w:t>
      </w:r>
    </w:p>
    <w:p>
      <w:pPr>
        <w:pageBreakBefore w:val="0"/>
        <w:numPr>
          <w:ilvl w:val="0"/>
          <w:numId w:val="0"/>
        </w:numPr>
        <w:kinsoku/>
        <w:overflowPunct/>
        <w:topLinePunct w:val="0"/>
        <w:bidi w:val="0"/>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w:t>
      </w:r>
      <w:r>
        <w:rPr>
          <w:rFonts w:hint="eastAsia" w:ascii="宋体" w:hAnsi="宋体" w:cs="宋体"/>
          <w:b/>
          <w:bCs/>
          <w:color w:val="000000" w:themeColor="text1"/>
          <w:sz w:val="24"/>
          <w:lang w:val="en-US" w:eastAsia="zh-CN"/>
          <w14:textFill>
            <w14:solidFill>
              <w14:schemeClr w14:val="tx1"/>
            </w14:solidFill>
          </w14:textFill>
        </w:rPr>
        <w:t>三</w:t>
      </w:r>
      <w:r>
        <w:rPr>
          <w:rFonts w:hint="eastAsia" w:ascii="宋体" w:hAnsi="宋体" w:cs="宋体"/>
          <w:b/>
          <w:bCs/>
          <w:color w:val="000000" w:themeColor="text1"/>
          <w:sz w:val="24"/>
          <w14:textFill>
            <w14:solidFill>
              <w14:schemeClr w14:val="tx1"/>
            </w14:solidFill>
          </w14:textFill>
        </w:rPr>
        <w:t>条</w:t>
      </w:r>
      <w:r>
        <w:rPr>
          <w:rFonts w:hint="eastAsia" w:ascii="宋体" w:hAnsi="宋体" w:cs="宋体"/>
          <w:b/>
          <w:bCs/>
          <w:color w:val="000000" w:themeColor="text1"/>
          <w:sz w:val="24"/>
          <w:lang w:val="en-US" w:eastAsia="zh-CN"/>
          <w14:textFill>
            <w14:solidFill>
              <w14:schemeClr w14:val="tx1"/>
            </w14:solidFill>
          </w14:textFill>
        </w:rPr>
        <w:t xml:space="preserve">  </w:t>
      </w:r>
      <w:r>
        <w:rPr>
          <w:rFonts w:hint="eastAsia" w:ascii="宋体" w:hAnsi="宋体" w:cs="宋体"/>
          <w:b/>
          <w:bCs/>
          <w:color w:val="000000" w:themeColor="text1"/>
          <w:sz w:val="24"/>
          <w14:textFill>
            <w14:solidFill>
              <w14:schemeClr w14:val="tx1"/>
            </w14:solidFill>
          </w14:textFill>
        </w:rPr>
        <w:t>风险责任</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乙方应完全地按照【</w:t>
      </w:r>
      <w:r>
        <w:rPr>
          <w:rFonts w:hint="eastAsia" w:ascii="宋体" w:hAnsi="宋体" w:cs="宋体"/>
          <w:color w:val="000000" w:themeColor="text1"/>
          <w:sz w:val="24"/>
          <w:lang w:val="en-US" w:eastAsia="zh-CN"/>
          <w14:textFill>
            <w14:solidFill>
              <w14:schemeClr w14:val="tx1"/>
            </w14:solidFill>
          </w14:textFill>
        </w:rPr>
        <w:t>QH2024025</w:t>
      </w:r>
      <w:r>
        <w:rPr>
          <w:rFonts w:hint="eastAsia" w:ascii="宋体" w:hAnsi="宋体" w:cs="宋体"/>
          <w:color w:val="000000" w:themeColor="text1"/>
          <w:sz w:val="24"/>
          <w14:textFill>
            <w14:solidFill>
              <w14:schemeClr w14:val="tx1"/>
            </w14:solidFill>
          </w14:textFill>
        </w:rPr>
        <w:t>】号招标文件的要求和乙方投标文件的承诺完成本项目，出于自身财务、技术、人力等原因导致项目失败的，应承担全部责任。</w:t>
      </w:r>
    </w:p>
    <w:p>
      <w:pPr>
        <w:pageBreakBefore w:val="0"/>
        <w:kinsoku/>
        <w:overflowPunct/>
        <w:topLinePunct w:val="0"/>
        <w:bidi w:val="0"/>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w:t>
      </w:r>
      <w:r>
        <w:rPr>
          <w:rFonts w:hint="eastAsia" w:ascii="宋体" w:hAnsi="宋体" w:cs="宋体"/>
          <w:b/>
          <w:bCs/>
          <w:color w:val="000000" w:themeColor="text1"/>
          <w:sz w:val="24"/>
          <w:lang w:val="en-US" w:eastAsia="zh-CN"/>
          <w14:textFill>
            <w14:solidFill>
              <w14:schemeClr w14:val="tx1"/>
            </w14:solidFill>
          </w14:textFill>
        </w:rPr>
        <w:t>四</w:t>
      </w:r>
      <w:r>
        <w:rPr>
          <w:rFonts w:hint="eastAsia" w:ascii="宋体" w:hAnsi="宋体" w:cs="宋体"/>
          <w:b/>
          <w:bCs/>
          <w:color w:val="000000" w:themeColor="text1"/>
          <w:sz w:val="24"/>
          <w14:textFill>
            <w14:solidFill>
              <w14:schemeClr w14:val="tx1"/>
            </w14:solidFill>
          </w14:textFill>
        </w:rPr>
        <w:t>条  违约责任</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1.如乙方未按照合同约定的时间完成本项目各阶段工作，且未经甲方书面同意延长服务成果完成期限的，每迟延一日，甲方有权自尚未支付的合同款项中扣除合同服务费总金额的1‰的逾期违约金。</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2.合同项下的工作内容不可分割，任一文件的迟延交付均视为整个项目的迟延交付。</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3.合同履行期间，发生下述情形时，甲方有权解除合同，乙方除应退还甲方已支付的全部款项外, 还应在合同解除通知发出之日起 10 日内向甲方支付合同总价款 20%的违约金。乙方应同时将已完成的项目成果移交给甲方，并将全部有关资料退还甲方：</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1）乙方未能按合同约定的日期(含协商延缓的日期)提交成果，延误时间超过 15 个工作日；</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2）因乙方工作的错误或遗漏造成成果质量不符合合同要求，且乙方未按甲方要求采取及时有效的补救措施的；</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3）乙方虽如期提交成果，但最终成果连续二次未能通过专家评审会评审验收的；</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4）未经甲方书面在先同意，乙方擅自将合同项目与任何第三方合作，或将合同标的全部或部分擅自转包或分包给任何第三方，且未按甲方的要求终止与第三方的协议的；</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5）项目负责人未承担合同项目实质性工作，或未经甲方书面在先同意，乙方擅自更换项目负责人的；</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6）发现乙方或乙方工作人员出现全部或部分丧失履行委托服务能力的情况，甲方有权通知乙方限期整改或更换工作人员，期限届满乙方并未进行改善的；</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7）乙方明确表示或者以自己的行为表明不履行合同的。</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4.除因甲方付款审批影响支付进度的情况外，如甲方未按照合同约定的时间支付服务费，乙方书面催告甲方并给予不少于30 个工作日的履行期限后甲方仍未支付的，乙方有权自该期限届满之日起要求甲方支付该阶段应 付而未付合同价款每日 1‰的逾期违约金。如甲方无正当理由拒绝接受服务，到期明确表示拒付服务款项，乙方有权要求甲方支付合同项下服务费总金额 5%的违约金。</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上述违约责任各自独立且可累加。如合同所约定的违约金无法弥补因违约行为所造成的损失，违约方应补偿上述不足部分的损失，包括但不限于上述索赔或责任所产生的诉讼费用、合理的律师费用、鉴定评估费用、 调查费用、和解金额或生效法律文书中规定的赔偿金额。</w:t>
      </w:r>
    </w:p>
    <w:p>
      <w:pPr>
        <w:pageBreakBefore w:val="0"/>
        <w:kinsoku/>
        <w:overflowPunct/>
        <w:topLinePunct w:val="0"/>
        <w:bidi w:val="0"/>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w:t>
      </w:r>
      <w:r>
        <w:rPr>
          <w:rFonts w:hint="eastAsia" w:ascii="宋体" w:hAnsi="宋体" w:cs="宋体"/>
          <w:b/>
          <w:bCs/>
          <w:color w:val="000000" w:themeColor="text1"/>
          <w:sz w:val="24"/>
          <w:lang w:val="en-US" w:eastAsia="zh-CN"/>
          <w14:textFill>
            <w14:solidFill>
              <w14:schemeClr w14:val="tx1"/>
            </w14:solidFill>
          </w14:textFill>
        </w:rPr>
        <w:t>五</w:t>
      </w:r>
      <w:r>
        <w:rPr>
          <w:rFonts w:hint="eastAsia" w:ascii="宋体" w:hAnsi="宋体" w:cs="宋体"/>
          <w:b/>
          <w:bCs/>
          <w:color w:val="000000" w:themeColor="text1"/>
          <w:sz w:val="24"/>
          <w14:textFill>
            <w14:solidFill>
              <w14:schemeClr w14:val="tx1"/>
            </w14:solidFill>
          </w14:textFill>
        </w:rPr>
        <w:t>条  其他</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（1）合同书及补充协议；</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（2）中标通知书；</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（3）招标文件（编号：</w:t>
      </w:r>
      <w:r>
        <w:rPr>
          <w:rFonts w:hint="eastAsia" w:ascii="宋体" w:hAnsi="宋体" w:cs="宋体"/>
          <w:color w:val="000000" w:themeColor="text1"/>
          <w:sz w:val="24"/>
          <w:u w:val="single"/>
          <w14:textFill>
            <w14:solidFill>
              <w14:schemeClr w14:val="tx1"/>
            </w14:solidFill>
          </w14:textFill>
        </w:rPr>
        <w:t>QH2024025</w:t>
      </w:r>
      <w:r>
        <w:rPr>
          <w:rFonts w:hint="eastAsia" w:ascii="宋体" w:hAnsi="宋体" w:cs="宋体"/>
          <w:color w:val="000000" w:themeColor="text1"/>
          <w:sz w:val="24"/>
          <w14:textFill>
            <w14:solidFill>
              <w14:schemeClr w14:val="tx1"/>
            </w14:solidFill>
          </w14:textFill>
        </w:rPr>
        <w:t>）及其澄清、补正公告；</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（4）投标书。</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本合同附件（如有）为合同不可分割的组成部分，与本合同一并加盖骑缝章后具有同等法律效力。若附件与合同正文有任何冲突，以合同正文为准。</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本合同各条标题仅为提示之用，应以条文内容确定各方的权利义务。</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本合同未尽事宜，由双方协商签订补充协议进行约定。补充协议应以书面形式作成，经双方盖章后与本合同具有同等法律效力。</w:t>
      </w:r>
    </w:p>
    <w:p>
      <w:pPr>
        <w:pStyle w:val="21"/>
        <w:pageBreakBefore w:val="0"/>
        <w:kinsoku/>
        <w:overflowPunct/>
        <w:topLinePunct w:val="0"/>
        <w:bidi w:val="0"/>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本合同约定的权利和义务不因合同双方发生收购、兼并、重组、分立而发生变化。如果发生上述情形，则本合同约定的权利和义务随之转移至收购、兼并、重组或分立后成立的单位。</w:t>
      </w:r>
    </w:p>
    <w:p>
      <w:pPr>
        <w:pStyle w:val="21"/>
        <w:pageBreakBefore w:val="0"/>
        <w:kinsoku/>
        <w:overflowPunct/>
        <w:topLinePunct w:val="0"/>
        <w:bidi w:val="0"/>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本合同在国家法律、法规和规章规定的范围内执行。当国家法律、法规和规章发生变化导致本合同有关条款与之抵触时，双方协商变更或废止该条款，在此情况下，双方互不承担责任。</w:t>
      </w:r>
    </w:p>
    <w:p>
      <w:pPr>
        <w:pStyle w:val="21"/>
        <w:pageBreakBefore w:val="0"/>
        <w:kinsoku/>
        <w:overflowPunct/>
        <w:topLinePunct w:val="0"/>
        <w:bidi w:val="0"/>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如果本合同的任何条款在任何时候变成不合法、无效或不可强制执行而不从根本上影响本合同的效力时，本合同的其他条款不受影响。</w:t>
      </w:r>
    </w:p>
    <w:p>
      <w:pPr>
        <w:pStyle w:val="21"/>
        <w:pageBreakBefore w:val="0"/>
        <w:kinsoku/>
        <w:overflowPunct/>
        <w:topLinePunct w:val="0"/>
        <w:bidi w:val="0"/>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pStyle w:val="21"/>
        <w:pageBreakBefore w:val="0"/>
        <w:kinsoku/>
        <w:overflowPunct/>
        <w:topLinePunct w:val="0"/>
        <w:bidi w:val="0"/>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任何一方未经另一方同意不得向任何第三方透露本合同的签订及其内容。甲方向其关联公司透露前述内容的，不受此限。</w:t>
      </w:r>
    </w:p>
    <w:p>
      <w:pPr>
        <w:pStyle w:val="21"/>
        <w:pageBreakBefore w:val="0"/>
        <w:kinsoku/>
        <w:overflowPunct/>
        <w:topLinePunct w:val="0"/>
        <w:bidi w:val="0"/>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pageBreakBefore w:val="0"/>
        <w:widowControl/>
        <w:kinsoku/>
        <w:overflowPunct/>
        <w:topLinePunct w:val="0"/>
        <w:bidi w:val="0"/>
        <w:spacing w:line="240" w:lineRule="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11</w:t>
      </w:r>
      <w:r>
        <w:rPr>
          <w:rFonts w:hint="eastAsia" w:ascii="宋体" w:hAnsi="宋体" w:cs="宋体"/>
          <w:color w:val="000000" w:themeColor="text1"/>
          <w:kern w:val="0"/>
          <w:sz w:val="24"/>
          <w:lang w:val="en-US" w:eastAsia="zh-CN"/>
          <w14:textFill>
            <w14:solidFill>
              <w14:schemeClr w14:val="tx1"/>
            </w14:solidFill>
          </w14:textFill>
        </w:rPr>
        <w:t>.</w:t>
      </w:r>
      <w:r>
        <w:rPr>
          <w:rFonts w:hint="eastAsia" w:ascii="宋体" w:hAnsi="宋体" w:eastAsia="宋体" w:cs="宋体"/>
          <w:i w:val="0"/>
          <w:iCs w:val="0"/>
          <w:caps w:val="0"/>
          <w:color w:val="000000" w:themeColor="text1"/>
          <w:spacing w:val="0"/>
          <w:kern w:val="0"/>
          <w:sz w:val="24"/>
          <w:szCs w:val="24"/>
          <w:shd w:val="clear" w:fill="auto"/>
          <w:lang w:val="en-US" w:eastAsia="zh-CN" w:bidi="ar-SA"/>
          <w14:textFill>
            <w14:solidFill>
              <w14:schemeClr w14:val="tx1"/>
            </w14:solidFill>
          </w14:textFill>
        </w:rPr>
        <w:t>本合同自双方盖章之日起生效，有效期至后续服务期满之日止</w:t>
      </w:r>
      <w:r>
        <w:rPr>
          <w:rFonts w:hint="eastAsia" w:ascii="宋体" w:hAnsi="宋体" w:cs="宋体"/>
          <w:color w:val="000000" w:themeColor="text1"/>
          <w:kern w:val="0"/>
          <w:sz w:val="24"/>
          <w14:textFill>
            <w14:solidFill>
              <w14:schemeClr w14:val="tx1"/>
            </w14:solidFill>
          </w14:textFill>
        </w:rPr>
        <w:t>。</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本合同一式</w:t>
      </w:r>
      <w:r>
        <w:rPr>
          <w:rFonts w:hint="eastAsia" w:ascii="宋体" w:hAnsi="宋体" w:cs="宋体"/>
          <w:color w:val="000000" w:themeColor="text1"/>
          <w:sz w:val="24"/>
          <w:lang w:val="en-US" w:eastAsia="zh-CN"/>
          <w14:textFill>
            <w14:solidFill>
              <w14:schemeClr w14:val="tx1"/>
            </w14:solidFill>
          </w14:textFill>
        </w:rPr>
        <w:t>四</w:t>
      </w:r>
      <w:r>
        <w:rPr>
          <w:rFonts w:hint="eastAsia" w:ascii="宋体" w:hAnsi="宋体" w:cs="宋体"/>
          <w:color w:val="000000" w:themeColor="text1"/>
          <w:sz w:val="24"/>
          <w14:textFill>
            <w14:solidFill>
              <w14:schemeClr w14:val="tx1"/>
            </w14:solidFill>
          </w14:textFill>
        </w:rPr>
        <w:t>份，甲、乙方各执</w:t>
      </w:r>
      <w:r>
        <w:rPr>
          <w:rFonts w:hint="eastAsia" w:ascii="宋体" w:hAnsi="宋体" w:cs="宋体"/>
          <w:color w:val="000000" w:themeColor="text1"/>
          <w:sz w:val="24"/>
          <w:lang w:val="en-US" w:eastAsia="zh-CN"/>
          <w14:textFill>
            <w14:solidFill>
              <w14:schemeClr w14:val="tx1"/>
            </w14:solidFill>
          </w14:textFill>
        </w:rPr>
        <w:t>两</w:t>
      </w:r>
      <w:r>
        <w:rPr>
          <w:rFonts w:hint="eastAsia" w:ascii="宋体" w:hAnsi="宋体" w:cs="宋体"/>
          <w:color w:val="000000" w:themeColor="text1"/>
          <w:sz w:val="24"/>
          <w14:textFill>
            <w14:solidFill>
              <w14:schemeClr w14:val="tx1"/>
            </w14:solidFill>
          </w14:textFill>
        </w:rPr>
        <w:t>份，均具有同等法律效力。</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（以下无正文，为签章栏）</w:t>
      </w:r>
    </w:p>
    <w:p>
      <w:pPr>
        <w:widowControl/>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（本页为签章页）</w:t>
      </w:r>
    </w:p>
    <w:p>
      <w:pPr>
        <w:adjustRightInd w:val="0"/>
        <w:snapToGrid w:val="0"/>
        <w:spacing w:line="360" w:lineRule="auto"/>
        <w:ind w:firstLine="200"/>
        <w:rPr>
          <w:rFonts w:hint="eastAsia" w:ascii="宋体" w:hAnsi="宋体" w:cs="宋体"/>
          <w:color w:val="000000" w:themeColor="text1"/>
          <w:sz w:val="24"/>
          <w14:textFill>
            <w14:solidFill>
              <w14:schemeClr w14:val="tx1"/>
            </w14:solidFill>
          </w14:textFill>
        </w:rPr>
      </w:pPr>
    </w:p>
    <w:p>
      <w:pPr>
        <w:adjustRightInd w:val="0"/>
        <w:snapToGrid w:val="0"/>
        <w:spacing w:line="360" w:lineRule="auto"/>
        <w:ind w:firstLine="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甲方名称</w:t>
      </w:r>
      <w:r>
        <w:rPr>
          <w:rFonts w:hint="eastAsia" w:ascii="宋体" w:hAnsi="宋体" w:cs="宋体"/>
          <w:color w:val="000000" w:themeColor="text1"/>
          <w:sz w:val="24"/>
          <w14:textFill>
            <w14:solidFill>
              <w14:schemeClr w14:val="tx1"/>
            </w14:solidFill>
          </w14:textFill>
        </w:rPr>
        <w:t>（盖章）</w:t>
      </w:r>
      <w:r>
        <w:rPr>
          <w:rFonts w:hint="eastAsia" w:ascii="宋体" w:hAnsi="宋体" w:cs="宋体"/>
          <w:b/>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深圳市前海深港现代服务业合作区管理局</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w:t>
      </w:r>
    </w:p>
    <w:p>
      <w:pPr>
        <w:adjustRightInd w:val="0"/>
        <w:snapToGrid w:val="0"/>
        <w:spacing w:line="360" w:lineRule="auto"/>
        <w:ind w:firstLine="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w:t>
      </w:r>
    </w:p>
    <w:p>
      <w:pPr>
        <w:pStyle w:val="2"/>
        <w:rPr>
          <w:rFonts w:hint="eastAsia" w:ascii="宋体" w:hAnsi="宋体" w:cs="宋体"/>
          <w:color w:val="000000" w:themeColor="text1"/>
          <w:sz w:val="24"/>
          <w14:textFill>
            <w14:solidFill>
              <w14:schemeClr w14:val="tx1"/>
            </w14:solidFill>
          </w14:textFill>
        </w:rPr>
      </w:pPr>
    </w:p>
    <w:p>
      <w:pPr>
        <w:rPr>
          <w:rFonts w:hint="eastAsia" w:ascii="宋体" w:hAnsi="宋体" w:cs="宋体"/>
          <w:color w:val="000000" w:themeColor="text1"/>
          <w:sz w:val="24"/>
          <w14:textFill>
            <w14:solidFill>
              <w14:schemeClr w14:val="tx1"/>
            </w14:solidFill>
          </w14:textFill>
        </w:rPr>
      </w:pPr>
    </w:p>
    <w:p>
      <w:pPr>
        <w:pStyle w:val="2"/>
        <w:rPr>
          <w:rFonts w:hint="eastAsia"/>
          <w:color w:val="000000" w:themeColor="text1"/>
          <w14:textFill>
            <w14:solidFill>
              <w14:schemeClr w14:val="tx1"/>
            </w14:solidFill>
          </w14:textFill>
        </w:rPr>
      </w:pPr>
    </w:p>
    <w:p>
      <w:pPr>
        <w:adjustRightInd w:val="0"/>
        <w:snapToGrid w:val="0"/>
        <w:spacing w:line="360" w:lineRule="auto"/>
        <w:ind w:left="0" w:firstLine="0" w:firstLineChars="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乙方名称</w:t>
      </w:r>
      <w:r>
        <w:rPr>
          <w:rFonts w:hint="eastAsia" w:ascii="宋体" w:hAnsi="宋体" w:cs="宋体"/>
          <w:color w:val="000000" w:themeColor="text1"/>
          <w:sz w:val="24"/>
          <w14:textFill>
            <w14:solidFill>
              <w14:schemeClr w14:val="tx1"/>
            </w14:solidFill>
          </w14:textFill>
        </w:rPr>
        <w:t>（盖章）</w:t>
      </w:r>
      <w:r>
        <w:rPr>
          <w:rFonts w:hint="eastAsia" w:ascii="宋体" w:hAnsi="宋体" w:cs="宋体"/>
          <w:b/>
          <w:color w:val="000000" w:themeColor="text1"/>
          <w:sz w:val="24"/>
          <w14:textFill>
            <w14:solidFill>
              <w14:schemeClr w14:val="tx1"/>
            </w14:solidFill>
          </w14:textFill>
        </w:rPr>
        <w:t>：</w:t>
      </w:r>
    </w:p>
    <w:p>
      <w:pPr>
        <w:adjustRightInd w:val="0"/>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日期：                                       </w:t>
      </w:r>
    </w:p>
    <w:p>
      <w:pPr>
        <w:adjustRightInd w:val="0"/>
        <w:snapToGrid w:val="0"/>
        <w:spacing w:line="360" w:lineRule="auto"/>
        <w:ind w:firstLine="720" w:firstLineChars="300"/>
        <w:rPr>
          <w:rFonts w:hint="eastAsia" w:ascii="宋体" w:hAnsi="宋体" w:cs="宋体"/>
          <w:color w:val="000000" w:themeColor="text1"/>
          <w:sz w:val="24"/>
          <w14:textFill>
            <w14:solidFill>
              <w14:schemeClr w14:val="tx1"/>
            </w14:solidFill>
          </w14:textFill>
        </w:rPr>
      </w:pPr>
    </w:p>
    <w:p>
      <w:pPr>
        <w:adjustRightInd w:val="0"/>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注：本合同样本仅供参考，非实质性条款内容可由采购人和中标人协商确定。</w:t>
      </w:r>
    </w:p>
    <w:p>
      <w:pPr>
        <w:snapToGrid w:val="0"/>
        <w:spacing w:line="360" w:lineRule="auto"/>
        <w:rPr>
          <w:rFonts w:hint="eastAsia" w:ascii="宋体" w:hAnsi="宋体" w:cs="宋体"/>
          <w:color w:val="000000" w:themeColor="text1"/>
          <w:sz w:val="24"/>
          <w14:textFill>
            <w14:solidFill>
              <w14:schemeClr w14:val="tx1"/>
            </w14:solidFill>
          </w14:textFill>
        </w:rPr>
      </w:pPr>
    </w:p>
    <w:p>
      <w:pPr>
        <w:numPr>
          <w:ilvl w:val="0"/>
          <w:numId w:val="1"/>
        </w:numPr>
        <w:spacing w:line="360" w:lineRule="auto"/>
        <w:jc w:val="center"/>
        <w:outlineLvl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 xml:space="preserve"> </w:t>
      </w:r>
      <w:bookmarkStart w:id="13" w:name="_Toc25518"/>
      <w:r>
        <w:rPr>
          <w:rFonts w:hint="eastAsia" w:ascii="宋体" w:hAnsi="宋体" w:cs="宋体"/>
          <w:b/>
          <w:bCs/>
          <w:color w:val="000000" w:themeColor="text1"/>
          <w:sz w:val="24"/>
          <w14:textFill>
            <w14:solidFill>
              <w14:schemeClr w14:val="tx1"/>
            </w14:solidFill>
          </w14:textFill>
        </w:rPr>
        <w:t>用户需求书</w:t>
      </w:r>
      <w:bookmarkEnd w:id="13"/>
    </w:p>
    <w:p>
      <w:pPr>
        <w:pStyle w:val="22"/>
        <w:tabs>
          <w:tab w:val="left" w:pos="720"/>
        </w:tabs>
        <w:autoSpaceDE w:val="0"/>
        <w:autoSpaceDN w:val="0"/>
        <w:adjustRightInd w:val="0"/>
        <w:spacing w:line="360" w:lineRule="auto"/>
        <w:ind w:right="17" w:firstLine="482"/>
        <w:jc w:val="left"/>
        <w:outlineLvl w:val="1"/>
        <w:rPr>
          <w:rFonts w:hint="eastAsia" w:ascii="宋体" w:hAnsi="宋体" w:cs="宋体"/>
          <w:b/>
          <w:color w:val="000000" w:themeColor="text1"/>
          <w:sz w:val="24"/>
          <w14:textFill>
            <w14:solidFill>
              <w14:schemeClr w14:val="tx1"/>
            </w14:solidFill>
          </w14:textFill>
        </w:rPr>
      </w:pPr>
      <w:bookmarkStart w:id="14" w:name="_Toc23726"/>
      <w:bookmarkStart w:id="15" w:name="_Toc11045"/>
      <w:r>
        <w:rPr>
          <w:rFonts w:hint="eastAsia" w:ascii="宋体" w:hAnsi="宋体" w:cs="宋体"/>
          <w:b/>
          <w:color w:val="000000" w:themeColor="text1"/>
          <w:sz w:val="24"/>
          <w14:textFill>
            <w14:solidFill>
              <w14:schemeClr w14:val="tx1"/>
            </w14:solidFill>
          </w14:textFill>
        </w:rPr>
        <w:t>一、</w:t>
      </w:r>
      <w:bookmarkEnd w:id="14"/>
      <w:bookmarkEnd w:id="15"/>
      <w:bookmarkStart w:id="16" w:name="_Toc51746099"/>
      <w:r>
        <w:rPr>
          <w:rFonts w:hint="eastAsia" w:ascii="宋体" w:hAnsi="宋体" w:cs="宋体"/>
          <w:b/>
          <w:color w:val="000000" w:themeColor="text1"/>
          <w:sz w:val="24"/>
          <w:lang w:val="zh-CN"/>
          <w14:textFill>
            <w14:solidFill>
              <w14:schemeClr w14:val="tx1"/>
            </w14:solidFill>
          </w14:textFill>
        </w:rPr>
        <w:t>项目概况</w:t>
      </w:r>
    </w:p>
    <w:bookmarkEnd w:id="16"/>
    <w:p>
      <w:pPr>
        <w:pStyle w:val="2"/>
        <w:numPr>
          <w:ilvl w:val="255"/>
          <w:numId w:val="0"/>
        </w:numPr>
        <w:spacing w:beforeLines="0" w:after="0" w:line="560" w:lineRule="exact"/>
        <w:ind w:firstLine="480" w:firstLineChars="200"/>
        <w:rPr>
          <w:rFonts w:hint="eastAsia" w:ascii="宋体" w:hAnsi="宋体" w:eastAsia="宋体" w:cs="宋体"/>
          <w:bCs w:val="0"/>
          <w:color w:val="000000" w:themeColor="text1"/>
          <w:sz w:val="24"/>
          <w:szCs w:val="24"/>
          <w:lang w:val="en-US" w:eastAsia="zh-CN"/>
          <w14:textFill>
            <w14:solidFill>
              <w14:schemeClr w14:val="tx1"/>
            </w14:solidFill>
          </w14:textFill>
        </w:rPr>
      </w:pPr>
      <w:r>
        <w:rPr>
          <w:rFonts w:hint="eastAsia" w:ascii="宋体" w:hAnsi="宋体" w:eastAsia="宋体" w:cs="宋体"/>
          <w:bCs w:val="0"/>
          <w:color w:val="000000" w:themeColor="text1"/>
          <w:sz w:val="24"/>
          <w:szCs w:val="24"/>
          <w14:textFill>
            <w14:solidFill>
              <w14:schemeClr w14:val="tx1"/>
            </w14:solidFill>
          </w14:textFill>
        </w:rPr>
        <w:t>前海中集国际商务中心</w:t>
      </w:r>
      <w:r>
        <w:rPr>
          <w:rFonts w:hint="eastAsia" w:ascii="宋体" w:hAnsi="宋体" w:cs="宋体"/>
          <w:bCs w:val="0"/>
          <w:color w:val="000000" w:themeColor="text1"/>
          <w:sz w:val="24"/>
          <w:szCs w:val="24"/>
          <w:lang w:val="en-US" w:eastAsia="zh-CN"/>
          <w14:textFill>
            <w14:solidFill>
              <w14:schemeClr w14:val="tx1"/>
            </w14:solidFill>
          </w14:textFill>
        </w:rPr>
        <w:t>城市第六立面</w:t>
      </w:r>
      <w:r>
        <w:rPr>
          <w:rFonts w:hint="eastAsia" w:ascii="宋体" w:hAnsi="宋体" w:eastAsia="宋体" w:cs="宋体"/>
          <w:bCs w:val="0"/>
          <w:color w:val="000000" w:themeColor="text1"/>
          <w:sz w:val="24"/>
          <w:szCs w:val="24"/>
          <w:lang w:val="en-US" w:eastAsia="zh-CN"/>
          <w14:textFill>
            <w14:solidFill>
              <w14:schemeClr w14:val="tx1"/>
            </w14:solidFill>
          </w14:textFill>
        </w:rPr>
        <w:t>提升</w:t>
      </w:r>
      <w:r>
        <w:rPr>
          <w:rFonts w:hint="eastAsia" w:ascii="宋体" w:hAnsi="宋体" w:eastAsia="宋体" w:cs="宋体"/>
          <w:bCs w:val="0"/>
          <w:color w:val="000000" w:themeColor="text1"/>
          <w:sz w:val="24"/>
          <w:szCs w:val="24"/>
          <w14:textFill>
            <w14:solidFill>
              <w14:schemeClr w14:val="tx1"/>
            </w14:solidFill>
          </w14:textFill>
        </w:rPr>
        <w:t>片区由</w:t>
      </w:r>
      <w:r>
        <w:rPr>
          <w:rFonts w:hint="eastAsia" w:ascii="宋体" w:hAnsi="宋体" w:eastAsia="宋体" w:cs="宋体"/>
          <w:bCs w:val="0"/>
          <w:color w:val="000000" w:themeColor="text1"/>
          <w:sz w:val="24"/>
          <w:szCs w:val="24"/>
          <w:lang w:val="en-US" w:eastAsia="zh-CN"/>
          <w14:textFill>
            <w14:solidFill>
              <w14:schemeClr w14:val="tx1"/>
            </w14:solidFill>
          </w14:textFill>
        </w:rPr>
        <w:t>市前海管理局</w:t>
      </w:r>
      <w:r>
        <w:rPr>
          <w:rFonts w:hint="eastAsia" w:ascii="宋体" w:hAnsi="宋体" w:eastAsia="宋体" w:cs="宋体"/>
          <w:bCs w:val="0"/>
          <w:color w:val="000000" w:themeColor="text1"/>
          <w:sz w:val="24"/>
          <w:szCs w:val="24"/>
          <w14:textFill>
            <w14:solidFill>
              <w14:schemeClr w14:val="tx1"/>
            </w14:solidFill>
          </w14:textFill>
        </w:rPr>
        <w:t>牵头负责，以前海中集国际商务中心俯瞰点1000米半径划定俯瞰范围，主要涉及桂湾、前湾片区，是新建、在建类建筑俯瞰点重点提升片区</w:t>
      </w:r>
      <w:r>
        <w:rPr>
          <w:rFonts w:hint="eastAsia" w:ascii="宋体" w:hAnsi="宋体" w:eastAsia="宋体" w:cs="宋体"/>
          <w:bCs w:val="0"/>
          <w:color w:val="000000" w:themeColor="text1"/>
          <w:sz w:val="24"/>
          <w:szCs w:val="24"/>
          <w:lang w:eastAsia="zh-CN"/>
          <w14:textFill>
            <w14:solidFill>
              <w14:schemeClr w14:val="tx1"/>
            </w14:solidFill>
          </w14:textFill>
        </w:rPr>
        <w:t>，</w:t>
      </w:r>
      <w:r>
        <w:rPr>
          <w:rFonts w:hint="eastAsia" w:ascii="宋体" w:hAnsi="宋体" w:eastAsia="宋体" w:cs="宋体"/>
          <w:bCs w:val="0"/>
          <w:color w:val="000000" w:themeColor="text1"/>
          <w:sz w:val="24"/>
          <w:szCs w:val="24"/>
          <w14:textFill>
            <w14:solidFill>
              <w14:schemeClr w14:val="tx1"/>
            </w14:solidFill>
          </w14:textFill>
        </w:rPr>
        <w:t>至2025年计划完成的提升规模总计</w:t>
      </w:r>
      <w:r>
        <w:rPr>
          <w:rFonts w:hint="eastAsia" w:ascii="宋体" w:hAnsi="宋体" w:eastAsia="宋体" w:cs="宋体"/>
          <w:bCs w:val="0"/>
          <w:color w:val="000000" w:themeColor="text1"/>
          <w:sz w:val="24"/>
          <w:szCs w:val="24"/>
          <w:lang w:val="en-US" w:eastAsia="zh-CN"/>
          <w14:textFill>
            <w14:solidFill>
              <w14:schemeClr w14:val="tx1"/>
            </w14:solidFill>
          </w14:textFill>
        </w:rPr>
        <w:t>不少于</w:t>
      </w:r>
      <w:r>
        <w:rPr>
          <w:rFonts w:hint="eastAsia" w:ascii="宋体" w:hAnsi="宋体" w:eastAsia="宋体" w:cs="宋体"/>
          <w:bCs w:val="0"/>
          <w:color w:val="000000" w:themeColor="text1"/>
          <w:sz w:val="24"/>
          <w:szCs w:val="24"/>
          <w14:textFill>
            <w14:solidFill>
              <w14:schemeClr w14:val="tx1"/>
            </w14:solidFill>
          </w14:textFill>
        </w:rPr>
        <w:t>3万平方米。</w:t>
      </w:r>
    </w:p>
    <w:p>
      <w:pPr>
        <w:pStyle w:val="2"/>
        <w:numPr>
          <w:ilvl w:val="255"/>
          <w:numId w:val="0"/>
        </w:numPr>
        <w:spacing w:beforeLines="0" w:line="560" w:lineRule="exact"/>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14:textFill>
            <w14:solidFill>
              <w14:schemeClr w14:val="tx1"/>
            </w14:solidFill>
          </w14:textFill>
        </w:rPr>
        <w:t>为落实《深圳市城市第六立面提升专项规划暨近期行动计划》《深圳市城市第六立面提升近期行动工作方案》要求，进一步提升城市治理能力，推动城市高质量发展，指导至2025年的前海合作区城市第六立面近期行动，开展</w:t>
      </w:r>
      <w:r>
        <w:rPr>
          <w:rFonts w:hint="eastAsia" w:ascii="宋体" w:hAnsi="宋体" w:cs="宋体"/>
          <w:color w:val="000000" w:themeColor="text1"/>
          <w:sz w:val="24"/>
          <w:lang w:val="en-US" w:eastAsia="zh-CN"/>
          <w14:textFill>
            <w14:solidFill>
              <w14:schemeClr w14:val="tx1"/>
            </w14:solidFill>
          </w14:textFill>
        </w:rPr>
        <w:t>该工作。该项目一是</w:t>
      </w:r>
      <w:r>
        <w:rPr>
          <w:rFonts w:hint="eastAsia" w:ascii="宋体" w:hAnsi="宋体" w:eastAsia="宋体" w:cs="宋体"/>
          <w:bCs w:val="0"/>
          <w:color w:val="000000" w:themeColor="text1"/>
          <w:sz w:val="24"/>
          <w:szCs w:val="24"/>
          <w:highlight w:val="none"/>
          <w:lang w:val="en-US" w:eastAsia="zh-CN"/>
          <w14:textFill>
            <w14:solidFill>
              <w14:schemeClr w14:val="tx1"/>
            </w14:solidFill>
          </w14:textFill>
        </w:rPr>
        <w:t>充分发挥技术团队的专业优势，确保</w:t>
      </w:r>
      <w:r>
        <w:rPr>
          <w:rFonts w:hint="eastAsia" w:ascii="宋体" w:hAnsi="宋体" w:cs="宋体"/>
          <w:bCs w:val="0"/>
          <w:color w:val="000000" w:themeColor="text1"/>
          <w:sz w:val="24"/>
          <w:szCs w:val="24"/>
          <w:highlight w:val="none"/>
          <w:lang w:val="en-US" w:eastAsia="zh-CN"/>
          <w14:textFill>
            <w14:solidFill>
              <w14:schemeClr w14:val="tx1"/>
            </w14:solidFill>
          </w14:textFill>
        </w:rPr>
        <w:t>城市第六立面</w:t>
      </w:r>
      <w:r>
        <w:rPr>
          <w:rFonts w:hint="eastAsia" w:ascii="宋体" w:hAnsi="宋体" w:eastAsia="宋体" w:cs="宋体"/>
          <w:bCs w:val="0"/>
          <w:color w:val="000000" w:themeColor="text1"/>
          <w:sz w:val="24"/>
          <w:szCs w:val="24"/>
          <w:highlight w:val="none"/>
          <w:lang w:val="en-US" w:eastAsia="zh-CN"/>
          <w14:textFill>
            <w14:solidFill>
              <w14:schemeClr w14:val="tx1"/>
            </w14:solidFill>
          </w14:textFill>
        </w:rPr>
        <w:t>提升项目的经济性、可行性和实施品质</w:t>
      </w:r>
      <w:r>
        <w:rPr>
          <w:rFonts w:hint="eastAsia" w:ascii="宋体" w:hAnsi="宋体" w:cs="宋体"/>
          <w:bCs w:val="0"/>
          <w:color w:val="000000" w:themeColor="text1"/>
          <w:sz w:val="24"/>
          <w:szCs w:val="24"/>
          <w:highlight w:val="none"/>
          <w:lang w:val="en-US" w:eastAsia="zh-CN"/>
          <w14:textFill>
            <w14:solidFill>
              <w14:schemeClr w14:val="tx1"/>
            </w14:solidFill>
          </w14:textFill>
        </w:rPr>
        <w:t>；二是</w:t>
      </w:r>
      <w:r>
        <w:rPr>
          <w:rFonts w:hint="eastAsia" w:ascii="宋体" w:hAnsi="宋体" w:eastAsia="宋体" w:cs="宋体"/>
          <w:bCs w:val="0"/>
          <w:color w:val="000000" w:themeColor="text1"/>
          <w:sz w:val="24"/>
          <w:szCs w:val="24"/>
          <w14:textFill>
            <w14:solidFill>
              <w14:schemeClr w14:val="tx1"/>
            </w14:solidFill>
          </w14:textFill>
        </w:rPr>
        <w:t>编制</w:t>
      </w:r>
      <w:r>
        <w:rPr>
          <w:rFonts w:hint="eastAsia" w:ascii="宋体" w:hAnsi="宋体" w:cs="宋体"/>
          <w:bCs w:val="0"/>
          <w:color w:val="000000" w:themeColor="text1"/>
          <w:sz w:val="24"/>
          <w:szCs w:val="24"/>
          <w:lang w:val="en-US" w:eastAsia="zh-CN"/>
          <w14:textFill>
            <w14:solidFill>
              <w14:schemeClr w14:val="tx1"/>
            </w14:solidFill>
          </w14:textFill>
        </w:rPr>
        <w:t>规划设计方案</w:t>
      </w:r>
      <w:r>
        <w:rPr>
          <w:rFonts w:hint="eastAsia" w:ascii="宋体" w:hAnsi="宋体" w:eastAsia="宋体" w:cs="宋体"/>
          <w:bCs w:val="0"/>
          <w:color w:val="000000" w:themeColor="text1"/>
          <w:sz w:val="24"/>
          <w:szCs w:val="24"/>
          <w:lang w:eastAsia="zh-CN"/>
          <w14:textFill>
            <w14:solidFill>
              <w14:schemeClr w14:val="tx1"/>
            </w14:solidFill>
          </w14:textFill>
        </w:rPr>
        <w:t>，</w:t>
      </w:r>
      <w:r>
        <w:rPr>
          <w:rFonts w:hint="eastAsia" w:ascii="宋体" w:hAnsi="宋体" w:eastAsia="宋体" w:cs="宋体"/>
          <w:bCs w:val="0"/>
          <w:color w:val="000000" w:themeColor="text1"/>
          <w:sz w:val="24"/>
          <w:szCs w:val="24"/>
          <w14:textFill>
            <w14:solidFill>
              <w14:schemeClr w14:val="tx1"/>
            </w14:solidFill>
          </w14:textFill>
        </w:rPr>
        <w:t>加强对片区风貌、空间整体性和协调性等方面的规划和管控</w:t>
      </w:r>
      <w:r>
        <w:rPr>
          <w:rFonts w:hint="eastAsia" w:ascii="宋体" w:hAnsi="宋体" w:eastAsia="宋体" w:cs="宋体"/>
          <w:bCs w:val="0"/>
          <w:color w:val="000000" w:themeColor="text1"/>
          <w:sz w:val="24"/>
          <w:szCs w:val="24"/>
          <w:lang w:eastAsia="zh-CN"/>
          <w14:textFill>
            <w14:solidFill>
              <w14:schemeClr w14:val="tx1"/>
            </w14:solidFill>
          </w14:textFill>
        </w:rPr>
        <w:t>。</w:t>
      </w:r>
    </w:p>
    <w:p>
      <w:pPr>
        <w:pStyle w:val="22"/>
        <w:tabs>
          <w:tab w:val="left" w:pos="720"/>
        </w:tabs>
        <w:autoSpaceDE w:val="0"/>
        <w:autoSpaceDN w:val="0"/>
        <w:adjustRightInd w:val="0"/>
        <w:spacing w:line="360" w:lineRule="auto"/>
        <w:ind w:right="17" w:firstLine="482"/>
        <w:jc w:val="left"/>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二、项目服务内容及服务要求</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（一）工作内容</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规划</w:t>
      </w:r>
      <w:r>
        <w:rPr>
          <w:rFonts w:hint="eastAsia" w:ascii="宋体" w:hAnsi="宋体" w:eastAsia="宋体" w:cs="宋体"/>
          <w:color w:val="000000" w:themeColor="text1"/>
          <w:sz w:val="24"/>
          <w:szCs w:val="24"/>
          <w14:textFill>
            <w14:solidFill>
              <w14:schemeClr w14:val="tx1"/>
            </w14:solidFill>
          </w14:textFill>
        </w:rPr>
        <w:t>设计</w:t>
      </w:r>
      <w:r>
        <w:rPr>
          <w:rFonts w:hint="eastAsia" w:ascii="宋体" w:hAnsi="宋体" w:eastAsia="宋体" w:cs="宋体"/>
          <w:color w:val="000000" w:themeColor="text1"/>
          <w:sz w:val="24"/>
          <w:szCs w:val="24"/>
          <w:lang w:val="en-US" w:eastAsia="zh-CN"/>
          <w14:textFill>
            <w14:solidFill>
              <w14:schemeClr w14:val="tx1"/>
            </w14:solidFill>
          </w14:textFill>
        </w:rPr>
        <w:t>研究</w:t>
      </w:r>
      <w:r>
        <w:rPr>
          <w:rFonts w:hint="eastAsia" w:ascii="宋体" w:hAnsi="宋体" w:eastAsia="宋体" w:cs="宋体"/>
          <w:color w:val="000000" w:themeColor="text1"/>
          <w:sz w:val="24"/>
          <w:szCs w:val="24"/>
          <w:lang w:eastAsia="zh-CN"/>
          <w14:textFill>
            <w14:solidFill>
              <w14:schemeClr w14:val="tx1"/>
            </w14:solidFill>
          </w14:textFill>
        </w:rPr>
        <w:t>。深入</w:t>
      </w:r>
      <w:r>
        <w:rPr>
          <w:rFonts w:hint="eastAsia" w:ascii="宋体" w:hAnsi="宋体" w:eastAsia="宋体" w:cs="宋体"/>
          <w:color w:val="000000" w:themeColor="text1"/>
          <w:sz w:val="24"/>
          <w:szCs w:val="24"/>
          <w:lang w:val="en-US" w:eastAsia="zh-CN"/>
          <w14:textFill>
            <w14:solidFill>
              <w14:schemeClr w14:val="tx1"/>
            </w14:solidFill>
          </w14:textFill>
        </w:rPr>
        <w:t>研究</w:t>
      </w:r>
      <w:r>
        <w:rPr>
          <w:rFonts w:hint="eastAsia" w:ascii="宋体" w:hAnsi="宋体" w:eastAsia="宋体" w:cs="宋体"/>
          <w:color w:val="000000" w:themeColor="text1"/>
          <w:sz w:val="24"/>
          <w:szCs w:val="24"/>
          <w:lang w:eastAsia="zh-CN"/>
          <w14:textFill>
            <w14:solidFill>
              <w14:schemeClr w14:val="tx1"/>
            </w14:solidFill>
          </w14:textFill>
        </w:rPr>
        <w:t>深圳市第六立面工作及相关规划，解读全市30个第六立面重点片区的空间分布、现状特征等基本信息，吸收借鉴试点工作经验；对片区内俯瞰点、建筑屋顶和城市底板进行深入调研与评估，摸排在建、计划建设项目情况，分析总结现状问题、提升潜力和设计改造条件；借鉴</w:t>
      </w:r>
      <w:r>
        <w:rPr>
          <w:rFonts w:hint="eastAsia" w:ascii="宋体" w:hAnsi="宋体" w:eastAsia="宋体" w:cs="宋体"/>
          <w:color w:val="000000" w:themeColor="text1"/>
          <w:sz w:val="24"/>
          <w:szCs w:val="24"/>
          <w:lang w:val="en-US" w:eastAsia="zh-CN"/>
          <w14:textFill>
            <w14:solidFill>
              <w14:schemeClr w14:val="tx1"/>
            </w14:solidFill>
          </w14:textFill>
        </w:rPr>
        <w:t>国际先进</w:t>
      </w:r>
      <w:r>
        <w:rPr>
          <w:rFonts w:hint="eastAsia" w:ascii="宋体" w:hAnsi="宋体" w:eastAsia="宋体" w:cs="宋体"/>
          <w:color w:val="000000" w:themeColor="text1"/>
          <w:sz w:val="24"/>
          <w:szCs w:val="24"/>
          <w:lang w:eastAsia="zh-CN"/>
          <w14:textFill>
            <w14:solidFill>
              <w14:schemeClr w14:val="tx1"/>
            </w14:solidFill>
          </w14:textFill>
        </w:rPr>
        <w:t>城市第六立面建设经验，研究前海发展特色与片区建设情况，明确提升目标与设计意象；制定空间结构方案，并从俯瞰点、屋顶、底板三方面出发提出系统性提升策略；完善重点项目清单、明确提升内容，形成有序可落地的实施计划。</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技术咨询及宣传材料制作</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对前海合作区城市第六立面提升工作提供全过程技术咨询，对面向实施的城市第六立面专项设计方案提出专业技术咨询意见，加强对方案编制思路、内容、品质的技术把控；对实施情况技术总结，针对2024年度和2025年度前海合作区完成实施的城市第六立面提升工作实施情况提升效果等提供技术分析，总结经验与问题，提出改善建议；协助开展舆论宣传推广，制作相关宣传材料。</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二</w:t>
      </w:r>
      <w:r>
        <w:rPr>
          <w:rFonts w:hint="eastAsia" w:ascii="宋体" w:hAnsi="宋体" w:eastAsia="宋体" w:cs="宋体"/>
          <w:b/>
          <w:bCs/>
          <w:color w:val="000000" w:themeColor="text1"/>
          <w:sz w:val="24"/>
          <w:szCs w:val="24"/>
          <w14:textFill>
            <w14:solidFill>
              <w14:schemeClr w14:val="tx1"/>
            </w14:solidFill>
          </w14:textFill>
        </w:rPr>
        <w:t>）工作进度</w:t>
      </w:r>
    </w:p>
    <w:p>
      <w:pPr>
        <w:pStyle w:val="22"/>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本项目计划工作时间为自合同签订之日至2025年底内完成该项目相关成果的编制、汇报等工作，并经采购人审议通过。具体工作划分为 3个阶段：</w:t>
      </w:r>
    </w:p>
    <w:p>
      <w:pPr>
        <w:pageBreakBefore w:val="0"/>
        <w:numPr>
          <w:ilvl w:val="0"/>
          <w:numId w:val="0"/>
        </w:numPr>
        <w:kinsoku/>
        <w:overflowPunct/>
        <w:topLinePunct w:val="0"/>
        <w:bidi w:val="0"/>
        <w:spacing w:line="360" w:lineRule="auto"/>
        <w:ind w:firstLine="480" w:firstLineChars="200"/>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1.第一阶段：自合同签订日起两个月内，完成现状调研，解读上位规划，</w:t>
      </w:r>
      <w:r>
        <w:rPr>
          <w:rFonts w:hint="eastAsia" w:ascii="宋体" w:hAnsi="宋体" w:cs="宋体"/>
          <w:bCs/>
          <w:color w:val="000000" w:themeColor="text1"/>
          <w:sz w:val="24"/>
          <w:highlight w:val="none"/>
          <w:lang w:val="en-US" w:eastAsia="zh-CN"/>
          <w14:textFill>
            <w14:solidFill>
              <w14:schemeClr w14:val="tx1"/>
            </w14:solidFill>
          </w14:textFill>
        </w:rPr>
        <w:t>编制规划设计方案，</w:t>
      </w:r>
      <w:r>
        <w:rPr>
          <w:rFonts w:hint="eastAsia" w:ascii="宋体" w:hAnsi="宋体" w:eastAsia="宋体" w:cs="宋体"/>
          <w:bCs/>
          <w:color w:val="000000" w:themeColor="text1"/>
          <w:sz w:val="24"/>
          <w:highlight w:val="none"/>
          <w:lang w:val="en-US" w:eastAsia="zh-CN"/>
          <w14:textFill>
            <w14:solidFill>
              <w14:schemeClr w14:val="tx1"/>
            </w14:solidFill>
          </w14:textFill>
        </w:rPr>
        <w:t>完成《前海城市第六立面提升规划设计研究报告（暂定名）》，包括但不限于《前海中集国际商务中心提升片区总体设计方案》。</w:t>
      </w:r>
    </w:p>
    <w:p>
      <w:pPr>
        <w:pageBreakBefore w:val="0"/>
        <w:numPr>
          <w:ilvl w:val="0"/>
          <w:numId w:val="0"/>
        </w:numPr>
        <w:kinsoku/>
        <w:overflowPunct/>
        <w:topLinePunct w:val="0"/>
        <w:bidi w:val="0"/>
        <w:spacing w:line="360" w:lineRule="auto"/>
        <w:ind w:firstLine="480" w:firstLineChars="200"/>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2.第二阶段：2024年12月31日前，完成《2024年度前海合作区城市第六立面提升实施情况技术总结报告（暂定名）》及2024年度相关技术咨询意见文件等，并提交成果文件；</w:t>
      </w:r>
    </w:p>
    <w:p>
      <w:pPr>
        <w:pageBreakBefore w:val="0"/>
        <w:numPr>
          <w:ilvl w:val="0"/>
          <w:numId w:val="0"/>
        </w:numPr>
        <w:kinsoku/>
        <w:overflowPunct/>
        <w:topLinePunct w:val="0"/>
        <w:bidi w:val="0"/>
        <w:spacing w:line="360" w:lineRule="auto"/>
        <w:ind w:firstLine="480" w:firstLineChars="200"/>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3.第三阶段：2025年12月31日前，完成《2025年度前海合作区城市第六立面提升实施情况技术总结报告（暂定名）》及2025年度相关技术咨询意见文件、宣传</w:t>
      </w:r>
      <w:r>
        <w:rPr>
          <w:rFonts w:hint="eastAsia" w:ascii="宋体" w:hAnsi="宋体" w:cs="宋体"/>
          <w:bCs/>
          <w:color w:val="000000" w:themeColor="text1"/>
          <w:sz w:val="24"/>
          <w:highlight w:val="none"/>
          <w:lang w:val="en-US" w:eastAsia="zh-CN"/>
          <w14:textFill>
            <w14:solidFill>
              <w14:schemeClr w14:val="tx1"/>
            </w14:solidFill>
          </w14:textFill>
        </w:rPr>
        <w:t>材料（包括但不限于</w:t>
      </w:r>
      <w:r>
        <w:rPr>
          <w:rFonts w:hint="eastAsia" w:ascii="宋体" w:hAnsi="宋体" w:eastAsia="宋体" w:cs="宋体"/>
          <w:bCs/>
          <w:color w:val="000000" w:themeColor="text1"/>
          <w:sz w:val="24"/>
          <w:highlight w:val="none"/>
          <w:lang w:val="en-US" w:eastAsia="zh-CN"/>
          <w14:textFill>
            <w14:solidFill>
              <w14:schemeClr w14:val="tx1"/>
            </w14:solidFill>
          </w14:textFill>
        </w:rPr>
        <w:t>视频</w:t>
      </w:r>
      <w:r>
        <w:rPr>
          <w:rFonts w:hint="eastAsia" w:ascii="宋体" w:hAnsi="宋体" w:cs="宋体"/>
          <w:bCs/>
          <w:color w:val="000000" w:themeColor="text1"/>
          <w:sz w:val="24"/>
          <w:highlight w:val="none"/>
          <w:lang w:val="en-US" w:eastAsia="zh-CN"/>
          <w14:textFill>
            <w14:solidFill>
              <w14:schemeClr w14:val="tx1"/>
            </w14:solidFill>
          </w14:textFill>
        </w:rPr>
        <w:t>、照片、文字）</w:t>
      </w:r>
      <w:r>
        <w:rPr>
          <w:rFonts w:hint="eastAsia" w:ascii="宋体" w:hAnsi="宋体" w:eastAsia="宋体" w:cs="宋体"/>
          <w:bCs/>
          <w:color w:val="000000" w:themeColor="text1"/>
          <w:sz w:val="24"/>
          <w:highlight w:val="none"/>
          <w:lang w:val="en-US" w:eastAsia="zh-CN"/>
          <w14:textFill>
            <w14:solidFill>
              <w14:schemeClr w14:val="tx1"/>
            </w14:solidFill>
          </w14:textFill>
        </w:rPr>
        <w:t>等及全部工作内容成果，提交全部成果电子文件，包括电子光盘2份，纸质文件2份。</w:t>
      </w:r>
    </w:p>
    <w:p>
      <w:pPr>
        <w:pStyle w:val="22"/>
        <w:tabs>
          <w:tab w:val="left" w:pos="720"/>
        </w:tabs>
        <w:autoSpaceDE w:val="0"/>
        <w:autoSpaceDN w:val="0"/>
        <w:adjustRightInd w:val="0"/>
        <w:spacing w:line="360" w:lineRule="auto"/>
        <w:ind w:right="17" w:firstLine="482"/>
        <w:jc w:val="left"/>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三</w:t>
      </w:r>
      <w:r>
        <w:rPr>
          <w:rFonts w:hint="eastAsia" w:ascii="宋体" w:hAnsi="宋体" w:cs="宋体"/>
          <w:b/>
          <w:color w:val="000000" w:themeColor="text1"/>
          <w:sz w:val="24"/>
          <w:highlight w:val="none"/>
          <w14:textFill>
            <w14:solidFill>
              <w14:schemeClr w14:val="tx1"/>
            </w14:solidFill>
          </w14:textFill>
        </w:rPr>
        <w:t>、成果要求</w:t>
      </w:r>
    </w:p>
    <w:p>
      <w:pPr>
        <w:pStyle w:val="22"/>
        <w:tabs>
          <w:tab w:val="left" w:pos="720"/>
        </w:tabs>
        <w:autoSpaceDE w:val="0"/>
        <w:autoSpaceDN w:val="0"/>
        <w:adjustRightInd w:val="0"/>
        <w:spacing w:line="360" w:lineRule="auto"/>
        <w:ind w:right="17" w:firstLine="482"/>
        <w:jc w:val="left"/>
        <w:outlineLvl w:val="1"/>
        <w:rPr>
          <w:rFonts w:hint="eastAsia"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（一）规划设计研究。《前海城市第六立面提升规划设计研究报告（暂定名）》，包括但不限于《前海中集国际商务中心提升片区总体设计方案（暂定名）》。</w:t>
      </w:r>
    </w:p>
    <w:p>
      <w:pPr>
        <w:pStyle w:val="22"/>
        <w:tabs>
          <w:tab w:val="left" w:pos="720"/>
        </w:tabs>
        <w:autoSpaceDE w:val="0"/>
        <w:autoSpaceDN w:val="0"/>
        <w:adjustRightInd w:val="0"/>
        <w:spacing w:line="360" w:lineRule="auto"/>
        <w:ind w:right="17" w:firstLine="482"/>
        <w:jc w:val="left"/>
        <w:outlineLvl w:val="1"/>
        <w:rPr>
          <w:rFonts w:hint="eastAsia"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二）技术咨询及宣传材料制作。《2024年度前海合作区城市第六立面提升实施情况技术总结报告（暂定名）》《2025年度前海合作区城市第六立面提升实施情况技术总结报告（暂定名）》、宣传视频（不少于2分钟，4K画质）、其他相关技术咨询文件及宣传材料等。</w:t>
      </w:r>
    </w:p>
    <w:p>
      <w:pPr>
        <w:pStyle w:val="22"/>
        <w:tabs>
          <w:tab w:val="left" w:pos="720"/>
        </w:tabs>
        <w:autoSpaceDE w:val="0"/>
        <w:autoSpaceDN w:val="0"/>
        <w:adjustRightInd w:val="0"/>
        <w:spacing w:line="360" w:lineRule="auto"/>
        <w:ind w:right="17" w:firstLine="482"/>
        <w:jc w:val="left"/>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四、</w:t>
      </w:r>
      <w:r>
        <w:rPr>
          <w:rFonts w:hint="eastAsia" w:ascii="宋体" w:hAnsi="宋体" w:cs="宋体"/>
          <w:b/>
          <w:color w:val="000000" w:themeColor="text1"/>
          <w:sz w:val="24"/>
          <w:highlight w:val="none"/>
          <w14:textFill>
            <w14:solidFill>
              <w14:schemeClr w14:val="tx1"/>
            </w14:solidFill>
          </w14:textFill>
        </w:rPr>
        <w:t>验收标准</w:t>
      </w:r>
    </w:p>
    <w:p>
      <w:pPr>
        <w:pStyle w:val="22"/>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中标人编制的本项目全部成果通过采购人验收合格。</w:t>
      </w:r>
    </w:p>
    <w:p>
      <w:pPr>
        <w:pStyle w:val="22"/>
        <w:tabs>
          <w:tab w:val="left" w:pos="720"/>
        </w:tabs>
        <w:autoSpaceDE w:val="0"/>
        <w:autoSpaceDN w:val="0"/>
        <w:adjustRightInd w:val="0"/>
        <w:spacing w:line="360" w:lineRule="auto"/>
        <w:ind w:right="17" w:firstLine="482"/>
        <w:jc w:val="left"/>
        <w:outlineLvl w:val="1"/>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五、</w:t>
      </w:r>
      <w:r>
        <w:rPr>
          <w:rFonts w:hint="eastAsia" w:ascii="宋体" w:hAnsi="宋体" w:cs="宋体"/>
          <w:b/>
          <w:color w:val="000000" w:themeColor="text1"/>
          <w:sz w:val="24"/>
          <w14:textFill>
            <w14:solidFill>
              <w14:schemeClr w14:val="tx1"/>
            </w14:solidFill>
          </w14:textFill>
        </w:rPr>
        <w:t>商务要求</w:t>
      </w:r>
    </w:p>
    <w:p>
      <w:pPr>
        <w:tabs>
          <w:tab w:val="left" w:pos="720"/>
        </w:tabs>
        <w:autoSpaceDE w:val="0"/>
        <w:autoSpaceDN w:val="0"/>
        <w:adjustRightInd w:val="0"/>
        <w:spacing w:line="360" w:lineRule="auto"/>
        <w:ind w:right="17" w:firstLine="482" w:firstLineChars="200"/>
        <w:outlineLvl w:val="2"/>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（一）服务期限</w:t>
      </w:r>
    </w:p>
    <w:p>
      <w:pPr>
        <w:spacing w:after="156" w:afterLines="50" w:line="360" w:lineRule="auto"/>
        <w:ind w:firstLine="480" w:firstLineChars="200"/>
        <w:rPr>
          <w:rFonts w:hint="eastAsia"/>
          <w:color w:val="000000" w:themeColor="text1"/>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自合同签订日期起至2025年12月31日</w:t>
      </w:r>
      <w:r>
        <w:rPr>
          <w:rFonts w:hint="eastAsia" w:ascii="宋体" w:hAnsi="宋体" w:cs="宋体"/>
          <w:color w:val="000000" w:themeColor="text1"/>
          <w:sz w:val="24"/>
          <w14:textFill>
            <w14:solidFill>
              <w14:schemeClr w14:val="tx1"/>
            </w14:solidFill>
          </w14:textFill>
        </w:rPr>
        <w:t>。</w:t>
      </w:r>
    </w:p>
    <w:p>
      <w:pPr>
        <w:tabs>
          <w:tab w:val="left" w:pos="720"/>
        </w:tabs>
        <w:autoSpaceDE w:val="0"/>
        <w:autoSpaceDN w:val="0"/>
        <w:adjustRightInd w:val="0"/>
        <w:spacing w:line="360" w:lineRule="auto"/>
        <w:ind w:right="17" w:firstLine="482" w:firstLineChars="200"/>
        <w:outlineLvl w:val="2"/>
        <w:rPr>
          <w:rFonts w:hint="default" w:ascii="宋体" w:hAnsi="宋体" w:eastAsia="宋体" w:cs="宋体"/>
          <w:b/>
          <w:bCs/>
          <w:color w:val="000000" w:themeColor="text1"/>
          <w:kern w:val="0"/>
          <w:sz w:val="24"/>
          <w:lang w:val="en-US" w:eastAsia="zh-CN"/>
          <w14:textFill>
            <w14:solidFill>
              <w14:schemeClr w14:val="tx1"/>
            </w14:solidFill>
          </w14:textFill>
        </w:rPr>
      </w:pPr>
      <w:r>
        <w:rPr>
          <w:rFonts w:hint="eastAsia" w:ascii="宋体" w:hAnsi="宋体" w:eastAsia="宋体" w:cs="宋体"/>
          <w:b/>
          <w:bCs/>
          <w:color w:val="000000" w:themeColor="text1"/>
          <w:kern w:val="0"/>
          <w:sz w:val="24"/>
          <w:lang w:eastAsia="zh-CN"/>
          <w14:textFill>
            <w14:solidFill>
              <w14:schemeClr w14:val="tx1"/>
            </w14:solidFill>
          </w14:textFill>
        </w:rPr>
        <w:t>（</w:t>
      </w:r>
      <w:r>
        <w:rPr>
          <w:rFonts w:hint="eastAsia" w:ascii="宋体" w:hAnsi="宋体" w:eastAsia="宋体" w:cs="宋体"/>
          <w:b/>
          <w:bCs/>
          <w:color w:val="000000" w:themeColor="text1"/>
          <w:kern w:val="0"/>
          <w:sz w:val="24"/>
          <w:lang w:val="en-US" w:eastAsia="zh-CN"/>
          <w14:textFill>
            <w14:solidFill>
              <w14:schemeClr w14:val="tx1"/>
            </w14:solidFill>
          </w14:textFill>
        </w:rPr>
        <w:t>二</w:t>
      </w:r>
      <w:r>
        <w:rPr>
          <w:rFonts w:hint="eastAsia" w:ascii="宋体" w:hAnsi="宋体" w:eastAsia="宋体" w:cs="宋体"/>
          <w:b/>
          <w:bCs/>
          <w:color w:val="000000" w:themeColor="text1"/>
          <w:kern w:val="0"/>
          <w:sz w:val="24"/>
          <w:lang w:eastAsia="zh-CN"/>
          <w14:textFill>
            <w14:solidFill>
              <w14:schemeClr w14:val="tx1"/>
            </w14:solidFill>
          </w14:textFill>
        </w:rPr>
        <w:t>）</w:t>
      </w:r>
      <w:r>
        <w:rPr>
          <w:rFonts w:hint="eastAsia" w:ascii="宋体" w:hAnsi="宋体" w:eastAsia="宋体" w:cs="宋体"/>
          <w:b/>
          <w:bCs/>
          <w:color w:val="000000" w:themeColor="text1"/>
          <w:kern w:val="0"/>
          <w:sz w:val="24"/>
          <w:lang w:val="en-US" w:eastAsia="zh-CN"/>
          <w14:textFill>
            <w14:solidFill>
              <w14:schemeClr w14:val="tx1"/>
            </w14:solidFill>
          </w14:textFill>
        </w:rPr>
        <w:t>后续服务要求</w:t>
      </w:r>
    </w:p>
    <w:p>
      <w:pPr>
        <w:spacing w:after="156" w:afterLines="50" w:line="360" w:lineRule="auto"/>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项目后续服务期限为最终成果通过采购人审查之日起的 1 年内，中标人须与采购人保持全面沟通，提供技术服务支持。</w:t>
      </w:r>
    </w:p>
    <w:p>
      <w:pPr>
        <w:tabs>
          <w:tab w:val="left" w:pos="720"/>
        </w:tabs>
        <w:autoSpaceDE w:val="0"/>
        <w:autoSpaceDN w:val="0"/>
        <w:adjustRightInd w:val="0"/>
        <w:spacing w:line="360" w:lineRule="auto"/>
        <w:ind w:right="17" w:firstLine="482" w:firstLineChars="200"/>
        <w:outlineLvl w:val="2"/>
        <w:rPr>
          <w:rFonts w:hint="default" w:ascii="宋体" w:hAnsi="宋体" w:eastAsia="宋体" w:cs="宋体"/>
          <w:b/>
          <w:bCs/>
          <w:color w:val="000000" w:themeColor="text1"/>
          <w:kern w:val="0"/>
          <w:sz w:val="24"/>
          <w:lang w:val="en-US" w:eastAsia="zh-CN"/>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w:t>
      </w:r>
      <w:r>
        <w:rPr>
          <w:rFonts w:hint="eastAsia" w:ascii="宋体" w:hAnsi="宋体" w:cs="宋体"/>
          <w:b/>
          <w:bCs/>
          <w:color w:val="000000" w:themeColor="text1"/>
          <w:kern w:val="0"/>
          <w:sz w:val="24"/>
          <w:lang w:val="en-US" w:eastAsia="zh-CN"/>
          <w14:textFill>
            <w14:solidFill>
              <w14:schemeClr w14:val="tx1"/>
            </w14:solidFill>
          </w14:textFill>
        </w:rPr>
        <w:t>三</w:t>
      </w:r>
      <w:r>
        <w:rPr>
          <w:rFonts w:hint="eastAsia" w:ascii="宋体" w:hAnsi="宋体" w:cs="宋体"/>
          <w:b/>
          <w:bCs/>
          <w:color w:val="000000" w:themeColor="text1"/>
          <w:kern w:val="0"/>
          <w:sz w:val="24"/>
          <w14:textFill>
            <w14:solidFill>
              <w14:schemeClr w14:val="tx1"/>
            </w14:solidFill>
          </w14:textFill>
        </w:rPr>
        <w:t>）</w:t>
      </w:r>
      <w:r>
        <w:rPr>
          <w:rFonts w:hint="eastAsia" w:ascii="宋体" w:hAnsi="宋体" w:cs="宋体"/>
          <w:b/>
          <w:bCs/>
          <w:color w:val="000000" w:themeColor="text1"/>
          <w:kern w:val="0"/>
          <w:sz w:val="24"/>
          <w:lang w:val="en-US" w:eastAsia="zh-CN"/>
          <w14:textFill>
            <w14:solidFill>
              <w14:schemeClr w14:val="tx1"/>
            </w14:solidFill>
          </w14:textFill>
        </w:rPr>
        <w:t>服务地点</w:t>
      </w:r>
    </w:p>
    <w:p>
      <w:pPr>
        <w:spacing w:after="156" w:afterLines="50" w:line="360" w:lineRule="auto"/>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前海深港现代服务业合作区。</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w:t>
      </w:r>
      <w:r>
        <w:rPr>
          <w:rFonts w:hint="eastAsia" w:ascii="宋体" w:hAnsi="宋体" w:cs="宋体"/>
          <w:b/>
          <w:bCs/>
          <w:color w:val="000000" w:themeColor="text1"/>
          <w:kern w:val="0"/>
          <w:sz w:val="24"/>
          <w:lang w:val="en-US" w:eastAsia="zh-CN"/>
          <w14:textFill>
            <w14:solidFill>
              <w14:schemeClr w14:val="tx1"/>
            </w14:solidFill>
          </w14:textFill>
        </w:rPr>
        <w:t>四</w:t>
      </w:r>
      <w:r>
        <w:rPr>
          <w:rFonts w:hint="eastAsia" w:ascii="宋体" w:hAnsi="宋体" w:cs="宋体"/>
          <w:b/>
          <w:bCs/>
          <w:color w:val="000000" w:themeColor="text1"/>
          <w:kern w:val="0"/>
          <w:sz w:val="24"/>
          <w14:textFill>
            <w14:solidFill>
              <w14:schemeClr w14:val="tx1"/>
            </w14:solidFill>
          </w14:textFill>
        </w:rPr>
        <w:t>）报价要求</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1.本次投标为总价包干，投标报价总价作为中标人与采购人签定的合同金额。项目预算控制</w:t>
      </w:r>
      <w:r>
        <w:rPr>
          <w:rFonts w:hint="eastAsia" w:ascii="宋体" w:hAnsi="宋体" w:cs="宋体"/>
          <w:color w:val="000000" w:themeColor="text1"/>
          <w:sz w:val="24"/>
          <w:lang w:val="en-US" w:eastAsia="zh-CN"/>
          <w14:textFill>
            <w14:solidFill>
              <w14:schemeClr w14:val="tx1"/>
            </w14:solidFill>
          </w14:textFill>
        </w:rPr>
        <w:t>91.6万元</w:t>
      </w:r>
      <w:r>
        <w:rPr>
          <w:rFonts w:hint="eastAsia" w:ascii="宋体" w:hAnsi="宋体" w:cs="宋体"/>
          <w:color w:val="000000" w:themeColor="text1"/>
          <w:sz w:val="24"/>
          <w14:textFill>
            <w14:solidFill>
              <w14:schemeClr w14:val="tx1"/>
            </w14:solidFill>
          </w14:textFill>
        </w:rPr>
        <w:t>以内，投标人的报价不可高于预算（限价），否则投标人的投标文件视同无效。</w:t>
      </w:r>
      <w:r>
        <w:rPr>
          <w:rFonts w:hint="eastAsia" w:ascii="宋体" w:hAnsi="宋体" w:cs="宋体"/>
          <w:color w:val="000000" w:themeColor="text1"/>
          <w:sz w:val="24"/>
          <w:lang w:eastAsia="zh-CN"/>
          <w14:textFill>
            <w14:solidFill>
              <w14:schemeClr w14:val="tx1"/>
            </w14:solidFill>
          </w14:textFill>
        </w:rPr>
        <w:t>投标人的投标总价为完成项目及招标文件或合同条款所规定的工作内容的各项费用，项目服务费包括</w:t>
      </w:r>
      <w:r>
        <w:rPr>
          <w:rFonts w:hint="eastAsia" w:ascii="宋体" w:hAnsi="宋体" w:cs="宋体"/>
          <w:color w:val="000000" w:themeColor="text1"/>
          <w:sz w:val="24"/>
          <w:lang w:val="en-US" w:eastAsia="zh-CN"/>
          <w14:textFill>
            <w14:solidFill>
              <w14:schemeClr w14:val="tx1"/>
            </w14:solidFill>
          </w14:textFill>
        </w:rPr>
        <w:t>但不限于：</w:t>
      </w:r>
      <w:r>
        <w:rPr>
          <w:rFonts w:hint="eastAsia" w:ascii="宋体" w:hAnsi="宋体" w:cs="宋体"/>
          <w:color w:val="000000" w:themeColor="text1"/>
          <w:kern w:val="0"/>
          <w:sz w:val="24"/>
          <w:lang w:val="en-US" w:eastAsia="zh-CN"/>
          <w14:textFill>
            <w14:solidFill>
              <w14:schemeClr w14:val="tx1"/>
            </w14:solidFill>
          </w14:textFill>
        </w:rPr>
        <w:t>工程测量、调查调研、差旅费、项目成果报告编制、印刷费、专家咨询费以及会议费等所有费用，并提供合同要求的报告、全部规划研究成果文件和全部资料，以及其它相关服务的全部费用；由企业根据招标文件所提供的资料自行测算投标报价；一经中标，投标报价总价作为中标单位与采购人签定的合同金额，合同期限内不做调整</w:t>
      </w:r>
      <w:r>
        <w:rPr>
          <w:rFonts w:hint="eastAsia" w:ascii="宋体" w:hAnsi="宋体" w:cs="宋体"/>
          <w:color w:val="000000" w:themeColor="text1"/>
          <w:sz w:val="24"/>
          <w14:textFill>
            <w14:solidFill>
              <w14:schemeClr w14:val="tx1"/>
            </w14:solidFill>
          </w14:textFill>
        </w:rPr>
        <w:t>。</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3.投标人的投标报价，应是本项目招标范围和招标文件及合同条款上所列的各项内容中所述的全部，不得以任何理由予以重复，并以投标人在投标文件中提出的综合单价或总价为依据。</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4.投标人应充分了解项目的位置、情况、道路及任何其他足以影响投标报价的情况，任何因忽视或误解项目情况而导致的索赔或服务期限延长申请将不获批准。</w:t>
      </w:r>
    </w:p>
    <w:p>
      <w:pPr>
        <w:widowControl/>
        <w:spacing w:line="360" w:lineRule="auto"/>
        <w:ind w:firstLine="480" w:firstLineChars="200"/>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w:t>
      </w:r>
      <w:r>
        <w:rPr>
          <w:rFonts w:hint="eastAsia" w:ascii="宋体" w:hAnsi="宋体" w:cs="宋体"/>
          <w:b/>
          <w:bCs/>
          <w:color w:val="000000" w:themeColor="text1"/>
          <w:kern w:val="0"/>
          <w:sz w:val="24"/>
          <w:highlight w:val="none"/>
          <w:lang w:val="en-US" w:eastAsia="zh-CN"/>
          <w14:textFill>
            <w14:solidFill>
              <w14:schemeClr w14:val="tx1"/>
            </w14:solidFill>
          </w14:textFill>
        </w:rPr>
        <w:t>五</w:t>
      </w:r>
      <w:r>
        <w:rPr>
          <w:rFonts w:hint="eastAsia" w:ascii="宋体" w:hAnsi="宋体" w:cs="宋体"/>
          <w:b/>
          <w:bCs/>
          <w:color w:val="000000" w:themeColor="text1"/>
          <w:kern w:val="0"/>
          <w:sz w:val="24"/>
          <w:highlight w:val="none"/>
          <w14:textFill>
            <w14:solidFill>
              <w14:schemeClr w14:val="tx1"/>
            </w14:solidFill>
          </w14:textFill>
        </w:rPr>
        <w:t>）付款方式</w:t>
      </w:r>
    </w:p>
    <w:p>
      <w:pPr>
        <w:tabs>
          <w:tab w:val="left" w:pos="720"/>
        </w:tabs>
        <w:autoSpaceDE w:val="0"/>
        <w:autoSpaceDN w:val="0"/>
        <w:adjustRightInd w:val="0"/>
        <w:spacing w:line="360" w:lineRule="auto"/>
        <w:ind w:right="17" w:firstLine="480" w:firstLineChars="200"/>
        <w:outlineLvl w:val="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1.本合同共分四期进行付款：首期款30%，第二期款</w:t>
      </w:r>
      <w:r>
        <w:rPr>
          <w:rFonts w:hint="default" w:ascii="宋体" w:hAnsi="宋体" w:cs="宋体"/>
          <w:color w:val="000000" w:themeColor="text1"/>
          <w:sz w:val="24"/>
          <w:highlight w:val="none"/>
          <w:lang w:val="en-US"/>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0%，第三期款</w:t>
      </w:r>
      <w:r>
        <w:rPr>
          <w:rFonts w:hint="default" w:ascii="宋体" w:hAnsi="宋体" w:cs="宋体"/>
          <w:color w:val="000000" w:themeColor="text1"/>
          <w:sz w:val="24"/>
          <w:highlight w:val="none"/>
          <w:lang w:val="en-US"/>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0%，第四期20%:</w:t>
      </w:r>
    </w:p>
    <w:p>
      <w:pPr>
        <w:widowControl/>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（1）第一期：签订合同15个工作日内，支付合同总价款的30%；</w:t>
      </w:r>
    </w:p>
    <w:p>
      <w:pPr>
        <w:widowControl/>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（2）第二期：完成《前海城市第六立面提升规划设计研究报告（暂定名）》，经专家评审并通过</w:t>
      </w:r>
      <w:r>
        <w:rPr>
          <w:rFonts w:hint="eastAsia" w:ascii="宋体" w:hAnsi="宋体" w:cs="宋体"/>
          <w:color w:val="000000" w:themeColor="text1"/>
          <w:sz w:val="24"/>
          <w:highlight w:val="none"/>
          <w:lang w:val="en-US"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验收合格后，支付合同总价款的</w:t>
      </w:r>
      <w:r>
        <w:rPr>
          <w:rFonts w:hint="eastAsia" w:ascii="宋体" w:hAnsi="宋体" w:cs="宋体"/>
          <w:color w:val="000000" w:themeColor="text1"/>
          <w:sz w:val="24"/>
          <w:highlight w:val="none"/>
          <w:lang w:val="en-US"/>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0%；</w:t>
      </w:r>
    </w:p>
    <w:p>
      <w:pPr>
        <w:widowControl/>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（3）第三期：完成《2024年度前海合作区城市第六立面提升实施情况技术总结报告（暂定名）》及2024年度相关技术咨询意见文件，并通过</w:t>
      </w:r>
      <w:r>
        <w:rPr>
          <w:rFonts w:hint="eastAsia" w:ascii="宋体" w:hAnsi="宋体" w:cs="宋体"/>
          <w:color w:val="000000" w:themeColor="text1"/>
          <w:sz w:val="24"/>
          <w:highlight w:val="none"/>
          <w:lang w:val="en-US"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验收合格后，支付合同总价款的</w:t>
      </w:r>
      <w:r>
        <w:rPr>
          <w:rFonts w:hint="default" w:ascii="宋体" w:hAnsi="宋体" w:cs="宋体"/>
          <w:color w:val="000000" w:themeColor="text1"/>
          <w:sz w:val="24"/>
          <w:highlight w:val="none"/>
          <w:lang w:val="en-US"/>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0%；</w:t>
      </w:r>
    </w:p>
    <w:p>
      <w:pPr>
        <w:widowControl/>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（4）第四期：完成全部工作内容并提交全部成果电子文件，并通过</w:t>
      </w:r>
      <w:r>
        <w:rPr>
          <w:rFonts w:hint="eastAsia" w:ascii="宋体" w:hAnsi="宋体" w:cs="宋体"/>
          <w:color w:val="000000" w:themeColor="text1"/>
          <w:sz w:val="24"/>
          <w:highlight w:val="none"/>
          <w:lang w:val="en-US"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验收合格后，支付合同总价款的20%。</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上述每期款项均在满足付款条件，且采购人收到中标人开具的载明相应金额的合格发票后15个工作日内付至中标人指定银行账户。如未及时收到发票，则采购人相应付款时间顺延。若因</w:t>
      </w:r>
      <w:r>
        <w:rPr>
          <w:rFonts w:ascii="宋体" w:hAnsi="宋体" w:cs="宋体"/>
          <w:color w:val="000000" w:themeColor="text1"/>
          <w:sz w:val="24"/>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付款审批影响支付进度，请</w:t>
      </w:r>
      <w:r>
        <w:rPr>
          <w:rFonts w:ascii="宋体" w:hAnsi="宋体" w:cs="宋体"/>
          <w:color w:val="000000" w:themeColor="text1"/>
          <w:sz w:val="24"/>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予以谅解，并不得就此向</w:t>
      </w:r>
      <w:r>
        <w:rPr>
          <w:rFonts w:ascii="宋体" w:hAnsi="宋体" w:cs="宋体"/>
          <w:color w:val="000000" w:themeColor="text1"/>
          <w:sz w:val="24"/>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索赔</w:t>
      </w:r>
      <w:r>
        <w:rPr>
          <w:rFonts w:hint="eastAsia" w:ascii="宋体" w:hAnsi="宋体" w:cs="宋体"/>
          <w:color w:val="000000" w:themeColor="text1"/>
          <w:sz w:val="24"/>
          <w:highlight w:val="none"/>
          <w14:textFill>
            <w14:solidFill>
              <w14:schemeClr w14:val="tx1"/>
            </w14:solidFill>
          </w14:textFill>
        </w:rPr>
        <w:t>。</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w:t>
      </w:r>
      <w:r>
        <w:rPr>
          <w:rFonts w:hint="eastAsia" w:ascii="宋体" w:hAnsi="宋体" w:cs="宋体"/>
          <w:b/>
          <w:bCs/>
          <w:color w:val="000000" w:themeColor="text1"/>
          <w:kern w:val="0"/>
          <w:sz w:val="24"/>
          <w:lang w:val="en-US" w:eastAsia="zh-CN"/>
          <w14:textFill>
            <w14:solidFill>
              <w14:schemeClr w14:val="tx1"/>
            </w14:solidFill>
          </w14:textFill>
        </w:rPr>
        <w:t>六</w:t>
      </w:r>
      <w:r>
        <w:rPr>
          <w:rFonts w:hint="eastAsia" w:ascii="宋体" w:hAnsi="宋体" w:cs="宋体"/>
          <w:b/>
          <w:bCs/>
          <w:color w:val="000000" w:themeColor="text1"/>
          <w:kern w:val="0"/>
          <w:sz w:val="24"/>
          <w14:textFill>
            <w14:solidFill>
              <w14:schemeClr w14:val="tx1"/>
            </w14:solidFill>
          </w14:textFill>
        </w:rPr>
        <w:t>）成果权属与知识产权</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1.本项目最终成果（包括为后续服务范围所编制的文件）的所有权、知识产权以及与之相关的所有权利归采购人所有；本合同签署前双方已经拥有的知识产权权利，仍归各自所有。</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2.双方确定，采购人有权对中标人按照本合同约定提供的成果进行后续改进。由此产生的具有实质性或创造性特征的新的技术成果及其权利全部由采购人享有。</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中标人所提交的最终成果文件及任何数据、资料、软件等不得侵犯任何第三方的知识产权或其他权利，由于该等文件、数据、资料、软件侵权所导致的任何索赔或责任均由中标人承担。同时，采购人有权要求中标人修改成果至不侵权或解除合同，并保留要求中标人赔偿全部损失的权利，包括但不限于上述索赔或责任所产生的诉讼费用、合理的律师费用、鉴定评估费用、 调查费用、和解金额或生效法律文书中规定的赔偿金额。</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未经采购人书面在先同意，中标人不得将本项目的最终成果文件及任何数据、资料、软件向任何第三方转让、授权任何第三方使用或用于本合同项目外的其他项目。如发生以上情况，中标人应向采购人支付本合同总价款 20%的违约金，同时，采购人保留要求中标人赔偿全部损失的权利，包括但不限于上述索赔或责任所产生的诉讼费用、合理的律师费用、鉴定评估费用、 调查费用、和解金额或生效法律文书中规定的赔偿金额。</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5.中标人完成本项目的研究人员享有在有关技术成果文件上署名的权利和与采购人共同获得有关 荣誉证书、奖励的权利。</w:t>
      </w:r>
    </w:p>
    <w:p>
      <w:pPr>
        <w:widowControl/>
        <w:spacing w:line="360" w:lineRule="auto"/>
        <w:ind w:firstLine="482" w:firstLineChars="200"/>
        <w:outlineLvl w:val="2"/>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w:t>
      </w:r>
      <w:r>
        <w:rPr>
          <w:rFonts w:hint="eastAsia" w:ascii="宋体" w:hAnsi="宋体" w:cs="宋体"/>
          <w:b/>
          <w:bCs/>
          <w:color w:val="000000" w:themeColor="text1"/>
          <w:kern w:val="0"/>
          <w:sz w:val="24"/>
          <w:lang w:val="en-US" w:eastAsia="zh-CN"/>
          <w14:textFill>
            <w14:solidFill>
              <w14:schemeClr w14:val="tx1"/>
            </w14:solidFill>
          </w14:textFill>
        </w:rPr>
        <w:t>七</w:t>
      </w:r>
      <w:r>
        <w:rPr>
          <w:rFonts w:hint="eastAsia" w:ascii="宋体" w:hAnsi="宋体" w:cs="宋体"/>
          <w:b/>
          <w:bCs/>
          <w:color w:val="000000" w:themeColor="text1"/>
          <w:kern w:val="0"/>
          <w:sz w:val="24"/>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保密条款</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合同项下的义务，且只能由相关的技术人员使用。</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2.中标人应以保密方式处理在编制本项目成果文件过程中自采购人、采购人工作人员或采购人关联机 构获得的相关信息、资料、图纸、数据等，或由采购人在履行合同过程中明确指明为秘密的任何信 息，以及中标人因本项目工作内容所直接或间接取得、处理或接触的任何其他资料。未经采购人书面 在先同意，中标人不得向任何第三方透露与本项目有关的内容，或公开本项目的阶段性成果或最终 成果内容。即使向与履行合同有关的人员提供前述保密信息，也应限于履行合同的必需范围，且 这些人员应接受至少与本条款同等严格的保密条款的约束。</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3.中标人实施项目的程序应符合国家安全、保密的有关规定和标准。</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4.上述保密义务不适用以下情况：</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1）获取的信息已被合法公开；</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2）获得信息拥有方书面许可并在该许可范围内披露；</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3）国家法律、法规规定的情形。</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5.如中标人违反上述保密条款，采购人有权解除合同，中标人应在合同解除通知发出之日起 10 日内向采购人支付合同服务费总金额 20%的违约金，如果违约金无法弥补采购人损失，采购人保留要求中标人赔偿全部损失的权利，包括但不限于上述索赔或责任所产生的诉讼费用、合理的律师费用、鉴定评估费用、 调查费用、和解金额或生效法律文书中规定的赔偿金额。</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6.无论合同或合同其他条款是否有效，本保密条款始终约束双方。国家秘密的保密期限由国 家有关部门确定，工作秘密的保密期限由采购人确定。</w:t>
      </w:r>
    </w:p>
    <w:p>
      <w:pPr>
        <w:widowControl/>
        <w:spacing w:line="360" w:lineRule="auto"/>
        <w:ind w:firstLine="482" w:firstLineChars="200"/>
        <w:outlineLvl w:val="2"/>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w:t>
      </w:r>
      <w:r>
        <w:rPr>
          <w:rFonts w:hint="eastAsia" w:ascii="宋体" w:hAnsi="宋体" w:cs="宋体"/>
          <w:b/>
          <w:bCs/>
          <w:color w:val="000000" w:themeColor="text1"/>
          <w:kern w:val="0"/>
          <w:sz w:val="24"/>
          <w:highlight w:val="none"/>
          <w:lang w:val="en-US" w:eastAsia="zh-CN"/>
          <w14:textFill>
            <w14:solidFill>
              <w14:schemeClr w14:val="tx1"/>
            </w14:solidFill>
          </w14:textFill>
        </w:rPr>
        <w:t>八</w:t>
      </w:r>
      <w:r>
        <w:rPr>
          <w:rFonts w:hint="eastAsia" w:ascii="宋体" w:hAnsi="宋体" w:cs="宋体"/>
          <w:b/>
          <w:bCs/>
          <w:color w:val="000000" w:themeColor="text1"/>
          <w:kern w:val="0"/>
          <w:sz w:val="24"/>
          <w:highlight w:val="none"/>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违约责任</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1.如中标人未按照合同约定的时间完成本项目各阶段工作，且未经采购人书面同意延长服务成果完成期限的，每迟延一日，采购人有权自尚未支付的合同款项中扣除合同服务费总金额的1‰的逾期违约金。</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2.合同项下的工作内容不可分割，任一文件的迟延交付均视为整个项目的迟延交付。</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3.合同履行期间，发生下述情形时，采购人有权解除合同，中标人除应退还采购人已支付的全部款项外, 还应在合同解除通知发出之日起 10 日内向采购人支付合同总价款 20%的违约金。中标人应同时将已完成的项目成果移交给采购人，并将全部有关资料退还采购人：</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1）中标人未能按合同约定的日期(含协商延缓的日期)提交成果，延误时间超过 15 个工作日；</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2）因中标人工作的错误或遗漏造成成果质量不符合合同要求，且中标人未按采购人要求采取及时有效的补救措施的；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3）中标人虽如期提交成果，但最终成果连续二次未能通过专家评审会评审验收的；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4）未经采购人书面在先同意，中标人擅自将合同项目与任何第三方合作，或将合同标的全部或部分擅自转包或分包给任何第三方，且未按采购人的要求终止与第三方的协议的；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5）项目负责人未承担合同项目实质性工作，或未经采购人书面在先同意，中标人擅自更换项目负责人的；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6）发现中标人或中标人工作人员出现全部或部分丧失履行委托服务能力的情况，采购人有权通知中标人限期整改或更换工作人员，期限届满中标人并未进行改善的；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7）中标人明确表示或者以自己的行为表明不履行合同的。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4.除因采购人付款审批影响支付进度的情况外，如采购人未按照合同约定的时间支付服务费，中标人书面催告采购人并给予不少于30 个工作日的履行期限后采购人仍未支付的，中标人有权自该期限届满之日起要求采购人支付该阶段应 付而未付合同价款每日 1‰的逾期违约金。如采购人无正当理由拒绝接受服务，到期明确表示拒付服务款项，中标人有权要求采购人支付合同项下服务费总金额 5%的违约金。</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上述违约责任各自独立且可累加。如合同所约定的违约金无法弥补因违约行为所造成的损失，违约方应补偿上述不足部分的损失，包括但不限于上述索赔或责任所产生的诉讼费用、合理的律师费用、鉴定评估费用、 调查费用、和解金额或生效法律文书中规定的赔偿金额。</w:t>
      </w:r>
    </w:p>
    <w:p>
      <w:pPr>
        <w:widowControl/>
        <w:spacing w:line="360" w:lineRule="auto"/>
        <w:ind w:firstLine="480" w:firstLineChars="200"/>
        <w:jc w:val="center"/>
        <w:rPr>
          <w:rFonts w:hint="eastAsia" w:asci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bookmarkStart w:id="17" w:name="_Toc23822"/>
      <w:r>
        <w:rPr>
          <w:rFonts w:hint="eastAsia" w:ascii="宋体" w:cs="宋体"/>
          <w:b/>
          <w:bCs/>
          <w:color w:val="000000" w:themeColor="text1"/>
          <w:sz w:val="24"/>
          <w14:textFill>
            <w14:solidFill>
              <w14:schemeClr w14:val="tx1"/>
            </w14:solidFill>
          </w14:textFill>
        </w:rPr>
        <w:t>第六章 投标文件初审及招标项目评分表</w:t>
      </w:r>
      <w:bookmarkEnd w:id="17"/>
    </w:p>
    <w:p>
      <w:pPr>
        <w:spacing w:line="360" w:lineRule="auto"/>
        <w:jc w:val="center"/>
        <w:rPr>
          <w:rFonts w:hint="eastAsia" w:ascii="宋体" w:hAnsi="宋体" w:cs="宋体"/>
          <w:b/>
          <w:color w:val="000000" w:themeColor="text1"/>
          <w:sz w:val="24"/>
          <w14:textFill>
            <w14:solidFill>
              <w14:schemeClr w14:val="tx1"/>
            </w14:solidFill>
          </w14:textFill>
        </w:rPr>
      </w:pPr>
    </w:p>
    <w:p>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投标文件初审表（不可偏离条款）</w:t>
      </w:r>
    </w:p>
    <w:p>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（凡有下列情形之一的，投标文件无效，投标作废标处理）</w:t>
      </w:r>
    </w:p>
    <w:tbl>
      <w:tblPr>
        <w:tblStyle w:val="15"/>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top"/>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7108"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投标人不具备招标文件所列的资格要求，或未提交相应的资格证明资料（详见招标公告 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top"/>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投标文件及开标一览表未按规定密封、签字、盖章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分项报价或投标总价高于预算金额（最高投标限价）或投标报价有严重缺漏项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所投货物或工程或服务在质量、技术、方案等方面没有实质性满足招标文件要求（是否实质性满足招标文件要求，由评标委员会来做出评判）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《用户需求响应表》未按要求填写，经评审委员会认定存在不明或不实的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法律、法规规定的其他情形</w:t>
            </w:r>
          </w:p>
        </w:tc>
      </w:tr>
    </w:tbl>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招标项目评分表</w:t>
      </w:r>
    </w:p>
    <w:tbl>
      <w:tblPr>
        <w:tblStyle w:val="15"/>
        <w:tblW w:w="97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2"/>
        <w:gridCol w:w="1168"/>
        <w:gridCol w:w="5907"/>
        <w:gridCol w:w="901"/>
        <w:gridCol w:w="10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noWrap w:val="0"/>
            <w:vAlign w:val="center"/>
          </w:tcPr>
          <w:p>
            <w:pPr>
              <w:autoSpaceDE w:val="0"/>
              <w:autoSpaceDN w:val="0"/>
              <w:adjustRightInd w:val="0"/>
              <w:spacing w:line="360" w:lineRule="auto"/>
              <w:jc w:val="center"/>
              <w:rPr>
                <w:rFonts w:hint="eastAsia" w:ascii="宋体" w:hAnsi="宋体" w:cs="宋体"/>
                <w:b/>
                <w:color w:val="000000" w:themeColor="text1"/>
                <w:sz w:val="24"/>
                <w:lang w:val="zh-CN"/>
                <w14:textFill>
                  <w14:solidFill>
                    <w14:schemeClr w14:val="tx1"/>
                  </w14:solidFill>
                </w14:textFill>
              </w:rPr>
            </w:pPr>
            <w:r>
              <w:rPr>
                <w:rFonts w:hint="eastAsia" w:ascii="宋体" w:hAnsi="宋体" w:cs="宋体"/>
                <w:b/>
                <w:color w:val="000000" w:themeColor="text1"/>
                <w:sz w:val="24"/>
                <w:lang w:val="zh-CN"/>
                <w14:textFill>
                  <w14:solidFill>
                    <w14:schemeClr w14:val="tx1"/>
                  </w14:solidFill>
                </w14:textFill>
              </w:rPr>
              <w:t>一、价格部分（</w:t>
            </w:r>
            <w:r>
              <w:rPr>
                <w:rFonts w:hint="eastAsia" w:ascii="宋体" w:hAnsi="宋体" w:cs="宋体"/>
                <w:b/>
                <w:color w:val="000000" w:themeColor="text1"/>
                <w:sz w:val="24"/>
                <w14:textFill>
                  <w14:solidFill>
                    <w14:schemeClr w14:val="tx1"/>
                  </w14:solidFill>
                </w14:textFill>
              </w:rPr>
              <w:t>1</w:t>
            </w:r>
            <w:r>
              <w:rPr>
                <w:rFonts w:hint="eastAsia" w:ascii="宋体" w:hAnsi="宋体" w:cs="宋体"/>
                <w:b/>
                <w:color w:val="000000" w:themeColor="text1"/>
                <w:sz w:val="24"/>
                <w:lang w:val="en-US" w:eastAsia="zh-CN"/>
                <w14:textFill>
                  <w14:solidFill>
                    <w14:schemeClr w14:val="tx1"/>
                  </w14:solidFill>
                </w14:textFill>
              </w:rPr>
              <w:t>0</w:t>
            </w:r>
            <w:r>
              <w:rPr>
                <w:rFonts w:hint="eastAsia" w:ascii="宋体" w:hAnsi="宋体" w:cs="宋体"/>
                <w:b/>
                <w:color w:val="000000" w:themeColor="text1"/>
                <w:sz w:val="24"/>
                <w:lang w:val="zh-CN"/>
                <w14:textFill>
                  <w14:solidFill>
                    <w14:schemeClr w14:val="tx1"/>
                  </w14:solidFill>
                </w14:textFill>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序号</w:t>
            </w:r>
          </w:p>
        </w:tc>
        <w:tc>
          <w:tcPr>
            <w:tcW w:w="1168"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内容</w:t>
            </w:r>
          </w:p>
        </w:tc>
        <w:tc>
          <w:tcPr>
            <w:tcW w:w="5907"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评分规则</w:t>
            </w:r>
          </w:p>
        </w:tc>
        <w:tc>
          <w:tcPr>
            <w:tcW w:w="901"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权重</w:t>
            </w:r>
          </w:p>
        </w:tc>
        <w:tc>
          <w:tcPr>
            <w:tcW w:w="1079"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w:t>
            </w:r>
          </w:p>
        </w:tc>
        <w:tc>
          <w:tcPr>
            <w:tcW w:w="1168"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投标报价</w:t>
            </w:r>
          </w:p>
        </w:tc>
        <w:tc>
          <w:tcPr>
            <w:tcW w:w="5907" w:type="dxa"/>
            <w:noWrap w:val="0"/>
            <w:vAlign w:val="center"/>
          </w:tcPr>
          <w:p>
            <w:pPr>
              <w:pStyle w:val="5"/>
              <w:spacing w:line="360" w:lineRule="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采用低价优先法计算，即满足招标文件要求且投标价格最低的投标报价为评标基准价，其价格分为满分。其他投标人的价格分统一按照下列公式计算：</w:t>
            </w:r>
          </w:p>
          <w:p>
            <w:pPr>
              <w:pStyle w:val="5"/>
              <w:spacing w:line="360" w:lineRule="auto"/>
              <w:rPr>
                <w:rFonts w:ascii="宋体" w:hAnsi="宋体" w:cs="宋体"/>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投标报价得分=(评标基准价／投标报价)×10</w:t>
            </w:r>
          </w:p>
          <w:p>
            <w:pPr>
              <w:numPr>
                <w:ilvl w:val="0"/>
                <w:numId w:val="7"/>
              </w:numPr>
              <w:spacing w:line="360" w:lineRule="auto"/>
              <w:ind w:left="250" w:hanging="249" w:hangingChars="104"/>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价格评分仅限于有效投标人，</w:t>
            </w:r>
            <w:r>
              <w:rPr>
                <w:rFonts w:hint="eastAsia" w:ascii="宋体" w:hAnsi="宋体" w:cs="宋体"/>
                <w:color w:val="000000" w:themeColor="text1"/>
                <w:sz w:val="24"/>
                <w14:textFill>
                  <w14:solidFill>
                    <w14:schemeClr w14:val="tx1"/>
                  </w14:solidFill>
                </w14:textFill>
              </w:rPr>
              <w:t>当价格分&lt;0时，取0。</w:t>
            </w:r>
          </w:p>
          <w:p>
            <w:pPr>
              <w:numPr>
                <w:ilvl w:val="0"/>
                <w:numId w:val="7"/>
              </w:numPr>
              <w:spacing w:line="360" w:lineRule="auto"/>
              <w:ind w:left="250" w:hanging="249" w:hangingChars="104"/>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根据财库〔2020〕46号、财库〔2014〕68号及财库〔2017〕141号及（深财购〔2022〕31号）文件规定：本项目非专门面向中小企业的项目，对小型和微型企业、监狱企业或残疾人福利性企业产品的价格给予10%的扣除，用扣除后的价格即为“经评审合格的投标报价”参与价格评审。</w:t>
            </w:r>
          </w:p>
          <w:p>
            <w:pPr>
              <w:pStyle w:val="5"/>
              <w:spacing w:line="360" w:lineRule="auto"/>
              <w:ind w:left="216" w:leftChars="103"/>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bCs/>
                <w:color w:val="000000" w:themeColor="text1"/>
                <w:kern w:val="2"/>
                <w:sz w:val="24"/>
                <w:lang w:val="en-US" w:eastAsia="zh-CN"/>
                <w14:textFill>
                  <w14:solidFill>
                    <w14:schemeClr w14:val="tx1"/>
                  </w14:solidFill>
                </w14:textFill>
              </w:rPr>
              <w:t>监狱企业应当提供由省级以上监狱管理局、戒毒管理局（含新疆生产建设兵团）出具的属于监狱企业的证明文件，中小企业提供中小企业声明函，残疾人福利性企业提供残疾人福利性企业声明函。</w:t>
            </w:r>
          </w:p>
        </w:tc>
        <w:tc>
          <w:tcPr>
            <w:tcW w:w="901" w:type="dxa"/>
            <w:noWrap w:val="0"/>
            <w:vAlign w:val="center"/>
          </w:tcPr>
          <w:p>
            <w:pPr>
              <w:autoSpaceDE w:val="0"/>
              <w:autoSpaceDN w:val="0"/>
              <w:adjustRightInd w:val="0"/>
              <w:spacing w:line="360" w:lineRule="auto"/>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0</w:t>
            </w:r>
          </w:p>
        </w:tc>
        <w:tc>
          <w:tcPr>
            <w:tcW w:w="1079"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noWrap w:val="0"/>
            <w:vAlign w:val="center"/>
          </w:tcPr>
          <w:p>
            <w:pPr>
              <w:autoSpaceDE w:val="0"/>
              <w:autoSpaceDN w:val="0"/>
              <w:adjustRightInd w:val="0"/>
              <w:spacing w:line="360" w:lineRule="auto"/>
              <w:jc w:val="center"/>
              <w:rPr>
                <w:rFonts w:hint="eastAsia" w:ascii="宋体" w:hAnsi="宋体" w:cs="宋体"/>
                <w:b/>
                <w:color w:val="000000" w:themeColor="text1"/>
                <w:sz w:val="24"/>
                <w:lang w:val="zh-CN"/>
                <w14:textFill>
                  <w14:solidFill>
                    <w14:schemeClr w14:val="tx1"/>
                  </w14:solidFill>
                </w14:textFill>
              </w:rPr>
            </w:pPr>
            <w:r>
              <w:rPr>
                <w:rFonts w:hint="eastAsia" w:ascii="宋体" w:hAnsi="宋体" w:cs="宋体"/>
                <w:b/>
                <w:color w:val="000000" w:themeColor="text1"/>
                <w:sz w:val="24"/>
                <w:lang w:val="zh-CN"/>
                <w14:textFill>
                  <w14:solidFill>
                    <w14:schemeClr w14:val="tx1"/>
                  </w14:solidFill>
                </w14:textFill>
              </w:rPr>
              <w:t>二、商务部分（</w:t>
            </w:r>
            <w:r>
              <w:rPr>
                <w:rFonts w:hint="eastAsia" w:ascii="宋体" w:hAnsi="宋体" w:cs="宋体"/>
                <w:b/>
                <w:color w:val="000000" w:themeColor="text1"/>
                <w:sz w:val="24"/>
                <w:lang w:val="en-US" w:eastAsia="zh-CN"/>
                <w14:textFill>
                  <w14:solidFill>
                    <w14:schemeClr w14:val="tx1"/>
                  </w14:solidFill>
                </w14:textFill>
              </w:rPr>
              <w:t>50</w:t>
            </w:r>
            <w:r>
              <w:rPr>
                <w:rFonts w:hint="eastAsia" w:ascii="宋体" w:hAnsi="宋体" w:cs="宋体"/>
                <w:b/>
                <w:color w:val="000000" w:themeColor="text1"/>
                <w:sz w:val="24"/>
                <w:lang w:val="zh-CN"/>
                <w14:textFill>
                  <w14:solidFill>
                    <w14:schemeClr w14:val="tx1"/>
                  </w14:solidFill>
                </w14:textFill>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序号</w:t>
            </w:r>
          </w:p>
        </w:tc>
        <w:tc>
          <w:tcPr>
            <w:tcW w:w="1168"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内容</w:t>
            </w:r>
          </w:p>
        </w:tc>
        <w:tc>
          <w:tcPr>
            <w:tcW w:w="5907"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评分规则</w:t>
            </w:r>
          </w:p>
        </w:tc>
        <w:tc>
          <w:tcPr>
            <w:tcW w:w="901"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权重</w:t>
            </w:r>
          </w:p>
        </w:tc>
        <w:tc>
          <w:tcPr>
            <w:tcW w:w="1079"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168" w:type="dxa"/>
            <w:noWrap w:val="0"/>
            <w:vAlign w:val="center"/>
          </w:tcPr>
          <w:p>
            <w:pPr>
              <w:autoSpaceDE w:val="0"/>
              <w:autoSpaceDN w:val="0"/>
              <w:adjustRightInd w:val="0"/>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投标人编制经验</w:t>
            </w:r>
          </w:p>
        </w:tc>
        <w:tc>
          <w:tcPr>
            <w:tcW w:w="5907" w:type="dxa"/>
            <w:shd w:val="clear" w:color="auto" w:fill="auto"/>
            <w:noWrap w:val="0"/>
            <w:vAlign w:val="center"/>
          </w:tcPr>
          <w:p>
            <w:pPr>
              <w:pStyle w:val="13"/>
              <w:spacing w:before="0" w:beforeAutospacing="0" w:after="0" w:afterAutospacing="0" w:line="36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（一）评审标准：</w:t>
            </w:r>
          </w:p>
          <w:p>
            <w:pPr>
              <w:pStyle w:val="13"/>
              <w:spacing w:before="0" w:beforeAutospacing="0" w:after="0" w:afterAutospacing="0" w:line="36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根据投标供应商的相关经验进行打分：</w:t>
            </w:r>
          </w:p>
          <w:p>
            <w:pPr>
              <w:pStyle w:val="13"/>
              <w:spacing w:before="0" w:beforeAutospacing="0" w:after="0" w:afterAutospacing="0" w:line="36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从2021年1月至投标截止日止（以合同签订日期为准，若合同签订日期无法体现，则以服务期限的起始日期为准），投标人具有编制城市第六立面技术服务类等经验的，每项</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分，最高得</w:t>
            </w:r>
            <w:r>
              <w:rPr>
                <w:rFonts w:hint="eastAsia" w:ascii="宋体" w:hAnsi="宋体" w:cs="宋体"/>
                <w:color w:val="000000" w:themeColor="text1"/>
                <w:sz w:val="24"/>
                <w:szCs w:val="24"/>
                <w:lang w:val="en-US" w:eastAsia="zh-CN"/>
                <w14:textFill>
                  <w14:solidFill>
                    <w14:schemeClr w14:val="tx1"/>
                  </w14:solidFill>
                </w14:textFill>
              </w:rPr>
              <w:t>25</w:t>
            </w:r>
            <w:r>
              <w:rPr>
                <w:rFonts w:hint="eastAsia" w:ascii="宋体" w:hAnsi="宋体" w:eastAsia="宋体" w:cs="宋体"/>
                <w:color w:val="000000" w:themeColor="text1"/>
                <w:sz w:val="24"/>
                <w:szCs w:val="24"/>
                <w14:textFill>
                  <w14:solidFill>
                    <w14:schemeClr w14:val="tx1"/>
                  </w14:solidFill>
                </w14:textFill>
              </w:rPr>
              <w:t>分。</w:t>
            </w:r>
          </w:p>
          <w:p>
            <w:pPr>
              <w:pStyle w:val="13"/>
              <w:spacing w:before="0" w:beforeAutospacing="0" w:after="0" w:afterAutospacing="0" w:line="36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（二）证明文件：</w:t>
            </w:r>
          </w:p>
          <w:p>
            <w:pPr>
              <w:pStyle w:val="13"/>
              <w:spacing w:before="0" w:beforeAutospacing="0" w:after="0" w:afterAutospacing="0" w:line="36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1.须提供业绩合同(或委托合同)关键页</w:t>
            </w:r>
            <w:r>
              <w:rPr>
                <w:rFonts w:hint="eastAsia" w:ascii="宋体" w:hAnsi="宋体" w:cs="宋体"/>
                <w:color w:val="000000" w:themeColor="text1"/>
                <w:sz w:val="24"/>
                <w:szCs w:val="24"/>
                <w:lang w:val="en-US" w:eastAsia="zh-CN"/>
                <w14:textFill>
                  <w14:solidFill>
                    <w14:schemeClr w14:val="tx1"/>
                  </w14:solidFill>
                </w14:textFill>
              </w:rPr>
              <w:t>扫描件</w:t>
            </w:r>
            <w:r>
              <w:rPr>
                <w:rFonts w:hint="eastAsia" w:ascii="宋体" w:hAnsi="宋体" w:eastAsia="宋体" w:cs="宋体"/>
                <w:color w:val="000000" w:themeColor="text1"/>
                <w:sz w:val="24"/>
                <w:szCs w:val="24"/>
                <w14:textFill>
                  <w14:solidFill>
                    <w14:schemeClr w14:val="tx1"/>
                  </w14:solidFill>
                </w14:textFill>
              </w:rPr>
              <w:t>（关键信息包含不限于合同合作双方盖章页、合作时间页、合作内容页等）作为得分依据。</w:t>
            </w:r>
          </w:p>
          <w:p>
            <w:pPr>
              <w:pStyle w:val="13"/>
              <w:spacing w:before="0" w:beforeAutospacing="0" w:after="0" w:afterAutospacing="0" w:line="36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2.通过合同关键页相关证明材料无法判断是否得分的，还须同时提供能证明得分的其它证明资料。</w:t>
            </w:r>
          </w:p>
          <w:p>
            <w:pPr>
              <w:pStyle w:val="13"/>
              <w:spacing w:before="0" w:beforeAutospacing="0" w:after="0" w:afterAutospacing="0" w:line="36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3.以上资料均要求提供</w:t>
            </w:r>
            <w:r>
              <w:rPr>
                <w:rFonts w:hint="eastAsia" w:ascii="宋体" w:hAnsi="宋体" w:cs="宋体"/>
                <w:color w:val="000000" w:themeColor="text1"/>
                <w:sz w:val="24"/>
                <w:szCs w:val="24"/>
                <w:lang w:val="en-US" w:eastAsia="zh-CN"/>
                <w14:textFill>
                  <w14:solidFill>
                    <w14:schemeClr w14:val="tx1"/>
                  </w14:solidFill>
                </w14:textFill>
              </w:rPr>
              <w:t>扫描件加盖公章</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原件备查，</w:t>
            </w:r>
            <w:r>
              <w:rPr>
                <w:rFonts w:hint="eastAsia" w:ascii="宋体" w:hAnsi="宋体" w:eastAsia="宋体" w:cs="宋体"/>
                <w:color w:val="000000" w:themeColor="text1"/>
                <w:sz w:val="24"/>
                <w:szCs w:val="24"/>
                <w14:textFill>
                  <w14:solidFill>
                    <w14:schemeClr w14:val="tx1"/>
                  </w14:solidFill>
                </w14:textFill>
              </w:rPr>
              <w:t>评分中出现无证明资料或专家无法凭所提供资料判断是否得分的情况，一律作不得分处理。</w:t>
            </w:r>
          </w:p>
          <w:p>
            <w:pPr>
              <w:pStyle w:val="13"/>
              <w:spacing w:before="0" w:beforeAutospacing="0" w:after="0" w:afterAutospacing="0" w:line="360" w:lineRule="auto"/>
              <w:ind w:left="0" w:leftChars="0" w:right="0" w:rightChars="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4.投标人提供虚假材料的，将做无效投标处理，涉嫌存在违法违规行为的，依法报主管部门处理处罚；</w:t>
            </w:r>
          </w:p>
        </w:tc>
        <w:tc>
          <w:tcPr>
            <w:tcW w:w="901" w:type="dxa"/>
            <w:noWrap w:val="0"/>
            <w:vAlign w:val="center"/>
          </w:tcPr>
          <w:p>
            <w:pPr>
              <w:spacing w:line="30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25</w:t>
            </w:r>
          </w:p>
        </w:tc>
        <w:tc>
          <w:tcPr>
            <w:tcW w:w="1079"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168" w:type="dxa"/>
            <w:noWrap w:val="0"/>
            <w:vAlign w:val="center"/>
          </w:tcPr>
          <w:p>
            <w:pPr>
              <w:autoSpaceDE w:val="0"/>
              <w:autoSpaceDN w:val="0"/>
              <w:adjustRightInd w:val="0"/>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项目负责人要求（1人）</w:t>
            </w:r>
          </w:p>
        </w:tc>
        <w:tc>
          <w:tcPr>
            <w:tcW w:w="5907" w:type="dxa"/>
            <w:shd w:val="clear" w:color="auto" w:fill="auto"/>
            <w:noWrap w:val="0"/>
            <w:vAlign w:val="center"/>
          </w:tcPr>
          <w:p>
            <w:pPr>
              <w:pStyle w:val="13"/>
              <w:spacing w:before="0" w:beforeAutospacing="0" w:after="0" w:afterAutospacing="0"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（一）评审标准：</w:t>
            </w:r>
          </w:p>
          <w:p>
            <w:pPr>
              <w:pStyle w:val="13"/>
              <w:spacing w:before="0" w:beforeAutospacing="0" w:after="0" w:afterAutospacing="0"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根据拟投入的项目负责人情况进行打分：</w:t>
            </w:r>
          </w:p>
          <w:p>
            <w:pPr>
              <w:pStyle w:val="13"/>
              <w:spacing w:before="0" w:beforeAutospacing="0" w:after="0" w:afterAutospacing="0" w:line="360" w:lineRule="auto"/>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zh-CN"/>
                <w14:textFill>
                  <w14:solidFill>
                    <w14:schemeClr w14:val="tx1"/>
                  </w14:solidFill>
                </w14:textFill>
              </w:rPr>
              <w:t>项目负责人具有城乡规划</w:t>
            </w:r>
            <w:r>
              <w:rPr>
                <w:rFonts w:hint="eastAsia" w:ascii="宋体" w:hAnsi="宋体" w:eastAsia="宋体" w:cs="宋体"/>
                <w:color w:val="000000" w:themeColor="text1"/>
                <w:sz w:val="24"/>
                <w:szCs w:val="24"/>
                <w:lang w:val="en-US" w:eastAsia="zh-CN"/>
                <w14:textFill>
                  <w14:solidFill>
                    <w14:schemeClr w14:val="tx1"/>
                  </w14:solidFill>
                </w14:textFill>
              </w:rPr>
              <w:t>正</w:t>
            </w:r>
            <w:r>
              <w:rPr>
                <w:rFonts w:hint="eastAsia" w:ascii="宋体" w:hAnsi="宋体" w:eastAsia="宋体" w:cs="宋体"/>
                <w:color w:val="000000" w:themeColor="text1"/>
                <w:sz w:val="24"/>
                <w:szCs w:val="24"/>
                <w:lang w:val="zh-CN"/>
                <w14:textFill>
                  <w14:solidFill>
                    <w14:schemeClr w14:val="tx1"/>
                  </w14:solidFill>
                </w14:textFill>
              </w:rPr>
              <w:t>高级工程师(教授级)职称</w:t>
            </w:r>
            <w:r>
              <w:rPr>
                <w:rFonts w:hint="eastAsia" w:ascii="宋体" w:hAnsi="宋体" w:cs="宋体"/>
                <w:color w:val="000000" w:themeColor="text1"/>
                <w:sz w:val="24"/>
                <w:szCs w:val="24"/>
                <w:lang w:val="en-US" w:eastAsia="zh-CN"/>
                <w14:textFill>
                  <w14:solidFill>
                    <w14:schemeClr w14:val="tx1"/>
                  </w14:solidFill>
                </w14:textFill>
              </w:rPr>
              <w:t>的得3分；具有</w:t>
            </w:r>
            <w:r>
              <w:rPr>
                <w:rFonts w:hint="eastAsia" w:ascii="宋体" w:hAnsi="宋体" w:eastAsia="宋体" w:cs="宋体"/>
                <w:color w:val="000000" w:themeColor="text1"/>
                <w:sz w:val="24"/>
                <w:szCs w:val="24"/>
                <w:lang w:val="zh-CN"/>
                <w14:textFill>
                  <w14:solidFill>
                    <w14:schemeClr w14:val="tx1"/>
                  </w14:solidFill>
                </w14:textFill>
              </w:rPr>
              <w:t>博士学位</w:t>
            </w:r>
            <w:r>
              <w:rPr>
                <w:rFonts w:hint="eastAsia" w:ascii="宋体" w:hAnsi="宋体" w:cs="宋体"/>
                <w:color w:val="000000" w:themeColor="text1"/>
                <w:sz w:val="24"/>
                <w:szCs w:val="24"/>
                <w:lang w:val="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城乡规划类）</w:t>
            </w:r>
            <w:r>
              <w:rPr>
                <w:rFonts w:hint="eastAsia" w:ascii="宋体" w:hAnsi="宋体" w:eastAsia="宋体" w:cs="宋体"/>
                <w:color w:val="000000" w:themeColor="text1"/>
                <w:sz w:val="24"/>
                <w:szCs w:val="24"/>
                <w:lang w:val="zh-CN"/>
                <w14:textFill>
                  <w14:solidFill>
                    <w14:schemeClr w14:val="tx1"/>
                  </w14:solidFill>
                </w14:textFill>
              </w:rPr>
              <w:t>的得</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zh-CN"/>
                <w14:textFill>
                  <w14:solidFill>
                    <w14:schemeClr w14:val="tx1"/>
                  </w14:solidFill>
                </w14:textFill>
              </w:rPr>
              <w:t>分</w:t>
            </w:r>
            <w:r>
              <w:rPr>
                <w:rFonts w:hint="eastAsia" w:ascii="宋体" w:hAnsi="宋体" w:cs="宋体"/>
                <w:color w:val="000000" w:themeColor="text1"/>
                <w:sz w:val="24"/>
                <w:szCs w:val="24"/>
                <w:lang w:val="en-US" w:eastAsia="zh-CN"/>
                <w14:textFill>
                  <w14:solidFill>
                    <w14:schemeClr w14:val="tx1"/>
                  </w14:solidFill>
                </w14:textFill>
              </w:rPr>
              <w:t>；本小项最高得6分</w:t>
            </w:r>
            <w:r>
              <w:rPr>
                <w:rFonts w:hint="eastAsia" w:ascii="宋体" w:hAnsi="宋体" w:eastAsia="宋体" w:cs="宋体"/>
                <w:color w:val="000000" w:themeColor="text1"/>
                <w:sz w:val="24"/>
                <w:szCs w:val="24"/>
                <w:lang w:val="zh-CN"/>
                <w14:textFill>
                  <w14:solidFill>
                    <w14:schemeClr w14:val="tx1"/>
                  </w14:solidFill>
                </w14:textFill>
              </w:rPr>
              <w:t>。</w:t>
            </w:r>
          </w:p>
          <w:p>
            <w:pPr>
              <w:pStyle w:val="13"/>
              <w:spacing w:before="0" w:beforeAutospacing="0" w:after="0" w:afterAutospacing="0" w:line="360" w:lineRule="auto"/>
              <w:ind w:firstLine="240" w:firstLineChars="10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2.从2021年1月至投标截止日止（以合同签订日期为准）担任过城市第六立面技术服务类似项目的项目负责人的，得</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分；否则0分。</w:t>
            </w:r>
            <w:r>
              <w:rPr>
                <w:rFonts w:hint="eastAsia" w:ascii="宋体" w:hAnsi="宋体" w:cs="宋体"/>
                <w:color w:val="000000" w:themeColor="text1"/>
                <w:sz w:val="24"/>
                <w:szCs w:val="24"/>
                <w:lang w:val="en-US" w:eastAsia="zh-CN"/>
                <w14:textFill>
                  <w14:solidFill>
                    <w14:schemeClr w14:val="tx1"/>
                  </w14:solidFill>
                </w14:textFill>
              </w:rPr>
              <w:t>本小项最高得5分。</w:t>
            </w:r>
          </w:p>
          <w:p>
            <w:pPr>
              <w:pStyle w:val="13"/>
              <w:spacing w:before="0" w:beforeAutospacing="0" w:after="0" w:afterAutospacing="0" w:line="36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（二）证明文件：</w:t>
            </w:r>
          </w:p>
          <w:p>
            <w:pPr>
              <w:pStyle w:val="13"/>
              <w:spacing w:before="0" w:beforeAutospacing="0" w:after="0" w:afterAutospacing="0" w:line="360" w:lineRule="auto"/>
              <w:ind w:firstLine="240" w:firstLineChars="1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1.提供拟派项目负责人身份证、职称证书（如有）、学历证明材料等。（学历证明材料须提供毕业证书</w:t>
            </w:r>
            <w:r>
              <w:rPr>
                <w:rFonts w:hint="eastAsia" w:cs="宋体"/>
                <w:color w:val="000000" w:themeColor="text1"/>
                <w:sz w:val="24"/>
                <w:szCs w:val="24"/>
                <w:lang w:val="en-US" w:eastAsia="zh-CN"/>
                <w14:textFill>
                  <w14:solidFill>
                    <w14:schemeClr w14:val="tx1"/>
                  </w14:solidFill>
                </w14:textFill>
              </w:rPr>
              <w:t>和</w:t>
            </w:r>
            <w:r>
              <w:rPr>
                <w:rFonts w:hint="eastAsia" w:ascii="宋体" w:hAnsi="宋体" w:eastAsia="宋体" w:cs="宋体"/>
                <w:color w:val="000000" w:themeColor="text1"/>
                <w:sz w:val="24"/>
                <w:szCs w:val="24"/>
                <w14:textFill>
                  <w14:solidFill>
                    <w14:schemeClr w14:val="tx1"/>
                  </w14:solidFill>
                </w14:textFill>
              </w:rPr>
              <w:t>学位证书复印件以及学信网查询截图，原件备查。如学历学位证明颁发较早，学信网无法查询，可提供毕业院校、人社部门等颁发机构或监管机构等单位出具的证明，若为境外留学学历，无需提供学信网查询记录，需提供教育部留学服务中心出具的学历学位认证书。）</w:t>
            </w:r>
          </w:p>
          <w:p>
            <w:pPr>
              <w:pStyle w:val="13"/>
              <w:spacing w:before="0" w:beforeAutospacing="0" w:after="0" w:afterAutospacing="0" w:line="360" w:lineRule="auto"/>
              <w:ind w:firstLine="240" w:firstLineChars="1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要求提供通过投标人购买的项目负责人截标前近半年任意一个月的社保证明及相关证明资料作为得分依据。社保证明资料可为社保收缴部门盖章证明资料、社保窗口打印资料或社保官网截图。如开标日上一个月的社保材料因社保部门原因暂时无法取得，则可以往前顺延一个月。如供应商为新成立企业且成立时间不足一个月可提供加盖公章的情况说明或者证明材料亦视为符合。</w:t>
            </w:r>
          </w:p>
          <w:p>
            <w:pPr>
              <w:pStyle w:val="13"/>
              <w:spacing w:before="0" w:beforeAutospacing="0" w:after="0" w:afterAutospacing="0" w:line="360" w:lineRule="auto"/>
              <w:ind w:firstLine="240" w:firstLineChars="1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3.须提供业绩合同(或委托合同)关键页复印件（关键信息包含</w:t>
            </w:r>
            <w:r>
              <w:rPr>
                <w:rFonts w:hint="eastAsia" w:cs="宋体"/>
                <w:color w:val="000000" w:themeColor="text1"/>
                <w:sz w:val="24"/>
                <w:szCs w:val="24"/>
                <w:lang w:val="en-US" w:eastAsia="zh-CN"/>
                <w14:textFill>
                  <w14:solidFill>
                    <w14:schemeClr w14:val="tx1"/>
                  </w14:solidFill>
                </w14:textFill>
              </w:rPr>
              <w:t>但</w:t>
            </w:r>
            <w:r>
              <w:rPr>
                <w:rFonts w:hint="eastAsia" w:ascii="宋体" w:hAnsi="宋体" w:eastAsia="宋体" w:cs="宋体"/>
                <w:color w:val="000000" w:themeColor="text1"/>
                <w:sz w:val="24"/>
                <w:szCs w:val="24"/>
                <w14:textFill>
                  <w14:solidFill>
                    <w14:schemeClr w14:val="tx1"/>
                  </w14:solidFill>
                </w14:textFill>
              </w:rPr>
              <w:t>不限于合同合作双方盖章页、合作时间页、合作内容页、项目负责人等）作为得分依据。通过合同关键页相关证明材料无法判断是否得分的，还须同时提供能证明得分的其它证明资料。</w:t>
            </w:r>
          </w:p>
          <w:p>
            <w:pPr>
              <w:pStyle w:val="13"/>
              <w:spacing w:before="0" w:beforeAutospacing="0" w:after="0" w:afterAutospacing="0" w:line="360" w:lineRule="auto"/>
              <w:ind w:left="0" w:leftChars="0" w:right="0" w:rightChars="0" w:firstLine="240" w:firstLineChars="1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4.以上资料均要求提供</w:t>
            </w:r>
            <w:r>
              <w:rPr>
                <w:rFonts w:hint="eastAsia" w:ascii="宋体" w:hAnsi="宋体" w:cs="宋体"/>
                <w:color w:val="000000" w:themeColor="text1"/>
                <w:sz w:val="24"/>
                <w:szCs w:val="24"/>
                <w:lang w:val="en-US" w:eastAsia="zh-CN"/>
                <w14:textFill>
                  <w14:solidFill>
                    <w14:schemeClr w14:val="tx1"/>
                  </w14:solidFill>
                </w14:textFill>
              </w:rPr>
              <w:t>扫描件加盖公章</w:t>
            </w:r>
            <w:r>
              <w:rPr>
                <w:rFonts w:hint="eastAsia" w:ascii="宋体" w:hAnsi="宋体" w:eastAsia="宋体" w:cs="宋体"/>
                <w:color w:val="000000" w:themeColor="text1"/>
                <w:sz w:val="24"/>
                <w:szCs w:val="24"/>
                <w14:textFill>
                  <w14:solidFill>
                    <w14:schemeClr w14:val="tx1"/>
                  </w14:solidFill>
                </w14:textFill>
              </w:rPr>
              <w:t>，原件备查。评分中出现无证明资料或专家无法凭所提供资料判断是否得分的情况，一律作不得分处理。</w:t>
            </w:r>
          </w:p>
        </w:tc>
        <w:tc>
          <w:tcPr>
            <w:tcW w:w="901" w:type="dxa"/>
            <w:noWrap w:val="0"/>
            <w:vAlign w:val="center"/>
          </w:tcPr>
          <w:p>
            <w:pPr>
              <w:pStyle w:val="13"/>
              <w:spacing w:before="0" w:beforeAutospacing="0" w:after="0" w:afterAutospacing="0" w:line="36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1079"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1168" w:type="dxa"/>
            <w:noWrap w:val="0"/>
            <w:vAlign w:val="center"/>
          </w:tcPr>
          <w:p>
            <w:pPr>
              <w:autoSpaceDE w:val="0"/>
              <w:autoSpaceDN w:val="0"/>
              <w:adjustRightInd w:val="0"/>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项目团队成员（项目负责人除外）</w:t>
            </w:r>
          </w:p>
        </w:tc>
        <w:tc>
          <w:tcPr>
            <w:tcW w:w="5907" w:type="dxa"/>
            <w:shd w:val="clear" w:color="auto" w:fill="auto"/>
            <w:noWrap w:val="0"/>
            <w:vAlign w:val="center"/>
          </w:tcPr>
          <w:p>
            <w:pPr>
              <w:pStyle w:val="13"/>
              <w:spacing w:before="0" w:beforeAutospacing="0" w:after="0" w:afterAutospacing="0"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（一）评审标准：</w:t>
            </w:r>
          </w:p>
          <w:p>
            <w:pPr>
              <w:pStyle w:val="13"/>
              <w:spacing w:before="0" w:beforeAutospacing="0" w:after="0" w:afterAutospacing="0"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根据拟投入的项目团队成员情况进行打分：</w:t>
            </w:r>
          </w:p>
          <w:p>
            <w:pPr>
              <w:pStyle w:val="13"/>
              <w:spacing w:before="0" w:beforeAutospacing="0" w:after="0" w:afterAutospacing="0" w:line="360" w:lineRule="auto"/>
              <w:ind w:firstLine="240" w:firstLineChars="10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团队成员不得少于3人，</w:t>
            </w:r>
            <w:r>
              <w:rPr>
                <w:rFonts w:hint="eastAsia" w:ascii="宋体" w:hAnsi="宋体" w:eastAsia="宋体" w:cs="宋体"/>
                <w:color w:val="000000" w:themeColor="text1"/>
                <w:sz w:val="24"/>
                <w:szCs w:val="24"/>
                <w:lang w:val="en-US" w:eastAsia="zh-CN"/>
                <w14:textFill>
                  <w14:solidFill>
                    <w14:schemeClr w14:val="tx1"/>
                  </w14:solidFill>
                </w14:textFill>
              </w:rPr>
              <w:t>否则本项不得分，在此基础上：</w:t>
            </w:r>
          </w:p>
          <w:p>
            <w:pPr>
              <w:pStyle w:val="13"/>
              <w:spacing w:before="0" w:beforeAutospacing="0" w:after="0" w:afterAutospacing="0" w:line="360" w:lineRule="auto"/>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团队成员具有城乡规划</w:t>
            </w:r>
            <w:r>
              <w:rPr>
                <w:rFonts w:hint="eastAsia"/>
                <w:color w:val="000000" w:themeColor="text1"/>
                <w:lang w:val="en-US" w:eastAsia="zh-CN"/>
                <w14:textFill>
                  <w14:solidFill>
                    <w14:schemeClr w14:val="tx1"/>
                  </w14:solidFill>
                </w14:textFill>
              </w:rPr>
              <w:t>高级（含副高）工程师或以上</w:t>
            </w:r>
            <w:r>
              <w:rPr>
                <w:rFonts w:hint="eastAsia" w:ascii="宋体" w:hAnsi="宋体" w:eastAsia="宋体" w:cs="宋体"/>
                <w:color w:val="000000" w:themeColor="text1"/>
                <w:sz w:val="24"/>
                <w:szCs w:val="24"/>
                <w14:textFill>
                  <w14:solidFill>
                    <w14:schemeClr w14:val="tx1"/>
                  </w14:solidFill>
                </w14:textFill>
              </w:rPr>
              <w:t>职称</w:t>
            </w:r>
            <w:r>
              <w:rPr>
                <w:rFonts w:hint="eastAsia" w:ascii="宋体" w:hAnsi="宋体" w:cs="宋体"/>
                <w:color w:val="000000" w:themeColor="text1"/>
                <w:sz w:val="24"/>
                <w:szCs w:val="24"/>
                <w:lang w:val="en-US" w:eastAsia="zh-CN"/>
                <w14:textFill>
                  <w14:solidFill>
                    <w14:schemeClr w14:val="tx1"/>
                  </w14:solidFill>
                </w14:textFill>
              </w:rPr>
              <w:t>的</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每人</w:t>
            </w:r>
            <w:r>
              <w:rPr>
                <w:rFonts w:hint="eastAsia" w:ascii="宋体" w:hAnsi="宋体" w:eastAsia="宋体" w:cs="宋体"/>
                <w:color w:val="000000" w:themeColor="text1"/>
                <w:sz w:val="24"/>
                <w:szCs w:val="24"/>
                <w14:textFill>
                  <w14:solidFill>
                    <w14:schemeClr w14:val="tx1"/>
                  </w14:solidFill>
                </w14:textFill>
              </w:rPr>
              <w:t>得</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cs="宋体"/>
                <w:color w:val="000000" w:themeColor="text1"/>
                <w:sz w:val="24"/>
                <w:szCs w:val="24"/>
                <w:lang w:val="en-US" w:eastAsia="zh-CN"/>
                <w14:textFill>
                  <w14:solidFill>
                    <w14:schemeClr w14:val="tx1"/>
                  </w14:solidFill>
                </w14:textFill>
              </w:rPr>
              <w:t>满分3分</w:t>
            </w:r>
            <w:r>
              <w:rPr>
                <w:rFonts w:hint="eastAsia" w:ascii="宋体" w:hAnsi="宋体" w:eastAsia="宋体" w:cs="宋体"/>
                <w:color w:val="000000" w:themeColor="text1"/>
                <w:sz w:val="24"/>
                <w:szCs w:val="24"/>
                <w14:textFill>
                  <w14:solidFill>
                    <w14:schemeClr w14:val="tx1"/>
                  </w14:solidFill>
                </w14:textFill>
              </w:rPr>
              <w:t>。</w:t>
            </w:r>
          </w:p>
          <w:p>
            <w:pPr>
              <w:pStyle w:val="13"/>
              <w:spacing w:before="0" w:beforeAutospacing="0" w:after="0" w:afterAutospacing="0" w:line="360" w:lineRule="auto"/>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2.团队成员有城市第六立面提升技术服务或城市第六立面咨询服务类等经验的（每人加</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分），总分</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分。</w:t>
            </w:r>
          </w:p>
          <w:p>
            <w:pPr>
              <w:pStyle w:val="13"/>
              <w:spacing w:before="0" w:beforeAutospacing="0" w:after="0" w:afterAutospacing="0" w:line="36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（二）证明文件：</w:t>
            </w:r>
          </w:p>
          <w:p>
            <w:pPr>
              <w:pStyle w:val="13"/>
              <w:spacing w:before="0" w:beforeAutospacing="0" w:after="0" w:afterAutospacing="0" w:line="360" w:lineRule="auto"/>
              <w:ind w:firstLine="240" w:firstLineChars="1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1.提供拟派项目团队成员清单、职称证书等。</w:t>
            </w:r>
          </w:p>
          <w:p>
            <w:pPr>
              <w:pStyle w:val="13"/>
              <w:spacing w:before="0" w:beforeAutospacing="0" w:after="0" w:afterAutospacing="0" w:line="360" w:lineRule="auto"/>
              <w:ind w:firstLine="240" w:firstLineChars="1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要求提供通过投标人或其同一法人的分公司购买的项目团队成员截标前近半年任意一个月的社保证明及相关证明资料作为得分依据。社保证明资料可为社保收缴部门盖章证明资料、社保窗口打印资料或社保官网截图。如开标日上一个月的社保材料因社保部门原因暂时无法取得，则可以往前顺延一个月。如供应商为新成立企业且成立时间不足一个月可提供加盖公章的情况说明或者证明材料亦视为符合。</w:t>
            </w:r>
          </w:p>
          <w:p>
            <w:pPr>
              <w:pStyle w:val="13"/>
              <w:spacing w:before="0" w:beforeAutospacing="0" w:after="0" w:afterAutospacing="0" w:line="360" w:lineRule="auto"/>
              <w:ind w:firstLine="240" w:firstLineChars="1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3.须提供业绩合同(或委托合同)关键页复印件（关键信息包含</w:t>
            </w:r>
            <w:r>
              <w:rPr>
                <w:rFonts w:hint="eastAsia" w:cs="宋体"/>
                <w:color w:val="000000" w:themeColor="text1"/>
                <w:sz w:val="24"/>
                <w:szCs w:val="24"/>
                <w:lang w:val="en-US" w:eastAsia="zh-CN"/>
                <w14:textFill>
                  <w14:solidFill>
                    <w14:schemeClr w14:val="tx1"/>
                  </w14:solidFill>
                </w14:textFill>
              </w:rPr>
              <w:t>但</w:t>
            </w:r>
            <w:r>
              <w:rPr>
                <w:rFonts w:hint="eastAsia" w:ascii="宋体" w:hAnsi="宋体" w:eastAsia="宋体" w:cs="宋体"/>
                <w:color w:val="000000" w:themeColor="text1"/>
                <w:sz w:val="24"/>
                <w:szCs w:val="24"/>
                <w14:textFill>
                  <w14:solidFill>
                    <w14:schemeClr w14:val="tx1"/>
                  </w14:solidFill>
                </w14:textFill>
              </w:rPr>
              <w:t>不限于合同合作双方盖章页、合作时间页、合作内容页</w:t>
            </w:r>
            <w:r>
              <w:rPr>
                <w:rFonts w:hint="eastAsia"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项目团队名单等）作为得分依据。通过合同关键页相关证明材料无法判断是否得分的，还须同时提供能证明得分的其它证明资料。</w:t>
            </w:r>
          </w:p>
          <w:p>
            <w:pPr>
              <w:pStyle w:val="13"/>
              <w:spacing w:before="0" w:beforeAutospacing="0" w:after="0" w:afterAutospacing="0" w:line="360" w:lineRule="auto"/>
              <w:ind w:left="0" w:leftChars="0" w:right="0" w:rightChars="0" w:firstLine="240" w:firstLineChars="100"/>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4.以上资料均要求提供</w:t>
            </w:r>
            <w:r>
              <w:rPr>
                <w:rFonts w:hint="eastAsia" w:ascii="宋体" w:hAnsi="宋体" w:cs="宋体"/>
                <w:color w:val="000000" w:themeColor="text1"/>
                <w:sz w:val="24"/>
                <w:szCs w:val="24"/>
                <w:lang w:val="en-US" w:eastAsia="zh-CN"/>
                <w14:textFill>
                  <w14:solidFill>
                    <w14:schemeClr w14:val="tx1"/>
                  </w14:solidFill>
                </w14:textFill>
              </w:rPr>
              <w:t>扫描件加盖公章</w:t>
            </w:r>
            <w:r>
              <w:rPr>
                <w:rFonts w:hint="eastAsia" w:ascii="宋体" w:hAnsi="宋体" w:eastAsia="宋体" w:cs="宋体"/>
                <w:color w:val="000000" w:themeColor="text1"/>
                <w:sz w:val="24"/>
                <w:szCs w:val="24"/>
                <w14:textFill>
                  <w14:solidFill>
                    <w14:schemeClr w14:val="tx1"/>
                  </w14:solidFill>
                </w14:textFill>
              </w:rPr>
              <w:t>，原件备查。评分中出现无证明资料或专家无法凭所提供资料判断是否得分的情况，一律作不得分处理。</w:t>
            </w:r>
          </w:p>
        </w:tc>
        <w:tc>
          <w:tcPr>
            <w:tcW w:w="901" w:type="dxa"/>
            <w:noWrap w:val="0"/>
            <w:vAlign w:val="center"/>
          </w:tcPr>
          <w:p>
            <w:pPr>
              <w:pStyle w:val="13"/>
              <w:spacing w:before="0" w:beforeAutospacing="0" w:after="0" w:afterAutospacing="0"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p>
        </w:tc>
        <w:tc>
          <w:tcPr>
            <w:tcW w:w="1079"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w:t>
            </w:r>
          </w:p>
        </w:tc>
        <w:tc>
          <w:tcPr>
            <w:tcW w:w="1168"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诚信声明与承诺</w:t>
            </w:r>
          </w:p>
        </w:tc>
        <w:tc>
          <w:tcPr>
            <w:tcW w:w="5907" w:type="dxa"/>
            <w:noWrap w:val="0"/>
            <w:vAlign w:val="center"/>
          </w:tcPr>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（一）评分内容：</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w:t>
            </w:r>
            <w:r>
              <w:rPr>
                <w:rFonts w:hint="eastAsia" w:ascii="宋体" w:hAnsi="宋体" w:eastAsia="宋体" w:cs="宋体"/>
                <w:color w:val="000000" w:themeColor="text1"/>
                <w:sz w:val="24"/>
                <w:szCs w:val="24"/>
                <w:lang w:eastAsia="zh-CN"/>
                <w14:textFill>
                  <w14:solidFill>
                    <w14:schemeClr w14:val="tx1"/>
                  </w14:solidFill>
                </w14:textFill>
              </w:rPr>
              <w:t>满</w:t>
            </w:r>
            <w:r>
              <w:rPr>
                <w:rFonts w:hint="eastAsia" w:ascii="宋体" w:hAnsi="宋体" w:eastAsia="宋体" w:cs="宋体"/>
                <w:color w:val="000000" w:themeColor="text1"/>
                <w:sz w:val="24"/>
                <w:szCs w:val="24"/>
                <w14:textFill>
                  <w14:solidFill>
                    <w14:schemeClr w14:val="tx1"/>
                  </w14:solidFill>
                </w14:textFill>
              </w:rPr>
              <w:t>分。</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（二）评分依据:</w:t>
            </w:r>
          </w:p>
          <w:p>
            <w:pPr>
              <w:spacing w:line="360" w:lineRule="auto"/>
              <w:rPr>
                <w:rFonts w:hint="eastAsia" w:ascii="宋体" w:hAnsi="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采购代理机构通过“信用中国”、“中国政府采购网”、“深圳市政府采购监管网”以及市、区财政部门认定的其他渠道查询供应商信用信息，投标人无需提供证明材料。</w:t>
            </w:r>
          </w:p>
        </w:tc>
        <w:tc>
          <w:tcPr>
            <w:tcW w:w="901" w:type="dxa"/>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1079" w:type="dxa"/>
            <w:noWrap w:val="0"/>
            <w:vAlign w:val="center"/>
          </w:tcPr>
          <w:p>
            <w:pPr>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noWrap w:val="0"/>
            <w:vAlign w:val="center"/>
          </w:tcPr>
          <w:p>
            <w:pPr>
              <w:autoSpaceDE w:val="0"/>
              <w:autoSpaceDN w:val="0"/>
              <w:adjustRightInd w:val="0"/>
              <w:spacing w:line="360" w:lineRule="auto"/>
              <w:jc w:val="center"/>
              <w:rPr>
                <w:rFonts w:hint="eastAsia" w:ascii="宋体" w:hAnsi="宋体" w:cs="宋体"/>
                <w:b/>
                <w:color w:val="000000" w:themeColor="text1"/>
                <w:sz w:val="24"/>
                <w:lang w:val="zh-CN"/>
                <w14:textFill>
                  <w14:solidFill>
                    <w14:schemeClr w14:val="tx1"/>
                  </w14:solidFill>
                </w14:textFill>
              </w:rPr>
            </w:pPr>
            <w:r>
              <w:rPr>
                <w:rFonts w:hint="eastAsia" w:ascii="宋体" w:hAnsi="宋体" w:cs="宋体"/>
                <w:b/>
                <w:color w:val="000000" w:themeColor="text1"/>
                <w:sz w:val="24"/>
                <w:lang w:val="zh-CN"/>
                <w14:textFill>
                  <w14:solidFill>
                    <w14:schemeClr w14:val="tx1"/>
                  </w14:solidFill>
                </w14:textFill>
              </w:rPr>
              <w:t>三、技术部分（</w:t>
            </w:r>
            <w:r>
              <w:rPr>
                <w:rFonts w:hint="eastAsia" w:ascii="宋体" w:hAnsi="宋体" w:cs="宋体"/>
                <w:b/>
                <w:color w:val="000000" w:themeColor="text1"/>
                <w:sz w:val="24"/>
                <w14:textFill>
                  <w14:solidFill>
                    <w14:schemeClr w14:val="tx1"/>
                  </w14:solidFill>
                </w14:textFill>
              </w:rPr>
              <w:t>4</w:t>
            </w:r>
            <w:r>
              <w:rPr>
                <w:rFonts w:hint="eastAsia" w:ascii="宋体" w:hAnsi="宋体" w:cs="宋体"/>
                <w:b/>
                <w:color w:val="000000" w:themeColor="text1"/>
                <w:sz w:val="24"/>
                <w:lang w:val="en-US" w:eastAsia="zh-CN"/>
                <w14:textFill>
                  <w14:solidFill>
                    <w14:schemeClr w14:val="tx1"/>
                  </w14:solidFill>
                </w14:textFill>
              </w:rPr>
              <w:t>0</w:t>
            </w:r>
            <w:r>
              <w:rPr>
                <w:rFonts w:hint="eastAsia" w:ascii="宋体" w:hAnsi="宋体" w:cs="宋体"/>
                <w:b/>
                <w:color w:val="000000" w:themeColor="text1"/>
                <w:sz w:val="24"/>
                <w:lang w:val="zh-CN"/>
                <w14:textFill>
                  <w14:solidFill>
                    <w14:schemeClr w14:val="tx1"/>
                  </w14:solidFill>
                </w14:textFill>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序号</w:t>
            </w:r>
          </w:p>
        </w:tc>
        <w:tc>
          <w:tcPr>
            <w:tcW w:w="1168"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内容</w:t>
            </w:r>
          </w:p>
        </w:tc>
        <w:tc>
          <w:tcPr>
            <w:tcW w:w="5907"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评分规则</w:t>
            </w:r>
          </w:p>
        </w:tc>
        <w:tc>
          <w:tcPr>
            <w:tcW w:w="901"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权重</w:t>
            </w:r>
          </w:p>
        </w:tc>
        <w:tc>
          <w:tcPr>
            <w:tcW w:w="1079"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w:t>
            </w:r>
          </w:p>
        </w:tc>
        <w:tc>
          <w:tcPr>
            <w:tcW w:w="1168" w:type="dxa"/>
            <w:noWrap w:val="0"/>
            <w:vAlign w:val="center"/>
          </w:tcPr>
          <w:p>
            <w:pPr>
              <w:autoSpaceDE w:val="0"/>
              <w:autoSpaceDN w:val="0"/>
              <w:adjustRightInd w:val="0"/>
              <w:spacing w:line="360" w:lineRule="auto"/>
              <w:jc w:val="center"/>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项目背景理解分析</w:t>
            </w:r>
          </w:p>
        </w:tc>
        <w:tc>
          <w:tcPr>
            <w:tcW w:w="5907" w:type="dxa"/>
            <w:noWrap w:val="0"/>
            <w:vAlign w:val="center"/>
          </w:tcPr>
          <w:p>
            <w:pPr>
              <w:pStyle w:val="13"/>
              <w:spacing w:before="0" w:beforeAutospacing="0" w:after="0" w:afterAutospacing="0" w:line="36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（一）评审内容：</w:t>
            </w:r>
          </w:p>
          <w:p>
            <w:pPr>
              <w:pStyle w:val="13"/>
              <w:spacing w:before="0" w:beforeAutospacing="0" w:after="0" w:afterAutospacing="0" w:line="36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1.对工作背景的理解程度。理解市委市政府关于开展城市第六立面提升的重大工作部署；吸收借鉴试点工作经验；解读全市30个第六立面重点片区的空间分布、现状特征等基础信息；</w:t>
            </w:r>
          </w:p>
          <w:p>
            <w:pPr>
              <w:pStyle w:val="13"/>
              <w:spacing w:before="0" w:beforeAutospacing="0" w:after="0" w:afterAutospacing="0" w:line="36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2.对深圳市城市第六立面提升专项行动认识。解读并落实《深圳市城市第六立面提升规划》、《深圳市城市第六立面设计导则》的规划设计要求；</w:t>
            </w:r>
          </w:p>
          <w:p>
            <w:pPr>
              <w:pStyle w:val="13"/>
              <w:spacing w:before="0" w:beforeAutospacing="0" w:after="0" w:afterAutospacing="0" w:line="36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3.对俯瞰点重点片区现状情况的掌握。</w:t>
            </w:r>
          </w:p>
          <w:p>
            <w:pPr>
              <w:pStyle w:val="13"/>
              <w:spacing w:before="0" w:beforeAutospacing="0" w:after="0" w:afterAutospacing="0" w:line="36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（二）评审标准：</w:t>
            </w:r>
          </w:p>
          <w:p>
            <w:pPr>
              <w:spacing w:line="360" w:lineRule="auto"/>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满足以上3点得</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分，满足以上任意2点得</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分，满足任意1点得</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分，未满足不得分。在此基础上，评委根据各供应商的具体响应内容按照量化的评审因素指标进一步评审：</w:t>
            </w:r>
          </w:p>
          <w:p>
            <w:pPr>
              <w:pStyle w:val="13"/>
              <w:autoSpaceDE w:val="0"/>
              <w:autoSpaceDN w:val="0"/>
              <w:adjustRightInd w:val="0"/>
              <w:spacing w:before="0" w:beforeAutospacing="0" w:after="0" w:afterAutospacing="0" w:line="360" w:lineRule="auto"/>
              <w:ind w:firstLine="240" w:firstLineChars="10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优：工作背景理解深入、提升行动认识清晰、现状情况掌握全面，得</w:t>
            </w:r>
            <w:r>
              <w:rPr>
                <w:rFonts w:hint="eastAsia"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szCs w:val="24"/>
                <w:lang w:val="en-US"/>
                <w14:textFill>
                  <w14:solidFill>
                    <w14:schemeClr w14:val="tx1"/>
                  </w14:solidFill>
                </w14:textFill>
              </w:rPr>
              <w:t>分。</w:t>
            </w:r>
          </w:p>
          <w:p>
            <w:pPr>
              <w:pStyle w:val="13"/>
              <w:autoSpaceDE w:val="0"/>
              <w:autoSpaceDN w:val="0"/>
              <w:adjustRightInd w:val="0"/>
              <w:spacing w:before="0" w:beforeAutospacing="0" w:after="0" w:afterAutospacing="0" w:line="360" w:lineRule="auto"/>
              <w:ind w:firstLine="240" w:firstLineChars="10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良：工作背景理解较为深入、提升行动认识较为清晰、现状情况掌握较为全面，得</w:t>
            </w:r>
            <w:r>
              <w:rPr>
                <w:rFonts w:hint="eastAsia"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lang w:val="en-US"/>
                <w14:textFill>
                  <w14:solidFill>
                    <w14:schemeClr w14:val="tx1"/>
                  </w14:solidFill>
                </w14:textFill>
              </w:rPr>
              <w:t>分。</w:t>
            </w:r>
          </w:p>
          <w:p>
            <w:pPr>
              <w:pStyle w:val="13"/>
              <w:autoSpaceDE w:val="0"/>
              <w:autoSpaceDN w:val="0"/>
              <w:adjustRightInd w:val="0"/>
              <w:spacing w:before="0" w:beforeAutospacing="0" w:after="0" w:afterAutospacing="0" w:line="360" w:lineRule="auto"/>
              <w:ind w:firstLine="240" w:firstLineChars="10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中：工作背景理解一般、提升行动认识一般、现状情况掌握一般，得</w:t>
            </w:r>
            <w:r>
              <w:rPr>
                <w:rFonts w:hint="eastAsia"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en-US"/>
                <w14:textFill>
                  <w14:solidFill>
                    <w14:schemeClr w14:val="tx1"/>
                  </w14:solidFill>
                </w14:textFill>
              </w:rPr>
              <w:t>分。</w:t>
            </w:r>
          </w:p>
          <w:p>
            <w:pPr>
              <w:pStyle w:val="13"/>
              <w:spacing w:before="0" w:beforeAutospacing="0" w:after="0" w:afterAutospacing="0" w:line="360" w:lineRule="auto"/>
              <w:ind w:left="0" w:leftChars="0" w:right="0" w:rightChars="0" w:firstLine="240" w:firstLineChars="1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差：工作背景理解较差、提升行动认识较差、现状情况掌握较差，不得分。</w:t>
            </w:r>
          </w:p>
        </w:tc>
        <w:tc>
          <w:tcPr>
            <w:tcW w:w="901" w:type="dxa"/>
            <w:noWrap w:val="0"/>
            <w:vAlign w:val="center"/>
          </w:tcPr>
          <w:p>
            <w:pPr>
              <w:autoSpaceDE w:val="0"/>
              <w:autoSpaceDN w:val="0"/>
              <w:adjustRightInd w:val="0"/>
              <w:spacing w:line="360" w:lineRule="auto"/>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15</w:t>
            </w:r>
          </w:p>
        </w:tc>
        <w:tc>
          <w:tcPr>
            <w:tcW w:w="1079"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2</w:t>
            </w:r>
          </w:p>
        </w:tc>
        <w:tc>
          <w:tcPr>
            <w:tcW w:w="1168" w:type="dxa"/>
            <w:noWrap w:val="0"/>
            <w:vAlign w:val="center"/>
          </w:tcPr>
          <w:p>
            <w:pPr>
              <w:autoSpaceDE w:val="0"/>
              <w:autoSpaceDN w:val="0"/>
              <w:adjustRightInd w:val="0"/>
              <w:spacing w:line="360" w:lineRule="auto"/>
              <w:jc w:val="center"/>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设计方案</w:t>
            </w:r>
          </w:p>
        </w:tc>
        <w:tc>
          <w:tcPr>
            <w:tcW w:w="5907" w:type="dxa"/>
            <w:noWrap w:val="0"/>
            <w:vAlign w:val="center"/>
          </w:tcPr>
          <w:p>
            <w:pPr>
              <w:pStyle w:val="13"/>
              <w:spacing w:before="0" w:beforeAutospacing="0" w:after="0" w:afterAutospacing="0" w:line="36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（一）评审内容：</w:t>
            </w:r>
          </w:p>
          <w:p>
            <w:pPr>
              <w:pStyle w:val="13"/>
              <w:autoSpaceDE w:val="0"/>
              <w:autoSpaceDN w:val="0"/>
              <w:adjustRightInd w:val="0"/>
              <w:spacing w:before="0" w:beforeAutospacing="0" w:after="0" w:afterAutospacing="0" w:line="360" w:lineRule="auto"/>
              <w:ind w:firstLine="240" w:firstLineChars="1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1.对俯瞰点重点片区的提升潜力的初步梳理与评估；</w:t>
            </w:r>
          </w:p>
          <w:p>
            <w:pPr>
              <w:pStyle w:val="13"/>
              <w:autoSpaceDE w:val="0"/>
              <w:autoSpaceDN w:val="0"/>
              <w:adjustRightInd w:val="0"/>
              <w:spacing w:before="0" w:beforeAutospacing="0" w:after="0" w:afterAutospacing="0" w:line="360" w:lineRule="auto"/>
              <w:ind w:firstLine="240" w:firstLineChars="1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2.研究国际城市第六立面提升案例，总结提炼主要特征及差异，为本次工作奠定基础。</w:t>
            </w:r>
          </w:p>
          <w:p>
            <w:pPr>
              <w:pStyle w:val="13"/>
              <w:autoSpaceDE w:val="0"/>
              <w:autoSpaceDN w:val="0"/>
              <w:adjustRightInd w:val="0"/>
              <w:spacing w:before="0" w:beforeAutospacing="0" w:after="0" w:afterAutospacing="0" w:line="360" w:lineRule="auto"/>
              <w:ind w:firstLine="240" w:firstLineChars="1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3.提出重点片区城市第六立面（含屋顶、底板、俯瞰点）的提升目标与策略；</w:t>
            </w:r>
          </w:p>
          <w:p>
            <w:pPr>
              <w:pStyle w:val="13"/>
              <w:spacing w:before="0" w:beforeAutospacing="0" w:after="0" w:afterAutospacing="0" w:line="36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（二）评审标准：</w:t>
            </w:r>
          </w:p>
          <w:p>
            <w:pPr>
              <w:spacing w:line="360" w:lineRule="auto"/>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满足以上3点得</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分，满足2点得</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分，满足任意1点得</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分，未满足不得分。在此基础上，评委根据各供应商的具体响应内容按照量化的评审因素指标进一步评审</w:t>
            </w:r>
          </w:p>
          <w:p>
            <w:pPr>
              <w:spacing w:line="360" w:lineRule="auto"/>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优：对于重点片区与俯瞰点的提升潜力、提升目标、提升思路与提升策略把握准确，国际案例借鉴针对性强，得</w:t>
            </w:r>
            <w:r>
              <w:rPr>
                <w:rFonts w:hint="eastAsia" w:ascii="宋体" w:hAnsi="宋体"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szCs w:val="24"/>
                <w14:textFill>
                  <w14:solidFill>
                    <w14:schemeClr w14:val="tx1"/>
                  </w14:solidFill>
                </w14:textFill>
              </w:rPr>
              <w:t>。</w:t>
            </w:r>
          </w:p>
          <w:p>
            <w:pPr>
              <w:spacing w:line="360" w:lineRule="auto"/>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良：对于重点片区与俯瞰点的提升潜力、提升目标、提升思路与提升策略把握较准确，国际案例借鉴针对性较强得</w:t>
            </w:r>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分。</w:t>
            </w:r>
          </w:p>
          <w:p>
            <w:pPr>
              <w:spacing w:line="360" w:lineRule="auto"/>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中：对于重点片区与俯瞰点的提升潜力、提升目标、提升思路与提升策略把握一般，国际案例借鉴针对性一般，得</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分。</w:t>
            </w:r>
          </w:p>
          <w:p>
            <w:pPr>
              <w:spacing w:line="360" w:lineRule="auto"/>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差：对于重点片区与俯瞰点的提升潜力、提升目标、提升思路与提升策略把握较差，国际案例借鉴针对性较差，不得分。</w:t>
            </w:r>
          </w:p>
        </w:tc>
        <w:tc>
          <w:tcPr>
            <w:tcW w:w="901" w:type="dxa"/>
            <w:noWrap w:val="0"/>
            <w:vAlign w:val="center"/>
          </w:tcPr>
          <w:p>
            <w:pPr>
              <w:autoSpaceDE w:val="0"/>
              <w:autoSpaceDN w:val="0"/>
              <w:adjustRightInd w:val="0"/>
              <w:spacing w:line="360" w:lineRule="auto"/>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15</w:t>
            </w:r>
          </w:p>
        </w:tc>
        <w:tc>
          <w:tcPr>
            <w:tcW w:w="1079"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3</w:t>
            </w:r>
          </w:p>
        </w:tc>
        <w:tc>
          <w:tcPr>
            <w:tcW w:w="1168" w:type="dxa"/>
            <w:noWrap w:val="0"/>
            <w:vAlign w:val="center"/>
          </w:tcPr>
          <w:p>
            <w:pPr>
              <w:autoSpaceDE w:val="0"/>
              <w:autoSpaceDN w:val="0"/>
              <w:adjustRightInd w:val="0"/>
              <w:spacing w:line="360" w:lineRule="auto"/>
              <w:jc w:val="center"/>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工作进度及质量保障措施</w:t>
            </w:r>
          </w:p>
        </w:tc>
        <w:tc>
          <w:tcPr>
            <w:tcW w:w="5907" w:type="dxa"/>
            <w:noWrap w:val="0"/>
            <w:vAlign w:val="center"/>
          </w:tcPr>
          <w:p>
            <w:pPr>
              <w:pStyle w:val="13"/>
              <w:spacing w:before="0" w:beforeAutospacing="0" w:after="0" w:afterAutospacing="0" w:line="36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（一）评审内容：</w:t>
            </w:r>
          </w:p>
          <w:p>
            <w:pPr>
              <w:pStyle w:val="13"/>
              <w:spacing w:before="0" w:beforeAutospacing="0" w:after="0" w:afterAutospacing="0" w:line="360" w:lineRule="auto"/>
              <w:ind w:firstLine="240" w:firstLineChars="1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1、工作组织与进度安排情况</w:t>
            </w:r>
          </w:p>
          <w:p>
            <w:pPr>
              <w:pStyle w:val="13"/>
              <w:spacing w:before="0" w:beforeAutospacing="0" w:after="0" w:afterAutospacing="0" w:line="360" w:lineRule="auto"/>
              <w:ind w:firstLine="240" w:firstLineChars="1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2、质量保障措施</w:t>
            </w:r>
          </w:p>
          <w:p>
            <w:pPr>
              <w:pStyle w:val="13"/>
              <w:spacing w:before="0" w:beforeAutospacing="0" w:after="0" w:afterAutospacing="0" w:line="36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（二）评审标准：</w:t>
            </w:r>
          </w:p>
          <w:p>
            <w:pPr>
              <w:pStyle w:val="13"/>
              <w:spacing w:before="0" w:beforeAutospacing="0" w:after="0" w:afterAutospacing="0" w:line="360" w:lineRule="auto"/>
              <w:ind w:firstLine="240" w:firstLineChars="1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满足以上2点得</w:t>
            </w:r>
            <w:r>
              <w:rPr>
                <w:rFonts w:hint="eastAsia"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分，满足1点得</w:t>
            </w:r>
            <w:r>
              <w:rPr>
                <w:rFonts w:hint="eastAsia" w:cs="宋体"/>
                <w:color w:val="000000" w:themeColor="text1"/>
                <w:sz w:val="24"/>
                <w:szCs w:val="24"/>
                <w:lang w:val="en-US" w:eastAsia="zh-CN"/>
                <w14:textFill>
                  <w14:solidFill>
                    <w14:schemeClr w14:val="tx1"/>
                  </w14:solidFill>
                </w14:textFill>
              </w:rPr>
              <w:t>2.5</w:t>
            </w:r>
            <w:r>
              <w:rPr>
                <w:rFonts w:hint="eastAsia" w:ascii="宋体" w:hAnsi="宋体" w:eastAsia="宋体" w:cs="宋体"/>
                <w:color w:val="000000" w:themeColor="text1"/>
                <w:sz w:val="24"/>
                <w:szCs w:val="24"/>
                <w14:textFill>
                  <w14:solidFill>
                    <w14:schemeClr w14:val="tx1"/>
                  </w14:solidFill>
                </w14:textFill>
              </w:rPr>
              <w:t>分，未满足不得分。</w:t>
            </w:r>
          </w:p>
        </w:tc>
        <w:tc>
          <w:tcPr>
            <w:tcW w:w="901" w:type="dxa"/>
            <w:noWrap w:val="0"/>
            <w:vAlign w:val="center"/>
          </w:tcPr>
          <w:p>
            <w:pPr>
              <w:autoSpaceDE w:val="0"/>
              <w:autoSpaceDN w:val="0"/>
              <w:adjustRightInd w:val="0"/>
              <w:spacing w:line="360" w:lineRule="auto"/>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w:t>
            </w:r>
          </w:p>
        </w:tc>
        <w:tc>
          <w:tcPr>
            <w:tcW w:w="1079"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w:t>
            </w:r>
          </w:p>
        </w:tc>
        <w:tc>
          <w:tcPr>
            <w:tcW w:w="1168" w:type="dxa"/>
            <w:noWrap w:val="0"/>
            <w:vAlign w:val="center"/>
          </w:tcPr>
          <w:p>
            <w:pPr>
              <w:autoSpaceDE w:val="0"/>
              <w:autoSpaceDN w:val="0"/>
              <w:adjustRightInd w:val="0"/>
              <w:spacing w:line="360" w:lineRule="auto"/>
              <w:jc w:val="center"/>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后续服务</w:t>
            </w:r>
          </w:p>
        </w:tc>
        <w:tc>
          <w:tcPr>
            <w:tcW w:w="5907" w:type="dxa"/>
            <w:noWrap w:val="0"/>
            <w:vAlign w:val="center"/>
          </w:tcPr>
          <w:p>
            <w:pPr>
              <w:pStyle w:val="13"/>
              <w:spacing w:before="0" w:beforeAutospacing="0" w:after="0" w:afterAutospacing="0" w:line="36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（一）评审标准</w:t>
            </w:r>
          </w:p>
          <w:p>
            <w:pPr>
              <w:pStyle w:val="13"/>
              <w:spacing w:before="0" w:beforeAutospacing="0" w:after="0" w:afterAutospacing="0" w:line="360" w:lineRule="auto"/>
              <w:ind w:firstLine="0" w:firstLineChars="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投标人承诺</w:t>
            </w:r>
            <w:r>
              <w:rPr>
                <w:rFonts w:hint="eastAsia" w:ascii="宋体" w:hAnsi="宋体" w:eastAsia="宋体" w:cs="宋体"/>
                <w:color w:val="000000" w:themeColor="text1"/>
                <w:sz w:val="24"/>
                <w:szCs w:val="24"/>
                <w:lang w:eastAsia="zh-CN"/>
                <w14:textFill>
                  <w14:solidFill>
                    <w14:schemeClr w14:val="tx1"/>
                  </w14:solidFill>
                </w14:textFill>
              </w:rPr>
              <w:t>最终成果通过</w:t>
            </w:r>
            <w:r>
              <w:rPr>
                <w:rFonts w:hint="eastAsia" w:ascii="宋体" w:hAnsi="宋体" w:eastAsia="宋体" w:cs="宋体"/>
                <w:color w:val="000000" w:themeColor="text1"/>
                <w:sz w:val="24"/>
                <w:szCs w:val="24"/>
                <w:lang w:val="en-US" w:eastAsia="zh-CN"/>
                <w14:textFill>
                  <w14:solidFill>
                    <w14:schemeClr w14:val="tx1"/>
                  </w14:solidFill>
                </w14:textFill>
              </w:rPr>
              <w:t>采购人</w:t>
            </w:r>
            <w:r>
              <w:rPr>
                <w:rFonts w:hint="eastAsia" w:ascii="宋体" w:hAnsi="宋体" w:eastAsia="宋体" w:cs="宋体"/>
                <w:color w:val="000000" w:themeColor="text1"/>
                <w:sz w:val="24"/>
                <w:szCs w:val="24"/>
                <w:lang w:eastAsia="zh-CN"/>
                <w14:textFill>
                  <w14:solidFill>
                    <w14:schemeClr w14:val="tx1"/>
                  </w14:solidFill>
                </w14:textFill>
              </w:rPr>
              <w:t>审查之日起的1年内</w:t>
            </w:r>
            <w:r>
              <w:rPr>
                <w:rFonts w:hint="eastAsia" w:ascii="宋体" w:hAnsi="宋体" w:eastAsia="宋体" w:cs="宋体"/>
                <w:color w:val="000000" w:themeColor="text1"/>
                <w:sz w:val="24"/>
                <w:szCs w:val="24"/>
                <w14:textFill>
                  <w14:solidFill>
                    <w14:schemeClr w14:val="tx1"/>
                  </w14:solidFill>
                </w14:textFill>
              </w:rPr>
              <w:t>，与采购人保持全面沟通，提供技术服务支持，否则</w:t>
            </w:r>
            <w:r>
              <w:rPr>
                <w:rFonts w:hint="eastAsia" w:ascii="宋体" w:hAnsi="宋体" w:eastAsia="宋体" w:cs="宋体"/>
                <w:color w:val="000000" w:themeColor="text1"/>
                <w:sz w:val="24"/>
                <w:szCs w:val="24"/>
                <w:lang w:val="en-US" w:eastAsia="zh-CN"/>
                <w14:textFill>
                  <w14:solidFill>
                    <w14:schemeClr w14:val="tx1"/>
                  </w14:solidFill>
                </w14:textFill>
              </w:rPr>
              <w:t>本项不得分；在此基础上：</w:t>
            </w:r>
          </w:p>
          <w:p>
            <w:pPr>
              <w:pStyle w:val="13"/>
              <w:spacing w:before="0" w:beforeAutospacing="0" w:after="0" w:afterAutospacing="0" w:line="360" w:lineRule="auto"/>
              <w:ind w:firstLine="0" w:firstLineChars="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投标人承诺对业主服务的响应时间为24小时内，得</w:t>
            </w:r>
            <w:r>
              <w:rPr>
                <w:rFonts w:hint="eastAsia"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分，对业主服务的响应时间为48小时内，得</w:t>
            </w:r>
            <w:r>
              <w:rPr>
                <w:rFonts w:hint="eastAsia"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分，对业主服务的响应时间为48小时以上，不得分。</w:t>
            </w:r>
          </w:p>
          <w:p>
            <w:pPr>
              <w:pStyle w:val="13"/>
              <w:spacing w:before="0" w:beforeAutospacing="0" w:after="0" w:afterAutospacing="0" w:line="36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（二）证明文件</w:t>
            </w:r>
          </w:p>
          <w:p>
            <w:pPr>
              <w:pStyle w:val="13"/>
              <w:spacing w:before="0" w:beforeAutospacing="0" w:after="0" w:afterAutospacing="0" w:line="360" w:lineRule="auto"/>
              <w:ind w:firstLine="240" w:firstLineChars="1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提供后续服务承诺函（格式自拟）。投标人提供虚假材料的，将做无效投标处理，涉嫌存在违法违规行为的，依法报主管部门处理处罚。</w:t>
            </w:r>
          </w:p>
          <w:p>
            <w:pPr>
              <w:pStyle w:val="13"/>
              <w:spacing w:before="0" w:beforeAutospacing="0" w:after="0" w:afterAutospacing="0" w:line="360" w:lineRule="auto"/>
              <w:ind w:left="0" w:leftChars="0" w:right="0" w:rightChars="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（根据投标人提供的后续服务承诺函进行评审。）</w:t>
            </w:r>
          </w:p>
        </w:tc>
        <w:tc>
          <w:tcPr>
            <w:tcW w:w="901" w:type="dxa"/>
            <w:noWrap w:val="0"/>
            <w:vAlign w:val="center"/>
          </w:tcPr>
          <w:p>
            <w:pPr>
              <w:autoSpaceDE w:val="0"/>
              <w:autoSpaceDN w:val="0"/>
              <w:adjustRightInd w:val="0"/>
              <w:spacing w:line="360" w:lineRule="auto"/>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w:t>
            </w:r>
          </w:p>
        </w:tc>
        <w:tc>
          <w:tcPr>
            <w:tcW w:w="1079"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bl>
    <w:p>
      <w:pPr>
        <w:tabs>
          <w:tab w:val="left" w:pos="640"/>
          <w:tab w:val="left" w:pos="1260"/>
          <w:tab w:val="left" w:pos="1418"/>
        </w:tabs>
        <w:spacing w:line="360" w:lineRule="auto"/>
        <w:ind w:right="-420" w:rightChars="-200"/>
        <w:rPr>
          <w:rFonts w:hint="eastAsia" w:ascii="宋体" w:hAnsi="宋体" w:cs="宋体"/>
          <w:color w:val="000000" w:themeColor="text1"/>
          <w:sz w:val="24"/>
          <w:lang w:val="fr-CH"/>
          <w14:textFill>
            <w14:solidFill>
              <w14:schemeClr w14:val="tx1"/>
            </w14:solidFill>
          </w14:textFill>
        </w:rPr>
        <w:sectPr>
          <w:pgSz w:w="11906" w:h="16838"/>
          <w:pgMar w:top="850" w:right="1803" w:bottom="709" w:left="1803" w:header="851" w:footer="992" w:gutter="0"/>
          <w:cols w:space="720" w:num="1"/>
          <w:docGrid w:type="lines" w:linePitch="319" w:charSpace="0"/>
        </w:sectPr>
      </w:pPr>
    </w:p>
    <w:p>
      <w:pPr>
        <w:spacing w:line="360" w:lineRule="auto"/>
        <w:jc w:val="center"/>
        <w:outlineLvl w:val="0"/>
        <w:rPr>
          <w:rFonts w:hint="eastAsia" w:ascii="宋体" w:hAnsi="宋体" w:cs="宋体"/>
          <w:b/>
          <w:bCs/>
          <w:color w:val="000000" w:themeColor="text1"/>
          <w:sz w:val="24"/>
          <w14:textFill>
            <w14:solidFill>
              <w14:schemeClr w14:val="tx1"/>
            </w14:solidFill>
          </w14:textFill>
        </w:rPr>
      </w:pPr>
      <w:bookmarkStart w:id="18" w:name="_Toc9548"/>
      <w:bookmarkStart w:id="19" w:name="_Hlk28269117"/>
      <w:r>
        <w:rPr>
          <w:rFonts w:hint="eastAsia" w:ascii="宋体" w:hAnsi="宋体" w:cs="宋体"/>
          <w:b/>
          <w:bCs/>
          <w:color w:val="000000" w:themeColor="text1"/>
          <w:sz w:val="24"/>
          <w14:textFill>
            <w14:solidFill>
              <w14:schemeClr w14:val="tx1"/>
            </w14:solidFill>
          </w14:textFill>
        </w:rPr>
        <w:t>第七章 附件（投标文件格式）</w:t>
      </w:r>
      <w:bookmarkEnd w:id="18"/>
    </w:p>
    <w:p>
      <w:pPr>
        <w:keepNext/>
        <w:keepLines/>
        <w:spacing w:before="260" w:after="260" w:line="440" w:lineRule="exact"/>
        <w:jc w:val="center"/>
        <w:outlineLvl w:val="1"/>
        <w:rPr>
          <w:rFonts w:hint="eastAsia" w:ascii="宋体" w:hAnsi="宋体" w:cs="宋体"/>
          <w:b/>
          <w:bCs/>
          <w:color w:val="000000" w:themeColor="text1"/>
          <w:sz w:val="24"/>
          <w14:textFill>
            <w14:solidFill>
              <w14:schemeClr w14:val="tx1"/>
            </w14:solidFill>
          </w14:textFill>
        </w:rPr>
      </w:pPr>
      <w:bookmarkStart w:id="20" w:name="_Toc5116"/>
      <w:bookmarkStart w:id="21" w:name="_Toc19494"/>
      <w:bookmarkStart w:id="22" w:name="_Toc6548"/>
      <w:bookmarkStart w:id="23" w:name="_Toc31827"/>
      <w:r>
        <w:rPr>
          <w:rFonts w:hint="eastAsia" w:ascii="宋体" w:hAnsi="宋体" w:cs="宋体"/>
          <w:b/>
          <w:bCs/>
          <w:color w:val="000000" w:themeColor="text1"/>
          <w:sz w:val="24"/>
          <w14:textFill>
            <w14:solidFill>
              <w14:schemeClr w14:val="tx1"/>
            </w14:solidFill>
          </w14:textFill>
        </w:rPr>
        <w:t>1、投标文件密封袋/封面参考</w:t>
      </w:r>
      <w:bookmarkEnd w:id="20"/>
      <w:bookmarkEnd w:id="21"/>
      <w:bookmarkEnd w:id="22"/>
      <w:bookmarkEnd w:id="23"/>
    </w:p>
    <w:tbl>
      <w:tblPr>
        <w:tblStyle w:val="15"/>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noWrap w:val="0"/>
            <w:vAlign w:val="top"/>
          </w:tcPr>
          <w:p>
            <w:pPr>
              <w:pStyle w:val="2"/>
              <w:tabs>
                <w:tab w:val="left" w:pos="562"/>
                <w:tab w:val="left" w:pos="3372"/>
                <w:tab w:val="left" w:pos="3653"/>
              </w:tabs>
              <w:spacing w:line="360" w:lineRule="auto"/>
              <w:rPr>
                <w:rFonts w:hint="eastAsia" w:ascii="仿宋_GB2312" w:eastAsia="仿宋_GB2312"/>
                <w:b/>
                <w:color w:val="000000" w:themeColor="text1"/>
                <w:sz w:val="32"/>
                <w:lang w:val="en-US" w:eastAsia="zh-CN"/>
                <w14:textFill>
                  <w14:solidFill>
                    <w14:schemeClr w14:val="tx1"/>
                  </w14:solidFill>
                </w14:textFill>
              </w:rPr>
            </w:pPr>
          </w:p>
          <w:p>
            <w:pPr>
              <w:pStyle w:val="2"/>
              <w:tabs>
                <w:tab w:val="left" w:pos="562"/>
                <w:tab w:val="left" w:pos="3372"/>
                <w:tab w:val="left" w:pos="3653"/>
              </w:tabs>
              <w:spacing w:line="360" w:lineRule="auto"/>
              <w:jc w:val="center"/>
              <w:rPr>
                <w:rFonts w:hint="eastAsia" w:ascii="黑体" w:eastAsia="黑体"/>
                <w:b/>
                <w:color w:val="000000" w:themeColor="text1"/>
                <w:sz w:val="72"/>
                <w:szCs w:val="72"/>
                <w:lang w:val="en-US" w:eastAsia="zh-CN"/>
                <w14:textFill>
                  <w14:solidFill>
                    <w14:schemeClr w14:val="tx1"/>
                  </w14:solidFill>
                </w14:textFill>
              </w:rPr>
            </w:pPr>
          </w:p>
          <w:p>
            <w:pPr>
              <w:pStyle w:val="2"/>
              <w:tabs>
                <w:tab w:val="left" w:pos="562"/>
                <w:tab w:val="left" w:pos="3372"/>
                <w:tab w:val="left" w:pos="3653"/>
              </w:tabs>
              <w:spacing w:line="360" w:lineRule="auto"/>
              <w:jc w:val="center"/>
              <w:rPr>
                <w:rFonts w:hint="eastAsia" w:ascii="黑体" w:eastAsia="黑体"/>
                <w:b/>
                <w:color w:val="000000" w:themeColor="text1"/>
                <w:sz w:val="72"/>
                <w:szCs w:val="72"/>
                <w:lang w:val="en-US" w:eastAsia="zh-CN"/>
                <w14:textFill>
                  <w14:solidFill>
                    <w14:schemeClr w14:val="tx1"/>
                  </w14:solidFill>
                </w14:textFill>
              </w:rPr>
            </w:pPr>
            <w:r>
              <w:rPr>
                <w:rFonts w:hint="eastAsia" w:ascii="黑体" w:eastAsia="黑体"/>
                <w:b/>
                <w:color w:val="000000" w:themeColor="text1"/>
                <w:sz w:val="72"/>
                <w:szCs w:val="72"/>
                <w:lang w:val="en-US" w:eastAsia="zh-CN"/>
                <w14:textFill>
                  <w14:solidFill>
                    <w14:schemeClr w14:val="tx1"/>
                  </w14:solidFill>
                </w14:textFill>
              </w:rPr>
              <w:t>投 标 文 件</w:t>
            </w:r>
          </w:p>
          <w:p>
            <w:pPr>
              <w:pStyle w:val="2"/>
              <w:tabs>
                <w:tab w:val="left" w:pos="562"/>
                <w:tab w:val="left" w:pos="3372"/>
                <w:tab w:val="left" w:pos="3653"/>
              </w:tabs>
              <w:spacing w:line="360" w:lineRule="auto"/>
              <w:jc w:val="center"/>
              <w:rPr>
                <w:rFonts w:hint="eastAsia" w:ascii="黑体" w:eastAsia="黑体"/>
                <w:b/>
                <w:strike/>
                <w:color w:val="000000" w:themeColor="text1"/>
                <w:sz w:val="32"/>
                <w:lang w:val="en-US" w:eastAsia="zh-CN"/>
                <w14:textFill>
                  <w14:solidFill>
                    <w14:schemeClr w14:val="tx1"/>
                  </w14:solidFill>
                </w14:textFill>
              </w:rPr>
            </w:pPr>
          </w:p>
          <w:p>
            <w:pPr>
              <w:spacing w:after="120" w:line="360" w:lineRule="auto"/>
              <w:ind w:firstLine="3385" w:firstLineChars="651"/>
              <w:textAlignment w:val="baseline"/>
              <w:rPr>
                <w:rFonts w:ascii="黑体" w:eastAsia="黑体"/>
                <w:color w:val="000000" w:themeColor="text1"/>
                <w:sz w:val="32"/>
                <w14:textFill>
                  <w14:solidFill>
                    <w14:schemeClr w14:val="tx1"/>
                  </w14:solidFill>
                </w14:textFill>
              </w:rPr>
            </w:pPr>
            <w:r>
              <w:rPr>
                <w:rFonts w:hint="eastAsia" w:ascii="黑体" w:eastAsia="黑体"/>
                <w:color w:val="000000" w:themeColor="text1"/>
                <w:sz w:val="52"/>
                <w:szCs w:val="52"/>
                <w14:textFill>
                  <w14:solidFill>
                    <w14:schemeClr w14:val="tx1"/>
                  </w14:solidFill>
                </w14:textFill>
              </w:rPr>
              <w:t xml:space="preserve">口 </w:t>
            </w:r>
            <w:r>
              <w:rPr>
                <w:rFonts w:hint="eastAsia" w:ascii="黑体" w:eastAsia="黑体"/>
                <w:color w:val="000000" w:themeColor="text1"/>
                <w:sz w:val="32"/>
                <w14:textFill>
                  <w14:solidFill>
                    <w14:schemeClr w14:val="tx1"/>
                  </w14:solidFill>
                </w14:textFill>
              </w:rPr>
              <w:t>正本</w:t>
            </w:r>
          </w:p>
          <w:p>
            <w:pPr>
              <w:spacing w:after="120" w:line="360" w:lineRule="auto"/>
              <w:ind w:firstLine="3385" w:firstLineChars="651"/>
              <w:textAlignment w:val="baseline"/>
              <w:rPr>
                <w:rFonts w:ascii="黑体" w:eastAsia="黑体"/>
                <w:color w:val="000000" w:themeColor="text1"/>
                <w:sz w:val="32"/>
                <w14:textFill>
                  <w14:solidFill>
                    <w14:schemeClr w14:val="tx1"/>
                  </w14:solidFill>
                </w14:textFill>
              </w:rPr>
            </w:pPr>
            <w:r>
              <w:rPr>
                <w:rFonts w:hint="eastAsia" w:ascii="黑体" w:eastAsia="黑体"/>
                <w:color w:val="000000" w:themeColor="text1"/>
                <w:sz w:val="52"/>
                <w:szCs w:val="52"/>
                <w14:textFill>
                  <w14:solidFill>
                    <w14:schemeClr w14:val="tx1"/>
                  </w14:solidFill>
                </w14:textFill>
              </w:rPr>
              <w:t xml:space="preserve">口 </w:t>
            </w:r>
            <w:r>
              <w:rPr>
                <w:rFonts w:hint="eastAsia" w:ascii="黑体" w:eastAsia="黑体"/>
                <w:color w:val="000000" w:themeColor="text1"/>
                <w:sz w:val="32"/>
                <w14:textFill>
                  <w14:solidFill>
                    <w14:schemeClr w14:val="tx1"/>
                  </w14:solidFill>
                </w14:textFill>
              </w:rPr>
              <w:t>副本</w:t>
            </w:r>
          </w:p>
          <w:p>
            <w:pPr>
              <w:pStyle w:val="2"/>
              <w:tabs>
                <w:tab w:val="left" w:pos="562"/>
                <w:tab w:val="left" w:pos="3372"/>
                <w:tab w:val="left" w:pos="3653"/>
              </w:tabs>
              <w:spacing w:line="360" w:lineRule="auto"/>
              <w:rPr>
                <w:rFonts w:hint="eastAsia" w:ascii="仿宋_GB2312" w:eastAsia="仿宋_GB2312"/>
                <w:b/>
                <w:color w:val="000000" w:themeColor="text1"/>
                <w:sz w:val="32"/>
                <w:lang w:val="en-US" w:eastAsia="zh-CN"/>
                <w14:textFill>
                  <w14:solidFill>
                    <w14:schemeClr w14:val="tx1"/>
                  </w14:solidFill>
                </w14:textFill>
              </w:rPr>
            </w:pPr>
          </w:p>
          <w:p>
            <w:pPr>
              <w:rPr>
                <w:rFonts w:hint="eastAsia"/>
                <w:color w:val="000000" w:themeColor="text1"/>
                <w14:textFill>
                  <w14:solidFill>
                    <w14:schemeClr w14:val="tx1"/>
                  </w14:solidFill>
                </w14:textFill>
              </w:rPr>
            </w:pPr>
          </w:p>
          <w:p>
            <w:pPr>
              <w:pStyle w:val="2"/>
              <w:tabs>
                <w:tab w:val="left" w:pos="562"/>
                <w:tab w:val="left" w:pos="3372"/>
                <w:tab w:val="left" w:pos="3653"/>
              </w:tabs>
              <w:spacing w:line="400" w:lineRule="exact"/>
              <w:ind w:firstLine="900" w:firstLineChars="320"/>
              <w:rPr>
                <w:rFonts w:hint="eastAsia" w:ascii="仿宋_GB2312" w:eastAsia="仿宋_GB2312"/>
                <w:b/>
                <w:color w:val="000000" w:themeColor="text1"/>
                <w:sz w:val="28"/>
                <w:szCs w:val="28"/>
                <w:lang w:val="en-US" w:eastAsia="zh-CN"/>
                <w14:textFill>
                  <w14:solidFill>
                    <w14:schemeClr w14:val="tx1"/>
                  </w14:solidFill>
                </w14:textFill>
              </w:rPr>
            </w:pPr>
          </w:p>
          <w:p>
            <w:pPr>
              <w:pStyle w:val="2"/>
              <w:tabs>
                <w:tab w:val="left" w:pos="562"/>
                <w:tab w:val="left" w:pos="3372"/>
                <w:tab w:val="left" w:pos="3653"/>
              </w:tabs>
              <w:spacing w:line="400" w:lineRule="exact"/>
              <w:ind w:firstLine="900" w:firstLineChars="320"/>
              <w:rPr>
                <w:rFonts w:ascii="宋体" w:hAnsi="宋体" w:cs="宋体"/>
                <w:b/>
                <w:color w:val="000000" w:themeColor="text1"/>
                <w:sz w:val="28"/>
                <w:szCs w:val="28"/>
                <w:lang w:val="en-US"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项目编号：</w:t>
            </w:r>
            <w:r>
              <w:rPr>
                <w:rFonts w:hint="eastAsia" w:ascii="宋体" w:hAnsi="宋体" w:cs="Arial"/>
                <w:b/>
                <w:bCs/>
                <w:color w:val="000000" w:themeColor="text1"/>
                <w:sz w:val="28"/>
                <w:szCs w:val="28"/>
                <w:u w:val="single"/>
                <w:lang w:val="en-US" w:eastAsia="zh-CN"/>
                <w14:textFill>
                  <w14:solidFill>
                    <w14:schemeClr w14:val="tx1"/>
                  </w14:solidFill>
                </w14:textFill>
              </w:rPr>
              <w:t xml:space="preserve">                                   </w:t>
            </w:r>
          </w:p>
          <w:p>
            <w:pPr>
              <w:pStyle w:val="2"/>
              <w:tabs>
                <w:tab w:val="left" w:pos="562"/>
                <w:tab w:val="left" w:pos="3372"/>
                <w:tab w:val="left" w:pos="3653"/>
              </w:tabs>
              <w:spacing w:line="400" w:lineRule="exact"/>
              <w:ind w:firstLine="900" w:firstLineChars="320"/>
              <w:rPr>
                <w:rFonts w:ascii="宋体" w:hAnsi="宋体" w:cs="宋体"/>
                <w:b/>
                <w:color w:val="000000" w:themeColor="text1"/>
                <w:sz w:val="28"/>
                <w:szCs w:val="28"/>
                <w:lang w:val="en-US"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项目名称：</w:t>
            </w:r>
            <w:r>
              <w:rPr>
                <w:rFonts w:hint="eastAsia" w:ascii="宋体" w:hAnsi="宋体" w:cs="Arial"/>
                <w:b/>
                <w:bCs/>
                <w:color w:val="000000" w:themeColor="text1"/>
                <w:sz w:val="28"/>
                <w:szCs w:val="28"/>
                <w:u w:val="single"/>
                <w:lang w:val="en-US" w:eastAsia="zh-CN"/>
                <w14:textFill>
                  <w14:solidFill>
                    <w14:schemeClr w14:val="tx1"/>
                  </w14:solidFill>
                </w14:textFill>
              </w:rPr>
              <w:t xml:space="preserve">                                   </w:t>
            </w:r>
          </w:p>
          <w:p>
            <w:pPr>
              <w:pStyle w:val="2"/>
              <w:tabs>
                <w:tab w:val="left" w:pos="562"/>
                <w:tab w:val="left" w:pos="3372"/>
                <w:tab w:val="left" w:pos="3653"/>
              </w:tabs>
              <w:spacing w:line="400" w:lineRule="exact"/>
              <w:ind w:firstLine="900" w:firstLineChars="320"/>
              <w:rPr>
                <w:rFonts w:hint="eastAsia" w:ascii="宋体" w:hAnsi="宋体" w:cs="宋体"/>
                <w:b/>
                <w:color w:val="000000" w:themeColor="text1"/>
                <w:sz w:val="28"/>
                <w:szCs w:val="28"/>
                <w:lang w:val="en-US"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投标人名称：</w:t>
            </w:r>
            <w:r>
              <w:rPr>
                <w:rFonts w:hint="eastAsia" w:ascii="宋体" w:hAnsi="宋体" w:cs="Arial"/>
                <w:b/>
                <w:bCs/>
                <w:color w:val="000000" w:themeColor="text1"/>
                <w:sz w:val="28"/>
                <w:szCs w:val="28"/>
                <w:u w:val="single"/>
                <w:lang w:val="en-US" w:eastAsia="zh-CN"/>
                <w14:textFill>
                  <w14:solidFill>
                    <w14:schemeClr w14:val="tx1"/>
                  </w14:solidFill>
                </w14:textFill>
              </w:rPr>
              <w:t xml:space="preserve">                     （加盖公章）</w:t>
            </w:r>
          </w:p>
          <w:p>
            <w:pPr>
              <w:pStyle w:val="2"/>
              <w:tabs>
                <w:tab w:val="left" w:pos="562"/>
                <w:tab w:val="left" w:pos="3372"/>
                <w:tab w:val="left" w:pos="3653"/>
              </w:tabs>
              <w:spacing w:line="400" w:lineRule="exact"/>
              <w:ind w:firstLine="900" w:firstLineChars="320"/>
              <w:rPr>
                <w:rFonts w:hint="eastAsia" w:ascii="宋体" w:hAnsi="宋体" w:cs="Arial"/>
                <w:b/>
                <w:bCs/>
                <w:color w:val="000000" w:themeColor="text1"/>
                <w:sz w:val="28"/>
                <w:szCs w:val="28"/>
                <w:u w:val="single"/>
                <w:lang w:val="en-US"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投标人地址：</w:t>
            </w:r>
            <w:r>
              <w:rPr>
                <w:rFonts w:hint="eastAsia" w:ascii="宋体" w:hAnsi="宋体" w:cs="Arial"/>
                <w:b/>
                <w:bCs/>
                <w:color w:val="000000" w:themeColor="text1"/>
                <w:sz w:val="28"/>
                <w:szCs w:val="28"/>
                <w:u w:val="single"/>
                <w:lang w:val="en-US" w:eastAsia="zh-CN"/>
                <w14:textFill>
                  <w14:solidFill>
                    <w14:schemeClr w14:val="tx1"/>
                  </w14:solidFill>
                </w14:textFill>
              </w:rPr>
              <w:t xml:space="preserve">                                 </w:t>
            </w:r>
          </w:p>
          <w:p>
            <w:pPr>
              <w:pStyle w:val="2"/>
              <w:tabs>
                <w:tab w:val="left" w:pos="562"/>
                <w:tab w:val="left" w:pos="3372"/>
                <w:tab w:val="left" w:pos="3653"/>
              </w:tabs>
              <w:spacing w:line="400" w:lineRule="exact"/>
              <w:ind w:firstLine="900" w:firstLineChars="320"/>
              <w:rPr>
                <w:rFonts w:ascii="宋体" w:hAnsi="宋体" w:cs="Arial"/>
                <w:b/>
                <w:bCs/>
                <w:color w:val="000000" w:themeColor="text1"/>
                <w:sz w:val="28"/>
                <w:szCs w:val="28"/>
                <w:u w:val="single"/>
                <w:lang w:val="en-US" w:eastAsia="zh-CN"/>
                <w14:textFill>
                  <w14:solidFill>
                    <w14:schemeClr w14:val="tx1"/>
                  </w14:solidFill>
                </w14:textFill>
              </w:rPr>
            </w:pPr>
            <w:r>
              <w:rPr>
                <w:rFonts w:hint="eastAsia" w:ascii="宋体" w:hAnsi="宋体" w:cs="Arial"/>
                <w:b/>
                <w:bCs/>
                <w:color w:val="000000" w:themeColor="text1"/>
                <w:sz w:val="28"/>
                <w:szCs w:val="28"/>
                <w:lang w:val="en-US" w:eastAsia="zh-CN"/>
                <w14:textFill>
                  <w14:solidFill>
                    <w14:schemeClr w14:val="tx1"/>
                  </w14:solidFill>
                </w14:textFill>
              </w:rPr>
              <w:t>法定代表人/被授权人：</w:t>
            </w:r>
            <w:r>
              <w:rPr>
                <w:rFonts w:hint="eastAsia" w:ascii="宋体" w:hAnsi="宋体" w:cs="Arial"/>
                <w:b/>
                <w:bCs/>
                <w:color w:val="000000" w:themeColor="text1"/>
                <w:sz w:val="28"/>
                <w:szCs w:val="28"/>
                <w:u w:val="single"/>
                <w:lang w:val="en-US" w:eastAsia="zh-CN"/>
                <w14:textFill>
                  <w14:solidFill>
                    <w14:schemeClr w14:val="tx1"/>
                  </w14:solidFill>
                </w14:textFill>
              </w:rPr>
              <w:t xml:space="preserve">                        </w:t>
            </w:r>
          </w:p>
          <w:p>
            <w:pPr>
              <w:pStyle w:val="2"/>
              <w:tabs>
                <w:tab w:val="left" w:pos="562"/>
                <w:tab w:val="left" w:pos="3372"/>
                <w:tab w:val="left" w:pos="3653"/>
              </w:tabs>
              <w:spacing w:line="400" w:lineRule="exact"/>
              <w:ind w:firstLine="900" w:firstLineChars="320"/>
              <w:rPr>
                <w:rFonts w:hint="eastAsia" w:ascii="宋体" w:hAnsi="宋体" w:cs="宋体"/>
                <w:b/>
                <w:color w:val="000000" w:themeColor="text1"/>
                <w:sz w:val="28"/>
                <w:szCs w:val="28"/>
                <w:lang w:val="en-US" w:eastAsia="zh-CN"/>
                <w14:textFill>
                  <w14:solidFill>
                    <w14:schemeClr w14:val="tx1"/>
                  </w14:solidFill>
                </w14:textFill>
              </w:rPr>
            </w:pPr>
            <w:r>
              <w:rPr>
                <w:rFonts w:hint="eastAsia" w:ascii="宋体" w:hAnsi="宋体" w:cs="Arial"/>
                <w:b/>
                <w:bCs/>
                <w:color w:val="000000" w:themeColor="text1"/>
                <w:sz w:val="28"/>
                <w:szCs w:val="28"/>
                <w:lang w:val="en-US" w:eastAsia="zh-CN"/>
                <w14:textFill>
                  <w14:solidFill>
                    <w14:schemeClr w14:val="tx1"/>
                  </w14:solidFill>
                </w14:textFill>
              </w:rPr>
              <w:t>联系电话：</w:t>
            </w:r>
            <w:r>
              <w:rPr>
                <w:rFonts w:hint="eastAsia" w:ascii="宋体" w:hAnsi="宋体" w:cs="Arial"/>
                <w:b/>
                <w:bCs/>
                <w:color w:val="000000" w:themeColor="text1"/>
                <w:sz w:val="28"/>
                <w:szCs w:val="28"/>
                <w:u w:val="single"/>
                <w:lang w:val="en-US" w:eastAsia="zh-CN"/>
                <w14:textFill>
                  <w14:solidFill>
                    <w14:schemeClr w14:val="tx1"/>
                  </w14:solidFill>
                </w14:textFill>
              </w:rPr>
              <w:t xml:space="preserve">                                   </w:t>
            </w:r>
          </w:p>
          <w:p>
            <w:pPr>
              <w:spacing w:line="360" w:lineRule="auto"/>
              <w:jc w:val="center"/>
              <w:rPr>
                <w:rFonts w:hint="eastAsia" w:ascii="宋体" w:hAnsi="宋体" w:cs="Arial"/>
                <w:b/>
                <w:bCs/>
                <w:color w:val="000000" w:themeColor="text1"/>
                <w:sz w:val="28"/>
                <w:szCs w:val="28"/>
                <w14:textFill>
                  <w14:solidFill>
                    <w14:schemeClr w14:val="tx1"/>
                  </w14:solidFill>
                </w14:textFill>
              </w:rPr>
            </w:pPr>
          </w:p>
          <w:p>
            <w:pPr>
              <w:spacing w:line="360" w:lineRule="auto"/>
              <w:jc w:val="center"/>
              <w:rPr>
                <w:rFonts w:hint="eastAsia" w:ascii="宋体" w:hAnsi="宋体" w:cs="Arial"/>
                <w:b/>
                <w:bCs/>
                <w:color w:val="000000" w:themeColor="text1"/>
                <w:sz w:val="28"/>
                <w:szCs w:val="28"/>
                <w14:textFill>
                  <w14:solidFill>
                    <w14:schemeClr w14:val="tx1"/>
                  </w14:solidFill>
                </w14:textFill>
              </w:rPr>
            </w:pPr>
          </w:p>
          <w:p>
            <w:pPr>
              <w:spacing w:line="360" w:lineRule="auto"/>
              <w:jc w:val="center"/>
              <w:rPr>
                <w:rFonts w:hint="eastAsia" w:ascii="仿宋_GB2312" w:eastAsia="仿宋_GB2312"/>
                <w:b/>
                <w:color w:val="000000" w:themeColor="text1"/>
                <w:sz w:val="32"/>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【年月日时分之前不得启封。】</w:t>
            </w:r>
          </w:p>
        </w:tc>
      </w:tr>
    </w:tbl>
    <w:p>
      <w:pPr>
        <w:spacing w:line="360" w:lineRule="auto"/>
        <w:jc w:val="center"/>
        <w:rPr>
          <w:rFonts w:hint="eastAsia" w:ascii="宋体" w:hAnsi="宋体" w:cs="宋体"/>
          <w:b/>
          <w:bCs/>
          <w:color w:val="000000" w:themeColor="text1"/>
          <w:sz w:val="24"/>
          <w14:textFill>
            <w14:solidFill>
              <w14:schemeClr w14:val="tx1"/>
            </w14:solidFill>
          </w14:textFill>
        </w:rPr>
      </w:pPr>
    </w:p>
    <w:p>
      <w:pPr>
        <w:spacing w:before="100" w:beforeAutospacing="1" w:after="100" w:afterAutospacing="1"/>
        <w:jc w:val="center"/>
        <w:outlineLvl w:val="1"/>
        <w:rPr>
          <w:rFonts w:hint="eastAsia" w:ascii="宋体" w:hAnsi="宋体" w:cs="宋体"/>
          <w:b/>
          <w:color w:val="000000" w:themeColor="text1"/>
          <w:sz w:val="24"/>
          <w14:textFill>
            <w14:solidFill>
              <w14:schemeClr w14:val="tx1"/>
            </w14:solidFill>
          </w14:textFill>
        </w:rPr>
      </w:pPr>
      <w:bookmarkStart w:id="24" w:name="_Toc16724"/>
      <w:r>
        <w:rPr>
          <w:rFonts w:hint="eastAsia" w:ascii="宋体" w:hAnsi="宋体" w:cs="宋体"/>
          <w:b/>
          <w:color w:val="000000" w:themeColor="text1"/>
          <w:sz w:val="24"/>
          <w14:textFill>
            <w14:solidFill>
              <w14:schemeClr w14:val="tx1"/>
            </w14:solidFill>
          </w14:textFill>
        </w:rPr>
        <w:t>2、投标文件—目录</w:t>
      </w:r>
      <w:bookmarkEnd w:id="24"/>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w:t>
      </w:r>
      <w:r>
        <w:rPr>
          <w:rFonts w:hint="eastAsia" w:ascii="宋体" w:hAnsi="宋体" w:cs="宋体"/>
          <w:b/>
          <w:bCs/>
          <w:color w:val="000000" w:themeColor="text1"/>
          <w:sz w:val="24"/>
          <w:lang w:val="zh-CN"/>
          <w14:textFill>
            <w14:solidFill>
              <w14:schemeClr w14:val="tx1"/>
            </w14:solidFill>
          </w14:textFill>
        </w:rPr>
        <w:t>价格部分</w:t>
      </w:r>
    </w:p>
    <w:p>
      <w:pPr>
        <w:numPr>
          <w:ilvl w:val="0"/>
          <w:numId w:val="8"/>
        </w:numPr>
        <w:tabs>
          <w:tab w:val="left" w:pos="640"/>
          <w:tab w:val="clear" w:pos="425"/>
        </w:tabs>
        <w:spacing w:line="360" w:lineRule="auto"/>
        <w:ind w:left="625" w:hanging="62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投标一览表；</w:t>
      </w:r>
    </w:p>
    <w:p>
      <w:pPr>
        <w:numPr>
          <w:ilvl w:val="0"/>
          <w:numId w:val="8"/>
        </w:numPr>
        <w:tabs>
          <w:tab w:val="left" w:pos="640"/>
          <w:tab w:val="clear" w:pos="425"/>
        </w:tabs>
        <w:spacing w:line="360" w:lineRule="auto"/>
        <w:ind w:left="625" w:hanging="62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分类报价明细表；</w:t>
      </w:r>
    </w:p>
    <w:p>
      <w:pPr>
        <w:spacing w:line="360" w:lineRule="auto"/>
        <w:rPr>
          <w:rFonts w:hint="eastAsia" w:ascii="宋体" w:hAnsi="宋体" w:cs="宋体"/>
          <w:b/>
          <w:bCs/>
          <w:color w:val="000000" w:themeColor="text1"/>
          <w:sz w:val="24"/>
          <w:u w:val="wave"/>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（二）商务部分</w:t>
      </w:r>
    </w:p>
    <w:p>
      <w:pPr>
        <w:numPr>
          <w:ilvl w:val="0"/>
          <w:numId w:val="9"/>
        </w:numPr>
        <w:tabs>
          <w:tab w:val="left" w:pos="6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投标函；</w:t>
      </w:r>
    </w:p>
    <w:p>
      <w:pPr>
        <w:numPr>
          <w:ilvl w:val="0"/>
          <w:numId w:val="9"/>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营业执照【其他组织提供《事业单位法人证书》或《民办非企业单位登记证书》】及税务登记册证副本复印件(加盖投标人公章，若提供的营业执照为三证合一，则税务登记证可不单独提供)；</w:t>
      </w:r>
    </w:p>
    <w:p>
      <w:pPr>
        <w:numPr>
          <w:ilvl w:val="0"/>
          <w:numId w:val="9"/>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政府采购投标及履约承诺函；</w:t>
      </w:r>
    </w:p>
    <w:p>
      <w:pPr>
        <w:numPr>
          <w:ilvl w:val="0"/>
          <w:numId w:val="9"/>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关于资格的声明函；</w:t>
      </w:r>
    </w:p>
    <w:p>
      <w:pPr>
        <w:numPr>
          <w:ilvl w:val="0"/>
          <w:numId w:val="9"/>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法人代表证明书及身份证明；</w:t>
      </w:r>
    </w:p>
    <w:p>
      <w:pPr>
        <w:numPr>
          <w:ilvl w:val="0"/>
          <w:numId w:val="9"/>
        </w:numPr>
        <w:tabs>
          <w:tab w:val="left" w:pos="6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法定代表人授权书及身份证明；</w:t>
      </w:r>
    </w:p>
    <w:p>
      <w:pPr>
        <w:numPr>
          <w:ilvl w:val="0"/>
          <w:numId w:val="9"/>
        </w:numPr>
        <w:tabs>
          <w:tab w:val="left" w:pos="6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招标代理服务费承诺书；</w:t>
      </w:r>
    </w:p>
    <w:p>
      <w:pPr>
        <w:numPr>
          <w:ilvl w:val="0"/>
          <w:numId w:val="9"/>
        </w:numPr>
        <w:tabs>
          <w:tab w:val="left" w:pos="6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投标人简介；</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投标人编制经验；</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项目负责人要求（1人）；</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项目团队成员（项目负责人除外）；</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诚信声明与承诺；</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投标人认为有必要提供的其他材料。</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（三）技术部分</w:t>
      </w:r>
    </w:p>
    <w:p>
      <w:pPr>
        <w:numPr>
          <w:ilvl w:val="0"/>
          <w:numId w:val="10"/>
        </w:numPr>
        <w:tabs>
          <w:tab w:val="left" w:pos="640"/>
          <w:tab w:val="left" w:pos="1260"/>
          <w:tab w:val="left" w:pos="1418"/>
        </w:tabs>
        <w:spacing w:line="360" w:lineRule="auto"/>
        <w:ind w:left="640" w:right="-420" w:rightChars="-200" w:hanging="640"/>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用户需求响应表；</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项目背景理解分析；</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设计方案；</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工作进度及质量保障措施；</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后续服务；</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投标人认为有必要提供的其他材料。</w:t>
      </w:r>
    </w:p>
    <w:p>
      <w:pPr>
        <w:outlineLvl w:val="2"/>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（一）</w:t>
      </w:r>
      <w:r>
        <w:rPr>
          <w:rFonts w:hint="eastAsia" w:ascii="宋体" w:hAnsi="宋体" w:cs="宋体"/>
          <w:b/>
          <w:bCs/>
          <w:color w:val="000000" w:themeColor="text1"/>
          <w:sz w:val="24"/>
          <w:lang w:val="zh-CN"/>
          <w14:textFill>
            <w14:solidFill>
              <w14:schemeClr w14:val="tx1"/>
            </w14:solidFill>
          </w14:textFill>
        </w:rPr>
        <w:t>价格部分</w:t>
      </w:r>
    </w:p>
    <w:p>
      <w:pPr>
        <w:numPr>
          <w:ilvl w:val="0"/>
          <w:numId w:val="11"/>
        </w:numPr>
        <w:tabs>
          <w:tab w:val="left" w:pos="640"/>
          <w:tab w:val="clear" w:pos="425"/>
        </w:tabs>
        <w:ind w:left="625" w:hanging="62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投标一览表；</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投标一览表</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投标供应商名称：（公章）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u w:val="single"/>
          <w14:textFill>
            <w14:solidFill>
              <w14:schemeClr w14:val="tx1"/>
            </w14:solidFill>
          </w14:textFill>
        </w:rPr>
        <w:t xml:space="preserve">                                      </w:t>
      </w:r>
    </w:p>
    <w:tbl>
      <w:tblPr>
        <w:tblStyle w:val="15"/>
        <w:tblW w:w="0" w:type="auto"/>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84"/>
        <w:gridCol w:w="2896"/>
        <w:gridCol w:w="13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3484" w:type="dxa"/>
            <w:noWrap w:val="0"/>
            <w:vAlign w:val="center"/>
          </w:tcPr>
          <w:p>
            <w:pPr>
              <w:spacing w:after="60"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p>
        </w:tc>
        <w:tc>
          <w:tcPr>
            <w:tcW w:w="2896" w:type="dxa"/>
            <w:noWrap w:val="0"/>
            <w:vAlign w:val="center"/>
          </w:tcPr>
          <w:p>
            <w:pPr>
              <w:spacing w:after="60"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投标价</w:t>
            </w:r>
          </w:p>
          <w:p>
            <w:pPr>
              <w:spacing w:after="60"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（人民币）</w:t>
            </w:r>
          </w:p>
        </w:tc>
        <w:tc>
          <w:tcPr>
            <w:tcW w:w="1318" w:type="dxa"/>
            <w:noWrap w:val="0"/>
            <w:vAlign w:val="center"/>
          </w:tcPr>
          <w:p>
            <w:pPr>
              <w:spacing w:after="60"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3" w:hRule="atLeast"/>
        </w:trPr>
        <w:tc>
          <w:tcPr>
            <w:tcW w:w="3484" w:type="dxa"/>
            <w:noWrap w:val="0"/>
            <w:vAlign w:val="center"/>
          </w:tcPr>
          <w:p>
            <w:pPr>
              <w:spacing w:line="360" w:lineRule="auto"/>
              <w:jc w:val="center"/>
              <w:rPr>
                <w:rFonts w:hint="eastAsia" w:ascii="宋体" w:hAnsi="宋体" w:cs="宋体"/>
                <w:color w:val="000000" w:themeColor="text1"/>
                <w:sz w:val="24"/>
                <w:u w:val="single"/>
                <w14:textFill>
                  <w14:solidFill>
                    <w14:schemeClr w14:val="tx1"/>
                  </w14:solidFill>
                </w14:textFill>
              </w:rPr>
            </w:pPr>
          </w:p>
        </w:tc>
        <w:tc>
          <w:tcPr>
            <w:tcW w:w="2896" w:type="dxa"/>
            <w:noWrap w:val="0"/>
            <w:vAlign w:val="center"/>
          </w:tcPr>
          <w:p>
            <w:pPr>
              <w:spacing w:line="360" w:lineRule="auto"/>
              <w:jc w:val="center"/>
              <w:rPr>
                <w:rFonts w:hint="eastAsia" w:ascii="宋体" w:hAnsi="宋体" w:cs="宋体"/>
                <w:color w:val="000000" w:themeColor="text1"/>
                <w:sz w:val="24"/>
                <w:u w:val="single"/>
                <w14:textFill>
                  <w14:solidFill>
                    <w14:schemeClr w14:val="tx1"/>
                  </w14:solidFill>
                </w14:textFill>
              </w:rPr>
            </w:pPr>
          </w:p>
        </w:tc>
        <w:tc>
          <w:tcPr>
            <w:tcW w:w="1318" w:type="dxa"/>
            <w:noWrap w:val="0"/>
            <w:vAlign w:val="center"/>
          </w:tcPr>
          <w:p>
            <w:pPr>
              <w:spacing w:line="360" w:lineRule="auto"/>
              <w:jc w:val="center"/>
              <w:rPr>
                <w:rFonts w:hint="eastAsia" w:ascii="宋体" w:hAnsi="宋体" w:cs="宋体"/>
                <w:color w:val="000000" w:themeColor="text1"/>
                <w:sz w:val="24"/>
                <w:u w:val="single"/>
                <w14:textFill>
                  <w14:solidFill>
                    <w14:schemeClr w14:val="tx1"/>
                  </w14:solidFill>
                </w14:textFill>
              </w:rPr>
            </w:pPr>
          </w:p>
        </w:tc>
      </w:tr>
    </w:tbl>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              务：</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p>
    <w:p>
      <w:pPr>
        <w:pStyle w:val="2"/>
        <w:rPr>
          <w:rFonts w:hint="eastAsia"/>
          <w:color w:val="000000" w:themeColor="text1"/>
          <w14:textFill>
            <w14:solidFill>
              <w14:schemeClr w14:val="tx1"/>
            </w14:solidFill>
          </w14:textFill>
        </w:rPr>
      </w:pPr>
    </w:p>
    <w:p>
      <w:pPr>
        <w:numPr>
          <w:ilvl w:val="0"/>
          <w:numId w:val="11"/>
        </w:numPr>
        <w:tabs>
          <w:tab w:val="left" w:pos="640"/>
          <w:tab w:val="clear" w:pos="425"/>
        </w:tabs>
        <w:ind w:left="625" w:hanging="62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分项报价清单；</w:t>
      </w:r>
    </w:p>
    <w:p>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分项报价清单</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投标供应商名称：（公章）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p>
    <w:tbl>
      <w:tblPr>
        <w:tblStyle w:val="15"/>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212"/>
        <w:gridCol w:w="720"/>
        <w:gridCol w:w="180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28" w:type="dxa"/>
            <w:noWrap w:val="0"/>
            <w:vAlign w:val="bottom"/>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序号</w:t>
            </w:r>
          </w:p>
        </w:tc>
        <w:tc>
          <w:tcPr>
            <w:tcW w:w="2212"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项目名称、内容</w:t>
            </w:r>
          </w:p>
        </w:tc>
        <w:tc>
          <w:tcPr>
            <w:tcW w:w="7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单位</w:t>
            </w:r>
          </w:p>
        </w:tc>
        <w:tc>
          <w:tcPr>
            <w:tcW w:w="180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数量（工作量）</w:t>
            </w:r>
          </w:p>
        </w:tc>
        <w:tc>
          <w:tcPr>
            <w:tcW w:w="16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单价</w:t>
            </w:r>
          </w:p>
        </w:tc>
        <w:tc>
          <w:tcPr>
            <w:tcW w:w="16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28" w:type="dxa"/>
            <w:noWrap w:val="0"/>
            <w:vAlign w:val="bottom"/>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1</w:t>
            </w:r>
          </w:p>
        </w:tc>
        <w:tc>
          <w:tcPr>
            <w:tcW w:w="2212"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7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80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28" w:type="dxa"/>
            <w:noWrap w:val="0"/>
            <w:vAlign w:val="bottom"/>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2</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80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8" w:type="dxa"/>
            <w:noWrap w:val="0"/>
            <w:vAlign w:val="bottom"/>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3</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80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28" w:type="dxa"/>
            <w:noWrap w:val="0"/>
            <w:vAlign w:val="bottom"/>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4</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80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5</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80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6</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80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7</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80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8</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80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9</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80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w:t>
            </w:r>
          </w:p>
        </w:tc>
        <w:tc>
          <w:tcPr>
            <w:tcW w:w="2212"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w:t>
            </w:r>
          </w:p>
        </w:tc>
        <w:tc>
          <w:tcPr>
            <w:tcW w:w="7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80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000" w:type="dxa"/>
            <w:gridSpan w:val="6"/>
            <w:noWrap w:val="0"/>
            <w:vAlign w:val="top"/>
          </w:tcPr>
          <w:p>
            <w:pPr>
              <w:pStyle w:val="7"/>
              <w:spacing w:line="360" w:lineRule="auto"/>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报价合计</w:t>
            </w:r>
          </w:p>
        </w:tc>
      </w:tr>
    </w:tbl>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 ________________________</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              务：</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outlineLvl w:val="2"/>
        <w:rPr>
          <w:rFonts w:hint="eastAsia" w:ascii="宋体" w:hAnsi="宋体" w:cs="宋体"/>
          <w:b/>
          <w:bCs/>
          <w:color w:val="000000" w:themeColor="text1"/>
          <w:sz w:val="24"/>
          <w:u w:val="wave"/>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（二）商务部分</w:t>
      </w:r>
    </w:p>
    <w:p>
      <w:pPr>
        <w:numPr>
          <w:ilvl w:val="0"/>
          <w:numId w:val="12"/>
        </w:numPr>
        <w:tabs>
          <w:tab w:val="left" w:pos="6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投标响应书；</w:t>
      </w:r>
    </w:p>
    <w:p>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投标响应书</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致：</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494" w:firstLineChars="20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根据贵方为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项目采购的邀请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（招标文件编号         ），签字代表</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（全名、职务）经正式授权并代表供应商</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（供应商方名称、地址）提交</w:t>
      </w:r>
      <w:r>
        <w:rPr>
          <w:rFonts w:hint="eastAsia" w:ascii="宋体" w:hAnsi="宋体" w:cs="宋体"/>
          <w:b/>
          <w:color w:val="000000" w:themeColor="text1"/>
          <w:sz w:val="24"/>
          <w14:textFill>
            <w14:solidFill>
              <w14:schemeClr w14:val="tx1"/>
            </w14:solidFill>
          </w14:textFill>
        </w:rPr>
        <w:t>一份正本四份副本以及1份电子文档的</w:t>
      </w:r>
      <w:r>
        <w:rPr>
          <w:rFonts w:hint="eastAsia" w:ascii="宋体" w:hAnsi="宋体" w:cs="宋体"/>
          <w:color w:val="000000" w:themeColor="text1"/>
          <w:sz w:val="24"/>
          <w14:textFill>
            <w14:solidFill>
              <w14:schemeClr w14:val="tx1"/>
            </w14:solidFill>
          </w14:textFill>
        </w:rPr>
        <w:t>投标文件。</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据此函，签字代表宣布同意如下：</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1、供应商方将按招标文件的规定履行合同责任和义务。</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2、供应商方已详细审查全部投标文件，包括修改文件（如有的话）以及全部参考资料和有关附件。我们完全理解并同意放弃对这方面有不明及误解的权利。</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3、与本投标项目有关的一切正式往来通讯请寄：</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邮编：</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电话：</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传真：</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邮箱：</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投标供应商授权代表、职务（印刷体）：</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（公  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w:t>
      </w:r>
      <w:r>
        <w:rPr>
          <w:rFonts w:hint="eastAsia" w:ascii="宋体" w:hAnsi="宋体" w:cs="宋体"/>
          <w:color w:val="000000" w:themeColor="text1"/>
          <w:sz w:val="24"/>
          <w:u w:val="single"/>
          <w14:textFill>
            <w14:solidFill>
              <w14:schemeClr w14:val="tx1"/>
            </w14:solidFill>
          </w14:textFill>
        </w:rPr>
        <w:t xml:space="preserve">                           </w:t>
      </w:r>
    </w:p>
    <w:p>
      <w:pPr>
        <w:pStyle w:val="2"/>
        <w:rPr>
          <w:rFonts w:hint="eastAsia"/>
          <w:color w:val="000000" w:themeColor="text1"/>
          <w14:textFill>
            <w14:solidFill>
              <w14:schemeClr w14:val="tx1"/>
            </w14:solidFill>
          </w14:textFill>
        </w:rPr>
      </w:pPr>
    </w:p>
    <w:p>
      <w:pPr>
        <w:numPr>
          <w:ilvl w:val="0"/>
          <w:numId w:val="12"/>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营业执照【其他组织提供《事业单位法人证书》或《民办非企业单位登记证书》】及税务登记册证副本复印件(加盖投标人公章，若提供的营业执照为三证合一，则税务登记证可不单独提供)；</w:t>
      </w:r>
    </w:p>
    <w:p>
      <w:pPr>
        <w:numPr>
          <w:ilvl w:val="0"/>
          <w:numId w:val="12"/>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政府采购投标及履约承诺函；</w:t>
      </w:r>
    </w:p>
    <w:p>
      <w:pPr>
        <w:spacing w:line="360" w:lineRule="auto"/>
        <w:jc w:val="center"/>
        <w:rPr>
          <w:rFonts w:hint="eastAsia" w:ascii="宋体" w:hAnsi="宋体" w:cs="宋体"/>
          <w:b/>
          <w:bCs/>
          <w:color w:val="000000" w:themeColor="text1"/>
          <w:sz w:val="24"/>
          <w:lang w:val="fr-CH"/>
          <w14:textFill>
            <w14:solidFill>
              <w14:schemeClr w14:val="tx1"/>
            </w14:solidFill>
          </w14:textFill>
        </w:rPr>
      </w:pPr>
      <w:r>
        <w:rPr>
          <w:rFonts w:hint="eastAsia" w:ascii="宋体" w:hAnsi="宋体" w:cs="宋体"/>
          <w:b/>
          <w:bCs/>
          <w:color w:val="000000" w:themeColor="text1"/>
          <w:sz w:val="24"/>
          <w:lang w:val="fr-CH"/>
          <w14:textFill>
            <w14:solidFill>
              <w14:schemeClr w14:val="tx1"/>
            </w14:solidFill>
          </w14:textFill>
        </w:rPr>
        <w:t>政府采购投标及履约承诺函</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（采购单位名称/代理机构名称）：</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我单位深知本项目对贵局的重要性和紧迫性，亦了解贵局对廉政建设的相关要求，因此我单位承诺如下：</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我单位本招标项目所提供的货物或服务未侵犯知识产权。</w:t>
      </w:r>
    </w:p>
    <w:p>
      <w:pPr>
        <w:widowControl/>
        <w:numPr>
          <w:ilvl w:val="0"/>
          <w:numId w:val="13"/>
        </w:numPr>
        <w:shd w:val="clear" w:color="auto" w:fill="FFFFFF"/>
        <w:spacing w:line="360" w:lineRule="auto"/>
        <w:ind w:right="-4"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w:t>
      </w:r>
      <w:r>
        <w:rPr>
          <w:rFonts w:hint="eastAsia" w:ascii="宋体" w:hAnsi="宋体" w:cs="宋体"/>
          <w:color w:val="000000" w:themeColor="text1"/>
          <w:kern w:val="0"/>
          <w:sz w:val="24"/>
          <w14:textFill>
            <w14:solidFill>
              <w14:schemeClr w14:val="tx1"/>
            </w14:solidFill>
          </w14:textFill>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numPr>
          <w:ilvl w:val="0"/>
          <w:numId w:val="13"/>
        </w:numPr>
        <w:shd w:val="clear" w:color="auto" w:fill="FFFFFF"/>
        <w:spacing w:line="360" w:lineRule="auto"/>
        <w:ind w:right="-4"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w:t>
      </w:r>
      <w:r>
        <w:rPr>
          <w:rFonts w:hint="eastAsia" w:ascii="宋体" w:hAnsi="宋体" w:cs="宋体"/>
          <w:color w:val="000000" w:themeColor="text1"/>
          <w:kern w:val="0"/>
          <w:sz w:val="24"/>
          <w14:textFill>
            <w14:solidFill>
              <w14:schemeClr w14:val="tx1"/>
            </w14:solidFill>
          </w14:textFill>
        </w:rPr>
        <w:t>及其法定代表人近三年内（投标人成立不足三年的可从成立之日起算）无行贿犯罪记录；</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我单位具备《中华人民共和国政府采购法》第二十二条第一款的条件。</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符合财政部和深圳市财政局关于诚信管理的要求，</w:t>
      </w:r>
      <w:r>
        <w:rPr>
          <w:rFonts w:hint="eastAsia" w:ascii="宋体" w:hAnsi="宋体" w:cs="宋体"/>
          <w:color w:val="000000" w:themeColor="text1"/>
          <w:kern w:val="0"/>
          <w:sz w:val="24"/>
          <w14:textFill>
            <w14:solidFill>
              <w14:schemeClr w14:val="tx1"/>
            </w14:solidFill>
          </w14:textFill>
        </w:rPr>
        <w:t>至投标截止时间，我单位未有在“信用中国”网（www.creditchina.gov.cn）、中国政府采购网（www.ccgp.gov.cn）、深圳市政府采购监督管理网（zfcg.sz.gov.cn）和“国家企业信用信息公示系统（www.gsxt.gov.cn）等</w:t>
      </w: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个官网中列入“失信被执行人、重大税收违法失信主体、政府采购严重违法失信行为记录名单”</w:t>
      </w:r>
      <w:r>
        <w:rPr>
          <w:rFonts w:hint="eastAsia" w:ascii="宋体" w:hAnsi="宋体" w:cs="宋体"/>
          <w:color w:val="000000" w:themeColor="text1"/>
          <w:sz w:val="24"/>
          <w14:textFill>
            <w14:solidFill>
              <w14:schemeClr w14:val="tx1"/>
            </w14:solidFill>
          </w14:textFill>
        </w:rPr>
        <w:t>。</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我单位不存在单位法定代表人（负责人）为同一人或者存在直接控股、管理关系的不同供应商，同时参加本项目投标之情形；我公司未为本项目提供过整体设计、规范编制或者项目管理、监理、检测等服务。</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我单位如果中标，做到诚实守信，依照本项目招标文件需求内容、签署的采购合同及本单位在投标中所作的一切承诺履约；不非法转包、分包。</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我单位承诺未参与本项目的采购需求、技术指标、商务指标等内容的设定，不存在对其他投标单位不公平的行为。</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以上承诺，如有违反，愿依照国家相关法律处理，并承担由此给采购人带来的损失。</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p>
    <w:p>
      <w:pPr>
        <w:tabs>
          <w:tab w:val="left" w:pos="4860"/>
        </w:tabs>
        <w:adjustRightInd w:val="0"/>
        <w:snapToGrid w:val="0"/>
        <w:spacing w:line="360" w:lineRule="auto"/>
        <w:ind w:right="105" w:rightChars="50"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投标供应商法定代表人或授权代表（签字或签章）：                  </w:t>
      </w:r>
    </w:p>
    <w:p>
      <w:pPr>
        <w:tabs>
          <w:tab w:val="left" w:pos="4860"/>
        </w:tabs>
        <w:adjustRightInd w:val="0"/>
        <w:snapToGrid w:val="0"/>
        <w:spacing w:line="360" w:lineRule="auto"/>
        <w:ind w:right="105" w:rightChars="50"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4860"/>
        </w:tabs>
        <w:adjustRightInd w:val="0"/>
        <w:snapToGrid w:val="0"/>
        <w:spacing w:line="360" w:lineRule="auto"/>
        <w:ind w:right="105" w:rightChars="50"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numPr>
          <w:ilvl w:val="0"/>
          <w:numId w:val="12"/>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hAnsi="宋体" w:cs="宋体"/>
          <w:color w:val="000000" w:themeColor="text1"/>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关于资格的声明函；</w:t>
      </w:r>
    </w:p>
    <w:p>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关于资格的声明函</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（采购单位名称/代理机构名称）：</w:t>
      </w:r>
    </w:p>
    <w:p>
      <w:pPr>
        <w:spacing w:line="360" w:lineRule="auto"/>
        <w:ind w:firstLine="566" w:firstLineChars="23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 投标人名称）    </w:t>
      </w:r>
      <w:r>
        <w:rPr>
          <w:rFonts w:hint="eastAsia" w:ascii="宋体" w:hAnsi="宋体" w:cs="宋体"/>
          <w:color w:val="000000" w:themeColor="text1"/>
          <w:sz w:val="24"/>
          <w14:textFill>
            <w14:solidFill>
              <w14:schemeClr w14:val="tx1"/>
            </w14:solidFill>
          </w14:textFill>
        </w:rPr>
        <w:t xml:space="preserve"> 参与了</w:t>
      </w:r>
      <w:r>
        <w:rPr>
          <w:rFonts w:hint="eastAsia" w:ascii="宋体" w:hAnsi="宋体" w:cs="宋体"/>
          <w:color w:val="000000" w:themeColor="text1"/>
          <w:sz w:val="24"/>
          <w:u w:val="single"/>
          <w14:textFill>
            <w14:solidFill>
              <w14:schemeClr w14:val="tx1"/>
            </w14:solidFill>
          </w14:textFill>
        </w:rPr>
        <w:t xml:space="preserve"> （项目名称 、招标编号） </w:t>
      </w:r>
      <w:r>
        <w:rPr>
          <w:rFonts w:hint="eastAsia" w:ascii="宋体" w:hAnsi="宋体" w:cs="宋体"/>
          <w:color w:val="000000" w:themeColor="text1"/>
          <w:sz w:val="24"/>
          <w14:textFill>
            <w14:solidFill>
              <w14:schemeClr w14:val="tx1"/>
            </w14:solidFill>
          </w14:textFill>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特此承诺！</w:t>
      </w:r>
    </w:p>
    <w:p>
      <w:pPr>
        <w:spacing w:line="360" w:lineRule="auto"/>
        <w:ind w:left="420"/>
        <w:rPr>
          <w:rFonts w:hint="eastAsia" w:ascii="宋体" w:hAnsi="宋体" w:cs="宋体"/>
          <w:color w:val="000000" w:themeColor="text1"/>
          <w:sz w:val="24"/>
          <w14:textFill>
            <w14:solidFill>
              <w14:schemeClr w14:val="tx1"/>
            </w14:solidFill>
          </w14:textFill>
        </w:rPr>
      </w:pPr>
    </w:p>
    <w:p>
      <w:pPr>
        <w:tabs>
          <w:tab w:val="left" w:pos="4860"/>
        </w:tabs>
        <w:adjustRightInd w:val="0"/>
        <w:snapToGrid w:val="0"/>
        <w:spacing w:line="360" w:lineRule="auto"/>
        <w:ind w:right="105" w:rightChars="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numPr>
          <w:ilvl w:val="0"/>
          <w:numId w:val="12"/>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法</w:t>
      </w:r>
      <w:r>
        <w:rPr>
          <w:rFonts w:ascii="宋体" w:hAnsi="宋体" w:cs="宋体"/>
          <w:color w:val="000000" w:themeColor="text1"/>
          <w:sz w:val="24"/>
          <w14:textFill>
            <w14:solidFill>
              <w14:schemeClr w14:val="tx1"/>
            </w14:solidFill>
          </w14:textFill>
        </w:rPr>
        <w:t>定代表</w:t>
      </w:r>
      <w:r>
        <w:rPr>
          <w:rFonts w:hint="eastAsia" w:ascii="宋体" w:hAnsi="宋体" w:cs="宋体"/>
          <w:color w:val="000000" w:themeColor="text1"/>
          <w:sz w:val="24"/>
          <w:lang w:val="fr-CH"/>
          <w14:textFill>
            <w14:solidFill>
              <w14:schemeClr w14:val="tx1"/>
            </w14:solidFill>
          </w14:textFill>
        </w:rPr>
        <w:t>人证明书及身份证明；</w:t>
      </w:r>
    </w:p>
    <w:p>
      <w:pPr>
        <w:spacing w:before="120" w:after="120" w:line="360" w:lineRule="auto"/>
        <w:jc w:val="center"/>
        <w:rPr>
          <w:rFonts w:hint="eastAsia" w:ascii="宋体" w:hAnsi="宋体" w:cs="宋体"/>
          <w:b/>
          <w:color w:val="000000" w:themeColor="text1"/>
          <w:sz w:val="24"/>
          <w14:textFill>
            <w14:solidFill>
              <w14:schemeClr w14:val="tx1"/>
            </w14:solidFill>
          </w14:textFill>
        </w:rPr>
      </w:pPr>
    </w:p>
    <w:p>
      <w:pPr>
        <w:spacing w:before="120" w:after="120" w:line="360" w:lineRule="auto"/>
        <w:jc w:val="center"/>
        <w:rPr>
          <w:rFonts w:hint="eastAsia" w:ascii="宋体" w:hAnsi="宋体" w:cs="宋体"/>
          <w:color w:val="000000" w:themeColor="text1"/>
          <w:sz w:val="24"/>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法定代表人证明书</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同志，现任我单位职务，为法定代表人，特此证明。</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签发日期：             有效日期：         单位：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附：代表人性别：   年龄：      身份证号码：</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营业执照号码：                 经济性质：</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主营（产）：</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兼营（产）：</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进口物品经营许可证号码：</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主营：</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兼营：</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说明：1、法定代表人为企业事业单位、国家机关、社会团体的主要行政负责人。</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2、内容必须填写真实、清楚，涂改无效，不得转让、买卖.</w:t>
      </w:r>
    </w:p>
    <w:p>
      <w:pPr>
        <w:tabs>
          <w:tab w:val="left" w:pos="3780"/>
        </w:tabs>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3780"/>
        </w:tabs>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法定代表人（签字或签章）：</w:t>
      </w:r>
    </w:p>
    <w:p>
      <w:pPr>
        <w:spacing w:before="120" w:after="120"/>
        <w:jc w:val="left"/>
        <w:rPr>
          <w:rFonts w:hint="eastAsia" w:ascii="宋体" w:hAnsi="宋体" w:cs="宋体"/>
          <w:color w:val="000000" w:themeColor="text1"/>
          <w:szCs w:val="21"/>
          <w14:textFill>
            <w14:solidFill>
              <w14:schemeClr w14:val="tx1"/>
            </w14:solidFill>
          </w14:textFill>
        </w:rPr>
      </w:pPr>
    </w:p>
    <w:p>
      <w:pPr>
        <w:spacing w:before="120" w:after="120" w:line="360" w:lineRule="auto"/>
        <w:jc w:val="lef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附身份证正反面</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0"/>
        <w:gridCol w:w="4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4240" w:type="dxa"/>
            <w:noWrap w:val="0"/>
            <w:vAlign w:val="top"/>
          </w:tcPr>
          <w:p>
            <w:pPr>
              <w:pStyle w:val="7"/>
              <w:spacing w:line="360" w:lineRule="auto"/>
              <w:rPr>
                <w:rFonts w:ascii="Arial Narrow" w:hAnsi="Arial Narrow"/>
                <w:b/>
                <w:bCs/>
                <w:color w:val="000000" w:themeColor="text1"/>
                <w:szCs w:val="21"/>
                <w:lang w:val="en-US" w:eastAsia="zh-CN"/>
                <w14:textFill>
                  <w14:solidFill>
                    <w14:schemeClr w14:val="tx1"/>
                  </w14:solidFill>
                </w14:textFill>
              </w:rPr>
            </w:pPr>
          </w:p>
        </w:tc>
        <w:tc>
          <w:tcPr>
            <w:tcW w:w="4240" w:type="dxa"/>
            <w:noWrap w:val="0"/>
            <w:vAlign w:val="top"/>
          </w:tcPr>
          <w:p>
            <w:pPr>
              <w:pStyle w:val="7"/>
              <w:spacing w:line="360" w:lineRule="auto"/>
              <w:rPr>
                <w:rFonts w:ascii="Arial Narrow" w:hAnsi="Arial Narrow"/>
                <w:b/>
                <w:bCs/>
                <w:color w:val="000000" w:themeColor="text1"/>
                <w:szCs w:val="21"/>
                <w:lang w:val="en-US" w:eastAsia="zh-CN"/>
                <w14:textFill>
                  <w14:solidFill>
                    <w14:schemeClr w14:val="tx1"/>
                  </w14:solidFill>
                </w14:textFill>
              </w:rPr>
            </w:pPr>
          </w:p>
        </w:tc>
      </w:tr>
    </w:tbl>
    <w:p>
      <w:pPr>
        <w:pStyle w:val="2"/>
        <w:rPr>
          <w:rFonts w:hint="eastAsia"/>
          <w:color w:val="000000" w:themeColor="text1"/>
          <w:lang w:val="fr-CH"/>
          <w14:textFill>
            <w14:solidFill>
              <w14:schemeClr w14:val="tx1"/>
            </w14:solidFill>
          </w14:textFill>
        </w:rPr>
      </w:pPr>
    </w:p>
    <w:p>
      <w:pPr>
        <w:numPr>
          <w:ilvl w:val="0"/>
          <w:numId w:val="12"/>
        </w:numPr>
        <w:tabs>
          <w:tab w:val="left" w:pos="6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法定代表人授权书及身份证明；</w:t>
      </w:r>
    </w:p>
    <w:p>
      <w:pPr>
        <w:pStyle w:val="7"/>
        <w:spacing w:line="360" w:lineRule="auto"/>
        <w:jc w:val="center"/>
        <w:rPr>
          <w:rFonts w:hint="eastAsia" w:hAnsi="宋体" w:cs="宋体"/>
          <w:b/>
          <w:color w:val="000000" w:themeColor="text1"/>
          <w:sz w:val="24"/>
          <w14:textFill>
            <w14:solidFill>
              <w14:schemeClr w14:val="tx1"/>
            </w14:solidFill>
          </w14:textFill>
        </w:rPr>
      </w:pPr>
    </w:p>
    <w:p>
      <w:pPr>
        <w:pStyle w:val="7"/>
        <w:spacing w:line="360" w:lineRule="auto"/>
        <w:jc w:val="center"/>
        <w:rPr>
          <w:rFonts w:hint="eastAsia"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法定代表人授权书</w:t>
      </w:r>
    </w:p>
    <w:p>
      <w:pPr>
        <w:pStyle w:val="7"/>
        <w:spacing w:line="360" w:lineRule="auto"/>
        <w:rPr>
          <w:rFonts w:hint="eastAsia" w:hAnsi="宋体" w:cs="宋体"/>
          <w:color w:val="000000" w:themeColor="text1"/>
          <w:sz w:val="24"/>
          <w14:textFill>
            <w14:solidFill>
              <w14:schemeClr w14:val="tx1"/>
            </w14:solidFill>
          </w14:textFill>
        </w:rPr>
      </w:pPr>
    </w:p>
    <w:p>
      <w:pPr>
        <w:pStyle w:val="7"/>
        <w:spacing w:line="360" w:lineRule="auto"/>
        <w:rPr>
          <w:rFonts w:hAnsi="宋体" w:cs="宋体"/>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深圳市前海深港现代服务业合作区管理局：</w:t>
      </w:r>
    </w:p>
    <w:p>
      <w:pPr>
        <w:pStyle w:val="7"/>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本授权书声明：注册于</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（国家或地区）的</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（投标人名称）的在下面签字的</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 xml:space="preserve"> （法定代表人姓名、职务）代表本公司授权在下面签字的</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（被授权人的姓名、职务）为本公司的合法代表人，就</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[招标编号为：</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]的投标和合同执行，以我方的名义处理一切与之有关的事宜。</w:t>
      </w:r>
    </w:p>
    <w:p>
      <w:pPr>
        <w:pStyle w:val="7"/>
        <w:spacing w:line="360" w:lineRule="auto"/>
        <w:rPr>
          <w:rFonts w:hint="eastAsia" w:hAnsi="宋体" w:cs="宋体"/>
          <w:color w:val="000000" w:themeColor="text1"/>
          <w:sz w:val="24"/>
          <w14:textFill>
            <w14:solidFill>
              <w14:schemeClr w14:val="tx1"/>
            </w14:solidFill>
          </w14:textFill>
        </w:rPr>
      </w:pPr>
    </w:p>
    <w:p>
      <w:pPr>
        <w:spacing w:line="360" w:lineRule="auto"/>
        <w:ind w:firstLine="57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本授权书于</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日签字生效，特此声明。</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法定代表人（签字或签章）：</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被授权人代表（签字或签章）：</w:t>
      </w:r>
    </w:p>
    <w:p>
      <w:pPr>
        <w:tabs>
          <w:tab w:val="left" w:pos="640"/>
          <w:tab w:val="left" w:pos="1260"/>
          <w:tab w:val="left" w:pos="1418"/>
        </w:tabs>
        <w:spacing w:line="360" w:lineRule="auto"/>
        <w:rPr>
          <w:rFonts w:hint="eastAsia" w:ascii="宋体" w:hAnsi="宋体" w:cs="宋体"/>
          <w:b/>
          <w:color w:val="000000" w:themeColor="text1"/>
          <w:sz w:val="24"/>
          <w14:textFill>
            <w14:solidFill>
              <w14:schemeClr w14:val="tx1"/>
            </w14:solidFill>
          </w14:textFill>
        </w:rPr>
      </w:pPr>
    </w:p>
    <w:p>
      <w:pPr>
        <w:tabs>
          <w:tab w:val="left" w:pos="640"/>
          <w:tab w:val="left" w:pos="1260"/>
          <w:tab w:val="left" w:pos="1418"/>
        </w:tabs>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附身份证正反面</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noWrap w:val="0"/>
            <w:vAlign w:val="top"/>
          </w:tcPr>
          <w:p>
            <w:pPr>
              <w:pStyle w:val="7"/>
              <w:spacing w:line="360" w:lineRule="auto"/>
              <w:rPr>
                <w:rFonts w:ascii="Arial Narrow" w:hAnsi="Arial Narrow"/>
                <w:b/>
                <w:bCs/>
                <w:color w:val="000000" w:themeColor="text1"/>
                <w:szCs w:val="21"/>
                <w:lang w:val="en-US" w:eastAsia="zh-CN"/>
                <w14:textFill>
                  <w14:solidFill>
                    <w14:schemeClr w14:val="tx1"/>
                  </w14:solidFill>
                </w14:textFill>
              </w:rPr>
            </w:pPr>
          </w:p>
        </w:tc>
        <w:tc>
          <w:tcPr>
            <w:tcW w:w="4677" w:type="dxa"/>
            <w:noWrap w:val="0"/>
            <w:vAlign w:val="top"/>
          </w:tcPr>
          <w:p>
            <w:pPr>
              <w:pStyle w:val="7"/>
              <w:spacing w:line="360" w:lineRule="auto"/>
              <w:rPr>
                <w:rFonts w:ascii="Arial Narrow" w:hAnsi="Arial Narrow"/>
                <w:b/>
                <w:bCs/>
                <w:color w:val="000000" w:themeColor="text1"/>
                <w:szCs w:val="21"/>
                <w:lang w:val="en-US" w:eastAsia="zh-CN"/>
                <w14:textFill>
                  <w14:solidFill>
                    <w14:schemeClr w14:val="tx1"/>
                  </w14:solidFill>
                </w14:textFill>
              </w:rPr>
            </w:pPr>
          </w:p>
        </w:tc>
      </w:tr>
    </w:tbl>
    <w:p>
      <w:pPr>
        <w:tabs>
          <w:tab w:val="left" w:pos="640"/>
          <w:tab w:val="left" w:pos="1260"/>
          <w:tab w:val="left" w:pos="1418"/>
        </w:tabs>
        <w:spacing w:line="360" w:lineRule="auto"/>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p>
    <w:p>
      <w:pPr>
        <w:numPr>
          <w:ilvl w:val="0"/>
          <w:numId w:val="12"/>
        </w:numPr>
        <w:tabs>
          <w:tab w:val="left" w:pos="640"/>
          <w:tab w:val="left" w:pos="1260"/>
          <w:tab w:val="left" w:pos="1418"/>
        </w:tabs>
        <w:spacing w:line="360" w:lineRule="auto"/>
        <w:ind w:left="640" w:hanging="640"/>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招标代理服务费承诺书；</w:t>
      </w:r>
    </w:p>
    <w:p>
      <w:pPr>
        <w:widowControl/>
        <w:autoSpaceDE w:val="0"/>
        <w:autoSpaceDN w:val="0"/>
        <w:spacing w:line="360" w:lineRule="auto"/>
        <w:ind w:left="359" w:right="26" w:hanging="357"/>
        <w:jc w:val="center"/>
        <w:textAlignment w:val="bottom"/>
        <w:rPr>
          <w:rFonts w:hint="eastAsia" w:ascii="宋体" w:hAnsi="宋体" w:cs="宋体"/>
          <w:b/>
          <w:bCs/>
          <w:color w:val="000000" w:themeColor="text1"/>
          <w:sz w:val="24"/>
          <w:lang w:val="fr-CH"/>
          <w14:textFill>
            <w14:solidFill>
              <w14:schemeClr w14:val="tx1"/>
            </w14:solidFill>
          </w14:textFill>
        </w:rPr>
      </w:pPr>
    </w:p>
    <w:p>
      <w:pPr>
        <w:widowControl/>
        <w:autoSpaceDE w:val="0"/>
        <w:autoSpaceDN w:val="0"/>
        <w:spacing w:line="360" w:lineRule="auto"/>
        <w:ind w:left="359" w:right="26" w:hanging="357"/>
        <w:jc w:val="center"/>
        <w:textAlignment w:val="bottom"/>
        <w:rPr>
          <w:rFonts w:hint="eastAsia" w:ascii="宋体" w:hAnsi="宋体" w:cs="宋体"/>
          <w:b/>
          <w:bCs/>
          <w:color w:val="000000" w:themeColor="text1"/>
          <w:sz w:val="24"/>
          <w:lang w:val="fr-CH"/>
          <w14:textFill>
            <w14:solidFill>
              <w14:schemeClr w14:val="tx1"/>
            </w14:solidFill>
          </w14:textFill>
        </w:rPr>
      </w:pPr>
      <w:r>
        <w:rPr>
          <w:rFonts w:hint="eastAsia" w:ascii="宋体" w:hAnsi="宋体" w:cs="宋体"/>
          <w:b/>
          <w:bCs/>
          <w:color w:val="000000" w:themeColor="text1"/>
          <w:sz w:val="24"/>
          <w:lang w:val="fr-CH"/>
          <w14:textFill>
            <w14:solidFill>
              <w14:schemeClr w14:val="tx1"/>
            </w14:solidFill>
          </w14:textFill>
        </w:rPr>
        <w:t>招标代理服务费承诺书</w:t>
      </w:r>
    </w:p>
    <w:p>
      <w:pPr>
        <w:widowControl/>
        <w:autoSpaceDE w:val="0"/>
        <w:autoSpaceDN w:val="0"/>
        <w:spacing w:line="360" w:lineRule="auto"/>
        <w:ind w:left="359" w:right="26" w:hanging="357"/>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致：中国远东国际招标有限公司</w:t>
      </w:r>
    </w:p>
    <w:p>
      <w:pPr>
        <w:widowControl/>
        <w:autoSpaceDE w:val="0"/>
        <w:autoSpaceDN w:val="0"/>
        <w:spacing w:line="360" w:lineRule="auto"/>
        <w:ind w:right="26" w:firstLine="540"/>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我们在贵司代理的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项目（招标编号：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）（货物/服务/工程）招标中若获中标，我们保证在收到中标通知书后5日内按招标文件的规定，以现金或电汇向贵公司指定的银行帐号支付全额招标代理服务费。招标代理服务费按照</w:t>
      </w:r>
      <w:r>
        <w:rPr>
          <w:rFonts w:hint="eastAsia" w:ascii="宋体" w:hAnsi="宋体" w:cs="宋体"/>
          <w:color w:val="000000" w:themeColor="text1"/>
          <w:sz w:val="24"/>
          <w:u w:val="single"/>
          <w14:textFill>
            <w14:solidFill>
              <w14:schemeClr w14:val="tx1"/>
            </w14:solidFill>
          </w14:textFill>
        </w:rPr>
        <w:t>招标文件中的规定</w:t>
      </w:r>
      <w:r>
        <w:rPr>
          <w:rFonts w:hint="eastAsia" w:ascii="宋体" w:hAnsi="宋体" w:cs="宋体"/>
          <w:color w:val="000000" w:themeColor="text1"/>
          <w:sz w:val="24"/>
          <w14:textFill>
            <w14:solidFill>
              <w14:schemeClr w14:val="tx1"/>
            </w14:solidFill>
          </w14:textFill>
        </w:rPr>
        <w:t>计算。</w:t>
      </w:r>
    </w:p>
    <w:p>
      <w:pPr>
        <w:widowControl/>
        <w:autoSpaceDE w:val="0"/>
        <w:autoSpaceDN w:val="0"/>
        <w:spacing w:line="360" w:lineRule="auto"/>
        <w:ind w:right="26" w:firstLine="540"/>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特此承诺。</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widowControl/>
        <w:autoSpaceDE w:val="0"/>
        <w:autoSpaceDN w:val="0"/>
        <w:spacing w:line="360" w:lineRule="auto"/>
        <w:ind w:left="359" w:right="26" w:hanging="357"/>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投标供应商地址：</w:t>
      </w:r>
    </w:p>
    <w:p>
      <w:pPr>
        <w:widowControl/>
        <w:autoSpaceDE w:val="0"/>
        <w:autoSpaceDN w:val="0"/>
        <w:spacing w:line="360" w:lineRule="auto"/>
        <w:ind w:left="359" w:right="26" w:hanging="357"/>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电话：         </w:t>
      </w:r>
    </w:p>
    <w:p>
      <w:pPr>
        <w:widowControl/>
        <w:autoSpaceDE w:val="0"/>
        <w:autoSpaceDN w:val="0"/>
        <w:spacing w:line="360" w:lineRule="auto"/>
        <w:ind w:left="359" w:right="26" w:hanging="357"/>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传真：</w:t>
      </w:r>
    </w:p>
    <w:p>
      <w:pPr>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pStyle w:val="2"/>
        <w:rPr>
          <w:rFonts w:hint="eastAsia"/>
          <w:color w:val="000000" w:themeColor="text1"/>
          <w:lang w:val="fr-CH"/>
          <w14:textFill>
            <w14:solidFill>
              <w14:schemeClr w14:val="tx1"/>
            </w14:solidFill>
          </w14:textFill>
        </w:rPr>
      </w:pPr>
    </w:p>
    <w:p>
      <w:pPr>
        <w:tabs>
          <w:tab w:val="left" w:pos="640"/>
          <w:tab w:val="left" w:pos="1260"/>
          <w:tab w:val="left" w:pos="1418"/>
        </w:tabs>
        <w:spacing w:line="360" w:lineRule="auto"/>
        <w:rPr>
          <w:rFonts w:hint="eastAsia" w:ascii="宋体" w:hAnsi="宋体" w:cs="宋体"/>
          <w:color w:val="000000" w:themeColor="text1"/>
          <w:sz w:val="24"/>
          <w:lang w:val="fr-CH"/>
          <w14:textFill>
            <w14:solidFill>
              <w14:schemeClr w14:val="tx1"/>
            </w14:solidFill>
          </w14:textFill>
        </w:rPr>
      </w:pPr>
    </w:p>
    <w:p>
      <w:pPr>
        <w:numPr>
          <w:ilvl w:val="0"/>
          <w:numId w:val="12"/>
        </w:numPr>
        <w:tabs>
          <w:tab w:val="left" w:pos="6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供应商</w:t>
      </w:r>
      <w:r>
        <w:rPr>
          <w:rFonts w:hint="eastAsia" w:ascii="宋体" w:hAnsi="宋体" w:cs="宋体"/>
          <w:color w:val="000000" w:themeColor="text1"/>
          <w:sz w:val="24"/>
          <w:lang w:val="fr-CH"/>
          <w14:textFill>
            <w14:solidFill>
              <w14:schemeClr w14:val="tx1"/>
            </w14:solidFill>
          </w14:textFill>
        </w:rPr>
        <w:t>简介；</w:t>
      </w:r>
    </w:p>
    <w:p>
      <w:pPr>
        <w:pStyle w:val="7"/>
        <w:spacing w:line="360" w:lineRule="auto"/>
        <w:jc w:val="center"/>
        <w:rPr>
          <w:rFonts w:hint="eastAsia" w:hAnsi="宋体" w:cs="宋体"/>
          <w:b/>
          <w:bCs/>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供应商基本情况一览表</w:t>
      </w:r>
    </w:p>
    <w:p>
      <w:pPr>
        <w:pStyle w:val="7"/>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1．名称及概况：</w:t>
      </w:r>
    </w:p>
    <w:p>
      <w:pPr>
        <w:pStyle w:val="7"/>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（1）供应商名称：_______________________________________</w:t>
      </w:r>
    </w:p>
    <w:p>
      <w:pPr>
        <w:pStyle w:val="7"/>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（2）地址：______________________________________________</w:t>
      </w:r>
    </w:p>
    <w:p>
      <w:pPr>
        <w:pStyle w:val="7"/>
        <w:spacing w:line="360" w:lineRule="auto"/>
        <w:ind w:firstLine="660" w:firstLineChars="275"/>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邮政编码：___________________________________________</w:t>
      </w:r>
    </w:p>
    <w:p>
      <w:pPr>
        <w:pStyle w:val="7"/>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电话号码：___________________________________________ </w:t>
      </w:r>
    </w:p>
    <w:p>
      <w:pPr>
        <w:pStyle w:val="7"/>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传真号码：___________________________________________ </w:t>
      </w:r>
    </w:p>
    <w:p>
      <w:pPr>
        <w:pStyle w:val="7"/>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（3）成立和／或注册日期：_________________________________</w:t>
      </w:r>
    </w:p>
    <w:p>
      <w:pPr>
        <w:pStyle w:val="7"/>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（4）法人代表：___________________________________________</w:t>
      </w:r>
    </w:p>
    <w:p>
      <w:pPr>
        <w:pStyle w:val="7"/>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（5）开户银行：___________________________________________</w:t>
      </w:r>
    </w:p>
    <w:p>
      <w:pPr>
        <w:pStyle w:val="7"/>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（6）开户帐号：___________________________________________</w:t>
      </w:r>
    </w:p>
    <w:p>
      <w:pPr>
        <w:pStyle w:val="7"/>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（7）注册资金：___________________________________________</w:t>
      </w:r>
    </w:p>
    <w:p>
      <w:pPr>
        <w:pStyle w:val="7"/>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（8）近两年财务基本情况</w:t>
      </w:r>
    </w:p>
    <w:p>
      <w:pPr>
        <w:pStyle w:val="7"/>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①货币资金期末数：_____________________________________</w:t>
      </w:r>
    </w:p>
    <w:p>
      <w:pPr>
        <w:pStyle w:val="7"/>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③年营业总额（值）：___________________________________</w:t>
      </w:r>
    </w:p>
    <w:p>
      <w:pPr>
        <w:pStyle w:val="7"/>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③资产负债率：_________________________________________</w:t>
      </w:r>
    </w:p>
    <w:p>
      <w:pPr>
        <w:pStyle w:val="7"/>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④销售利润率：_________________________________________</w:t>
      </w:r>
    </w:p>
    <w:p>
      <w:pPr>
        <w:pStyle w:val="7"/>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⑤资本收益率：_________________________________________</w:t>
      </w:r>
    </w:p>
    <w:p>
      <w:pPr>
        <w:pStyle w:val="7"/>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（9）项目主要联系人（姓名、职务、通讯）：</w:t>
      </w:r>
    </w:p>
    <w:p>
      <w:pPr>
        <w:pStyle w:val="7"/>
        <w:spacing w:line="360" w:lineRule="auto"/>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_____________________________________________________________________</w:t>
      </w:r>
    </w:p>
    <w:p>
      <w:pPr>
        <w:pStyle w:val="7"/>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（10）公司概况；</w:t>
      </w:r>
    </w:p>
    <w:p>
      <w:pPr>
        <w:pStyle w:val="7"/>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（11）公司组织机构；</w:t>
      </w:r>
    </w:p>
    <w:p>
      <w:pPr>
        <w:pStyle w:val="7"/>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兹证明上述说明是真实、正确的，并提供了全部能提供的资料和数据，我们同意遵照贵方要求出示有关证明文件。</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pStyle w:val="2"/>
        <w:rPr>
          <w:rFonts w:hint="eastAsia"/>
          <w:color w:val="000000" w:themeColor="text1"/>
          <w:lang w:val="fr-CH"/>
          <w14:textFill>
            <w14:solidFill>
              <w14:schemeClr w14:val="tx1"/>
            </w14:solidFill>
          </w14:textFill>
        </w:rPr>
      </w:pPr>
    </w:p>
    <w:p>
      <w:pPr>
        <w:numPr>
          <w:ilvl w:val="0"/>
          <w:numId w:val="12"/>
        </w:numPr>
        <w:tabs>
          <w:tab w:val="left" w:pos="640"/>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投标人编制经验</w:t>
      </w:r>
      <w:r>
        <w:rPr>
          <w:rFonts w:hint="eastAsia" w:ascii="宋体" w:hAnsi="宋体" w:cs="宋体"/>
          <w:color w:val="000000" w:themeColor="text1"/>
          <w:sz w:val="24"/>
          <w14:textFill>
            <w14:solidFill>
              <w14:schemeClr w14:val="tx1"/>
            </w14:solidFill>
          </w14:textFill>
        </w:rPr>
        <w:t>；</w:t>
      </w:r>
    </w:p>
    <w:p>
      <w:pPr>
        <w:numPr>
          <w:ilvl w:val="0"/>
          <w:numId w:val="12"/>
        </w:numPr>
        <w:tabs>
          <w:tab w:val="left" w:pos="640"/>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项目负责人要求（1人）</w:t>
      </w:r>
      <w:r>
        <w:rPr>
          <w:rFonts w:hint="eastAsia" w:ascii="宋体" w:hAnsi="宋体" w:cs="宋体"/>
          <w:color w:val="000000" w:themeColor="text1"/>
          <w:sz w:val="24"/>
          <w14:textFill>
            <w14:solidFill>
              <w14:schemeClr w14:val="tx1"/>
            </w14:solidFill>
          </w14:textFill>
        </w:rPr>
        <w:t>；</w:t>
      </w:r>
    </w:p>
    <w:p>
      <w:pPr>
        <w:numPr>
          <w:ilvl w:val="0"/>
          <w:numId w:val="12"/>
        </w:numPr>
        <w:tabs>
          <w:tab w:val="left" w:pos="640"/>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项目团队成员（项目负责人除外）</w:t>
      </w:r>
      <w:r>
        <w:rPr>
          <w:rFonts w:hint="eastAsia" w:ascii="宋体" w:hAnsi="宋体" w:cs="宋体"/>
          <w:color w:val="000000" w:themeColor="text1"/>
          <w:sz w:val="24"/>
          <w14:textFill>
            <w14:solidFill>
              <w14:schemeClr w14:val="tx1"/>
            </w14:solidFill>
          </w14:textFill>
        </w:rPr>
        <w:t>；</w:t>
      </w:r>
    </w:p>
    <w:p>
      <w:pPr>
        <w:tabs>
          <w:tab w:val="left" w:pos="640"/>
          <w:tab w:val="left" w:pos="1260"/>
          <w:tab w:val="left" w:pos="1418"/>
        </w:tabs>
        <w:jc w:val="center"/>
        <w:rPr>
          <w:rFonts w:hint="eastAsia" w:ascii="宋体" w:hAnsi="宋体" w:cs="宋体"/>
          <w:b/>
          <w:bCs/>
          <w:color w:val="000000" w:themeColor="text1"/>
          <w:szCs w:val="21"/>
          <w14:textFill>
            <w14:solidFill>
              <w14:schemeClr w14:val="tx1"/>
            </w14:solidFill>
          </w14:textFill>
        </w:rPr>
      </w:pPr>
    </w:p>
    <w:p>
      <w:pPr>
        <w:tabs>
          <w:tab w:val="left" w:pos="640"/>
          <w:tab w:val="left" w:pos="1260"/>
          <w:tab w:val="left" w:pos="1418"/>
        </w:tabs>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注：以上各项请根据“招标项目评分表”中的要求自行填写并提供相应的证明材料。</w:t>
      </w:r>
    </w:p>
    <w:p>
      <w:pPr>
        <w:numPr>
          <w:ilvl w:val="0"/>
          <w:numId w:val="12"/>
        </w:numPr>
        <w:tabs>
          <w:tab w:val="left" w:pos="640"/>
          <w:tab w:val="left" w:pos="8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b/>
          <w:bCs/>
          <w:color w:val="000000" w:themeColor="text1"/>
          <w:sz w:val="24"/>
          <w:lang w:val="fr-CH"/>
          <w14:textFill>
            <w14:solidFill>
              <w14:schemeClr w14:val="tx1"/>
            </w14:solidFill>
          </w14:textFill>
        </w:rPr>
        <w:t>诚信</w:t>
      </w:r>
      <w:r>
        <w:rPr>
          <w:rFonts w:hint="eastAsia" w:ascii="宋体" w:hAnsi="宋体" w:cs="宋体"/>
          <w:b/>
          <w:bCs/>
          <w:color w:val="000000" w:themeColor="text1"/>
          <w:sz w:val="24"/>
          <w14:textFill>
            <w14:solidFill>
              <w14:schemeClr w14:val="tx1"/>
            </w14:solidFill>
          </w14:textFill>
        </w:rPr>
        <w:t>声明与承诺</w:t>
      </w:r>
      <w:r>
        <w:rPr>
          <w:rFonts w:hint="eastAsia" w:ascii="宋体" w:hAnsi="宋体" w:cs="宋体"/>
          <w:b/>
          <w:bCs/>
          <w:color w:val="000000" w:themeColor="text1"/>
          <w:sz w:val="24"/>
          <w:lang w:val="fr-CH"/>
          <w14:textFill>
            <w14:solidFill>
              <w14:schemeClr w14:val="tx1"/>
            </w14:solidFill>
          </w14:textFill>
        </w:rPr>
        <w:t>；</w:t>
      </w:r>
    </w:p>
    <w:p>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诚信声明与承诺</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中国远东国际招标有限公司：</w:t>
      </w:r>
    </w:p>
    <w:p>
      <w:pPr>
        <w:spacing w:line="360" w:lineRule="auto"/>
        <w:ind w:firstLine="360" w:firstLineChars="1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我公司（单位）参与贵代理机构组织的项目（项目编号：）投标，现就诚信作如下声明与承诺：</w:t>
      </w:r>
    </w:p>
    <w:p>
      <w:pPr>
        <w:spacing w:line="360" w:lineRule="auto"/>
        <w:ind w:firstLine="360" w:firstLineChars="1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我司（单位）承诺无财政部《财政部关于在政府采购活动中查询及使用信用记录有关问题的通知》及其他相关文件中规定的予以扣分的情形。</w:t>
      </w:r>
    </w:p>
    <w:p>
      <w:pPr>
        <w:spacing w:line="360" w:lineRule="auto"/>
        <w:ind w:firstLine="360" w:firstLineChars="1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我司对上述内容的真实性负责。如有虚假，将依法承担相应责任。</w:t>
      </w:r>
    </w:p>
    <w:p>
      <w:pPr>
        <w:spacing w:line="360" w:lineRule="auto"/>
        <w:ind w:firstLine="360" w:firstLineChars="1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特此声明与承诺！</w:t>
      </w:r>
    </w:p>
    <w:p>
      <w:pPr>
        <w:spacing w:line="360" w:lineRule="auto"/>
        <w:jc w:val="left"/>
        <w:rPr>
          <w:rFonts w:hint="eastAsia" w:ascii="宋体" w:hAnsi="宋体" w:cs="宋体"/>
          <w:color w:val="000000" w:themeColor="text1"/>
          <w:sz w:val="24"/>
          <w14:textFill>
            <w14:solidFill>
              <w14:schemeClr w14:val="tx1"/>
            </w14:solidFill>
          </w14:textFill>
        </w:rPr>
      </w:pPr>
    </w:p>
    <w:p>
      <w:pPr>
        <w:spacing w:line="360" w:lineRule="auto"/>
        <w:jc w:val="left"/>
        <w:rPr>
          <w:rFonts w:hint="eastAsia" w:ascii="宋体" w:hAnsi="宋体" w:cs="宋体"/>
          <w:color w:val="000000" w:themeColor="text1"/>
          <w:sz w:val="24"/>
          <w14:textFill>
            <w14:solidFill>
              <w14:schemeClr w14:val="tx1"/>
            </w14:solidFill>
          </w14:textFill>
        </w:rPr>
      </w:pP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pStyle w:val="7"/>
        <w:spacing w:line="360" w:lineRule="auto"/>
        <w:jc w:val="left"/>
        <w:rPr>
          <w:rFonts w:hint="eastAsia" w:hAnsi="宋体" w:cs="宋体"/>
          <w:color w:val="000000" w:themeColor="text1"/>
          <w:sz w:val="24"/>
          <w14:textFill>
            <w14:solidFill>
              <w14:schemeClr w14:val="tx1"/>
            </w14:solidFill>
          </w14:textFill>
        </w:rPr>
      </w:pPr>
    </w:p>
    <w:p>
      <w:pPr>
        <w:pStyle w:val="7"/>
        <w:spacing w:line="360" w:lineRule="auto"/>
        <w:jc w:val="left"/>
        <w:rPr>
          <w:rFonts w:hint="eastAsia" w:hAnsi="宋体" w:cs="宋体"/>
          <w:color w:val="000000" w:themeColor="text1"/>
          <w:sz w:val="24"/>
          <w14:textFill>
            <w14:solidFill>
              <w14:schemeClr w14:val="tx1"/>
            </w14:solidFill>
          </w14:textFill>
        </w:rPr>
      </w:pPr>
    </w:p>
    <w:p>
      <w:pPr>
        <w:spacing w:before="100" w:beforeAutospacing="1" w:after="100" w:afterAutospacing="1"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注：近三年内，如投标人有任何违法违规、受惩罚和禁止、不良信用等记录，必须列明记载，并附网络截图（加盖公章）。</w:t>
      </w:r>
    </w:p>
    <w:p>
      <w:pPr>
        <w:pStyle w:val="2"/>
        <w:rPr>
          <w:rFonts w:hint="eastAsia"/>
          <w:color w:val="000000" w:themeColor="text1"/>
          <w:lang w:val="fr-CH"/>
          <w14:textFill>
            <w14:solidFill>
              <w14:schemeClr w14:val="tx1"/>
            </w14:solidFill>
          </w14:textFill>
        </w:rPr>
      </w:pPr>
    </w:p>
    <w:p>
      <w:pPr>
        <w:numPr>
          <w:ilvl w:val="0"/>
          <w:numId w:val="12"/>
        </w:numPr>
        <w:tabs>
          <w:tab w:val="left" w:pos="640"/>
          <w:tab w:val="left" w:pos="8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投标人认为有必要提供的其他材料。</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outlineLvl w:val="2"/>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（三）技术部分</w:t>
      </w:r>
    </w:p>
    <w:p>
      <w:pPr>
        <w:numPr>
          <w:ilvl w:val="0"/>
          <w:numId w:val="14"/>
        </w:numPr>
        <w:tabs>
          <w:tab w:val="left" w:pos="640"/>
          <w:tab w:val="left" w:pos="1260"/>
          <w:tab w:val="left" w:pos="1418"/>
        </w:tabs>
        <w:spacing w:line="360" w:lineRule="auto"/>
        <w:ind w:left="640" w:right="-420" w:rightChars="-200" w:hanging="640"/>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用户需求响应表；</w:t>
      </w:r>
    </w:p>
    <w:p>
      <w:pPr>
        <w:spacing w:after="78" w:line="360" w:lineRule="auto"/>
        <w:jc w:val="center"/>
        <w:rPr>
          <w:rFonts w:hint="eastAsia" w:ascii="宋体" w:hAnsi="宋体" w:cs="宋体"/>
          <w:b/>
          <w:bCs/>
          <w:color w:val="000000" w:themeColor="text1"/>
          <w:sz w:val="24"/>
          <w:lang w:val="fr-CH"/>
          <w14:textFill>
            <w14:solidFill>
              <w14:schemeClr w14:val="tx1"/>
            </w14:solidFill>
          </w14:textFill>
        </w:rPr>
      </w:pPr>
      <w:r>
        <w:rPr>
          <w:rFonts w:hint="eastAsia" w:ascii="宋体" w:hAnsi="宋体" w:cs="宋体"/>
          <w:b/>
          <w:bCs/>
          <w:color w:val="000000" w:themeColor="text1"/>
          <w:sz w:val="24"/>
          <w:lang w:val="fr-CH"/>
          <w14:textFill>
            <w14:solidFill>
              <w14:schemeClr w14:val="tx1"/>
            </w14:solidFill>
          </w14:textFill>
        </w:rPr>
        <w:t>用户需求响应表</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投标供应商名称：（公章）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u w:val="single"/>
          <w14:textFill>
            <w14:solidFill>
              <w14:schemeClr w14:val="tx1"/>
            </w14:solidFill>
          </w14:textFill>
        </w:rPr>
        <w:t xml:space="preserve">                                      </w:t>
      </w:r>
    </w:p>
    <w:p>
      <w:pPr>
        <w:spacing w:after="78"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据招标文件要求，我公司承诺响应如下：</w:t>
      </w:r>
    </w:p>
    <w:tbl>
      <w:tblPr>
        <w:tblStyle w:val="15"/>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noWrap w:val="0"/>
            <w:vAlign w:val="center"/>
          </w:tcPr>
          <w:p>
            <w:pPr>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序号</w:t>
            </w:r>
          </w:p>
        </w:tc>
        <w:tc>
          <w:tcPr>
            <w:tcW w:w="3507" w:type="dxa"/>
            <w:noWrap w:val="0"/>
            <w:vAlign w:val="center"/>
          </w:tcPr>
          <w:p>
            <w:pPr>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招标文件要求</w:t>
            </w:r>
          </w:p>
        </w:tc>
        <w:tc>
          <w:tcPr>
            <w:tcW w:w="3241" w:type="dxa"/>
            <w:noWrap w:val="0"/>
            <w:vAlign w:val="center"/>
          </w:tcPr>
          <w:p>
            <w:pPr>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投标文件响应</w:t>
            </w:r>
          </w:p>
        </w:tc>
        <w:tc>
          <w:tcPr>
            <w:tcW w:w="1917" w:type="dxa"/>
            <w:noWrap w:val="0"/>
            <w:vAlign w:val="center"/>
          </w:tcPr>
          <w:p>
            <w:pPr>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noWrap w:val="0"/>
            <w:vAlign w:val="center"/>
          </w:tcPr>
          <w:p>
            <w:pPr>
              <w:spacing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w:t>
            </w:r>
          </w:p>
        </w:tc>
        <w:tc>
          <w:tcPr>
            <w:tcW w:w="3507" w:type="dxa"/>
            <w:noWrap w:val="0"/>
            <w:vAlign w:val="center"/>
          </w:tcPr>
          <w:p>
            <w:pPr>
              <w:spacing w:after="78"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noWrap w:val="0"/>
            <w:vAlign w:val="center"/>
          </w:tcPr>
          <w:p>
            <w:pPr>
              <w:spacing w:line="360" w:lineRule="auto"/>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填写说明：此项投标人必须完全响应满足，请投标人于“投标文件响应”栏中填写“投标人完全响应满足招标文件“第五章 用户需求书”的全部内容”即可；</w:t>
            </w:r>
          </w:p>
          <w:p>
            <w:pPr>
              <w:spacing w:line="360" w:lineRule="auto"/>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无需另行编制填写内容。</w:t>
            </w:r>
          </w:p>
        </w:tc>
        <w:tc>
          <w:tcPr>
            <w:tcW w:w="1917" w:type="dxa"/>
            <w:noWrap w:val="0"/>
            <w:vAlign w:val="center"/>
          </w:tcPr>
          <w:p>
            <w:pPr>
              <w:spacing w:line="360" w:lineRule="auto"/>
              <w:jc w:val="center"/>
              <w:rPr>
                <w:rFonts w:hint="eastAsia" w:ascii="宋体" w:hAnsi="宋体" w:cs="宋体"/>
                <w:bCs/>
                <w:color w:val="000000" w:themeColor="text1"/>
                <w:sz w:val="24"/>
                <w14:textFill>
                  <w14:solidFill>
                    <w14:schemeClr w14:val="tx1"/>
                  </w14:solidFill>
                </w14:textFill>
              </w:rPr>
            </w:pPr>
          </w:p>
        </w:tc>
      </w:tr>
    </w:tbl>
    <w:p>
      <w:pPr>
        <w:spacing w:after="78" w:line="360" w:lineRule="auto"/>
        <w:rPr>
          <w:rFonts w:hint="eastAsia" w:ascii="宋体" w:hAnsi="宋体" w:cs="宋体"/>
          <w:bCs/>
          <w:color w:val="000000" w:themeColor="text1"/>
          <w:sz w:val="24"/>
          <w14:textFill>
            <w14:solidFill>
              <w14:schemeClr w14:val="tx1"/>
            </w14:solidFill>
          </w14:textFill>
        </w:rPr>
      </w:pPr>
    </w:p>
    <w:p>
      <w:pPr>
        <w:spacing w:after="78"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若响应情况优于招标要求，应作详细说明；“偏离情况”栏中根据响应情况填写，没有达到要求的填“负偏离”，达到要求的填“符合”，优于要求的填“正偏离”。</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              务：</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p>
    <w:p>
      <w:pPr>
        <w:pStyle w:val="2"/>
        <w:spacing w:line="360" w:lineRule="auto"/>
        <w:rPr>
          <w:rFonts w:hint="eastAsia"/>
          <w:color w:val="000000" w:themeColor="text1"/>
          <w:lang w:val="fr-CH"/>
          <w14:textFill>
            <w14:solidFill>
              <w14:schemeClr w14:val="tx1"/>
            </w14:solidFill>
          </w14:textFill>
        </w:rPr>
      </w:pPr>
    </w:p>
    <w:p>
      <w:pPr>
        <w:numPr>
          <w:ilvl w:val="0"/>
          <w:numId w:val="14"/>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sq-AL"/>
          <w14:textFill>
            <w14:solidFill>
              <w14:schemeClr w14:val="tx1"/>
            </w14:solidFill>
          </w14:textFill>
        </w:rPr>
      </w:pPr>
      <w:r>
        <w:rPr>
          <w:rFonts w:hint="eastAsia" w:ascii="宋体" w:hAnsi="宋体" w:cs="宋体"/>
          <w:color w:val="000000" w:themeColor="text1"/>
          <w:sz w:val="24"/>
          <w:lang w:val="sq-AL"/>
          <w14:textFill>
            <w14:solidFill>
              <w14:schemeClr w14:val="tx1"/>
            </w14:solidFill>
          </w14:textFill>
        </w:rPr>
        <w:br w:type="page"/>
      </w:r>
      <w:r>
        <w:rPr>
          <w:rFonts w:hint="eastAsia" w:ascii="宋体" w:hAnsi="宋体" w:cs="宋体"/>
          <w:color w:val="000000" w:themeColor="text1"/>
          <w:sz w:val="24"/>
          <w:lang w:val="sq-AL"/>
          <w14:textFill>
            <w14:solidFill>
              <w14:schemeClr w14:val="tx1"/>
            </w14:solidFill>
          </w14:textFill>
        </w:rPr>
        <w:t>项目背景理解分析；</w:t>
      </w:r>
    </w:p>
    <w:p>
      <w:pPr>
        <w:numPr>
          <w:ilvl w:val="0"/>
          <w:numId w:val="14"/>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sq-AL"/>
          <w14:textFill>
            <w14:solidFill>
              <w14:schemeClr w14:val="tx1"/>
            </w14:solidFill>
          </w14:textFill>
        </w:rPr>
      </w:pPr>
      <w:r>
        <w:rPr>
          <w:rFonts w:hint="eastAsia" w:ascii="宋体" w:hAnsi="宋体" w:cs="宋体"/>
          <w:color w:val="000000" w:themeColor="text1"/>
          <w:sz w:val="24"/>
          <w:lang w:val="sq-AL"/>
          <w14:textFill>
            <w14:solidFill>
              <w14:schemeClr w14:val="tx1"/>
            </w14:solidFill>
          </w14:textFill>
        </w:rPr>
        <w:t>设计方案；</w:t>
      </w:r>
    </w:p>
    <w:p>
      <w:pPr>
        <w:numPr>
          <w:ilvl w:val="0"/>
          <w:numId w:val="14"/>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sq-AL"/>
          <w14:textFill>
            <w14:solidFill>
              <w14:schemeClr w14:val="tx1"/>
            </w14:solidFill>
          </w14:textFill>
        </w:rPr>
      </w:pPr>
      <w:r>
        <w:rPr>
          <w:rFonts w:hint="eastAsia" w:ascii="宋体" w:hAnsi="宋体" w:cs="宋体"/>
          <w:color w:val="000000" w:themeColor="text1"/>
          <w:sz w:val="24"/>
          <w:lang w:val="sq-AL"/>
          <w14:textFill>
            <w14:solidFill>
              <w14:schemeClr w14:val="tx1"/>
            </w14:solidFill>
          </w14:textFill>
        </w:rPr>
        <w:t>工作进度及质量保障措施；</w:t>
      </w:r>
    </w:p>
    <w:p>
      <w:pPr>
        <w:numPr>
          <w:ilvl w:val="0"/>
          <w:numId w:val="14"/>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sq-AL"/>
          <w14:textFill>
            <w14:solidFill>
              <w14:schemeClr w14:val="tx1"/>
            </w14:solidFill>
          </w14:textFill>
        </w:rPr>
      </w:pPr>
      <w:r>
        <w:rPr>
          <w:rFonts w:hint="eastAsia" w:ascii="宋体" w:hAnsi="宋体" w:cs="宋体"/>
          <w:color w:val="000000" w:themeColor="text1"/>
          <w:sz w:val="24"/>
          <w:lang w:val="sq-AL"/>
          <w14:textFill>
            <w14:solidFill>
              <w14:schemeClr w14:val="tx1"/>
            </w14:solidFill>
          </w14:textFill>
        </w:rPr>
        <w:t>后续服务；</w:t>
      </w:r>
    </w:p>
    <w:p>
      <w:pPr>
        <w:tabs>
          <w:tab w:val="left" w:pos="640"/>
          <w:tab w:val="left" w:pos="1260"/>
          <w:tab w:val="left" w:pos="1418"/>
        </w:tabs>
        <w:jc w:val="center"/>
        <w:rPr>
          <w:rFonts w:hint="eastAsia" w:ascii="宋体" w:hAnsi="宋体" w:cs="宋体"/>
          <w:b/>
          <w:bCs/>
          <w:color w:val="000000" w:themeColor="text1"/>
          <w:sz w:val="24"/>
          <w14:textFill>
            <w14:solidFill>
              <w14:schemeClr w14:val="tx1"/>
            </w14:solidFill>
          </w14:textFill>
        </w:rPr>
      </w:pPr>
    </w:p>
    <w:p>
      <w:pPr>
        <w:tabs>
          <w:tab w:val="left" w:pos="640"/>
          <w:tab w:val="left" w:pos="1260"/>
          <w:tab w:val="left" w:pos="1418"/>
        </w:tabs>
        <w:jc w:val="center"/>
        <w:rPr>
          <w:rFonts w:hint="eastAsia" w:ascii="宋体" w:hAnsi="宋体" w:cs="宋体"/>
          <w:b/>
          <w:bCs/>
          <w:color w:val="000000" w:themeColor="text1"/>
          <w:sz w:val="24"/>
          <w14:textFill>
            <w14:solidFill>
              <w14:schemeClr w14:val="tx1"/>
            </w14:solidFill>
          </w14:textFill>
        </w:rPr>
      </w:pPr>
    </w:p>
    <w:p>
      <w:pPr>
        <w:tabs>
          <w:tab w:val="left" w:pos="640"/>
          <w:tab w:val="left" w:pos="1260"/>
          <w:tab w:val="left" w:pos="1418"/>
        </w:tabs>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注：以上各项请根据“招标项目评分表”中的要求自行填写并提供相应的证明材料。</w:t>
      </w:r>
    </w:p>
    <w:p>
      <w:pPr>
        <w:numPr>
          <w:ilvl w:val="0"/>
          <w:numId w:val="14"/>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投标人认为有必要提供的其他材料。</w:t>
      </w:r>
      <w:bookmarkEnd w:id="19"/>
    </w:p>
    <w:p>
      <w:pPr>
        <w:tabs>
          <w:tab w:val="left" w:pos="360"/>
        </w:tabs>
        <w:spacing w:line="300" w:lineRule="auto"/>
        <w:outlineLvl w:val="0"/>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bookmarkStart w:id="25" w:name="_Toc742"/>
      <w:bookmarkStart w:id="26" w:name="_Toc6251"/>
      <w:r>
        <w:rPr>
          <w:rFonts w:hint="eastAsia" w:ascii="宋体" w:hAnsi="宋体" w:cs="宋体"/>
          <w:b/>
          <w:bCs/>
          <w:color w:val="000000" w:themeColor="text1"/>
          <w:sz w:val="24"/>
          <w14:textFill>
            <w14:solidFill>
              <w14:schemeClr w14:val="tx1"/>
            </w14:solidFill>
          </w14:textFill>
        </w:rPr>
        <w:t>附件：相关政策</w:t>
      </w:r>
      <w:bookmarkEnd w:id="25"/>
      <w:bookmarkEnd w:id="26"/>
    </w:p>
    <w:p>
      <w:pPr>
        <w:tabs>
          <w:tab w:val="left" w:pos="360"/>
        </w:tabs>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1、财政部、工业和信息化部《关于印发〈政府采购促进中小企业发展管理办法〉的通知》（财库〔2020〕46 号）</w:t>
      </w:r>
    </w:p>
    <w:p>
      <w:pPr>
        <w:pStyle w:val="2"/>
        <w:tabs>
          <w:tab w:val="left" w:pos="562"/>
          <w:tab w:val="left" w:pos="3372"/>
          <w:tab w:val="left" w:pos="3653"/>
        </w:tabs>
        <w:rPr>
          <w:rFonts w:hint="eastAsia" w:ascii="宋体" w:hAnsi="宋体" w:cs="宋体"/>
          <w:color w:val="000000" w:themeColor="text1"/>
          <w14:textFill>
            <w14:solidFill>
              <w14:schemeClr w14:val="tx1"/>
            </w14:solidFill>
          </w14:textFill>
        </w:rPr>
      </w:pPr>
    </w:p>
    <w:p>
      <w:pPr>
        <w:widowControl/>
        <w:shd w:val="clear" w:color="auto" w:fill="FFFFFF"/>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关于印发《政府采购促进中小企业发展管理办法》的通知</w:t>
      </w:r>
    </w:p>
    <w:p>
      <w:pPr>
        <w:widowControl/>
        <w:shd w:val="clear" w:color="auto" w:fill="FFFFFF"/>
        <w:spacing w:after="240"/>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财库〔2020〕46号</w:t>
      </w:r>
    </w:p>
    <w:p>
      <w:pPr>
        <w:widowControl/>
        <w:shd w:val="clear" w:color="auto" w:fill="FFFFFF"/>
        <w:spacing w:after="24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各中央预算单位办公厅（室），各省、自治区、直辖市、计划单列市财政厅（局）、工业和信息化主管部门，新疆生产建设兵团财政局、工业和信息化主管部门：</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附件：政府采购促进中小企业发展管理办法</w:t>
      </w:r>
    </w:p>
    <w:p>
      <w:pPr>
        <w:widowControl/>
        <w:shd w:val="clear" w:color="auto" w:fill="FFFFFF"/>
        <w:jc w:val="righ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财  政  部</w:t>
      </w:r>
    </w:p>
    <w:p>
      <w:pPr>
        <w:widowControl/>
        <w:shd w:val="clear" w:color="auto" w:fill="FFFFFF"/>
        <w:jc w:val="righ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工业和信息化部</w:t>
      </w:r>
    </w:p>
    <w:p>
      <w:pPr>
        <w:widowControl/>
        <w:shd w:val="clear" w:color="auto" w:fill="FFFFFF"/>
        <w:jc w:val="righ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2020年12月18日</w:t>
      </w:r>
    </w:p>
    <w:p>
      <w:pPr>
        <w:autoSpaceDE w:val="0"/>
        <w:autoSpaceDN w:val="0"/>
        <w:adjustRightInd w:val="0"/>
        <w:jc w:val="left"/>
        <w:rPr>
          <w:rFonts w:hint="eastAsia" w:ascii="宋体" w:hAnsi="宋体" w:cs="宋体"/>
          <w:color w:val="000000" w:themeColor="text1"/>
          <w:kern w:val="0"/>
          <w:sz w:val="24"/>
          <w14:textFill>
            <w14:solidFill>
              <w14:schemeClr w14:val="tx1"/>
            </w14:solidFill>
          </w14:textFill>
        </w:rPr>
      </w:pPr>
    </w:p>
    <w:p>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政府采购促进中小企业发展管理办法</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第一条 为了发挥政府采购的政策功能，促进中小企业健康发展，根据《中华人民共和国政府采购法》、《中华人民共和国中小企业促进法》等有关法律法规，制定本办法。</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第三条 采购人在政府采购活动中应当通过加强采购需求管理，落实预留采购份额、价格评审优惠、优先采购等 措施，提高中小企业在政府采购中的份额，支持中小企业发展。</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第四条 在政府采购活动中，供应商提供的货物、工程或者服务符合下列情形的，享受本办法规定的中小企业扶持政策：</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（一）在货物采购项目中，货物由中小企业制造，即货 物由中小企业生产且使用该中小企业商号或者注册商标；</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（二）在工程采购项目中，工程由中小企业承建，即工 程施工单位为中小企业；</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（三）在服务采购项目中，服务由中小企业承接，即提供服务的人员为中小企业依照《中华人民共和国劳动合同法》订立劳动合同的从业人员。</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在货物采购项目中，供应商提供的货物既有中小企业制造货物，也有大型企业制造货物的，不享受本办法规定的中小企业扶持政策。</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以联合体形式参加政府采购活动，联合体各方均为中小企业的，联合体视同中小企业。其中，联合体各方均为小微企业的，联合体视同小微企业。</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2"/>
        <w:tabs>
          <w:tab w:val="left" w:pos="562"/>
          <w:tab w:val="left" w:pos="3372"/>
          <w:tab w:val="left" w:pos="3653"/>
        </w:tabs>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符合下列情形之一的，可不专门面向中小企业预留采购</w:t>
      </w:r>
      <w:r>
        <w:rPr>
          <w:rFonts w:hint="eastAsia" w:ascii="宋体" w:hAnsi="宋体" w:cs="宋体"/>
          <w:color w:val="000000" w:themeColor="text1"/>
          <w14:textFill>
            <w14:solidFill>
              <w14:schemeClr w14:val="tx1"/>
            </w14:solidFill>
          </w14:textFill>
        </w:rPr>
        <w:t>份额：</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（一）法律法规和国家有关政策明确规定优先或者应当面向事业单位、社会组织等非企业主体采购的；</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（二）因确需使用不可替代的专利、专有技术，基础设施限制，或者提供特定公共服务等原因，只能从中小企业之外的供应商处采购的；</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（三）按照本办法规定预留采购份额无法确保充分供应、充分竞争，或者存在可能影响政府采购目标实现的情形；</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（四）框架协议采购项目；</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（五）省级以上人民政府财政部门规定的其他情形。 除上述情形外，其他均为适宜由中小企业提供的情形。</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第七条采购限额标准以上，200万元以下的货物和服务采购项目、400 万元以下的工程采购项目，适宜由中小企业提供的，采购人应当专门面向中小企业采购。</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（一）将采购项目整体或者设置采购包专门面向中小企业采购；</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（二）要求供应商以联合体形式参加采购活动，且联合体中中小企业承担的部分达到一定比例；</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（三）要求获得采购合同的供应商将采购项目中的一定比例分包给一家或者多家中小企业。</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组成联合体或者接受分包合同的中小企业与联合体内 其他企业、分包企业之间不得存在直接控股、管理关系。</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第十二条 采购项目涉及中小企业采购的，采购文件应当明确以下内容：</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（一）预留份额的采购项目或者采购包，明确该项目或相关采购包专门面向中小企业采购，以及相关标的及预算金额；</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（二）要求以联合体形式参加或者合同分包的，明确联合协议或者分包意向协议中中小企业合同金额应当达到的 比例，并作为供应商资格条件；</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（三）非预留份额的采购项目或者采购包，明确有关价格扣除比例或者价格分加分比例；</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（四）规定依据本办法规定享受扶持政策获得政府采购合同的，小微企业不得将合同分包给大中型企业，中型企业不得将合同分包给大型企业；</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（五）采购人认为具备相关条件的，明确对中小企业在资金支付期限、预付款比例等方面的优惠措施；</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（六）明确采购标的对应的中小企业划分标准所属行业；</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（七）法律法规和省级以上人民政府财政部门规定的其他事项。</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第十三条 中标、成交供应商享受本办法规定的中小企业扶持政策的，采购人、采购代理机构应当随中标、成交结果公开中标、成交供应商的《中小企业声明函》。</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适用招标投标法的政府采购工程建设项目，应当在公示中标候选人时公开中标候选人的《中小企业声明函》。</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第十五条 鼓励各地区、各部门在采购活动中允许中小企业引入信用担保手段，为中小企业在投标（响应）保证、履约保证等方面提供专业化服务。鼓励中小企业依法合规通过政府采购合同融资。</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第十六条 政府采购监督检查、投诉处理及政府采购行政处罚中对中小企业的认定，由货物制造商或者工程、服务供应商注册登记所在地的县级以上人民政府中小企业主管部门负责。</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中小企业主管部门应当在收到财政部门或者有关招标 投标行政监督部门关于协助开展中小企业认定函后 10 个工作日内做出书面答复。</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第二十条 供应商按照本办法规定提供声明函内容不实的，属于提供虚假材料谋取中标、成交，依照《中华人民共和国政府采购法》等国家有关规定追究相应责任。</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适用招标投标法的政府采购工程建设项目，投标人按照 本办法规定提供声明函内容不实的，属于弄虚作假骗取中标，依照《中华人民共和国招标投标法》等国家有关规定追究相应责任。</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第二十二条 对外援助项目、国家相关资格或者资质管理制度另有规定的项目，不适用本办法。</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第二十三条 关于视同中小企业的其他主体的政府采购扶持政策，由财政部会同有关部门另行规定。</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第二十四条 省级财政部门可以会同中小企业主管部门根据本办法的规定制定具体实施办法。</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第二十五条 本办法自 2021 年 1 月 1 日起施行。《财政部 工业和信息化部关于印发〈政府采购促进中小企业发展暂行办法〉的通知》（财库﹝2011﹞181 号）同时废止。</w:t>
      </w:r>
    </w:p>
    <w:p>
      <w:pPr>
        <w:pStyle w:val="2"/>
        <w:tabs>
          <w:tab w:val="left" w:pos="562"/>
          <w:tab w:val="left" w:pos="3372"/>
          <w:tab w:val="left" w:pos="3653"/>
        </w:tabs>
        <w:spacing w:before="5"/>
        <w:rPr>
          <w:rFonts w:hint="eastAsia" w:ascii="宋体" w:hAnsi="宋体" w:cs="宋体"/>
          <w:color w:val="000000" w:themeColor="text1"/>
          <w14:textFill>
            <w14:solidFill>
              <w14:schemeClr w14:val="tx1"/>
            </w14:solidFill>
          </w14:textFill>
        </w:rPr>
      </w:pP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附：1.中小企业声明函</w:t>
      </w:r>
    </w:p>
    <w:p>
      <w:pPr>
        <w:pStyle w:val="2"/>
        <w:tabs>
          <w:tab w:val="left" w:pos="562"/>
          <w:tab w:val="left" w:pos="3372"/>
          <w:tab w:val="left" w:pos="3653"/>
        </w:tabs>
        <w:ind w:firstLine="960" w:firstLineChars="4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2.面向中小企业预留项目执行情况公告</w:t>
      </w:r>
    </w:p>
    <w:p>
      <w:pPr>
        <w:pStyle w:val="2"/>
        <w:tabs>
          <w:tab w:val="left" w:pos="562"/>
          <w:tab w:val="left" w:pos="3372"/>
          <w:tab w:val="left" w:pos="3653"/>
        </w:tabs>
        <w:spacing w:before="30"/>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br w:type="page"/>
      </w:r>
      <w:r>
        <w:rPr>
          <w:rFonts w:hint="eastAsia" w:ascii="宋体" w:hAnsi="宋体" w:cs="宋体"/>
          <w:b/>
          <w:bCs/>
          <w:color w:val="000000" w:themeColor="text1"/>
          <w14:textFill>
            <w14:solidFill>
              <w14:schemeClr w14:val="tx1"/>
            </w14:solidFill>
          </w14:textFill>
        </w:rPr>
        <w:t>附 1</w:t>
      </w:r>
    </w:p>
    <w:p>
      <w:pPr>
        <w:spacing w:after="319" w:afterLines="10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中小企业声明函（货物）</w:t>
      </w:r>
    </w:p>
    <w:p>
      <w:pPr>
        <w:pStyle w:val="2"/>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本公司（联合体）郑重声明，根据《政府采购促进中小企业发展管理办法》（财库﹝2020﹞46 号）的规定，本公司（联合体）参加（</w:t>
      </w:r>
      <w:r>
        <w:rPr>
          <w:rFonts w:hint="eastAsia" w:ascii="宋体" w:hAnsi="宋体" w:cs="宋体"/>
          <w:color w:val="000000" w:themeColor="text1"/>
          <w:spacing w:val="-2"/>
          <w:u w:val="single"/>
          <w14:textFill>
            <w14:solidFill>
              <w14:schemeClr w14:val="tx1"/>
            </w14:solidFill>
          </w14:textFill>
        </w:rPr>
        <w:t>单位名称</w:t>
      </w:r>
      <w:r>
        <w:rPr>
          <w:rFonts w:hint="eastAsia" w:ascii="宋体" w:hAnsi="宋体" w:cs="宋体"/>
          <w:color w:val="000000" w:themeColor="text1"/>
          <w:spacing w:val="-2"/>
          <w14:textFill>
            <w14:solidFill>
              <w14:schemeClr w14:val="tx1"/>
            </w14:solidFill>
          </w14:textFill>
        </w:rPr>
        <w:t>）的（</w:t>
      </w:r>
      <w:r>
        <w:rPr>
          <w:rFonts w:hint="eastAsia" w:ascii="宋体" w:hAnsi="宋体" w:cs="宋体"/>
          <w:color w:val="000000" w:themeColor="text1"/>
          <w:spacing w:val="-2"/>
          <w:u w:val="single"/>
          <w14:textFill>
            <w14:solidFill>
              <w14:schemeClr w14:val="tx1"/>
            </w14:solidFill>
          </w14:textFill>
        </w:rPr>
        <w:t>项目名称</w:t>
      </w:r>
      <w:r>
        <w:rPr>
          <w:rFonts w:hint="eastAsia" w:ascii="宋体" w:hAnsi="宋体" w:cs="宋体"/>
          <w:color w:val="000000" w:themeColor="text1"/>
          <w:spacing w:val="-2"/>
          <w14:textFill>
            <w14:solidFill>
              <w14:schemeClr w14:val="tx1"/>
            </w14:solidFill>
          </w14:textFill>
        </w:rPr>
        <w:t>）采购活动，提供的货物全部由符合政策要求的中小企业制造。相关企业（含联合体中的中小企业、签订分包意向协议的中小企业） 的具体情况如下：</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u w:val="single"/>
          <w14:textFill>
            <w14:solidFill>
              <w14:schemeClr w14:val="tx1"/>
            </w14:solidFill>
          </w14:textFill>
        </w:rPr>
        <w:t>标的名称</w:t>
      </w:r>
      <w:r>
        <w:rPr>
          <w:rFonts w:hint="eastAsia" w:ascii="宋体" w:hAnsi="宋体" w:cs="宋体"/>
          <w:color w:val="000000" w:themeColor="text1"/>
          <w:kern w:val="0"/>
          <w14:textFill>
            <w14:solidFill>
              <w14:schemeClr w14:val="tx1"/>
            </w14:solidFill>
          </w14:textFill>
        </w:rPr>
        <w:t>），属于（</w:t>
      </w:r>
      <w:r>
        <w:rPr>
          <w:rFonts w:hint="eastAsia" w:ascii="宋体" w:hAnsi="宋体" w:cs="宋体"/>
          <w:color w:val="000000" w:themeColor="text1"/>
          <w:kern w:val="0"/>
          <w:u w:val="single"/>
          <w14:textFill>
            <w14:solidFill>
              <w14:schemeClr w14:val="tx1"/>
            </w14:solidFill>
          </w14:textFill>
        </w:rPr>
        <w:t>采购文件中明确的所属行业</w:t>
      </w:r>
      <w:r>
        <w:rPr>
          <w:rFonts w:hint="eastAsia" w:ascii="宋体" w:hAnsi="宋体" w:cs="宋体"/>
          <w:color w:val="000000" w:themeColor="text1"/>
          <w:kern w:val="0"/>
          <w14:textFill>
            <w14:solidFill>
              <w14:schemeClr w14:val="tx1"/>
            </w14:solidFill>
          </w14:textFill>
        </w:rPr>
        <w:t>）；制造商为（</w:t>
      </w:r>
      <w:r>
        <w:rPr>
          <w:rFonts w:hint="eastAsia" w:ascii="宋体" w:hAnsi="宋体" w:cs="宋体"/>
          <w:color w:val="000000" w:themeColor="text1"/>
          <w:kern w:val="0"/>
          <w:u w:val="single"/>
          <w14:textFill>
            <w14:solidFill>
              <w14:schemeClr w14:val="tx1"/>
            </w14:solidFill>
          </w14:textFill>
        </w:rPr>
        <w:t>企业名称</w:t>
      </w:r>
      <w:r>
        <w:rPr>
          <w:rFonts w:hint="eastAsia" w:ascii="宋体" w:hAnsi="宋体" w:cs="宋体"/>
          <w:color w:val="000000" w:themeColor="text1"/>
          <w:kern w:val="0"/>
          <w14:textFill>
            <w14:solidFill>
              <w14:schemeClr w14:val="tx1"/>
            </w14:solidFill>
          </w14:textFill>
        </w:rPr>
        <w:t>），从业人员</w:t>
      </w:r>
      <w:r>
        <w:rPr>
          <w:rFonts w:hint="eastAsia" w:ascii="宋体" w:hAnsi="宋体" w:cs="宋体"/>
          <w:color w:val="000000" w:themeColor="text1"/>
          <w:kern w:val="0"/>
          <w:u w:val="single"/>
          <w14:textFill>
            <w14:solidFill>
              <w14:schemeClr w14:val="tx1"/>
            </w14:solidFill>
          </w14:textFill>
        </w:rPr>
        <w:tab/>
      </w:r>
      <w:r>
        <w:rPr>
          <w:rFonts w:hint="eastAsia" w:ascii="宋体" w:hAnsi="宋体" w:cs="宋体"/>
          <w:color w:val="000000" w:themeColor="text1"/>
          <w:kern w:val="0"/>
          <w14:textFill>
            <w14:solidFill>
              <w14:schemeClr w14:val="tx1"/>
            </w14:solidFill>
          </w14:textFill>
        </w:rPr>
        <w:t xml:space="preserve">人，营业收入为 </w:t>
      </w:r>
      <w:r>
        <w:rPr>
          <w:rFonts w:hint="eastAsia" w:ascii="宋体" w:hAnsi="宋体" w:cs="宋体"/>
          <w:color w:val="000000" w:themeColor="text1"/>
          <w:kern w:val="0"/>
          <w:u w:val="single"/>
          <w14:textFill>
            <w14:solidFill>
              <w14:schemeClr w14:val="tx1"/>
            </w14:solidFill>
          </w14:textFill>
        </w:rPr>
        <w:tab/>
      </w:r>
      <w:r>
        <w:rPr>
          <w:rFonts w:hint="eastAsia" w:ascii="宋体" w:hAnsi="宋体" w:cs="宋体"/>
          <w:color w:val="000000" w:themeColor="text1"/>
          <w:kern w:val="0"/>
          <w14:textFill>
            <w14:solidFill>
              <w14:schemeClr w14:val="tx1"/>
            </w14:solidFill>
          </w14:textFill>
        </w:rPr>
        <w:t>万元，资产总额为</w:t>
      </w:r>
      <w:r>
        <w:rPr>
          <w:rFonts w:hint="eastAsia" w:ascii="宋体" w:hAnsi="宋体" w:cs="宋体"/>
          <w:color w:val="000000" w:themeColor="text1"/>
          <w:kern w:val="0"/>
          <w:u w:val="single"/>
          <w14:textFill>
            <w14:solidFill>
              <w14:schemeClr w14:val="tx1"/>
            </w14:solidFill>
          </w14:textFill>
        </w:rPr>
        <w:tab/>
      </w:r>
      <w:r>
        <w:rPr>
          <w:rFonts w:hint="eastAsia" w:ascii="宋体" w:hAnsi="宋体" w:cs="宋体"/>
          <w:color w:val="000000" w:themeColor="text1"/>
          <w:kern w:val="0"/>
          <w:u w:val="single"/>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万元，属于（</w:t>
      </w:r>
      <w:r>
        <w:rPr>
          <w:rFonts w:hint="eastAsia" w:ascii="宋体" w:hAnsi="宋体" w:cs="宋体"/>
          <w:color w:val="000000" w:themeColor="text1"/>
          <w:kern w:val="0"/>
          <w:u w:val="single"/>
          <w14:textFill>
            <w14:solidFill>
              <w14:schemeClr w14:val="tx1"/>
            </w14:solidFill>
          </w14:textFill>
        </w:rPr>
        <w:t>中型企业、小型企业、微型企业</w:t>
      </w:r>
      <w:r>
        <w:rPr>
          <w:rFonts w:hint="eastAsia" w:ascii="宋体" w:hAnsi="宋体" w:cs="宋体"/>
          <w:color w:val="000000" w:themeColor="text1"/>
          <w:kern w:val="0"/>
          <w14:textFill>
            <w14:solidFill>
              <w14:schemeClr w14:val="tx1"/>
            </w14:solidFill>
          </w14:textFill>
        </w:rPr>
        <w:t>）；</w:t>
      </w:r>
    </w:p>
    <w:p>
      <w:pPr>
        <w:pStyle w:val="2"/>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2、（</w:t>
      </w:r>
      <w:r>
        <w:rPr>
          <w:rFonts w:hint="eastAsia" w:ascii="宋体" w:hAnsi="宋体" w:cs="宋体"/>
          <w:color w:val="000000" w:themeColor="text1"/>
          <w:spacing w:val="-2"/>
          <w:u w:val="single"/>
          <w14:textFill>
            <w14:solidFill>
              <w14:schemeClr w14:val="tx1"/>
            </w14:solidFill>
          </w14:textFill>
        </w:rPr>
        <w:t>标的名称</w:t>
      </w:r>
      <w:r>
        <w:rPr>
          <w:rFonts w:hint="eastAsia" w:ascii="宋体" w:hAnsi="宋体" w:cs="宋体"/>
          <w:color w:val="000000" w:themeColor="text1"/>
          <w:spacing w:val="-2"/>
          <w14:textFill>
            <w14:solidFill>
              <w14:schemeClr w14:val="tx1"/>
            </w14:solidFill>
          </w14:textFill>
        </w:rPr>
        <w:t>），属于（</w:t>
      </w:r>
      <w:r>
        <w:rPr>
          <w:rFonts w:hint="eastAsia" w:ascii="宋体" w:hAnsi="宋体" w:cs="宋体"/>
          <w:color w:val="000000" w:themeColor="text1"/>
          <w:spacing w:val="-2"/>
          <w:u w:val="single"/>
          <w14:textFill>
            <w14:solidFill>
              <w14:schemeClr w14:val="tx1"/>
            </w14:solidFill>
          </w14:textFill>
        </w:rPr>
        <w:t>采购文件中明确的所属行业</w:t>
      </w:r>
      <w:r>
        <w:rPr>
          <w:rFonts w:hint="eastAsia" w:ascii="宋体" w:hAnsi="宋体" w:cs="宋体"/>
          <w:color w:val="000000" w:themeColor="text1"/>
          <w:spacing w:val="-2"/>
          <w14:textFill>
            <w14:solidFill>
              <w14:schemeClr w14:val="tx1"/>
            </w14:solidFill>
          </w14:textFill>
        </w:rPr>
        <w:t>）；制造商为（</w:t>
      </w:r>
      <w:r>
        <w:rPr>
          <w:rFonts w:hint="eastAsia" w:ascii="宋体" w:hAnsi="宋体" w:cs="宋体"/>
          <w:color w:val="000000" w:themeColor="text1"/>
          <w:spacing w:val="-2"/>
          <w:u w:val="single"/>
          <w14:textFill>
            <w14:solidFill>
              <w14:schemeClr w14:val="tx1"/>
            </w14:solidFill>
          </w14:textFill>
        </w:rPr>
        <w:t>企业名称</w:t>
      </w:r>
      <w:r>
        <w:rPr>
          <w:rFonts w:hint="eastAsia" w:ascii="宋体" w:hAnsi="宋体" w:cs="宋体"/>
          <w:color w:val="000000" w:themeColor="text1"/>
          <w:spacing w:val="-2"/>
          <w14:textFill>
            <w14:solidFill>
              <w14:schemeClr w14:val="tx1"/>
            </w14:solidFill>
          </w14:textFill>
        </w:rPr>
        <w:t>），从业人员</w:t>
      </w:r>
      <w:r>
        <w:rPr>
          <w:rFonts w:hint="eastAsia" w:ascii="宋体" w:hAnsi="宋体" w:cs="宋体"/>
          <w:color w:val="000000" w:themeColor="text1"/>
          <w:spacing w:val="-2"/>
          <w:u w:val="single"/>
          <w14:textFill>
            <w14:solidFill>
              <w14:schemeClr w14:val="tx1"/>
            </w14:solidFill>
          </w14:textFill>
        </w:rPr>
        <w:t xml:space="preserve">    </w:t>
      </w:r>
      <w:r>
        <w:rPr>
          <w:rFonts w:hint="eastAsia" w:ascii="宋体" w:hAnsi="宋体" w:cs="宋体"/>
          <w:color w:val="000000" w:themeColor="text1"/>
          <w:spacing w:val="-2"/>
          <w14:textFill>
            <w14:solidFill>
              <w14:schemeClr w14:val="tx1"/>
            </w14:solidFill>
          </w14:textFill>
        </w:rPr>
        <w:t>人，营业收入为</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万元，资产总额为</w:t>
      </w:r>
      <w:r>
        <w:rPr>
          <w:rFonts w:hint="eastAsia" w:ascii="宋体" w:hAnsi="宋体" w:cs="宋体"/>
          <w:color w:val="000000" w:themeColor="text1"/>
          <w:spacing w:val="-2"/>
          <w:u w:val="single"/>
          <w14:textFill>
            <w14:solidFill>
              <w14:schemeClr w14:val="tx1"/>
            </w14:solidFill>
          </w14:textFill>
        </w:rPr>
        <w:t xml:space="preserve">   </w:t>
      </w:r>
      <w:r>
        <w:rPr>
          <w:rFonts w:hint="eastAsia" w:ascii="宋体" w:hAnsi="宋体" w:cs="宋体"/>
          <w:color w:val="000000" w:themeColor="text1"/>
          <w:spacing w:val="-2"/>
          <w14:textFill>
            <w14:solidFill>
              <w14:schemeClr w14:val="tx1"/>
            </w14:solidFill>
          </w14:textFill>
        </w:rPr>
        <w:t>万元，属于（</w:t>
      </w:r>
      <w:r>
        <w:rPr>
          <w:rFonts w:hint="eastAsia" w:ascii="宋体" w:hAnsi="宋体" w:cs="宋体"/>
          <w:color w:val="000000" w:themeColor="text1"/>
          <w:spacing w:val="-2"/>
          <w:u w:val="single"/>
          <w14:textFill>
            <w14:solidFill>
              <w14:schemeClr w14:val="tx1"/>
            </w14:solidFill>
          </w14:textFill>
        </w:rPr>
        <w:t>中型企业、小型企业、微型企业</w:t>
      </w:r>
      <w:r>
        <w:rPr>
          <w:rFonts w:hint="eastAsia" w:ascii="宋体" w:hAnsi="宋体" w:cs="宋体"/>
          <w:color w:val="000000" w:themeColor="text1"/>
          <w:spacing w:val="-2"/>
          <w14:textFill>
            <w14:solidFill>
              <w14:schemeClr w14:val="tx1"/>
            </w14:solidFill>
          </w14:textFill>
        </w:rPr>
        <w:t>）；</w:t>
      </w:r>
    </w:p>
    <w:p>
      <w:pPr>
        <w:pStyle w:val="2"/>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w:t>
      </w:r>
    </w:p>
    <w:p>
      <w:pPr>
        <w:pStyle w:val="2"/>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以上企业，不属于大企业的分支机构，不存在控股股东为大企业的情形，也不存在与大企业的负责人为同一人的情形。</w:t>
      </w:r>
    </w:p>
    <w:p>
      <w:pPr>
        <w:pStyle w:val="2"/>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本企业对上述声明内容的真实性负责。如有虚假，将依法承担相应责任。</w:t>
      </w:r>
    </w:p>
    <w:p>
      <w:pPr>
        <w:pStyle w:val="2"/>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ind w:left="4200" w:leftChars="20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企业名称（盖章）日期：</w:t>
      </w:r>
    </w:p>
    <w:p>
      <w:pPr>
        <w:pStyle w:val="2"/>
        <w:tabs>
          <w:tab w:val="left" w:pos="562"/>
          <w:tab w:val="left" w:pos="3372"/>
          <w:tab w:val="left" w:pos="3653"/>
        </w:tabs>
        <w:jc w:val="center"/>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从业人员、营业收入、资产总额填报上一年度数据，无上一年度数据的新成立企业可不填报。</w:t>
      </w:r>
    </w:p>
    <w:p>
      <w:pPr>
        <w:spacing w:after="319" w:afterLines="10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中小企业声明函（工程、服务）</w:t>
      </w:r>
    </w:p>
    <w:p>
      <w:pPr>
        <w:pStyle w:val="2"/>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本公司（联合体）郑重声明，根据《政府采购促进中小企业发展管理办法》（财库﹝2020﹞46 号）的规定，本公司（联合体）参加（</w:t>
      </w:r>
      <w:r>
        <w:rPr>
          <w:rFonts w:hint="eastAsia" w:ascii="宋体" w:hAnsi="宋体" w:cs="宋体"/>
          <w:color w:val="000000" w:themeColor="text1"/>
          <w:spacing w:val="-2"/>
          <w:u w:val="single"/>
          <w14:textFill>
            <w14:solidFill>
              <w14:schemeClr w14:val="tx1"/>
            </w14:solidFill>
          </w14:textFill>
        </w:rPr>
        <w:t>单位名称</w:t>
      </w:r>
      <w:r>
        <w:rPr>
          <w:rFonts w:hint="eastAsia" w:ascii="宋体" w:hAnsi="宋体" w:cs="宋体"/>
          <w:color w:val="000000" w:themeColor="text1"/>
          <w:spacing w:val="-2"/>
          <w14:textFill>
            <w14:solidFill>
              <w14:schemeClr w14:val="tx1"/>
            </w14:solidFill>
          </w14:textFill>
        </w:rPr>
        <w:t>）的（</w:t>
      </w:r>
      <w:r>
        <w:rPr>
          <w:rFonts w:hint="eastAsia" w:ascii="宋体" w:hAnsi="宋体" w:cs="宋体"/>
          <w:color w:val="000000" w:themeColor="text1"/>
          <w:spacing w:val="-2"/>
          <w:u w:val="single"/>
          <w14:textFill>
            <w14:solidFill>
              <w14:schemeClr w14:val="tx1"/>
            </w14:solidFill>
          </w14:textFill>
        </w:rPr>
        <w:t>项目名称</w:t>
      </w:r>
      <w:r>
        <w:rPr>
          <w:rFonts w:hint="eastAsia" w:ascii="宋体" w:hAnsi="宋体" w:cs="宋体"/>
          <w:color w:val="000000" w:themeColor="text1"/>
          <w:spacing w:val="-2"/>
          <w14:textFill>
            <w14:solidFill>
              <w14:schemeClr w14:val="tx1"/>
            </w14:solidFill>
          </w14:textFill>
        </w:rPr>
        <w:t>）采购活动，工程的施工单位全部为符合政策要求的中小企业（或者：服务全部由符合政策要求的中小企业承接）。相关企业（含联合 体中的中小企业、签订分包意向协议的中小企业）的具体情况如下：</w:t>
      </w:r>
    </w:p>
    <w:p>
      <w:pPr>
        <w:pStyle w:val="2"/>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1、（</w:t>
      </w:r>
      <w:r>
        <w:rPr>
          <w:rFonts w:hint="eastAsia" w:ascii="宋体" w:hAnsi="宋体" w:cs="宋体"/>
          <w:color w:val="000000" w:themeColor="text1"/>
          <w:spacing w:val="-2"/>
          <w:u w:val="single"/>
          <w14:textFill>
            <w14:solidFill>
              <w14:schemeClr w14:val="tx1"/>
            </w14:solidFill>
          </w14:textFill>
        </w:rPr>
        <w:t>标的名称</w:t>
      </w:r>
      <w:r>
        <w:rPr>
          <w:rFonts w:hint="eastAsia" w:ascii="宋体" w:hAnsi="宋体" w:cs="宋体"/>
          <w:color w:val="000000" w:themeColor="text1"/>
          <w:spacing w:val="-2"/>
          <w14:textFill>
            <w14:solidFill>
              <w14:schemeClr w14:val="tx1"/>
            </w14:solidFill>
          </w14:textFill>
        </w:rPr>
        <w:t>），属于（</w:t>
      </w:r>
      <w:r>
        <w:rPr>
          <w:rFonts w:hint="eastAsia" w:ascii="宋体" w:hAnsi="宋体" w:cs="宋体"/>
          <w:color w:val="000000" w:themeColor="text1"/>
          <w:spacing w:val="-2"/>
          <w:u w:val="single"/>
          <w14:textFill>
            <w14:solidFill>
              <w14:schemeClr w14:val="tx1"/>
            </w14:solidFill>
          </w14:textFill>
        </w:rPr>
        <w:t>采购文件中明确的所属行业</w:t>
      </w:r>
      <w:r>
        <w:rPr>
          <w:rFonts w:hint="eastAsia" w:ascii="宋体" w:hAnsi="宋体" w:cs="宋体"/>
          <w:color w:val="000000" w:themeColor="text1"/>
          <w:spacing w:val="-2"/>
          <w14:textFill>
            <w14:solidFill>
              <w14:schemeClr w14:val="tx1"/>
            </w14:solidFill>
          </w14:textFill>
        </w:rPr>
        <w:t>）；承建（承接）企业为（</w:t>
      </w:r>
      <w:r>
        <w:rPr>
          <w:rFonts w:hint="eastAsia" w:ascii="宋体" w:hAnsi="宋体" w:cs="宋体"/>
          <w:color w:val="000000" w:themeColor="text1"/>
          <w:spacing w:val="-2"/>
          <w:u w:val="single"/>
          <w14:textFill>
            <w14:solidFill>
              <w14:schemeClr w14:val="tx1"/>
            </w14:solidFill>
          </w14:textFill>
        </w:rPr>
        <w:t>企业名称</w:t>
      </w:r>
      <w:r>
        <w:rPr>
          <w:rFonts w:hint="eastAsia" w:ascii="宋体" w:hAnsi="宋体" w:cs="宋体"/>
          <w:color w:val="000000" w:themeColor="text1"/>
          <w:spacing w:val="-2"/>
          <w14:textFill>
            <w14:solidFill>
              <w14:schemeClr w14:val="tx1"/>
            </w14:solidFill>
          </w14:textFill>
        </w:rPr>
        <w:t>），从业人员</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人，营业收入为</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万元，资产总额为</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万元，属于（</w:t>
      </w:r>
      <w:r>
        <w:rPr>
          <w:rFonts w:hint="eastAsia" w:ascii="宋体" w:hAnsi="宋体" w:cs="宋体"/>
          <w:color w:val="000000" w:themeColor="text1"/>
          <w:spacing w:val="-2"/>
          <w:u w:val="single"/>
          <w14:textFill>
            <w14:solidFill>
              <w14:schemeClr w14:val="tx1"/>
            </w14:solidFill>
          </w14:textFill>
        </w:rPr>
        <w:t>中型企业、小型企业、微型企业</w:t>
      </w:r>
      <w:r>
        <w:rPr>
          <w:rFonts w:hint="eastAsia" w:ascii="宋体" w:hAnsi="宋体" w:cs="宋体"/>
          <w:color w:val="000000" w:themeColor="text1"/>
          <w:spacing w:val="-2"/>
          <w14:textFill>
            <w14:solidFill>
              <w14:schemeClr w14:val="tx1"/>
            </w14:solidFill>
          </w14:textFill>
        </w:rPr>
        <w:t>）。</w:t>
      </w:r>
    </w:p>
    <w:p>
      <w:pPr>
        <w:pStyle w:val="2"/>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2、（</w:t>
      </w:r>
      <w:r>
        <w:rPr>
          <w:rFonts w:hint="eastAsia" w:ascii="宋体" w:hAnsi="宋体" w:cs="宋体"/>
          <w:color w:val="000000" w:themeColor="text1"/>
          <w:spacing w:val="-2"/>
          <w:u w:val="single"/>
          <w14:textFill>
            <w14:solidFill>
              <w14:schemeClr w14:val="tx1"/>
            </w14:solidFill>
          </w14:textFill>
        </w:rPr>
        <w:t>标的名称</w:t>
      </w:r>
      <w:r>
        <w:rPr>
          <w:rFonts w:hint="eastAsia" w:ascii="宋体" w:hAnsi="宋体" w:cs="宋体"/>
          <w:color w:val="000000" w:themeColor="text1"/>
          <w:spacing w:val="-2"/>
          <w14:textFill>
            <w14:solidFill>
              <w14:schemeClr w14:val="tx1"/>
            </w14:solidFill>
          </w14:textFill>
        </w:rPr>
        <w:t>），属于（</w:t>
      </w:r>
      <w:r>
        <w:rPr>
          <w:rFonts w:hint="eastAsia" w:ascii="宋体" w:hAnsi="宋体" w:cs="宋体"/>
          <w:color w:val="000000" w:themeColor="text1"/>
          <w:spacing w:val="-2"/>
          <w:u w:val="single"/>
          <w14:textFill>
            <w14:solidFill>
              <w14:schemeClr w14:val="tx1"/>
            </w14:solidFill>
          </w14:textFill>
        </w:rPr>
        <w:t>采购文件中明确的所属行业</w:t>
      </w:r>
      <w:r>
        <w:rPr>
          <w:rFonts w:hint="eastAsia" w:ascii="宋体" w:hAnsi="宋体" w:cs="宋体"/>
          <w:color w:val="000000" w:themeColor="text1"/>
          <w:spacing w:val="-2"/>
          <w14:textFill>
            <w14:solidFill>
              <w14:schemeClr w14:val="tx1"/>
            </w14:solidFill>
          </w14:textFill>
        </w:rPr>
        <w:t>） ；承建（承接）企业为（</w:t>
      </w:r>
      <w:r>
        <w:rPr>
          <w:rFonts w:hint="eastAsia" w:ascii="宋体" w:hAnsi="宋体" w:cs="宋体"/>
          <w:color w:val="000000" w:themeColor="text1"/>
          <w:spacing w:val="-2"/>
          <w:u w:val="single"/>
          <w14:textFill>
            <w14:solidFill>
              <w14:schemeClr w14:val="tx1"/>
            </w14:solidFill>
          </w14:textFill>
        </w:rPr>
        <w:t>企业名称</w:t>
      </w:r>
      <w:r>
        <w:rPr>
          <w:rFonts w:hint="eastAsia" w:ascii="宋体" w:hAnsi="宋体" w:cs="宋体"/>
          <w:color w:val="000000" w:themeColor="text1"/>
          <w:spacing w:val="-2"/>
          <w14:textFill>
            <w14:solidFill>
              <w14:schemeClr w14:val="tx1"/>
            </w14:solidFill>
          </w14:textFill>
        </w:rPr>
        <w:t>），从业人员</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人，营业收入为</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万元，资产总额为</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万元，属于（</w:t>
      </w:r>
      <w:r>
        <w:rPr>
          <w:rFonts w:hint="eastAsia" w:ascii="宋体" w:hAnsi="宋体" w:cs="宋体"/>
          <w:color w:val="000000" w:themeColor="text1"/>
          <w:spacing w:val="-2"/>
          <w:u w:val="single"/>
          <w14:textFill>
            <w14:solidFill>
              <w14:schemeClr w14:val="tx1"/>
            </w14:solidFill>
          </w14:textFill>
        </w:rPr>
        <w:t>中型企业、小型企业、微型企业</w:t>
      </w:r>
      <w:r>
        <w:rPr>
          <w:rFonts w:hint="eastAsia" w:ascii="宋体" w:hAnsi="宋体" w:cs="宋体"/>
          <w:color w:val="000000" w:themeColor="text1"/>
          <w:spacing w:val="-2"/>
          <w14:textFill>
            <w14:solidFill>
              <w14:schemeClr w14:val="tx1"/>
            </w14:solidFill>
          </w14:textFill>
        </w:rPr>
        <w:t>）；</w:t>
      </w:r>
    </w:p>
    <w:p>
      <w:pPr>
        <w:pStyle w:val="2"/>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w:t>
      </w:r>
    </w:p>
    <w:p>
      <w:pPr>
        <w:pStyle w:val="2"/>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以上企业，不属于大企业的分支机构，不存在控股股东为大企业的情形，也不存在与大企业的负责人为同一人的情形。</w:t>
      </w:r>
    </w:p>
    <w:p>
      <w:pPr>
        <w:pStyle w:val="2"/>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本企业对上述声明内容的真实性负责。如有虚假，将依法承担相应责任。</w:t>
      </w:r>
    </w:p>
    <w:p>
      <w:pPr>
        <w:pStyle w:val="2"/>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ind w:left="4200" w:leftChars="2000"/>
        <w:rPr>
          <w:rFonts w:hint="eastAsia" w:ascii="宋体" w:hAnsi="宋体" w:cs="宋体"/>
          <w:color w:val="000000" w:themeColor="text1"/>
          <w:spacing w:val="-2"/>
          <w14:textFill>
            <w14:solidFill>
              <w14:schemeClr w14:val="tx1"/>
            </w14:solidFill>
          </w14:textFill>
        </w:rPr>
      </w:pPr>
    </w:p>
    <w:p>
      <w:pPr>
        <w:pStyle w:val="2"/>
        <w:tabs>
          <w:tab w:val="left" w:pos="562"/>
          <w:tab w:val="left" w:pos="3372"/>
          <w:tab w:val="left" w:pos="3653"/>
        </w:tabs>
        <w:ind w:left="4200" w:leftChars="20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企业名称（盖章）日期：</w:t>
      </w:r>
    </w:p>
    <w:p>
      <w:pPr>
        <w:pStyle w:val="2"/>
        <w:tabs>
          <w:tab w:val="left" w:pos="562"/>
          <w:tab w:val="left" w:pos="3372"/>
          <w:tab w:val="left" w:pos="3653"/>
        </w:tabs>
        <w:rPr>
          <w:rFonts w:hint="eastAsia" w:ascii="宋体" w:hAnsi="宋体" w:cs="宋体"/>
          <w:color w:val="000000" w:themeColor="text1"/>
          <w:spacing w:val="-2"/>
          <w14:textFill>
            <w14:solidFill>
              <w14:schemeClr w14:val="tx1"/>
            </w14:solidFill>
          </w14:textFill>
        </w:rPr>
      </w:pPr>
    </w:p>
    <w:p>
      <w:pPr>
        <w:pStyle w:val="2"/>
        <w:tabs>
          <w:tab w:val="left" w:pos="562"/>
          <w:tab w:val="left" w:pos="3372"/>
          <w:tab w:val="left" w:pos="3653"/>
        </w:tabs>
        <w:spacing w:before="3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从业人员、营业收入、资产总额填报上一年度数据，无上一年度数据的新成立企业可不填报。</w:t>
      </w:r>
      <w:r>
        <w:rPr>
          <w:rFonts w:hint="eastAsia" w:ascii="宋体" w:hAnsi="宋体" w:cs="宋体"/>
          <w:color w:val="000000" w:themeColor="text1"/>
          <w14:textFill>
            <w14:solidFill>
              <w14:schemeClr w14:val="tx1"/>
            </w14:solidFill>
          </w14:textFill>
        </w:rPr>
        <w:br w:type="page"/>
      </w:r>
      <w:r>
        <w:rPr>
          <w:rFonts w:hint="eastAsia" w:ascii="宋体" w:hAnsi="宋体" w:cs="宋体"/>
          <w:b/>
          <w:bCs/>
          <w:color w:val="000000" w:themeColor="text1"/>
          <w14:textFill>
            <w14:solidFill>
              <w14:schemeClr w14:val="tx1"/>
            </w14:solidFill>
          </w14:textFill>
        </w:rPr>
        <w:t>附 2</w:t>
      </w:r>
    </w:p>
    <w:p>
      <w:pPr>
        <w:jc w:val="center"/>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pacing w:val="-3"/>
          <w:sz w:val="24"/>
          <w:u w:val="single" w:color="000000"/>
          <w14:textFill>
            <w14:solidFill>
              <w14:schemeClr w14:val="tx1"/>
            </w14:solidFill>
          </w14:textFill>
        </w:rPr>
        <w:t>（单位名称）</w:t>
      </w:r>
      <w:r>
        <w:rPr>
          <w:rFonts w:hint="eastAsia" w:ascii="宋体" w:hAnsi="宋体" w:cs="宋体"/>
          <w:color w:val="000000" w:themeColor="text1"/>
          <w:spacing w:val="-29"/>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年面向中小企业预留项目执行情况公告</w:t>
      </w:r>
    </w:p>
    <w:p>
      <w:pPr>
        <w:pStyle w:val="2"/>
        <w:tabs>
          <w:tab w:val="left" w:pos="562"/>
          <w:tab w:val="left" w:pos="3372"/>
          <w:tab w:val="left" w:pos="3653"/>
        </w:tabs>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根据《政府采购促进中小企业发展管理办法》（财库﹝2020﹞46</w:t>
      </w:r>
      <w:r>
        <w:rPr>
          <w:rFonts w:hint="eastAsia" w:ascii="宋体" w:hAnsi="宋体" w:cs="宋体"/>
          <w:color w:val="000000" w:themeColor="text1"/>
          <w:spacing w:val="-47"/>
          <w14:textFill>
            <w14:solidFill>
              <w14:schemeClr w14:val="tx1"/>
            </w14:solidFill>
          </w14:textFill>
        </w:rPr>
        <w:t xml:space="preserve"> 号</w:t>
      </w:r>
      <w:r>
        <w:rPr>
          <w:rFonts w:hint="eastAsia" w:ascii="宋体" w:hAnsi="宋体" w:cs="宋体"/>
          <w:color w:val="000000" w:themeColor="text1"/>
          <w:spacing w:val="-22"/>
          <w14:textFill>
            <w14:solidFill>
              <w14:schemeClr w14:val="tx1"/>
            </w14:solidFill>
          </w14:textFill>
        </w:rPr>
        <w:t>）</w:t>
      </w:r>
      <w:r>
        <w:rPr>
          <w:rFonts w:hint="eastAsia" w:ascii="宋体" w:hAnsi="宋体" w:cs="宋体"/>
          <w:color w:val="000000" w:themeColor="text1"/>
          <w:spacing w:val="-7"/>
          <w14:textFill>
            <w14:solidFill>
              <w14:schemeClr w14:val="tx1"/>
            </w14:solidFill>
          </w14:textFill>
        </w:rPr>
        <w:t>要求，现对本部门</w:t>
      </w:r>
      <w:r>
        <w:rPr>
          <w:rFonts w:hint="eastAsia" w:ascii="宋体" w:hAnsi="宋体" w:cs="宋体"/>
          <w:color w:val="000000" w:themeColor="text1"/>
          <w:spacing w:val="-3"/>
          <w14:textFill>
            <w14:solidFill>
              <w14:schemeClr w14:val="tx1"/>
            </w14:solidFill>
          </w14:textFill>
        </w:rPr>
        <w:t>（</w:t>
      </w:r>
      <w:r>
        <w:rPr>
          <w:rFonts w:hint="eastAsia" w:ascii="宋体" w:hAnsi="宋体" w:cs="宋体"/>
          <w:color w:val="000000" w:themeColor="text1"/>
          <w14:textFill>
            <w14:solidFill>
              <w14:schemeClr w14:val="tx1"/>
            </w14:solidFill>
          </w14:textFill>
        </w:rPr>
        <w:t>单位</w:t>
      </w:r>
      <w:r>
        <w:rPr>
          <w:rFonts w:hint="eastAsia" w:ascii="宋体" w:hAnsi="宋体" w:cs="宋体"/>
          <w:color w:val="000000" w:themeColor="text1"/>
          <w:spacing w:val="-7"/>
          <w14:textFill>
            <w14:solidFill>
              <w14:schemeClr w14:val="tx1"/>
            </w14:solidFill>
          </w14:textFill>
        </w:rPr>
        <w:t>）</w:t>
      </w:r>
      <w:r>
        <w:rPr>
          <w:rFonts w:hint="eastAsia" w:ascii="宋体" w:hAnsi="宋体" w:cs="宋体"/>
          <w:color w:val="000000" w:themeColor="text1"/>
          <w:spacing w:val="-4"/>
          <w14:textFill>
            <w14:solidFill>
              <w14:schemeClr w14:val="tx1"/>
            </w14:solidFill>
          </w14:textFill>
        </w:rPr>
        <w:t>××年面向中小企业预留项目执行情况公告如下：</w:t>
      </w:r>
    </w:p>
    <w:p>
      <w:pPr>
        <w:pStyle w:val="2"/>
        <w:tabs>
          <w:tab w:val="left" w:pos="562"/>
          <w:tab w:val="left" w:pos="3372"/>
          <w:tab w:val="left" w:pos="3653"/>
        </w:tabs>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本部门（单位）××年预留项目面向中小企业采购共计××万元，其中，面向小微企业采购××万元，占××%。</w:t>
      </w:r>
    </w:p>
    <w:p>
      <w:pPr>
        <w:pStyle w:val="2"/>
        <w:tabs>
          <w:tab w:val="left" w:pos="562"/>
          <w:tab w:val="left" w:pos="3372"/>
          <w:tab w:val="left" w:pos="3653"/>
        </w:tabs>
        <w:jc w:val="center"/>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面向中小企业预留项目明细</w:t>
      </w:r>
    </w:p>
    <w:tbl>
      <w:tblPr>
        <w:tblStyle w:val="15"/>
        <w:tblW w:w="88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noWrap w:val="0"/>
            <w:vAlign w:val="center"/>
          </w:tcPr>
          <w:p>
            <w:pPr>
              <w:pStyle w:val="24"/>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序号</w:t>
            </w:r>
          </w:p>
        </w:tc>
        <w:tc>
          <w:tcPr>
            <w:tcW w:w="1866" w:type="dxa"/>
            <w:noWrap w:val="0"/>
            <w:vAlign w:val="center"/>
          </w:tcPr>
          <w:p>
            <w:pPr>
              <w:pStyle w:val="24"/>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项目名称</w:t>
            </w:r>
          </w:p>
        </w:tc>
        <w:tc>
          <w:tcPr>
            <w:tcW w:w="2010" w:type="dxa"/>
            <w:noWrap w:val="0"/>
            <w:vAlign w:val="center"/>
          </w:tcPr>
          <w:p>
            <w:pPr>
              <w:pStyle w:val="24"/>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预留选项</w:t>
            </w:r>
          </w:p>
        </w:tc>
        <w:tc>
          <w:tcPr>
            <w:tcW w:w="2296" w:type="dxa"/>
            <w:noWrap w:val="0"/>
            <w:vAlign w:val="center"/>
          </w:tcPr>
          <w:p>
            <w:pPr>
              <w:pStyle w:val="24"/>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面向中小企业采购金额</w:t>
            </w:r>
          </w:p>
        </w:tc>
        <w:tc>
          <w:tcPr>
            <w:tcW w:w="1784" w:type="dxa"/>
            <w:noWrap w:val="0"/>
            <w:vAlign w:val="center"/>
          </w:tcPr>
          <w:p>
            <w:pPr>
              <w:pStyle w:val="24"/>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noWrap w:val="0"/>
            <w:vAlign w:val="center"/>
          </w:tcPr>
          <w:p>
            <w:pPr>
              <w:pStyle w:val="24"/>
              <w:jc w:val="center"/>
              <w:rPr>
                <w:rFonts w:hint="eastAsia"/>
                <w:color w:val="000000" w:themeColor="text1"/>
                <w:sz w:val="24"/>
                <w:szCs w:val="24"/>
                <w14:textFill>
                  <w14:solidFill>
                    <w14:schemeClr w14:val="tx1"/>
                  </w14:solidFill>
                </w14:textFill>
              </w:rPr>
            </w:pPr>
          </w:p>
        </w:tc>
        <w:tc>
          <w:tcPr>
            <w:tcW w:w="1866" w:type="dxa"/>
            <w:tcBorders>
              <w:bottom w:val="nil"/>
            </w:tcBorders>
            <w:noWrap w:val="0"/>
            <w:vAlign w:val="center"/>
          </w:tcPr>
          <w:p>
            <w:pPr>
              <w:pStyle w:val="24"/>
              <w:jc w:val="center"/>
              <w:rPr>
                <w:rFonts w:hint="eastAsia"/>
                <w:color w:val="000000" w:themeColor="text1"/>
                <w:sz w:val="24"/>
                <w:szCs w:val="24"/>
                <w14:textFill>
                  <w14:solidFill>
                    <w14:schemeClr w14:val="tx1"/>
                  </w14:solidFill>
                </w14:textFill>
              </w:rPr>
            </w:pPr>
          </w:p>
        </w:tc>
        <w:tc>
          <w:tcPr>
            <w:tcW w:w="2010" w:type="dxa"/>
            <w:tcBorders>
              <w:bottom w:val="nil"/>
            </w:tcBorders>
            <w:noWrap w:val="0"/>
            <w:vAlign w:val="center"/>
          </w:tcPr>
          <w:p>
            <w:pPr>
              <w:pStyle w:val="24"/>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（填写“采购项</w:t>
            </w:r>
          </w:p>
        </w:tc>
        <w:tc>
          <w:tcPr>
            <w:tcW w:w="2296" w:type="dxa"/>
            <w:tcBorders>
              <w:bottom w:val="nil"/>
            </w:tcBorders>
            <w:noWrap w:val="0"/>
            <w:vAlign w:val="center"/>
          </w:tcPr>
          <w:p>
            <w:pPr>
              <w:pStyle w:val="24"/>
              <w:jc w:val="center"/>
              <w:rPr>
                <w:rFonts w:hint="eastAsia"/>
                <w:color w:val="000000" w:themeColor="text1"/>
                <w:sz w:val="24"/>
                <w:szCs w:val="24"/>
                <w14:textFill>
                  <w14:solidFill>
                    <w14:schemeClr w14:val="tx1"/>
                  </w14:solidFill>
                </w14:textFill>
              </w:rPr>
            </w:pPr>
          </w:p>
        </w:tc>
        <w:tc>
          <w:tcPr>
            <w:tcW w:w="1784" w:type="dxa"/>
            <w:vMerge w:val="restart"/>
            <w:noWrap w:val="0"/>
            <w:vAlign w:val="center"/>
          </w:tcPr>
          <w:p>
            <w:pPr>
              <w:pStyle w:val="24"/>
              <w:jc w:val="center"/>
              <w:rPr>
                <w:rFonts w:hint="eastAsia"/>
                <w:color w:val="000000" w:themeColor="text1"/>
                <w:sz w:val="24"/>
                <w:szCs w:val="24"/>
                <w14:textFill>
                  <w14:solidFill>
                    <w14:schemeClr w14:val="tx1"/>
                  </w14:solidFill>
                </w14:textFill>
              </w:rPr>
            </w:pPr>
          </w:p>
          <w:p>
            <w:pPr>
              <w:pStyle w:val="24"/>
              <w:jc w:val="center"/>
              <w:rPr>
                <w:rFonts w:hint="eastAsia"/>
                <w:color w:val="000000" w:themeColor="text1"/>
                <w:sz w:val="24"/>
                <w:szCs w:val="24"/>
                <w14:textFill>
                  <w14:solidFill>
                    <w14:schemeClr w14:val="tx1"/>
                  </w14:solidFill>
                </w14:textFill>
              </w:rPr>
            </w:pPr>
          </w:p>
          <w:p>
            <w:pPr>
              <w:pStyle w:val="24"/>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24"/>
              <w:jc w:val="center"/>
              <w:rPr>
                <w:rFonts w:hint="eastAsia"/>
                <w:color w:val="000000" w:themeColor="text1"/>
                <w:sz w:val="24"/>
                <w:szCs w:val="24"/>
                <w14:textFill>
                  <w14:solidFill>
                    <w14:schemeClr w14:val="tx1"/>
                  </w14:solidFill>
                </w14:textFill>
              </w:rPr>
            </w:pPr>
          </w:p>
        </w:tc>
        <w:tc>
          <w:tcPr>
            <w:tcW w:w="2010" w:type="dxa"/>
            <w:tcBorders>
              <w:top w:val="nil"/>
              <w:bottom w:val="nil"/>
            </w:tcBorders>
            <w:noWrap w:val="0"/>
            <w:vAlign w:val="center"/>
          </w:tcPr>
          <w:p>
            <w:pPr>
              <w:pStyle w:val="24"/>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目整体预留”、</w:t>
            </w:r>
          </w:p>
        </w:tc>
        <w:tc>
          <w:tcPr>
            <w:tcW w:w="2296" w:type="dxa"/>
            <w:tcBorders>
              <w:top w:val="nil"/>
              <w:bottom w:val="nil"/>
            </w:tcBorders>
            <w:noWrap w:val="0"/>
            <w:vAlign w:val="center"/>
          </w:tcPr>
          <w:p>
            <w:pPr>
              <w:pStyle w:val="24"/>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24"/>
              <w:jc w:val="center"/>
              <w:rPr>
                <w:rFonts w:hint="eastAsia"/>
                <w:color w:val="000000" w:themeColor="text1"/>
                <w:sz w:val="24"/>
                <w:szCs w:val="24"/>
                <w14:textFill>
                  <w14:solidFill>
                    <w14:schemeClr w14:val="tx1"/>
                  </w14:solidFill>
                </w14:textFill>
              </w:rPr>
            </w:pPr>
          </w:p>
        </w:tc>
        <w:tc>
          <w:tcPr>
            <w:tcW w:w="2010" w:type="dxa"/>
            <w:tcBorders>
              <w:top w:val="nil"/>
              <w:bottom w:val="nil"/>
            </w:tcBorders>
            <w:noWrap w:val="0"/>
            <w:vAlign w:val="center"/>
          </w:tcPr>
          <w:p>
            <w:pPr>
              <w:pStyle w:val="24"/>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“设置专门采购</w:t>
            </w:r>
          </w:p>
        </w:tc>
        <w:tc>
          <w:tcPr>
            <w:tcW w:w="2296" w:type="dxa"/>
            <w:tcBorders>
              <w:top w:val="nil"/>
              <w:bottom w:val="nil"/>
            </w:tcBorders>
            <w:noWrap w:val="0"/>
            <w:vAlign w:val="center"/>
          </w:tcPr>
          <w:p>
            <w:pPr>
              <w:pStyle w:val="24"/>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24"/>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（填写集中采</w:t>
            </w:r>
          </w:p>
        </w:tc>
        <w:tc>
          <w:tcPr>
            <w:tcW w:w="2010" w:type="dxa"/>
            <w:tcBorders>
              <w:top w:val="nil"/>
              <w:bottom w:val="nil"/>
            </w:tcBorders>
            <w:noWrap w:val="0"/>
            <w:vAlign w:val="center"/>
          </w:tcPr>
          <w:p>
            <w:pPr>
              <w:pStyle w:val="24"/>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包”、“要求以</w:t>
            </w:r>
          </w:p>
        </w:tc>
        <w:tc>
          <w:tcPr>
            <w:tcW w:w="2296" w:type="dxa"/>
            <w:tcBorders>
              <w:top w:val="nil"/>
              <w:bottom w:val="nil"/>
            </w:tcBorders>
            <w:noWrap w:val="0"/>
            <w:vAlign w:val="center"/>
          </w:tcPr>
          <w:p>
            <w:pPr>
              <w:pStyle w:val="24"/>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24"/>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购目录以内或</w:t>
            </w:r>
          </w:p>
        </w:tc>
        <w:tc>
          <w:tcPr>
            <w:tcW w:w="2010" w:type="dxa"/>
            <w:tcBorders>
              <w:top w:val="nil"/>
              <w:bottom w:val="nil"/>
            </w:tcBorders>
            <w:noWrap w:val="0"/>
            <w:vAlign w:val="center"/>
          </w:tcPr>
          <w:p>
            <w:pPr>
              <w:pStyle w:val="24"/>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联合体形式参</w:t>
            </w:r>
          </w:p>
        </w:tc>
        <w:tc>
          <w:tcPr>
            <w:tcW w:w="2296" w:type="dxa"/>
            <w:tcBorders>
              <w:top w:val="nil"/>
              <w:bottom w:val="nil"/>
            </w:tcBorders>
            <w:noWrap w:val="0"/>
            <w:vAlign w:val="center"/>
          </w:tcPr>
          <w:p>
            <w:pPr>
              <w:pStyle w:val="24"/>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（精确到万元）</w:t>
            </w: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24"/>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者采购限额标</w:t>
            </w:r>
          </w:p>
        </w:tc>
        <w:tc>
          <w:tcPr>
            <w:tcW w:w="2010" w:type="dxa"/>
            <w:tcBorders>
              <w:top w:val="nil"/>
              <w:bottom w:val="nil"/>
            </w:tcBorders>
            <w:noWrap w:val="0"/>
            <w:vAlign w:val="center"/>
          </w:tcPr>
          <w:p>
            <w:pPr>
              <w:pStyle w:val="24"/>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加”或者“要求</w:t>
            </w:r>
          </w:p>
        </w:tc>
        <w:tc>
          <w:tcPr>
            <w:tcW w:w="2296" w:type="dxa"/>
            <w:tcBorders>
              <w:top w:val="nil"/>
              <w:bottom w:val="nil"/>
            </w:tcBorders>
            <w:noWrap w:val="0"/>
            <w:vAlign w:val="center"/>
          </w:tcPr>
          <w:p>
            <w:pPr>
              <w:pStyle w:val="24"/>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24"/>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准以上的采购项目</w:t>
            </w:r>
          </w:p>
        </w:tc>
        <w:tc>
          <w:tcPr>
            <w:tcW w:w="2010" w:type="dxa"/>
            <w:tcBorders>
              <w:top w:val="nil"/>
              <w:bottom w:val="nil"/>
            </w:tcBorders>
            <w:noWrap w:val="0"/>
            <w:vAlign w:val="center"/>
          </w:tcPr>
          <w:p>
            <w:pPr>
              <w:pStyle w:val="24"/>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合同分包”，除</w:t>
            </w:r>
          </w:p>
        </w:tc>
        <w:tc>
          <w:tcPr>
            <w:tcW w:w="2296" w:type="dxa"/>
            <w:tcBorders>
              <w:top w:val="nil"/>
              <w:bottom w:val="nil"/>
            </w:tcBorders>
            <w:noWrap w:val="0"/>
            <w:vAlign w:val="center"/>
          </w:tcPr>
          <w:p>
            <w:pPr>
              <w:pStyle w:val="24"/>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24"/>
              <w:jc w:val="center"/>
              <w:rPr>
                <w:rFonts w:hint="eastAsia"/>
                <w:color w:val="000000" w:themeColor="text1"/>
                <w:sz w:val="24"/>
                <w:szCs w:val="24"/>
                <w14:textFill>
                  <w14:solidFill>
                    <w14:schemeClr w14:val="tx1"/>
                  </w14:solidFill>
                </w14:textFill>
              </w:rPr>
            </w:pPr>
          </w:p>
        </w:tc>
        <w:tc>
          <w:tcPr>
            <w:tcW w:w="2010" w:type="dxa"/>
            <w:tcBorders>
              <w:top w:val="nil"/>
              <w:bottom w:val="nil"/>
            </w:tcBorders>
            <w:noWrap w:val="0"/>
            <w:vAlign w:val="center"/>
          </w:tcPr>
          <w:p>
            <w:pPr>
              <w:pStyle w:val="24"/>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“采购项目全部</w:t>
            </w:r>
          </w:p>
        </w:tc>
        <w:tc>
          <w:tcPr>
            <w:tcW w:w="2296" w:type="dxa"/>
            <w:tcBorders>
              <w:top w:val="nil"/>
              <w:bottom w:val="nil"/>
            </w:tcBorders>
            <w:noWrap w:val="0"/>
            <w:vAlign w:val="center"/>
          </w:tcPr>
          <w:p>
            <w:pPr>
              <w:pStyle w:val="24"/>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24"/>
              <w:jc w:val="center"/>
              <w:rPr>
                <w:rFonts w:hint="eastAsia"/>
                <w:color w:val="000000" w:themeColor="text1"/>
                <w:sz w:val="24"/>
                <w:szCs w:val="24"/>
                <w14:textFill>
                  <w14:solidFill>
                    <w14:schemeClr w14:val="tx1"/>
                  </w14:solidFill>
                </w14:textFill>
              </w:rPr>
            </w:pPr>
          </w:p>
        </w:tc>
        <w:tc>
          <w:tcPr>
            <w:tcW w:w="2010" w:type="dxa"/>
            <w:tcBorders>
              <w:top w:val="nil"/>
              <w:bottom w:val="nil"/>
            </w:tcBorders>
            <w:noWrap w:val="0"/>
            <w:vAlign w:val="center"/>
          </w:tcPr>
          <w:p>
            <w:pPr>
              <w:pStyle w:val="24"/>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预留”外，还应</w:t>
            </w:r>
          </w:p>
        </w:tc>
        <w:tc>
          <w:tcPr>
            <w:tcW w:w="2296" w:type="dxa"/>
            <w:tcBorders>
              <w:top w:val="nil"/>
              <w:bottom w:val="nil"/>
            </w:tcBorders>
            <w:noWrap w:val="0"/>
            <w:vAlign w:val="center"/>
          </w:tcPr>
          <w:p>
            <w:pPr>
              <w:pStyle w:val="24"/>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24"/>
              <w:jc w:val="center"/>
              <w:rPr>
                <w:rFonts w:hint="eastAsia"/>
                <w:color w:val="000000" w:themeColor="text1"/>
                <w:sz w:val="24"/>
                <w:szCs w:val="24"/>
                <w14:textFill>
                  <w14:solidFill>
                    <w14:schemeClr w14:val="tx1"/>
                  </w14:solidFill>
                </w14:textFill>
              </w:rPr>
            </w:pPr>
          </w:p>
        </w:tc>
        <w:tc>
          <w:tcPr>
            <w:tcW w:w="2010" w:type="dxa"/>
            <w:tcBorders>
              <w:top w:val="nil"/>
              <w:bottom w:val="nil"/>
            </w:tcBorders>
            <w:noWrap w:val="0"/>
            <w:vAlign w:val="center"/>
          </w:tcPr>
          <w:p>
            <w:pPr>
              <w:pStyle w:val="24"/>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当填写预留给中</w:t>
            </w:r>
          </w:p>
        </w:tc>
        <w:tc>
          <w:tcPr>
            <w:tcW w:w="2296" w:type="dxa"/>
            <w:tcBorders>
              <w:top w:val="nil"/>
              <w:bottom w:val="nil"/>
            </w:tcBorders>
            <w:noWrap w:val="0"/>
            <w:vAlign w:val="center"/>
          </w:tcPr>
          <w:p>
            <w:pPr>
              <w:pStyle w:val="24"/>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tcBorders>
            <w:noWrap w:val="0"/>
            <w:vAlign w:val="center"/>
          </w:tcPr>
          <w:p>
            <w:pPr>
              <w:pStyle w:val="24"/>
              <w:jc w:val="center"/>
              <w:rPr>
                <w:rFonts w:hint="eastAsia"/>
                <w:color w:val="000000" w:themeColor="text1"/>
                <w:sz w:val="24"/>
                <w:szCs w:val="24"/>
                <w14:textFill>
                  <w14:solidFill>
                    <w14:schemeClr w14:val="tx1"/>
                  </w14:solidFill>
                </w14:textFill>
              </w:rPr>
            </w:pPr>
          </w:p>
        </w:tc>
        <w:tc>
          <w:tcPr>
            <w:tcW w:w="2010" w:type="dxa"/>
            <w:tcBorders>
              <w:top w:val="nil"/>
            </w:tcBorders>
            <w:noWrap w:val="0"/>
            <w:vAlign w:val="center"/>
          </w:tcPr>
          <w:p>
            <w:pPr>
              <w:pStyle w:val="24"/>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小企业的比例）</w:t>
            </w:r>
          </w:p>
        </w:tc>
        <w:tc>
          <w:tcPr>
            <w:tcW w:w="2296" w:type="dxa"/>
            <w:tcBorders>
              <w:top w:val="nil"/>
            </w:tcBorders>
            <w:noWrap w:val="0"/>
            <w:vAlign w:val="center"/>
          </w:tcPr>
          <w:p>
            <w:pPr>
              <w:pStyle w:val="24"/>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noWrap w:val="0"/>
            <w:vAlign w:val="center"/>
          </w:tcPr>
          <w:p>
            <w:pPr>
              <w:pStyle w:val="24"/>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1866" w:type="dxa"/>
            <w:noWrap w:val="0"/>
            <w:vAlign w:val="center"/>
          </w:tcPr>
          <w:p>
            <w:pPr>
              <w:pStyle w:val="24"/>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2010" w:type="dxa"/>
            <w:noWrap w:val="0"/>
            <w:vAlign w:val="center"/>
          </w:tcPr>
          <w:p>
            <w:pPr>
              <w:pStyle w:val="24"/>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2296" w:type="dxa"/>
            <w:noWrap w:val="0"/>
            <w:vAlign w:val="center"/>
          </w:tcPr>
          <w:p>
            <w:pPr>
              <w:pStyle w:val="24"/>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1784" w:type="dxa"/>
            <w:noWrap w:val="0"/>
            <w:vAlign w:val="center"/>
          </w:tcPr>
          <w:p>
            <w:pPr>
              <w:pStyle w:val="24"/>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r>
    </w:tbl>
    <w:p>
      <w:pPr>
        <w:pStyle w:val="2"/>
        <w:tabs>
          <w:tab w:val="left" w:pos="562"/>
          <w:tab w:val="left" w:pos="3372"/>
          <w:tab w:val="left" w:pos="3653"/>
        </w:tabs>
        <w:spacing w:before="128"/>
        <w:ind w:left="4220" w:right="1843"/>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部门（单位）名称： 日期：</w:t>
      </w:r>
    </w:p>
    <w:p>
      <w:pPr>
        <w:pStyle w:val="2"/>
        <w:tabs>
          <w:tab w:val="left" w:pos="562"/>
          <w:tab w:val="left" w:pos="3372"/>
          <w:tab w:val="left" w:pos="3653"/>
        </w:tabs>
        <w:rPr>
          <w:rFonts w:hint="eastAsia" w:ascii="宋体" w:hAnsi="宋体" w:cs="宋体"/>
          <w:color w:val="000000" w:themeColor="text1"/>
          <w14:textFill>
            <w14:solidFill>
              <w14:schemeClr w14:val="tx1"/>
            </w14:solidFill>
          </w14:textFill>
        </w:rPr>
      </w:pPr>
    </w:p>
    <w:p>
      <w:pPr>
        <w:pStyle w:val="14"/>
        <w:jc w:val="both"/>
        <w:outlineLvl w:val="9"/>
        <w:rPr>
          <w:rFonts w:hint="eastAsia" w:ascii="宋体" w:hAnsi="宋体" w:eastAsia="宋体" w:cs="宋体"/>
          <w:color w:val="000000" w:themeColor="text1"/>
          <w:sz w:val="24"/>
          <w:szCs w:val="24"/>
          <w14:textFill>
            <w14:solidFill>
              <w14:schemeClr w14:val="tx1"/>
            </w14:solidFill>
          </w14:textFill>
        </w:rPr>
      </w:pPr>
    </w:p>
    <w:p>
      <w:pPr>
        <w:tabs>
          <w:tab w:val="left" w:pos="360"/>
        </w:tabs>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2、工业和信息化部、国家统计局、国家发展和改革委员会、财政部《关于印发〈中小企业划型标准规定〉的通知》（工信部联企〔2011〕300 号）</w:t>
      </w:r>
    </w:p>
    <w:p>
      <w:pPr>
        <w:pStyle w:val="2"/>
        <w:tabs>
          <w:tab w:val="left" w:pos="562"/>
          <w:tab w:val="left" w:pos="3372"/>
          <w:tab w:val="left" w:pos="3653"/>
        </w:tabs>
        <w:rPr>
          <w:rFonts w:hint="eastAsia" w:ascii="宋体" w:hAnsi="宋体" w:cs="宋体"/>
          <w:color w:val="000000" w:themeColor="text1"/>
          <w14:textFill>
            <w14:solidFill>
              <w14:schemeClr w14:val="tx1"/>
            </w14:solidFill>
          </w14:textFill>
        </w:rPr>
      </w:pPr>
    </w:p>
    <w:p>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关于印发中小企业划型标准规定的通知</w:t>
      </w:r>
    </w:p>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工信部联企业〔2011〕300号</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各省、自治区、直辖市人民政府，国务院各部委、各直属机构及有关单位：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ind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工业和信息化部 国家统计局</w:t>
      </w:r>
    </w:p>
    <w:p>
      <w:pPr>
        <w:ind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国家发展和改革委员会 财政部</w:t>
      </w:r>
    </w:p>
    <w:p>
      <w:pPr>
        <w:ind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二○一一年六月十八日</w:t>
      </w:r>
    </w:p>
    <w:p>
      <w:pPr>
        <w:ind w:firstLine="480" w:firstLineChars="200"/>
        <w:rPr>
          <w:rFonts w:hint="eastAsia" w:ascii="宋体" w:hAnsi="宋体" w:cs="宋体"/>
          <w:color w:val="000000" w:themeColor="text1"/>
          <w:sz w:val="24"/>
          <w14:textFill>
            <w14:solidFill>
              <w14:schemeClr w14:val="tx1"/>
            </w14:solidFill>
          </w14:textFill>
        </w:rPr>
      </w:pPr>
    </w:p>
    <w:p>
      <w:pPr>
        <w:ind w:firstLine="480" w:firstLineChars="200"/>
        <w:rPr>
          <w:rFonts w:hint="eastAsia" w:ascii="宋体" w:hAnsi="宋体" w:cs="宋体"/>
          <w:color w:val="000000" w:themeColor="text1"/>
          <w:sz w:val="24"/>
          <w14:textFill>
            <w14:solidFill>
              <w14:schemeClr w14:val="tx1"/>
            </w14:solidFill>
          </w14:textFill>
        </w:rPr>
      </w:pPr>
    </w:p>
    <w:p>
      <w:pPr>
        <w:ind w:firstLine="480" w:firstLineChars="200"/>
        <w:rPr>
          <w:rFonts w:hint="eastAsia" w:ascii="宋体" w:hAnsi="宋体" w:cs="宋体"/>
          <w:color w:val="000000" w:themeColor="text1"/>
          <w:sz w:val="24"/>
          <w14:textFill>
            <w14:solidFill>
              <w14:schemeClr w14:val="tx1"/>
            </w14:solidFill>
          </w14:textFill>
        </w:rPr>
      </w:pPr>
    </w:p>
    <w:p>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中小企业划型标准规定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一、根据《中华人民共和国中小企业促进法》和《国务院关于进一步促进中小企业发展的若干意见》(国发〔2009〕36号)，制定本规定。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二、中小企业划分为中型、小型、微型三种类型，具体标准根据企业从业人员、营业收入、资产总额等指标，结合行业特点制定。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四、各行业划型标准为：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（一）农、林、牧、渔业。营业收入20000万元以下的为中小微型企业。其中，营业收入500万元及以上的为中型企业，营业收入50万元及以上的为小型企业，营业收入50万元以下的为微型企业。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五、企业类型的划分以统计部门的统计数据为依据。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六、本规定适用于在中华人民共和国境内依法设立的各类所有制和各种组织形式的企业。个体工商户和本规定以外的行业，参照本规定进行划型。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七、本规定的中型企业标准上限即为大型企业标准的下限，国家统计部门据此制定大中小微型企业的统计分类。国务院有关部门据此进行相关数据分析，不得制定与本规定不一致的企业划型标准。</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八、本规定由工业和信息化部、国家统计局会同有关部门根据《国民经济行业分类》修订情况和企业发展变化情况适时修订。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九、本规定由工业和信息化部、国家统计局会同有关部门负责解释。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十、本规定自发布之日起执行，原国家经贸委、原国家计委、财政部和国家统计局2003年颁布的《中小企业标准暂行规定》同时废止。</w:t>
      </w:r>
    </w:p>
    <w:p>
      <w:pPr>
        <w:ind w:firstLine="480" w:firstLineChars="200"/>
        <w:rPr>
          <w:rFonts w:hint="eastAsia" w:ascii="宋体" w:hAnsi="宋体" w:cs="宋体"/>
          <w:color w:val="000000" w:themeColor="text1"/>
          <w:sz w:val="24"/>
          <w14:textFill>
            <w14:solidFill>
              <w14:schemeClr w14:val="tx1"/>
            </w14:solidFill>
          </w14:textFill>
        </w:rPr>
      </w:pPr>
    </w:p>
    <w:p>
      <w:pPr>
        <w:pStyle w:val="14"/>
        <w:jc w:val="both"/>
        <w:outlineLvl w:val="9"/>
        <w:rPr>
          <w:rFonts w:hint="eastAsia" w:ascii="宋体" w:hAnsi="宋体" w:eastAsia="宋体" w:cs="宋体"/>
          <w:color w:val="000000" w:themeColor="text1"/>
          <w:sz w:val="24"/>
          <w:szCs w:val="24"/>
          <w14:textFill>
            <w14:solidFill>
              <w14:schemeClr w14:val="tx1"/>
            </w14:solidFill>
          </w14:textFill>
        </w:rPr>
      </w:pPr>
    </w:p>
    <w:p>
      <w:pPr>
        <w:pStyle w:val="14"/>
        <w:jc w:val="both"/>
        <w:outlineLvl w:val="9"/>
        <w:rPr>
          <w:rFonts w:hint="eastAsia" w:ascii="宋体" w:hAnsi="宋体" w:eastAsia="宋体" w:cs="宋体"/>
          <w:color w:val="000000" w:themeColor="text1"/>
          <w:sz w:val="24"/>
          <w:szCs w:val="24"/>
          <w14:textFill>
            <w14:solidFill>
              <w14:schemeClr w14:val="tx1"/>
            </w14:solidFill>
          </w14:textFill>
        </w:rPr>
      </w:pPr>
    </w:p>
    <w:p>
      <w:pPr>
        <w:tabs>
          <w:tab w:val="left" w:pos="360"/>
        </w:tabs>
        <w:outlineLvl w:val="1"/>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3、国家统计局《关于印发〈统计上大中小微型企业划分办法（2017）〉的通知》</w:t>
      </w:r>
    </w:p>
    <w:p>
      <w:pPr>
        <w:widowControl/>
        <w:shd w:val="clear" w:color="auto" w:fill="FFFFFF"/>
        <w:jc w:val="center"/>
        <w:rPr>
          <w:rFonts w:hint="eastAsia" w:ascii="宋体" w:hAnsi="宋体" w:cs="宋体"/>
          <w:b/>
          <w:bCs/>
          <w:color w:val="000000" w:themeColor="text1"/>
          <w:kern w:val="0"/>
          <w:sz w:val="24"/>
          <w14:textFill>
            <w14:solidFill>
              <w14:schemeClr w14:val="tx1"/>
            </w14:solidFill>
          </w14:textFill>
        </w:rPr>
      </w:pPr>
    </w:p>
    <w:p>
      <w:pPr>
        <w:widowControl/>
        <w:shd w:val="clear" w:color="auto" w:fill="FFFFFF"/>
        <w:jc w:val="center"/>
        <w:rPr>
          <w:rFonts w:hint="eastAsia" w:ascii="宋体" w:hAnsi="宋体" w:cs="宋体"/>
          <w:b/>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国家统计局关于印发《统计上大中小微型企业划分办法（2017）》的通知</w:t>
      </w:r>
    </w:p>
    <w:p>
      <w:pPr>
        <w:widowControl/>
        <w:shd w:val="clear" w:color="auto" w:fill="FFFFFF"/>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各省、自治区、直辖市统计局，新疆生产建设兵团统计局，国务院各有关部门，国家统计局各调查总队：</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附件：《统计上大中小微型企业划分办法（2017）》修订说明</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ind w:firstLine="480" w:firstLineChars="200"/>
        <w:jc w:val="righ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国家统计局</w:t>
      </w:r>
    </w:p>
    <w:p>
      <w:pPr>
        <w:widowControl/>
        <w:shd w:val="clear" w:color="auto" w:fill="FFFFFF"/>
        <w:ind w:firstLine="480" w:firstLineChars="200"/>
        <w:jc w:val="righ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2017年12月28日</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统计上大中小微型企业划分办法（2017）</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二、本办法适用对象为在中华人民共和国境内依法设立的各种组织形式的法人企业或单位。个体工商户参照本办法进行划分。</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五、企业划分由政府综合统计部门根据统计年报每年确定一次，定报统计原则上不进行调整。</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六、本办法自印发之日起执行，国家统计局2011年印发的《统计上大中小微型企业划分办法》（国统字〔2011〕75号）同时废止。</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附表：统计上大中小微型企业划分标准</w:t>
      </w:r>
    </w:p>
    <w:p>
      <w:pPr>
        <w:widowControl/>
        <w:jc w:val="left"/>
        <w:rPr>
          <w:rFonts w:hint="eastAsia" w:ascii="宋体" w:hAnsi="宋体" w:cs="宋体"/>
          <w:color w:val="000000" w:themeColor="text1"/>
          <w:kern w:val="0"/>
          <w:sz w:val="24"/>
          <w14:textFill>
            <w14:solidFill>
              <w14:schemeClr w14:val="tx1"/>
            </w14:solidFill>
          </w14:textFill>
        </w:rPr>
      </w:pPr>
    </w:p>
    <w:p>
      <w:pPr>
        <w:widowControl/>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附表：</w:t>
      </w:r>
    </w:p>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统计上大中小微型企业划分标准</w:t>
      </w:r>
    </w:p>
    <w:tbl>
      <w:tblPr>
        <w:tblStyle w:val="15"/>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行业名称</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指标名称</w:t>
            </w:r>
          </w:p>
        </w:tc>
        <w:tc>
          <w:tcPr>
            <w:tcW w:w="727" w:type="dxa"/>
            <w:noWrap w:val="0"/>
            <w:vAlign w:val="center"/>
          </w:tcPr>
          <w:p>
            <w:pPr>
              <w:widowControl/>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计量</w:t>
            </w:r>
          </w:p>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单位</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大型</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中型</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小型</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农、林、牧、渔业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Y≥20000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500≤Y＜20000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50≤Y＜500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工业 *</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300≤X＜1000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20≤X＜300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Y≥40000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2000≤Y＜40000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300≤Y＜2000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建筑业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Y≥80000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6000≤Y＜80000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300≤Y＜6000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资产总额(Z)</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Z≥80000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5000≤Z＜80000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300≤Z＜5000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批发业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20≤X＜200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5≤X＜20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Y≥40000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5000≤Y＜40000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1000≤Y＜5000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零售业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50≤X＜300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10≤X＜50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Y≥20000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500≤Y＜20000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100≤Y＜500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交通运输业 *</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300≤X＜1000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20≤X＜300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3000≤Y＜30000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200≤Y＜3000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仓储业*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100≤X＜200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20≤X＜100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1000≤Y＜30000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100≤Y＜1000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邮政业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300≤X＜1000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20≤X＜300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2000≤Y＜30000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100≤Y＜2000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住宿业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2000≤Y＜10000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100≤Y＜2000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餐饮业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2000≤Y＜10000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100≤Y＜2000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信息传输业 *</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100≤X＜2000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1000≤Y＜100000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100≤Y＜1000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软件和信息技术服务业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1000≤Y＜10000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50≤Y＜1000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房地产开发经营</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Y≥200000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1000≤Y＜200000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100≤Y＜1000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资产总额(Z)</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Z≥10000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5000≤Z＜10000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2000≤Z＜5000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物业管理</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300≤X＜1000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Y≥5000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1000≤Y＜5000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500≤Y＜1000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租赁和商务服务业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资产总额(Z)</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Z≥120000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8000≤Z＜120000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100≤Z＜8000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其他未列明行业 *</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bl>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说明：</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1.大型、中型和小型企业须同时满足所列指标的下限，否则下划一档；微型企业只须满足所列指标中的一项即可。</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2"/>
        <w:tabs>
          <w:tab w:val="left" w:pos="562"/>
          <w:tab w:val="left" w:pos="3372"/>
          <w:tab w:val="left" w:pos="3653"/>
        </w:tabs>
        <w:rPr>
          <w:rFonts w:hint="eastAsia" w:ascii="宋体" w:hAnsi="宋体" w:cs="宋体"/>
          <w:color w:val="000000" w:themeColor="text1"/>
          <w14:textFill>
            <w14:solidFill>
              <w14:schemeClr w14:val="tx1"/>
            </w14:solidFill>
          </w14:textFill>
        </w:rPr>
      </w:pPr>
    </w:p>
    <w:p>
      <w:pPr>
        <w:pStyle w:val="14"/>
        <w:outlineLvl w:val="9"/>
        <w:rPr>
          <w:rFonts w:hint="eastAsia" w:ascii="宋体" w:hAnsi="宋体" w:eastAsia="宋体" w:cs="宋体"/>
          <w:color w:val="000000" w:themeColor="text1"/>
          <w:sz w:val="24"/>
          <w:szCs w:val="24"/>
          <w14:textFill>
            <w14:solidFill>
              <w14:schemeClr w14:val="tx1"/>
            </w14:solidFill>
          </w14:textFill>
        </w:rPr>
      </w:pPr>
    </w:p>
    <w:p>
      <w:pPr>
        <w:tabs>
          <w:tab w:val="left" w:pos="360"/>
        </w:tabs>
        <w:outlineLvl w:val="1"/>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4、财政部、民政部、中国残联《关于促进残疾人就业政府采购政策的通知》（财库〔2017〕141 号）</w:t>
      </w:r>
    </w:p>
    <w:p>
      <w:pPr>
        <w:shd w:val="clear" w:color="auto" w:fill="FFFFFF"/>
        <w:rPr>
          <w:rFonts w:hint="eastAsia" w:ascii="宋体" w:hAnsi="宋体" w:cs="宋体"/>
          <w:bCs/>
          <w:color w:val="000000" w:themeColor="text1"/>
          <w:sz w:val="24"/>
          <w14:textFill>
            <w14:solidFill>
              <w14:schemeClr w14:val="tx1"/>
            </w14:solidFill>
          </w14:textFill>
        </w:rPr>
      </w:pPr>
    </w:p>
    <w:p>
      <w:pPr>
        <w:shd w:val="clear" w:color="auto" w:fill="FFFFFF"/>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关于促进残疾人就业政府采购政策的通知</w:t>
      </w:r>
    </w:p>
    <w:p>
      <w:pPr>
        <w:pStyle w:val="13"/>
        <w:shd w:val="clear" w:color="auto" w:fill="FFFFFF"/>
        <w:spacing w:before="0" w:beforeAutospacing="0" w:after="0" w:afterAutospacing="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w:t>
      </w:r>
      <w:bookmarkStart w:id="27" w:name="sendNo"/>
      <w:r>
        <w:rPr>
          <w:rFonts w:hint="eastAsia"/>
          <w:color w:val="000000" w:themeColor="text1"/>
          <w14:textFill>
            <w14:solidFill>
              <w14:schemeClr w14:val="tx1"/>
            </w14:solidFill>
          </w14:textFill>
        </w:rPr>
        <w:t>财库〔</w:t>
      </w:r>
      <w:bookmarkEnd w:id="27"/>
      <w:r>
        <w:rPr>
          <w:rFonts w:hint="eastAsia"/>
          <w:color w:val="000000" w:themeColor="text1"/>
          <w14:textFill>
            <w14:solidFill>
              <w14:schemeClr w14:val="tx1"/>
            </w14:solidFill>
          </w14:textFill>
        </w:rPr>
        <w:t>2017〕141号</w:t>
      </w:r>
    </w:p>
    <w:p>
      <w:pPr>
        <w:pStyle w:val="13"/>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bookmarkStart w:id="28" w:name="toDeptId"/>
      <w:r>
        <w:rPr>
          <w:rFonts w:hint="eastAsia"/>
          <w:color w:val="000000" w:themeColor="text1"/>
          <w14:textFill>
            <w14:solidFill>
              <w14:schemeClr w14:val="tx1"/>
            </w14:solidFill>
          </w14:textFill>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28"/>
      <w:r>
        <w:rPr>
          <w:rFonts w:hint="eastAsia"/>
          <w:color w:val="000000" w:themeColor="text1"/>
          <w14:textFill>
            <w14:solidFill>
              <w14:schemeClr w14:val="tx1"/>
            </w14:solidFill>
          </w14:textFill>
        </w:rPr>
        <w:t>：</w:t>
      </w:r>
    </w:p>
    <w:p>
      <w:pPr>
        <w:pStyle w:val="13"/>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为了发挥政府采购促进残疾人就业的作用，进一步保障残疾人权益，依照《政府采购法》、《残疾人保障法》等法律法规及相关规定，现就促进残疾人就业政府采购政策通知如下：</w:t>
      </w:r>
    </w:p>
    <w:p>
      <w:pPr>
        <w:pStyle w:val="13"/>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一、享受政府采购支持政策的残疾人福利性单位应当同时满足以下条件：</w:t>
      </w:r>
    </w:p>
    <w:p>
      <w:pPr>
        <w:pStyle w:val="13"/>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（一）安置的残疾人占本单位在职职工人数的比例不低于25%（含25%），并且安置的残疾人人数不少于10人（含10人）；</w:t>
      </w:r>
    </w:p>
    <w:p>
      <w:pPr>
        <w:pStyle w:val="13"/>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（二）依法与安置的每位残疾人签订了一年以上（含一年）的劳动合同或服务协议；</w:t>
      </w:r>
    </w:p>
    <w:p>
      <w:pPr>
        <w:pStyle w:val="13"/>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（三）为安置的每位残疾人按月足额缴纳了基本养老保险、基本医疗保险、失业保险、工伤保险和生育保险等社会保险费；</w:t>
      </w:r>
    </w:p>
    <w:p>
      <w:pPr>
        <w:pStyle w:val="13"/>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（四）通过银行等金融机构向安置的每位残疾人，按月支付了不低于单位所在区县适用的经省级人民政府批准的月最低工资标准的工资；</w:t>
      </w:r>
    </w:p>
    <w:p>
      <w:pPr>
        <w:pStyle w:val="13"/>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（五）提供本单位制造的货物、承担的工程或者服务（以下简称产品），或者提供其他残疾人福利性单位制造的货物（不包括使用非残疾人福利性单位注册商标的货物）。</w:t>
      </w:r>
    </w:p>
    <w:p>
      <w:pPr>
        <w:pStyle w:val="13"/>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3"/>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3"/>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中标、成交供应商为残疾人福利性单位的，采购人或者其委托的采购代理机构应当随中标、成交结果同时公告其《残疾人福利性单位声明函》，接受社会监督。</w:t>
      </w:r>
    </w:p>
    <w:p>
      <w:pPr>
        <w:pStyle w:val="13"/>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供应商提供的《残疾人福利性单位声明函》与事实不符的，依照《政府采购法》第七十七条第一款的规定追究法律责任。</w:t>
      </w:r>
    </w:p>
    <w:p>
      <w:pPr>
        <w:pStyle w:val="13"/>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3"/>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四、采购人采购公开招标数额标准以上的货物或者服务，因落实促进残疾人就业政策的需要，依法履行有关报批程序后，可采用公开招标以外的采购方式。</w:t>
      </w:r>
    </w:p>
    <w:p>
      <w:pPr>
        <w:pStyle w:val="13"/>
        <w:shd w:val="clear" w:color="auto" w:fill="FFFFFF"/>
        <w:spacing w:before="0" w:beforeAutospacing="0" w:after="0" w:afterAutospacing="0" w:line="560" w:lineRule="exact"/>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3"/>
        <w:shd w:val="clear" w:color="auto" w:fill="FFFFFF"/>
        <w:spacing w:before="0" w:beforeAutospacing="0" w:after="0" w:afterAutospacing="0" w:line="560" w:lineRule="exact"/>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3"/>
        <w:shd w:val="clear" w:color="auto" w:fill="FFFFFF"/>
        <w:spacing w:before="0" w:beforeAutospacing="0" w:after="0" w:afterAutospacing="0" w:line="560" w:lineRule="exact"/>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七、本通知自2017年10月1日起执行。</w:t>
      </w:r>
    </w:p>
    <w:p>
      <w:pPr>
        <w:pStyle w:val="13"/>
        <w:shd w:val="clear" w:color="auto" w:fill="FFFFFF"/>
        <w:spacing w:before="0" w:beforeAutospacing="0" w:after="0" w:afterAutospacing="0" w:line="560" w:lineRule="exact"/>
        <w:ind w:firstLine="480" w:firstLineChars="200"/>
        <w:jc w:val="righ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财政部 民政部 中国残疾人联合会</w:t>
      </w:r>
    </w:p>
    <w:p>
      <w:pPr>
        <w:pStyle w:val="13"/>
        <w:shd w:val="clear" w:color="auto" w:fill="FFFFFF"/>
        <w:spacing w:before="0" w:beforeAutospacing="0" w:after="0" w:afterAutospacing="0" w:line="560" w:lineRule="exact"/>
        <w:ind w:firstLine="480" w:firstLineChars="200"/>
        <w:jc w:val="righ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2017年8月22日</w:t>
      </w:r>
    </w:p>
    <w:p>
      <w:pPr>
        <w:pStyle w:val="25"/>
        <w:shd w:val="clear" w:color="auto" w:fill="FFFFFF"/>
        <w:spacing w:before="0" w:beforeAutospacing="0" w:after="0" w:afterAutospacing="0" w:line="560" w:lineRule="exact"/>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附件：</w:t>
      </w:r>
    </w:p>
    <w:p>
      <w:pPr>
        <w:pStyle w:val="25"/>
        <w:shd w:val="clear" w:color="auto" w:fill="FFFFFF"/>
        <w:spacing w:before="0" w:beforeAutospacing="0" w:after="0" w:afterAutospacing="0" w:line="560" w:lineRule="exact"/>
        <w:ind w:firstLine="482" w:firstLineChars="200"/>
        <w:jc w:val="center"/>
        <w:rPr>
          <w:rFonts w:hint="eastAsia"/>
          <w:color w:val="000000" w:themeColor="text1"/>
          <w14:textFill>
            <w14:solidFill>
              <w14:schemeClr w14:val="tx1"/>
            </w14:solidFill>
          </w14:textFill>
        </w:rPr>
      </w:pPr>
      <w:r>
        <w:rPr>
          <w:rStyle w:val="26"/>
          <w:rFonts w:hint="eastAsia"/>
          <w:b/>
          <w:bCs/>
          <w:color w:val="000000" w:themeColor="text1"/>
          <w14:textFill>
            <w14:solidFill>
              <w14:schemeClr w14:val="tx1"/>
            </w14:solidFill>
          </w14:textFill>
        </w:rPr>
        <w:t>残疾人福利性单位声明函</w:t>
      </w:r>
    </w:p>
    <w:p>
      <w:pPr>
        <w:pStyle w:val="25"/>
        <w:shd w:val="clear" w:color="auto" w:fill="FFFFFF"/>
        <w:spacing w:before="0" w:beforeAutospacing="0" w:after="0" w:afterAutospacing="0" w:line="560" w:lineRule="exact"/>
        <w:ind w:firstLine="480" w:firstLineChars="200"/>
        <w:jc w:val="both"/>
        <w:rPr>
          <w:rFonts w:hint="eastAsia"/>
          <w:color w:val="000000" w:themeColor="text1"/>
          <w14:textFill>
            <w14:solidFill>
              <w14:schemeClr w14:val="tx1"/>
            </w14:solidFill>
          </w14:textFill>
        </w:rPr>
      </w:pPr>
      <w:r>
        <w:rPr>
          <w:rStyle w:val="26"/>
          <w:rFonts w:hint="eastAsia"/>
          <w:color w:val="000000" w:themeColor="text1"/>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5"/>
        <w:shd w:val="clear" w:color="auto" w:fill="FFFFFF"/>
        <w:spacing w:before="0" w:beforeAutospacing="0" w:after="0" w:afterAutospacing="0" w:line="560" w:lineRule="exact"/>
        <w:ind w:firstLine="480" w:firstLineChars="200"/>
        <w:jc w:val="both"/>
        <w:rPr>
          <w:rFonts w:hint="eastAsia"/>
          <w:color w:val="000000" w:themeColor="text1"/>
          <w14:textFill>
            <w14:solidFill>
              <w14:schemeClr w14:val="tx1"/>
            </w14:solidFill>
          </w14:textFill>
        </w:rPr>
      </w:pPr>
      <w:r>
        <w:rPr>
          <w:rStyle w:val="26"/>
          <w:rFonts w:hint="eastAsia"/>
          <w:color w:val="000000" w:themeColor="text1"/>
          <w14:textFill>
            <w14:solidFill>
              <w14:schemeClr w14:val="tx1"/>
            </w14:solidFill>
          </w14:textFill>
        </w:rPr>
        <w:t>本单位对上述声明的真实性负责。如有虚假，将依法承担相应责任。</w:t>
      </w:r>
    </w:p>
    <w:p>
      <w:pPr>
        <w:pStyle w:val="25"/>
        <w:shd w:val="clear" w:color="auto" w:fill="FFFFFF"/>
        <w:spacing w:before="0" w:beforeAutospacing="0" w:after="0" w:afterAutospacing="0" w:line="560" w:lineRule="exact"/>
        <w:ind w:firstLine="480" w:firstLineChars="200"/>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投标人已知悉《关于促进残疾人就业政府采购政策的通知》（财库〔2017〕141 号）的规定，承诺提供的声明函内容是真实的，如提供声明函内容不实，则依法追究相关法律责任。</w:t>
      </w:r>
    </w:p>
    <w:p>
      <w:pPr>
        <w:pStyle w:val="25"/>
        <w:shd w:val="clear" w:color="auto" w:fill="FFFFFF"/>
        <w:spacing w:before="0" w:beforeAutospacing="0" w:after="0" w:afterAutospacing="0" w:line="560" w:lineRule="exact"/>
        <w:ind w:right="2100" w:rightChars="1000"/>
        <w:jc w:val="right"/>
        <w:rPr>
          <w:rFonts w:hint="eastAsia"/>
          <w:color w:val="000000" w:themeColor="text1"/>
          <w14:textFill>
            <w14:solidFill>
              <w14:schemeClr w14:val="tx1"/>
            </w14:solidFill>
          </w14:textFill>
        </w:rPr>
      </w:pPr>
      <w:r>
        <w:rPr>
          <w:rStyle w:val="26"/>
          <w:rFonts w:hint="eastAsia"/>
          <w:color w:val="000000" w:themeColor="text1"/>
          <w14:textFill>
            <w14:solidFill>
              <w14:schemeClr w14:val="tx1"/>
            </w14:solidFill>
          </w14:textFill>
        </w:rPr>
        <w:t>单位名称（盖章）：</w:t>
      </w:r>
    </w:p>
    <w:p>
      <w:pPr>
        <w:pStyle w:val="25"/>
        <w:shd w:val="clear" w:color="auto" w:fill="FFFFFF"/>
        <w:spacing w:before="0" w:beforeAutospacing="0" w:after="0" w:afterAutospacing="0" w:line="560" w:lineRule="exact"/>
        <w:ind w:right="2100" w:rightChars="1000"/>
        <w:jc w:val="right"/>
        <w:rPr>
          <w:rFonts w:hint="eastAsia"/>
          <w:color w:val="000000" w:themeColor="text1"/>
          <w:lang w:val="fr-CH"/>
          <w14:textFill>
            <w14:solidFill>
              <w14:schemeClr w14:val="tx1"/>
            </w14:solidFill>
          </w14:textFill>
        </w:rPr>
      </w:pPr>
      <w:r>
        <w:rPr>
          <w:rStyle w:val="26"/>
          <w:rFonts w:hint="eastAsia"/>
          <w:color w:val="000000" w:themeColor="text1"/>
          <w14:textFill>
            <w14:solidFill>
              <w14:schemeClr w14:val="tx1"/>
            </w14:solidFill>
          </w14:textFill>
        </w:rPr>
        <w:t>日 期：</w:t>
      </w:r>
    </w:p>
    <w:p>
      <w:pPr>
        <w:tabs>
          <w:tab w:val="left" w:pos="640"/>
          <w:tab w:val="left" w:pos="1260"/>
          <w:tab w:val="left" w:pos="1418"/>
        </w:tabs>
        <w:spacing w:line="360" w:lineRule="auto"/>
        <w:ind w:right="-420" w:rightChars="-200"/>
        <w:rPr>
          <w:rFonts w:hint="eastAsia" w:ascii="宋体" w:hAnsi="宋体" w:cs="宋体"/>
          <w:color w:val="000000" w:themeColor="text1"/>
          <w:sz w:val="24"/>
          <w:lang w:val="fr-CH"/>
          <w14:textFill>
            <w14:solidFill>
              <w14:schemeClr w14:val="tx1"/>
            </w14:solidFill>
          </w14:textFill>
        </w:rPr>
      </w:pPr>
    </w:p>
    <w:p>
      <w:pPr>
        <w:pStyle w:val="20"/>
        <w:rPr>
          <w:rFonts w:hint="eastAsia"/>
          <w:color w:val="000000" w:themeColor="text1"/>
          <w:lang w:val="fr-CH"/>
          <w14:textFill>
            <w14:solidFill>
              <w14:schemeClr w14:val="tx1"/>
            </w14:solidFill>
          </w14:textFill>
        </w:rPr>
      </w:pPr>
    </w:p>
    <w:p>
      <w:pPr>
        <w:rPr>
          <w:color w:val="000000" w:themeColor="text1"/>
          <w14:textFill>
            <w14:solidFill>
              <w14:schemeClr w14:val="tx1"/>
            </w14:solidFill>
          </w14:textFill>
        </w:rPr>
      </w:pPr>
    </w:p>
    <w:sectPr>
      <w:headerReference r:id="rId8" w:type="first"/>
      <w:headerReference r:id="rId6" w:type="default"/>
      <w:headerReference r:id="rId7" w:type="even"/>
      <w:pgSz w:w="11906" w:h="16838"/>
      <w:pgMar w:top="850" w:right="1803" w:bottom="709"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Style w:val="18"/>
        <w:rFonts w:ascii="宋体" w:hAnsi="宋体"/>
        <w:sz w:val="28"/>
        <w:szCs w:val="28"/>
      </w:rPr>
      <w:instrText xml:space="preserve">PAGE  </w:instrText>
    </w:r>
    <w:r>
      <w:rPr>
        <w:rFonts w:ascii="宋体" w:hAnsi="宋体"/>
        <w:sz w:val="28"/>
        <w:szCs w:val="28"/>
      </w:rPr>
      <w:fldChar w:fldCharType="separate"/>
    </w:r>
    <w:r>
      <w:rPr>
        <w:rStyle w:val="18"/>
        <w:rFonts w:ascii="宋体" w:hAnsi="宋体"/>
        <w:sz w:val="28"/>
        <w:szCs w:val="28"/>
      </w:rPr>
      <w:t>11</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Style w:val="18"/>
        <w:rFonts w:ascii="宋体" w:hAnsi="宋体"/>
        <w:sz w:val="28"/>
        <w:szCs w:val="28"/>
      </w:rPr>
      <w:instrText xml:space="preserve">PAGE  </w:instrText>
    </w:r>
    <w:r>
      <w:rPr>
        <w:rFonts w:ascii="宋体" w:hAnsi="宋体"/>
        <w:sz w:val="28"/>
        <w:szCs w:val="28"/>
      </w:rPr>
      <w:fldChar w:fldCharType="separate"/>
    </w:r>
    <w:r>
      <w:rPr>
        <w:rStyle w:val="18"/>
        <w:rFonts w:ascii="宋体" w:hAnsi="宋体"/>
        <w:sz w:val="28"/>
        <w:szCs w:val="28"/>
      </w:rPr>
      <w:t>12</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 o:spid="_x0000_s4099"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胡锦鑫20240304" style="font-family:&amp;quot;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4097"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胡锦鑫20240304" style="font-family:&amp;quot;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C046B"/>
    <w:multiLevelType w:val="singleLevel"/>
    <w:tmpl w:val="83CC046B"/>
    <w:lvl w:ilvl="0" w:tentative="0">
      <w:start w:val="1"/>
      <w:numFmt w:val="decimal"/>
      <w:lvlText w:val="（%1）"/>
      <w:lvlJc w:val="left"/>
      <w:pPr>
        <w:tabs>
          <w:tab w:val="left" w:pos="425"/>
        </w:tabs>
        <w:ind w:left="425" w:hanging="425"/>
      </w:pPr>
      <w:rPr>
        <w:rFonts w:hint="default"/>
      </w:rPr>
    </w:lvl>
  </w:abstractNum>
  <w:abstractNum w:abstractNumId="1">
    <w:nsid w:val="9F737C4C"/>
    <w:multiLevelType w:val="singleLevel"/>
    <w:tmpl w:val="9F737C4C"/>
    <w:lvl w:ilvl="0" w:tentative="0">
      <w:start w:val="1"/>
      <w:numFmt w:val="decimal"/>
      <w:lvlText w:val="（%1）"/>
      <w:lvlJc w:val="left"/>
      <w:pPr>
        <w:tabs>
          <w:tab w:val="left" w:pos="425"/>
        </w:tabs>
        <w:ind w:left="425" w:hanging="425"/>
      </w:pPr>
      <w:rPr>
        <w:rFonts w:hint="default"/>
      </w:rPr>
    </w:lvl>
  </w:abstractNum>
  <w:abstractNum w:abstractNumId="2">
    <w:nsid w:val="A77657F5"/>
    <w:multiLevelType w:val="singleLevel"/>
    <w:tmpl w:val="A77657F5"/>
    <w:lvl w:ilvl="0" w:tentative="0">
      <w:start w:val="1"/>
      <w:numFmt w:val="decimal"/>
      <w:suff w:val="nothing"/>
      <w:lvlText w:val="（%1）"/>
      <w:lvlJc w:val="left"/>
    </w:lvl>
  </w:abstractNum>
  <w:abstractNum w:abstractNumId="3">
    <w:nsid w:val="AFE7CFB2"/>
    <w:multiLevelType w:val="singleLevel"/>
    <w:tmpl w:val="AFE7CFB2"/>
    <w:lvl w:ilvl="0" w:tentative="0">
      <w:start w:val="1"/>
      <w:numFmt w:val="decimal"/>
      <w:lvlText w:val="（%1）"/>
      <w:lvlJc w:val="left"/>
      <w:pPr>
        <w:tabs>
          <w:tab w:val="left" w:pos="425"/>
        </w:tabs>
        <w:ind w:left="425" w:hanging="425"/>
      </w:pPr>
      <w:rPr>
        <w:rFonts w:hint="default"/>
      </w:rPr>
    </w:lvl>
  </w:abstractNum>
  <w:abstractNum w:abstractNumId="4">
    <w:nsid w:val="B60EDFBE"/>
    <w:multiLevelType w:val="singleLevel"/>
    <w:tmpl w:val="B60EDFBE"/>
    <w:lvl w:ilvl="0" w:tentative="0">
      <w:start w:val="1"/>
      <w:numFmt w:val="decimal"/>
      <w:suff w:val="nothing"/>
      <w:lvlText w:val="（%1）"/>
      <w:lvlJc w:val="left"/>
    </w:lvl>
  </w:abstractNum>
  <w:abstractNum w:abstractNumId="5">
    <w:nsid w:val="BFFEB4E7"/>
    <w:multiLevelType w:val="singleLevel"/>
    <w:tmpl w:val="BFFEB4E7"/>
    <w:lvl w:ilvl="0" w:tentative="0">
      <w:start w:val="1"/>
      <w:numFmt w:val="decimal"/>
      <w:suff w:val="nothing"/>
      <w:lvlText w:val="（%1）"/>
      <w:lvlJc w:val="left"/>
      <w:pPr>
        <w:ind w:left="480" w:firstLine="0"/>
      </w:pPr>
    </w:lvl>
  </w:abstractNum>
  <w:abstractNum w:abstractNumId="6">
    <w:nsid w:val="CBCC1AFC"/>
    <w:multiLevelType w:val="singleLevel"/>
    <w:tmpl w:val="CBCC1AFC"/>
    <w:lvl w:ilvl="0" w:tentative="0">
      <w:start w:val="5"/>
      <w:numFmt w:val="decimal"/>
      <w:suff w:val="nothing"/>
      <w:lvlText w:val="%1、"/>
      <w:lvlJc w:val="left"/>
    </w:lvl>
  </w:abstractNum>
  <w:abstractNum w:abstractNumId="7">
    <w:nsid w:val="F44D9858"/>
    <w:multiLevelType w:val="singleLevel"/>
    <w:tmpl w:val="F44D9858"/>
    <w:lvl w:ilvl="0" w:tentative="0">
      <w:start w:val="1"/>
      <w:numFmt w:val="decimal"/>
      <w:lvlText w:val="（%1）"/>
      <w:lvlJc w:val="left"/>
      <w:pPr>
        <w:tabs>
          <w:tab w:val="left" w:pos="425"/>
        </w:tabs>
        <w:ind w:left="425" w:hanging="425"/>
      </w:pPr>
      <w:rPr>
        <w:rFonts w:hint="default"/>
      </w:rPr>
    </w:lvl>
  </w:abstractNum>
  <w:abstractNum w:abstractNumId="8">
    <w:nsid w:val="F8A1E266"/>
    <w:multiLevelType w:val="singleLevel"/>
    <w:tmpl w:val="F8A1E266"/>
    <w:lvl w:ilvl="0" w:tentative="0">
      <w:start w:val="1"/>
      <w:numFmt w:val="decimal"/>
      <w:lvlText w:val="（%1）"/>
      <w:lvlJc w:val="left"/>
      <w:pPr>
        <w:tabs>
          <w:tab w:val="left" w:pos="425"/>
        </w:tabs>
        <w:ind w:left="425" w:hanging="425"/>
      </w:pPr>
      <w:rPr>
        <w:rFonts w:hint="default"/>
      </w:rPr>
    </w:lvl>
  </w:abstractNum>
  <w:abstractNum w:abstractNumId="9">
    <w:nsid w:val="418A3D68"/>
    <w:multiLevelType w:val="singleLevel"/>
    <w:tmpl w:val="418A3D68"/>
    <w:lvl w:ilvl="0" w:tentative="0">
      <w:start w:val="1"/>
      <w:numFmt w:val="decimal"/>
      <w:lvlText w:val="(%1)"/>
      <w:lvlJc w:val="left"/>
      <w:pPr>
        <w:tabs>
          <w:tab w:val="left" w:pos="-420"/>
        </w:tabs>
        <w:ind w:left="5" w:hanging="425"/>
      </w:pPr>
      <w:rPr>
        <w:rFonts w:hint="default"/>
      </w:rPr>
    </w:lvl>
  </w:abstractNum>
  <w:abstractNum w:abstractNumId="10">
    <w:nsid w:val="435840A3"/>
    <w:multiLevelType w:val="multilevel"/>
    <w:tmpl w:val="435840A3"/>
    <w:lvl w:ilvl="0" w:tentative="0">
      <w:start w:val="1"/>
      <w:numFmt w:val="decimal"/>
      <w:lvlText w:val="%1."/>
      <w:lvlJc w:val="left"/>
      <w:pPr>
        <w:ind w:left="422" w:hanging="420"/>
      </w:p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11">
    <w:nsid w:val="5B1CD88C"/>
    <w:multiLevelType w:val="singleLevel"/>
    <w:tmpl w:val="5B1CD88C"/>
    <w:lvl w:ilvl="0" w:tentative="0">
      <w:start w:val="1"/>
      <w:numFmt w:val="decimal"/>
      <w:suff w:val="nothing"/>
      <w:lvlText w:val="%1．"/>
      <w:lvlJc w:val="left"/>
      <w:pPr>
        <w:ind w:left="0" w:firstLine="400"/>
      </w:pPr>
      <w:rPr>
        <w:rFonts w:hint="default"/>
      </w:rPr>
    </w:lvl>
  </w:abstractNum>
  <w:abstractNum w:abstractNumId="12">
    <w:nsid w:val="5D7828B9"/>
    <w:multiLevelType w:val="singleLevel"/>
    <w:tmpl w:val="5D7828B9"/>
    <w:lvl w:ilvl="0" w:tentative="0">
      <w:start w:val="1"/>
      <w:numFmt w:val="decimal"/>
      <w:lvlText w:val="（%1）"/>
      <w:lvlJc w:val="left"/>
      <w:pPr>
        <w:tabs>
          <w:tab w:val="left" w:pos="425"/>
        </w:tabs>
        <w:ind w:left="425" w:hanging="425"/>
      </w:pPr>
      <w:rPr>
        <w:rFonts w:hint="default"/>
      </w:rPr>
    </w:lvl>
  </w:abstractNum>
  <w:abstractNum w:abstractNumId="13">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13"/>
  </w:num>
  <w:num w:numId="2">
    <w:abstractNumId w:val="4"/>
  </w:num>
  <w:num w:numId="3">
    <w:abstractNumId w:val="2"/>
  </w:num>
  <w:num w:numId="4">
    <w:abstractNumId w:val="9"/>
  </w:num>
  <w:num w:numId="5">
    <w:abstractNumId w:val="5"/>
  </w:num>
  <w:num w:numId="6">
    <w:abstractNumId w:val="6"/>
  </w:num>
  <w:num w:numId="7">
    <w:abstractNumId w:val="10"/>
  </w:num>
  <w:num w:numId="8">
    <w:abstractNumId w:val="3"/>
  </w:num>
  <w:num w:numId="9">
    <w:abstractNumId w:val="7"/>
  </w:num>
  <w:num w:numId="10">
    <w:abstractNumId w:val="1"/>
  </w:num>
  <w:num w:numId="11">
    <w:abstractNumId w:val="0"/>
  </w:num>
  <w:num w:numId="12">
    <w:abstractNumId w:val="8"/>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5ODg1MzhlNzBjNjZlOTRmNDM3N2Q5YjFjYTUzMjQifQ=="/>
    <w:docVar w:name="KSO_WPS_MARK_KEY" w:val="6c52a594-fa24-4eda-8bdf-1df5baad3362"/>
  </w:docVars>
  <w:rsids>
    <w:rsidRoot w:val="6F152D9A"/>
    <w:rsid w:val="0043659A"/>
    <w:rsid w:val="009E70F5"/>
    <w:rsid w:val="00D977C1"/>
    <w:rsid w:val="00DE5743"/>
    <w:rsid w:val="01211AD4"/>
    <w:rsid w:val="0159301C"/>
    <w:rsid w:val="016F283F"/>
    <w:rsid w:val="01AA3877"/>
    <w:rsid w:val="02025461"/>
    <w:rsid w:val="022618D2"/>
    <w:rsid w:val="02274EC8"/>
    <w:rsid w:val="023B0973"/>
    <w:rsid w:val="028777DE"/>
    <w:rsid w:val="02881E0B"/>
    <w:rsid w:val="031134B4"/>
    <w:rsid w:val="0341645D"/>
    <w:rsid w:val="03990047"/>
    <w:rsid w:val="03E219EE"/>
    <w:rsid w:val="04180E5A"/>
    <w:rsid w:val="042277B0"/>
    <w:rsid w:val="04A005CC"/>
    <w:rsid w:val="04B50EB1"/>
    <w:rsid w:val="04C63705"/>
    <w:rsid w:val="04FF037E"/>
    <w:rsid w:val="06336033"/>
    <w:rsid w:val="06625E2E"/>
    <w:rsid w:val="069E458D"/>
    <w:rsid w:val="06BE2A9A"/>
    <w:rsid w:val="06C44D16"/>
    <w:rsid w:val="070D6D82"/>
    <w:rsid w:val="072F63A4"/>
    <w:rsid w:val="0744651C"/>
    <w:rsid w:val="07787DB5"/>
    <w:rsid w:val="077961C6"/>
    <w:rsid w:val="07AC659B"/>
    <w:rsid w:val="07FD54F6"/>
    <w:rsid w:val="081447CD"/>
    <w:rsid w:val="087C541A"/>
    <w:rsid w:val="088C3CD7"/>
    <w:rsid w:val="08950582"/>
    <w:rsid w:val="08B60D54"/>
    <w:rsid w:val="08E57A87"/>
    <w:rsid w:val="08F43C68"/>
    <w:rsid w:val="09300B06"/>
    <w:rsid w:val="09491BC8"/>
    <w:rsid w:val="09644C54"/>
    <w:rsid w:val="09823515"/>
    <w:rsid w:val="09F77876"/>
    <w:rsid w:val="0A5E16A3"/>
    <w:rsid w:val="0A602146"/>
    <w:rsid w:val="0A825391"/>
    <w:rsid w:val="0A8A693C"/>
    <w:rsid w:val="0AA72E75"/>
    <w:rsid w:val="0AB85257"/>
    <w:rsid w:val="0B7B37EB"/>
    <w:rsid w:val="0B9510F4"/>
    <w:rsid w:val="0BB91DF1"/>
    <w:rsid w:val="0BCB4B16"/>
    <w:rsid w:val="0BE62205"/>
    <w:rsid w:val="0C2B0B3A"/>
    <w:rsid w:val="0C45359F"/>
    <w:rsid w:val="0C6706F1"/>
    <w:rsid w:val="0C822ACA"/>
    <w:rsid w:val="0CB70393"/>
    <w:rsid w:val="0CBB2DDD"/>
    <w:rsid w:val="0D046532"/>
    <w:rsid w:val="0D3F1CF7"/>
    <w:rsid w:val="0D5C54A5"/>
    <w:rsid w:val="0D9F3011"/>
    <w:rsid w:val="0DC34AA9"/>
    <w:rsid w:val="0DFD3BE1"/>
    <w:rsid w:val="0E303356"/>
    <w:rsid w:val="0E430BBB"/>
    <w:rsid w:val="0E4B0853"/>
    <w:rsid w:val="0E59465B"/>
    <w:rsid w:val="0EA904C1"/>
    <w:rsid w:val="0EAD11D9"/>
    <w:rsid w:val="0EBF36D0"/>
    <w:rsid w:val="0EC73CBB"/>
    <w:rsid w:val="0EDC703A"/>
    <w:rsid w:val="0F136F00"/>
    <w:rsid w:val="0F2A5DFB"/>
    <w:rsid w:val="0F670FFA"/>
    <w:rsid w:val="0FAC4C5F"/>
    <w:rsid w:val="0FE96BFE"/>
    <w:rsid w:val="104906FF"/>
    <w:rsid w:val="10634BF3"/>
    <w:rsid w:val="109776BD"/>
    <w:rsid w:val="10B40C48"/>
    <w:rsid w:val="11474F4C"/>
    <w:rsid w:val="12431D83"/>
    <w:rsid w:val="124949E7"/>
    <w:rsid w:val="12D149BF"/>
    <w:rsid w:val="13160D6D"/>
    <w:rsid w:val="13242E4C"/>
    <w:rsid w:val="134578A4"/>
    <w:rsid w:val="1373154F"/>
    <w:rsid w:val="138A5087"/>
    <w:rsid w:val="139B74C4"/>
    <w:rsid w:val="13A1291C"/>
    <w:rsid w:val="13F57F6C"/>
    <w:rsid w:val="140E7C96"/>
    <w:rsid w:val="144E5BAF"/>
    <w:rsid w:val="145B077C"/>
    <w:rsid w:val="148F7029"/>
    <w:rsid w:val="14C64A14"/>
    <w:rsid w:val="14FE7D0A"/>
    <w:rsid w:val="15347304"/>
    <w:rsid w:val="15397746"/>
    <w:rsid w:val="153B4ABB"/>
    <w:rsid w:val="15567B46"/>
    <w:rsid w:val="15FC2B6A"/>
    <w:rsid w:val="16027A14"/>
    <w:rsid w:val="16322361"/>
    <w:rsid w:val="164B3423"/>
    <w:rsid w:val="165B2F3A"/>
    <w:rsid w:val="16A768E1"/>
    <w:rsid w:val="16CF7BB0"/>
    <w:rsid w:val="17033CFE"/>
    <w:rsid w:val="181F6915"/>
    <w:rsid w:val="18E667DE"/>
    <w:rsid w:val="190B1AB7"/>
    <w:rsid w:val="190E1E92"/>
    <w:rsid w:val="193E2DCB"/>
    <w:rsid w:val="194B4539"/>
    <w:rsid w:val="19677F5C"/>
    <w:rsid w:val="19AA0461"/>
    <w:rsid w:val="19EF3664"/>
    <w:rsid w:val="1A446E0F"/>
    <w:rsid w:val="1A7F2B74"/>
    <w:rsid w:val="1A8E78C8"/>
    <w:rsid w:val="1A914D5C"/>
    <w:rsid w:val="1A9B5FFB"/>
    <w:rsid w:val="1AED6666"/>
    <w:rsid w:val="1BB9498B"/>
    <w:rsid w:val="1BD96DDB"/>
    <w:rsid w:val="1BDC68CC"/>
    <w:rsid w:val="1C2529FF"/>
    <w:rsid w:val="1C427076"/>
    <w:rsid w:val="1C522596"/>
    <w:rsid w:val="1C6963B1"/>
    <w:rsid w:val="1C6F14EE"/>
    <w:rsid w:val="1CE47D23"/>
    <w:rsid w:val="1D2B18B9"/>
    <w:rsid w:val="1D7414B2"/>
    <w:rsid w:val="1D815FCC"/>
    <w:rsid w:val="1D927B8A"/>
    <w:rsid w:val="1D9A07EC"/>
    <w:rsid w:val="1DCA2E80"/>
    <w:rsid w:val="1DF857DA"/>
    <w:rsid w:val="1E340C41"/>
    <w:rsid w:val="1E403142"/>
    <w:rsid w:val="1E781388"/>
    <w:rsid w:val="1EA47B74"/>
    <w:rsid w:val="1EAE454F"/>
    <w:rsid w:val="1EC51899"/>
    <w:rsid w:val="1EEF7754"/>
    <w:rsid w:val="1F27593E"/>
    <w:rsid w:val="1F394761"/>
    <w:rsid w:val="1F9BB067"/>
    <w:rsid w:val="200655C0"/>
    <w:rsid w:val="207417C9"/>
    <w:rsid w:val="20AA3CDC"/>
    <w:rsid w:val="20B23D8A"/>
    <w:rsid w:val="20FD531A"/>
    <w:rsid w:val="21244F9D"/>
    <w:rsid w:val="218B0B78"/>
    <w:rsid w:val="21A734D8"/>
    <w:rsid w:val="21F030D1"/>
    <w:rsid w:val="2210107D"/>
    <w:rsid w:val="2221328A"/>
    <w:rsid w:val="22462A8A"/>
    <w:rsid w:val="22574EFE"/>
    <w:rsid w:val="22696FF6"/>
    <w:rsid w:val="229F2035"/>
    <w:rsid w:val="22E83DA8"/>
    <w:rsid w:val="23006025"/>
    <w:rsid w:val="230C1C0F"/>
    <w:rsid w:val="23531B69"/>
    <w:rsid w:val="23664217"/>
    <w:rsid w:val="23A5639B"/>
    <w:rsid w:val="23A67435"/>
    <w:rsid w:val="23CE0A96"/>
    <w:rsid w:val="240F5A90"/>
    <w:rsid w:val="243A63CC"/>
    <w:rsid w:val="246C10ED"/>
    <w:rsid w:val="24825F40"/>
    <w:rsid w:val="249F3FA9"/>
    <w:rsid w:val="24C745BD"/>
    <w:rsid w:val="25FC2044"/>
    <w:rsid w:val="260F2A28"/>
    <w:rsid w:val="26176E7E"/>
    <w:rsid w:val="26BE19EF"/>
    <w:rsid w:val="26D22DA5"/>
    <w:rsid w:val="26E24FAE"/>
    <w:rsid w:val="27734588"/>
    <w:rsid w:val="27A128DB"/>
    <w:rsid w:val="27DA0163"/>
    <w:rsid w:val="28150C75"/>
    <w:rsid w:val="286F3F95"/>
    <w:rsid w:val="28741B8A"/>
    <w:rsid w:val="287B7F79"/>
    <w:rsid w:val="288B3B53"/>
    <w:rsid w:val="28D92B11"/>
    <w:rsid w:val="28F90ABD"/>
    <w:rsid w:val="290A2CCA"/>
    <w:rsid w:val="29387837"/>
    <w:rsid w:val="29CD4DD1"/>
    <w:rsid w:val="29E901A5"/>
    <w:rsid w:val="2A0119E5"/>
    <w:rsid w:val="2A445BEE"/>
    <w:rsid w:val="2A5A1A2F"/>
    <w:rsid w:val="2B0674C1"/>
    <w:rsid w:val="2B1B3AE9"/>
    <w:rsid w:val="2B353322"/>
    <w:rsid w:val="2B3D7387"/>
    <w:rsid w:val="2B9D7E25"/>
    <w:rsid w:val="2BB9468C"/>
    <w:rsid w:val="2BC2163A"/>
    <w:rsid w:val="2BD73CFD"/>
    <w:rsid w:val="2C2422F5"/>
    <w:rsid w:val="2C41042A"/>
    <w:rsid w:val="2D2158C8"/>
    <w:rsid w:val="2D546C0A"/>
    <w:rsid w:val="2D5B7F98"/>
    <w:rsid w:val="2D614E83"/>
    <w:rsid w:val="2DD077B2"/>
    <w:rsid w:val="2DF301D1"/>
    <w:rsid w:val="2E3836D4"/>
    <w:rsid w:val="2E615CCD"/>
    <w:rsid w:val="2ED675F2"/>
    <w:rsid w:val="2F3445FD"/>
    <w:rsid w:val="2F37730B"/>
    <w:rsid w:val="2FBB2449"/>
    <w:rsid w:val="2FF11F73"/>
    <w:rsid w:val="302610FC"/>
    <w:rsid w:val="3043586B"/>
    <w:rsid w:val="3058256D"/>
    <w:rsid w:val="30766E97"/>
    <w:rsid w:val="30B71989"/>
    <w:rsid w:val="30BA6D84"/>
    <w:rsid w:val="30E33504"/>
    <w:rsid w:val="310B6BF3"/>
    <w:rsid w:val="315F016B"/>
    <w:rsid w:val="316F63A7"/>
    <w:rsid w:val="31A627B9"/>
    <w:rsid w:val="31F60A7B"/>
    <w:rsid w:val="32236C2E"/>
    <w:rsid w:val="33154745"/>
    <w:rsid w:val="335D7410"/>
    <w:rsid w:val="336D3EA4"/>
    <w:rsid w:val="33C64EB5"/>
    <w:rsid w:val="343E641F"/>
    <w:rsid w:val="344A041F"/>
    <w:rsid w:val="34A61710"/>
    <w:rsid w:val="34C74165"/>
    <w:rsid w:val="34C940D3"/>
    <w:rsid w:val="34E751DD"/>
    <w:rsid w:val="35260FC4"/>
    <w:rsid w:val="352F64C7"/>
    <w:rsid w:val="35924EBB"/>
    <w:rsid w:val="35C012AA"/>
    <w:rsid w:val="35C249F4"/>
    <w:rsid w:val="363D6170"/>
    <w:rsid w:val="36525CB0"/>
    <w:rsid w:val="36C546D4"/>
    <w:rsid w:val="36F31241"/>
    <w:rsid w:val="37205FF6"/>
    <w:rsid w:val="37865C12"/>
    <w:rsid w:val="3810372D"/>
    <w:rsid w:val="38624A88"/>
    <w:rsid w:val="38A56B9D"/>
    <w:rsid w:val="38DC3EDC"/>
    <w:rsid w:val="38FA68B7"/>
    <w:rsid w:val="391B4A7F"/>
    <w:rsid w:val="39202096"/>
    <w:rsid w:val="39394B01"/>
    <w:rsid w:val="396E2E01"/>
    <w:rsid w:val="39F50E2C"/>
    <w:rsid w:val="3A400E50"/>
    <w:rsid w:val="3A950543"/>
    <w:rsid w:val="3A9E7716"/>
    <w:rsid w:val="3ADA56C8"/>
    <w:rsid w:val="3B00217F"/>
    <w:rsid w:val="3B787F67"/>
    <w:rsid w:val="3B855DC3"/>
    <w:rsid w:val="3B974891"/>
    <w:rsid w:val="3BD17677"/>
    <w:rsid w:val="3BD21711"/>
    <w:rsid w:val="3BD80F0D"/>
    <w:rsid w:val="3C1C4D96"/>
    <w:rsid w:val="3C215F09"/>
    <w:rsid w:val="3C31001D"/>
    <w:rsid w:val="3C4B11D8"/>
    <w:rsid w:val="3CDD2778"/>
    <w:rsid w:val="3D5F13DF"/>
    <w:rsid w:val="3D7F382F"/>
    <w:rsid w:val="3D9B4E64"/>
    <w:rsid w:val="3DC54FBA"/>
    <w:rsid w:val="3E6B3DB3"/>
    <w:rsid w:val="3E90273A"/>
    <w:rsid w:val="3EA352FB"/>
    <w:rsid w:val="3EBE3EE3"/>
    <w:rsid w:val="3EE33949"/>
    <w:rsid w:val="3EF97772"/>
    <w:rsid w:val="3F2859A4"/>
    <w:rsid w:val="3F3C7CCF"/>
    <w:rsid w:val="3F8C5D8F"/>
    <w:rsid w:val="3FD00372"/>
    <w:rsid w:val="3FDD483D"/>
    <w:rsid w:val="3FE07E89"/>
    <w:rsid w:val="402204A1"/>
    <w:rsid w:val="407D110C"/>
    <w:rsid w:val="40B437EF"/>
    <w:rsid w:val="41061B71"/>
    <w:rsid w:val="411B561D"/>
    <w:rsid w:val="41326E0A"/>
    <w:rsid w:val="41361B95"/>
    <w:rsid w:val="41A35612"/>
    <w:rsid w:val="421C7965"/>
    <w:rsid w:val="424566C9"/>
    <w:rsid w:val="427F1BDB"/>
    <w:rsid w:val="428F6994"/>
    <w:rsid w:val="42A15FF5"/>
    <w:rsid w:val="42A258CA"/>
    <w:rsid w:val="42D55690"/>
    <w:rsid w:val="42DE3E28"/>
    <w:rsid w:val="431C567C"/>
    <w:rsid w:val="434C7124"/>
    <w:rsid w:val="43741014"/>
    <w:rsid w:val="439971FA"/>
    <w:rsid w:val="43A833B4"/>
    <w:rsid w:val="43BD6E5F"/>
    <w:rsid w:val="43F41FD8"/>
    <w:rsid w:val="440209A9"/>
    <w:rsid w:val="44421112"/>
    <w:rsid w:val="4455528C"/>
    <w:rsid w:val="44D65FFB"/>
    <w:rsid w:val="45237196"/>
    <w:rsid w:val="45554E75"/>
    <w:rsid w:val="457271D8"/>
    <w:rsid w:val="457E36C4"/>
    <w:rsid w:val="461A0599"/>
    <w:rsid w:val="461B60BF"/>
    <w:rsid w:val="4649255C"/>
    <w:rsid w:val="464C6278"/>
    <w:rsid w:val="469C746C"/>
    <w:rsid w:val="472015A9"/>
    <w:rsid w:val="47867568"/>
    <w:rsid w:val="47A9196E"/>
    <w:rsid w:val="48180B08"/>
    <w:rsid w:val="48B545A9"/>
    <w:rsid w:val="490168B9"/>
    <w:rsid w:val="49997A26"/>
    <w:rsid w:val="4A7364C9"/>
    <w:rsid w:val="4AA04DE4"/>
    <w:rsid w:val="4ABD14F2"/>
    <w:rsid w:val="4ACC3E2B"/>
    <w:rsid w:val="4AF313B8"/>
    <w:rsid w:val="4BA60AB1"/>
    <w:rsid w:val="4BAF1783"/>
    <w:rsid w:val="4BC114B6"/>
    <w:rsid w:val="4BE34546"/>
    <w:rsid w:val="4BF94C2F"/>
    <w:rsid w:val="4C067384"/>
    <w:rsid w:val="4C906769"/>
    <w:rsid w:val="4CCE3E8B"/>
    <w:rsid w:val="4CE74F4D"/>
    <w:rsid w:val="4D1473C4"/>
    <w:rsid w:val="4D1A2C2C"/>
    <w:rsid w:val="4DDF102B"/>
    <w:rsid w:val="4DE33966"/>
    <w:rsid w:val="4DFA0CB0"/>
    <w:rsid w:val="4DFF0074"/>
    <w:rsid w:val="4E1844A1"/>
    <w:rsid w:val="4E3B5B69"/>
    <w:rsid w:val="4E5E1120"/>
    <w:rsid w:val="4E6A31EF"/>
    <w:rsid w:val="4E9208C3"/>
    <w:rsid w:val="4EDE6657"/>
    <w:rsid w:val="4F226DC8"/>
    <w:rsid w:val="4F234ACC"/>
    <w:rsid w:val="4F2A7373"/>
    <w:rsid w:val="4F3E697A"/>
    <w:rsid w:val="4F6351A5"/>
    <w:rsid w:val="4F7F44DF"/>
    <w:rsid w:val="4FA71C3F"/>
    <w:rsid w:val="4FBA3692"/>
    <w:rsid w:val="501C6CBB"/>
    <w:rsid w:val="50484EDB"/>
    <w:rsid w:val="505C668F"/>
    <w:rsid w:val="50601F36"/>
    <w:rsid w:val="50964CC0"/>
    <w:rsid w:val="50FE0AB7"/>
    <w:rsid w:val="51025EB1"/>
    <w:rsid w:val="512978E2"/>
    <w:rsid w:val="51346847"/>
    <w:rsid w:val="515D758B"/>
    <w:rsid w:val="516C5CF7"/>
    <w:rsid w:val="51867B3E"/>
    <w:rsid w:val="519D3E2C"/>
    <w:rsid w:val="51A575B0"/>
    <w:rsid w:val="51FF4AE6"/>
    <w:rsid w:val="520774F7"/>
    <w:rsid w:val="52171E30"/>
    <w:rsid w:val="522409B0"/>
    <w:rsid w:val="52490058"/>
    <w:rsid w:val="525B75EF"/>
    <w:rsid w:val="52666914"/>
    <w:rsid w:val="5267529D"/>
    <w:rsid w:val="52DB2E5E"/>
    <w:rsid w:val="53135B7C"/>
    <w:rsid w:val="53A6051D"/>
    <w:rsid w:val="53AF2171"/>
    <w:rsid w:val="53B60FA0"/>
    <w:rsid w:val="53B92BD0"/>
    <w:rsid w:val="53C27B7A"/>
    <w:rsid w:val="53DD49B3"/>
    <w:rsid w:val="53E61F03"/>
    <w:rsid w:val="548F6278"/>
    <w:rsid w:val="54BE5581"/>
    <w:rsid w:val="54C343AC"/>
    <w:rsid w:val="54E67898"/>
    <w:rsid w:val="550C37A2"/>
    <w:rsid w:val="55124B31"/>
    <w:rsid w:val="552D54C7"/>
    <w:rsid w:val="553757FC"/>
    <w:rsid w:val="554D7917"/>
    <w:rsid w:val="557841D3"/>
    <w:rsid w:val="558404F4"/>
    <w:rsid w:val="566D64C3"/>
    <w:rsid w:val="571006E4"/>
    <w:rsid w:val="576E1B52"/>
    <w:rsid w:val="57A23F4A"/>
    <w:rsid w:val="57DB48EC"/>
    <w:rsid w:val="583D01CF"/>
    <w:rsid w:val="586C6306"/>
    <w:rsid w:val="58C63C68"/>
    <w:rsid w:val="58D50A2B"/>
    <w:rsid w:val="598C6DF6"/>
    <w:rsid w:val="5A0013FC"/>
    <w:rsid w:val="5A407A4A"/>
    <w:rsid w:val="5A4E09B0"/>
    <w:rsid w:val="5A7B0A82"/>
    <w:rsid w:val="5AA44386"/>
    <w:rsid w:val="5ABA15AB"/>
    <w:rsid w:val="5AE26D53"/>
    <w:rsid w:val="5B1834F7"/>
    <w:rsid w:val="5BD743DE"/>
    <w:rsid w:val="5BF11C55"/>
    <w:rsid w:val="5BF60D08"/>
    <w:rsid w:val="5C0C052C"/>
    <w:rsid w:val="5C4D4754"/>
    <w:rsid w:val="5C6F429B"/>
    <w:rsid w:val="5C700ABB"/>
    <w:rsid w:val="5C9C6B0B"/>
    <w:rsid w:val="5CC650C2"/>
    <w:rsid w:val="5CCE6402"/>
    <w:rsid w:val="5D1A517B"/>
    <w:rsid w:val="5E343D6A"/>
    <w:rsid w:val="5E370EEC"/>
    <w:rsid w:val="5E436EA1"/>
    <w:rsid w:val="5E6737F7"/>
    <w:rsid w:val="5EB729BA"/>
    <w:rsid w:val="5EF07C91"/>
    <w:rsid w:val="5F132FF0"/>
    <w:rsid w:val="5F1E0A25"/>
    <w:rsid w:val="5FD01870"/>
    <w:rsid w:val="5FE77D07"/>
    <w:rsid w:val="60211516"/>
    <w:rsid w:val="60382473"/>
    <w:rsid w:val="603B26DF"/>
    <w:rsid w:val="605E3790"/>
    <w:rsid w:val="607E751E"/>
    <w:rsid w:val="609B1E7E"/>
    <w:rsid w:val="60E45417"/>
    <w:rsid w:val="60E77880"/>
    <w:rsid w:val="61050FC1"/>
    <w:rsid w:val="61161505"/>
    <w:rsid w:val="613876CD"/>
    <w:rsid w:val="616A6E87"/>
    <w:rsid w:val="618F2C11"/>
    <w:rsid w:val="61D357CA"/>
    <w:rsid w:val="61E45BE1"/>
    <w:rsid w:val="61F25ACE"/>
    <w:rsid w:val="61FA38FE"/>
    <w:rsid w:val="61FC06FB"/>
    <w:rsid w:val="623B56C7"/>
    <w:rsid w:val="62F44BFF"/>
    <w:rsid w:val="6341070D"/>
    <w:rsid w:val="634C00E2"/>
    <w:rsid w:val="634C56B2"/>
    <w:rsid w:val="637901FC"/>
    <w:rsid w:val="638C3E3F"/>
    <w:rsid w:val="63A075C4"/>
    <w:rsid w:val="63C048AE"/>
    <w:rsid w:val="64427DEE"/>
    <w:rsid w:val="64C64FF0"/>
    <w:rsid w:val="64E421D7"/>
    <w:rsid w:val="64EF4F26"/>
    <w:rsid w:val="65000502"/>
    <w:rsid w:val="657F58CB"/>
    <w:rsid w:val="658E3D60"/>
    <w:rsid w:val="65975ABE"/>
    <w:rsid w:val="65E358B9"/>
    <w:rsid w:val="65FC3B45"/>
    <w:rsid w:val="66903B07"/>
    <w:rsid w:val="670267B3"/>
    <w:rsid w:val="6721001D"/>
    <w:rsid w:val="67334BBF"/>
    <w:rsid w:val="6739419F"/>
    <w:rsid w:val="674768BC"/>
    <w:rsid w:val="678629DB"/>
    <w:rsid w:val="679F2254"/>
    <w:rsid w:val="67C47140"/>
    <w:rsid w:val="682E5386"/>
    <w:rsid w:val="686F41A0"/>
    <w:rsid w:val="687E455F"/>
    <w:rsid w:val="68CA77A4"/>
    <w:rsid w:val="68D12617"/>
    <w:rsid w:val="68D4417F"/>
    <w:rsid w:val="69117181"/>
    <w:rsid w:val="691B590A"/>
    <w:rsid w:val="69252C2D"/>
    <w:rsid w:val="69345A96"/>
    <w:rsid w:val="6944742F"/>
    <w:rsid w:val="69E00902"/>
    <w:rsid w:val="69F85C4B"/>
    <w:rsid w:val="6A010FA4"/>
    <w:rsid w:val="6A7C062B"/>
    <w:rsid w:val="6AE85CC0"/>
    <w:rsid w:val="6B0A3E88"/>
    <w:rsid w:val="6B0B007F"/>
    <w:rsid w:val="6BB6110A"/>
    <w:rsid w:val="6C134FBF"/>
    <w:rsid w:val="6C136D6D"/>
    <w:rsid w:val="6C643B3D"/>
    <w:rsid w:val="6C7218C1"/>
    <w:rsid w:val="6C7C7008"/>
    <w:rsid w:val="6C831C60"/>
    <w:rsid w:val="6CC369E5"/>
    <w:rsid w:val="6D152C7A"/>
    <w:rsid w:val="6D401DE3"/>
    <w:rsid w:val="6D5835D1"/>
    <w:rsid w:val="6D632B13"/>
    <w:rsid w:val="6D8A305E"/>
    <w:rsid w:val="6D8C6AB1"/>
    <w:rsid w:val="6D8D7575"/>
    <w:rsid w:val="6E330AE6"/>
    <w:rsid w:val="6E3A5918"/>
    <w:rsid w:val="6E5518BE"/>
    <w:rsid w:val="6E9835C9"/>
    <w:rsid w:val="6E9D0F19"/>
    <w:rsid w:val="6EEA46FD"/>
    <w:rsid w:val="6F101C89"/>
    <w:rsid w:val="6F152D9A"/>
    <w:rsid w:val="6F5B1156"/>
    <w:rsid w:val="6F600666"/>
    <w:rsid w:val="6FA64098"/>
    <w:rsid w:val="6FB865A9"/>
    <w:rsid w:val="6FF70194"/>
    <w:rsid w:val="6FFF7C0E"/>
    <w:rsid w:val="7073599E"/>
    <w:rsid w:val="70736AC3"/>
    <w:rsid w:val="70A42689"/>
    <w:rsid w:val="71685DAD"/>
    <w:rsid w:val="71A566B9"/>
    <w:rsid w:val="71DB20DB"/>
    <w:rsid w:val="71F061CA"/>
    <w:rsid w:val="72273572"/>
    <w:rsid w:val="722C6DDA"/>
    <w:rsid w:val="72583E79"/>
    <w:rsid w:val="725A654C"/>
    <w:rsid w:val="731C29AB"/>
    <w:rsid w:val="73400AE2"/>
    <w:rsid w:val="735E0EFB"/>
    <w:rsid w:val="73941CCC"/>
    <w:rsid w:val="73993FFB"/>
    <w:rsid w:val="73D019E7"/>
    <w:rsid w:val="7400051E"/>
    <w:rsid w:val="741E09A4"/>
    <w:rsid w:val="744A1799"/>
    <w:rsid w:val="748A7DE8"/>
    <w:rsid w:val="74BB4445"/>
    <w:rsid w:val="74DB6895"/>
    <w:rsid w:val="75680129"/>
    <w:rsid w:val="757F36C5"/>
    <w:rsid w:val="75D27C98"/>
    <w:rsid w:val="75E850A3"/>
    <w:rsid w:val="75F47C0F"/>
    <w:rsid w:val="760925E8"/>
    <w:rsid w:val="76487F5B"/>
    <w:rsid w:val="76934ECB"/>
    <w:rsid w:val="7696746C"/>
    <w:rsid w:val="76F157CC"/>
    <w:rsid w:val="77107490"/>
    <w:rsid w:val="771A0441"/>
    <w:rsid w:val="77C61FA0"/>
    <w:rsid w:val="77D17A45"/>
    <w:rsid w:val="77FC0D3A"/>
    <w:rsid w:val="77FE2FC7"/>
    <w:rsid w:val="78055809"/>
    <w:rsid w:val="78125870"/>
    <w:rsid w:val="78623556"/>
    <w:rsid w:val="78A0407E"/>
    <w:rsid w:val="79061938"/>
    <w:rsid w:val="791B1604"/>
    <w:rsid w:val="79294073"/>
    <w:rsid w:val="792B7DEB"/>
    <w:rsid w:val="797572B9"/>
    <w:rsid w:val="79A90D10"/>
    <w:rsid w:val="79B0209F"/>
    <w:rsid w:val="79BB48AD"/>
    <w:rsid w:val="79BF480D"/>
    <w:rsid w:val="79CE4C1B"/>
    <w:rsid w:val="7A2C3BC4"/>
    <w:rsid w:val="7A344A7E"/>
    <w:rsid w:val="7A5F5873"/>
    <w:rsid w:val="7A886B78"/>
    <w:rsid w:val="7ACA3F5F"/>
    <w:rsid w:val="7AE53941"/>
    <w:rsid w:val="7B42766E"/>
    <w:rsid w:val="7BA615A2"/>
    <w:rsid w:val="7BB8348D"/>
    <w:rsid w:val="7BBA5457"/>
    <w:rsid w:val="7BF546E1"/>
    <w:rsid w:val="7BFF585B"/>
    <w:rsid w:val="7C32185B"/>
    <w:rsid w:val="7D337C34"/>
    <w:rsid w:val="7D40373A"/>
    <w:rsid w:val="7D4A0A5C"/>
    <w:rsid w:val="7D511680"/>
    <w:rsid w:val="7D580E3B"/>
    <w:rsid w:val="7D733B0F"/>
    <w:rsid w:val="7D7E6B8B"/>
    <w:rsid w:val="7DEB3451"/>
    <w:rsid w:val="7E43252C"/>
    <w:rsid w:val="7E4E1E86"/>
    <w:rsid w:val="7EA277A1"/>
    <w:rsid w:val="7EC91358"/>
    <w:rsid w:val="7F141322"/>
    <w:rsid w:val="7F341DFF"/>
    <w:rsid w:val="7FA77AA0"/>
    <w:rsid w:val="7FDC3989"/>
    <w:rsid w:val="7FEA09E2"/>
    <w:rsid w:val="7FEC1957"/>
    <w:rsid w:val="7FF37189"/>
    <w:rsid w:val="B5FF2DC1"/>
    <w:rsid w:val="BC936312"/>
    <w:rsid w:val="E75F9682"/>
    <w:rsid w:val="EA0B12A9"/>
    <w:rsid w:val="FADDB4F8"/>
    <w:rsid w:val="FAE9CD5D"/>
    <w:rsid w:val="FB692196"/>
    <w:rsid w:val="FFDF6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autoRedefine/>
    <w:qFormat/>
    <w:uiPriority w:val="0"/>
    <w:pPr>
      <w:keepNext/>
      <w:keepLines/>
      <w:spacing w:before="260" w:after="260" w:line="416" w:lineRule="auto"/>
      <w:outlineLvl w:val="2"/>
    </w:pPr>
    <w:rPr>
      <w:b/>
      <w:bCs/>
      <w:kern w:val="0"/>
      <w:sz w:val="32"/>
      <w:szCs w:val="32"/>
    </w:rPr>
  </w:style>
  <w:style w:type="character" w:default="1" w:styleId="16">
    <w:name w:val="Default Paragraph Font"/>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unhideWhenUsed/>
    <w:qFormat/>
    <w:uiPriority w:val="0"/>
    <w:pPr>
      <w:spacing w:after="120"/>
    </w:pPr>
    <w:rPr>
      <w:sz w:val="24"/>
    </w:rPr>
  </w:style>
  <w:style w:type="paragraph" w:styleId="4">
    <w:name w:val="Normal Indent"/>
    <w:basedOn w:val="1"/>
    <w:autoRedefine/>
    <w:qFormat/>
    <w:uiPriority w:val="0"/>
    <w:pPr>
      <w:ind w:firstLine="420" w:firstLineChars="200"/>
    </w:pPr>
    <w:rPr>
      <w:szCs w:val="20"/>
    </w:rPr>
  </w:style>
  <w:style w:type="paragraph" w:styleId="5">
    <w:name w:val="annotation text"/>
    <w:basedOn w:val="1"/>
    <w:autoRedefine/>
    <w:unhideWhenUsed/>
    <w:qFormat/>
    <w:uiPriority w:val="0"/>
    <w:pPr>
      <w:jc w:val="left"/>
    </w:pPr>
    <w:rPr>
      <w:kern w:val="0"/>
      <w:sz w:val="20"/>
    </w:rPr>
  </w:style>
  <w:style w:type="paragraph" w:styleId="6">
    <w:name w:val="Body Text Indent"/>
    <w:basedOn w:val="1"/>
    <w:autoRedefine/>
    <w:unhideWhenUsed/>
    <w:qFormat/>
    <w:uiPriority w:val="99"/>
    <w:pPr>
      <w:spacing w:after="120"/>
      <w:ind w:left="420" w:leftChars="200"/>
    </w:pPr>
    <w:rPr>
      <w:kern w:val="0"/>
      <w:sz w:val="20"/>
      <w:szCs w:val="20"/>
    </w:rPr>
  </w:style>
  <w:style w:type="paragraph" w:styleId="7">
    <w:name w:val="Plain Text"/>
    <w:basedOn w:val="1"/>
    <w:next w:val="8"/>
    <w:autoRedefine/>
    <w:qFormat/>
    <w:uiPriority w:val="0"/>
    <w:rPr>
      <w:rFonts w:ascii="宋体" w:hAnsi="Courier New"/>
    </w:rPr>
  </w:style>
  <w:style w:type="paragraph" w:customStyle="1" w:styleId="8">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9">
    <w:name w:val="footer"/>
    <w:basedOn w:val="1"/>
    <w:autoRedefine/>
    <w:unhideWhenUsed/>
    <w:qFormat/>
    <w:uiPriority w:val="99"/>
    <w:pPr>
      <w:tabs>
        <w:tab w:val="center" w:pos="4153"/>
        <w:tab w:val="right" w:pos="8306"/>
      </w:tabs>
      <w:snapToGrid w:val="0"/>
      <w:jc w:val="left"/>
    </w:pPr>
    <w:rPr>
      <w:kern w:val="0"/>
      <w:sz w:val="18"/>
      <w:szCs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autoRedefine/>
    <w:unhideWhenUsed/>
    <w:qFormat/>
    <w:uiPriority w:val="39"/>
  </w:style>
  <w:style w:type="paragraph" w:styleId="12">
    <w:name w:val="toc 2"/>
    <w:basedOn w:val="1"/>
    <w:next w:val="1"/>
    <w:autoRedefine/>
    <w:qFormat/>
    <w:uiPriority w:val="0"/>
    <w:pPr>
      <w:spacing w:line="600" w:lineRule="exact"/>
      <w:ind w:firstLine="880" w:firstLineChars="200"/>
    </w:pPr>
    <w:rPr>
      <w:rFonts w:eastAsia="仿宋_GB2312"/>
      <w:sz w:val="32"/>
    </w:rPr>
  </w:style>
  <w:style w:type="paragraph" w:styleId="13">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14">
    <w:name w:val="Title"/>
    <w:basedOn w:val="1"/>
    <w:next w:val="1"/>
    <w:autoRedefine/>
    <w:qFormat/>
    <w:uiPriority w:val="0"/>
    <w:pPr>
      <w:spacing w:before="240" w:after="60"/>
      <w:jc w:val="center"/>
      <w:outlineLvl w:val="0"/>
    </w:pPr>
    <w:rPr>
      <w:rFonts w:ascii="Arial" w:hAnsi="Arial" w:eastAsia="隶书"/>
      <w:b/>
      <w:bCs/>
      <w:sz w:val="32"/>
      <w:szCs w:val="32"/>
    </w:rPr>
  </w:style>
  <w:style w:type="character" w:styleId="17">
    <w:name w:val="Strong"/>
    <w:basedOn w:val="16"/>
    <w:autoRedefine/>
    <w:qFormat/>
    <w:uiPriority w:val="0"/>
    <w:rPr>
      <w:b/>
    </w:rPr>
  </w:style>
  <w:style w:type="character" w:styleId="18">
    <w:name w:val="page number"/>
    <w:autoRedefine/>
    <w:qFormat/>
    <w:uiPriority w:val="0"/>
  </w:style>
  <w:style w:type="paragraph" w:styleId="19">
    <w:name w:val="Quote"/>
    <w:next w:val="1"/>
    <w:autoRedefine/>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customStyle="1" w:styleId="20">
    <w:name w:val="正文格式"/>
    <w:basedOn w:val="6"/>
    <w:autoRedefine/>
    <w:qFormat/>
    <w:uiPriority w:val="99"/>
    <w:pPr>
      <w:spacing w:after="0" w:line="360" w:lineRule="auto"/>
      <w:ind w:left="0" w:leftChars="0" w:firstLine="600"/>
    </w:pPr>
    <w:rPr>
      <w:rFonts w:eastAsia="仿宋_GB2312"/>
      <w:sz w:val="30"/>
      <w:szCs w:val="30"/>
    </w:rPr>
  </w:style>
  <w:style w:type="paragraph" w:customStyle="1" w:styleId="21">
    <w:name w:val="文档正文"/>
    <w:basedOn w:val="1"/>
    <w:autoRedefine/>
    <w:qFormat/>
    <w:uiPriority w:val="99"/>
    <w:pPr>
      <w:adjustRightInd w:val="0"/>
      <w:spacing w:line="480" w:lineRule="atLeast"/>
      <w:ind w:firstLine="567" w:firstLineChars="200"/>
      <w:textAlignment w:val="baseline"/>
    </w:pPr>
    <w:rPr>
      <w:rFonts w:ascii="长城仿宋" w:hAnsi="Calibri"/>
      <w:kern w:val="0"/>
      <w:szCs w:val="20"/>
    </w:rPr>
  </w:style>
  <w:style w:type="paragraph" w:styleId="22">
    <w:name w:val="List Paragraph"/>
    <w:basedOn w:val="1"/>
    <w:autoRedefine/>
    <w:qFormat/>
    <w:uiPriority w:val="34"/>
    <w:pPr>
      <w:ind w:firstLine="420" w:firstLineChars="200"/>
    </w:pPr>
  </w:style>
  <w:style w:type="paragraph" w:customStyle="1" w:styleId="23">
    <w:name w:val="（）列表模式"/>
    <w:basedOn w:val="1"/>
    <w:autoRedefine/>
    <w:qFormat/>
    <w:uiPriority w:val="0"/>
    <w:pPr>
      <w:tabs>
        <w:tab w:val="left" w:pos="960"/>
        <w:tab w:val="left" w:pos="1470"/>
      </w:tabs>
      <w:spacing w:line="360" w:lineRule="auto"/>
      <w:ind w:left="1470" w:hanging="420"/>
    </w:pPr>
    <w:rPr>
      <w:sz w:val="24"/>
      <w:szCs w:val="20"/>
    </w:rPr>
  </w:style>
  <w:style w:type="paragraph" w:customStyle="1" w:styleId="24">
    <w:name w:val="Table Paragraph"/>
    <w:basedOn w:val="1"/>
    <w:autoRedefine/>
    <w:qFormat/>
    <w:uiPriority w:val="0"/>
    <w:pPr>
      <w:autoSpaceDE w:val="0"/>
      <w:autoSpaceDN w:val="0"/>
      <w:jc w:val="left"/>
    </w:pPr>
    <w:rPr>
      <w:rFonts w:ascii="宋体" w:hAnsi="宋体" w:cs="宋体"/>
      <w:kern w:val="0"/>
      <w:sz w:val="22"/>
      <w:szCs w:val="22"/>
    </w:rPr>
  </w:style>
  <w:style w:type="paragraph" w:customStyle="1" w:styleId="25">
    <w:name w:val="x-scope"/>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26">
    <w:name w:val="qowt-font5-gb2312"/>
    <w:qFormat/>
    <w:uiPriority w:val="0"/>
  </w:style>
  <w:style w:type="paragraph" w:customStyle="1" w:styleId="27">
    <w:name w:val="正文 New New New New New"/>
    <w:autoRedefine/>
    <w:qFormat/>
    <w:uiPriority w:val="0"/>
    <w:pPr>
      <w:widowControl w:val="0"/>
      <w:jc w:val="both"/>
    </w:pPr>
    <w:rPr>
      <w:rFonts w:ascii="等线" w:hAnsi="等线" w:eastAsia="等线" w:cs="等线"/>
      <w:kern w:val="2"/>
      <w:sz w:val="21"/>
      <w:szCs w:val="24"/>
      <w:lang w:val="en-US" w:eastAsia="zh-CN" w:bidi="ar-SA"/>
    </w:rPr>
  </w:style>
  <w:style w:type="paragraph" w:customStyle="1" w:styleId="28">
    <w:name w:val="列出段落1"/>
    <w:basedOn w:val="1"/>
    <w:autoRedefine/>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38564</Words>
  <Characters>41158</Characters>
  <Lines>0</Lines>
  <Paragraphs>0</Paragraphs>
  <TotalTime>0</TotalTime>
  <ScaleCrop>false</ScaleCrop>
  <LinksUpToDate>false</LinksUpToDate>
  <CharactersWithSpaces>43100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2023-11-11T12:59:00Z</dcterms:created>
  <dc:creator>姬崽</dc:creator>
  <cp:lastModifiedBy>YDZB</cp:lastModifiedBy>
  <dcterms:modified xsi:type="dcterms:W3CDTF">2024-04-25T06:50:13Z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8224269737DF4D17B0D6DFE97BC9763F</vt:lpwstr>
  </property>
</Properties>
</file>