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18"/>
        <w:ind w:firstLine="420"/>
        <w:rPr>
          <w:rFonts w:hint="eastAsia" w:ascii="宋体" w:hAnsi="宋体" w:cs="宋体"/>
          <w:color w:val="000000" w:themeColor="text1"/>
          <w14:textFill>
            <w14:solidFill>
              <w14:schemeClr w14:val="tx1"/>
            </w14:solidFill>
          </w14:textFill>
        </w:rPr>
      </w:pPr>
    </w:p>
    <w:p>
      <w:pPr>
        <w:pStyle w:val="18"/>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lang w:eastAsia="zh-CN"/>
          <w14:textFill>
            <w14:solidFill>
              <w14:schemeClr w14:val="tx1"/>
            </w14:solidFill>
          </w14:textFill>
        </w:rPr>
        <w:t>QH2024003</w:t>
      </w:r>
    </w:p>
    <w:p>
      <w:pPr>
        <w:pStyle w:val="18"/>
        <w:ind w:firstLine="420"/>
        <w:rPr>
          <w:rFonts w:hint="eastAsia" w:ascii="宋体" w:hAnsi="宋体" w:cs="宋体"/>
          <w:color w:val="000000" w:themeColor="text1"/>
          <w14:textFill>
            <w14:solidFill>
              <w14:schemeClr w14:val="tx1"/>
            </w14:solidFill>
          </w14:textFill>
        </w:rPr>
      </w:pPr>
    </w:p>
    <w:p>
      <w:pPr>
        <w:pStyle w:val="18"/>
        <w:ind w:firstLine="420"/>
        <w:rPr>
          <w:rFonts w:hint="eastAsia" w:ascii="宋体" w:hAnsi="宋体" w:cs="宋体"/>
          <w:color w:val="000000" w:themeColor="text1"/>
          <w14:textFill>
            <w14:solidFill>
              <w14:schemeClr w14:val="tx1"/>
            </w14:solidFill>
          </w14:textFill>
        </w:rPr>
      </w:pPr>
    </w:p>
    <w:p>
      <w:pPr>
        <w:pStyle w:val="18"/>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2024年前海合作区外资数据统计分析服务项目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3"/>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0"/>
        <w:tabs>
          <w:tab w:val="right" w:leader="dot" w:pos="8306"/>
        </w:tabs>
        <w:spacing w:line="480" w:lineRule="auto"/>
        <w:rPr>
          <w:b/>
          <w:bCs/>
          <w:color w:val="000000" w:themeColor="text1"/>
          <w:sz w:val="24"/>
          <w:szCs w:val="32"/>
          <w14:textFill>
            <w14:solidFill>
              <w14:schemeClr w14:val="tx1"/>
            </w14:solidFill>
          </w14:textFill>
        </w:rPr>
      </w:pP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0"/>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文件编码:0722-2023FE</w:t>
      </w:r>
      <w:r>
        <w:rPr>
          <w:rFonts w:hint="eastAsia" w:ascii="宋体" w:hAnsi="宋体" w:cs="宋体"/>
          <w:color w:val="000000" w:themeColor="text1"/>
          <w:sz w:val="24"/>
          <w:lang w:val="en-US" w:eastAsia="zh-CN"/>
          <w14:textFill>
            <w14:solidFill>
              <w14:schemeClr w14:val="tx1"/>
            </w14:solidFill>
          </w14:textFill>
        </w:rPr>
        <w:t>6476</w:t>
      </w:r>
      <w:r>
        <w:rPr>
          <w:rFonts w:hint="eastAsia" w:ascii="宋体" w:hAnsi="宋体" w:cs="宋体"/>
          <w:color w:val="000000" w:themeColor="text1"/>
          <w:sz w:val="24"/>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2024年前海合作区外资数据统计分析服务项目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QH2024003</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QH2024003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2024年前海合作区外资数据统计分析服务项目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外资数据是前海经济运行的重要统计数据。前海合作区扩区后，进一步拓展了前海合作区经济运行数据的统计范围与服务内容。为落实《全面深化前海深港现代服务业合作区改革开放方案》有关要求，亟需做好前海合作区外资经济运行分析和统计工作，全面掌握扩区后前海合作区外资数据结构与经济运行特征，动态掌握区内企业发展情况，分析挖掘现行经济发展的亮点和问题，为科学决策提供数据支持和分析服务，有力推动前海深港现代服务业合作区经济高质量</w:t>
            </w:r>
            <w:r>
              <w:rPr>
                <w:rFonts w:hint="eastAsia" w:ascii="宋体" w:hAnsi="宋体" w:cs="宋体"/>
                <w:color w:val="000000" w:themeColor="text1"/>
                <w:sz w:val="24"/>
                <w:lang w:val="en-US" w:eastAsia="zh-CN"/>
                <w14:textFill>
                  <w14:solidFill>
                    <w14:schemeClr w14:val="tx1"/>
                  </w14:solidFill>
                </w14:textFill>
              </w:rPr>
              <w:t>发展</w:t>
            </w:r>
            <w:r>
              <w:rPr>
                <w:rFonts w:hint="eastAsia" w:ascii="宋体" w:hAnsi="宋体" w:cs="宋体"/>
                <w:color w:val="000000" w:themeColor="text1"/>
                <w:sz w:val="24"/>
                <w:highlight w:val="none"/>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529,50</w:t>
            </w:r>
            <w:r>
              <w:rPr>
                <w:rFonts w:hint="eastAsia" w:ascii="宋体" w:hAnsi="宋体" w:cs="宋体"/>
                <w:color w:val="000000" w:themeColor="text1"/>
                <w:sz w:val="24"/>
                <w:lang w:eastAsia="zh-CN"/>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伍拾贰万玖仟伍佰</w:t>
            </w:r>
            <w:r>
              <w:rPr>
                <w:rFonts w:hint="eastAsia" w:ascii="宋体" w:hAnsi="宋体" w:cs="宋体"/>
                <w:color w:val="000000" w:themeColor="text1"/>
                <w:sz w:val="24"/>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3</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28</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30时</w:t>
            </w:r>
            <w:r>
              <w:rPr>
                <w:rFonts w:hint="eastAsia" w:ascii="宋体" w:hAnsi="宋体" w:cs="宋体"/>
                <w:b/>
                <w:bCs/>
                <w:color w:val="000000" w:themeColor="text1"/>
                <w:kern w:val="0"/>
                <w:sz w:val="24"/>
                <w14:textFill>
                  <w14:solidFill>
                    <w14:schemeClr w14:val="tx1"/>
                  </w14:solidFill>
                </w14:textFill>
              </w:rPr>
              <w:t>（北京时间）</w:t>
            </w:r>
            <w:r>
              <w:rPr>
                <w:rFonts w:hint="eastAsia" w:ascii="宋体" w:hAnsi="宋体" w:cs="宋体"/>
                <w:color w:val="000000" w:themeColor="text1"/>
                <w:kern w:val="0"/>
                <w:sz w:val="24"/>
                <w14:textFill>
                  <w14:solidFill>
                    <w14:schemeClr w14:val="tx1"/>
                  </w14:solidFill>
                </w14:textFill>
              </w:rPr>
              <w:t>前送达（现场递交或邮寄）</w:t>
            </w:r>
            <w:r>
              <w:rPr>
                <w:rFonts w:hint="eastAsia" w:ascii="宋体" w:hAnsi="宋体" w:cs="宋体"/>
                <w:color w:val="000000" w:themeColor="text1"/>
                <w:kern w:val="0"/>
                <w:sz w:val="24"/>
                <w:u w:val="none"/>
                <w14:textFill>
                  <w14:solidFill>
                    <w14:schemeClr w14:val="tx1"/>
                  </w14:solidFill>
                </w14:textFill>
              </w:rPr>
              <w:t>至深圳市南</w:t>
            </w:r>
            <w:r>
              <w:rPr>
                <w:rFonts w:hint="eastAsia" w:ascii="宋体" w:hAnsi="宋体" w:cs="宋体"/>
                <w:color w:val="000000" w:themeColor="text1"/>
                <w:kern w:val="0"/>
                <w:sz w:val="24"/>
                <w14:textFill>
                  <w14:solidFill>
                    <w14:schemeClr w14:val="tx1"/>
                  </w14:solidFill>
                </w14:textFill>
              </w:rPr>
              <w:t>山区前海深港合作区桂湾五路123号前海管理局前海大厦T1栋</w:t>
            </w:r>
            <w:r>
              <w:rPr>
                <w:rFonts w:hint="eastAsia" w:ascii="宋体" w:hAnsi="宋体" w:cs="宋体"/>
                <w:color w:val="000000" w:themeColor="text1"/>
                <w:kern w:val="0"/>
                <w:sz w:val="24"/>
                <w:highlight w:val="none"/>
                <w:u w:val="none"/>
                <w:lang w:val="en-US" w:eastAsia="zh-CN"/>
                <w14:textFill>
                  <w14:solidFill>
                    <w14:schemeClr w14:val="tx1"/>
                  </w14:solidFill>
                </w14:textFill>
              </w:rPr>
              <w:t>2413</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eastAsia" w:ascii="宋体" w:hAnsi="宋体" w:cs="宋体"/>
                <w:color w:val="000000" w:themeColor="text1"/>
                <w:kern w:val="0"/>
                <w:sz w:val="24"/>
                <w:lang w:eastAsia="zh-CN"/>
                <w14:textFill>
                  <w14:solidFill>
                    <w14:schemeClr w14:val="tx1"/>
                  </w14:solidFill>
                </w14:textFill>
              </w:rPr>
              <w:t>王</w:t>
            </w:r>
            <w:r>
              <w:rPr>
                <w:rFonts w:hint="eastAsia" w:ascii="宋体" w:hAnsi="宋体" w:cs="宋体"/>
                <w:color w:val="000000" w:themeColor="text1"/>
                <w:kern w:val="0"/>
                <w:sz w:val="24"/>
                <w14:textFill>
                  <w14:solidFill>
                    <w14:schemeClr w14:val="tx1"/>
                  </w14:solidFill>
                </w14:textFill>
              </w:rPr>
              <w:t>女士</w:t>
            </w:r>
          </w:p>
          <w:p>
            <w:pPr>
              <w:adjustRightInd w:val="0"/>
              <w:snapToGrid w:val="0"/>
              <w:spacing w:line="360" w:lineRule="auto"/>
              <w:jc w:val="left"/>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eastAsia" w:ascii="宋体" w:hAnsi="宋体" w:cs="宋体"/>
                <w:color w:val="000000" w:themeColor="text1"/>
                <w:kern w:val="0"/>
                <w:sz w:val="24"/>
                <w:lang w:val="en-US" w:eastAsia="zh-CN"/>
                <w14:textFill>
                  <w14:solidFill>
                    <w14:schemeClr w14:val="tx1"/>
                  </w14:solidFill>
                </w14:textFill>
              </w:rPr>
              <w:t>0755-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881052</w:t>
            </w:r>
            <w:r>
              <w:rPr>
                <w:rFonts w:hint="eastAsia" w:ascii="宋体" w:hAnsi="宋体" w:cs="宋体"/>
                <w:color w:val="000000" w:themeColor="text1"/>
                <w:kern w:val="0"/>
                <w:sz w:val="24"/>
                <w:szCs w:val="24"/>
                <w:highlight w:val="none"/>
                <w:lang w:val="en-US" w:eastAsia="zh-CN"/>
                <w14:textFill>
                  <w14:solidFill>
                    <w14:schemeClr w14:val="tx1"/>
                  </w14:solidFill>
                </w14:textFill>
              </w:rPr>
              <w:t>48</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52.95</w:t>
            </w:r>
            <w:r>
              <w:rPr>
                <w:rFonts w:hint="eastAsia" w:ascii="宋体" w:hAnsi="宋体" w:cs="宋体"/>
                <w:color w:val="000000" w:themeColor="text1"/>
                <w:sz w:val="24"/>
                <w:lang w:eastAsia="zh-CN"/>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color w:val="000000" w:themeColor="text1"/>
                <w:kern w:val="0"/>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kern w:val="0"/>
                <w:sz w:val="24"/>
                <w:lang w:val="en-US" w:eastAsia="zh-CN"/>
                <w14:textFill>
                  <w14:solidFill>
                    <w14:schemeClr w14:val="tx1"/>
                  </w14:solidFill>
                </w14:textFill>
              </w:rPr>
              <w:t>但不限于</w:t>
            </w:r>
            <w:r>
              <w:rPr>
                <w:rFonts w:hint="eastAsia" w:ascii="宋体" w:hAnsi="宋体" w:cs="宋体"/>
                <w:color w:val="000000" w:themeColor="text1"/>
                <w:kern w:val="0"/>
                <w:sz w:val="24"/>
                <w:lang w:eastAsia="zh-CN"/>
                <w14:textFill>
                  <w14:solidFill>
                    <w14:schemeClr w14:val="tx1"/>
                  </w14:solidFill>
                </w14:textFill>
              </w:rPr>
              <w:t>数据采购费、数据系统费、</w:t>
            </w:r>
            <w:r>
              <w:rPr>
                <w:rFonts w:hint="eastAsia" w:ascii="宋体" w:hAnsi="宋体" w:cs="宋体"/>
                <w:color w:val="000000" w:themeColor="text1"/>
                <w:kern w:val="0"/>
                <w:sz w:val="24"/>
                <w:lang w:val="en-US" w:eastAsia="zh-CN"/>
                <w14:textFill>
                  <w14:solidFill>
                    <w14:schemeClr w14:val="tx1"/>
                  </w14:solidFill>
                </w14:textFill>
              </w:rPr>
              <w:t>投标人</w:t>
            </w:r>
            <w:r>
              <w:rPr>
                <w:rFonts w:hint="eastAsia" w:ascii="宋体" w:hAnsi="宋体" w:cs="宋体"/>
                <w:color w:val="000000" w:themeColor="text1"/>
                <w:kern w:val="0"/>
                <w:sz w:val="24"/>
                <w:lang w:eastAsia="zh-CN"/>
                <w14:textFill>
                  <w14:solidFill>
                    <w14:schemeClr w14:val="tx1"/>
                  </w14:solidFill>
                </w14:textFill>
              </w:rPr>
              <w:t>工作人员成本、中标服务费、资料费、通讯费、交通费、税金、后续服务、利润等所有费用，并提供合同要求的成果文件，以及其它相关服务的全部费用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u w:val="none"/>
                <w:lang w:eastAsia="zh-CN"/>
                <w14:textFill>
                  <w14:solidFill>
                    <w14:schemeClr w14:val="tx1"/>
                  </w14:solidFill>
                </w14:textFill>
              </w:rPr>
              <w:t>王</w:t>
            </w:r>
            <w:r>
              <w:rPr>
                <w:rFonts w:hint="eastAsia" w:ascii="宋体" w:hAnsi="宋体" w:cs="宋体"/>
                <w:color w:val="000000" w:themeColor="text1"/>
                <w:kern w:val="0"/>
                <w:sz w:val="24"/>
                <w:u w:val="none"/>
                <w14:textFill>
                  <w14:solidFill>
                    <w14:schemeClr w14:val="tx1"/>
                  </w14:solidFill>
                </w14:textFill>
              </w:rPr>
              <w:t>女士</w:t>
            </w:r>
          </w:p>
          <w:p>
            <w:pPr>
              <w:spacing w:line="360" w:lineRule="auto"/>
              <w:rPr>
                <w:rFonts w:hint="eastAsia" w:ascii="宋体" w:hAnsi="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话：0755-881052</w:t>
            </w:r>
            <w:r>
              <w:rPr>
                <w:rFonts w:hint="eastAsia" w:ascii="宋体" w:hAnsi="宋体" w:cs="宋体"/>
                <w:color w:val="000000" w:themeColor="text1"/>
                <w:kern w:val="0"/>
                <w:sz w:val="24"/>
                <w:u w:val="none"/>
                <w:lang w:val="en-US" w:eastAsia="zh-CN"/>
                <w14:textFill>
                  <w14:solidFill>
                    <w14:schemeClr w14:val="tx1"/>
                  </w14:solidFill>
                </w14:textFill>
              </w:rPr>
              <w:t>48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0755-82078919、82077364转1</w:t>
            </w:r>
            <w:r>
              <w:rPr>
                <w:rFonts w:hint="eastAsia" w:ascii="宋体" w:hAnsi="宋体" w:cs="宋体"/>
                <w:color w:val="000000" w:themeColor="text1"/>
                <w:kern w:val="0"/>
                <w:sz w:val="24"/>
                <w:lang w:val="en-US" w:eastAsia="zh-CN"/>
                <w14:textFill>
                  <w14:solidFill>
                    <w14:schemeClr w14:val="tx1"/>
                  </w14:solidFill>
                </w14:textFill>
              </w:rPr>
              <w:t>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2024年前海合作区外资数据统计分析服务项目</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18"/>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日下午14:30时（北京时间）。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3"/>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84303603"/>
      <w:bookmarkStart w:id="7" w:name="_Toc73521680"/>
      <w:bookmarkStart w:id="8" w:name="_Toc73517685"/>
      <w:bookmarkStart w:id="9" w:name="_Toc73518163"/>
      <w:bookmarkStart w:id="10" w:name="_Toc101074886"/>
      <w:bookmarkStart w:id="11" w:name="_Toc100052414"/>
      <w:bookmarkStart w:id="12" w:name="_Toc73521592"/>
    </w:p>
    <w:bookmarkEnd w:id="6"/>
    <w:bookmarkEnd w:id="7"/>
    <w:bookmarkEnd w:id="8"/>
    <w:bookmarkEnd w:id="9"/>
    <w:bookmarkEnd w:id="10"/>
    <w:bookmarkEnd w:id="11"/>
    <w:bookmarkEnd w:id="12"/>
    <w:p>
      <w:pPr>
        <w:pStyle w:val="18"/>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18"/>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18"/>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18"/>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18"/>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2024年前海合作区外资数据统计分析服务项目</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8"/>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18"/>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2024年前海合作区外资数据统计分析服务项目</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w:t>
      </w:r>
      <w:bookmarkStart w:id="29" w:name="_GoBack"/>
      <w:bookmarkEnd w:id="29"/>
      <w:r>
        <w:rPr>
          <w:rFonts w:hint="eastAsia" w:ascii="宋体" w:hAnsi="宋体" w:cs="宋体"/>
          <w:color w:val="000000" w:themeColor="text1"/>
          <w:sz w:val="24"/>
          <w14:textFill>
            <w14:solidFill>
              <w14:schemeClr w14:val="tx1"/>
            </w14:solidFill>
          </w14:textFill>
        </w:rPr>
        <w:t>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val="en-US" w:eastAsia="zh-CN"/>
          <w14:textFill>
            <w14:solidFill>
              <w14:schemeClr w14:val="tx1"/>
            </w14:solidFill>
          </w14:textFill>
        </w:rPr>
        <w:t>QH2024003</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b w:val="0"/>
          <w:bCs w:val="0"/>
          <w:color w:val="000000" w:themeColor="text1"/>
          <w:kern w:val="0"/>
          <w:sz w:val="24"/>
          <w:u w:val="single"/>
          <w:lang w:eastAsia="zh-CN"/>
          <w14:textFill>
            <w14:solidFill>
              <w14:schemeClr w14:val="tx1"/>
            </w14:solidFill>
          </w14:textFill>
        </w:rPr>
        <w:t>2024年前海合作区外资数据统计分析服务项目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第一条 项目内容</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r>
        <w:rPr>
          <w:rFonts w:hint="eastAsia" w:ascii="宋体" w:hAnsi="宋体" w:eastAsia="宋体" w:cs="宋体"/>
          <w:color w:val="000000" w:themeColor="text1"/>
          <w:sz w:val="24"/>
          <w14:textFill>
            <w14:solidFill>
              <w14:schemeClr w14:val="tx1"/>
            </w14:solidFill>
          </w14:textFill>
        </w:rPr>
        <w:t>目名称：</w:t>
      </w:r>
      <w:r>
        <w:rPr>
          <w:rFonts w:hint="eastAsia" w:ascii="宋体" w:hAnsi="宋体" w:cs="宋体"/>
          <w:b w:val="0"/>
          <w:bCs w:val="0"/>
          <w:color w:val="000000" w:themeColor="text1"/>
          <w:sz w:val="24"/>
          <w:szCs w:val="24"/>
          <w:lang w:val="zh-CN"/>
          <w14:textFill>
            <w14:solidFill>
              <w14:schemeClr w14:val="tx1"/>
            </w14:solidFill>
          </w14:textFill>
        </w:rPr>
        <w:t>2024年前海合作区外资数据统计分析服务项目</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1.项目</w:t>
      </w:r>
      <w:r>
        <w:rPr>
          <w:rFonts w:hint="eastAsia" w:ascii="宋体" w:hAnsi="宋体" w:cs="宋体"/>
          <w:b/>
          <w:bCs/>
          <w:color w:val="000000" w:themeColor="text1"/>
          <w:sz w:val="24"/>
          <w14:textFill>
            <w14:solidFill>
              <w14:schemeClr w14:val="tx1"/>
            </w14:solidFill>
          </w14:textFill>
        </w:rPr>
        <w:t>内容</w:t>
      </w:r>
    </w:p>
    <w:p>
      <w:pPr>
        <w:pStyle w:val="11"/>
        <w:spacing w:before="0" w:beforeAutospacing="0" w:after="0" w:afterAutospacing="0" w:line="360" w:lineRule="auto"/>
        <w:ind w:firstLine="482" w:firstLineChars="20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lang w:val="en-US"/>
          <w14:textFill>
            <w14:solidFill>
              <w14:schemeClr w14:val="tx1"/>
            </w14:solidFill>
          </w14:textFill>
        </w:rPr>
        <w:t>协助建立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外资、港资企业</w:t>
      </w:r>
      <w:r>
        <w:rPr>
          <w:rFonts w:hint="eastAsia" w:ascii="宋体" w:hAnsi="宋体" w:eastAsia="宋体" w:cs="宋体"/>
          <w:b/>
          <w:bCs/>
          <w:color w:val="000000" w:themeColor="text1"/>
          <w:sz w:val="24"/>
          <w:szCs w:val="24"/>
          <w:highlight w:val="none"/>
          <w14:textFill>
            <w14:solidFill>
              <w14:schemeClr w14:val="tx1"/>
            </w14:solidFill>
          </w14:textFill>
        </w:rPr>
        <w:t>名录库</w:t>
      </w:r>
    </w:p>
    <w:p>
      <w:pPr>
        <w:spacing w:line="360" w:lineRule="auto"/>
        <w:ind w:firstLine="480" w:firstLineChars="200"/>
        <w:rPr>
          <w:rFonts w:hint="eastAsia" w:ascii="宋体" w:hAnsi="宋体" w:eastAsia="宋体" w:cs="宋体"/>
          <w:color w:val="000000" w:themeColor="text1"/>
          <w:kern w:val="2"/>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（1）协助采集</w:t>
      </w:r>
      <w:r>
        <w:rPr>
          <w:rFonts w:hint="eastAsia" w:ascii="宋体" w:hAnsi="宋体" w:eastAsia="宋体" w:cs="宋体"/>
          <w:color w:val="000000" w:themeColor="text1"/>
          <w:kern w:val="2"/>
          <w:sz w:val="24"/>
          <w:szCs w:val="24"/>
          <w:highlight w:val="none"/>
          <w:lang w:val="zh-CN"/>
          <w14:textFill>
            <w14:solidFill>
              <w14:schemeClr w14:val="tx1"/>
            </w14:solidFill>
          </w14:textFill>
        </w:rPr>
        <w:t>外资企业数据，按月向市商务局、南山区工信局、宝安区工信局等获取前海最新的外资、港资企业名单</w:t>
      </w: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，及时核对校验。</w:t>
      </w:r>
    </w:p>
    <w:p>
      <w:pPr>
        <w:spacing w:line="360" w:lineRule="auto"/>
        <w:ind w:firstLine="480" w:firstLineChars="200"/>
        <w:rPr>
          <w:rFonts w:hint="eastAsia" w:ascii="宋体" w:hAnsi="宋体" w:eastAsia="宋体" w:cs="宋体"/>
          <w:color w:val="000000" w:themeColor="text1"/>
          <w:kern w:val="2"/>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（2）协助</w:t>
      </w:r>
      <w:r>
        <w:rPr>
          <w:rFonts w:hint="eastAsia" w:ascii="宋体" w:hAnsi="宋体" w:eastAsia="宋体" w:cs="宋体"/>
          <w:color w:val="000000" w:themeColor="text1"/>
          <w:kern w:val="2"/>
          <w:sz w:val="24"/>
          <w:szCs w:val="24"/>
          <w:highlight w:val="none"/>
          <w:lang w:val="zh-CN"/>
          <w14:textFill>
            <w14:solidFill>
              <w14:schemeClr w14:val="tx1"/>
            </w14:solidFill>
          </w14:textFill>
        </w:rPr>
        <w:t>完善前海的外资、港资企业名录库</w:t>
      </w:r>
      <w:r>
        <w:rPr>
          <w:rFonts w:hint="eastAsia" w:ascii="宋体" w:hAnsi="宋体" w:eastAsia="宋体" w:cs="宋体"/>
          <w:color w:val="000000" w:themeColor="text1"/>
          <w:kern w:val="2"/>
          <w:sz w:val="24"/>
          <w:szCs w:val="24"/>
          <w:lang w:val="zh-CN" w:eastAsia="zh-CN"/>
          <w14:textFill>
            <w14:solidFill>
              <w14:schemeClr w14:val="tx1"/>
            </w14:solidFill>
          </w14:textFill>
        </w:rPr>
        <w:t>。</w:t>
      </w:r>
    </w:p>
    <w:p>
      <w:pPr>
        <w:pStyle w:val="11"/>
        <w:spacing w:before="0" w:beforeAutospacing="0" w:after="0" w:afterAutospacing="0" w:line="360" w:lineRule="auto"/>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lang w:val="en-US"/>
          <w14:textFill>
            <w14:solidFill>
              <w14:schemeClr w14:val="tx1"/>
            </w14:solidFill>
          </w14:textFill>
        </w:rPr>
        <w:t>统计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信息</w:t>
      </w:r>
      <w:r>
        <w:rPr>
          <w:rFonts w:hint="eastAsia" w:ascii="宋体" w:hAnsi="宋体" w:eastAsia="宋体" w:cs="宋体"/>
          <w:b/>
          <w:bCs/>
          <w:color w:val="000000" w:themeColor="text1"/>
          <w:sz w:val="24"/>
          <w:szCs w:val="24"/>
          <w:highlight w:val="none"/>
          <w:lang w:val="en-US"/>
          <w14:textFill>
            <w14:solidFill>
              <w14:schemeClr w14:val="tx1"/>
            </w14:solidFill>
          </w14:textFill>
        </w:rPr>
        <w:t>汇总</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、上报</w:t>
      </w:r>
      <w:r>
        <w:rPr>
          <w:rFonts w:hint="eastAsia" w:ascii="宋体" w:hAnsi="宋体" w:eastAsia="宋体" w:cs="宋体"/>
          <w:b/>
          <w:bCs/>
          <w:color w:val="000000" w:themeColor="text1"/>
          <w:sz w:val="24"/>
          <w:szCs w:val="24"/>
          <w:highlight w:val="none"/>
          <w:lang w:val="en-US"/>
          <w14:textFill>
            <w14:solidFill>
              <w14:schemeClr w14:val="tx1"/>
            </w14:solidFill>
          </w14:textFill>
        </w:rPr>
        <w:t>等有关工作</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）企业到资凭证的催缴和</w:t>
      </w:r>
      <w:r>
        <w:rPr>
          <w:rFonts w:hint="eastAsia" w:ascii="宋体" w:hAnsi="宋体" w:eastAsia="宋体" w:cs="宋体"/>
          <w:color w:val="000000" w:themeColor="text1"/>
          <w:sz w:val="24"/>
          <w:szCs w:val="24"/>
          <w:highlight w:val="none"/>
          <w:lang w:val="zh-CN" w:eastAsia="zh-CN"/>
          <w14:textFill>
            <w14:solidFill>
              <w14:schemeClr w14:val="tx1"/>
            </w14:solidFill>
          </w14:textFill>
        </w:rPr>
        <w:t>信息管理</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配合</w:t>
      </w:r>
      <w:r>
        <w:rPr>
          <w:rFonts w:hint="eastAsia" w:ascii="宋体" w:hAnsi="宋体" w:eastAsia="宋体" w:cs="宋体"/>
          <w:color w:val="000000" w:themeColor="text1"/>
          <w:sz w:val="24"/>
          <w:szCs w:val="24"/>
          <w:highlight w:val="none"/>
          <w:lang w:val="zh-CN"/>
          <w14:textFill>
            <w14:solidFill>
              <w14:schemeClr w14:val="tx1"/>
            </w14:solidFill>
          </w14:textFill>
        </w:rPr>
        <w:t>按月向市商务局或市外汇管理局获取企业到资信息，</w:t>
      </w:r>
      <w:r>
        <w:rPr>
          <w:rFonts w:hint="eastAsia" w:ascii="宋体" w:hAnsi="宋体" w:cs="宋体"/>
          <w:color w:val="000000" w:themeColor="text1"/>
          <w:sz w:val="24"/>
          <w:szCs w:val="24"/>
          <w:highlight w:val="none"/>
          <w:lang w:val="zh-CN"/>
          <w14:textFill>
            <w14:solidFill>
              <w14:schemeClr w14:val="tx1"/>
            </w14:solidFill>
          </w14:textFill>
        </w:rPr>
        <w:t>协助</w:t>
      </w:r>
      <w:r>
        <w:rPr>
          <w:rFonts w:hint="eastAsia" w:ascii="宋体" w:hAnsi="宋体" w:eastAsia="宋体" w:cs="宋体"/>
          <w:color w:val="000000" w:themeColor="text1"/>
          <w:sz w:val="24"/>
          <w:szCs w:val="24"/>
          <w:highlight w:val="none"/>
          <w:lang w:val="zh-CN"/>
          <w14:textFill>
            <w14:solidFill>
              <w14:schemeClr w14:val="tx1"/>
            </w14:solidFill>
          </w14:textFill>
        </w:rPr>
        <w:t>向企业催缴到资凭证，对未提交到资凭证的企业进行多次催缴，直至企业完整且正确提交到资凭证，整理到资凭证，做好相关信息台账化管理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）实际使用外资上报</w:t>
      </w:r>
    </w:p>
    <w:p>
      <w:pPr>
        <w:spacing w:line="360" w:lineRule="auto"/>
        <w:ind w:firstLine="480" w:firstLineChars="200"/>
        <w:rPr>
          <w:rFonts w:hint="eastAsia" w:ascii="宋体" w:hAnsi="宋体" w:eastAsia="宋体" w:cs="宋体"/>
          <w:color w:val="000000" w:themeColor="text1"/>
          <w:kern w:val="2"/>
          <w:sz w:val="24"/>
          <w:szCs w:val="24"/>
          <w:lang w:val="zh-CN" w:eastAsia="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协助</w:t>
      </w:r>
      <w:r>
        <w:rPr>
          <w:rFonts w:hint="eastAsia" w:ascii="宋体" w:hAnsi="宋体" w:eastAsia="宋体" w:cs="宋体"/>
          <w:color w:val="000000" w:themeColor="text1"/>
          <w:sz w:val="24"/>
          <w:szCs w:val="24"/>
          <w:highlight w:val="none"/>
          <w:lang w:val="zh-CN"/>
          <w14:textFill>
            <w14:solidFill>
              <w14:schemeClr w14:val="tx1"/>
            </w14:solidFill>
          </w14:textFill>
        </w:rPr>
        <w:t>获取全市及市内各区实际使用外资趋势，</w:t>
      </w:r>
      <w:r>
        <w:rPr>
          <w:rFonts w:hint="eastAsia" w:ascii="宋体" w:hAnsi="宋体" w:cs="宋体"/>
          <w:color w:val="000000" w:themeColor="text1"/>
          <w:sz w:val="24"/>
          <w:szCs w:val="24"/>
          <w:highlight w:val="none"/>
          <w:lang w:val="zh-CN"/>
          <w14:textFill>
            <w14:solidFill>
              <w14:schemeClr w14:val="tx1"/>
            </w14:solidFill>
          </w14:textFill>
        </w:rPr>
        <w:t>配合</w:t>
      </w:r>
      <w:r>
        <w:rPr>
          <w:rFonts w:hint="eastAsia" w:ascii="宋体" w:hAnsi="宋体" w:eastAsia="宋体" w:cs="宋体"/>
          <w:color w:val="000000" w:themeColor="text1"/>
          <w:sz w:val="24"/>
          <w:szCs w:val="24"/>
          <w:highlight w:val="none"/>
          <w:lang w:val="zh-CN"/>
          <w14:textFill>
            <w14:solidFill>
              <w14:schemeClr w14:val="tx1"/>
            </w14:solidFill>
          </w14:textFill>
        </w:rPr>
        <w:t>按月度在规定时间内录入上报当月数据，</w:t>
      </w:r>
      <w:r>
        <w:rPr>
          <w:rFonts w:hint="eastAsia" w:ascii="宋体" w:hAnsi="宋体" w:cs="宋体"/>
          <w:color w:val="000000" w:themeColor="text1"/>
          <w:sz w:val="24"/>
          <w:szCs w:val="24"/>
          <w:highlight w:val="none"/>
          <w:lang w:val="zh-CN"/>
          <w14:textFill>
            <w14:solidFill>
              <w14:schemeClr w14:val="tx1"/>
            </w14:solidFill>
          </w14:textFill>
        </w:rPr>
        <w:t>配合</w:t>
      </w:r>
      <w:r>
        <w:rPr>
          <w:rFonts w:hint="eastAsia" w:ascii="宋体" w:hAnsi="宋体" w:eastAsia="宋体" w:cs="宋体"/>
          <w:color w:val="000000" w:themeColor="text1"/>
          <w:sz w:val="24"/>
          <w:szCs w:val="24"/>
          <w:highlight w:val="none"/>
          <w:lang w:val="zh-CN"/>
          <w14:textFill>
            <w14:solidFill>
              <w14:schemeClr w14:val="tx1"/>
            </w14:solidFill>
          </w14:textFill>
        </w:rPr>
        <w:t>与上级部门对接好实际使用外资相关工作，确保应统尽统，在完成数据上报后整理更新初步实际使用数据简报</w:t>
      </w:r>
      <w:r>
        <w:rPr>
          <w:rFonts w:hint="eastAsia" w:ascii="宋体" w:hAnsi="宋体" w:eastAsia="宋体" w:cs="宋体"/>
          <w:color w:val="000000" w:themeColor="text1"/>
          <w:kern w:val="2"/>
          <w:sz w:val="24"/>
          <w:szCs w:val="24"/>
          <w:lang w:val="zh-CN" w:eastAsia="zh-CN"/>
          <w14:textFill>
            <w14:solidFill>
              <w14:schemeClr w14:val="tx1"/>
            </w14:solidFill>
          </w14:textFill>
        </w:rPr>
        <w:t>。</w:t>
      </w:r>
    </w:p>
    <w:p>
      <w:pPr>
        <w:pStyle w:val="11"/>
        <w:widowControl/>
        <w:spacing w:beforeAutospacing="0" w:afterAutospacing="0"/>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b/>
          <w:bCs/>
          <w:color w:val="000000" w:themeColor="text1"/>
          <w:sz w:val="24"/>
          <w:szCs w:val="24"/>
          <w:highlight w:val="none"/>
          <w14:textFill>
            <w14:solidFill>
              <w14:schemeClr w14:val="tx1"/>
            </w14:solidFill>
          </w14:textFill>
        </w:rPr>
        <w:t>统计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分析外资</w:t>
      </w:r>
      <w:r>
        <w:rPr>
          <w:rFonts w:hint="eastAsia" w:ascii="宋体" w:hAnsi="宋体" w:eastAsia="宋体" w:cs="宋体"/>
          <w:b/>
          <w:bCs/>
          <w:color w:val="000000" w:themeColor="text1"/>
          <w:sz w:val="24"/>
          <w:szCs w:val="24"/>
          <w:highlight w:val="none"/>
          <w14:textFill>
            <w14:solidFill>
              <w14:schemeClr w14:val="tx1"/>
            </w14:solidFill>
          </w14:textFill>
        </w:rPr>
        <w:t>数据</w:t>
      </w:r>
      <w:r>
        <w:rPr>
          <w:rFonts w:hint="eastAsia" w:ascii="宋体" w:hAnsi="宋体" w:eastAsia="宋体" w:cs="宋体"/>
          <w:b/>
          <w:bCs/>
          <w:color w:val="000000" w:themeColor="text1"/>
          <w:sz w:val="24"/>
          <w:szCs w:val="24"/>
          <w:highlight w:val="none"/>
          <w:lang w:eastAsia="zh-CN"/>
          <w14:textFill>
            <w14:solidFill>
              <w14:schemeClr w14:val="tx1"/>
            </w14:solidFill>
          </w14:textFill>
        </w:rPr>
        <w:t>、简报报送</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配合</w:t>
      </w:r>
      <w:r>
        <w:rPr>
          <w:rFonts w:hint="eastAsia" w:ascii="宋体" w:hAnsi="宋体" w:eastAsia="宋体" w:cs="宋体"/>
          <w:color w:val="000000" w:themeColor="text1"/>
          <w:sz w:val="24"/>
          <w:szCs w:val="24"/>
          <w:highlight w:val="none"/>
          <w:lang w:val="zh-CN"/>
          <w14:textFill>
            <w14:solidFill>
              <w14:schemeClr w14:val="tx1"/>
            </w14:solidFill>
          </w14:textFill>
        </w:rPr>
        <w:t>获取、整理、入库、清洗外资反馈数据</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zh-CN" w:eastAsia="zh-CN"/>
          <w14:textFill>
            <w14:solidFill>
              <w14:schemeClr w14:val="tx1"/>
            </w14:solidFill>
          </w14:textFill>
        </w:rPr>
        <w:t>协助</w:t>
      </w:r>
      <w:r>
        <w:rPr>
          <w:rFonts w:hint="eastAsia" w:ascii="宋体" w:hAnsi="宋体" w:eastAsia="宋体" w:cs="宋体"/>
          <w:color w:val="000000" w:themeColor="text1"/>
          <w:sz w:val="24"/>
          <w:szCs w:val="24"/>
          <w:highlight w:val="none"/>
          <w:lang w:val="zh-CN" w:eastAsia="zh-CN"/>
          <w14:textFill>
            <w14:solidFill>
              <w14:schemeClr w14:val="tx1"/>
            </w14:solidFill>
          </w14:textFill>
        </w:rPr>
        <w:t>对接</w:t>
      </w:r>
      <w:r>
        <w:rPr>
          <w:rFonts w:hint="eastAsia" w:ascii="宋体" w:hAnsi="宋体" w:eastAsia="宋体" w:cs="宋体"/>
          <w:color w:val="000000" w:themeColor="text1"/>
          <w:sz w:val="24"/>
          <w:szCs w:val="24"/>
          <w:highlight w:val="none"/>
          <w:lang w:val="zh-CN"/>
          <w14:textFill>
            <w14:solidFill>
              <w14:schemeClr w14:val="tx1"/>
            </w14:solidFill>
          </w14:textFill>
        </w:rPr>
        <w:t>商务部月度外资</w:t>
      </w:r>
      <w:r>
        <w:rPr>
          <w:rFonts w:hint="eastAsia" w:ascii="宋体" w:hAnsi="宋体" w:eastAsia="宋体" w:cs="宋体"/>
          <w:color w:val="000000" w:themeColor="text1"/>
          <w:sz w:val="24"/>
          <w:szCs w:val="24"/>
          <w:highlight w:val="none"/>
          <w:lang w:val="zh-CN" w:eastAsia="zh-CN"/>
          <w14:textFill>
            <w14:solidFill>
              <w14:schemeClr w14:val="tx1"/>
            </w14:solidFill>
          </w14:textFill>
        </w:rPr>
        <w:t>数据反馈情况。</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配合</w:t>
      </w:r>
      <w:r>
        <w:rPr>
          <w:rFonts w:hint="eastAsia" w:ascii="宋体" w:hAnsi="宋体" w:eastAsia="宋体" w:cs="宋体"/>
          <w:color w:val="000000" w:themeColor="text1"/>
          <w:sz w:val="24"/>
          <w:szCs w:val="24"/>
          <w:highlight w:val="none"/>
          <w:lang w:val="zh-CN"/>
          <w14:textFill>
            <w14:solidFill>
              <w14:schemeClr w14:val="tx1"/>
            </w14:solidFill>
          </w14:textFill>
        </w:rPr>
        <w:t>按月度向市商务局、南山区工信局、宝安区工信局等获取前海企业利用外资和对外投资数据</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协助</w:t>
      </w:r>
      <w:r>
        <w:rPr>
          <w:rFonts w:hint="eastAsia" w:ascii="宋体" w:hAnsi="宋体" w:eastAsia="宋体" w:cs="宋体"/>
          <w:color w:val="000000" w:themeColor="text1"/>
          <w:sz w:val="24"/>
          <w:szCs w:val="24"/>
          <w:highlight w:val="none"/>
          <w:lang w:val="zh-CN"/>
          <w14:textFill>
            <w14:solidFill>
              <w14:schemeClr w14:val="tx1"/>
            </w14:solidFill>
          </w14:textFill>
        </w:rPr>
        <w:t>更新外资月度数据简报和季度分析报告</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ageBreakBefore w:val="0"/>
        <w:widowControl/>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）协助外资统计系统中统计部门划分错误、企业股东国别信息错误、合同外资金额错误等问题的处理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Style w:val="11"/>
        <w:widowControl/>
        <w:spacing w:beforeAutospacing="0" w:afterAutospacing="0"/>
        <w:ind w:firstLine="482" w:firstLineChars="20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1.4.对接企业答疑、审核报表等工作</w:t>
      </w:r>
    </w:p>
    <w:p>
      <w:pPr>
        <w:pageBreakBefore w:val="0"/>
        <w:widowControl/>
        <w:numPr>
          <w:ilvl w:val="0"/>
          <w:numId w:val="0"/>
        </w:numPr>
        <w:pBdr>
          <w:bottom w:val="none" w:color="auto" w:sz="0" w:space="0"/>
        </w:pBd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配合</w:t>
      </w:r>
      <w:r>
        <w:rPr>
          <w:rFonts w:hint="eastAsia" w:ascii="宋体" w:hAnsi="宋体" w:eastAsia="宋体" w:cs="宋体"/>
          <w:color w:val="000000" w:themeColor="text1"/>
          <w:sz w:val="24"/>
          <w:szCs w:val="24"/>
          <w:lang w:val="zh-CN"/>
          <w14:textFill>
            <w14:solidFill>
              <w14:schemeClr w14:val="tx1"/>
            </w14:solidFill>
          </w14:textFill>
        </w:rPr>
        <w:t>商务部外资直报平台外资月度调查表、年度调查表的催报、审核。</w:t>
      </w:r>
    </w:p>
    <w:p>
      <w:pPr>
        <w:pageBreakBefore w:val="0"/>
        <w:widowControl/>
        <w:numPr>
          <w:ilvl w:val="0"/>
          <w:numId w:val="0"/>
        </w:numPr>
        <w:pBdr>
          <w:bottom w:val="none" w:color="auto" w:sz="0" w:space="0"/>
        </w:pBd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协助</w:t>
      </w:r>
      <w:r>
        <w:rPr>
          <w:rFonts w:hint="eastAsia" w:ascii="宋体" w:hAnsi="宋体" w:eastAsia="宋体" w:cs="宋体"/>
          <w:color w:val="000000" w:themeColor="text1"/>
          <w:sz w:val="24"/>
          <w:szCs w:val="24"/>
          <w:lang w:val="zh-CN"/>
          <w14:textFill>
            <w14:solidFill>
              <w14:schemeClr w14:val="tx1"/>
            </w14:solidFill>
          </w14:textFill>
        </w:rPr>
        <w:t>按月催报前海外资直报平台的企业报送月度调查报表、年度调查报表</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sz w:val="24"/>
          <w:szCs w:val="24"/>
          <w:lang w:val="zh-CN"/>
          <w14:textFill>
            <w14:solidFill>
              <w14:schemeClr w14:val="tx1"/>
            </w14:solidFill>
          </w14:textFill>
        </w:rPr>
        <w:t>企业答疑和报表审核工作。</w:t>
      </w:r>
    </w:p>
    <w:p>
      <w:pPr>
        <w:pageBreakBefore w:val="0"/>
        <w:widowControl/>
        <w:numPr>
          <w:ilvl w:val="0"/>
          <w:numId w:val="0"/>
        </w:numPr>
        <w:pBdr>
          <w:bottom w:val="none" w:color="auto" w:sz="0" w:space="0"/>
        </w:pBd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配合</w:t>
      </w:r>
      <w:r>
        <w:rPr>
          <w:rFonts w:hint="eastAsia" w:ascii="宋体" w:hAnsi="宋体" w:eastAsia="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sz w:val="24"/>
          <w:szCs w:val="24"/>
          <w:lang w:val="zh-CN"/>
          <w14:textFill>
            <w14:solidFill>
              <w14:schemeClr w14:val="tx1"/>
            </w14:solidFill>
          </w14:textFill>
        </w:rPr>
        <w:t>外商投资企业年报</w:t>
      </w:r>
      <w:r>
        <w:rPr>
          <w:rFonts w:hint="eastAsia" w:ascii="宋体" w:hAnsi="宋体" w:eastAsia="宋体" w:cs="宋体"/>
          <w:color w:val="000000" w:themeColor="text1"/>
          <w:sz w:val="24"/>
          <w:szCs w:val="24"/>
          <w:lang w:val="en-US" w:eastAsia="zh-CN"/>
          <w14:textFill>
            <w14:solidFill>
              <w14:schemeClr w14:val="tx1"/>
            </w14:solidFill>
          </w14:textFill>
        </w:rPr>
        <w:t>催报，</w:t>
      </w:r>
      <w:r>
        <w:rPr>
          <w:rFonts w:hint="eastAsia" w:ascii="宋体" w:hAnsi="宋体" w:eastAsia="宋体" w:cs="宋体"/>
          <w:color w:val="000000" w:themeColor="text1"/>
          <w:sz w:val="24"/>
          <w:szCs w:val="24"/>
          <w:lang w:val="zh-CN"/>
          <w14:textFill>
            <w14:solidFill>
              <w14:schemeClr w14:val="tx1"/>
            </w14:solidFill>
          </w14:textFill>
        </w:rPr>
        <w:t>按要求通知前海的外资企业在规定时间内完成年报报送，通知数据异常或漏报指标企业及时修改、补报年报</w:t>
      </w:r>
      <w:r>
        <w:rPr>
          <w:rFonts w:hint="eastAsia" w:ascii="宋体" w:hAnsi="宋体" w:eastAsia="宋体" w:cs="宋体"/>
          <w:color w:val="000000" w:themeColor="text1"/>
          <w:sz w:val="24"/>
          <w:szCs w:val="24"/>
          <w:lang w:val="zh-CN" w:eastAsia="zh-CN"/>
          <w14:textFill>
            <w14:solidFill>
              <w14:schemeClr w14:val="tx1"/>
            </w14:solidFill>
          </w14:textFill>
        </w:rPr>
        <w:t>。</w:t>
      </w:r>
    </w:p>
    <w:p>
      <w:pPr>
        <w:numPr>
          <w:ilvl w:val="0"/>
          <w:numId w:val="0"/>
        </w:numPr>
        <w:ind w:firstLine="480" w:firstLineChars="20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配合</w:t>
      </w:r>
      <w:r>
        <w:rPr>
          <w:rFonts w:hint="eastAsia" w:ascii="宋体" w:hAnsi="宋体" w:eastAsia="宋体" w:cs="宋体"/>
          <w:color w:val="000000" w:themeColor="text1"/>
          <w:sz w:val="24"/>
          <w:szCs w:val="24"/>
          <w:lang w:val="zh-CN"/>
          <w14:textFill>
            <w14:solidFill>
              <w14:schemeClr w14:val="tx1"/>
            </w14:solidFill>
          </w14:textFill>
        </w:rPr>
        <w:t>按年度报送前海外商投资企业年度投资经营信息联合年度报告</w:t>
      </w:r>
      <w:r>
        <w:rPr>
          <w:rFonts w:hint="eastAsia" w:ascii="宋体" w:hAnsi="宋体" w:eastAsia="宋体" w:cs="宋体"/>
          <w:color w:val="000000" w:themeColor="text1"/>
          <w:sz w:val="24"/>
          <w:szCs w:val="24"/>
          <w:lang w:val="zh-CN" w:eastAsia="zh-CN"/>
          <w14:textFill>
            <w14:solidFill>
              <w14:schemeClr w14:val="tx1"/>
            </w14:solidFill>
          </w14:textFill>
        </w:rPr>
        <w:t>。</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本项目合同服务期限为自合同签订之日起</w:t>
      </w:r>
      <w:r>
        <w:rPr>
          <w:rFonts w:hint="eastAsia" w:ascii="宋体" w:hAnsi="宋体" w:eastAsia="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个月。</w:t>
      </w:r>
      <w:r>
        <w:rPr>
          <w:rFonts w:hint="eastAsia" w:ascii="宋体" w:hAnsi="宋体" w:eastAsia="宋体" w:cs="宋体"/>
          <w:color w:val="000000" w:themeColor="text1"/>
          <w:sz w:val="24"/>
          <w:lang w:val="en-US" w:eastAsia="zh-CN"/>
          <w14:textFill>
            <w14:solidFill>
              <w14:schemeClr w14:val="tx1"/>
            </w14:solidFill>
          </w14:textFill>
        </w:rPr>
        <w:t>本项目为长期服务项目，经履约考核</w:t>
      </w:r>
      <w:r>
        <w:rPr>
          <w:rFonts w:hint="default" w:ascii="宋体" w:hAnsi="宋体" w:eastAsia="宋体" w:cs="宋体"/>
          <w:color w:val="000000" w:themeColor="text1"/>
          <w:sz w:val="24"/>
          <w:lang w:eastAsia="zh-CN"/>
          <w14:textFill>
            <w14:solidFill>
              <w14:schemeClr w14:val="tx1"/>
            </w14:solidFill>
          </w14:textFill>
        </w:rPr>
        <w:t>优秀</w:t>
      </w:r>
      <w:r>
        <w:rPr>
          <w:rFonts w:hint="eastAsia" w:ascii="宋体" w:hAnsi="宋体" w:eastAsia="宋体" w:cs="宋体"/>
          <w:color w:val="000000" w:themeColor="text1"/>
          <w:sz w:val="24"/>
          <w:lang w:val="en-US" w:eastAsia="zh-CN"/>
          <w14:textFill>
            <w14:solidFill>
              <w14:schemeClr w14:val="tx1"/>
            </w14:solidFill>
          </w14:textFill>
        </w:rPr>
        <w:t>后可续签下一年度合同，但最长不超过</w:t>
      </w:r>
      <w:r>
        <w:rPr>
          <w:rFonts w:hint="eastAsia" w:ascii="宋体" w:hAnsi="宋体" w:cs="宋体"/>
          <w:color w:val="000000" w:themeColor="text1"/>
          <w:sz w:val="24"/>
          <w:lang w:val="en-US" w:eastAsia="zh-CN"/>
          <w14:textFill>
            <w14:solidFill>
              <w14:schemeClr w14:val="tx1"/>
            </w14:solidFill>
          </w14:textFill>
        </w:rPr>
        <w:t>36个月</w:t>
      </w:r>
      <w:r>
        <w:rPr>
          <w:rFonts w:hint="eastAsia" w:ascii="宋体" w:hAnsi="宋体" w:eastAsia="宋体" w:cs="宋体"/>
          <w:color w:val="000000" w:themeColor="text1"/>
          <w:sz w:val="24"/>
          <w:lang w:val="en-US" w:eastAsia="zh-CN"/>
          <w14:textFill>
            <w14:solidFill>
              <w14:schemeClr w14:val="tx1"/>
            </w14:solidFill>
          </w14:textFill>
        </w:rPr>
        <w:t>。</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双方的权利义务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（一）甲方的权利义务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1.甲方有权向乙方询问项目工作进展及相关情况，并要求乙方在指定时间内做出答复。</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2.甲方有权对乙方提交的阶段性成果、最终成果送审稿等相关文件进行审核并提出修改意见。</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4.甲方对乙方在委托权限范围内完成委托事项有指导、监督权利。</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5.甲方有权要求乙方全面履行合同。甲方不接受部分履行，如本合同项下部分成果文件未能按时交付则视为整体延误。</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6.如乙方所提供的项目成果不符合本合同的要求，甲方有权要求乙方重新执行相应的工作服务，由此产生的全部费用由乙方自行承担，同时，甲方的付款时间相应顺延。</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7.甲方要求乙方比本合同约定时间提前交付成果时，须征得乙方同意。因此而增加工作量，经协商确认，甲方应向乙方支付必要的费用。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8.甲方应将项目所需相关档案资料、信息数据等移交给乙方，并要求乙方签收甲方提供的材料清单。</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9.甲方应按照本合同的约定向乙方支付服务费用。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10.甲方指定项目联系人：</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（二）乙方的权利义务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1.为保证项目成果的质量，乙方在合同履行期间，应按照本项目工作内容要求成立项目团队。项目负责人负责对项目实施全过程进行组织和指导，并承担</w:t>
      </w:r>
      <w:r>
        <w:rPr>
          <w:rFonts w:hint="eastAsia" w:ascii="宋体" w:hAnsi="宋体" w:cs="宋体"/>
          <w:color w:val="000000" w:themeColor="text1"/>
          <w:sz w:val="24"/>
          <w:lang w:val="en-US" w:eastAsia="zh-Hans"/>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的实质性工作。相关工作人员名单在甲方确认后如需更换，乙方应事先征得甲方的书面同意，且接替的工作人员的职位、资历、资质应与原定工作人员相当。</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接受甲方对工作进展的询问、监督和指导，严格按本合同约定的内容、标准和期限完成项目指标，并向甲方提交项目成果。项目工作完成后，乙方应按照甲方要求将完成本项目的工作总结和相关台帐资料交给甲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3.乙方应采取必要措施配合甲方验收人员的工作,对于验收过程中发现的问题，乙方应在发现问题之日起</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天内进行改正，以符合甲方的需要。</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4.乙方有维护甲方声誉的义务，乙方不能以甲方名义从事与本项目无关的任何事务，否则甲方有权追究其相关责任。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5.乙方应独立完成本项目。未经甲方书面在先同意，乙方不得向任何第三方全部或部分转让本项目。</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6.本合同期满或提前解除、终止后，乙方应将甲方的档案资料、信息数据等交还甲方，并应销毁或删除所有备份。</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8.针对甲方就乙方提交的相关文件提出的修改意见，乙方应当在甲方指定的修改时间内完成修改。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9.乙方指定项目联系人：</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bl>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乙方完成本合同项目的研究开发人员享有在有关技术成果文件上写明技术成果完成者的权利和与甲方共同获得有关荣誉证书、奖励的权利。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以保密方式处理在编制本项目成果文件过程中自甲方、甲方工作人员或甲方关联机构获得的相关信息、资料、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5.如乙方违反上述保密条款，甲方有权解除本合同，乙方应在合同解除通知发出之日起10日内向甲方支付本合同服务费总金额</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6.无论本合同或本合同其他条款是否有效，本保密条款始终约束双方。国家秘密的保密期限由国家有关部门确定，工作秘密的保密期限由甲方确定。</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 xml:space="preserve">条  验收标准     </w:t>
      </w:r>
    </w:p>
    <w:p>
      <w:pPr>
        <w:pageBreakBefore w:val="0"/>
        <w:widowControl/>
        <w:kinsoku/>
        <w:overflowPunct/>
        <w:topLinePunct w:val="0"/>
        <w:bidi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验收标准：</w:t>
      </w:r>
      <w:r>
        <w:rPr>
          <w:rFonts w:hint="eastAsia" w:ascii="宋体" w:hAnsi="宋体" w:cs="宋体"/>
          <w:color w:val="000000" w:themeColor="text1"/>
          <w:sz w:val="24"/>
          <w:highlight w:val="none"/>
          <w14:textFill>
            <w14:solidFill>
              <w14:schemeClr w14:val="tx1"/>
            </w14:solidFill>
          </w14:textFill>
        </w:rPr>
        <w:t>所有成果提交并通过</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验收</w:t>
      </w:r>
      <w:r>
        <w:rPr>
          <w:rFonts w:ascii="宋体" w:hAnsi="宋体" w:cs="宋体"/>
          <w:color w:val="000000" w:themeColor="text1"/>
          <w:sz w:val="24"/>
          <w:highlight w:val="none"/>
          <w14:textFill>
            <w14:solidFill>
              <w14:schemeClr w14:val="tx1"/>
            </w14:solidFill>
          </w14:textFill>
        </w:rPr>
        <w:t>。</w:t>
      </w:r>
    </w:p>
    <w:p>
      <w:pPr>
        <w:pageBreakBefore w:val="0"/>
        <w:widowControl/>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验收内容</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本项目需形成</w:t>
      </w:r>
      <w:r>
        <w:rPr>
          <w:rFonts w:hint="eastAsia" w:ascii="宋体" w:hAnsi="宋体" w:cs="宋体"/>
          <w:bCs/>
          <w:color w:val="000000" w:themeColor="text1"/>
          <w:sz w:val="24"/>
          <w:highlight w:val="none"/>
          <w:lang w:eastAsia="zh-CN"/>
          <w14:textFill>
            <w14:solidFill>
              <w14:schemeClr w14:val="tx1"/>
            </w14:solidFill>
          </w14:textFill>
        </w:rPr>
        <w:t>四</w:t>
      </w:r>
      <w:r>
        <w:rPr>
          <w:rFonts w:hint="eastAsia" w:ascii="宋体" w:hAnsi="宋体" w:cs="宋体"/>
          <w:bCs/>
          <w:color w:val="000000" w:themeColor="text1"/>
          <w:sz w:val="24"/>
          <w:highlight w:val="none"/>
          <w14:textFill>
            <w14:solidFill>
              <w14:schemeClr w14:val="tx1"/>
            </w14:solidFill>
          </w14:textFill>
        </w:rPr>
        <w:t>类文件，并以书面形式和电子形式（*.doc格式）按时提交至甲方进行修改完善直至定稿：一是按月度形成外资月度数据简报（全年共12份）；二是按季度形成</w:t>
      </w:r>
      <w:r>
        <w:rPr>
          <w:rFonts w:hint="eastAsia" w:ascii="宋体" w:hAnsi="宋体" w:cs="宋体"/>
          <w:bCs/>
          <w:color w:val="000000" w:themeColor="text1"/>
          <w:sz w:val="24"/>
          <w:highlight w:val="none"/>
          <w:lang w:eastAsia="zh-CN"/>
          <w14:textFill>
            <w14:solidFill>
              <w14:schemeClr w14:val="tx1"/>
            </w14:solidFill>
          </w14:textFill>
        </w:rPr>
        <w:t>外资数据统计分析</w:t>
      </w:r>
      <w:r>
        <w:rPr>
          <w:rFonts w:hint="eastAsia" w:ascii="宋体" w:hAnsi="宋体" w:cs="宋体"/>
          <w:bCs/>
          <w:color w:val="000000" w:themeColor="text1"/>
          <w:sz w:val="24"/>
          <w:highlight w:val="none"/>
          <w14:textFill>
            <w14:solidFill>
              <w14:schemeClr w14:val="tx1"/>
            </w14:solidFill>
          </w14:textFill>
        </w:rPr>
        <w:t>报告（全年共4份）；三是按年度形成外商投资企业年度投资经营信息联合年度报告（全年共1份）</w:t>
      </w:r>
      <w:r>
        <w:rPr>
          <w:rFonts w:hint="eastAsia" w:ascii="宋体" w:hAnsi="宋体" w:cs="宋体"/>
          <w:bCs/>
          <w:color w:val="000000" w:themeColor="text1"/>
          <w:sz w:val="24"/>
          <w:highlight w:val="none"/>
          <w:lang w:eastAsia="zh-CN"/>
          <w14:textFill>
            <w14:solidFill>
              <w14:schemeClr w14:val="tx1"/>
            </w14:solidFill>
          </w14:textFill>
        </w:rPr>
        <w:t>；四是国际国内外资动向、比对报告（全年共2份）</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（含税）。包括</w:t>
      </w:r>
      <w:r>
        <w:rPr>
          <w:rFonts w:hint="eastAsia" w:ascii="宋体" w:hAnsi="宋体" w:cs="宋体"/>
          <w:color w:val="000000" w:themeColor="text1"/>
          <w:sz w:val="24"/>
          <w:lang w:val="en-US" w:eastAsia="zh-CN"/>
          <w14:textFill>
            <w14:solidFill>
              <w14:schemeClr w14:val="tx1"/>
            </w14:solidFill>
          </w14:textFill>
        </w:rPr>
        <w:t>但不限于</w:t>
      </w:r>
      <w:r>
        <w:rPr>
          <w:rFonts w:hint="eastAsia" w:ascii="宋体" w:hAnsi="宋体" w:eastAsia="宋体" w:cs="宋体"/>
          <w:color w:val="000000" w:themeColor="text1"/>
          <w:sz w:val="24"/>
          <w:highlight w:val="none"/>
          <w:u w:val="none"/>
          <w:lang w:val="en-US" w:eastAsia="zh-CN"/>
          <w14:textFill>
            <w14:solidFill>
              <w14:schemeClr w14:val="tx1"/>
            </w14:solidFill>
          </w14:textFill>
        </w:rPr>
        <w:t>数</w:t>
      </w:r>
      <w:r>
        <w:rPr>
          <w:rFonts w:hint="eastAsia" w:ascii="宋体" w:hAnsi="宋体" w:cs="宋体"/>
          <w:color w:val="000000" w:themeColor="text1"/>
          <w:sz w:val="24"/>
          <w:highlight w:val="none"/>
          <w:u w:val="none"/>
          <w:lang w:val="en-US" w:eastAsia="zh-CN"/>
          <w14:textFill>
            <w14:solidFill>
              <w14:schemeClr w14:val="tx1"/>
            </w14:solidFill>
          </w14:textFill>
        </w:rPr>
        <w:t>据采购费、数据系统费、乙方工作人员成本、</w:t>
      </w:r>
      <w:r>
        <w:rPr>
          <w:rFonts w:hint="eastAsia" w:ascii="宋体" w:hAnsi="宋体" w:cs="宋体"/>
          <w:color w:val="000000" w:themeColor="text1"/>
          <w:sz w:val="24"/>
          <w:highlight w:val="none"/>
          <w:u w:val="none"/>
          <w:lang w:eastAsia="zh-CN"/>
          <w14:textFill>
            <w14:solidFill>
              <w14:schemeClr w14:val="tx1"/>
            </w14:solidFill>
          </w14:textFill>
        </w:rPr>
        <w:t>中标服务费、资料费、</w:t>
      </w:r>
      <w:r>
        <w:rPr>
          <w:rFonts w:hint="eastAsia" w:ascii="宋体" w:hAnsi="宋体" w:cs="宋体"/>
          <w:color w:val="000000" w:themeColor="text1"/>
          <w:sz w:val="24"/>
          <w:highlight w:val="none"/>
          <w:u w:val="none"/>
          <w:lang w:val="en-US" w:eastAsia="zh-CN"/>
          <w14:textFill>
            <w14:solidFill>
              <w14:schemeClr w14:val="tx1"/>
            </w14:solidFill>
          </w14:textFill>
        </w:rPr>
        <w:t>通讯费、交通费、</w:t>
      </w:r>
      <w:r>
        <w:rPr>
          <w:rFonts w:hint="eastAsia" w:ascii="宋体" w:hAnsi="宋体" w:cs="宋体"/>
          <w:color w:val="000000" w:themeColor="text1"/>
          <w:sz w:val="24"/>
          <w:highlight w:val="none"/>
          <w:u w:val="none"/>
          <w:lang w:eastAsia="zh-CN"/>
          <w14:textFill>
            <w14:solidFill>
              <w14:schemeClr w14:val="tx1"/>
            </w14:solidFill>
          </w14:textFill>
        </w:rPr>
        <w:t>税金、</w:t>
      </w:r>
      <w:r>
        <w:rPr>
          <w:rFonts w:hint="eastAsia" w:ascii="宋体" w:hAnsi="宋体" w:cs="宋体"/>
          <w:color w:val="000000" w:themeColor="text1"/>
          <w:sz w:val="24"/>
          <w:highlight w:val="none"/>
          <w:u w:val="none"/>
          <w:lang w:val="en-US" w:eastAsia="zh-CN"/>
          <w14:textFill>
            <w14:solidFill>
              <w14:schemeClr w14:val="tx1"/>
            </w14:solidFill>
          </w14:textFill>
        </w:rPr>
        <w:t>利润</w:t>
      </w:r>
      <w:r>
        <w:rPr>
          <w:rFonts w:hint="eastAsia" w:ascii="宋体" w:hAnsi="宋体" w:cs="宋体"/>
          <w:color w:val="000000" w:themeColor="text1"/>
          <w:sz w:val="24"/>
          <w:highlight w:val="none"/>
          <w:u w:val="none"/>
          <w:lang w:eastAsia="zh-CN"/>
          <w14:textFill>
            <w14:solidFill>
              <w14:schemeClr w14:val="tx1"/>
            </w14:solidFill>
          </w14:textFill>
        </w:rPr>
        <w:t>等所有费用，并提供合同要求的成果文件，以及其它相关服务的全部费用</w:t>
      </w:r>
      <w:r>
        <w:rPr>
          <w:rFonts w:hint="eastAsia" w:ascii="宋体" w:hAnsi="宋体" w:cs="宋体"/>
          <w:color w:val="000000" w:themeColor="text1"/>
          <w:sz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合同价款由甲方分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期支付至乙方指定银行账户：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default"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首期</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自</w:t>
      </w:r>
      <w:r>
        <w:rPr>
          <w:rFonts w:hint="eastAsia" w:ascii="宋体" w:hAnsi="宋体" w:cs="宋体"/>
          <w:color w:val="000000" w:themeColor="text1"/>
          <w:sz w:val="24"/>
          <w14:textFill>
            <w14:solidFill>
              <w14:schemeClr w14:val="tx1"/>
            </w14:solidFill>
          </w14:textFill>
        </w:rPr>
        <w:t>合同签订</w:t>
      </w:r>
      <w:r>
        <w:rPr>
          <w:rFonts w:hint="eastAsia" w:ascii="宋体" w:hAnsi="宋体" w:cs="宋体"/>
          <w:color w:val="000000" w:themeColor="text1"/>
          <w:sz w:val="24"/>
          <w:lang w:val="en-US" w:eastAsia="zh-CN"/>
          <w14:textFill>
            <w14:solidFill>
              <w14:schemeClr w14:val="tx1"/>
            </w14:solidFill>
          </w14:textFill>
        </w:rPr>
        <w:t>之日起</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个工作日内，根据</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提出的付款申请，</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支付总价款</w:t>
      </w:r>
      <w:r>
        <w:rPr>
          <w:rFonts w:hint="eastAsia" w:ascii="宋体" w:hAnsi="宋体" w:cs="宋体"/>
          <w:b w:val="0"/>
          <w:bCs w:val="0"/>
          <w:color w:val="000000" w:themeColor="text1"/>
          <w:sz w:val="24"/>
          <w14:textFill>
            <w14:solidFill>
              <w14:schemeClr w14:val="tx1"/>
            </w14:solidFill>
          </w14:textFill>
        </w:rPr>
        <w:t>的</w:t>
      </w: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cs="宋体"/>
          <w:b w:val="0"/>
          <w:bCs w:val="0"/>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3"/>
        <w:pageBreakBefore w:val="0"/>
        <w:kinsoku/>
        <w:overflowPunct/>
        <w:topLinePunct w:val="0"/>
        <w:bidi w:val="0"/>
        <w:spacing w:after="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期：在合同期满前，</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服务内容进行最终验收，验收合格后由</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出具终期验收工作报告，经</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确认后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支付剩余</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0%合同尾款。如遇验收不合格情况，</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给予</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30天整改期，验收合格后，</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出具终期验收工作报告经</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确认后予以支付</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3"/>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3"/>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3"/>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3"/>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3"/>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合同提前终止</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双方协商同意提前终止本合同的，按双方协商约定的方式进行清算执行。</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有下列情形之一的，本合同自甲方向乙方发出书面通知之日起终止：</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如发生不可抗力或其他超出合同双方控制的事件，致使一方无法履行合同，本合同解除。</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w:t>
      </w:r>
      <w:r>
        <w:rPr>
          <w:rFonts w:hint="eastAsia" w:ascii="宋体" w:hAnsi="宋体" w:cs="宋体"/>
          <w:color w:val="000000" w:themeColor="text1"/>
          <w:sz w:val="24"/>
          <w:lang w:eastAsia="zh-CN"/>
          <w14:textFill>
            <w14:solidFill>
              <w14:schemeClr w14:val="tx1"/>
            </w14:solidFill>
          </w14:textFill>
        </w:rPr>
        <w:t>双方同意将争议提交</w:t>
      </w:r>
      <w:r>
        <w:rPr>
          <w:rFonts w:hint="eastAsia" w:ascii="宋体" w:hAnsi="宋体" w:cs="宋体"/>
          <w:color w:val="000000" w:themeColor="text1"/>
          <w:sz w:val="24"/>
          <w14:textFill>
            <w14:solidFill>
              <w14:schemeClr w14:val="tx1"/>
            </w14:solidFill>
          </w14:textFill>
        </w:rPr>
        <w:t>深圳前海合作区人民法院</w:t>
      </w:r>
      <w:r>
        <w:rPr>
          <w:rFonts w:hint="eastAsia" w:ascii="宋体" w:hAnsi="宋体" w:cs="宋体"/>
          <w:color w:val="000000" w:themeColor="text1"/>
          <w:sz w:val="24"/>
          <w:lang w:eastAsia="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诉讼</w:t>
      </w:r>
      <w:r>
        <w:rPr>
          <w:rFonts w:hint="eastAsia" w:ascii="宋体" w:hAnsi="宋体" w:cs="宋体"/>
          <w:color w:val="000000" w:themeColor="text1"/>
          <w:sz w:val="24"/>
          <w:lang w:eastAsia="zh-CN"/>
          <w14:textFill>
            <w14:solidFill>
              <w14:schemeClr w14:val="tx1"/>
            </w14:solidFill>
          </w14:textFill>
        </w:rPr>
        <w:t>解决</w:t>
      </w:r>
      <w:r>
        <w:rPr>
          <w:rFonts w:hint="eastAsia" w:ascii="宋体" w:hAnsi="宋体" w:cs="宋体"/>
          <w:color w:val="000000" w:themeColor="text1"/>
          <w:sz w:val="24"/>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项目变更</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‰的逾期违约金。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（1）乙方未能按合同约定的日期(含协商延缓的日期)提交各阶段成果或最终成果，延误时间超过15个工作日；</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w:t>
      </w:r>
      <w:r>
        <w:rPr>
          <w:rFonts w:hint="eastAsia" w:ascii="宋体" w:hAnsi="宋体" w:cs="宋体"/>
          <w:color w:val="000000" w:themeColor="text1"/>
          <w:sz w:val="24"/>
          <w:lang w:val="zh-CN"/>
          <w14:textFill>
            <w14:solidFill>
              <w14:schemeClr w14:val="tx1"/>
            </w14:solidFill>
          </w14:textFill>
        </w:rPr>
        <w:t>工作成果质量低劣，不能满足甲方工作需要和要求</w:t>
      </w:r>
      <w:r>
        <w:rPr>
          <w:rFonts w:hint="eastAsia" w:ascii="宋体" w:hAnsi="宋体" w:cs="宋体"/>
          <w:color w:val="000000" w:themeColor="text1"/>
          <w:sz w:val="24"/>
          <w14:textFill>
            <w14:solidFill>
              <w14:schemeClr w14:val="tx1"/>
            </w14:solidFill>
          </w14:textFill>
        </w:rPr>
        <w:t>；</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（4）未经甲方书面在先同意，乙方擅自将本合同项目与任何第三方合作，或将本合同标的全部或部分擅自转包或分包给任何第三方，且未按甲方的要求终止与第三方的合同的；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%的违约金。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）及其澄清、补正公告；</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18"/>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ageBreakBefore w:val="0"/>
        <w:widowControl/>
        <w:kinsoku/>
        <w:overflowPunct/>
        <w:topLinePunct w:val="0"/>
        <w:bidi w:val="0"/>
        <w:spacing w:line="240" w:lineRule="auto"/>
        <w:ind w:firstLine="0" w:firstLineChars="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本合同自双方盖章之日起生效，有效期至后续服务期满之日止</w:t>
      </w:r>
      <w:r>
        <w:rPr>
          <w:rFonts w:hint="eastAsia" w:ascii="宋体" w:hAnsi="宋体" w:cs="宋体"/>
          <w:color w:val="000000" w:themeColor="text1"/>
          <w:sz w:val="24"/>
          <w14:textFill>
            <w14:solidFill>
              <w14:schemeClr w14:val="tx1"/>
            </w14:solidFill>
          </w14:textFill>
        </w:rPr>
        <w:t>。</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3" w:name="_Toc25518"/>
      <w:r>
        <w:rPr>
          <w:rFonts w:hint="eastAsia" w:ascii="宋体" w:hAnsi="宋体" w:cs="宋体"/>
          <w:b/>
          <w:bCs/>
          <w:color w:val="000000" w:themeColor="text1"/>
          <w:sz w:val="24"/>
          <w14:textFill>
            <w14:solidFill>
              <w14:schemeClr w14:val="tx1"/>
            </w14:solidFill>
          </w14:textFill>
        </w:rPr>
        <w:t>用户需求书</w:t>
      </w:r>
      <w:bookmarkEnd w:id="13"/>
    </w:p>
    <w:p>
      <w:pPr>
        <w:pStyle w:val="19"/>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4" w:name="_Toc11045"/>
      <w:bookmarkStart w:id="15" w:name="_Toc23726"/>
      <w:r>
        <w:rPr>
          <w:rFonts w:hint="eastAsia" w:ascii="宋体" w:hAnsi="宋体" w:cs="宋体"/>
          <w:b/>
          <w:color w:val="000000" w:themeColor="text1"/>
          <w:sz w:val="24"/>
          <w14:textFill>
            <w14:solidFill>
              <w14:schemeClr w14:val="tx1"/>
            </w14:solidFill>
          </w14:textFill>
        </w:rPr>
        <w:t>一、</w:t>
      </w:r>
      <w:bookmarkEnd w:id="14"/>
      <w:bookmarkEnd w:id="15"/>
      <w:bookmarkStart w:id="16" w:name="_Toc51746099"/>
      <w:r>
        <w:rPr>
          <w:rFonts w:hint="eastAsia" w:ascii="宋体" w:hAnsi="宋体" w:cs="宋体"/>
          <w:b/>
          <w:color w:val="000000" w:themeColor="text1"/>
          <w:sz w:val="24"/>
          <w:lang w:val="zh-CN"/>
          <w14:textFill>
            <w14:solidFill>
              <w14:schemeClr w14:val="tx1"/>
            </w14:solidFill>
          </w14:textFill>
        </w:rPr>
        <w:t>项目概况</w:t>
      </w:r>
    </w:p>
    <w:bookmarkEnd w:id="16"/>
    <w:p>
      <w:pPr>
        <w:pStyle w:val="3"/>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外资数据是前海经济运行的重要统计数据。前海合作区扩区后，进一步拓展了前海合作区经济运行数据的统计范围与服务内容。为落实《全面深化前海深港现代服务业合作区改革开放方案》有关要求，亟需做好前海合作区外资经济运行分析和统计工作，全面掌握扩区后前海合作区外资数据结构与经济运行特征，动态掌握区内企业发展情况，分析挖掘现行经济发展的亮点和问题，为科学决策提供数据支持和分析服务，有力推动前海深港现代服务业合作区经济高质量发展。</w:t>
      </w:r>
    </w:p>
    <w:p>
      <w:pPr>
        <w:pStyle w:val="19"/>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r>
        <w:rPr>
          <w:rFonts w:hint="eastAsia" w:ascii="宋体" w:hAnsi="宋体" w:cs="宋体"/>
          <w:b/>
          <w:color w:val="000000" w:themeColor="text1"/>
          <w:sz w:val="24"/>
          <w:lang w:val="en-US" w:eastAsia="zh-CN"/>
          <w14:textFill>
            <w14:solidFill>
              <w14:schemeClr w14:val="tx1"/>
            </w14:solidFill>
          </w14:textFill>
        </w:rPr>
        <w:t>工作</w:t>
      </w:r>
      <w:r>
        <w:rPr>
          <w:rFonts w:hint="eastAsia" w:ascii="宋体" w:hAnsi="宋体" w:cs="宋体"/>
          <w:b/>
          <w:color w:val="000000" w:themeColor="text1"/>
          <w:sz w:val="24"/>
          <w14:textFill>
            <w14:solidFill>
              <w14:schemeClr w14:val="tx1"/>
            </w14:solidFill>
          </w14:textFill>
        </w:rPr>
        <w:t>内容</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（一）协助建立外资、港资企业名录库</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协助采集外资企业数据，按月向市商务局、南山区工信局、宝安区工信局等获取前海最新的外资、港资企业名单，及时核对校验。</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协助完善前海的外资、港资企业名录库。</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（二）统计信息汇总、上报等有关工作</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企业到资凭证的催缴和信息管理：</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按月向市商务局或外汇管理局获取企业到资信息，向企业催缴到资凭证，对未提交到资凭证的企业进行多次催缴，直至企业提交到资凭证，整理到资凭证，做好相关信息台账化管理。</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实际使用外资上报：</w:t>
      </w:r>
      <w:r>
        <w:rPr>
          <w:rFonts w:hint="eastAsia" w:ascii="宋体" w:hAnsi="宋体" w:cs="宋体"/>
          <w:b w:val="0"/>
          <w:bCs/>
          <w:color w:val="000000" w:themeColor="text1"/>
          <w:sz w:val="24"/>
          <w:lang w:val="en-US" w:eastAsia="zh-CN"/>
          <w14:textFill>
            <w14:solidFill>
              <w14:schemeClr w14:val="tx1"/>
            </w14:solidFill>
          </w14:textFill>
        </w:rPr>
        <w:t>协助</w:t>
      </w:r>
      <w:r>
        <w:rPr>
          <w:rFonts w:hint="eastAsia" w:ascii="宋体" w:hAnsi="宋体" w:eastAsia="宋体" w:cs="宋体"/>
          <w:b w:val="0"/>
          <w:bCs/>
          <w:color w:val="000000" w:themeColor="text1"/>
          <w:sz w:val="24"/>
          <w:lang w:val="en-US" w:eastAsia="zh-CN"/>
          <w14:textFill>
            <w14:solidFill>
              <w14:schemeClr w14:val="tx1"/>
            </w14:solidFill>
          </w14:textFill>
        </w:rPr>
        <w:t>获取全市及市内各区实际使用外资趋势，</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按月度在规定时间内录入上报当月数据，</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与上级部门对接好实际使用外资相关工作，确保应统尽统，在完成数据上报后整理更新初步实际使用数据简报。</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（三）统计分析外资数据、简报报送</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获取、整理、入库、清洗外资反馈数据，</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对接商务部月度外资数据反馈情况。</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按月度向市商务局、南山区工信局、宝安区工信局等获取前海企业利用外资和对外投资数据。</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3</w:t>
      </w:r>
      <w:r>
        <w:rPr>
          <w:rFonts w:hint="eastAsia" w:ascii="宋体" w:hAnsi="宋体" w:cs="宋体"/>
          <w:b w:val="0"/>
          <w:bCs/>
          <w:color w:val="000000" w:themeColor="text1"/>
          <w:sz w:val="24"/>
          <w:lang w:val="en-US" w:eastAsia="zh-CN"/>
          <w14:textFill>
            <w14:solidFill>
              <w14:schemeClr w14:val="tx1"/>
            </w14:solidFill>
          </w14:textFill>
        </w:rPr>
        <w:t>.协助</w:t>
      </w:r>
      <w:r>
        <w:rPr>
          <w:rFonts w:hint="eastAsia" w:ascii="宋体" w:hAnsi="宋体" w:eastAsia="宋体" w:cs="宋体"/>
          <w:b w:val="0"/>
          <w:bCs/>
          <w:color w:val="000000" w:themeColor="text1"/>
          <w:sz w:val="24"/>
          <w:lang w:val="en-US" w:eastAsia="zh-CN"/>
          <w14:textFill>
            <w14:solidFill>
              <w14:schemeClr w14:val="tx1"/>
            </w14:solidFill>
          </w14:textFill>
        </w:rPr>
        <w:t>更新外资月度数据简报和季度分析报告。</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4</w:t>
      </w:r>
      <w:r>
        <w:rPr>
          <w:rFonts w:hint="eastAsia" w:ascii="宋体" w:hAnsi="宋体" w:cs="宋体"/>
          <w:b w:val="0"/>
          <w:bCs/>
          <w:color w:val="000000" w:themeColor="text1"/>
          <w:sz w:val="24"/>
          <w:lang w:val="en-US" w:eastAsia="zh-CN"/>
          <w14:textFill>
            <w14:solidFill>
              <w14:schemeClr w14:val="tx1"/>
            </w14:solidFill>
          </w14:textFill>
        </w:rPr>
        <w:t>.协助</w:t>
      </w:r>
      <w:r>
        <w:rPr>
          <w:rFonts w:hint="eastAsia" w:ascii="宋体" w:hAnsi="宋体" w:eastAsia="宋体" w:cs="宋体"/>
          <w:b w:val="0"/>
          <w:bCs/>
          <w:color w:val="000000" w:themeColor="text1"/>
          <w:sz w:val="24"/>
          <w:lang w:val="en-US" w:eastAsia="zh-CN"/>
          <w14:textFill>
            <w14:solidFill>
              <w14:schemeClr w14:val="tx1"/>
            </w14:solidFill>
          </w14:textFill>
        </w:rPr>
        <w:t>协助外资统计系统中统计部门划分错误、企业股东国别信息错误、合同外资金额错误等问题的处理。</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（四）对接企业答疑、审核报表等工作</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商务部外资直报平台外资月度调查表、年度调查表的催报、审核。</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lang w:val="en-US" w:eastAsia="zh-CN"/>
          <w14:textFill>
            <w14:solidFill>
              <w14:schemeClr w14:val="tx1"/>
            </w14:solidFill>
          </w14:textFill>
        </w:rPr>
        <w:t>.协助</w:t>
      </w:r>
      <w:r>
        <w:rPr>
          <w:rFonts w:hint="eastAsia" w:ascii="宋体" w:hAnsi="宋体" w:eastAsia="宋体" w:cs="宋体"/>
          <w:b w:val="0"/>
          <w:bCs/>
          <w:color w:val="000000" w:themeColor="text1"/>
          <w:sz w:val="24"/>
          <w:lang w:val="en-US" w:eastAsia="zh-CN"/>
          <w14:textFill>
            <w14:solidFill>
              <w14:schemeClr w14:val="tx1"/>
            </w14:solidFill>
          </w14:textFill>
        </w:rPr>
        <w:t>按月催报前海外资直报平台的企业报送月度调查报表、年度调查报表，完成企业答疑和报表审核工作。</w:t>
      </w:r>
    </w:p>
    <w:p>
      <w:pPr>
        <w:pStyle w:val="19"/>
        <w:pageBreakBefore w:val="0"/>
        <w:tabs>
          <w:tab w:val="left" w:pos="720"/>
        </w:tabs>
        <w:kinsoku/>
        <w:overflowPunct/>
        <w:topLinePunct w:val="0"/>
        <w:autoSpaceDE w:val="0"/>
        <w:autoSpaceDN w:val="0"/>
        <w:bidi w:val="0"/>
        <w:adjustRightInd w:val="0"/>
        <w:spacing w:line="360" w:lineRule="auto"/>
        <w:ind w:right="17" w:firstLine="482"/>
        <w:jc w:val="left"/>
        <w:outlineLvl w:val="1"/>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3</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完成外商投资企业年报催报，按要求通知前海的外资企业在规定时间内完成年报报送，通知数据异常或漏报指标企业及时修改、补报年报。</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4</w:t>
      </w:r>
      <w:r>
        <w:rPr>
          <w:rFonts w:hint="eastAsia" w:ascii="宋体" w:hAnsi="宋体" w:cs="宋体"/>
          <w:b w:val="0"/>
          <w:bCs/>
          <w:color w:val="000000" w:themeColor="text1"/>
          <w:sz w:val="24"/>
          <w:lang w:val="en-US" w:eastAsia="zh-CN"/>
          <w14:textFill>
            <w14:solidFill>
              <w14:schemeClr w14:val="tx1"/>
            </w14:solidFill>
          </w14:textFill>
        </w:rPr>
        <w:t>.配合</w:t>
      </w:r>
      <w:r>
        <w:rPr>
          <w:rFonts w:hint="eastAsia" w:ascii="宋体" w:hAnsi="宋体" w:eastAsia="宋体" w:cs="宋体"/>
          <w:b w:val="0"/>
          <w:bCs/>
          <w:color w:val="000000" w:themeColor="text1"/>
          <w:sz w:val="24"/>
          <w:lang w:val="en-US" w:eastAsia="zh-CN"/>
          <w14:textFill>
            <w14:solidFill>
              <w14:schemeClr w14:val="tx1"/>
            </w14:solidFill>
          </w14:textFill>
        </w:rPr>
        <w:t>按年度报送前海外商投资企业年度投资经营信息联合年度报告</w:t>
      </w:r>
      <w:r>
        <w:rPr>
          <w:rFonts w:hint="eastAsia" w:ascii="宋体" w:hAnsi="宋体" w:cs="宋体"/>
          <w:b w:val="0"/>
          <w:bCs/>
          <w:color w:val="000000" w:themeColor="text1"/>
          <w:sz w:val="24"/>
          <w:lang w:val="en-US" w:eastAsia="zh-CN"/>
          <w14:textFill>
            <w14:solidFill>
              <w14:schemeClr w14:val="tx1"/>
            </w14:solidFill>
          </w14:textFill>
        </w:rPr>
        <w:t>。</w:t>
      </w:r>
    </w:p>
    <w:p>
      <w:pPr>
        <w:pStyle w:val="19"/>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、验收标准</w:t>
      </w:r>
    </w:p>
    <w:p>
      <w:pPr>
        <w:pStyle w:val="19"/>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（一）所有成果提交并通过前海深港现代服务业合作区管理局验收。</w:t>
      </w:r>
    </w:p>
    <w:p>
      <w:pPr>
        <w:pStyle w:val="19"/>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（二）验收</w:t>
      </w:r>
      <w:r>
        <w:rPr>
          <w:rFonts w:hint="eastAsia" w:ascii="宋体" w:hAnsi="宋体" w:eastAsia="宋体" w:cs="宋体"/>
          <w:color w:val="000000" w:themeColor="text1"/>
          <w:sz w:val="24"/>
          <w:lang w:val="en-US" w:eastAsia="zh-CN"/>
          <w14:textFill>
            <w14:solidFill>
              <w14:schemeClr w14:val="tx1"/>
            </w14:solidFill>
          </w14:textFill>
        </w:rPr>
        <w:t>内容</w:t>
      </w:r>
      <w:r>
        <w:rPr>
          <w:rFonts w:hint="eastAsia" w:ascii="宋体" w:hAnsi="宋体" w:cs="宋体"/>
          <w:bCs/>
          <w:color w:val="000000" w:themeColor="text1"/>
          <w:sz w:val="24"/>
          <w:highlight w:val="none"/>
          <w14:textFill>
            <w14:solidFill>
              <w14:schemeClr w14:val="tx1"/>
            </w14:solidFill>
          </w14:textFill>
        </w:rPr>
        <w:t>:本项目需形成</w:t>
      </w:r>
      <w:r>
        <w:rPr>
          <w:rFonts w:hint="eastAsia" w:ascii="宋体" w:hAnsi="宋体" w:cs="宋体"/>
          <w:bCs/>
          <w:color w:val="000000" w:themeColor="text1"/>
          <w:sz w:val="24"/>
          <w:highlight w:val="none"/>
          <w:lang w:eastAsia="zh-CN"/>
          <w14:textFill>
            <w14:solidFill>
              <w14:schemeClr w14:val="tx1"/>
            </w14:solidFill>
          </w14:textFill>
        </w:rPr>
        <w:t>四</w:t>
      </w:r>
      <w:r>
        <w:rPr>
          <w:rFonts w:hint="eastAsia" w:ascii="宋体" w:hAnsi="宋体" w:cs="宋体"/>
          <w:bCs/>
          <w:color w:val="000000" w:themeColor="text1"/>
          <w:sz w:val="24"/>
          <w:highlight w:val="none"/>
          <w14:textFill>
            <w14:solidFill>
              <w14:schemeClr w14:val="tx1"/>
            </w14:solidFill>
          </w14:textFill>
        </w:rPr>
        <w:t>类文件，并以书面形式和电子形式（*.doc格式）按时提交至</w:t>
      </w:r>
      <w:r>
        <w:rPr>
          <w:rFonts w:hint="eastAsia" w:ascii="宋体" w:hAnsi="宋体" w:cs="宋体"/>
          <w:bCs/>
          <w:color w:val="000000" w:themeColor="text1"/>
          <w:sz w:val="24"/>
          <w:highlight w:val="none"/>
          <w:lang w:val="en-US" w:eastAsia="zh-CN"/>
          <w14:textFill>
            <w14:solidFill>
              <w14:schemeClr w14:val="tx1"/>
            </w14:solidFill>
          </w14:textFill>
        </w:rPr>
        <w:t>采购人</w:t>
      </w:r>
      <w:r>
        <w:rPr>
          <w:rFonts w:hint="eastAsia" w:ascii="宋体" w:hAnsi="宋体" w:cs="宋体"/>
          <w:bCs/>
          <w:color w:val="000000" w:themeColor="text1"/>
          <w:sz w:val="24"/>
          <w:highlight w:val="none"/>
          <w14:textFill>
            <w14:solidFill>
              <w14:schemeClr w14:val="tx1"/>
            </w14:solidFill>
          </w14:textFill>
        </w:rPr>
        <w:t>进行修改完善直至定稿：一是按月度形成外资月度数据简报（全年共12份）；二是按季度形成</w:t>
      </w:r>
      <w:r>
        <w:rPr>
          <w:rFonts w:hint="eastAsia" w:ascii="宋体" w:hAnsi="宋体" w:cs="宋体"/>
          <w:bCs/>
          <w:color w:val="000000" w:themeColor="text1"/>
          <w:sz w:val="24"/>
          <w:highlight w:val="none"/>
          <w:lang w:eastAsia="zh-CN"/>
          <w14:textFill>
            <w14:solidFill>
              <w14:schemeClr w14:val="tx1"/>
            </w14:solidFill>
          </w14:textFill>
        </w:rPr>
        <w:t>外资数据统计分析</w:t>
      </w:r>
      <w:r>
        <w:rPr>
          <w:rFonts w:hint="eastAsia" w:ascii="宋体" w:hAnsi="宋体" w:cs="宋体"/>
          <w:bCs/>
          <w:color w:val="000000" w:themeColor="text1"/>
          <w:sz w:val="24"/>
          <w:highlight w:val="none"/>
          <w14:textFill>
            <w14:solidFill>
              <w14:schemeClr w14:val="tx1"/>
            </w14:solidFill>
          </w14:textFill>
        </w:rPr>
        <w:t>报告（全年共4份）；三是按年度形成外商投资企业年度投资经营信息联合年度报告（全年共1份）</w:t>
      </w:r>
      <w:r>
        <w:rPr>
          <w:rFonts w:hint="eastAsia" w:ascii="宋体" w:hAnsi="宋体" w:cs="宋体"/>
          <w:bCs/>
          <w:color w:val="000000" w:themeColor="text1"/>
          <w:sz w:val="24"/>
          <w:highlight w:val="none"/>
          <w:lang w:eastAsia="zh-CN"/>
          <w14:textFill>
            <w14:solidFill>
              <w14:schemeClr w14:val="tx1"/>
            </w14:solidFill>
          </w14:textFill>
        </w:rPr>
        <w:t>；四是国际国内外资动向、比对报告（全年共2份）</w:t>
      </w:r>
      <w:r>
        <w:rPr>
          <w:rFonts w:hint="eastAsia" w:ascii="宋体" w:hAnsi="宋体" w:cs="宋体"/>
          <w:bCs/>
          <w:color w:val="000000" w:themeColor="text1"/>
          <w:sz w:val="24"/>
          <w:highlight w:val="none"/>
          <w14:textFill>
            <w14:solidFill>
              <w14:schemeClr w14:val="tx1"/>
            </w14:solidFill>
          </w14:textFill>
        </w:rPr>
        <w:t>。</w:t>
      </w:r>
    </w:p>
    <w:p>
      <w:pPr>
        <w:pStyle w:val="19"/>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本项目合同服务期限为自合同签订之日起12个月。本项目为长期服务项目，经履约考核</w:t>
      </w:r>
      <w:r>
        <w:rPr>
          <w:rFonts w:hint="eastAsia" w:ascii="宋体" w:hAnsi="宋体" w:cs="宋体"/>
          <w:color w:val="000000" w:themeColor="text1"/>
          <w:sz w:val="24"/>
          <w:highlight w:val="none"/>
          <w:lang w:eastAsia="zh-CN"/>
          <w14:textFill>
            <w14:solidFill>
              <w14:schemeClr w14:val="tx1"/>
            </w14:solidFill>
          </w14:textFill>
        </w:rPr>
        <w:t>优秀</w:t>
      </w:r>
      <w:r>
        <w:rPr>
          <w:rFonts w:hint="eastAsia" w:ascii="宋体" w:hAnsi="宋体" w:cs="宋体"/>
          <w:color w:val="000000" w:themeColor="text1"/>
          <w:sz w:val="24"/>
          <w:highlight w:val="none"/>
          <w14:textFill>
            <w14:solidFill>
              <w14:schemeClr w14:val="tx1"/>
            </w14:solidFill>
          </w14:textFill>
        </w:rPr>
        <w:t>后可续签下一年度合同，但最长不超过</w:t>
      </w:r>
      <w:r>
        <w:rPr>
          <w:rFonts w:hint="eastAsia" w:ascii="宋体" w:hAnsi="宋体" w:cs="宋体"/>
          <w:color w:val="000000" w:themeColor="text1"/>
          <w:sz w:val="24"/>
          <w:highlight w:val="none"/>
          <w:lang w:val="en-US" w:eastAsia="zh-CN"/>
          <w14:textFill>
            <w14:solidFill>
              <w14:schemeClr w14:val="tx1"/>
            </w14:solidFill>
          </w14:textFill>
        </w:rPr>
        <w:t>36个月</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二</w:t>
      </w:r>
      <w:r>
        <w:rPr>
          <w:rFonts w:hint="eastAsia" w:ascii="宋体" w:hAnsi="宋体" w:cs="宋体"/>
          <w:b/>
          <w:bCs/>
          <w:color w:val="000000" w:themeColor="text1"/>
          <w:kern w:val="0"/>
          <w:sz w:val="24"/>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lang w:eastAsia="zh-CN"/>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2.95万</w:t>
      </w:r>
      <w:r>
        <w:rPr>
          <w:rFonts w:hint="eastAsia" w:ascii="宋体" w:hAnsi="宋体" w:cs="宋体"/>
          <w:color w:val="000000" w:themeColor="text1"/>
          <w:sz w:val="24"/>
          <w:lang w:eastAsia="zh-CN"/>
          <w14:textFill>
            <w14:solidFill>
              <w14:schemeClr w14:val="tx1"/>
            </w14:solidFill>
          </w14:textFill>
        </w:rPr>
        <w:t>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w:t>
      </w:r>
      <w:r>
        <w:rPr>
          <w:rFonts w:hint="eastAsia" w:ascii="宋体" w:hAnsi="宋体" w:cs="宋体"/>
          <w:color w:val="000000" w:themeColor="text1"/>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sz w:val="24"/>
          <w:lang w:val="en-US" w:eastAsia="zh-CN"/>
          <w14:textFill>
            <w14:solidFill>
              <w14:schemeClr w14:val="tx1"/>
            </w14:solidFill>
          </w14:textFill>
        </w:rPr>
        <w:t>但不限于</w:t>
      </w:r>
      <w:r>
        <w:rPr>
          <w:rFonts w:hint="eastAsia" w:ascii="宋体" w:hAnsi="宋体" w:cs="宋体"/>
          <w:color w:val="000000" w:themeColor="text1"/>
          <w:sz w:val="24"/>
          <w:lang w:eastAsia="zh-CN"/>
          <w14:textFill>
            <w14:solidFill>
              <w14:schemeClr w14:val="tx1"/>
            </w14:solidFill>
          </w14:textFill>
        </w:rPr>
        <w:t>数据采购费、数据系统费、</w:t>
      </w:r>
      <w:r>
        <w:rPr>
          <w:rFonts w:hint="eastAsia" w:ascii="宋体" w:hAnsi="宋体" w:cs="宋体"/>
          <w:color w:val="000000" w:themeColor="text1"/>
          <w:sz w:val="24"/>
          <w:lang w:val="en-US" w:eastAsia="zh-CN"/>
          <w14:textFill>
            <w14:solidFill>
              <w14:schemeClr w14:val="tx1"/>
            </w14:solidFill>
          </w14:textFill>
        </w:rPr>
        <w:t>投标人</w:t>
      </w:r>
      <w:r>
        <w:rPr>
          <w:rFonts w:hint="eastAsia" w:ascii="宋体" w:hAnsi="宋体" w:cs="宋体"/>
          <w:color w:val="000000" w:themeColor="text1"/>
          <w:sz w:val="24"/>
          <w:lang w:eastAsia="zh-CN"/>
          <w14:textFill>
            <w14:solidFill>
              <w14:schemeClr w14:val="tx1"/>
            </w14:solidFill>
          </w14:textFill>
        </w:rPr>
        <w:t>工作人员成本、中标服务费、资料费、通讯费、交通费、税金、后续服务、利润等所有费用，并提供合同要求的成果文件，以及其它相关服务的全部费用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三</w:t>
      </w:r>
      <w:r>
        <w:rPr>
          <w:rFonts w:hint="eastAsia" w:ascii="宋体" w:hAnsi="宋体" w:cs="宋体"/>
          <w:b/>
          <w:bCs/>
          <w:color w:val="000000" w:themeColor="text1"/>
          <w:kern w:val="0"/>
          <w:sz w:val="24"/>
          <w:highlight w:val="none"/>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项目资金分2期支付至中标人指定银行账户：</w:t>
      </w:r>
    </w:p>
    <w:p>
      <w:pPr>
        <w:pageBreakBefore w:val="0"/>
        <w:widowControl/>
        <w:numPr>
          <w:ilvl w:val="0"/>
          <w:numId w:val="0"/>
        </w:numPr>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default"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首期：</w:t>
      </w:r>
      <w:r>
        <w:rPr>
          <w:rFonts w:hint="eastAsia" w:ascii="宋体" w:hAnsi="宋体" w:cs="宋体"/>
          <w:color w:val="000000" w:themeColor="text1"/>
          <w:sz w:val="24"/>
          <w:lang w:val="en-US" w:eastAsia="zh-CN"/>
          <w14:textFill>
            <w14:solidFill>
              <w14:schemeClr w14:val="tx1"/>
            </w14:solidFill>
          </w14:textFill>
        </w:rPr>
        <w:t>自</w:t>
      </w:r>
      <w:r>
        <w:rPr>
          <w:rFonts w:hint="eastAsia" w:ascii="宋体" w:hAnsi="宋体" w:cs="宋体"/>
          <w:color w:val="000000" w:themeColor="text1"/>
          <w:sz w:val="24"/>
          <w14:textFill>
            <w14:solidFill>
              <w14:schemeClr w14:val="tx1"/>
            </w14:solidFill>
          </w14:textFill>
        </w:rPr>
        <w:t>合同签订</w:t>
      </w:r>
      <w:r>
        <w:rPr>
          <w:rFonts w:hint="eastAsia" w:ascii="宋体" w:hAnsi="宋体" w:cs="宋体"/>
          <w:color w:val="000000" w:themeColor="text1"/>
          <w:sz w:val="24"/>
          <w:lang w:val="en-US" w:eastAsia="zh-CN"/>
          <w14:textFill>
            <w14:solidFill>
              <w14:schemeClr w14:val="tx1"/>
            </w14:solidFill>
          </w14:textFill>
        </w:rPr>
        <w:t>之日起</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个工作日内，根据中标人提出的付款申请，采购人向中标人支付总价款</w:t>
      </w:r>
      <w:r>
        <w:rPr>
          <w:rFonts w:hint="eastAsia" w:ascii="宋体" w:hAnsi="宋体" w:cs="宋体"/>
          <w:b w:val="0"/>
          <w:bCs w:val="0"/>
          <w:color w:val="000000" w:themeColor="text1"/>
          <w:sz w:val="24"/>
          <w14:textFill>
            <w14:solidFill>
              <w14:schemeClr w14:val="tx1"/>
            </w14:solidFill>
          </w14:textFill>
        </w:rPr>
        <w:t>的</w:t>
      </w: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cs="宋体"/>
          <w:b w:val="0"/>
          <w:bCs w:val="0"/>
          <w:color w:val="000000" w:themeColor="text1"/>
          <w:sz w:val="24"/>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2.第二期：</w:t>
      </w:r>
      <w:r>
        <w:rPr>
          <w:rFonts w:hint="eastAsia" w:ascii="宋体" w:hAnsi="宋体" w:cs="宋体"/>
          <w:color w:val="000000" w:themeColor="text1"/>
          <w:sz w:val="24"/>
          <w14:textFill>
            <w14:solidFill>
              <w14:schemeClr w14:val="tx1"/>
            </w14:solidFill>
          </w14:textFill>
        </w:rPr>
        <w:t>在合同期满前，</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服务内容进行最终验收，验收合格后由</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出具终期验收工作报告，经</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确认后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采购人向中标人支付剩余</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0%合同尾款。如遇验收不合格情况，</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给予中标人30天整改期，验收合格后，</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出具终期验收工作报告经</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确认后予以支付</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r>
        <w:rPr>
          <w:rFonts w:hint="eastAsia"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四</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10%的违约金，如果违约金无法弥补采购人的损失，采购人有权要求中标人赔偿全部损失</w:t>
      </w:r>
      <w:r>
        <w:rPr>
          <w:rFonts w:hint="eastAsia" w:ascii="宋体" w:hAnsi="宋体" w:cs="宋体"/>
          <w:color w:val="000000" w:themeColor="text1"/>
          <w:sz w:val="24"/>
          <w:u w:val="none"/>
          <w14:textFill>
            <w14:solidFill>
              <w14:schemeClr w14:val="tx1"/>
            </w14:solidFill>
          </w14:textFill>
        </w:rPr>
        <w:t>，包括但不限于上述索赔或责任所产生的诉讼费用、合理的律师费用、鉴定评估费用、调查费用、和解金额或生效法律文书中规定的赔偿金额。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五</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应以保密方式处理在编制本项目成果文件过程中自采购人、采购人工作人员或采购人关联机构获得的相关信息、资料、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六</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10%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7" w:name="_Toc23822"/>
      <w:r>
        <w:rPr>
          <w:rFonts w:hint="eastAsia" w:ascii="宋体" w:cs="宋体"/>
          <w:b/>
          <w:bCs/>
          <w:color w:val="000000" w:themeColor="text1"/>
          <w:sz w:val="24"/>
          <w14:textFill>
            <w14:solidFill>
              <w14:schemeClr w14:val="tx1"/>
            </w14:solidFill>
          </w14:textFill>
        </w:rPr>
        <w:t>第六章 投标文件初审及招标项目评分表</w:t>
      </w:r>
      <w:bookmarkEnd w:id="17"/>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2"/>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2"/>
              <w:spacing w:line="360" w:lineRule="auto"/>
              <w:rPr>
                <w:rFonts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2"/>
              <w:spacing w:line="360" w:lineRule="auto"/>
              <w:ind w:left="216" w:leftChars="103"/>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投标人资质情况</w:t>
            </w:r>
          </w:p>
        </w:tc>
        <w:tc>
          <w:tcPr>
            <w:tcW w:w="5907" w:type="dxa"/>
            <w:noWrap w:val="0"/>
            <w:vAlign w:val="center"/>
          </w:tcPr>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1、投标人具有质量管理体系认证证书</w:t>
            </w:r>
            <w:r>
              <w:rPr>
                <w:rFonts w:hint="eastAsia" w:ascii="宋体" w:hAnsi="宋体" w:cs="宋体"/>
                <w:color w:val="000000" w:themeColor="text1"/>
                <w:sz w:val="24"/>
                <w:lang w:eastAsia="zh-CN"/>
                <w14:textFill>
                  <w14:solidFill>
                    <w14:schemeClr w14:val="tx1"/>
                  </w14:solidFill>
                </w14:textFill>
              </w:rPr>
              <w:t>（ISO9001）</w:t>
            </w:r>
            <w:r>
              <w:rPr>
                <w:rFonts w:hint="eastAsia" w:ascii="宋体" w:hAnsi="宋体" w:eastAsia="宋体" w:cs="宋体"/>
                <w:color w:val="000000" w:themeColor="text1"/>
                <w:sz w:val="24"/>
                <w14:textFill>
                  <w14:solidFill>
                    <w14:schemeClr w14:val="tx1"/>
                  </w14:solidFill>
                </w14:textFill>
              </w:rPr>
              <w:t>的；</w:t>
            </w:r>
          </w:p>
          <w:p>
            <w:pPr>
              <w:pageBreakBefore w:val="0"/>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、投标人具有环境管理体系认证证书</w:t>
            </w:r>
            <w:r>
              <w:rPr>
                <w:rFonts w:hint="eastAsia" w:ascii="宋体" w:hAnsi="宋体" w:cs="宋体"/>
                <w:color w:val="000000" w:themeColor="text1"/>
                <w:sz w:val="24"/>
                <w:lang w:val="en-US" w:eastAsia="zh-CN"/>
                <w14:textFill>
                  <w14:solidFill>
                    <w14:schemeClr w14:val="tx1"/>
                  </w14:solidFill>
                </w14:textFill>
              </w:rPr>
              <w:t>（ISO14001）</w:t>
            </w:r>
            <w:r>
              <w:rPr>
                <w:rFonts w:hint="eastAsia" w:ascii="宋体" w:hAnsi="宋体" w:eastAsia="宋体" w:cs="宋体"/>
                <w:color w:val="000000" w:themeColor="text1"/>
                <w:sz w:val="24"/>
                <w:lang w:val="en-US" w:eastAsia="zh-CN"/>
                <w14:textFill>
                  <w14:solidFill>
                    <w14:schemeClr w14:val="tx1"/>
                  </w14:solidFill>
                </w14:textFill>
              </w:rPr>
              <w:t>的；</w:t>
            </w:r>
          </w:p>
          <w:p>
            <w:pPr>
              <w:pageBreakBefore w:val="0"/>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、投标人具有职业健康安全管理体系认证证书</w:t>
            </w:r>
            <w:r>
              <w:rPr>
                <w:rFonts w:hint="eastAsia" w:ascii="宋体" w:hAnsi="宋体" w:cs="宋体"/>
                <w:color w:val="000000" w:themeColor="text1"/>
                <w:sz w:val="24"/>
                <w:lang w:val="en-US" w:eastAsia="zh-CN"/>
                <w14:textFill>
                  <w14:solidFill>
                    <w14:schemeClr w14:val="tx1"/>
                  </w14:solidFill>
                </w14:textFill>
              </w:rPr>
              <w:t>（OHSAS18001/ISO45001）</w:t>
            </w:r>
            <w:r>
              <w:rPr>
                <w:rFonts w:hint="eastAsia" w:ascii="宋体" w:hAnsi="宋体" w:eastAsia="宋体" w:cs="宋体"/>
                <w:color w:val="000000" w:themeColor="text1"/>
                <w:sz w:val="24"/>
                <w:lang w:val="en-US" w:eastAsia="zh-CN"/>
                <w14:textFill>
                  <w14:solidFill>
                    <w14:schemeClr w14:val="tx1"/>
                  </w14:solidFill>
                </w14:textFill>
              </w:rPr>
              <w:t>的；</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每1个得2分，最高得6分</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1、投标人须提供以上在有效期内的认证证书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认证范围须包括数据采集、数据分析等相关字眼</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及全国认证认可信息公共服务平台http:// http://cx.cnca.cn/的查询截图</w:t>
            </w:r>
            <w:r>
              <w:rPr>
                <w:rFonts w:hint="eastAsia" w:ascii="宋体" w:hAnsi="宋体" w:eastAsia="宋体" w:cs="宋体"/>
                <w:color w:val="000000" w:themeColor="text1"/>
                <w:sz w:val="24"/>
                <w:lang w:val="en-US" w:eastAsia="zh-CN"/>
                <w14:textFill>
                  <w14:solidFill>
                    <w14:schemeClr w14:val="tx1"/>
                  </w14:solidFill>
                </w14:textFill>
              </w:rPr>
              <w:t>加盖公章</w:t>
            </w:r>
            <w:r>
              <w:rPr>
                <w:rFonts w:hint="eastAsia" w:ascii="宋体" w:hAnsi="宋体" w:eastAsia="宋体" w:cs="宋体"/>
                <w:color w:val="000000" w:themeColor="text1"/>
                <w:sz w:val="24"/>
                <w14:textFill>
                  <w14:solidFill>
                    <w14:schemeClr w14:val="tx1"/>
                  </w14:solidFill>
                </w14:textFill>
              </w:rPr>
              <w:t>，截图需显示证书状态为有效，原件备查。评分中出现无证明资料或专家无法凭所提供资料判断是否得分的情况，一律作不得分处理。</w:t>
            </w:r>
          </w:p>
        </w:tc>
        <w:tc>
          <w:tcPr>
            <w:tcW w:w="901" w:type="dxa"/>
            <w:noWrap w:val="0"/>
            <w:vAlign w:val="center"/>
          </w:tcPr>
          <w:p>
            <w:pPr>
              <w:pageBreakBefore w:val="0"/>
              <w:kinsoku/>
              <w:overflowPunct/>
              <w:topLinePunct w:val="0"/>
              <w:bidi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noWrap w:val="0"/>
            <w:vAlign w:val="center"/>
          </w:tcPr>
          <w:p>
            <w:pPr>
              <w:pageBreakBefore w:val="0"/>
              <w:kinsoku/>
              <w:overflowPunct/>
              <w:topLinePunct w:val="0"/>
              <w:bidi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项目负责人（仅限1人）</w:t>
            </w:r>
          </w:p>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5907" w:type="dxa"/>
            <w:noWrap w:val="0"/>
            <w:vAlign w:val="center"/>
          </w:tcPr>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1、具备本科</w:t>
            </w:r>
            <w:r>
              <w:rPr>
                <w:rFonts w:hint="eastAsia" w:ascii="宋体" w:hAnsi="宋体" w:cs="宋体"/>
                <w:color w:val="000000" w:themeColor="text1"/>
                <w:sz w:val="24"/>
                <w:lang w:val="en-US" w:eastAsia="zh-CN"/>
                <w14:textFill>
                  <w14:solidFill>
                    <w14:schemeClr w14:val="tx1"/>
                  </w14:solidFill>
                </w14:textFill>
              </w:rPr>
              <w:t>（或以上）</w:t>
            </w:r>
            <w:r>
              <w:rPr>
                <w:rFonts w:hint="eastAsia" w:ascii="宋体" w:hAnsi="宋体" w:eastAsia="宋体" w:cs="宋体"/>
                <w:color w:val="000000" w:themeColor="text1"/>
                <w:sz w:val="24"/>
                <w14:textFill>
                  <w14:solidFill>
                    <w14:schemeClr w14:val="tx1"/>
                  </w14:solidFill>
                </w14:textFill>
              </w:rPr>
              <w:t>学历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毕业于</w:t>
            </w:r>
            <w:r>
              <w:rPr>
                <w:rFonts w:hint="eastAsia" w:ascii="宋体" w:hAnsi="宋体" w:eastAsia="宋体" w:cs="宋体"/>
                <w:color w:val="000000" w:themeColor="text1"/>
                <w:sz w:val="24"/>
                <w:lang w:val="en-US" w:eastAsia="zh-CN"/>
                <w14:textFill>
                  <w14:solidFill>
                    <w14:schemeClr w14:val="tx1"/>
                  </w14:solidFill>
                </w14:textFill>
              </w:rPr>
              <w:t>金融或统计或经济等相关专业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且</w:t>
            </w:r>
            <w:r>
              <w:rPr>
                <w:rFonts w:hint="eastAsia" w:ascii="宋体" w:hAnsi="宋体" w:eastAsia="宋体" w:cs="宋体"/>
                <w:color w:val="000000" w:themeColor="text1"/>
                <w:sz w:val="24"/>
                <w14:textFill>
                  <w14:solidFill>
                    <w14:schemeClr w14:val="tx1"/>
                  </w14:solidFill>
                </w14:textFill>
              </w:rPr>
              <w:t>具</w:t>
            </w:r>
            <w:r>
              <w:rPr>
                <w:rFonts w:hint="eastAsia" w:ascii="宋体" w:hAnsi="宋体" w:cs="宋体"/>
                <w:color w:val="000000" w:themeColor="text1"/>
                <w:sz w:val="24"/>
                <w:lang w:val="en-US" w:eastAsia="zh-CN"/>
                <w14:textFill>
                  <w14:solidFill>
                    <w14:schemeClr w14:val="tx1"/>
                  </w14:solidFill>
                </w14:textFill>
              </w:rPr>
              <w:t>有人力资源和社会保障部门颁发的</w:t>
            </w:r>
            <w:r>
              <w:rPr>
                <w:rFonts w:hint="eastAsia" w:ascii="宋体" w:hAnsi="宋体" w:eastAsia="宋体" w:cs="宋体"/>
                <w:color w:val="000000" w:themeColor="text1"/>
                <w:sz w:val="24"/>
                <w14:textFill>
                  <w14:solidFill>
                    <w14:schemeClr w14:val="tx1"/>
                  </w14:solidFill>
                </w14:textFill>
              </w:rPr>
              <w:t>高级统计师</w:t>
            </w:r>
            <w:r>
              <w:rPr>
                <w:rFonts w:hint="eastAsia" w:ascii="宋体" w:hAnsi="宋体" w:cs="宋体"/>
                <w:color w:val="000000" w:themeColor="text1"/>
                <w:sz w:val="24"/>
                <w:lang w:val="en-US" w:eastAsia="zh-CN"/>
                <w14:textFill>
                  <w14:solidFill>
                    <w14:schemeClr w14:val="tx1"/>
                  </w14:solidFill>
                </w14:textFill>
              </w:rPr>
              <w:t>证书</w:t>
            </w:r>
            <w:r>
              <w:rPr>
                <w:rFonts w:hint="eastAsia" w:ascii="宋体" w:hAnsi="宋体" w:eastAsia="宋体" w:cs="宋体"/>
                <w:color w:val="000000" w:themeColor="text1"/>
                <w:sz w:val="24"/>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eastAsia="zh-CN"/>
                <w14:textFill>
                  <w14:solidFill>
                    <w14:schemeClr w14:val="tx1"/>
                  </w14:solidFill>
                </w14:textFill>
              </w:rPr>
              <w:t>；</w:t>
            </w:r>
          </w:p>
          <w:p>
            <w:pPr>
              <w:pageBreakBefore w:val="0"/>
              <w:kinsoku/>
              <w:overflowPunct/>
              <w:topLinePunct w:val="0"/>
              <w:bidi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担任过区级（或县级）或以上数据服务类或统计分析类项目负责人（或总统筹）的，每1个项目得1分，最高得3分；</w:t>
            </w:r>
          </w:p>
          <w:p>
            <w:pPr>
              <w:pageBreakBefore w:val="0"/>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3、在统计研究或中国统计等中国中文类核心期刊或中国核心学术类期刊发表过与统计相关的论文的，每1篇论文得1分，最高得2分。</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项累计得分，最高得</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1、提供由投标人或其同一法人的分公司</w:t>
            </w:r>
            <w:r>
              <w:rPr>
                <w:rFonts w:hint="eastAsia" w:ascii="宋体" w:hAnsi="宋体" w:cs="宋体"/>
                <w:color w:val="000000" w:themeColor="text1"/>
                <w:sz w:val="24"/>
                <w:lang w:val="en-US" w:eastAsia="zh-CN"/>
                <w14:textFill>
                  <w14:solidFill>
                    <w14:schemeClr w14:val="tx1"/>
                  </w14:solidFill>
                </w14:textFill>
              </w:rPr>
              <w:t>在投标截止之日前</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eastAsia="宋体" w:cs="宋体"/>
                <w:color w:val="000000" w:themeColor="text1"/>
                <w:sz w:val="24"/>
                <w:lang w:val="en-US" w:eastAsia="zh-CN"/>
                <w14:textFill>
                  <w14:solidFill>
                    <w14:schemeClr w14:val="tx1"/>
                  </w14:solidFill>
                </w14:textFill>
              </w:rPr>
              <w:t>其</w:t>
            </w:r>
            <w:r>
              <w:rPr>
                <w:rFonts w:hint="eastAsia" w:ascii="宋体" w:hAnsi="宋体" w:eastAsia="宋体" w:cs="宋体"/>
                <w:color w:val="000000" w:themeColor="text1"/>
                <w:sz w:val="24"/>
                <w14:textFill>
                  <w14:solidFill>
                    <w14:schemeClr w14:val="tx1"/>
                  </w14:solidFill>
                </w14:textFill>
              </w:rPr>
              <w:t>缴纳的近</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个月内</w:t>
            </w:r>
            <w:r>
              <w:rPr>
                <w:rFonts w:hint="eastAsia" w:ascii="宋体" w:hAnsi="宋体" w:eastAsia="宋体" w:cs="宋体"/>
                <w:color w:val="000000" w:themeColor="text1"/>
                <w:sz w:val="24"/>
                <w:lang w:val="en-US" w:eastAsia="zh-CN"/>
                <w14:textFill>
                  <w14:solidFill>
                    <w14:schemeClr w14:val="tx1"/>
                  </w14:solidFill>
                </w14:textFill>
              </w:rPr>
              <w:t>任意一个月</w:t>
            </w:r>
            <w:r>
              <w:rPr>
                <w:rFonts w:hint="eastAsia" w:ascii="宋体" w:hAnsi="宋体" w:eastAsia="宋体" w:cs="宋体"/>
                <w:color w:val="000000" w:themeColor="text1"/>
                <w:sz w:val="24"/>
                <w14:textFill>
                  <w14:solidFill>
                    <w14:schemeClr w14:val="tx1"/>
                  </w14:solidFill>
                </w14:textFill>
              </w:rPr>
              <w:t>的社保证明或加盖公章的社保承诺函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仅在投标人注册成立时间不足一个月的情况下提供</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作为得分依据</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并加盖公章</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2、提供学历证书</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或毕业证书</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及学信网查询截图，原件备查。对于较早颁发的学历证书，学信网无法查询的，除要求提供证书扫描件，需要提供其他佐证材料（如毕业院校、人社部门等颁发机构或监管机构等单位出具的证明）</w:t>
            </w:r>
            <w:r>
              <w:rPr>
                <w:rFonts w:hint="eastAsia" w:ascii="宋体" w:hAnsi="宋体" w:eastAsia="宋体" w:cs="宋体"/>
                <w:color w:val="000000" w:themeColor="text1"/>
                <w:sz w:val="24"/>
                <w14:textFill>
                  <w14:solidFill>
                    <w14:schemeClr w14:val="tx1"/>
                  </w14:solidFill>
                </w14:textFill>
              </w:rPr>
              <w:t>作为得分依据，</w:t>
            </w:r>
            <w:r>
              <w:rPr>
                <w:rFonts w:hint="eastAsia" w:ascii="宋体" w:hAnsi="宋体" w:eastAsia="宋体" w:cs="宋体"/>
                <w:color w:val="000000" w:themeColor="text1"/>
                <w:sz w:val="24"/>
                <w:lang w:val="en-US" w:eastAsia="zh-CN"/>
                <w14:textFill>
                  <w14:solidFill>
                    <w14:schemeClr w14:val="tx1"/>
                  </w14:solidFill>
                </w14:textFill>
              </w:rPr>
              <w:t>并加盖公章</w:t>
            </w:r>
            <w:r>
              <w:rPr>
                <w:rFonts w:hint="eastAsia" w:ascii="宋体" w:hAnsi="宋体" w:eastAsia="宋体" w:cs="宋体"/>
                <w:color w:val="000000" w:themeColor="text1"/>
                <w:sz w:val="24"/>
                <w14:textFill>
                  <w14:solidFill>
                    <w14:schemeClr w14:val="tx1"/>
                  </w14:solidFill>
                </w14:textFill>
              </w:rPr>
              <w:t>。留学归国人员</w:t>
            </w:r>
            <w:r>
              <w:rPr>
                <w:rFonts w:hint="eastAsia" w:ascii="宋体" w:hAnsi="宋体" w:eastAsia="宋体" w:cs="宋体"/>
                <w:color w:val="000000" w:themeColor="text1"/>
                <w:sz w:val="24"/>
                <w:lang w:val="en-US" w:eastAsia="zh-CN"/>
                <w14:textFill>
                  <w14:solidFill>
                    <w14:schemeClr w14:val="tx1"/>
                  </w14:solidFill>
                </w14:textFill>
              </w:rPr>
              <w:t>需</w:t>
            </w:r>
            <w:r>
              <w:rPr>
                <w:rFonts w:hint="eastAsia" w:ascii="宋体" w:hAnsi="宋体" w:eastAsia="宋体" w:cs="宋体"/>
                <w:color w:val="000000" w:themeColor="text1"/>
                <w:sz w:val="24"/>
                <w14:textFill>
                  <w14:solidFill>
                    <w14:schemeClr w14:val="tx1"/>
                  </w14:solidFill>
                </w14:textFill>
              </w:rPr>
              <w:t>提供国（境）外学历证书扫描件和教育部留学服务中心出具的国外学历认证书扫描件【或教育部留学服务中心网站（</w:t>
            </w: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HYPERLINK "http://zwfw.cscse.edu.cn/）在线查询截图】也予以认可。</w:instrTex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 </w: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http://zwfw.cscse.edu.cn/）在线查询截图】也予以认可。</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、提供职称证书</w:t>
            </w:r>
            <w:r>
              <w:rPr>
                <w:rFonts w:hint="eastAsia" w:ascii="宋体" w:hAnsi="宋体" w:cs="宋体"/>
                <w:color w:val="000000" w:themeColor="text1"/>
                <w:sz w:val="24"/>
                <w:lang w:val="en-US" w:eastAsia="zh-CN"/>
                <w14:textFill>
                  <w14:solidFill>
                    <w14:schemeClr w14:val="tx1"/>
                  </w14:solidFill>
                </w14:textFill>
              </w:rPr>
              <w:t>、刊物证明及项目业绩证明（合同关键页或结项证明、官方网站公告等）作为得分依据</w:t>
            </w:r>
            <w:r>
              <w:rPr>
                <w:rFonts w:hint="eastAsia" w:ascii="宋体" w:hAnsi="宋体" w:eastAsia="宋体" w:cs="宋体"/>
                <w:color w:val="000000" w:themeColor="text1"/>
                <w:sz w:val="24"/>
                <w:lang w:val="en-US" w:eastAsia="zh-CN"/>
                <w14:textFill>
                  <w14:solidFill>
                    <w14:schemeClr w14:val="tx1"/>
                  </w14:solidFill>
                </w14:textFill>
              </w:rPr>
              <w:t>并加盖公章</w:t>
            </w:r>
            <w:r>
              <w:rPr>
                <w:rFonts w:hint="eastAsia" w:ascii="宋体" w:hAnsi="宋体" w:cs="宋体"/>
                <w:color w:val="000000" w:themeColor="text1"/>
                <w:sz w:val="24"/>
                <w:lang w:val="en-US" w:eastAsia="zh-CN"/>
                <w14:textFill>
                  <w14:solidFill>
                    <w14:schemeClr w14:val="tx1"/>
                  </w14:solidFill>
                </w14:textFill>
              </w:rPr>
              <w:t>，其中合同关键页需</w:t>
            </w:r>
            <w:r>
              <w:rPr>
                <w:rFonts w:hint="eastAsia" w:ascii="宋体" w:hAnsi="宋体" w:eastAsia="宋体" w:cs="宋体"/>
                <w:color w:val="000000" w:themeColor="text1"/>
                <w:sz w:val="24"/>
                <w14:textFill>
                  <w14:solidFill>
                    <w14:schemeClr w14:val="tx1"/>
                  </w14:solidFill>
                </w14:textFill>
              </w:rPr>
              <w:t>包含签订合同双方的单位名称、合同项目名称、服务内容页</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双方盖章和签订日期等信息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证明文件须体</w:t>
            </w:r>
            <w:r>
              <w:rPr>
                <w:rFonts w:hint="eastAsia" w:ascii="宋体" w:hAnsi="宋体" w:eastAsia="宋体" w:cs="宋体"/>
                <w:color w:val="000000" w:themeColor="text1"/>
                <w:sz w:val="24"/>
                <w:lang w:val="en-US" w:eastAsia="zh-CN"/>
                <w14:textFill>
                  <w14:solidFill>
                    <w14:schemeClr w14:val="tx1"/>
                  </w14:solidFill>
                </w14:textFill>
              </w:rPr>
              <w:t>现项目负责人的名称，如项目业绩证明资料</w:t>
            </w:r>
            <w:r>
              <w:rPr>
                <w:rFonts w:hint="eastAsia" w:ascii="宋体" w:hAnsi="宋体" w:eastAsia="宋体" w:cs="宋体"/>
                <w:color w:val="000000" w:themeColor="text1"/>
                <w:sz w:val="24"/>
                <w:highlight w:val="none"/>
                <w:lang w:val="en-US" w:eastAsia="zh-CN"/>
                <w14:textFill>
                  <w14:solidFill>
                    <w14:schemeClr w14:val="tx1"/>
                  </w14:solidFill>
                </w14:textFill>
              </w:rPr>
              <w:t>无法判断是否得分的或无人员信息的，须提供甲方出具的人员证明材料</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4、以上资料均要求提供扫描件（或官方网站截图），原件备查。评分中出现无证明资料或专家无法凭所提供资料判断是否得分的情况，一律不得分。</w:t>
            </w:r>
          </w:p>
        </w:tc>
        <w:tc>
          <w:tcPr>
            <w:tcW w:w="901" w:type="dxa"/>
            <w:noWrap w:val="0"/>
            <w:vAlign w:val="center"/>
          </w:tcPr>
          <w:p>
            <w:pPr>
              <w:pageBreakBefore w:val="0"/>
              <w:kinsoku/>
              <w:overflowPunct/>
              <w:topLinePunct w:val="0"/>
              <w:bidi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拟安排的项目主要团队成员情况（项目负责人除外）</w:t>
            </w:r>
          </w:p>
        </w:tc>
        <w:tc>
          <w:tcPr>
            <w:tcW w:w="5907" w:type="dxa"/>
            <w:noWrap w:val="0"/>
            <w:vAlign w:val="center"/>
          </w:tcPr>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评审内容：</w: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具备本科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或以上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学历的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毕业于</w:t>
            </w:r>
            <w:r>
              <w:rPr>
                <w:rFonts w:hint="eastAsia" w:ascii="宋体" w:hAnsi="宋体" w:eastAsia="宋体" w:cs="宋体"/>
                <w:color w:val="000000" w:themeColor="text1"/>
                <w:sz w:val="24"/>
                <w:lang w:val="en-US" w:eastAsia="zh-CN"/>
                <w14:textFill>
                  <w14:solidFill>
                    <w14:schemeClr w14:val="tx1"/>
                  </w14:solidFill>
                </w14:textFill>
              </w:rPr>
              <w:t>金融或统计或经济等相关专业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每1个得1分，最高得3分</w:t>
            </w:r>
            <w:r>
              <w:rPr>
                <w:rFonts w:hint="eastAsia" w:ascii="宋体" w:hAnsi="宋体" w:eastAsia="宋体" w:cs="宋体"/>
                <w:color w:val="000000" w:themeColor="text1"/>
                <w:sz w:val="24"/>
                <w:highlight w:val="none"/>
                <w14:textFill>
                  <w14:solidFill>
                    <w14:schemeClr w14:val="tx1"/>
                  </w14:solidFill>
                </w14:textFill>
              </w:rPr>
              <w:t>；</w:t>
            </w:r>
          </w:p>
          <w:p>
            <w:pPr>
              <w:pageBreakBefore w:val="0"/>
              <w:kinsoku/>
              <w:overflowPunct/>
              <w:topLinePunct w:val="0"/>
              <w:bidi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具有人力资源和社会保障部门颁发的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中级（或以上）统计师或经济师证书</w:t>
            </w:r>
            <w:r>
              <w:rPr>
                <w:rFonts w:hint="eastAsia" w:ascii="宋体" w:hAnsi="宋体" w:eastAsia="宋体" w:cs="宋体"/>
                <w:color w:val="000000" w:themeColor="text1"/>
                <w:sz w:val="24"/>
                <w:szCs w:val="24"/>
                <w:highlight w:val="none"/>
                <w14:textFill>
                  <w14:solidFill>
                    <w14:schemeClr w14:val="tx1"/>
                  </w14:solidFill>
                </w14:textFill>
              </w:rPr>
              <w:t>的，每1</w:t>
            </w: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最高得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本项最高得6分；</w:t>
            </w:r>
          </w:p>
          <w:p>
            <w:pPr>
              <w:pageBreakBefore w:val="0"/>
              <w:kinsoku/>
              <w:overflowPunct/>
              <w:topLinePunct w:val="0"/>
              <w:bidi w:val="0"/>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3、上述1-2项的人员中有参与过区级（或县级）</w:t>
            </w:r>
            <w:r>
              <w:rPr>
                <w:rFonts w:hint="eastAsia" w:ascii="宋体" w:hAnsi="宋体" w:cs="宋体"/>
                <w:color w:val="000000" w:themeColor="text1"/>
                <w:sz w:val="24"/>
                <w:lang w:val="en-US" w:eastAsia="zh-CN"/>
                <w14:textFill>
                  <w14:solidFill>
                    <w14:schemeClr w14:val="tx1"/>
                  </w14:solidFill>
                </w14:textFill>
              </w:rPr>
              <w:t>或以上数据服务类或统计分析类项目</w:t>
            </w:r>
            <w:r>
              <w:rPr>
                <w:rFonts w:hint="eastAsia" w:ascii="宋体" w:hAnsi="宋体" w:eastAsia="宋体" w:cs="宋体"/>
                <w:color w:val="000000" w:themeColor="text1"/>
                <w:sz w:val="24"/>
                <w:highlight w:val="none"/>
                <w:lang w:val="en-US" w:eastAsia="zh-CN"/>
                <w14:textFill>
                  <w14:solidFill>
                    <w14:schemeClr w14:val="tx1"/>
                  </w14:solidFill>
                </w14:textFill>
              </w:rPr>
              <w:t>经验的，每</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个</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eastAsia="宋体" w:cs="宋体"/>
                <w:color w:val="000000" w:themeColor="text1"/>
                <w:sz w:val="24"/>
                <w:highlight w:val="none"/>
                <w:lang w:val="en-US" w:eastAsia="zh-CN"/>
                <w14:textFill>
                  <w14:solidFill>
                    <w14:schemeClr w14:val="tx1"/>
                  </w14:solidFill>
                </w14:textFill>
              </w:rPr>
              <w:t>得1分，最高得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按项目得分，如同一项目有多名团队成员，仅算一次分数。</w: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同一人员</w:t>
            </w:r>
            <w:r>
              <w:rPr>
                <w:rFonts w:hint="eastAsia" w:ascii="宋体" w:hAnsi="宋体" w:cs="宋体"/>
                <w:color w:val="000000" w:themeColor="text1"/>
                <w:sz w:val="24"/>
                <w:highlight w:val="none"/>
                <w:lang w:val="en-US" w:eastAsia="zh-CN"/>
                <w14:textFill>
                  <w14:solidFill>
                    <w14:schemeClr w14:val="tx1"/>
                  </w14:solidFill>
                </w14:textFill>
              </w:rPr>
              <w:t>满足多项条件</w:t>
            </w:r>
            <w:r>
              <w:rPr>
                <w:rFonts w:hint="eastAsia" w:ascii="宋体" w:hAnsi="宋体" w:eastAsia="宋体" w:cs="宋体"/>
                <w:color w:val="000000" w:themeColor="text1"/>
                <w:sz w:val="24"/>
                <w:highlight w:val="none"/>
                <w:lang w:val="en-US" w:eastAsia="zh-CN"/>
                <w14:textFill>
                  <w14:solidFill>
                    <w14:schemeClr w14:val="tx1"/>
                  </w14:solidFill>
                </w14:textFill>
              </w:rPr>
              <w:t>可重复得分，</w:t>
            </w:r>
            <w:r>
              <w:rPr>
                <w:rFonts w:hint="eastAsia" w:ascii="宋体" w:hAnsi="宋体" w:eastAsia="宋体" w:cs="宋体"/>
                <w:color w:val="000000" w:themeColor="text1"/>
                <w:sz w:val="24"/>
                <w:highlight w:val="none"/>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项累计得分，最高得</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分。</w: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评分标准：</w: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提供由投标人</w:t>
            </w:r>
            <w:r>
              <w:rPr>
                <w:rFonts w:hint="eastAsia" w:ascii="宋体" w:hAnsi="宋体" w:cs="宋体"/>
                <w:color w:val="000000" w:themeColor="text1"/>
                <w:sz w:val="24"/>
                <w:lang w:val="en-US" w:eastAsia="zh-CN"/>
                <w14:textFill>
                  <w14:solidFill>
                    <w14:schemeClr w14:val="tx1"/>
                  </w14:solidFill>
                </w14:textFill>
              </w:rPr>
              <w:t>在投标截止之日前</w:t>
            </w:r>
            <w:r>
              <w:rPr>
                <w:rFonts w:hint="eastAsia" w:ascii="宋体" w:hAnsi="宋体" w:eastAsia="宋体" w:cs="宋体"/>
                <w:color w:val="000000" w:themeColor="text1"/>
                <w:sz w:val="24"/>
                <w14:textFill>
                  <w14:solidFill>
                    <w14:schemeClr w14:val="tx1"/>
                  </w14:solidFill>
                </w14:textFill>
              </w:rPr>
              <w:t>为其缴纳的近</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个月内任1个月的社保证明或加盖公章的社保承诺函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仅在投标人注册成立时间不足一个月的情况下提供</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作为得分依据</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并加盖公章</w:t>
            </w:r>
            <w:r>
              <w:rPr>
                <w:rFonts w:hint="eastAsia" w:ascii="宋体" w:hAnsi="宋体" w:eastAsia="宋体" w:cs="宋体"/>
                <w:color w:val="000000" w:themeColor="text1"/>
                <w:sz w:val="24"/>
                <w:highlight w:val="none"/>
                <w14:textFill>
                  <w14:solidFill>
                    <w14:schemeClr w14:val="tx1"/>
                  </w14:solidFill>
                </w14:textFill>
              </w:rPr>
              <w:t>。</w: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提供学历证书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或毕业证书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及学信网查询截图，原件备查。对于较早颁发的学历证书，学信网无法查询的，除要求提供证书扫描件，需要提供其他佐证材料（如毕业院校、人社部门等颁发机构或监管机构等单位出具的证明）</w:t>
            </w:r>
            <w:r>
              <w:rPr>
                <w:rFonts w:hint="eastAsia" w:ascii="宋体" w:hAnsi="宋体" w:eastAsia="宋体" w:cs="宋体"/>
                <w:color w:val="000000" w:themeColor="text1"/>
                <w:sz w:val="24"/>
                <w:highlight w:val="none"/>
                <w14:textFill>
                  <w14:solidFill>
                    <w14:schemeClr w14:val="tx1"/>
                  </w14:solidFill>
                </w14:textFill>
              </w:rPr>
              <w:t>作为得分依据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并加盖公章</w:t>
            </w:r>
            <w:r>
              <w:rPr>
                <w:rFonts w:hint="eastAsia" w:ascii="宋体" w:hAnsi="宋体" w:eastAsia="宋体" w:cs="宋体"/>
                <w:color w:val="000000" w:themeColor="text1"/>
                <w:sz w:val="24"/>
                <w:highlight w:val="none"/>
                <w14:textFill>
                  <w14:solidFill>
                    <w14:schemeClr w14:val="tx1"/>
                  </w14:solidFill>
                </w14:textFill>
              </w:rPr>
              <w:t>。留学归国人员</w:t>
            </w:r>
            <w:r>
              <w:rPr>
                <w:rFonts w:hint="eastAsia" w:ascii="宋体" w:hAnsi="宋体" w:eastAsia="宋体" w:cs="宋体"/>
                <w:color w:val="000000" w:themeColor="text1"/>
                <w:sz w:val="24"/>
                <w:highlight w:val="none"/>
                <w:lang w:val="en-US" w:eastAsia="zh-CN"/>
                <w14:textFill>
                  <w14:solidFill>
                    <w14:schemeClr w14:val="tx1"/>
                  </w14:solidFill>
                </w14:textFill>
              </w:rPr>
              <w:t>需</w:t>
            </w:r>
            <w:r>
              <w:rPr>
                <w:rFonts w:hint="eastAsia" w:ascii="宋体" w:hAnsi="宋体" w:eastAsia="宋体" w:cs="宋体"/>
                <w:color w:val="000000" w:themeColor="text1"/>
                <w:sz w:val="24"/>
                <w:highlight w:val="none"/>
                <w14:textFill>
                  <w14:solidFill>
                    <w14:schemeClr w14:val="tx1"/>
                  </w14:solidFill>
                </w14:textFill>
              </w:rPr>
              <w:t>提供国（境）外学历证书扫描件和教育部留学服务中心出具的国外学历认证书扫描件【或教育部留学服务中心网站（</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"http://zwfw.cscse.edu.cn/）在线查询截图】也予以认可。</w:instrText>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http://zwfw.cscse.edu.cn/）在线查询截图】也予以认可。</w:t>
            </w:r>
            <w:r>
              <w:rPr>
                <w:rFonts w:hint="eastAsia" w:ascii="宋体" w:hAnsi="宋体" w:eastAsia="宋体" w:cs="宋体"/>
                <w:color w:val="000000" w:themeColor="text1"/>
                <w:sz w:val="24"/>
                <w:highlight w:val="none"/>
                <w14:textFill>
                  <w14:solidFill>
                    <w14:schemeClr w14:val="tx1"/>
                  </w14:solidFill>
                </w14:textFill>
              </w:rPr>
              <w:fldChar w:fldCharType="end"/>
            </w:r>
          </w:p>
          <w:p>
            <w:pPr>
              <w:pageBreakBefore w:val="0"/>
              <w:kinsoku/>
              <w:overflowPunct/>
              <w:topLinePunct w:val="0"/>
              <w:bidi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提供职称证书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项目业绩证明（合同关键页或结项证明、官网公告等）作为得分依据，</w:t>
            </w:r>
            <w:r>
              <w:rPr>
                <w:rFonts w:hint="eastAsia" w:ascii="宋体" w:hAnsi="宋体" w:eastAsia="宋体" w:cs="宋体"/>
                <w:color w:val="000000" w:themeColor="text1"/>
                <w:sz w:val="24"/>
                <w:lang w:val="en-US" w:eastAsia="zh-CN"/>
                <w14:textFill>
                  <w14:solidFill>
                    <w14:schemeClr w14:val="tx1"/>
                  </w14:solidFill>
                </w14:textFill>
              </w:rPr>
              <w:t>并加盖公章，原件备查</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证明文件须体</w:t>
            </w:r>
            <w:r>
              <w:rPr>
                <w:rFonts w:hint="eastAsia" w:ascii="宋体" w:hAnsi="宋体" w:eastAsia="宋体" w:cs="宋体"/>
                <w:color w:val="000000" w:themeColor="text1"/>
                <w:sz w:val="24"/>
                <w:lang w:val="en-US" w:eastAsia="zh-CN"/>
                <w14:textFill>
                  <w14:solidFill>
                    <w14:schemeClr w14:val="tx1"/>
                  </w14:solidFill>
                </w14:textFill>
              </w:rPr>
              <w:t>现团队成员的名称，如项目业绩证明资料无法判断是否得分的或无人员信息的，须提供甲方出具的人员证明材料</w:t>
            </w:r>
            <w:r>
              <w:rPr>
                <w:rFonts w:hint="eastAsia" w:ascii="宋体" w:hAnsi="宋体" w:eastAsia="宋体" w:cs="宋体"/>
                <w:color w:val="000000" w:themeColor="text1"/>
                <w:sz w:val="24"/>
                <w:highlight w:val="none"/>
                <w14:textFill>
                  <w14:solidFill>
                    <w14:schemeClr w14:val="tx1"/>
                  </w14:solidFill>
                </w14:textFill>
              </w:rPr>
              <w:t>。</w:t>
            </w:r>
          </w:p>
          <w:p>
            <w:pPr>
              <w:pageBreakBefore w:val="0"/>
              <w:kinsoku/>
              <w:overflowPunct/>
              <w:topLinePunct w:val="0"/>
              <w:bidi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评分中出现无证明资料或专家无法凭所提供资料判断是否得分的情况，一律不得分。</w:t>
            </w:r>
          </w:p>
        </w:tc>
        <w:tc>
          <w:tcPr>
            <w:tcW w:w="901" w:type="dxa"/>
            <w:noWrap w:val="0"/>
            <w:vAlign w:val="center"/>
          </w:tcPr>
          <w:p>
            <w:pPr>
              <w:pageBreakBefore w:val="0"/>
              <w:kinsoku/>
              <w:overflowPunct/>
              <w:topLinePunct w:val="0"/>
              <w:bidi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业绩情况</w:t>
            </w:r>
          </w:p>
        </w:tc>
        <w:tc>
          <w:tcPr>
            <w:tcW w:w="5907" w:type="dxa"/>
            <w:noWrap w:val="0"/>
            <w:vAlign w:val="center"/>
          </w:tcPr>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投标人自</w:t>
            </w:r>
            <w:r>
              <w:rPr>
                <w:rFonts w:hint="eastAsia" w:ascii="宋体" w:hAnsi="宋体" w:eastAsia="宋体" w:cs="宋体"/>
                <w:color w:val="000000" w:themeColor="text1"/>
                <w:sz w:val="24"/>
                <w:lang w:val="en-US" w:eastAsia="zh-CN"/>
                <w14:textFill>
                  <w14:solidFill>
                    <w14:schemeClr w14:val="tx1"/>
                  </w14:solidFill>
                </w14:textFill>
              </w:rPr>
              <w:t>2020年</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月1日至投标截止之日</w:t>
            </w:r>
            <w:r>
              <w:rPr>
                <w:rFonts w:hint="eastAsia" w:ascii="宋体" w:hAnsi="宋体" w:eastAsia="宋体" w:cs="宋体"/>
                <w:color w:val="000000" w:themeColor="text1"/>
                <w:sz w:val="24"/>
                <w14:textFill>
                  <w14:solidFill>
                    <w14:schemeClr w14:val="tx1"/>
                  </w14:solidFill>
                </w14:textFill>
              </w:rPr>
              <w:t>（以合同签订时间为准），承接过</w:t>
            </w:r>
            <w:r>
              <w:rPr>
                <w:rFonts w:hint="eastAsia" w:ascii="宋体" w:hAnsi="宋体" w:cs="宋体"/>
                <w:color w:val="000000" w:themeColor="text1"/>
                <w:sz w:val="24"/>
                <w:lang w:val="en-US" w:eastAsia="zh-CN"/>
                <w14:textFill>
                  <w14:solidFill>
                    <w14:schemeClr w14:val="tx1"/>
                  </w14:solidFill>
                </w14:textFill>
              </w:rPr>
              <w:t>区级（或县级）或以上统计分析</w:t>
            </w:r>
            <w:r>
              <w:rPr>
                <w:rFonts w:hint="eastAsia" w:ascii="宋体" w:hAnsi="宋体" w:eastAsia="宋体" w:cs="宋体"/>
                <w:color w:val="000000" w:themeColor="text1"/>
                <w:sz w:val="24"/>
                <w:lang w:val="en-US" w:eastAsia="zh-CN"/>
                <w14:textFill>
                  <w14:solidFill>
                    <w14:schemeClr w14:val="tx1"/>
                  </w14:solidFill>
                </w14:textFill>
              </w:rPr>
              <w:t>或数据服务类</w:t>
            </w:r>
            <w:r>
              <w:rPr>
                <w:rFonts w:hint="eastAsia" w:ascii="宋体" w:hAnsi="宋体" w:eastAsia="宋体" w:cs="宋体"/>
                <w:color w:val="000000" w:themeColor="text1"/>
                <w:sz w:val="24"/>
                <w14:textFill>
                  <w14:solidFill>
                    <w14:schemeClr w14:val="tx1"/>
                  </w14:solidFill>
                </w14:textFill>
              </w:rPr>
              <w:t>项目的，每个得1分，最高得</w:t>
            </w:r>
            <w:r>
              <w:rPr>
                <w:rFonts w:hint="default"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提供合同关键页，合同关键页要求包含签订合同双方的单位名称、合同项目名称、服务内容页</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双方盖章和签订日期等信息。</w:t>
            </w:r>
          </w:p>
          <w:p>
            <w:pPr>
              <w:pageBreakBefore w:val="0"/>
              <w:kinsoku/>
              <w:overflowPunct/>
              <w:topLinePunct w:val="0"/>
              <w:bidi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以上资料均要求提供复印件，加盖公章</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原件备查</w:t>
            </w:r>
            <w:r>
              <w:rPr>
                <w:rFonts w:hint="eastAsia" w:ascii="宋体" w:hAnsi="宋体" w:eastAsia="宋体" w:cs="宋体"/>
                <w:color w:val="000000" w:themeColor="text1"/>
                <w:sz w:val="24"/>
                <w14:textFill>
                  <w14:solidFill>
                    <w14:schemeClr w14:val="tx1"/>
                  </w14:solidFill>
                </w14:textFill>
              </w:rPr>
              <w:t>。评分中出现无证明资料或专家无法凭所提供资料判断是否得分的情况，一律不得分。</w:t>
            </w:r>
          </w:p>
        </w:tc>
        <w:tc>
          <w:tcPr>
            <w:tcW w:w="901"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自主知识产权产品（创新、设计）情况</w:t>
            </w:r>
          </w:p>
        </w:tc>
        <w:tc>
          <w:tcPr>
            <w:tcW w:w="5907" w:type="dxa"/>
            <w:noWrap w:val="0"/>
            <w:vAlign w:val="center"/>
          </w:tcPr>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投标人具有</w:t>
            </w:r>
            <w:r>
              <w:rPr>
                <w:rFonts w:hint="eastAsia" w:ascii="宋体" w:hAnsi="宋体" w:cs="宋体"/>
                <w:color w:val="000000" w:themeColor="text1"/>
                <w:sz w:val="24"/>
                <w:lang w:val="en-US" w:eastAsia="zh-CN"/>
                <w14:textFill>
                  <w14:solidFill>
                    <w14:schemeClr w14:val="tx1"/>
                  </w14:solidFill>
                </w14:textFill>
              </w:rPr>
              <w:t>以下自主研发(购买或租赁)</w:t>
            </w:r>
            <w:r>
              <w:rPr>
                <w:rFonts w:hint="eastAsia" w:ascii="宋体" w:hAnsi="宋体" w:eastAsia="宋体" w:cs="宋体"/>
                <w:color w:val="000000" w:themeColor="text1"/>
                <w:sz w:val="24"/>
                <w14:textFill>
                  <w14:solidFill>
                    <w14:schemeClr w14:val="tx1"/>
                  </w14:solidFill>
                </w14:textFill>
              </w:rPr>
              <w:t>的知识产权，包括：</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具有</w:t>
            </w:r>
            <w:r>
              <w:rPr>
                <w:rFonts w:hint="eastAsia" w:ascii="宋体" w:hAnsi="宋体" w:eastAsia="宋体" w:cs="宋体"/>
                <w:color w:val="000000" w:themeColor="text1"/>
                <w:sz w:val="24"/>
                <w:lang w:val="en-US" w:eastAsia="zh-CN"/>
                <w14:textFill>
                  <w14:solidFill>
                    <w14:schemeClr w14:val="tx1"/>
                  </w14:solidFill>
                </w14:textFill>
              </w:rPr>
              <w:t>统计类、</w:t>
            </w:r>
            <w:r>
              <w:rPr>
                <w:rFonts w:hint="eastAsia" w:ascii="宋体" w:hAnsi="宋体" w:eastAsia="宋体" w:cs="宋体"/>
                <w:color w:val="000000" w:themeColor="text1"/>
                <w:sz w:val="24"/>
                <w14:textFill>
                  <w14:solidFill>
                    <w14:schemeClr w14:val="tx1"/>
                  </w14:solidFill>
                </w14:textFill>
              </w:rPr>
              <w:t>分析</w:t>
            </w:r>
            <w:r>
              <w:rPr>
                <w:rFonts w:hint="eastAsia" w:ascii="宋体" w:hAnsi="宋体" w:eastAsia="宋体" w:cs="宋体"/>
                <w:color w:val="000000" w:themeColor="text1"/>
                <w:sz w:val="24"/>
                <w:lang w:val="en-US" w:eastAsia="zh-CN"/>
                <w14:textFill>
                  <w14:solidFill>
                    <w14:schemeClr w14:val="tx1"/>
                  </w14:solidFill>
                </w14:textFill>
              </w:rPr>
              <w:t>类、数据服务类或数据管理类软件著作权的，每</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个得1分，最高得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pageBreakBefore w:val="0"/>
              <w:kinsoku/>
              <w:overflowPunct/>
              <w:topLinePunct w:val="0"/>
              <w:bidi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2、具有企业</w:t>
            </w:r>
            <w:r>
              <w:rPr>
                <w:rFonts w:hint="eastAsia" w:ascii="宋体" w:hAnsi="宋体" w:cs="宋体"/>
                <w:color w:val="000000" w:themeColor="text1"/>
                <w:sz w:val="24"/>
                <w:lang w:val="en-US" w:eastAsia="zh-CN"/>
                <w14:textFill>
                  <w14:solidFill>
                    <w14:schemeClr w14:val="tx1"/>
                  </w14:solidFill>
                </w14:textFill>
              </w:rPr>
              <w:t>数据</w:t>
            </w:r>
            <w:r>
              <w:rPr>
                <w:rFonts w:hint="eastAsia" w:ascii="宋体" w:hAnsi="宋体" w:eastAsia="宋体" w:cs="宋体"/>
                <w:color w:val="000000" w:themeColor="text1"/>
                <w:sz w:val="24"/>
                <w:lang w:val="en-US" w:eastAsia="zh-CN"/>
                <w14:textFill>
                  <w14:solidFill>
                    <w14:schemeClr w14:val="tx1"/>
                  </w14:solidFill>
                </w14:textFill>
              </w:rPr>
              <w:t>类</w:t>
            </w:r>
            <w:r>
              <w:rPr>
                <w:rFonts w:hint="eastAsia" w:ascii="宋体" w:hAnsi="宋体" w:cs="宋体"/>
                <w:color w:val="000000" w:themeColor="text1"/>
                <w:sz w:val="24"/>
                <w:lang w:val="en-US" w:eastAsia="zh-CN"/>
                <w14:textFill>
                  <w14:solidFill>
                    <w14:schemeClr w14:val="tx1"/>
                  </w14:solidFill>
                </w14:textFill>
              </w:rPr>
              <w:t>（须包括投资或财务或融资或税务等相关字眼的数据）</w:t>
            </w:r>
            <w:r>
              <w:rPr>
                <w:rFonts w:hint="eastAsia" w:ascii="宋体" w:hAnsi="宋体" w:eastAsia="宋体" w:cs="宋体"/>
                <w:color w:val="000000" w:themeColor="text1"/>
                <w:sz w:val="24"/>
                <w:lang w:val="en-US" w:eastAsia="zh-CN"/>
                <w14:textFill>
                  <w14:solidFill>
                    <w14:schemeClr w14:val="tx1"/>
                  </w14:solidFill>
                </w14:textFill>
              </w:rPr>
              <w:t>数据知识产权的，每</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个得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分，最高得</w:t>
            </w:r>
            <w:r>
              <w:rPr>
                <w:rFonts w:hint="default"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w:t>
            </w:r>
          </w:p>
          <w:p>
            <w:pPr>
              <w:pageBreakBefore w:val="0"/>
              <w:kinsoku/>
              <w:overflowPunct/>
              <w:topLinePunct w:val="0"/>
              <w:bidi w:val="0"/>
              <w:spacing w:line="36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3、具有数据分析类（须包括数据分析等相关字眼）发明专利的，每1个得3分，最高得3分。</w:t>
            </w:r>
          </w:p>
          <w:p>
            <w:pPr>
              <w:pageBreakBefore w:val="0"/>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项累计得分，最高得</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pageBreakBefore w:val="0"/>
              <w:kinsoku/>
              <w:overflowPunct/>
              <w:topLinePunct w:val="0"/>
              <w:bidi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证明材料：</w:t>
            </w:r>
          </w:p>
          <w:p>
            <w:pPr>
              <w:pageBreakBefore w:val="0"/>
              <w:numPr>
                <w:ilvl w:val="0"/>
                <w:numId w:val="8"/>
              </w:numPr>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要求提供相关有效的计算机软件著作权证书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发明</w:t>
            </w:r>
            <w:r>
              <w:rPr>
                <w:rFonts w:hint="eastAsia" w:ascii="宋体" w:hAnsi="宋体" w:eastAsia="宋体" w:cs="宋体"/>
                <w:color w:val="000000" w:themeColor="text1"/>
                <w:sz w:val="24"/>
                <w:lang w:val="en-US" w:eastAsia="zh-CN"/>
                <w14:textFill>
                  <w14:solidFill>
                    <w14:schemeClr w14:val="tx1"/>
                  </w14:solidFill>
                </w14:textFill>
              </w:rPr>
              <w:t>专利</w:t>
            </w:r>
            <w:r>
              <w:rPr>
                <w:rFonts w:hint="eastAsia" w:ascii="宋体" w:hAnsi="宋体" w:cs="宋体"/>
                <w:color w:val="000000" w:themeColor="text1"/>
                <w:sz w:val="24"/>
                <w:lang w:val="en-US" w:eastAsia="zh-CN"/>
                <w14:textFill>
                  <w14:solidFill>
                    <w14:schemeClr w14:val="tx1"/>
                  </w14:solidFill>
                </w14:textFill>
              </w:rPr>
              <w:t>证书、数据知识产权登记证书作为得分依据，并</w:t>
            </w:r>
            <w:r>
              <w:rPr>
                <w:rFonts w:hint="eastAsia" w:ascii="宋体" w:hAnsi="宋体" w:eastAsia="宋体" w:cs="宋体"/>
                <w:color w:val="000000" w:themeColor="text1"/>
                <w:sz w:val="24"/>
                <w:lang w:val="en-US" w:eastAsia="zh-CN"/>
                <w14:textFill>
                  <w14:solidFill>
                    <w14:schemeClr w14:val="tx1"/>
                  </w14:solidFill>
                </w14:textFill>
              </w:rPr>
              <w:t>加盖公章</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原件备查</w:t>
            </w:r>
          </w:p>
          <w:p>
            <w:pPr>
              <w:pageBreakBefore w:val="0"/>
              <w:numPr>
                <w:ilvl w:val="0"/>
                <w:numId w:val="8"/>
              </w:numPr>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如为购买（或租赁）的，需同时提供：</w:t>
            </w:r>
          </w:p>
          <w:p>
            <w:pPr>
              <w:pageBreakBefore w:val="0"/>
              <w:numPr>
                <w:ilvl w:val="-1"/>
                <w:numId w:val="0"/>
              </w:numPr>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①购买（或租赁）合同扫描件加盖公章，需体现购买人（或租赁人）为投标人；</w:t>
            </w:r>
          </w:p>
          <w:p>
            <w:pPr>
              <w:pageBreakBefore w:val="0"/>
              <w:numPr>
                <w:ilvl w:val="-1"/>
                <w:numId w:val="0"/>
              </w:numPr>
              <w:kinsoku/>
              <w:overflowPunct/>
              <w:topLinePunct w:val="0"/>
              <w:bidi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②计算机软件著作权登记证书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发明</w:t>
            </w:r>
            <w:r>
              <w:rPr>
                <w:rFonts w:hint="eastAsia" w:ascii="宋体" w:hAnsi="宋体" w:eastAsia="宋体" w:cs="宋体"/>
                <w:color w:val="000000" w:themeColor="text1"/>
                <w:sz w:val="24"/>
                <w:lang w:val="en-US" w:eastAsia="zh-CN"/>
                <w14:textFill>
                  <w14:solidFill>
                    <w14:schemeClr w14:val="tx1"/>
                  </w14:solidFill>
                </w14:textFill>
              </w:rPr>
              <w:t>专利</w:t>
            </w:r>
            <w:r>
              <w:rPr>
                <w:rFonts w:hint="eastAsia" w:ascii="宋体" w:hAnsi="宋体" w:cs="宋体"/>
                <w:color w:val="000000" w:themeColor="text1"/>
                <w:sz w:val="24"/>
                <w:lang w:val="en-US" w:eastAsia="zh-CN"/>
                <w14:textFill>
                  <w14:solidFill>
                    <w14:schemeClr w14:val="tx1"/>
                  </w14:solidFill>
                </w14:textFill>
              </w:rPr>
              <w:t>证书、数据知识产权登记证书</w:t>
            </w:r>
            <w:r>
              <w:rPr>
                <w:rFonts w:hint="eastAsia" w:ascii="宋体" w:hAnsi="宋体" w:eastAsia="宋体" w:cs="宋体"/>
                <w:color w:val="000000" w:themeColor="text1"/>
                <w:sz w:val="24"/>
                <w:lang w:val="en-US" w:eastAsia="zh-CN"/>
                <w14:textFill>
                  <w14:solidFill>
                    <w14:schemeClr w14:val="tx1"/>
                  </w14:solidFill>
                </w14:textFill>
              </w:rPr>
              <w:t>复印件，需体现著作权人/专利权人/登记主体为出售方（或出租方）；</w:t>
            </w:r>
          </w:p>
          <w:p>
            <w:pPr>
              <w:pageBreakBefore w:val="0"/>
              <w:numPr>
                <w:ilvl w:val="-1"/>
                <w:numId w:val="0"/>
              </w:numPr>
              <w:kinsoku/>
              <w:overflowPunct/>
              <w:topLinePunct w:val="0"/>
              <w:bidi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③购买（或租赁）发票扫描件加盖公章，需体现购买人（或租赁人）为投标人。</w:t>
            </w:r>
          </w:p>
        </w:tc>
        <w:tc>
          <w:tcPr>
            <w:tcW w:w="901"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color w:val="000000" w:themeColor="text1"/>
                <w:sz w:val="24"/>
                <w:szCs w:val="24"/>
                <w:lang w:eastAsia="zh-CN"/>
                <w14:textFill>
                  <w14:solidFill>
                    <w14:schemeClr w14:val="tx1"/>
                  </w14:solidFill>
                </w14:textFill>
              </w:rPr>
              <w:t>满</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采购代理机构通过“信用中国”、“中国政府采购网”、“深圳市政府采购监管网”以及市、区财政部门认定的其他渠道查询供应商信用信息，投标人无需提供证明材料。</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项目实施方案</w:t>
            </w:r>
          </w:p>
        </w:tc>
        <w:tc>
          <w:tcPr>
            <w:tcW w:w="5907" w:type="dxa"/>
            <w:noWrap w:val="0"/>
            <w:vAlign w:val="center"/>
          </w:tcPr>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投标人根据项目自身特点，针对项目运行的整体设想和策划，编制实施方案。包括但不限于以下内容：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1、项目背景；</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2、服务目标；</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3、服务内容。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每满足1点得2分，最高得6分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未满足</w:t>
            </w:r>
            <w:r>
              <w:rPr>
                <w:rFonts w:hint="eastAsia" w:ascii="宋体" w:hAnsi="宋体" w:eastAsia="宋体" w:cs="宋体"/>
                <w:color w:val="000000" w:themeColor="text1"/>
                <w:sz w:val="24"/>
                <w:lang w:val="en-US" w:eastAsia="zh-CN"/>
                <w14:textFill>
                  <w14:solidFill>
                    <w14:schemeClr w14:val="tx1"/>
                  </w14:solidFill>
                </w14:textFill>
              </w:rPr>
              <w:t>不得分</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2、在此基础上，评审专家根据投标人的具体相应内容按照量化的评审因素指标进一步评审</w:t>
            </w:r>
            <w:r>
              <w:rPr>
                <w:rFonts w:hint="eastAsia" w:ascii="宋体" w:hAnsi="宋体" w:cs="宋体"/>
                <w:color w:val="000000" w:themeColor="text1"/>
                <w:sz w:val="24"/>
                <w:lang w:eastAsia="zh-CN"/>
                <w14:textFill>
                  <w14:solidFill>
                    <w14:schemeClr w14:val="tx1"/>
                  </w14:solidFill>
                </w14:textFill>
              </w:rPr>
              <w:t>：</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评审为优：方案内容完整详细且符合项目实际，可行性强的，加</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评审为良：方案内容完整，可行性较好的，加</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评审为中：方案内容能符合项目部分要求，较贴近项目实际的，加</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评审为差：方案内容</w:t>
            </w:r>
            <w:r>
              <w:rPr>
                <w:rFonts w:hint="eastAsia" w:ascii="宋体" w:hAnsi="宋体" w:eastAsia="宋体" w:cs="宋体"/>
                <w:color w:val="000000" w:themeColor="text1"/>
                <w:sz w:val="24"/>
                <w:lang w:val="en-US" w:eastAsia="zh-CN"/>
                <w14:textFill>
                  <w14:solidFill>
                    <w14:schemeClr w14:val="tx1"/>
                  </w14:solidFill>
                </w14:textFill>
              </w:rPr>
              <w:t>不符合项目要求</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en-US" w:eastAsia="zh-CN"/>
                <w14:textFill>
                  <w14:solidFill>
                    <w14:schemeClr w14:val="tx1"/>
                  </w14:solidFill>
                </w14:textFill>
              </w:rPr>
              <w:t>不加</w:t>
            </w:r>
            <w:r>
              <w:rPr>
                <w:rFonts w:hint="eastAsia" w:ascii="宋体" w:hAnsi="宋体" w:eastAsia="宋体" w:cs="宋体"/>
                <w:color w:val="000000" w:themeColor="text1"/>
                <w:sz w:val="24"/>
                <w14:textFill>
                  <w14:solidFill>
                    <w14:schemeClr w14:val="tx1"/>
                  </w14:solidFill>
                </w14:textFill>
              </w:rPr>
              <w:t>分。</w:t>
            </w:r>
          </w:p>
        </w:tc>
        <w:tc>
          <w:tcPr>
            <w:tcW w:w="901" w:type="dxa"/>
            <w:noWrap w:val="0"/>
            <w:vAlign w:val="center"/>
          </w:tcPr>
          <w:p>
            <w:pPr>
              <w:pageBreakBefore w:val="0"/>
              <w:kinsoku/>
              <w:overflowPunct/>
              <w:topLinePunct w:val="0"/>
              <w:bidi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项目重难点分析及解决方案</w:t>
            </w:r>
          </w:p>
        </w:tc>
        <w:tc>
          <w:tcPr>
            <w:tcW w:w="5907" w:type="dxa"/>
            <w:noWrap w:val="0"/>
            <w:vAlign w:val="center"/>
          </w:tcPr>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投标人根据投标文件，提供对本项目的重点难点分析、应对措施及相关的合理化建议。包括但不限于以下内容：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1、项目重点难点分析；</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2、重点难点应对措施；</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3、对本项目的服务优化意见和建议。</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每满足1点得2分，最高得6分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未满足</w:t>
            </w:r>
            <w:r>
              <w:rPr>
                <w:rFonts w:hint="eastAsia" w:ascii="宋体" w:hAnsi="宋体" w:eastAsia="宋体" w:cs="宋体"/>
                <w:color w:val="000000" w:themeColor="text1"/>
                <w:sz w:val="24"/>
                <w:lang w:val="en-US" w:eastAsia="zh-CN"/>
                <w14:textFill>
                  <w14:solidFill>
                    <w14:schemeClr w14:val="tx1"/>
                  </w14:solidFill>
                </w14:textFill>
              </w:rPr>
              <w:t>不得分</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2、在此基础上，根据投标人的具体相应内容按照量化的评审因素指标进一步评审</w:t>
            </w:r>
            <w:r>
              <w:rPr>
                <w:rFonts w:hint="eastAsia" w:ascii="宋体" w:hAnsi="宋体" w:cs="宋体"/>
                <w:color w:val="000000" w:themeColor="text1"/>
                <w:sz w:val="24"/>
                <w:lang w:eastAsia="zh-CN"/>
                <w14:textFill>
                  <w14:solidFill>
                    <w14:schemeClr w14:val="tx1"/>
                  </w14:solidFill>
                </w14:textFill>
              </w:rPr>
              <w:t>：</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评审为优：内容完整详细且符合项目实际，可行性强的，加</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评审为良：内容完整，可行性较好的，加</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评审为中：内容能符合项目部分要求，较贴近项目实际的，加</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评审为差：方案内容</w:t>
            </w:r>
            <w:r>
              <w:rPr>
                <w:rFonts w:hint="eastAsia" w:ascii="宋体" w:hAnsi="宋体" w:eastAsia="宋体" w:cs="宋体"/>
                <w:color w:val="000000" w:themeColor="text1"/>
                <w:sz w:val="24"/>
                <w:lang w:val="en-US" w:eastAsia="zh-CN"/>
                <w14:textFill>
                  <w14:solidFill>
                    <w14:schemeClr w14:val="tx1"/>
                  </w14:solidFill>
                </w14:textFill>
              </w:rPr>
              <w:t>不符合项目要求</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en-US" w:eastAsia="zh-CN"/>
                <w14:textFill>
                  <w14:solidFill>
                    <w14:schemeClr w14:val="tx1"/>
                  </w14:solidFill>
                </w14:textFill>
              </w:rPr>
              <w:t>不加</w:t>
            </w:r>
            <w:r>
              <w:rPr>
                <w:rFonts w:hint="eastAsia" w:ascii="宋体" w:hAnsi="宋体" w:eastAsia="宋体" w:cs="宋体"/>
                <w:color w:val="000000" w:themeColor="text1"/>
                <w:sz w:val="24"/>
                <w14:textFill>
                  <w14:solidFill>
                    <w14:schemeClr w14:val="tx1"/>
                  </w14:solidFill>
                </w14:textFill>
              </w:rPr>
              <w:t>分。</w:t>
            </w:r>
          </w:p>
        </w:tc>
        <w:tc>
          <w:tcPr>
            <w:tcW w:w="901" w:type="dxa"/>
            <w:noWrap w:val="0"/>
            <w:vAlign w:val="center"/>
          </w:tcPr>
          <w:p>
            <w:pPr>
              <w:pageBreakBefore w:val="0"/>
              <w:kinsoku/>
              <w:overflowPunct/>
              <w:topLinePunct w:val="0"/>
              <w:bidi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项目管理措施和进度计划</w:t>
            </w:r>
          </w:p>
        </w:tc>
        <w:tc>
          <w:tcPr>
            <w:tcW w:w="5907" w:type="dxa"/>
            <w:noWrap w:val="0"/>
            <w:vAlign w:val="center"/>
          </w:tcPr>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投标人根据项目需求和目标，制定质量保障措施和方案，包括但不限于以下内容：</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1、项目时间管理制度与措施；</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2、项目质量管理制度与措施；</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3、项目资料、成果安全性保障制度与措施；</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4、响应时间（投标人须在0.5小时内及时响应采购方需求，并在24小时内提出解决方案）。</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评分标准：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每满足1点得2分，最高得8分</w:t>
            </w:r>
            <w:r>
              <w:rPr>
                <w:rFonts w:hint="eastAsia" w:ascii="宋体" w:hAnsi="宋体" w:eastAsia="宋体" w:cs="宋体"/>
                <w:color w:val="000000" w:themeColor="text1"/>
                <w:sz w:val="24"/>
                <w14:textFill>
                  <w14:solidFill>
                    <w14:schemeClr w14:val="tx1"/>
                  </w14:solidFill>
                </w14:textFill>
              </w:rPr>
              <w:t>，未满足</w:t>
            </w:r>
            <w:r>
              <w:rPr>
                <w:rFonts w:hint="eastAsia" w:ascii="宋体" w:hAnsi="宋体" w:eastAsia="宋体" w:cs="宋体"/>
                <w:color w:val="000000" w:themeColor="text1"/>
                <w:sz w:val="24"/>
                <w:lang w:val="en-US" w:eastAsia="zh-CN"/>
                <w14:textFill>
                  <w14:solidFill>
                    <w14:schemeClr w14:val="tx1"/>
                  </w14:solidFill>
                </w14:textFill>
              </w:rPr>
              <w:t>不得分</w:t>
            </w:r>
            <w:r>
              <w:rPr>
                <w:rFonts w:hint="eastAsia" w:ascii="宋体" w:hAnsi="宋体" w:eastAsia="宋体" w:cs="宋体"/>
                <w:color w:val="000000" w:themeColor="text1"/>
                <w:sz w:val="24"/>
                <w14:textFill>
                  <w14:solidFill>
                    <w14:schemeClr w14:val="tx1"/>
                  </w14:solidFill>
                </w14:textFill>
              </w:rPr>
              <w:t>。</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2、在此基础上，根据投标人的具体相应内容按照量化的评审因素指标进一步评审；</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评审为优：内容完整详细且符合项目实际，可行性强的，加</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评审为良：内容完整，可行性较好的，加3分；</w:t>
            </w:r>
          </w:p>
          <w:p>
            <w:pPr>
              <w:pageBreakBefore w:val="0"/>
              <w:kinsoku/>
              <w:overflowPunct/>
              <w:topLinePunct w:val="0"/>
              <w:bidi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评审为中：方案内容能符合项目部分要求，较贴近项目实际的，加</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w:t>
            </w:r>
          </w:p>
          <w:p>
            <w:pPr>
              <w:pageBreakBefore w:val="0"/>
              <w:kinsoku/>
              <w:overflowPunct/>
              <w:topLinePunct w:val="0"/>
              <w:bidi w:val="0"/>
              <w:spacing w:line="360" w:lineRule="auto"/>
              <w:rPr>
                <w:rFonts w:hint="eastAsia"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评审为差：方案内容</w:t>
            </w:r>
            <w:r>
              <w:rPr>
                <w:rFonts w:hint="eastAsia" w:ascii="宋体" w:hAnsi="宋体" w:eastAsia="宋体" w:cs="宋体"/>
                <w:color w:val="000000" w:themeColor="text1"/>
                <w:sz w:val="24"/>
                <w:lang w:val="en-US" w:eastAsia="zh-CN"/>
                <w14:textFill>
                  <w14:solidFill>
                    <w14:schemeClr w14:val="tx1"/>
                  </w14:solidFill>
                </w14:textFill>
              </w:rPr>
              <w:t>不符合项目要求</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en-US" w:eastAsia="zh-CN"/>
                <w14:textFill>
                  <w14:solidFill>
                    <w14:schemeClr w14:val="tx1"/>
                  </w14:solidFill>
                </w14:textFill>
              </w:rPr>
              <w:t>不加</w:t>
            </w:r>
            <w:r>
              <w:rPr>
                <w:rFonts w:hint="eastAsia" w:ascii="宋体" w:hAnsi="宋体" w:eastAsia="宋体" w:cs="宋体"/>
                <w:color w:val="000000" w:themeColor="text1"/>
                <w:sz w:val="24"/>
                <w14:textFill>
                  <w14:solidFill>
                    <w14:schemeClr w14:val="tx1"/>
                  </w14:solidFill>
                </w14:textFill>
              </w:rPr>
              <w:t>分。</w:t>
            </w:r>
          </w:p>
        </w:tc>
        <w:tc>
          <w:tcPr>
            <w:tcW w:w="901" w:type="dxa"/>
            <w:noWrap w:val="0"/>
            <w:vAlign w:val="center"/>
          </w:tcPr>
          <w:p>
            <w:pPr>
              <w:pageBreakBefore w:val="0"/>
              <w:kinsoku/>
              <w:overflowPunct/>
              <w:topLinePunct w:val="0"/>
              <w:bidi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8" w:name="_Toc9548"/>
      <w:bookmarkStart w:id="19" w:name="_Hlk28269117"/>
      <w:r>
        <w:rPr>
          <w:rFonts w:hint="eastAsia" w:ascii="宋体" w:hAnsi="宋体" w:cs="宋体"/>
          <w:b/>
          <w:bCs/>
          <w:color w:val="000000" w:themeColor="text1"/>
          <w:sz w:val="24"/>
          <w14:textFill>
            <w14:solidFill>
              <w14:schemeClr w14:val="tx1"/>
            </w14:solidFill>
          </w14:textFill>
        </w:rPr>
        <w:t>第七章 附件（投标文件格式）</w:t>
      </w:r>
      <w:bookmarkEnd w:id="18"/>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0" w:name="_Toc19494"/>
      <w:bookmarkStart w:id="21" w:name="_Toc6548"/>
      <w:bookmarkStart w:id="22" w:name="_Toc31827"/>
      <w:bookmarkStart w:id="23" w:name="_Toc5116"/>
      <w:r>
        <w:rPr>
          <w:rFonts w:hint="eastAsia" w:ascii="宋体" w:hAnsi="宋体" w:cs="宋体"/>
          <w:b/>
          <w:bCs/>
          <w:color w:val="000000" w:themeColor="text1"/>
          <w:sz w:val="24"/>
          <w14:textFill>
            <w14:solidFill>
              <w14:schemeClr w14:val="tx1"/>
            </w14:solidFill>
          </w14:textFill>
        </w:rPr>
        <w:t>1、投标文件密封袋/封面参考</w:t>
      </w:r>
      <w:bookmarkEnd w:id="20"/>
      <w:bookmarkEnd w:id="21"/>
      <w:bookmarkEnd w:id="22"/>
      <w:bookmarkEnd w:id="23"/>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3"/>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3"/>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3"/>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3"/>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3"/>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3"/>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3"/>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4" w:name="_Toc16724"/>
      <w:r>
        <w:rPr>
          <w:rFonts w:hint="eastAsia" w:ascii="宋体" w:hAnsi="宋体" w:cs="宋体"/>
          <w:b/>
          <w:color w:val="000000" w:themeColor="text1"/>
          <w:sz w:val="24"/>
          <w14:textFill>
            <w14:solidFill>
              <w14:schemeClr w14:val="tx1"/>
            </w14:solidFill>
          </w14:textFill>
        </w:rPr>
        <w:t>2、投标文件—目录</w:t>
      </w:r>
      <w:bookmarkEnd w:id="24"/>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9"/>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9"/>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投标人资质情况；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项目负责人（仅限1人）；</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拟安排的项目主要团队成员情况（项目负责人除外）；</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业绩情况；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自主知识产权产品（创新、设计）情况；</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1"/>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项目重难点分析及解决方案；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项目管理措施和进度计划；</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2"/>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3"/>
        <w:rPr>
          <w:rFonts w:hint="eastAsia"/>
          <w:color w:val="000000" w:themeColor="text1"/>
          <w14:textFill>
            <w14:solidFill>
              <w14:schemeClr w14:val="tx1"/>
            </w14:solidFill>
          </w14:textFill>
        </w:rPr>
      </w:pPr>
    </w:p>
    <w:p>
      <w:pPr>
        <w:numPr>
          <w:ilvl w:val="0"/>
          <w:numId w:val="12"/>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6"/>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6"/>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3"/>
        <w:rPr>
          <w:rFonts w:hint="eastAsia"/>
          <w:color w:val="000000" w:themeColor="text1"/>
          <w14:textFill>
            <w14:solidFill>
              <w14:schemeClr w14:val="tx1"/>
            </w14:solidFill>
          </w14:textFill>
        </w:rPr>
      </w:pP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4"/>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4"/>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4"/>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3"/>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3"/>
        <w:rPr>
          <w:rFonts w:hint="eastAsia"/>
          <w:color w:val="000000" w:themeColor="text1"/>
          <w:lang w:val="fr-CH"/>
          <w14:textFill>
            <w14:solidFill>
              <w14:schemeClr w14:val="tx1"/>
            </w14:solidFill>
          </w14:textFill>
        </w:rPr>
      </w:pP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6"/>
        <w:spacing w:line="360" w:lineRule="auto"/>
        <w:jc w:val="center"/>
        <w:rPr>
          <w:rFonts w:hint="eastAsia" w:hAnsi="宋体" w:cs="宋体"/>
          <w:b/>
          <w:color w:val="000000" w:themeColor="text1"/>
          <w:sz w:val="24"/>
          <w14:textFill>
            <w14:solidFill>
              <w14:schemeClr w14:val="tx1"/>
            </w14:solidFill>
          </w14:textFill>
        </w:rPr>
      </w:pPr>
    </w:p>
    <w:p>
      <w:pPr>
        <w:pStyle w:val="6"/>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6"/>
        <w:spacing w:line="360" w:lineRule="auto"/>
        <w:rPr>
          <w:rFonts w:hint="eastAsia" w:hAnsi="宋体" w:cs="宋体"/>
          <w:color w:val="000000" w:themeColor="text1"/>
          <w:sz w:val="24"/>
          <w14:textFill>
            <w14:solidFill>
              <w14:schemeClr w14:val="tx1"/>
            </w14:solidFill>
          </w14:textFill>
        </w:rPr>
      </w:pPr>
    </w:p>
    <w:p>
      <w:pPr>
        <w:pStyle w:val="6"/>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6"/>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6"/>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3"/>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3"/>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3"/>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6"/>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6"/>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6"/>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6"/>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3"/>
        <w:rPr>
          <w:rFonts w:hint="eastAsia"/>
          <w:color w:val="000000" w:themeColor="text1"/>
          <w:lang w:val="fr-CH"/>
          <w14:textFill>
            <w14:solidFill>
              <w14:schemeClr w14:val="tx1"/>
            </w14:solidFill>
          </w14:textFill>
        </w:rPr>
      </w:pP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投标人资质情况</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项目负责人（仅限1人）</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拟安排的项目主要团队成员情况（项目负责人除外）</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业绩情况</w:t>
      </w:r>
      <w:r>
        <w:rPr>
          <w:rFonts w:hint="eastAsia" w:ascii="宋体" w:hAnsi="宋体" w:cs="宋体"/>
          <w:color w:val="000000" w:themeColor="text1"/>
          <w:sz w:val="24"/>
          <w14:textFill>
            <w14:solidFill>
              <w14:schemeClr w14:val="tx1"/>
            </w14:solidFill>
          </w14:textFill>
        </w:rPr>
        <w:t>；</w:t>
      </w:r>
    </w:p>
    <w:p>
      <w:pPr>
        <w:numPr>
          <w:ilvl w:val="0"/>
          <w:numId w:val="13"/>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自主知识产权产品（创新、设计）情况</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6"/>
        <w:spacing w:line="360" w:lineRule="auto"/>
        <w:jc w:val="left"/>
        <w:rPr>
          <w:rFonts w:hint="eastAsia" w:hAnsi="宋体" w:cs="宋体"/>
          <w:color w:val="000000" w:themeColor="text1"/>
          <w:sz w:val="24"/>
          <w14:textFill>
            <w14:solidFill>
              <w14:schemeClr w14:val="tx1"/>
            </w14:solidFill>
          </w14:textFill>
        </w:rPr>
      </w:pPr>
    </w:p>
    <w:p>
      <w:pPr>
        <w:pStyle w:val="6"/>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3"/>
        <w:rPr>
          <w:rFonts w:hint="eastAsia"/>
          <w:color w:val="000000" w:themeColor="text1"/>
          <w:lang w:val="fr-CH"/>
          <w14:textFill>
            <w14:solidFill>
              <w14:schemeClr w14:val="tx1"/>
            </w14:solidFill>
          </w14:textFill>
        </w:rPr>
      </w:pP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5"/>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3"/>
        <w:spacing w:line="360" w:lineRule="auto"/>
        <w:rPr>
          <w:rFonts w:hint="eastAsia"/>
          <w:color w:val="000000" w:themeColor="text1"/>
          <w:lang w:val="fr-CH"/>
          <w14:textFill>
            <w14:solidFill>
              <w14:schemeClr w14:val="tx1"/>
            </w14:solidFill>
          </w14:textFill>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项目重难点分析及解决方案；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项目管理措施和进度计划；</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9"/>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5" w:name="_Toc742"/>
      <w:bookmarkStart w:id="26" w:name="_Toc6251"/>
      <w:r>
        <w:rPr>
          <w:rFonts w:hint="eastAsia" w:ascii="宋体" w:hAnsi="宋体" w:cs="宋体"/>
          <w:b/>
          <w:bCs/>
          <w:color w:val="000000" w:themeColor="text1"/>
          <w:sz w:val="24"/>
          <w14:textFill>
            <w14:solidFill>
              <w14:schemeClr w14:val="tx1"/>
            </w14:solidFill>
          </w14:textFill>
        </w:rPr>
        <w:t>附件：相关政策</w:t>
      </w:r>
      <w:bookmarkEnd w:id="25"/>
      <w:bookmarkEnd w:id="26"/>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3"/>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3"/>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3"/>
        <w:tabs>
          <w:tab w:val="left" w:pos="562"/>
          <w:tab w:val="left" w:pos="3372"/>
          <w:tab w:val="left" w:pos="3653"/>
        </w:tabs>
        <w:spacing w:before="3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3"/>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3"/>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3"/>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3"/>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3"/>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3"/>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3"/>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1"/>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1"/>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1"/>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1"/>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1"/>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1"/>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1"/>
              <w:jc w:val="center"/>
              <w:rPr>
                <w:rFonts w:hint="eastAsia"/>
                <w:color w:val="000000" w:themeColor="text1"/>
                <w:sz w:val="24"/>
                <w:szCs w:val="24"/>
                <w14:textFill>
                  <w14:solidFill>
                    <w14:schemeClr w14:val="tx1"/>
                  </w14:solidFill>
                </w14:textFill>
              </w:rPr>
            </w:pPr>
          </w:p>
          <w:p>
            <w:pPr>
              <w:pStyle w:val="21"/>
              <w:jc w:val="center"/>
              <w:rPr>
                <w:rFonts w:hint="eastAsia"/>
                <w:color w:val="000000" w:themeColor="text1"/>
                <w:sz w:val="24"/>
                <w:szCs w:val="24"/>
                <w14:textFill>
                  <w14:solidFill>
                    <w14:schemeClr w14:val="tx1"/>
                  </w14:solidFill>
                </w14:textFill>
              </w:rPr>
            </w:pPr>
          </w:p>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1"/>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1"/>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3"/>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3"/>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1"/>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7" w:name="sendNo"/>
      <w:r>
        <w:rPr>
          <w:rFonts w:hint="eastAsia"/>
          <w:color w:val="000000" w:themeColor="text1"/>
          <w14:textFill>
            <w14:solidFill>
              <w14:schemeClr w14:val="tx1"/>
            </w14:solidFill>
          </w14:textFill>
        </w:rPr>
        <w:t>财库〔</w:t>
      </w:r>
      <w:bookmarkEnd w:id="27"/>
      <w:r>
        <w:rPr>
          <w:rFonts w:hint="eastAsia"/>
          <w:color w:val="000000" w:themeColor="text1"/>
          <w14:textFill>
            <w14:solidFill>
              <w14:schemeClr w14:val="tx1"/>
            </w14:solidFill>
          </w14:textFill>
        </w:rPr>
        <w:t>2017〕141号</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000000" w:themeColor="text1"/>
          <w14:textFill>
            <w14:solidFill>
              <w14:schemeClr w14:val="tx1"/>
            </w14:solidFill>
          </w14:textFill>
        </w:rPr>
        <w:t>：</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2"/>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2"/>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3"/>
          <w:rFonts w:hint="eastAsia"/>
          <w:b/>
          <w:bCs/>
          <w:color w:val="000000" w:themeColor="text1"/>
          <w14:textFill>
            <w14:solidFill>
              <w14:schemeClr w14:val="tx1"/>
            </w14:solidFill>
          </w14:textFill>
        </w:rPr>
        <w:t>残疾人福利性单位声明函</w:t>
      </w:r>
    </w:p>
    <w:p>
      <w:pPr>
        <w:pStyle w:val="22"/>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3"/>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3"/>
          <w:rFonts w:hint="eastAsia"/>
          <w:color w:val="000000" w:themeColor="text1"/>
          <w14:textFill>
            <w14:solidFill>
              <w14:schemeClr w14:val="tx1"/>
            </w14:solidFill>
          </w14:textFill>
        </w:rPr>
        <w:t>本单位对上述声明的真实性负责。如有虚假，将依法承担相应责任。</w:t>
      </w:r>
    </w:p>
    <w:p>
      <w:pPr>
        <w:pStyle w:val="22"/>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2"/>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3"/>
          <w:rFonts w:hint="eastAsia"/>
          <w:color w:val="000000" w:themeColor="text1"/>
          <w14:textFill>
            <w14:solidFill>
              <w14:schemeClr w14:val="tx1"/>
            </w14:solidFill>
          </w14:textFill>
        </w:rPr>
        <w:t>单位名称（盖章）：</w:t>
      </w:r>
    </w:p>
    <w:p>
      <w:pPr>
        <w:pStyle w:val="22"/>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3"/>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17"/>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D19E032"/>
    <w:multiLevelType w:val="singleLevel"/>
    <w:tmpl w:val="9D19E032"/>
    <w:lvl w:ilvl="0" w:tentative="0">
      <w:start w:val="1"/>
      <w:numFmt w:val="decimal"/>
      <w:lvlText w:val="%1."/>
      <w:lvlJc w:val="left"/>
      <w:pPr>
        <w:tabs>
          <w:tab w:val="left" w:pos="312"/>
        </w:tabs>
      </w:pPr>
    </w:lvl>
  </w:abstractNum>
  <w:abstractNum w:abstractNumId="2">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3">
    <w:nsid w:val="A77657F5"/>
    <w:multiLevelType w:val="singleLevel"/>
    <w:tmpl w:val="A77657F5"/>
    <w:lvl w:ilvl="0" w:tentative="0">
      <w:start w:val="1"/>
      <w:numFmt w:val="decimal"/>
      <w:suff w:val="nothing"/>
      <w:lvlText w:val="（%1）"/>
      <w:lvlJc w:val="left"/>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BFFEB4E7"/>
    <w:multiLevelType w:val="singleLevel"/>
    <w:tmpl w:val="BFFEB4E7"/>
    <w:lvl w:ilvl="0" w:tentative="0">
      <w:start w:val="1"/>
      <w:numFmt w:val="decimal"/>
      <w:suff w:val="nothing"/>
      <w:lvlText w:val="（%1）"/>
      <w:lvlJc w:val="left"/>
      <w:pPr>
        <w:ind w:left="480" w:firstLine="0"/>
      </w:pPr>
    </w:lvl>
  </w:abstractNum>
  <w:abstractNum w:abstractNumId="7">
    <w:nsid w:val="CBCC1AFC"/>
    <w:multiLevelType w:val="singleLevel"/>
    <w:tmpl w:val="CBCC1AFC"/>
    <w:lvl w:ilvl="0" w:tentative="0">
      <w:start w:val="5"/>
      <w:numFmt w:val="decimal"/>
      <w:suff w:val="nothing"/>
      <w:lvlText w:val="%1、"/>
      <w:lvlJc w:val="left"/>
    </w:lvl>
  </w:abstractNum>
  <w:abstractNum w:abstractNumId="8">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5"/>
  </w:num>
  <w:num w:numId="3">
    <w:abstractNumId w:val="3"/>
  </w:num>
  <w:num w:numId="4">
    <w:abstractNumId w:val="10"/>
  </w:num>
  <w:num w:numId="5">
    <w:abstractNumId w:val="6"/>
  </w:num>
  <w:num w:numId="6">
    <w:abstractNumId w:val="7"/>
  </w:num>
  <w:num w:numId="7">
    <w:abstractNumId w:val="11"/>
  </w:num>
  <w:num w:numId="8">
    <w:abstractNumId w:val="1"/>
  </w:num>
  <w:num w:numId="9">
    <w:abstractNumId w:val="4"/>
  </w:num>
  <w:num w:numId="10">
    <w:abstractNumId w:val="8"/>
  </w:num>
  <w:num w:numId="11">
    <w:abstractNumId w:val="2"/>
  </w:num>
  <w:num w:numId="12">
    <w:abstractNumId w:val="0"/>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DE5743"/>
    <w:rsid w:val="01211AD4"/>
    <w:rsid w:val="0159301C"/>
    <w:rsid w:val="022618D2"/>
    <w:rsid w:val="02881E0B"/>
    <w:rsid w:val="031134B4"/>
    <w:rsid w:val="0341645D"/>
    <w:rsid w:val="03E219EE"/>
    <w:rsid w:val="042277B0"/>
    <w:rsid w:val="04A005CC"/>
    <w:rsid w:val="04B50EB1"/>
    <w:rsid w:val="04C63705"/>
    <w:rsid w:val="04FF037E"/>
    <w:rsid w:val="06336033"/>
    <w:rsid w:val="069E458D"/>
    <w:rsid w:val="070D6D82"/>
    <w:rsid w:val="072F63A4"/>
    <w:rsid w:val="07787DB5"/>
    <w:rsid w:val="07FD54F6"/>
    <w:rsid w:val="087C541A"/>
    <w:rsid w:val="08950582"/>
    <w:rsid w:val="08E57A87"/>
    <w:rsid w:val="09300B06"/>
    <w:rsid w:val="09F77876"/>
    <w:rsid w:val="0A5E16A3"/>
    <w:rsid w:val="0A602146"/>
    <w:rsid w:val="0AA72E75"/>
    <w:rsid w:val="0AB85257"/>
    <w:rsid w:val="0B7B37EB"/>
    <w:rsid w:val="0BB91DF1"/>
    <w:rsid w:val="0BE62205"/>
    <w:rsid w:val="0C822ACA"/>
    <w:rsid w:val="0D046532"/>
    <w:rsid w:val="0D3F1CF7"/>
    <w:rsid w:val="0D5C54A5"/>
    <w:rsid w:val="0E4B0853"/>
    <w:rsid w:val="0EDC703A"/>
    <w:rsid w:val="0F670FFA"/>
    <w:rsid w:val="0FAC4C5F"/>
    <w:rsid w:val="0FE96BFE"/>
    <w:rsid w:val="10634BF3"/>
    <w:rsid w:val="12431D83"/>
    <w:rsid w:val="12D149BF"/>
    <w:rsid w:val="13160D6D"/>
    <w:rsid w:val="13242E4C"/>
    <w:rsid w:val="1373154F"/>
    <w:rsid w:val="138A5087"/>
    <w:rsid w:val="139B74C4"/>
    <w:rsid w:val="13A1291C"/>
    <w:rsid w:val="13F57F6C"/>
    <w:rsid w:val="145B077C"/>
    <w:rsid w:val="14FE7D0A"/>
    <w:rsid w:val="15347304"/>
    <w:rsid w:val="16027A14"/>
    <w:rsid w:val="164B3423"/>
    <w:rsid w:val="190B1AB7"/>
    <w:rsid w:val="190E1E92"/>
    <w:rsid w:val="193E2DCB"/>
    <w:rsid w:val="194B4539"/>
    <w:rsid w:val="19677F5C"/>
    <w:rsid w:val="19AA0461"/>
    <w:rsid w:val="19EF3664"/>
    <w:rsid w:val="1A8E78C8"/>
    <w:rsid w:val="1A914D5C"/>
    <w:rsid w:val="1A9B5FFB"/>
    <w:rsid w:val="1AED6666"/>
    <w:rsid w:val="1BD96DDB"/>
    <w:rsid w:val="1C2529FF"/>
    <w:rsid w:val="1C427076"/>
    <w:rsid w:val="1C6F14EE"/>
    <w:rsid w:val="1D2B18B9"/>
    <w:rsid w:val="1D7414B2"/>
    <w:rsid w:val="1D815FCC"/>
    <w:rsid w:val="1D927B8A"/>
    <w:rsid w:val="1DCA2E80"/>
    <w:rsid w:val="1E340C41"/>
    <w:rsid w:val="1E403142"/>
    <w:rsid w:val="1E781388"/>
    <w:rsid w:val="1EC51899"/>
    <w:rsid w:val="1F27593E"/>
    <w:rsid w:val="1F394761"/>
    <w:rsid w:val="1F9BB067"/>
    <w:rsid w:val="200655C0"/>
    <w:rsid w:val="207417C9"/>
    <w:rsid w:val="20AA3CDC"/>
    <w:rsid w:val="20FD531A"/>
    <w:rsid w:val="218B0B78"/>
    <w:rsid w:val="21A734D8"/>
    <w:rsid w:val="21F030D1"/>
    <w:rsid w:val="2221328A"/>
    <w:rsid w:val="22462A8A"/>
    <w:rsid w:val="22696FF6"/>
    <w:rsid w:val="229F2035"/>
    <w:rsid w:val="23006025"/>
    <w:rsid w:val="230C1C0F"/>
    <w:rsid w:val="23664217"/>
    <w:rsid w:val="240F5A90"/>
    <w:rsid w:val="243A63CC"/>
    <w:rsid w:val="249F3FA9"/>
    <w:rsid w:val="26BE19EF"/>
    <w:rsid w:val="26E24FAE"/>
    <w:rsid w:val="27734588"/>
    <w:rsid w:val="27DA0163"/>
    <w:rsid w:val="28150C75"/>
    <w:rsid w:val="286F3F95"/>
    <w:rsid w:val="287B7F79"/>
    <w:rsid w:val="29CD4DD1"/>
    <w:rsid w:val="2B0674C1"/>
    <w:rsid w:val="2B353322"/>
    <w:rsid w:val="2BB9468C"/>
    <w:rsid w:val="2BD73CFD"/>
    <w:rsid w:val="2C41042A"/>
    <w:rsid w:val="2D614E83"/>
    <w:rsid w:val="2E615CCD"/>
    <w:rsid w:val="2F3445FD"/>
    <w:rsid w:val="2F37730B"/>
    <w:rsid w:val="302610FC"/>
    <w:rsid w:val="3058256D"/>
    <w:rsid w:val="30766E97"/>
    <w:rsid w:val="30B71989"/>
    <w:rsid w:val="30E33504"/>
    <w:rsid w:val="310B6BF3"/>
    <w:rsid w:val="31F60A7B"/>
    <w:rsid w:val="33154745"/>
    <w:rsid w:val="335D7410"/>
    <w:rsid w:val="336D3EA4"/>
    <w:rsid w:val="33C64EB5"/>
    <w:rsid w:val="343E641F"/>
    <w:rsid w:val="34C74165"/>
    <w:rsid w:val="34E751DD"/>
    <w:rsid w:val="35C012AA"/>
    <w:rsid w:val="363D6170"/>
    <w:rsid w:val="36C546D4"/>
    <w:rsid w:val="37205FF6"/>
    <w:rsid w:val="37865C12"/>
    <w:rsid w:val="38624A88"/>
    <w:rsid w:val="38DC3EDC"/>
    <w:rsid w:val="38FA68B7"/>
    <w:rsid w:val="39202096"/>
    <w:rsid w:val="39394B01"/>
    <w:rsid w:val="39F50E2C"/>
    <w:rsid w:val="3A950543"/>
    <w:rsid w:val="3A9E7716"/>
    <w:rsid w:val="3ADA56C8"/>
    <w:rsid w:val="3B00217F"/>
    <w:rsid w:val="3BD21711"/>
    <w:rsid w:val="3BD80F0D"/>
    <w:rsid w:val="3C1C4D96"/>
    <w:rsid w:val="3C4B11D8"/>
    <w:rsid w:val="3D7F382F"/>
    <w:rsid w:val="3D9B4E64"/>
    <w:rsid w:val="3DC54FBA"/>
    <w:rsid w:val="3E6B3DB3"/>
    <w:rsid w:val="3E90273A"/>
    <w:rsid w:val="3EBE3EE3"/>
    <w:rsid w:val="3EE33949"/>
    <w:rsid w:val="3EF97772"/>
    <w:rsid w:val="3F3C7CCF"/>
    <w:rsid w:val="3F8C5D8F"/>
    <w:rsid w:val="3FD00372"/>
    <w:rsid w:val="3FDD483D"/>
    <w:rsid w:val="3FE07E89"/>
    <w:rsid w:val="411B561D"/>
    <w:rsid w:val="41361B95"/>
    <w:rsid w:val="41A35612"/>
    <w:rsid w:val="421C7965"/>
    <w:rsid w:val="428F6994"/>
    <w:rsid w:val="42D55690"/>
    <w:rsid w:val="42DE3E28"/>
    <w:rsid w:val="439971FA"/>
    <w:rsid w:val="43A833B4"/>
    <w:rsid w:val="43F41FD8"/>
    <w:rsid w:val="45237196"/>
    <w:rsid w:val="457271D8"/>
    <w:rsid w:val="4649255C"/>
    <w:rsid w:val="469C746C"/>
    <w:rsid w:val="490168B9"/>
    <w:rsid w:val="4AA04DE4"/>
    <w:rsid w:val="4ACC3E2B"/>
    <w:rsid w:val="4AF313B8"/>
    <w:rsid w:val="4BA60AB1"/>
    <w:rsid w:val="4BE34546"/>
    <w:rsid w:val="4BF94C2F"/>
    <w:rsid w:val="4C906769"/>
    <w:rsid w:val="4DE33966"/>
    <w:rsid w:val="4E5E1120"/>
    <w:rsid w:val="4E9208C3"/>
    <w:rsid w:val="4F226DC8"/>
    <w:rsid w:val="4F234ACC"/>
    <w:rsid w:val="4F2A7373"/>
    <w:rsid w:val="4F6351A5"/>
    <w:rsid w:val="4F7F44DF"/>
    <w:rsid w:val="4FA71C3F"/>
    <w:rsid w:val="4FBA3692"/>
    <w:rsid w:val="501C6CBB"/>
    <w:rsid w:val="50601F36"/>
    <w:rsid w:val="50964CC0"/>
    <w:rsid w:val="50FE0AB7"/>
    <w:rsid w:val="515D758B"/>
    <w:rsid w:val="516C5CF7"/>
    <w:rsid w:val="51867B3E"/>
    <w:rsid w:val="519D3E2C"/>
    <w:rsid w:val="51A575B0"/>
    <w:rsid w:val="520774F7"/>
    <w:rsid w:val="525B75EF"/>
    <w:rsid w:val="52666914"/>
    <w:rsid w:val="5267529D"/>
    <w:rsid w:val="53135B7C"/>
    <w:rsid w:val="53A6051D"/>
    <w:rsid w:val="53B92BD0"/>
    <w:rsid w:val="53C27B7A"/>
    <w:rsid w:val="53E61F03"/>
    <w:rsid w:val="550C37A2"/>
    <w:rsid w:val="553757FC"/>
    <w:rsid w:val="566D64C3"/>
    <w:rsid w:val="571006E4"/>
    <w:rsid w:val="58C63C68"/>
    <w:rsid w:val="5A407A4A"/>
    <w:rsid w:val="5AA44386"/>
    <w:rsid w:val="5ABA15AB"/>
    <w:rsid w:val="5B1834F7"/>
    <w:rsid w:val="5BD743DE"/>
    <w:rsid w:val="5BF60D08"/>
    <w:rsid w:val="5C4D4754"/>
    <w:rsid w:val="5C6F429B"/>
    <w:rsid w:val="5C700ABB"/>
    <w:rsid w:val="5D1A517B"/>
    <w:rsid w:val="5E343D6A"/>
    <w:rsid w:val="5E436EA1"/>
    <w:rsid w:val="5E6737F7"/>
    <w:rsid w:val="5EB729BA"/>
    <w:rsid w:val="5EF07C91"/>
    <w:rsid w:val="5F132FF0"/>
    <w:rsid w:val="5F1E0A25"/>
    <w:rsid w:val="5FD01870"/>
    <w:rsid w:val="5FE77D07"/>
    <w:rsid w:val="60211516"/>
    <w:rsid w:val="60382473"/>
    <w:rsid w:val="605E3790"/>
    <w:rsid w:val="607E751E"/>
    <w:rsid w:val="60E45417"/>
    <w:rsid w:val="61161505"/>
    <w:rsid w:val="613876CD"/>
    <w:rsid w:val="616A6E87"/>
    <w:rsid w:val="61E45BE1"/>
    <w:rsid w:val="6341070D"/>
    <w:rsid w:val="637901FC"/>
    <w:rsid w:val="638C3E3F"/>
    <w:rsid w:val="63A075C4"/>
    <w:rsid w:val="64427DEE"/>
    <w:rsid w:val="656F2BC3"/>
    <w:rsid w:val="658E3D60"/>
    <w:rsid w:val="65E358B9"/>
    <w:rsid w:val="65FC3B45"/>
    <w:rsid w:val="66903B07"/>
    <w:rsid w:val="6739419F"/>
    <w:rsid w:val="674768BC"/>
    <w:rsid w:val="678629DB"/>
    <w:rsid w:val="679F2254"/>
    <w:rsid w:val="682E5386"/>
    <w:rsid w:val="686F41A0"/>
    <w:rsid w:val="68D12617"/>
    <w:rsid w:val="69117181"/>
    <w:rsid w:val="691B590A"/>
    <w:rsid w:val="69F85C4B"/>
    <w:rsid w:val="6A7C062B"/>
    <w:rsid w:val="6B0B007F"/>
    <w:rsid w:val="6C134FBF"/>
    <w:rsid w:val="6C643B3D"/>
    <w:rsid w:val="6C7C7008"/>
    <w:rsid w:val="6CC369E5"/>
    <w:rsid w:val="6D152C7A"/>
    <w:rsid w:val="6D401DE3"/>
    <w:rsid w:val="6D5835D1"/>
    <w:rsid w:val="6D8C6AB1"/>
    <w:rsid w:val="6E9835C9"/>
    <w:rsid w:val="6E9D0F19"/>
    <w:rsid w:val="6F101C89"/>
    <w:rsid w:val="6F152D9A"/>
    <w:rsid w:val="6FA64098"/>
    <w:rsid w:val="6FFF7C0E"/>
    <w:rsid w:val="7073599E"/>
    <w:rsid w:val="70A42689"/>
    <w:rsid w:val="72273572"/>
    <w:rsid w:val="72583E79"/>
    <w:rsid w:val="725A654C"/>
    <w:rsid w:val="731C29AB"/>
    <w:rsid w:val="735E0EFB"/>
    <w:rsid w:val="73941CCC"/>
    <w:rsid w:val="744A1799"/>
    <w:rsid w:val="74DB6895"/>
    <w:rsid w:val="75D27C98"/>
    <w:rsid w:val="76934ECB"/>
    <w:rsid w:val="77107490"/>
    <w:rsid w:val="77C61FA0"/>
    <w:rsid w:val="78055809"/>
    <w:rsid w:val="78125870"/>
    <w:rsid w:val="78623556"/>
    <w:rsid w:val="79061938"/>
    <w:rsid w:val="791B1604"/>
    <w:rsid w:val="79A90D10"/>
    <w:rsid w:val="79B0209F"/>
    <w:rsid w:val="79BF480D"/>
    <w:rsid w:val="79CE4C1B"/>
    <w:rsid w:val="7A344A7E"/>
    <w:rsid w:val="7A5F5873"/>
    <w:rsid w:val="7A886B78"/>
    <w:rsid w:val="7BB8348D"/>
    <w:rsid w:val="7BF546E1"/>
    <w:rsid w:val="7BFF585B"/>
    <w:rsid w:val="7D337C34"/>
    <w:rsid w:val="7D4A0A5C"/>
    <w:rsid w:val="7DEB3451"/>
    <w:rsid w:val="7E4E1E86"/>
    <w:rsid w:val="7EC91358"/>
    <w:rsid w:val="7F141322"/>
    <w:rsid w:val="7F341DFF"/>
    <w:rsid w:val="7FDC3989"/>
    <w:rsid w:val="7FEA09E2"/>
    <w:rsid w:val="7FF37189"/>
    <w:rsid w:val="B5FF2DC1"/>
    <w:rsid w:val="BC936312"/>
    <w:rsid w:val="E75F9682"/>
    <w:rsid w:val="EA0B12A9"/>
    <w:rsid w:val="FADDB4F8"/>
    <w:rsid w:val="FAE9CD5D"/>
    <w:rsid w:val="FB692196"/>
    <w:rsid w:val="FFD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kern w:val="0"/>
      <w:sz w:val="20"/>
    </w:rPr>
  </w:style>
  <w:style w:type="paragraph" w:styleId="3">
    <w:name w:val="Body Text"/>
    <w:basedOn w:val="1"/>
    <w:next w:val="4"/>
    <w:unhideWhenUsed/>
    <w:qFormat/>
    <w:uiPriority w:val="0"/>
    <w:pPr>
      <w:spacing w:after="120"/>
    </w:pPr>
    <w:rPr>
      <w:sz w:val="24"/>
    </w:rPr>
  </w:style>
  <w:style w:type="paragraph" w:styleId="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Plain Text"/>
    <w:basedOn w:val="1"/>
    <w:next w:val="7"/>
    <w:qFormat/>
    <w:uiPriority w:val="0"/>
    <w:rPr>
      <w:rFonts w:ascii="宋体" w:hAnsi="Courier New"/>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隶书"/>
      <w:b/>
      <w:bCs/>
      <w:sz w:val="32"/>
      <w:szCs w:val="32"/>
    </w:rPr>
  </w:style>
  <w:style w:type="character" w:styleId="15">
    <w:name w:val="Strong"/>
    <w:basedOn w:val="14"/>
    <w:qFormat/>
    <w:uiPriority w:val="0"/>
    <w:rPr>
      <w:b/>
    </w:rPr>
  </w:style>
  <w:style w:type="character" w:styleId="16">
    <w:name w:val="page number"/>
    <w:qFormat/>
    <w:uiPriority w:val="0"/>
  </w:style>
  <w:style w:type="paragraph" w:customStyle="1" w:styleId="17">
    <w:name w:val="正文格式"/>
    <w:basedOn w:val="5"/>
    <w:qFormat/>
    <w:uiPriority w:val="99"/>
    <w:pPr>
      <w:spacing w:after="0" w:line="360" w:lineRule="auto"/>
      <w:ind w:left="0" w:leftChars="0" w:firstLine="600"/>
    </w:pPr>
    <w:rPr>
      <w:rFonts w:eastAsia="仿宋_GB2312"/>
      <w:sz w:val="30"/>
      <w:szCs w:val="30"/>
    </w:rPr>
  </w:style>
  <w:style w:type="paragraph" w:customStyle="1" w:styleId="1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9">
    <w:name w:val="List Paragraph"/>
    <w:basedOn w:val="1"/>
    <w:qFormat/>
    <w:uiPriority w:val="34"/>
    <w:pPr>
      <w:ind w:firstLine="420" w:firstLineChars="200"/>
    </w:pPr>
  </w:style>
  <w:style w:type="paragraph" w:customStyle="1" w:styleId="20">
    <w:name w:val="（）列表模式"/>
    <w:basedOn w:val="1"/>
    <w:qFormat/>
    <w:uiPriority w:val="0"/>
    <w:pPr>
      <w:tabs>
        <w:tab w:val="left" w:pos="960"/>
        <w:tab w:val="left" w:pos="1470"/>
      </w:tabs>
      <w:spacing w:line="360" w:lineRule="auto"/>
      <w:ind w:left="1470" w:hanging="420"/>
    </w:pPr>
    <w:rPr>
      <w:sz w:val="24"/>
      <w:szCs w:val="20"/>
    </w:rPr>
  </w:style>
  <w:style w:type="paragraph" w:customStyle="1" w:styleId="21">
    <w:name w:val="Table Paragraph"/>
    <w:basedOn w:val="1"/>
    <w:qFormat/>
    <w:uiPriority w:val="0"/>
    <w:pPr>
      <w:autoSpaceDE w:val="0"/>
      <w:autoSpaceDN w:val="0"/>
      <w:jc w:val="left"/>
    </w:pPr>
    <w:rPr>
      <w:rFonts w:ascii="宋体" w:hAnsi="宋体" w:cs="宋体"/>
      <w:kern w:val="0"/>
      <w:sz w:val="22"/>
      <w:szCs w:val="22"/>
    </w:rPr>
  </w:style>
  <w:style w:type="paragraph" w:customStyle="1" w:styleId="22">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3">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38564</Words>
  <Characters>41158</Characters>
  <Lines>0</Lines>
  <Paragraphs>0</Paragraphs>
  <TotalTime>5</TotalTime>
  <ScaleCrop>false</ScaleCrop>
  <LinksUpToDate>false</LinksUpToDate>
  <CharactersWithSpaces>43100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2023-11-11T12:59:00Z</dcterms:created>
  <dc:creator>姬崽</dc:creator>
  <cp:lastModifiedBy>陈可欣</cp:lastModifiedBy>
  <dcterms:modified xsi:type="dcterms:W3CDTF">2024-03-21T10:08:09Z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8224269737DF4D17B0D6DFE97BC9763F</vt:lpwstr>
  </property>
</Properties>
</file>