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color w:val="000000" w:themeColor="text1"/>
          <w:sz w:val="72"/>
          <w:szCs w:val="72"/>
          <w14:textFill>
            <w14:solidFill>
              <w14:schemeClr w14:val="tx1"/>
            </w14:solidFill>
          </w14:textFill>
        </w:rPr>
      </w:pPr>
    </w:p>
    <w:p>
      <w:pPr>
        <w:pStyle w:val="5"/>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宋体" w:hAnsi="宋体" w:cs="宋体"/>
          <w:b/>
          <w:color w:val="000000" w:themeColor="text1"/>
          <w:sz w:val="72"/>
          <w:szCs w:val="72"/>
          <w14:textFill>
            <w14:solidFill>
              <w14:schemeClr w14:val="tx1"/>
            </w14:solidFill>
          </w14:textFill>
        </w:rPr>
      </w:pPr>
      <w:r>
        <w:rPr>
          <w:rFonts w:hint="eastAsia" w:ascii="宋体" w:hAnsi="宋体" w:cs="宋体"/>
          <w:b/>
          <w:color w:val="000000" w:themeColor="text1"/>
          <w:sz w:val="72"/>
          <w:szCs w:val="72"/>
          <w14:textFill>
            <w14:solidFill>
              <w14:schemeClr w14:val="tx1"/>
            </w14:solidFill>
          </w14:textFill>
        </w:rPr>
        <w:t>简易招标文件</w:t>
      </w:r>
    </w:p>
    <w:p>
      <w:pPr>
        <w:jc w:val="cente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pStyle w:val="22"/>
        <w:ind w:firstLine="420"/>
        <w:rPr>
          <w:rFonts w:ascii="宋体" w:hAnsi="宋体" w:cs="宋体"/>
          <w:color w:val="000000" w:themeColor="text1"/>
          <w14:textFill>
            <w14:solidFill>
              <w14:schemeClr w14:val="tx1"/>
            </w14:solidFill>
          </w14:textFill>
        </w:rPr>
      </w:pPr>
    </w:p>
    <w:p>
      <w:pPr>
        <w:pStyle w:val="22"/>
        <w:ind w:firstLine="420"/>
        <w:rPr>
          <w:rFonts w:ascii="宋体" w:hAnsi="宋体" w:cs="宋体"/>
          <w:color w:val="000000" w:themeColor="text1"/>
          <w14:textFill>
            <w14:solidFill>
              <w14:schemeClr w14:val="tx1"/>
            </w14:solidFill>
          </w14:textFill>
        </w:rPr>
      </w:pPr>
    </w:p>
    <w:p>
      <w:pPr>
        <w:rPr>
          <w:rFonts w:ascii="宋体" w:hAnsi="宋体" w:cs="宋体"/>
          <w:b/>
          <w:color w:val="000000" w:themeColor="text1"/>
          <w:sz w:val="44"/>
          <w14:textFill>
            <w14:solidFill>
              <w14:schemeClr w14:val="tx1"/>
            </w14:solidFill>
          </w14:textFill>
        </w:rPr>
      </w:pPr>
    </w:p>
    <w:p>
      <w:pPr>
        <w:ind w:left="2326" w:leftChars="247" w:right="-319" w:rightChars="-152" w:hanging="1807" w:hangingChars="500"/>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招标编号：QH2024006</w:t>
      </w:r>
    </w:p>
    <w:p>
      <w:pPr>
        <w:pStyle w:val="22"/>
        <w:ind w:firstLine="420"/>
        <w:rPr>
          <w:rFonts w:ascii="宋体" w:hAnsi="宋体" w:cs="宋体"/>
          <w:color w:val="000000" w:themeColor="text1"/>
          <w14:textFill>
            <w14:solidFill>
              <w14:schemeClr w14:val="tx1"/>
            </w14:solidFill>
          </w14:textFill>
        </w:rPr>
      </w:pPr>
    </w:p>
    <w:p>
      <w:pPr>
        <w:pStyle w:val="22"/>
        <w:ind w:firstLine="420"/>
        <w:rPr>
          <w:rFonts w:ascii="宋体" w:hAnsi="宋体" w:cs="宋体"/>
          <w:color w:val="000000" w:themeColor="text1"/>
          <w14:textFill>
            <w14:solidFill>
              <w14:schemeClr w14:val="tx1"/>
            </w14:solidFill>
          </w14:textFill>
        </w:rPr>
      </w:pPr>
    </w:p>
    <w:p>
      <w:pPr>
        <w:pStyle w:val="22"/>
        <w:ind w:firstLine="420"/>
        <w:rPr>
          <w:rFonts w:ascii="宋体" w:hAnsi="宋体" w:cs="宋体"/>
          <w:color w:val="000000" w:themeColor="text1"/>
          <w14:textFill>
            <w14:solidFill>
              <w14:schemeClr w14:val="tx1"/>
            </w14:solidFill>
          </w14:textFill>
        </w:rPr>
      </w:pPr>
    </w:p>
    <w:p>
      <w:pPr>
        <w:ind w:left="2326" w:leftChars="247" w:right="-319" w:rightChars="-152" w:hanging="1807" w:hangingChars="500"/>
        <w:rPr>
          <w:rFonts w:hint="eastAsia"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招标项目：“港税e”香港居民个人所得税</w:t>
      </w:r>
    </w:p>
    <w:p>
      <w:pPr>
        <w:ind w:left="2314" w:leftChars="1102" w:right="-319" w:rightChars="-152" w:firstLine="361" w:firstLineChars="100"/>
        <w:rPr>
          <w:rFonts w:hint="eastAsia"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优惠政策申报辅助服务项目</w:t>
      </w:r>
    </w:p>
    <w:p>
      <w:pPr>
        <w:ind w:firstLine="3264" w:firstLineChars="739"/>
        <w:rPr>
          <w:rFonts w:ascii="宋体" w:hAnsi="宋体" w:cs="宋体"/>
          <w:b/>
          <w:color w:val="000000" w:themeColor="text1"/>
          <w:sz w:val="44"/>
          <w14:textFill>
            <w14:solidFill>
              <w14:schemeClr w14:val="tx1"/>
            </w14:solidFill>
          </w14:textFill>
        </w:rPr>
      </w:pPr>
    </w:p>
    <w:p>
      <w:pPr>
        <w:ind w:left="1260" w:leftChars="600" w:firstLine="1855" w:firstLineChars="420"/>
        <w:rPr>
          <w:rFonts w:ascii="宋体" w:hAnsi="宋体" w:cs="宋体"/>
          <w:b/>
          <w:color w:val="000000" w:themeColor="text1"/>
          <w:sz w:val="44"/>
          <w14:textFill>
            <w14:solidFill>
              <w14:schemeClr w14:val="tx1"/>
            </w14:solidFill>
          </w14:textFill>
        </w:rPr>
      </w:pPr>
    </w:p>
    <w:p>
      <w:pPr>
        <w:rPr>
          <w:rFonts w:ascii="宋体" w:hAnsi="宋体" w:cs="宋体"/>
          <w:b/>
          <w:color w:val="000000" w:themeColor="text1"/>
          <w:sz w:val="44"/>
          <w14:textFill>
            <w14:solidFill>
              <w14:schemeClr w14:val="tx1"/>
            </w14:solidFill>
          </w14:textFill>
        </w:rPr>
      </w:pPr>
    </w:p>
    <w:p>
      <w:pPr>
        <w:jc w:val="center"/>
        <w:rPr>
          <w:rFonts w:ascii="宋体" w:hAnsi="宋体" w:cs="宋体"/>
          <w:b/>
          <w:bCs/>
          <w:color w:val="000000" w:themeColor="text1"/>
          <w:sz w:val="36"/>
          <w:szCs w:val="36"/>
          <w:lang w:val="zh-CN"/>
          <w14:textFill>
            <w14:solidFill>
              <w14:schemeClr w14:val="tx1"/>
            </w14:solidFill>
          </w14:textFill>
        </w:rPr>
      </w:pPr>
      <w:r>
        <w:rPr>
          <w:rFonts w:hint="eastAsia" w:ascii="宋体" w:hAnsi="宋体" w:cs="宋体"/>
          <w:b/>
          <w:bCs/>
          <w:color w:val="000000" w:themeColor="text1"/>
          <w:sz w:val="36"/>
          <w:szCs w:val="36"/>
          <w:lang w:val="zh-CN"/>
          <w14:textFill>
            <w14:solidFill>
              <w14:schemeClr w14:val="tx1"/>
            </w14:solidFill>
          </w14:textFill>
        </w:rPr>
        <w:t>深圳市前海深港现代服务业合作区管理局</w:t>
      </w:r>
    </w:p>
    <w:p>
      <w:pPr>
        <w:jc w:val="center"/>
        <w:rPr>
          <w:rFonts w:ascii="宋体" w:hAns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2024年3月</w:t>
      </w:r>
    </w:p>
    <w:p>
      <w:pPr>
        <w:autoSpaceDE w:val="0"/>
        <w:autoSpaceDN w:val="0"/>
        <w:adjustRightInd w:val="0"/>
        <w:spacing w:line="360" w:lineRule="auto"/>
        <w:jc w:val="center"/>
        <w:rPr>
          <w:rFonts w:ascii="宋体" w:hAnsi="宋体" w:cs="宋体"/>
          <w:b/>
          <w:bCs/>
          <w:color w:val="000000" w:themeColor="text1"/>
          <w:kern w:val="0"/>
          <w:sz w:val="36"/>
          <w:szCs w:val="36"/>
          <w14:textFill>
            <w14:solidFill>
              <w14:schemeClr w14:val="tx1"/>
            </w14:solidFill>
          </w14:textFill>
        </w:rPr>
      </w:pPr>
      <w:bookmarkStart w:id="0" w:name="_Toc12932"/>
      <w:r>
        <w:rPr>
          <w:rFonts w:ascii="宋体" w:hAnsi="宋体"/>
          <w:b/>
          <w:bCs/>
          <w:color w:val="000000" w:themeColor="text1"/>
          <w:sz w:val="32"/>
          <w:szCs w:val="40"/>
          <w:u w:val="single"/>
          <w14:textFill>
            <w14:solidFill>
              <w14:schemeClr w14:val="tx1"/>
            </w14:solidFill>
          </w14:textFill>
        </w:rPr>
        <w:br w:type="page"/>
      </w:r>
      <w:r>
        <w:rPr>
          <w:rFonts w:hint="eastAsia" w:ascii="宋体" w:hAnsi="宋体" w:cs="宋体"/>
          <w:b/>
          <w:bCs/>
          <w:color w:val="000000" w:themeColor="text1"/>
          <w:kern w:val="0"/>
          <w:sz w:val="36"/>
          <w:szCs w:val="36"/>
          <w14:textFill>
            <w14:solidFill>
              <w14:schemeClr w14:val="tx1"/>
            </w14:solidFill>
          </w14:textFill>
        </w:rPr>
        <w:t>特别警示条款</w:t>
      </w:r>
    </w:p>
    <w:p>
      <w:pPr>
        <w:pStyle w:val="5"/>
        <w:rPr>
          <w:color w:val="000000" w:themeColor="text1"/>
          <w14:textFill>
            <w14:solidFill>
              <w14:schemeClr w14:val="tx1"/>
            </w14:solidFill>
          </w14:textFill>
        </w:rPr>
      </w:pPr>
    </w:p>
    <w:p>
      <w:pPr>
        <w:snapToGrid w:val="0"/>
        <w:spacing w:line="360" w:lineRule="auto"/>
        <w:ind w:firstLine="470" w:firstLineChars="196"/>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napToGrid w:val="0"/>
        <w:spacing w:line="360" w:lineRule="auto"/>
        <w:ind w:firstLine="470" w:firstLineChars="196"/>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（一）在采购活动中应当回避而未回避的；</w:t>
      </w:r>
    </w:p>
    <w:p>
      <w:pPr>
        <w:snapToGrid w:val="0"/>
        <w:spacing w:line="360" w:lineRule="auto"/>
        <w:ind w:firstLine="470" w:firstLineChars="196"/>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（二）未按本条例规定签订、履行采购合同，造成严重后果的；</w:t>
      </w:r>
    </w:p>
    <w:p>
      <w:pPr>
        <w:snapToGrid w:val="0"/>
        <w:spacing w:line="360" w:lineRule="auto"/>
        <w:ind w:firstLine="470" w:firstLineChars="196"/>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（三）隐瞒真实情况，提供虚假资料的；</w:t>
      </w:r>
    </w:p>
    <w:p>
      <w:pPr>
        <w:snapToGrid w:val="0"/>
        <w:spacing w:line="360" w:lineRule="auto"/>
        <w:ind w:firstLine="470" w:firstLineChars="196"/>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（四）以非法手段排斥其他供应商参与竞争的；</w:t>
      </w:r>
    </w:p>
    <w:p>
      <w:pPr>
        <w:snapToGrid w:val="0"/>
        <w:spacing w:line="360" w:lineRule="auto"/>
        <w:ind w:firstLine="470" w:firstLineChars="196"/>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（五）与其他采购参加人串通投标的；</w:t>
      </w:r>
    </w:p>
    <w:p>
      <w:pPr>
        <w:snapToGrid w:val="0"/>
        <w:spacing w:line="360" w:lineRule="auto"/>
        <w:ind w:firstLine="470" w:firstLineChars="196"/>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（六）恶意投诉的；</w:t>
      </w:r>
    </w:p>
    <w:p>
      <w:pPr>
        <w:snapToGrid w:val="0"/>
        <w:spacing w:line="360" w:lineRule="auto"/>
        <w:ind w:firstLine="470" w:firstLineChars="196"/>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（七）向采购项目相关人行贿或者提供其他不当利益的；</w:t>
      </w:r>
    </w:p>
    <w:p>
      <w:pPr>
        <w:snapToGrid w:val="0"/>
        <w:spacing w:line="360" w:lineRule="auto"/>
        <w:ind w:firstLine="470" w:firstLineChars="196"/>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（八）阻碍、抗拒主管部门监督检查的；</w:t>
      </w:r>
    </w:p>
    <w:p>
      <w:pPr>
        <w:snapToGrid w:val="0"/>
        <w:spacing w:line="360" w:lineRule="auto"/>
        <w:ind w:firstLine="470" w:firstLineChars="196"/>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（九）其他违反本条例规定的行为。</w:t>
      </w:r>
    </w:p>
    <w:p>
      <w:pPr>
        <w:snapToGrid w:val="0"/>
        <w:spacing w:line="360" w:lineRule="auto"/>
        <w:ind w:firstLine="470" w:firstLineChars="196"/>
        <w:rPr>
          <w:rFonts w:ascii="宋体" w:hAnsi="宋体" w:cs="宋体"/>
          <w:color w:val="000000" w:themeColor="text1"/>
          <w:sz w:val="24"/>
          <w14:textFill>
            <w14:solidFill>
              <w14:schemeClr w14:val="tx1"/>
            </w14:solidFill>
          </w14:textFill>
        </w:rPr>
      </w:pPr>
    </w:p>
    <w:p>
      <w:pPr>
        <w:snapToGrid w:val="0"/>
        <w:spacing w:line="360" w:lineRule="auto"/>
        <w:ind w:firstLine="470" w:firstLineChars="196"/>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二、《深圳经济特区政府采购条例实施细则》</w:t>
      </w:r>
    </w:p>
    <w:p>
      <w:pPr>
        <w:snapToGrid w:val="0"/>
        <w:spacing w:line="360" w:lineRule="auto"/>
        <w:ind w:firstLine="470" w:firstLineChars="196"/>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第七十五条 供应商有下列情形的，属于采购条例所称的串通投标行为，按照采购条例第五十七条有关规定处理：（一）投标供应商之间相互约定给予未中标的供应商利益补偿。（二）不同投标供应商的法定代表人、主要经营负责人、项目投标授权代表人、项目负责人、主要技术人员为同一人、属同一单位或者在同一单位缴纳社会保险。（三）不同投标供应商的投标文件由同一单位或者同一人编制，或者由同一人分阶段参与编制的。（四）不同投标供应商的投标文件或部分投标文件相互混装。（五）不同投标供应商的投标文件内容存在非正常一致。（六）由同一单位工作人员为两家以上（含两家）供应商进行同一项投标活动的。（七）主管部门依照法律、法规认定的其他情形。</w:t>
      </w:r>
    </w:p>
    <w:p>
      <w:pPr>
        <w:snapToGrid w:val="0"/>
        <w:spacing w:line="360" w:lineRule="auto"/>
        <w:ind w:firstLine="470" w:firstLineChars="196"/>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第七十七条 供应商有下列情形之一的，属于隐瞒真实情况，提供虚假资料，按照采购条例第五十七的有关规定处理：（一）通过转让或者租借等方式从其他单位获取资格或者资质证书投标的。（二）由其他单位或者其他单位负责人在投标供应商编制的投标文件上加盖印章或者签字的。（三）项目负责人或者主要技术人员不是本单位人员的。（四）投标保证金不是从投标供应商基本账户转出的。（五）其他隐瞒真实情况、提供虚假资料的行为。</w:t>
      </w:r>
    </w:p>
    <w:p>
      <w:pPr>
        <w:snapToGrid w:val="0"/>
        <w:spacing w:line="360" w:lineRule="auto"/>
        <w:ind w:firstLine="470" w:firstLineChars="196"/>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投标供应商不能提供项目负责人或者主要技术人员的劳动合同、社会保险等劳动关系证明材料的，视为存在前款第（三）项规定的情形。</w:t>
      </w:r>
    </w:p>
    <w:p>
      <w:pPr>
        <w:jc w:val="center"/>
        <w:outlineLvl w:val="0"/>
        <w:rPr>
          <w:rFonts w:ascii="宋体" w:hAnsi="宋体" w:cs="宋体"/>
          <w:b/>
          <w:bCs/>
          <w:color w:val="000000" w:themeColor="text1"/>
          <w:sz w:val="36"/>
          <w:szCs w:val="36"/>
          <w:lang w:val="zh-CN"/>
          <w14:textFill>
            <w14:solidFill>
              <w14:schemeClr w14:val="tx1"/>
            </w14:solidFill>
          </w14:textFill>
        </w:rPr>
      </w:pPr>
      <w:r>
        <w:rPr>
          <w:rFonts w:hint="eastAsia" w:ascii="宋体" w:hAnsi="宋体" w:cs="宋体"/>
          <w:b/>
          <w:bCs/>
          <w:color w:val="000000" w:themeColor="text1"/>
          <w:sz w:val="36"/>
          <w:szCs w:val="36"/>
          <w:lang w:val="zh-CN"/>
          <w14:textFill>
            <w14:solidFill>
              <w14:schemeClr w14:val="tx1"/>
            </w14:solidFill>
          </w14:textFill>
        </w:rPr>
        <w:br w:type="page"/>
      </w:r>
      <w:bookmarkStart w:id="1" w:name="_Toc20808"/>
      <w:r>
        <w:rPr>
          <w:rFonts w:hint="eastAsia" w:ascii="宋体" w:hAnsi="宋体" w:cs="宋体"/>
          <w:b/>
          <w:bCs/>
          <w:color w:val="000000" w:themeColor="text1"/>
          <w:sz w:val="36"/>
          <w:szCs w:val="36"/>
          <w:lang w:val="zh-CN"/>
          <w14:textFill>
            <w14:solidFill>
              <w14:schemeClr w14:val="tx1"/>
            </w14:solidFill>
          </w14:textFill>
        </w:rPr>
        <w:t>目录</w:t>
      </w:r>
      <w:bookmarkEnd w:id="0"/>
      <w:bookmarkEnd w:id="1"/>
    </w:p>
    <w:p>
      <w:pPr>
        <w:pStyle w:val="13"/>
        <w:tabs>
          <w:tab w:val="right" w:leader="dot" w:pos="8306"/>
        </w:tabs>
        <w:spacing w:line="480" w:lineRule="auto"/>
        <w:rPr>
          <w:b/>
          <w:bCs/>
          <w:color w:val="000000" w:themeColor="text1"/>
          <w:sz w:val="24"/>
          <w:szCs w:val="32"/>
          <w14:textFill>
            <w14:solidFill>
              <w14:schemeClr w14:val="tx1"/>
            </w14:solidFill>
          </w14:textFill>
        </w:rPr>
      </w:pPr>
    </w:p>
    <w:p>
      <w:pPr>
        <w:pStyle w:val="13"/>
        <w:tabs>
          <w:tab w:val="right" w:leader="dot" w:pos="8306"/>
        </w:tabs>
        <w:spacing w:line="360" w:lineRule="auto"/>
        <w:rPr>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fldChar w:fldCharType="begin"/>
      </w:r>
      <w:r>
        <w:rPr>
          <w:rFonts w:hint="eastAsia" w:ascii="宋体" w:hAnsi="宋体" w:cs="宋体"/>
          <w:b/>
          <w:bCs/>
          <w:color w:val="000000" w:themeColor="text1"/>
          <w:sz w:val="24"/>
          <w14:textFill>
            <w14:solidFill>
              <w14:schemeClr w14:val="tx1"/>
            </w14:solidFill>
          </w14:textFill>
        </w:rPr>
        <w:instrText xml:space="preserve">TOC \o "1-1" \h \u </w:instrText>
      </w:r>
      <w:r>
        <w:rPr>
          <w:rFonts w:hint="eastAsia" w:ascii="宋体" w:hAnsi="宋体" w:cs="宋体"/>
          <w:b/>
          <w:bCs/>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"_Toc17273"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第一章 招标邀请书（招标公告）</w:t>
      </w:r>
      <w:r>
        <w:rPr>
          <w:b/>
          <w:bCs/>
          <w:color w:val="000000" w:themeColor="text1"/>
          <w:sz w:val="24"/>
          <w14:textFill>
            <w14:solidFill>
              <w14:schemeClr w14:val="tx1"/>
            </w14:solidFill>
          </w14:textFill>
        </w:rPr>
        <w:tab/>
      </w:r>
      <w:r>
        <w:rPr>
          <w:b/>
          <w:bCs/>
          <w:color w:val="000000" w:themeColor="text1"/>
          <w:sz w:val="24"/>
          <w14:textFill>
            <w14:solidFill>
              <w14:schemeClr w14:val="tx1"/>
            </w14:solidFill>
          </w14:textFill>
        </w:rPr>
        <w:fldChar w:fldCharType="begin"/>
      </w:r>
      <w:r>
        <w:rPr>
          <w:b/>
          <w:bCs/>
          <w:color w:val="000000" w:themeColor="text1"/>
          <w:sz w:val="24"/>
          <w14:textFill>
            <w14:solidFill>
              <w14:schemeClr w14:val="tx1"/>
            </w14:solidFill>
          </w14:textFill>
        </w:rPr>
        <w:instrText xml:space="preserve"> PAGEREF _Toc17273 \h </w:instrText>
      </w:r>
      <w:r>
        <w:rPr>
          <w:b/>
          <w:bCs/>
          <w:color w:val="000000" w:themeColor="text1"/>
          <w:sz w:val="24"/>
          <w14:textFill>
            <w14:solidFill>
              <w14:schemeClr w14:val="tx1"/>
            </w14:solidFill>
          </w14:textFill>
        </w:rPr>
        <w:fldChar w:fldCharType="separate"/>
      </w:r>
      <w:r>
        <w:rPr>
          <w:b/>
          <w:bCs/>
          <w:color w:val="000000" w:themeColor="text1"/>
          <w:sz w:val="24"/>
          <w14:textFill>
            <w14:solidFill>
              <w14:schemeClr w14:val="tx1"/>
            </w14:solidFill>
          </w14:textFill>
        </w:rPr>
        <w:t>5</w:t>
      </w:r>
      <w:r>
        <w:rPr>
          <w:b/>
          <w:bCs/>
          <w:color w:val="000000" w:themeColor="text1"/>
          <w:sz w:val="24"/>
          <w14:textFill>
            <w14:solidFill>
              <w14:schemeClr w14:val="tx1"/>
            </w14:solidFill>
          </w14:textFill>
        </w:rPr>
        <w:fldChar w:fldCharType="end"/>
      </w:r>
      <w:r>
        <w:rPr>
          <w:b/>
          <w:bCs/>
          <w:color w:val="000000" w:themeColor="text1"/>
          <w:sz w:val="24"/>
          <w14:textFill>
            <w14:solidFill>
              <w14:schemeClr w14:val="tx1"/>
            </w14:solidFill>
          </w14:textFill>
        </w:rPr>
        <w:fldChar w:fldCharType="end"/>
      </w:r>
    </w:p>
    <w:p>
      <w:pPr>
        <w:pStyle w:val="13"/>
        <w:tabs>
          <w:tab w:val="right" w:leader="dot" w:pos="8306"/>
        </w:tabs>
        <w:spacing w:line="360" w:lineRule="auto"/>
        <w:rPr>
          <w:b/>
          <w:bCs/>
          <w:color w:val="000000" w:themeColor="text1"/>
          <w:sz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"_Toc10214"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第二章 投标须知</w:t>
      </w:r>
      <w:r>
        <w:rPr>
          <w:b/>
          <w:bCs/>
          <w:color w:val="000000" w:themeColor="text1"/>
          <w:sz w:val="24"/>
          <w14:textFill>
            <w14:solidFill>
              <w14:schemeClr w14:val="tx1"/>
            </w14:solidFill>
          </w14:textFill>
        </w:rPr>
        <w:tab/>
      </w:r>
      <w:r>
        <w:rPr>
          <w:b/>
          <w:bCs/>
          <w:color w:val="000000" w:themeColor="text1"/>
          <w:sz w:val="24"/>
          <w14:textFill>
            <w14:solidFill>
              <w14:schemeClr w14:val="tx1"/>
            </w14:solidFill>
          </w14:textFill>
        </w:rPr>
        <w:fldChar w:fldCharType="begin"/>
      </w:r>
      <w:r>
        <w:rPr>
          <w:b/>
          <w:bCs/>
          <w:color w:val="000000" w:themeColor="text1"/>
          <w:sz w:val="24"/>
          <w14:textFill>
            <w14:solidFill>
              <w14:schemeClr w14:val="tx1"/>
            </w14:solidFill>
          </w14:textFill>
        </w:rPr>
        <w:instrText xml:space="preserve"> PAGEREF _Toc10214 \h </w:instrText>
      </w:r>
      <w:r>
        <w:rPr>
          <w:b/>
          <w:bCs/>
          <w:color w:val="000000" w:themeColor="text1"/>
          <w:sz w:val="24"/>
          <w14:textFill>
            <w14:solidFill>
              <w14:schemeClr w14:val="tx1"/>
            </w14:solidFill>
          </w14:textFill>
        </w:rPr>
        <w:fldChar w:fldCharType="separate"/>
      </w:r>
      <w:r>
        <w:rPr>
          <w:b/>
          <w:bCs/>
          <w:color w:val="000000" w:themeColor="text1"/>
          <w:sz w:val="24"/>
          <w14:textFill>
            <w14:solidFill>
              <w14:schemeClr w14:val="tx1"/>
            </w14:solidFill>
          </w14:textFill>
        </w:rPr>
        <w:t>8</w:t>
      </w:r>
      <w:r>
        <w:rPr>
          <w:b/>
          <w:bCs/>
          <w:color w:val="000000" w:themeColor="text1"/>
          <w:sz w:val="24"/>
          <w14:textFill>
            <w14:solidFill>
              <w14:schemeClr w14:val="tx1"/>
            </w14:solidFill>
          </w14:textFill>
        </w:rPr>
        <w:fldChar w:fldCharType="end"/>
      </w:r>
      <w:r>
        <w:rPr>
          <w:b/>
          <w:bCs/>
          <w:color w:val="000000" w:themeColor="text1"/>
          <w:sz w:val="24"/>
          <w14:textFill>
            <w14:solidFill>
              <w14:schemeClr w14:val="tx1"/>
            </w14:solidFill>
          </w14:textFill>
        </w:rPr>
        <w:fldChar w:fldCharType="end"/>
      </w:r>
    </w:p>
    <w:p>
      <w:pPr>
        <w:pStyle w:val="13"/>
        <w:tabs>
          <w:tab w:val="right" w:leader="dot" w:pos="8306"/>
        </w:tabs>
        <w:spacing w:line="360" w:lineRule="auto"/>
        <w:rPr>
          <w:b/>
          <w:bCs/>
          <w:color w:val="000000" w:themeColor="text1"/>
          <w:sz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"_Toc20176"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第三章 评标程序</w:t>
      </w:r>
      <w:r>
        <w:rPr>
          <w:b/>
          <w:bCs/>
          <w:color w:val="000000" w:themeColor="text1"/>
          <w:sz w:val="24"/>
          <w14:textFill>
            <w14:solidFill>
              <w14:schemeClr w14:val="tx1"/>
            </w14:solidFill>
          </w14:textFill>
        </w:rPr>
        <w:tab/>
      </w:r>
      <w:r>
        <w:rPr>
          <w:b/>
          <w:bCs/>
          <w:color w:val="000000" w:themeColor="text1"/>
          <w:sz w:val="24"/>
          <w14:textFill>
            <w14:solidFill>
              <w14:schemeClr w14:val="tx1"/>
            </w14:solidFill>
          </w14:textFill>
        </w:rPr>
        <w:fldChar w:fldCharType="begin"/>
      </w:r>
      <w:r>
        <w:rPr>
          <w:b/>
          <w:bCs/>
          <w:color w:val="000000" w:themeColor="text1"/>
          <w:sz w:val="24"/>
          <w14:textFill>
            <w14:solidFill>
              <w14:schemeClr w14:val="tx1"/>
            </w14:solidFill>
          </w14:textFill>
        </w:rPr>
        <w:instrText xml:space="preserve"> PAGEREF _Toc20176 \h </w:instrText>
      </w:r>
      <w:r>
        <w:rPr>
          <w:b/>
          <w:bCs/>
          <w:color w:val="000000" w:themeColor="text1"/>
          <w:sz w:val="24"/>
          <w14:textFill>
            <w14:solidFill>
              <w14:schemeClr w14:val="tx1"/>
            </w14:solidFill>
          </w14:textFill>
        </w:rPr>
        <w:fldChar w:fldCharType="separate"/>
      </w:r>
      <w:r>
        <w:rPr>
          <w:b/>
          <w:bCs/>
          <w:color w:val="000000" w:themeColor="text1"/>
          <w:sz w:val="24"/>
          <w14:textFill>
            <w14:solidFill>
              <w14:schemeClr w14:val="tx1"/>
            </w14:solidFill>
          </w14:textFill>
        </w:rPr>
        <w:t>11</w:t>
      </w:r>
      <w:r>
        <w:rPr>
          <w:b/>
          <w:bCs/>
          <w:color w:val="000000" w:themeColor="text1"/>
          <w:sz w:val="24"/>
          <w14:textFill>
            <w14:solidFill>
              <w14:schemeClr w14:val="tx1"/>
            </w14:solidFill>
          </w14:textFill>
        </w:rPr>
        <w:fldChar w:fldCharType="end"/>
      </w:r>
      <w:r>
        <w:rPr>
          <w:b/>
          <w:bCs/>
          <w:color w:val="000000" w:themeColor="text1"/>
          <w:sz w:val="24"/>
          <w14:textFill>
            <w14:solidFill>
              <w14:schemeClr w14:val="tx1"/>
            </w14:solidFill>
          </w14:textFill>
        </w:rPr>
        <w:fldChar w:fldCharType="end"/>
      </w:r>
    </w:p>
    <w:p>
      <w:pPr>
        <w:pStyle w:val="13"/>
        <w:tabs>
          <w:tab w:val="right" w:leader="dot" w:pos="8306"/>
        </w:tabs>
        <w:spacing w:line="360" w:lineRule="auto"/>
        <w:rPr>
          <w:b/>
          <w:bCs/>
          <w:color w:val="000000" w:themeColor="text1"/>
          <w:sz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"_Toc3567"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第四章 合同格式及合同条款</w:t>
      </w:r>
      <w:r>
        <w:rPr>
          <w:b/>
          <w:bCs/>
          <w:color w:val="000000" w:themeColor="text1"/>
          <w:sz w:val="24"/>
          <w14:textFill>
            <w14:solidFill>
              <w14:schemeClr w14:val="tx1"/>
            </w14:solidFill>
          </w14:textFill>
        </w:rPr>
        <w:tab/>
      </w:r>
      <w:r>
        <w:rPr>
          <w:b/>
          <w:bCs/>
          <w:color w:val="000000" w:themeColor="text1"/>
          <w:sz w:val="24"/>
          <w14:textFill>
            <w14:solidFill>
              <w14:schemeClr w14:val="tx1"/>
            </w14:solidFill>
          </w14:textFill>
        </w:rPr>
        <w:fldChar w:fldCharType="begin"/>
      </w:r>
      <w:r>
        <w:rPr>
          <w:b/>
          <w:bCs/>
          <w:color w:val="000000" w:themeColor="text1"/>
          <w:sz w:val="24"/>
          <w14:textFill>
            <w14:solidFill>
              <w14:schemeClr w14:val="tx1"/>
            </w14:solidFill>
          </w14:textFill>
        </w:rPr>
        <w:instrText xml:space="preserve"> PAGEREF _Toc3567 \h </w:instrText>
      </w:r>
      <w:r>
        <w:rPr>
          <w:b/>
          <w:bCs/>
          <w:color w:val="000000" w:themeColor="text1"/>
          <w:sz w:val="24"/>
          <w14:textFill>
            <w14:solidFill>
              <w14:schemeClr w14:val="tx1"/>
            </w14:solidFill>
          </w14:textFill>
        </w:rPr>
        <w:fldChar w:fldCharType="separate"/>
      </w:r>
      <w:r>
        <w:rPr>
          <w:b/>
          <w:bCs/>
          <w:color w:val="000000" w:themeColor="text1"/>
          <w:sz w:val="24"/>
          <w14:textFill>
            <w14:solidFill>
              <w14:schemeClr w14:val="tx1"/>
            </w14:solidFill>
          </w14:textFill>
        </w:rPr>
        <w:t>13</w:t>
      </w:r>
      <w:r>
        <w:rPr>
          <w:b/>
          <w:bCs/>
          <w:color w:val="000000" w:themeColor="text1"/>
          <w:sz w:val="24"/>
          <w14:textFill>
            <w14:solidFill>
              <w14:schemeClr w14:val="tx1"/>
            </w14:solidFill>
          </w14:textFill>
        </w:rPr>
        <w:fldChar w:fldCharType="end"/>
      </w:r>
      <w:r>
        <w:rPr>
          <w:b/>
          <w:bCs/>
          <w:color w:val="000000" w:themeColor="text1"/>
          <w:sz w:val="24"/>
          <w14:textFill>
            <w14:solidFill>
              <w14:schemeClr w14:val="tx1"/>
            </w14:solidFill>
          </w14:textFill>
        </w:rPr>
        <w:fldChar w:fldCharType="end"/>
      </w:r>
    </w:p>
    <w:p>
      <w:pPr>
        <w:pStyle w:val="13"/>
        <w:tabs>
          <w:tab w:val="right" w:leader="dot" w:pos="8306"/>
        </w:tabs>
        <w:spacing w:line="360" w:lineRule="auto"/>
        <w:rPr>
          <w:b/>
          <w:bCs/>
          <w:color w:val="000000" w:themeColor="text1"/>
          <w:sz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"_Toc25518"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第五章 用户需求书</w:t>
      </w:r>
      <w:r>
        <w:rPr>
          <w:b/>
          <w:bCs/>
          <w:color w:val="000000" w:themeColor="text1"/>
          <w:sz w:val="24"/>
          <w14:textFill>
            <w14:solidFill>
              <w14:schemeClr w14:val="tx1"/>
            </w14:solidFill>
          </w14:textFill>
        </w:rPr>
        <w:tab/>
      </w:r>
      <w:r>
        <w:rPr>
          <w:b/>
          <w:bCs/>
          <w:color w:val="000000" w:themeColor="text1"/>
          <w:sz w:val="24"/>
          <w14:textFill>
            <w14:solidFill>
              <w14:schemeClr w14:val="tx1"/>
            </w14:solidFill>
          </w14:textFill>
        </w:rPr>
        <w:fldChar w:fldCharType="end"/>
      </w:r>
      <w:r>
        <w:rPr>
          <w:rFonts w:hint="eastAsia"/>
          <w:b/>
          <w:bCs/>
          <w:color w:val="000000" w:themeColor="text1"/>
          <w:sz w:val="24"/>
          <w14:textFill>
            <w14:solidFill>
              <w14:schemeClr w14:val="tx1"/>
            </w14:solidFill>
          </w14:textFill>
        </w:rPr>
        <w:t>26</w:t>
      </w:r>
    </w:p>
    <w:p>
      <w:pPr>
        <w:pStyle w:val="13"/>
        <w:tabs>
          <w:tab w:val="right" w:leader="dot" w:pos="8306"/>
        </w:tabs>
        <w:spacing w:line="360" w:lineRule="auto"/>
        <w:rPr>
          <w:b/>
          <w:bCs/>
          <w:color w:val="000000" w:themeColor="text1"/>
          <w:sz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"_Toc23822" </w:instrText>
      </w:r>
      <w:r>
        <w:rPr>
          <w:color w:val="000000" w:themeColor="text1"/>
          <w14:textFill>
            <w14:solidFill>
              <w14:schemeClr w14:val="tx1"/>
            </w14:solidFill>
          </w14:textFill>
        </w:rPr>
        <w:fldChar w:fldCharType="separate"/>
      </w:r>
      <w:r>
        <w:rPr>
          <w:rFonts w:hint="eastAsia" w:ascii="宋体" w:cs="宋体"/>
          <w:b/>
          <w:bCs/>
          <w:color w:val="000000" w:themeColor="text1"/>
          <w:sz w:val="24"/>
          <w14:textFill>
            <w14:solidFill>
              <w14:schemeClr w14:val="tx1"/>
            </w14:solidFill>
          </w14:textFill>
        </w:rPr>
        <w:t>第六章 投标文件初审及招标项目评分表</w:t>
      </w:r>
      <w:r>
        <w:rPr>
          <w:b/>
          <w:bCs/>
          <w:color w:val="000000" w:themeColor="text1"/>
          <w:sz w:val="24"/>
          <w14:textFill>
            <w14:solidFill>
              <w14:schemeClr w14:val="tx1"/>
            </w14:solidFill>
          </w14:textFill>
        </w:rPr>
        <w:tab/>
      </w:r>
      <w:r>
        <w:rPr>
          <w:b/>
          <w:bCs/>
          <w:color w:val="000000" w:themeColor="text1"/>
          <w:sz w:val="24"/>
          <w14:textFill>
            <w14:solidFill>
              <w14:schemeClr w14:val="tx1"/>
            </w14:solidFill>
          </w14:textFill>
        </w:rPr>
        <w:fldChar w:fldCharType="end"/>
      </w:r>
      <w:r>
        <w:rPr>
          <w:rFonts w:hint="eastAsia"/>
          <w:b/>
          <w:bCs/>
          <w:color w:val="000000" w:themeColor="text1"/>
          <w:sz w:val="24"/>
          <w14:textFill>
            <w14:solidFill>
              <w14:schemeClr w14:val="tx1"/>
            </w14:solidFill>
          </w14:textFill>
        </w:rPr>
        <w:t>32</w:t>
      </w:r>
    </w:p>
    <w:p>
      <w:pPr>
        <w:pStyle w:val="13"/>
        <w:tabs>
          <w:tab w:val="right" w:leader="dot" w:pos="8306"/>
        </w:tabs>
        <w:spacing w:line="360" w:lineRule="auto"/>
        <w:rPr>
          <w:b/>
          <w:bCs/>
          <w:color w:val="000000" w:themeColor="text1"/>
          <w:sz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"_Toc9548"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第七章 附件（投标文件格式）</w:t>
      </w:r>
      <w:r>
        <w:rPr>
          <w:b/>
          <w:bCs/>
          <w:color w:val="000000" w:themeColor="text1"/>
          <w:sz w:val="24"/>
          <w14:textFill>
            <w14:solidFill>
              <w14:schemeClr w14:val="tx1"/>
            </w14:solidFill>
          </w14:textFill>
        </w:rPr>
        <w:tab/>
      </w:r>
      <w:r>
        <w:rPr>
          <w:b/>
          <w:bCs/>
          <w:color w:val="000000" w:themeColor="text1"/>
          <w:sz w:val="24"/>
          <w14:textFill>
            <w14:solidFill>
              <w14:schemeClr w14:val="tx1"/>
            </w14:solidFill>
          </w14:textFill>
        </w:rPr>
        <w:fldChar w:fldCharType="end"/>
      </w:r>
      <w:r>
        <w:rPr>
          <w:rFonts w:hint="eastAsia"/>
          <w:b/>
          <w:bCs/>
          <w:color w:val="000000" w:themeColor="text1"/>
          <w:sz w:val="24"/>
          <w14:textFill>
            <w14:solidFill>
              <w14:schemeClr w14:val="tx1"/>
            </w14:solidFill>
          </w14:textFill>
        </w:rPr>
        <w:t>38</w:t>
      </w:r>
    </w:p>
    <w:p>
      <w:pPr>
        <w:pStyle w:val="13"/>
        <w:tabs>
          <w:tab w:val="right" w:leader="dot" w:pos="8306"/>
        </w:tabs>
        <w:spacing w:line="360" w:lineRule="auto"/>
        <w:rPr>
          <w:b/>
          <w:bCs/>
          <w:color w:val="000000" w:themeColor="text1"/>
          <w:sz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"_Toc742"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附件：相关政策</w:t>
      </w:r>
      <w:r>
        <w:rPr>
          <w:b/>
          <w:bCs/>
          <w:color w:val="000000" w:themeColor="text1"/>
          <w:sz w:val="24"/>
          <w14:textFill>
            <w14:solidFill>
              <w14:schemeClr w14:val="tx1"/>
            </w14:solidFill>
          </w14:textFill>
        </w:rPr>
        <w:tab/>
      </w:r>
      <w:r>
        <w:rPr>
          <w:b/>
          <w:bCs/>
          <w:color w:val="000000" w:themeColor="text1"/>
          <w:sz w:val="24"/>
          <w14:textFill>
            <w14:solidFill>
              <w14:schemeClr w14:val="tx1"/>
            </w14:solidFill>
          </w14:textFill>
        </w:rPr>
        <w:fldChar w:fldCharType="end"/>
      </w:r>
      <w:r>
        <w:rPr>
          <w:rFonts w:hint="eastAsia"/>
          <w:b/>
          <w:bCs/>
          <w:color w:val="000000" w:themeColor="text1"/>
          <w:sz w:val="24"/>
          <w14:textFill>
            <w14:solidFill>
              <w14:schemeClr w14:val="tx1"/>
            </w14:solidFill>
          </w14:textFill>
        </w:rPr>
        <w:t>57</w:t>
      </w:r>
    </w:p>
    <w:p>
      <w:pPr>
        <w:pStyle w:val="13"/>
        <w:tabs>
          <w:tab w:val="right" w:leader="dot" w:pos="8306"/>
        </w:tabs>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fldChar w:fldCharType="end"/>
      </w:r>
    </w:p>
    <w:p>
      <w:pPr>
        <w:spacing w:line="360" w:lineRule="auto"/>
        <w:rPr>
          <w:color w:val="000000" w:themeColor="text1"/>
          <w14:textFill>
            <w14:solidFill>
              <w14:schemeClr w14:val="tx1"/>
            </w14:solidFill>
          </w14:textFill>
        </w:rPr>
      </w:pPr>
    </w:p>
    <w:p>
      <w:pPr>
        <w:numPr>
          <w:ilvl w:val="0"/>
          <w:numId w:val="2"/>
        </w:numPr>
        <w:spacing w:line="360" w:lineRule="auto"/>
        <w:jc w:val="center"/>
        <w:outlineLvl w:val="0"/>
        <w:rPr>
          <w:rFonts w:ascii="宋体" w:hAnsi="宋体" w:cs="宋体"/>
          <w:b/>
          <w:bCs/>
          <w:color w:val="000000" w:themeColor="text1"/>
          <w:sz w:val="24"/>
          <w14:textFill>
            <w14:solidFill>
              <w14:schemeClr w14:val="tx1"/>
            </w14:solidFill>
          </w14:textFill>
        </w:rPr>
      </w:pPr>
      <w:r>
        <w:rPr>
          <w:rFonts w:ascii="宋体"/>
          <w:b/>
          <w:bCs/>
          <w:color w:val="000000" w:themeColor="text1"/>
          <w:sz w:val="32"/>
          <w:szCs w:val="28"/>
          <w14:textFill>
            <w14:solidFill>
              <w14:schemeClr w14:val="tx1"/>
            </w14:solidFill>
          </w14:textFill>
        </w:rPr>
        <w:br w:type="page"/>
      </w:r>
      <w:r>
        <w:rPr>
          <w:rFonts w:hint="eastAsia" w:ascii="宋体"/>
          <w:b/>
          <w:bCs/>
          <w:color w:val="000000" w:themeColor="text1"/>
          <w:sz w:val="32"/>
          <w:szCs w:val="28"/>
          <w14:textFill>
            <w14:solidFill>
              <w14:schemeClr w14:val="tx1"/>
            </w14:solidFill>
          </w14:textFill>
        </w:rPr>
        <w:t xml:space="preserve"> </w:t>
      </w:r>
      <w:bookmarkStart w:id="2" w:name="_Toc17273"/>
      <w:r>
        <w:rPr>
          <w:rFonts w:hint="eastAsia" w:ascii="宋体" w:hAnsi="宋体" w:cs="宋体"/>
          <w:b/>
          <w:bCs/>
          <w:color w:val="000000" w:themeColor="text1"/>
          <w:sz w:val="24"/>
          <w14:textFill>
            <w14:solidFill>
              <w14:schemeClr w14:val="tx1"/>
            </w14:solidFill>
          </w14:textFill>
        </w:rPr>
        <w:t>招标邀请书（招标公告）</w:t>
      </w:r>
      <w:bookmarkEnd w:id="2"/>
    </w:p>
    <w:p>
      <w:pPr>
        <w:spacing w:line="360" w:lineRule="auto"/>
        <w:ind w:firstLine="480" w:firstLineChars="200"/>
        <w:jc w:val="righ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文件编码：0722-2024FE1878SZF-1</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中国远东国际招标有限公司（以下简称采购代理机构）受深圳市前海深港现代服务业合作区管理局委托就“港税e”香港居民个人所得税优惠政策申报辅助服务项目（招标编号：</w:t>
      </w:r>
      <w:r>
        <w:rPr>
          <w:rFonts w:hint="eastAsia" w:ascii="宋体" w:hAnsi="宋体" w:cs="宋体"/>
          <w:color w:val="000000" w:themeColor="text1"/>
          <w:sz w:val="24"/>
          <w:u w:val="single"/>
          <w14:textFill>
            <w14:solidFill>
              <w14:schemeClr w14:val="tx1"/>
            </w14:solidFill>
          </w14:textFill>
        </w:rPr>
        <w:t>QH2024006</w:t>
      </w:r>
      <w:r>
        <w:rPr>
          <w:rFonts w:hint="eastAsia" w:ascii="宋体" w:hAnsi="宋体" w:cs="宋体"/>
          <w:color w:val="000000" w:themeColor="text1"/>
          <w:sz w:val="24"/>
          <w14:textFill>
            <w14:solidFill>
              <w14:schemeClr w14:val="tx1"/>
            </w14:solidFill>
          </w14:textFill>
        </w:rPr>
        <w:t>）”采用简易招标方式采购，欢迎符合投标人资格要求的专业供应商积极参加投标。</w:t>
      </w:r>
    </w:p>
    <w:tbl>
      <w:tblPr>
        <w:tblStyle w:val="16"/>
        <w:tblW w:w="8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7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676"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招标编号</w:t>
            </w:r>
          </w:p>
        </w:tc>
        <w:tc>
          <w:tcPr>
            <w:tcW w:w="7015"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QH2024006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676"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招标项目名称</w:t>
            </w:r>
          </w:p>
        </w:tc>
        <w:tc>
          <w:tcPr>
            <w:tcW w:w="7015" w:type="dxa"/>
            <w:vAlign w:val="center"/>
          </w:tcPr>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“港税e”香港居民个人所得税优惠政策申报辅助服务项目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676"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标的内容</w:t>
            </w:r>
          </w:p>
        </w:tc>
        <w:tc>
          <w:tcPr>
            <w:tcW w:w="7015" w:type="dxa"/>
            <w:vAlign w:val="center"/>
          </w:tcPr>
          <w:p>
            <w:pPr>
              <w:spacing w:line="360" w:lineRule="auto"/>
              <w:rPr>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2023年12月21日，国家发改委正式对外发布《前海深港现代服务业合作区总体发展规划》（以下简称《前海规划》），提出加强财税政策支持，对在前海工作的香港居民，其个人所得税税负超过香港税负的部分予以免征。目前，在前海工作的香港居民人数体量较大，如果让香港居民自行计算内地与香港的税负差，不利于纳税人便捷享受</w:t>
            </w:r>
            <w:bookmarkStart w:id="30" w:name="_GoBack"/>
            <w:bookmarkEnd w:id="30"/>
            <w:r>
              <w:rPr>
                <w:rFonts w:hint="eastAsia" w:ascii="宋体" w:hAnsi="宋体" w:cs="宋体"/>
                <w:color w:val="000000" w:themeColor="text1"/>
                <w:sz w:val="24"/>
                <w14:textFill>
                  <w14:solidFill>
                    <w14:schemeClr w14:val="tx1"/>
                  </w14:solidFill>
                </w14:textFill>
              </w:rPr>
              <w:t>税收优惠。为最大程度地便利香港居民申请办理优惠，促进《前海规划》重要税收优惠政策高质量落地，迫切需要依托计算机工具和智慧化手段，提供个税优惠提醒、个税优惠及汇缴试算、个税优惠减免税申报等一系列的特色服务，也为税务部门加强服务管理提供有效支撑。具体详见用户需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676"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项目预算</w:t>
            </w:r>
          </w:p>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（最高限价）</w:t>
            </w:r>
          </w:p>
        </w:tc>
        <w:tc>
          <w:tcPr>
            <w:tcW w:w="7015"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¥466,000.00（人民币肆拾陆万陆仟元整）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676" w:type="dxa"/>
            <w:vAlign w:val="center"/>
          </w:tcPr>
          <w:p>
            <w:pPr>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标书获得办法</w:t>
            </w:r>
          </w:p>
        </w:tc>
        <w:tc>
          <w:tcPr>
            <w:tcW w:w="7015" w:type="dxa"/>
            <w:vAlign w:val="center"/>
          </w:tcPr>
          <w:p>
            <w:pPr>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招标文件为电子版，投标人可在前海管理局官网（信息公开－招标公告栏目）（http://qh.sz.gov.cn/）免费下载。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676" w:type="dxa"/>
            <w:vAlign w:val="center"/>
          </w:tcPr>
          <w:p>
            <w:pPr>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本项目所属行业</w:t>
            </w:r>
          </w:p>
        </w:tc>
        <w:tc>
          <w:tcPr>
            <w:tcW w:w="7015" w:type="dxa"/>
            <w:vAlign w:val="center"/>
          </w:tcPr>
          <w:p>
            <w:pPr>
              <w:spacing w:line="360" w:lineRule="auto"/>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676" w:type="dxa"/>
            <w:vAlign w:val="center"/>
          </w:tcPr>
          <w:p>
            <w:pPr>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报名方式</w:t>
            </w:r>
          </w:p>
        </w:tc>
        <w:tc>
          <w:tcPr>
            <w:tcW w:w="7015" w:type="dxa"/>
            <w:vAlign w:val="center"/>
          </w:tcPr>
          <w:p>
            <w:pPr>
              <w:adjustRightInd w:val="0"/>
              <w:snapToGrid w:val="0"/>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将投标文件密封并在</w:t>
            </w:r>
            <w:r>
              <w:rPr>
                <w:rFonts w:hint="eastAsia" w:ascii="宋体" w:hAnsi="宋体" w:cs="宋体"/>
                <w:b/>
                <w:bCs/>
                <w:color w:val="000000" w:themeColor="text1"/>
                <w:kern w:val="0"/>
                <w:sz w:val="24"/>
                <w14:textFill>
                  <w14:solidFill>
                    <w14:schemeClr w14:val="tx1"/>
                  </w14:solidFill>
                </w14:textFill>
              </w:rPr>
              <w:t>2024年</w:t>
            </w:r>
            <w:r>
              <w:rPr>
                <w:rFonts w:hint="eastAsia" w:ascii="宋体" w:hAnsi="宋体" w:cs="宋体"/>
                <w:b/>
                <w:bCs/>
                <w:color w:val="000000" w:themeColor="text1"/>
                <w:kern w:val="0"/>
                <w:sz w:val="24"/>
                <w:lang w:val="en-US" w:eastAsia="zh-CN"/>
                <w14:textFill>
                  <w14:solidFill>
                    <w14:schemeClr w14:val="tx1"/>
                  </w14:solidFill>
                </w14:textFill>
              </w:rPr>
              <w:t>3</w:t>
            </w:r>
            <w:r>
              <w:rPr>
                <w:rFonts w:hint="eastAsia" w:ascii="宋体" w:hAnsi="宋体" w:cs="宋体"/>
                <w:b/>
                <w:bCs/>
                <w:color w:val="000000" w:themeColor="text1"/>
                <w:kern w:val="0"/>
                <w:sz w:val="24"/>
                <w14:textFill>
                  <w14:solidFill>
                    <w14:schemeClr w14:val="tx1"/>
                  </w14:solidFill>
                </w14:textFill>
              </w:rPr>
              <w:t>月</w:t>
            </w:r>
            <w:r>
              <w:rPr>
                <w:rFonts w:hint="eastAsia" w:ascii="宋体" w:hAnsi="宋体" w:cs="宋体"/>
                <w:b/>
                <w:bCs/>
                <w:color w:val="000000" w:themeColor="text1"/>
                <w:kern w:val="0"/>
                <w:sz w:val="24"/>
                <w:lang w:val="en-US" w:eastAsia="zh-CN"/>
                <w14:textFill>
                  <w14:solidFill>
                    <w14:schemeClr w14:val="tx1"/>
                  </w14:solidFill>
                </w14:textFill>
              </w:rPr>
              <w:t>26</w:t>
            </w:r>
            <w:r>
              <w:rPr>
                <w:rFonts w:hint="eastAsia" w:ascii="宋体" w:hAnsi="宋体" w:cs="宋体"/>
                <w:b/>
                <w:bCs/>
                <w:color w:val="000000" w:themeColor="text1"/>
                <w:kern w:val="0"/>
                <w:sz w:val="24"/>
                <w14:textFill>
                  <w14:solidFill>
                    <w14:schemeClr w14:val="tx1"/>
                  </w14:solidFill>
                </w14:textFill>
              </w:rPr>
              <w:t>日</w:t>
            </w:r>
            <w:r>
              <w:rPr>
                <w:rFonts w:hint="eastAsia" w:ascii="宋体" w:hAnsi="宋体" w:cs="宋体"/>
                <w:b/>
                <w:bCs/>
                <w:color w:val="000000" w:themeColor="text1"/>
                <w:kern w:val="0"/>
                <w:sz w:val="24"/>
                <w:lang w:val="en-US" w:eastAsia="zh-CN"/>
                <w14:textFill>
                  <w14:solidFill>
                    <w14:schemeClr w14:val="tx1"/>
                  </w14:solidFill>
                </w14:textFill>
              </w:rPr>
              <w:t>上</w:t>
            </w:r>
            <w:r>
              <w:rPr>
                <w:rFonts w:hint="eastAsia" w:ascii="宋体" w:hAnsi="宋体" w:cs="宋体"/>
                <w:b/>
                <w:bCs/>
                <w:color w:val="000000" w:themeColor="text1"/>
                <w:kern w:val="0"/>
                <w:sz w:val="24"/>
                <w14:textFill>
                  <w14:solidFill>
                    <w14:schemeClr w14:val="tx1"/>
                  </w14:solidFill>
                </w14:textFill>
              </w:rPr>
              <w:t>午1</w:t>
            </w:r>
            <w:r>
              <w:rPr>
                <w:rFonts w:hint="eastAsia" w:ascii="宋体" w:hAnsi="宋体" w:cs="宋体"/>
                <w:b/>
                <w:bCs/>
                <w:color w:val="000000" w:themeColor="text1"/>
                <w:kern w:val="0"/>
                <w:sz w:val="24"/>
                <w:lang w:val="en-US" w:eastAsia="zh-CN"/>
                <w14:textFill>
                  <w14:solidFill>
                    <w14:schemeClr w14:val="tx1"/>
                  </w14:solidFill>
                </w14:textFill>
              </w:rPr>
              <w:t>0</w:t>
            </w:r>
            <w:r>
              <w:rPr>
                <w:rFonts w:hint="eastAsia" w:ascii="宋体" w:hAnsi="宋体" w:cs="宋体"/>
                <w:b/>
                <w:bCs/>
                <w:color w:val="000000" w:themeColor="text1"/>
                <w:kern w:val="0"/>
                <w:sz w:val="24"/>
                <w14:textFill>
                  <w14:solidFill>
                    <w14:schemeClr w14:val="tx1"/>
                  </w14:solidFill>
                </w14:textFill>
              </w:rPr>
              <w:t>：</w:t>
            </w:r>
            <w:r>
              <w:rPr>
                <w:rFonts w:hint="eastAsia" w:ascii="宋体" w:hAnsi="宋体" w:cs="宋体"/>
                <w:b/>
                <w:bCs/>
                <w:color w:val="000000" w:themeColor="text1"/>
                <w:kern w:val="0"/>
                <w:sz w:val="24"/>
                <w:lang w:val="en-US" w:eastAsia="zh-CN"/>
                <w14:textFill>
                  <w14:solidFill>
                    <w14:schemeClr w14:val="tx1"/>
                  </w14:solidFill>
                </w14:textFill>
              </w:rPr>
              <w:t>0</w:t>
            </w:r>
            <w:r>
              <w:rPr>
                <w:rFonts w:hint="eastAsia" w:ascii="宋体" w:hAnsi="宋体" w:cs="宋体"/>
                <w:b/>
                <w:bCs/>
                <w:color w:val="000000" w:themeColor="text1"/>
                <w:kern w:val="0"/>
                <w:sz w:val="24"/>
                <w14:textFill>
                  <w14:solidFill>
                    <w14:schemeClr w14:val="tx1"/>
                  </w14:solidFill>
                </w14:textFill>
              </w:rPr>
              <w:t>0时（北京时间）</w:t>
            </w:r>
            <w:r>
              <w:rPr>
                <w:rFonts w:hint="eastAsia" w:ascii="宋体" w:hAnsi="宋体" w:cs="宋体"/>
                <w:color w:val="000000" w:themeColor="text1"/>
                <w:kern w:val="0"/>
                <w:sz w:val="24"/>
                <w14:textFill>
                  <w14:solidFill>
                    <w14:schemeClr w14:val="tx1"/>
                  </w14:solidFill>
                </w14:textFill>
              </w:rPr>
              <w:t>前送达（现场递交或邮寄）至深圳市南山区前海深港合作区桂湾五路123号前海管理局前海大厦T1栋</w:t>
            </w:r>
            <w:r>
              <w:rPr>
                <w:rFonts w:ascii="宋体" w:hAnsi="宋体" w:cs="宋体"/>
                <w:color w:val="000000" w:themeColor="text1"/>
                <w:kern w:val="0"/>
                <w:sz w:val="24"/>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513</w:t>
            </w:r>
          </w:p>
          <w:p>
            <w:pPr>
              <w:adjustRightInd w:val="0"/>
              <w:snapToGrid w:val="0"/>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联  系  人：胡先生</w:t>
            </w:r>
          </w:p>
          <w:p>
            <w:pPr>
              <w:adjustRightInd w:val="0"/>
              <w:snapToGrid w:val="0"/>
              <w:spacing w:line="360" w:lineRule="auto"/>
              <w:jc w:val="left"/>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      话：0755-88105137</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0755-88105138</w:t>
            </w:r>
          </w:p>
          <w:p>
            <w:pPr>
              <w:adjustRightInd w:val="0"/>
              <w:snapToGrid w:val="0"/>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注：如需现场谈判，投标人需在评标半小时内到达评标现场。若因疫情等特殊原因，可进行视频会议谈判。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676" w:type="dxa"/>
            <w:vAlign w:val="center"/>
          </w:tcPr>
          <w:p>
            <w:pPr>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投标人资格要求</w:t>
            </w:r>
          </w:p>
        </w:tc>
        <w:tc>
          <w:tcPr>
            <w:tcW w:w="7015" w:type="dxa"/>
            <w:vAlign w:val="center"/>
          </w:tcPr>
          <w:p>
            <w:pPr>
              <w:numPr>
                <w:ilvl w:val="0"/>
                <w:numId w:val="3"/>
              </w:numPr>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在中华人民共和国境内注册的具有独立法人资格或具有独立承担民事责任的能力的其他组织</w:t>
            </w:r>
            <w:r>
              <w:rPr>
                <w:rFonts w:hint="eastAsia" w:ascii="宋体" w:hAnsi="宋体" w:cs="宋体"/>
                <w:b/>
                <w:bCs/>
                <w:color w:val="000000" w:themeColor="text1"/>
                <w:kern w:val="0"/>
                <w:sz w:val="24"/>
                <w14:textFill>
                  <w14:solidFill>
                    <w14:schemeClr w14:val="tx1"/>
                  </w14:solidFill>
                </w14:textFill>
              </w:rPr>
              <w:t>（提供营业执照或事业单位法人证等法人证明复印件加盖投标人公章）</w:t>
            </w:r>
            <w:r>
              <w:rPr>
                <w:rFonts w:hint="eastAsia" w:ascii="宋体" w:hAnsi="宋体" w:cs="宋体"/>
                <w:color w:val="000000" w:themeColor="text1"/>
                <w:kern w:val="0"/>
                <w:sz w:val="24"/>
                <w14:textFill>
                  <w14:solidFill>
                    <w14:schemeClr w14:val="tx1"/>
                  </w14:solidFill>
                </w14:textFill>
              </w:rPr>
              <w:t>；</w:t>
            </w:r>
          </w:p>
          <w:p>
            <w:pPr>
              <w:numPr>
                <w:ilvl w:val="0"/>
                <w:numId w:val="3"/>
              </w:numPr>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参与政府采购项目投标的供应商近三年内无行贿犯罪记录</w:t>
            </w:r>
            <w:r>
              <w:rPr>
                <w:rFonts w:hint="eastAsia" w:ascii="宋体" w:hAnsi="宋体" w:cs="宋体"/>
                <w:b/>
                <w:bCs/>
                <w:color w:val="000000" w:themeColor="text1"/>
                <w:kern w:val="0"/>
                <w:sz w:val="24"/>
                <w14:textFill>
                  <w14:solidFill>
                    <w14:schemeClr w14:val="tx1"/>
                  </w14:solidFill>
                </w14:textFill>
              </w:rPr>
              <w:t>（由投标人在《政府采购投标及履约承诺函》中作出声明）</w:t>
            </w:r>
            <w:r>
              <w:rPr>
                <w:rFonts w:hint="eastAsia" w:ascii="宋体" w:hAnsi="宋体" w:cs="宋体"/>
                <w:color w:val="000000" w:themeColor="text1"/>
                <w:kern w:val="0"/>
                <w:sz w:val="24"/>
                <w14:textFill>
                  <w14:solidFill>
                    <w14:schemeClr w14:val="tx1"/>
                  </w14:solidFill>
                </w14:textFill>
              </w:rPr>
              <w:t>；</w:t>
            </w:r>
          </w:p>
          <w:p>
            <w:pPr>
              <w:numPr>
                <w:ilvl w:val="0"/>
                <w:numId w:val="3"/>
              </w:numPr>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参与本项目投标前三年内，在经营活动中没有重大违法记录以及不存在被有关部门禁止参与政府采购活动且在有效期内的情况</w:t>
            </w:r>
            <w:r>
              <w:rPr>
                <w:rFonts w:hint="eastAsia" w:ascii="宋体" w:hAnsi="宋体" w:cs="宋体"/>
                <w:b/>
                <w:bCs/>
                <w:color w:val="000000" w:themeColor="text1"/>
                <w:kern w:val="0"/>
                <w:sz w:val="24"/>
                <w14:textFill>
                  <w14:solidFill>
                    <w14:schemeClr w14:val="tx1"/>
                  </w14:solidFill>
                </w14:textFill>
              </w:rPr>
              <w:t>（由投标人在《政府采购投标及履约承诺函》中作出声明）</w:t>
            </w:r>
            <w:r>
              <w:rPr>
                <w:rFonts w:hint="eastAsia" w:ascii="宋体" w:hAnsi="宋体" w:cs="宋体"/>
                <w:color w:val="000000" w:themeColor="text1"/>
                <w:kern w:val="0"/>
                <w:sz w:val="24"/>
                <w14:textFill>
                  <w14:solidFill>
                    <w14:schemeClr w14:val="tx1"/>
                  </w14:solidFill>
                </w14:textFill>
              </w:rPr>
              <w:t>；</w:t>
            </w:r>
          </w:p>
          <w:p>
            <w:pPr>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注：采购代理机构将通过“信用中国”中“信用服务”栏的“重大税收违法失信主体”“失信被执行人”“中国政府采购网”中的“政府采购严重违法失信行为记录名单”“深圳信用网”以及“深圳市政府采购监管网”为供应商信用信息的查询渠道，相关信息以开标当日的查询结果为准。信用信息查询记录应当作为项目档案材料一并保存。】</w:t>
            </w:r>
          </w:p>
          <w:p>
            <w:pPr>
              <w:numPr>
                <w:ilvl w:val="0"/>
                <w:numId w:val="3"/>
              </w:numPr>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本项目</w:t>
            </w:r>
            <w:r>
              <w:rPr>
                <w:rFonts w:ascii="宋体" w:hAnsi="宋体" w:cs="宋体"/>
                <w:color w:val="000000" w:themeColor="text1"/>
                <w:kern w:val="0"/>
                <w:sz w:val="24"/>
                <w14:textFill>
                  <w14:solidFill>
                    <w14:schemeClr w14:val="tx1"/>
                  </w14:solidFill>
                </w14:textFill>
              </w:rPr>
              <w:t>不</w:t>
            </w:r>
            <w:r>
              <w:rPr>
                <w:rFonts w:hint="eastAsia" w:ascii="宋体" w:hAnsi="宋体" w:cs="宋体"/>
                <w:color w:val="000000" w:themeColor="text1"/>
                <w:kern w:val="0"/>
                <w:sz w:val="24"/>
                <w14:textFill>
                  <w14:solidFill>
                    <w14:schemeClr w14:val="tx1"/>
                  </w14:solidFill>
                </w14:textFill>
              </w:rPr>
              <w:t>接受联合体投标，不允许转包、分包。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76" w:type="dxa"/>
            <w:vAlign w:val="center"/>
          </w:tcPr>
          <w:p>
            <w:pPr>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报价要求</w:t>
            </w:r>
          </w:p>
        </w:tc>
        <w:tc>
          <w:tcPr>
            <w:tcW w:w="7015" w:type="dxa"/>
            <w:vAlign w:val="center"/>
          </w:tcPr>
          <w:p>
            <w:pPr>
              <w:numPr>
                <w:ilvl w:val="0"/>
                <w:numId w:val="4"/>
              </w:num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本次投标为总价包干，投标报价总价作为中标人与采购人签订的合同金额。项目预算控制46.6万元以内，投标人的报价不可高于</w:t>
            </w:r>
            <w:r>
              <w:rPr>
                <w:rFonts w:hint="eastAsia" w:ascii="宋体" w:hAnsi="宋体" w:cs="宋体"/>
                <w:color w:val="000000" w:themeColor="text1"/>
                <w:kern w:val="0"/>
                <w:sz w:val="24"/>
                <w14:textFill>
                  <w14:solidFill>
                    <w14:schemeClr w14:val="tx1"/>
                  </w14:solidFill>
                </w14:textFill>
              </w:rPr>
              <w:t>预算（限价），否则投标人的投标文件视同无效。项目服务费包括但不限于</w:t>
            </w:r>
            <w:r>
              <w:rPr>
                <w:rFonts w:hint="eastAsia" w:ascii="宋体" w:hAnsi="宋体" w:cs="宋体"/>
                <w:color w:val="000000" w:themeColor="text1"/>
                <w:kern w:val="0"/>
                <w:sz w:val="24"/>
                <w:lang w:eastAsia="zh-CN"/>
                <w14:textFill>
                  <w14:solidFill>
                    <w14:schemeClr w14:val="tx1"/>
                  </w14:solidFill>
                </w14:textFill>
              </w:rPr>
              <w:t>整体方案设计、个性化定制、数据服务、多语种对照特色服务、初始化服务、咨询支持、人员费用、税费等所有费用</w:t>
            </w:r>
            <w:r>
              <w:rPr>
                <w:rFonts w:hint="eastAsia" w:ascii="宋体" w:hAnsi="宋体" w:cs="宋体"/>
                <w:color w:val="000000" w:themeColor="text1"/>
                <w:kern w:val="0"/>
                <w:sz w:val="24"/>
                <w14:textFill>
                  <w14:solidFill>
                    <w14:schemeClr w14:val="tx1"/>
                  </w14:solidFill>
                </w14:textFill>
              </w:rPr>
              <w:t>，并提供合同要求的成果文件，以及其他相关服务的全部费用</w:t>
            </w:r>
            <w:r>
              <w:rPr>
                <w:rFonts w:hint="eastAsia" w:ascii="宋体" w:hAnsi="宋体" w:cs="宋体"/>
                <w:color w:val="000000" w:themeColor="text1"/>
                <w:sz w:val="24"/>
                <w14:textFill>
                  <w14:solidFill>
                    <w14:schemeClr w14:val="tx1"/>
                  </w14:solidFill>
                </w14:textFill>
              </w:rPr>
              <w:t>。</w:t>
            </w:r>
          </w:p>
          <w:p>
            <w:pPr>
              <w:numPr>
                <w:ilvl w:val="0"/>
                <w:numId w:val="4"/>
              </w:num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应根据本企业的成本自行决定报价，但不得以低于其企业成本的报价投标；评标时，评标委员会认为投标人的报价明显低于其他通过符合性审查的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numPr>
                <w:ilvl w:val="0"/>
                <w:numId w:val="4"/>
              </w:num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投标人的投标报价，应是本项目招标范围和招标文件及合同条款上所列的各项内容中所述的全部，不得以任何理由予以重复，并以投标人在投标文件中提出的综合单价或总价为依据。</w:t>
            </w:r>
          </w:p>
          <w:p>
            <w:pPr>
              <w:numPr>
                <w:ilvl w:val="0"/>
                <w:numId w:val="4"/>
              </w:num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投标人应充分了解项目的位置、情况、道路及任何其他足以影响投标报价的情况，任何因忽视或误解项目情况而导致的索赔或服务期限延长申请将不获批准。</w:t>
            </w:r>
          </w:p>
          <w:p>
            <w:pPr>
              <w:numPr>
                <w:ilvl w:val="0"/>
                <w:numId w:val="4"/>
              </w:num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除非采购代理机构通过修改招标文件予以更正，否则，投标人应毫无例外地按招标文件所列的清单中项目和数量填报综合单价或总价。投标人未填综合单价或总价的项目，在实施后，将不得予以支付，并视作该项费用已包括在其他有价款的综合单价或总价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1676" w:type="dxa"/>
            <w:vAlign w:val="center"/>
          </w:tcPr>
          <w:p>
            <w:pPr>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联系方式</w:t>
            </w:r>
          </w:p>
        </w:tc>
        <w:tc>
          <w:tcPr>
            <w:tcW w:w="7015" w:type="dxa"/>
            <w:vAlign w:val="center"/>
          </w:tcPr>
          <w:p>
            <w:pPr>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采购人信息：</w:t>
            </w:r>
          </w:p>
          <w:p>
            <w:pPr>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名      称：深圳市前海深港现代服务业合作区管理局</w:t>
            </w:r>
          </w:p>
          <w:p>
            <w:pPr>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联  系  人：胡先生</w:t>
            </w:r>
          </w:p>
          <w:p>
            <w:pPr>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      话：0755-88105137</w:t>
            </w:r>
          </w:p>
          <w:p>
            <w:pPr>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采购代理机构信息：</w:t>
            </w:r>
          </w:p>
          <w:p>
            <w:pPr>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名      称： 中国远东国际招标有限公司</w:t>
            </w:r>
          </w:p>
          <w:p>
            <w:pPr>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地      址： 深圳市福田区上步南路1001号锦峰大厦22楼</w:t>
            </w:r>
          </w:p>
          <w:p>
            <w:pPr>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联  系  人： 凌女士、伍先生</w:t>
            </w:r>
          </w:p>
          <w:p>
            <w:pPr>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      话： 0755-82078919、82077364转110</w:t>
            </w:r>
          </w:p>
          <w:p>
            <w:pPr>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传      真： 0755-82077519、82078847 </w:t>
            </w:r>
          </w:p>
        </w:tc>
      </w:tr>
    </w:tbl>
    <w:p>
      <w:pPr>
        <w:adjustRightInd w:val="0"/>
        <w:snapToGrid w:val="0"/>
        <w:spacing w:line="360" w:lineRule="auto"/>
        <w:ind w:firstLine="480" w:firstLineChars="200"/>
        <w:jc w:val="righ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中国远东国际招标有限公司</w:t>
      </w:r>
    </w:p>
    <w:p>
      <w:pPr>
        <w:adjustRightInd w:val="0"/>
        <w:snapToGrid w:val="0"/>
        <w:spacing w:line="360" w:lineRule="auto"/>
        <w:ind w:firstLine="480" w:firstLineChars="200"/>
        <w:jc w:val="righ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 xml:space="preserve"> 2024年</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20</w:t>
      </w:r>
      <w:r>
        <w:rPr>
          <w:rFonts w:hint="eastAsia" w:ascii="宋体" w:hAnsi="宋体" w:cs="宋体"/>
          <w:color w:val="000000" w:themeColor="text1"/>
          <w:sz w:val="24"/>
          <w14:textFill>
            <w14:solidFill>
              <w14:schemeClr w14:val="tx1"/>
            </w14:solidFill>
          </w14:textFill>
        </w:rPr>
        <w:t>日</w:t>
      </w:r>
    </w:p>
    <w:p>
      <w:pPr>
        <w:numPr>
          <w:ilvl w:val="0"/>
          <w:numId w:val="2"/>
        </w:numPr>
        <w:spacing w:line="360" w:lineRule="auto"/>
        <w:jc w:val="center"/>
        <w:outlineLvl w:val="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br w:type="page"/>
      </w:r>
      <w:r>
        <w:rPr>
          <w:rFonts w:hint="eastAsia" w:ascii="宋体" w:hAnsi="宋体" w:cs="宋体"/>
          <w:b/>
          <w:bCs/>
          <w:color w:val="000000" w:themeColor="text1"/>
          <w:sz w:val="24"/>
          <w14:textFill>
            <w14:solidFill>
              <w14:schemeClr w14:val="tx1"/>
            </w14:solidFill>
          </w14:textFill>
        </w:rPr>
        <w:t xml:space="preserve"> </w:t>
      </w:r>
      <w:bookmarkStart w:id="3" w:name="_Toc10214"/>
      <w:r>
        <w:rPr>
          <w:rFonts w:hint="eastAsia" w:ascii="宋体" w:hAnsi="宋体" w:cs="宋体"/>
          <w:b/>
          <w:bCs/>
          <w:color w:val="000000" w:themeColor="text1"/>
          <w:sz w:val="24"/>
          <w14:textFill>
            <w14:solidFill>
              <w14:schemeClr w14:val="tx1"/>
            </w14:solidFill>
          </w14:textFill>
        </w:rPr>
        <w:t>投标须知</w:t>
      </w:r>
      <w:bookmarkEnd w:id="3"/>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1、本项目是深圳市前海深港现代服务业合作区管理局的</w:t>
      </w:r>
      <w:r>
        <w:rPr>
          <w:rFonts w:hint="eastAsia" w:ascii="宋体" w:hAnsi="宋体" w:cs="宋体"/>
          <w:color w:val="000000" w:themeColor="text1"/>
          <w:sz w:val="24"/>
          <w:lang w:eastAsia="zh-CN"/>
          <w14:textFill>
            <w14:solidFill>
              <w14:schemeClr w14:val="tx1"/>
            </w14:solidFill>
          </w14:textFill>
        </w:rPr>
        <w:t>“港税e”香港居民个人所得税优惠政策申报辅助服务项目</w:t>
      </w:r>
      <w:r>
        <w:rPr>
          <w:rFonts w:hint="eastAsia" w:ascii="宋体" w:hAnsi="宋体" w:cs="宋体"/>
          <w:color w:val="000000" w:themeColor="text1"/>
          <w:sz w:val="24"/>
          <w14:textFill>
            <w14:solidFill>
              <w14:schemeClr w14:val="tx1"/>
            </w14:solidFill>
          </w14:textFill>
        </w:rPr>
        <w:t>。</w:t>
      </w:r>
    </w:p>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本项目不属于《深圳市2023—2024年政府集中采购目录及限额标准》规定应集中采购项目，根据《中华人民共和国政府采购法》《深圳经济特区政府采购条例》的有关规定，中国远东国际招标有限公司受深圳市前海深港现代服务业合作区管理局委托组织采购，</w:t>
      </w:r>
      <w:r>
        <w:rPr>
          <w:rFonts w:hint="eastAsia" w:ascii="宋体" w:hAnsi="宋体" w:cs="宋体"/>
          <w:b/>
          <w:bCs/>
          <w:color w:val="000000" w:themeColor="text1"/>
          <w:sz w:val="24"/>
          <w14:textFill>
            <w14:solidFill>
              <w14:schemeClr w14:val="tx1"/>
            </w14:solidFill>
          </w14:textFill>
        </w:rPr>
        <w:t>本次采购公开征集供应商，采用综合评分法的方式进行，投标截止后，因作出有效投标的供应商不足3家的，按以下流程执行：</w:t>
      </w:r>
    </w:p>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a.有效投标人为2家的，可在2家有效投标人中取得分最高者为中标供应商；</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b.如参与投标且符合招标文件要求的供应商仅有1家，评审委员会应与投标供应商进行谈判，原则上成交价应为最初报价的95%。</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3、本项目根据项目的实际情况，公开征集符合投标人资格的供应商。请各供应商根据本文件的要求，准备</w:t>
      </w:r>
      <w:r>
        <w:rPr>
          <w:rFonts w:hint="eastAsia" w:ascii="宋体" w:hAnsi="宋体" w:cs="宋体"/>
          <w:b/>
          <w:bCs/>
          <w:color w:val="000000" w:themeColor="text1"/>
          <w:sz w:val="24"/>
          <w14:textFill>
            <w14:solidFill>
              <w14:schemeClr w14:val="tx1"/>
            </w14:solidFill>
          </w14:textFill>
        </w:rPr>
        <w:t>5套（1套正本，4套副本，1份电子文档）</w:t>
      </w:r>
      <w:r>
        <w:rPr>
          <w:rFonts w:hint="eastAsia" w:ascii="宋体" w:hAnsi="宋体" w:cs="宋体"/>
          <w:color w:val="000000" w:themeColor="text1"/>
          <w:sz w:val="24"/>
          <w14:textFill>
            <w14:solidFill>
              <w14:schemeClr w14:val="tx1"/>
            </w14:solidFill>
          </w14:textFill>
        </w:rPr>
        <w:t>完备的资料进行投标。</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4、本招标文件已对本次采购项目的商务条件和货物或服务的质量、技术要求、成果要求、交货要求、售后服务作出了明确的规定。</w:t>
      </w:r>
    </w:p>
    <w:p>
      <w:pPr>
        <w:snapToGrid w:val="0"/>
        <w:spacing w:after="78" w:afterLines="25"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5、响应文件要包括如下内容：</w:t>
      </w:r>
    </w:p>
    <w:p>
      <w:pPr>
        <w:numPr>
          <w:ilvl w:val="0"/>
          <w:numId w:val="5"/>
        </w:numPr>
        <w:tabs>
          <w:tab w:val="clear" w:pos="-420"/>
        </w:tabs>
        <w:snapToGrid w:val="0"/>
        <w:spacing w:after="78" w:afterLines="25" w:line="360" w:lineRule="auto"/>
        <w:ind w:left="1050" w:hanging="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价格部分；</w:t>
      </w:r>
    </w:p>
    <w:p>
      <w:pPr>
        <w:numPr>
          <w:ilvl w:val="0"/>
          <w:numId w:val="5"/>
        </w:numPr>
        <w:tabs>
          <w:tab w:val="clear" w:pos="-420"/>
        </w:tabs>
        <w:snapToGrid w:val="0"/>
        <w:spacing w:after="78" w:afterLines="25" w:line="360" w:lineRule="auto"/>
        <w:ind w:left="1050" w:hanging="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商务部分；</w:t>
      </w:r>
    </w:p>
    <w:p>
      <w:pPr>
        <w:numPr>
          <w:ilvl w:val="0"/>
          <w:numId w:val="5"/>
        </w:numPr>
        <w:tabs>
          <w:tab w:val="clear" w:pos="-420"/>
        </w:tabs>
        <w:snapToGrid w:val="0"/>
        <w:spacing w:after="78" w:afterLines="25" w:line="360" w:lineRule="auto"/>
        <w:ind w:left="1050" w:hanging="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技术部分。</w:t>
      </w:r>
    </w:p>
    <w:p>
      <w:pPr>
        <w:snapToGrid w:val="0"/>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r>
        <w:rPr>
          <w:rFonts w:hint="eastAsia" w:ascii="宋体" w:hAnsi="宋体" w:cs="宋体"/>
          <w:bCs/>
          <w:color w:val="000000" w:themeColor="text1"/>
          <w:sz w:val="24"/>
          <w14:textFill>
            <w14:solidFill>
              <w14:schemeClr w14:val="tx1"/>
            </w14:solidFill>
          </w14:textFill>
        </w:rPr>
        <w:t>采购人会对本次招标的项目确定一个最高限价，最终成交价格超出最高限价将会被当作投标无效处理。</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7、如采购人要求参加投标的供应商需在现场述标时，要派出熟悉本项目情况的项目负责人和对报价有决策权的代表参加，供应商代表要有法人代表的授权，同时要提供法人代表证明。</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8、采购人有权根据项目的实际情况提出质量标准、服务标准、交货标准、交货时间、验收方式、付款方式、履约保证、价格等方面的要求，并就这些内容进行评审，所有供应商都在同一标准下进行评审。</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9、本次采购凡涉及知识产权问题，由项目供应商负责。</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10、采购人将组成评审委员会，评审工作由评审委员会独立负责。</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11、供应商应在规定的时间内提交投标文件，如需供应商代表到达现场，采购人或采购代理机构将至少在开标前一个工作日发出通知，供应商代表必须在规定的时间到达现场。</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12、采用综合评分法的情况：评审委员会将分别对供应商递交的投标文件进行评审。</w:t>
      </w:r>
    </w:p>
    <w:p>
      <w:pPr>
        <w:pStyle w:val="22"/>
        <w:snapToGrid w:val="0"/>
        <w:spacing w:line="360" w:lineRule="auto"/>
        <w:ind w:firstLine="480"/>
        <w:rPr>
          <w:rFonts w:ascii="宋体" w:hAnsi="宋体" w:cs="宋体"/>
          <w:color w:val="000000" w:themeColor="text1"/>
          <w:kern w:val="2"/>
          <w:sz w:val="24"/>
          <w:szCs w:val="24"/>
          <w14:textFill>
            <w14:solidFill>
              <w14:schemeClr w14:val="tx1"/>
            </w14:solidFill>
          </w14:textFill>
        </w:rPr>
      </w:pPr>
      <w:r>
        <w:rPr>
          <w:rFonts w:hint="eastAsia" w:ascii="宋体" w:hAnsi="宋体" w:cs="宋体"/>
          <w:color w:val="000000" w:themeColor="text1"/>
          <w:kern w:val="2"/>
          <w:sz w:val="24"/>
          <w:szCs w:val="24"/>
          <w14:textFill>
            <w14:solidFill>
              <w14:schemeClr w14:val="tx1"/>
            </w14:solidFill>
          </w14:textFill>
        </w:rPr>
        <w:t>（1）评审委员会将根据供应商的供货能力、服务能力、货物的质量、是否满足本次采购的商务条件、报价等方面的情况进行综合评审，评标委员会依据得分情况，取综合得分最高的供应商为</w:t>
      </w:r>
      <w:r>
        <w:rPr>
          <w:rFonts w:hint="eastAsia" w:ascii="宋体" w:hAnsi="宋体" w:cs="宋体"/>
          <w:color w:val="000000" w:themeColor="text1"/>
          <w:sz w:val="24"/>
          <w:szCs w:val="24"/>
          <w14:textFill>
            <w14:solidFill>
              <w14:schemeClr w14:val="tx1"/>
            </w14:solidFill>
          </w14:textFill>
        </w:rPr>
        <w:t>第一</w:t>
      </w:r>
      <w:r>
        <w:rPr>
          <w:rFonts w:hint="eastAsia" w:ascii="宋体" w:hAnsi="宋体" w:cs="宋体"/>
          <w:color w:val="000000" w:themeColor="text1"/>
          <w:kern w:val="2"/>
          <w:sz w:val="24"/>
          <w:szCs w:val="24"/>
          <w14:textFill>
            <w14:solidFill>
              <w14:schemeClr w14:val="tx1"/>
            </w14:solidFill>
          </w14:textFill>
        </w:rPr>
        <w:t>中标候选人。</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（2）如果两个及以上供应商的综合评分相同时，取投标价格低者为第一中标候选人。</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（3）如果两个及以上供应商的综合评分相同，且投标价格也相同时，取技术部分得分高者为第一中标候选人。</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13、采用谈判的情况：如参与投标且符合招标文件要求的供应商仅有1家，评审委员会将与投标供应商进行谈判。</w:t>
      </w:r>
    </w:p>
    <w:p>
      <w:pPr>
        <w:snapToGrid w:val="0"/>
        <w:spacing w:line="360" w:lineRule="auto"/>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（1）供应商在谈判时由项目负责人与评审委员会进行谈判；</w:t>
      </w:r>
    </w:p>
    <w:p>
      <w:pPr>
        <w:snapToGrid w:val="0"/>
        <w:spacing w:line="360" w:lineRule="auto"/>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（2）原则上成交价应为最初报价的95%。</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14、所有的评审/谈判内容都必须保密。</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15、招标代理服务收费：</w:t>
      </w:r>
    </w:p>
    <w:p>
      <w:pPr>
        <w:snapToGrid w:val="0"/>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以《深圳市财政委员会关于规范深圳市社会采购代理机构管理有关事项的补充通知》（深财购〔2018〕27号）代理费用参考标准的70%按差额定率累进法进行计费，若以上计算金额小于3000元，则按3000元收取。</w:t>
      </w:r>
    </w:p>
    <w:p>
      <w:pPr>
        <w:numPr>
          <w:ilvl w:val="0"/>
          <w:numId w:val="6"/>
        </w:numPr>
        <w:adjustRightInd w:val="0"/>
        <w:snapToGrid w:val="0"/>
        <w:spacing w:line="360" w:lineRule="auto"/>
        <w:ind w:right="26"/>
        <w:jc w:val="left"/>
        <w:rPr>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具体计取费率标准如下表所示：</w:t>
      </w:r>
    </w:p>
    <w:tbl>
      <w:tblPr>
        <w:tblStyle w:val="16"/>
        <w:tblW w:w="86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24"/>
        <w:gridCol w:w="1843"/>
        <w:gridCol w:w="1755"/>
        <w:gridCol w:w="18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3124" w:type="dxa"/>
            <w:vMerge w:val="restart"/>
            <w:shd w:val="clear" w:color="auto" w:fill="D7D7D7"/>
            <w:vAlign w:val="center"/>
          </w:tcPr>
          <w:p>
            <w:pPr>
              <w:adjustRightInd w:val="0"/>
              <w:snapToGrid w:val="0"/>
              <w:spacing w:line="360" w:lineRule="auto"/>
              <w:ind w:right="26"/>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中标金额</w:t>
            </w:r>
          </w:p>
        </w:tc>
        <w:tc>
          <w:tcPr>
            <w:tcW w:w="5495" w:type="dxa"/>
            <w:gridSpan w:val="3"/>
            <w:shd w:val="clear" w:color="auto" w:fill="D7D7D7"/>
            <w:vAlign w:val="center"/>
          </w:tcPr>
          <w:p>
            <w:pPr>
              <w:adjustRightInd w:val="0"/>
              <w:snapToGrid w:val="0"/>
              <w:spacing w:line="360" w:lineRule="auto"/>
              <w:ind w:right="26"/>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各类型招标代理服务费计算费率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3124" w:type="dxa"/>
            <w:vMerge w:val="continue"/>
            <w:shd w:val="clear" w:color="auto" w:fill="D7D7D7"/>
            <w:vAlign w:val="center"/>
          </w:tcPr>
          <w:p>
            <w:pPr>
              <w:adjustRightInd w:val="0"/>
              <w:snapToGrid w:val="0"/>
              <w:spacing w:line="360" w:lineRule="auto"/>
              <w:ind w:right="26"/>
              <w:jc w:val="center"/>
              <w:rPr>
                <w:rFonts w:ascii="宋体" w:hAnsi="宋体" w:cs="宋体"/>
                <w:b/>
                <w:bCs/>
                <w:color w:val="000000" w:themeColor="text1"/>
                <w:sz w:val="24"/>
                <w14:textFill>
                  <w14:solidFill>
                    <w14:schemeClr w14:val="tx1"/>
                  </w14:solidFill>
                </w14:textFill>
              </w:rPr>
            </w:pPr>
          </w:p>
        </w:tc>
        <w:tc>
          <w:tcPr>
            <w:tcW w:w="1843" w:type="dxa"/>
            <w:shd w:val="clear" w:color="auto" w:fill="D7D7D7"/>
            <w:vAlign w:val="center"/>
          </w:tcPr>
          <w:p>
            <w:pPr>
              <w:adjustRightInd w:val="0"/>
              <w:snapToGrid w:val="0"/>
              <w:spacing w:line="360" w:lineRule="auto"/>
              <w:ind w:right="26"/>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货物招标</w:t>
            </w:r>
          </w:p>
        </w:tc>
        <w:tc>
          <w:tcPr>
            <w:tcW w:w="1755" w:type="dxa"/>
            <w:shd w:val="clear" w:color="auto" w:fill="D7D7D7"/>
            <w:vAlign w:val="center"/>
          </w:tcPr>
          <w:p>
            <w:pPr>
              <w:adjustRightInd w:val="0"/>
              <w:snapToGrid w:val="0"/>
              <w:spacing w:line="360" w:lineRule="auto"/>
              <w:ind w:right="26"/>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服务招标</w:t>
            </w:r>
          </w:p>
        </w:tc>
        <w:tc>
          <w:tcPr>
            <w:tcW w:w="1897" w:type="dxa"/>
            <w:shd w:val="clear" w:color="auto" w:fill="D7D7D7"/>
            <w:vAlign w:val="center"/>
          </w:tcPr>
          <w:p>
            <w:pPr>
              <w:adjustRightInd w:val="0"/>
              <w:snapToGrid w:val="0"/>
              <w:spacing w:line="360" w:lineRule="auto"/>
              <w:ind w:right="26"/>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工程招标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100万元以下</w:t>
            </w:r>
          </w:p>
        </w:tc>
        <w:tc>
          <w:tcPr>
            <w:tcW w:w="1843" w:type="dxa"/>
            <w:vAlign w:val="center"/>
          </w:tcPr>
          <w:p>
            <w:pPr>
              <w:adjustRightInd w:val="0"/>
              <w:snapToGrid w:val="0"/>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w:t>
            </w:r>
          </w:p>
        </w:tc>
        <w:tc>
          <w:tcPr>
            <w:tcW w:w="1755" w:type="dxa"/>
            <w:vAlign w:val="center"/>
          </w:tcPr>
          <w:p>
            <w:pPr>
              <w:adjustRightInd w:val="0"/>
              <w:snapToGrid w:val="0"/>
              <w:spacing w:line="360" w:lineRule="auto"/>
              <w:ind w:right="28"/>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w:t>
            </w:r>
          </w:p>
        </w:tc>
        <w:tc>
          <w:tcPr>
            <w:tcW w:w="1897" w:type="dxa"/>
            <w:vAlign w:val="center"/>
          </w:tcPr>
          <w:p>
            <w:pPr>
              <w:adjustRightInd w:val="0"/>
              <w:snapToGrid w:val="0"/>
              <w:spacing w:line="360" w:lineRule="auto"/>
              <w:ind w:right="28"/>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100万元（含）-500万元</w:t>
            </w:r>
          </w:p>
        </w:tc>
        <w:tc>
          <w:tcPr>
            <w:tcW w:w="1843" w:type="dxa"/>
            <w:vAlign w:val="center"/>
          </w:tcPr>
          <w:p>
            <w:pPr>
              <w:adjustRightInd w:val="0"/>
              <w:snapToGrid w:val="0"/>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w:t>
            </w:r>
          </w:p>
        </w:tc>
        <w:tc>
          <w:tcPr>
            <w:tcW w:w="1755" w:type="dxa"/>
            <w:vAlign w:val="center"/>
          </w:tcPr>
          <w:p>
            <w:pPr>
              <w:adjustRightInd w:val="0"/>
              <w:snapToGrid w:val="0"/>
              <w:spacing w:line="360" w:lineRule="auto"/>
              <w:ind w:right="28"/>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0.8%</w:t>
            </w:r>
          </w:p>
        </w:tc>
        <w:tc>
          <w:tcPr>
            <w:tcW w:w="1897" w:type="dxa"/>
            <w:vAlign w:val="center"/>
          </w:tcPr>
          <w:p>
            <w:pPr>
              <w:adjustRightInd w:val="0"/>
              <w:snapToGrid w:val="0"/>
              <w:spacing w:line="360" w:lineRule="auto"/>
              <w:ind w:right="28"/>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500万元（含）-1000万元</w:t>
            </w:r>
          </w:p>
        </w:tc>
        <w:tc>
          <w:tcPr>
            <w:tcW w:w="1843" w:type="dxa"/>
            <w:vAlign w:val="center"/>
          </w:tcPr>
          <w:p>
            <w:pPr>
              <w:adjustRightInd w:val="0"/>
              <w:snapToGrid w:val="0"/>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0.8%</w:t>
            </w:r>
          </w:p>
        </w:tc>
        <w:tc>
          <w:tcPr>
            <w:tcW w:w="1755" w:type="dxa"/>
            <w:vAlign w:val="center"/>
          </w:tcPr>
          <w:p>
            <w:pPr>
              <w:adjustRightInd w:val="0"/>
              <w:snapToGrid w:val="0"/>
              <w:spacing w:line="360" w:lineRule="auto"/>
              <w:ind w:right="28"/>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0.45%</w:t>
            </w:r>
          </w:p>
        </w:tc>
        <w:tc>
          <w:tcPr>
            <w:tcW w:w="1897" w:type="dxa"/>
            <w:vAlign w:val="center"/>
          </w:tcPr>
          <w:p>
            <w:pPr>
              <w:adjustRightInd w:val="0"/>
              <w:snapToGrid w:val="0"/>
              <w:spacing w:line="360" w:lineRule="auto"/>
              <w:ind w:right="28"/>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1000万元（含）-5000万元</w:t>
            </w:r>
          </w:p>
        </w:tc>
        <w:tc>
          <w:tcPr>
            <w:tcW w:w="1843" w:type="dxa"/>
            <w:vAlign w:val="center"/>
          </w:tcPr>
          <w:p>
            <w:pPr>
              <w:adjustRightInd w:val="0"/>
              <w:snapToGrid w:val="0"/>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0.5%</w:t>
            </w:r>
          </w:p>
        </w:tc>
        <w:tc>
          <w:tcPr>
            <w:tcW w:w="1755" w:type="dxa"/>
            <w:vAlign w:val="center"/>
          </w:tcPr>
          <w:p>
            <w:pPr>
              <w:adjustRightInd w:val="0"/>
              <w:snapToGrid w:val="0"/>
              <w:spacing w:line="360" w:lineRule="auto"/>
              <w:ind w:right="28"/>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0.25%</w:t>
            </w:r>
          </w:p>
        </w:tc>
        <w:tc>
          <w:tcPr>
            <w:tcW w:w="1897" w:type="dxa"/>
            <w:vAlign w:val="center"/>
          </w:tcPr>
          <w:p>
            <w:pPr>
              <w:adjustRightInd w:val="0"/>
              <w:snapToGrid w:val="0"/>
              <w:spacing w:line="360" w:lineRule="auto"/>
              <w:ind w:right="28"/>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5000万元（含）-1亿元</w:t>
            </w:r>
          </w:p>
        </w:tc>
        <w:tc>
          <w:tcPr>
            <w:tcW w:w="1843" w:type="dxa"/>
            <w:vAlign w:val="center"/>
          </w:tcPr>
          <w:p>
            <w:pPr>
              <w:adjustRightInd w:val="0"/>
              <w:snapToGrid w:val="0"/>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0.25%</w:t>
            </w:r>
          </w:p>
        </w:tc>
        <w:tc>
          <w:tcPr>
            <w:tcW w:w="1755" w:type="dxa"/>
            <w:vAlign w:val="center"/>
          </w:tcPr>
          <w:p>
            <w:pPr>
              <w:adjustRightInd w:val="0"/>
              <w:snapToGrid w:val="0"/>
              <w:spacing w:line="360" w:lineRule="auto"/>
              <w:ind w:right="28"/>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0.1%</w:t>
            </w:r>
          </w:p>
        </w:tc>
        <w:tc>
          <w:tcPr>
            <w:tcW w:w="1897" w:type="dxa"/>
            <w:vAlign w:val="center"/>
          </w:tcPr>
          <w:p>
            <w:pPr>
              <w:adjustRightInd w:val="0"/>
              <w:snapToGrid w:val="0"/>
              <w:spacing w:line="360" w:lineRule="auto"/>
              <w:ind w:right="28"/>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1亿元（含）-5亿元</w:t>
            </w:r>
          </w:p>
        </w:tc>
        <w:tc>
          <w:tcPr>
            <w:tcW w:w="1843" w:type="dxa"/>
            <w:vAlign w:val="center"/>
          </w:tcPr>
          <w:p>
            <w:pPr>
              <w:adjustRightInd w:val="0"/>
              <w:snapToGrid w:val="0"/>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0.05%</w:t>
            </w:r>
          </w:p>
        </w:tc>
        <w:tc>
          <w:tcPr>
            <w:tcW w:w="1755" w:type="dxa"/>
            <w:vAlign w:val="center"/>
          </w:tcPr>
          <w:p>
            <w:pPr>
              <w:adjustRightInd w:val="0"/>
              <w:snapToGrid w:val="0"/>
              <w:spacing w:line="360" w:lineRule="auto"/>
              <w:ind w:right="28"/>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0.05%</w:t>
            </w:r>
          </w:p>
        </w:tc>
        <w:tc>
          <w:tcPr>
            <w:tcW w:w="1897" w:type="dxa"/>
            <w:vAlign w:val="center"/>
          </w:tcPr>
          <w:p>
            <w:pPr>
              <w:adjustRightInd w:val="0"/>
              <w:snapToGrid w:val="0"/>
              <w:spacing w:line="360" w:lineRule="auto"/>
              <w:ind w:right="28"/>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5亿元（含）-10亿元</w:t>
            </w:r>
          </w:p>
        </w:tc>
        <w:tc>
          <w:tcPr>
            <w:tcW w:w="1843" w:type="dxa"/>
            <w:vAlign w:val="center"/>
          </w:tcPr>
          <w:p>
            <w:pPr>
              <w:adjustRightInd w:val="0"/>
              <w:snapToGrid w:val="0"/>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0.035%</w:t>
            </w:r>
          </w:p>
        </w:tc>
        <w:tc>
          <w:tcPr>
            <w:tcW w:w="1755" w:type="dxa"/>
            <w:vAlign w:val="center"/>
          </w:tcPr>
          <w:p>
            <w:pPr>
              <w:adjustRightInd w:val="0"/>
              <w:snapToGrid w:val="0"/>
              <w:spacing w:line="360" w:lineRule="auto"/>
              <w:ind w:right="28"/>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0.035%</w:t>
            </w:r>
          </w:p>
        </w:tc>
        <w:tc>
          <w:tcPr>
            <w:tcW w:w="1897" w:type="dxa"/>
            <w:vAlign w:val="center"/>
          </w:tcPr>
          <w:p>
            <w:pPr>
              <w:adjustRightInd w:val="0"/>
              <w:snapToGrid w:val="0"/>
              <w:spacing w:line="360" w:lineRule="auto"/>
              <w:ind w:right="28"/>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0.035%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10亿元（含）-50亿元</w:t>
            </w:r>
          </w:p>
        </w:tc>
        <w:tc>
          <w:tcPr>
            <w:tcW w:w="1843" w:type="dxa"/>
            <w:vAlign w:val="center"/>
          </w:tcPr>
          <w:p>
            <w:pPr>
              <w:adjustRightInd w:val="0"/>
              <w:snapToGrid w:val="0"/>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0.008%</w:t>
            </w:r>
          </w:p>
        </w:tc>
        <w:tc>
          <w:tcPr>
            <w:tcW w:w="1755" w:type="dxa"/>
            <w:vAlign w:val="center"/>
          </w:tcPr>
          <w:p>
            <w:pPr>
              <w:adjustRightInd w:val="0"/>
              <w:snapToGrid w:val="0"/>
              <w:spacing w:line="360" w:lineRule="auto"/>
              <w:ind w:right="28"/>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0.008%</w:t>
            </w:r>
          </w:p>
        </w:tc>
        <w:tc>
          <w:tcPr>
            <w:tcW w:w="1897" w:type="dxa"/>
            <w:vAlign w:val="center"/>
          </w:tcPr>
          <w:p>
            <w:pPr>
              <w:adjustRightInd w:val="0"/>
              <w:snapToGrid w:val="0"/>
              <w:spacing w:line="360" w:lineRule="auto"/>
              <w:ind w:right="28"/>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50亿元（含）-100亿元</w:t>
            </w:r>
          </w:p>
        </w:tc>
        <w:tc>
          <w:tcPr>
            <w:tcW w:w="1843" w:type="dxa"/>
            <w:vAlign w:val="center"/>
          </w:tcPr>
          <w:p>
            <w:pPr>
              <w:adjustRightInd w:val="0"/>
              <w:snapToGrid w:val="0"/>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0.006%</w:t>
            </w:r>
          </w:p>
        </w:tc>
        <w:tc>
          <w:tcPr>
            <w:tcW w:w="1755" w:type="dxa"/>
            <w:vAlign w:val="center"/>
          </w:tcPr>
          <w:p>
            <w:pPr>
              <w:adjustRightInd w:val="0"/>
              <w:snapToGrid w:val="0"/>
              <w:spacing w:line="360" w:lineRule="auto"/>
              <w:ind w:right="28"/>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0.006%</w:t>
            </w:r>
          </w:p>
        </w:tc>
        <w:tc>
          <w:tcPr>
            <w:tcW w:w="1897" w:type="dxa"/>
            <w:vAlign w:val="center"/>
          </w:tcPr>
          <w:p>
            <w:pPr>
              <w:adjustRightInd w:val="0"/>
              <w:snapToGrid w:val="0"/>
              <w:spacing w:line="360" w:lineRule="auto"/>
              <w:ind w:right="28"/>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0.006%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3124" w:type="dxa"/>
            <w:vAlign w:val="center"/>
          </w:tcPr>
          <w:p>
            <w:pPr>
              <w:adjustRightInd w:val="0"/>
              <w:snapToGrid w:val="0"/>
              <w:spacing w:line="360" w:lineRule="auto"/>
              <w:ind w:right="28"/>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100亿元（含）以上</w:t>
            </w:r>
          </w:p>
        </w:tc>
        <w:tc>
          <w:tcPr>
            <w:tcW w:w="1843" w:type="dxa"/>
            <w:vAlign w:val="center"/>
          </w:tcPr>
          <w:p>
            <w:pPr>
              <w:adjustRightInd w:val="0"/>
              <w:snapToGrid w:val="0"/>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0.004%</w:t>
            </w:r>
          </w:p>
        </w:tc>
        <w:tc>
          <w:tcPr>
            <w:tcW w:w="1755" w:type="dxa"/>
            <w:vAlign w:val="center"/>
          </w:tcPr>
          <w:p>
            <w:pPr>
              <w:adjustRightInd w:val="0"/>
              <w:snapToGrid w:val="0"/>
              <w:spacing w:line="360" w:lineRule="auto"/>
              <w:ind w:right="28"/>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0.004%</w:t>
            </w:r>
          </w:p>
        </w:tc>
        <w:tc>
          <w:tcPr>
            <w:tcW w:w="1897" w:type="dxa"/>
            <w:vAlign w:val="center"/>
          </w:tcPr>
          <w:p>
            <w:pPr>
              <w:adjustRightInd w:val="0"/>
              <w:snapToGrid w:val="0"/>
              <w:spacing w:line="360" w:lineRule="auto"/>
              <w:ind w:right="28"/>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0.004%</w:t>
            </w:r>
          </w:p>
        </w:tc>
      </w:tr>
    </w:tbl>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招标代理服务费缴纳至：</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开户名称：中国远东国际招标有限公司深圳分公司</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银行账号：11013651025501</w:t>
      </w:r>
    </w:p>
    <w:p>
      <w:pPr>
        <w:spacing w:line="360" w:lineRule="auto"/>
        <w:rPr>
          <w:rFonts w:ascii="宋体" w:hAnsi="宋体" w:cs="宋体"/>
          <w:b/>
          <w:bCs/>
          <w:color w:val="000000" w:themeColor="text1"/>
          <w:sz w:val="24"/>
          <w14:textFill>
            <w14:solidFill>
              <w14:schemeClr w14:val="tx1"/>
            </w14:solidFill>
          </w14:textFill>
        </w:rPr>
        <w:sectPr>
          <w:footerReference r:id="rId3" w:type="default"/>
          <w:footerReference r:id="rId4" w:type="even"/>
          <w:pgSz w:w="11906" w:h="16838"/>
          <w:pgMar w:top="1440" w:right="1800" w:bottom="1440" w:left="1800" w:header="851" w:footer="992" w:gutter="0"/>
          <w:cols w:space="720" w:num="1"/>
          <w:docGrid w:type="lines" w:linePitch="312" w:charSpace="0"/>
        </w:sectPr>
      </w:pPr>
      <w:r>
        <w:rPr>
          <w:rFonts w:hint="eastAsia" w:ascii="宋体" w:hAnsi="宋体" w:cs="宋体"/>
          <w:color w:val="000000" w:themeColor="text1"/>
          <w:sz w:val="24"/>
          <w14:textFill>
            <w14:solidFill>
              <w14:schemeClr w14:val="tx1"/>
            </w14:solidFill>
          </w14:textFill>
        </w:rPr>
        <w:t>开户银行：平安银行深圳中电支行</w:t>
      </w:r>
    </w:p>
    <w:p>
      <w:pPr>
        <w:numPr>
          <w:ilvl w:val="0"/>
          <w:numId w:val="2"/>
        </w:numPr>
        <w:spacing w:line="360" w:lineRule="auto"/>
        <w:jc w:val="center"/>
        <w:outlineLvl w:val="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 xml:space="preserve"> </w:t>
      </w:r>
      <w:bookmarkStart w:id="4" w:name="_Toc20176"/>
      <w:r>
        <w:rPr>
          <w:rFonts w:hint="eastAsia" w:ascii="宋体" w:hAnsi="宋体" w:cs="宋体"/>
          <w:b/>
          <w:bCs/>
          <w:color w:val="000000" w:themeColor="text1"/>
          <w:sz w:val="24"/>
          <w14:textFill>
            <w14:solidFill>
              <w14:schemeClr w14:val="tx1"/>
            </w14:solidFill>
          </w14:textFill>
        </w:rPr>
        <w:t>评标程序</w:t>
      </w:r>
      <w:bookmarkEnd w:id="4"/>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依法成立评审委员会。在投标截止日前由前海管理局授权招标代理机构在深圳市政府采购评审专家库中抽取专家，组建不少于3人（单数）的评审委员会，其中专家人数为1人，其他专家由采购主办部门委派，评审委员会在投标截止日前一天组成。</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二、参加会议人员：投标人代表（如需）、项目负责人代表、评审委员会成员、监督部门代表（如需）、采购代理机构代表。</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三、会议主持人：中国远东国际招标有限公司工作人员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四、开标时间：2024年</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26</w:t>
      </w:r>
      <w:r>
        <w:rPr>
          <w:rFonts w:hint="eastAsia" w:ascii="宋体" w:hAnsi="宋体" w:cs="宋体"/>
          <w:color w:val="000000" w:themeColor="text1"/>
          <w:sz w:val="24"/>
          <w14:textFill>
            <w14:solidFill>
              <w14:schemeClr w14:val="tx1"/>
            </w14:solidFill>
          </w14:textFill>
        </w:rPr>
        <w:t>日</w:t>
      </w:r>
      <w:r>
        <w:rPr>
          <w:rFonts w:hint="eastAsia" w:ascii="宋体" w:hAnsi="宋体" w:cs="宋体"/>
          <w:color w:val="000000" w:themeColor="text1"/>
          <w:sz w:val="24"/>
          <w:lang w:val="en-US" w:eastAsia="zh-CN"/>
          <w14:textFill>
            <w14:solidFill>
              <w14:schemeClr w14:val="tx1"/>
            </w14:solidFill>
          </w14:textFill>
        </w:rPr>
        <w:t>上</w:t>
      </w:r>
      <w:r>
        <w:rPr>
          <w:rFonts w:hint="eastAsia" w:ascii="宋体" w:hAnsi="宋体" w:cs="宋体"/>
          <w:color w:val="000000" w:themeColor="text1"/>
          <w:sz w:val="24"/>
          <w14:textFill>
            <w14:solidFill>
              <w14:schemeClr w14:val="tx1"/>
            </w14:solidFill>
          </w14:textFill>
        </w:rPr>
        <w:t>午1</w:t>
      </w:r>
      <w:r>
        <w:rPr>
          <w:rFonts w:hint="eastAsia" w:ascii="宋体" w:hAnsi="宋体" w:cs="宋体"/>
          <w:color w:val="000000" w:themeColor="text1"/>
          <w:sz w:val="24"/>
          <w:lang w:val="en-US" w:eastAsia="zh-CN"/>
          <w14:textFill>
            <w14:solidFill>
              <w14:schemeClr w14:val="tx1"/>
            </w14:solidFill>
          </w14:textFill>
        </w:rPr>
        <w:t>0</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0</w:t>
      </w:r>
      <w:r>
        <w:rPr>
          <w:rFonts w:hint="eastAsia" w:ascii="宋体" w:hAnsi="宋体" w:cs="宋体"/>
          <w:color w:val="000000" w:themeColor="text1"/>
          <w:sz w:val="24"/>
          <w14:textFill>
            <w14:solidFill>
              <w14:schemeClr w14:val="tx1"/>
            </w14:solidFill>
          </w14:textFill>
        </w:rPr>
        <w:t>0时（北京时间）。</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五、会议开始：2024年</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26</w:t>
      </w:r>
      <w:r>
        <w:rPr>
          <w:rFonts w:hint="eastAsia" w:ascii="宋体" w:hAnsi="宋体" w:cs="宋体"/>
          <w:color w:val="000000" w:themeColor="text1"/>
          <w:sz w:val="24"/>
          <w14:textFill>
            <w14:solidFill>
              <w14:schemeClr w14:val="tx1"/>
            </w14:solidFill>
          </w14:textFill>
        </w:rPr>
        <w:t>日</w:t>
      </w:r>
      <w:r>
        <w:rPr>
          <w:rFonts w:hint="eastAsia" w:ascii="宋体" w:hAnsi="宋体" w:cs="宋体"/>
          <w:color w:val="000000" w:themeColor="text1"/>
          <w:sz w:val="24"/>
          <w:lang w:val="en-US" w:eastAsia="zh-CN"/>
          <w14:textFill>
            <w14:solidFill>
              <w14:schemeClr w14:val="tx1"/>
            </w14:solidFill>
          </w14:textFill>
        </w:rPr>
        <w:t>上</w:t>
      </w:r>
      <w:r>
        <w:rPr>
          <w:rFonts w:hint="eastAsia" w:ascii="宋体" w:hAnsi="宋体" w:cs="宋体"/>
          <w:color w:val="000000" w:themeColor="text1"/>
          <w:sz w:val="24"/>
          <w14:textFill>
            <w14:solidFill>
              <w14:schemeClr w14:val="tx1"/>
            </w14:solidFill>
          </w14:textFill>
        </w:rPr>
        <w:t>午1</w:t>
      </w:r>
      <w:r>
        <w:rPr>
          <w:rFonts w:hint="eastAsia" w:ascii="宋体" w:hAnsi="宋体" w:cs="宋体"/>
          <w:color w:val="000000" w:themeColor="text1"/>
          <w:sz w:val="24"/>
          <w:lang w:val="en-US" w:eastAsia="zh-CN"/>
          <w14:textFill>
            <w14:solidFill>
              <w14:schemeClr w14:val="tx1"/>
            </w14:solidFill>
          </w14:textFill>
        </w:rPr>
        <w:t>0</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0</w:t>
      </w:r>
      <w:r>
        <w:rPr>
          <w:rFonts w:hint="eastAsia" w:ascii="宋体" w:hAnsi="宋体" w:cs="宋体"/>
          <w:color w:val="000000" w:themeColor="text1"/>
          <w:sz w:val="24"/>
          <w14:textFill>
            <w14:solidFill>
              <w14:schemeClr w14:val="tx1"/>
            </w14:solidFill>
          </w14:textFill>
        </w:rPr>
        <w:t>0时（北京时间）由会议主持人宣布定标会议开始。</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六、项目负责代表向采购代理机构代表送交投标文件，监督部门代表（如有）确认投标文件密封完整，未密封投标文件将作为投标无效处理。</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七、由采购代理机构代表现场拆封投标文件，并分发给评审委员会成员。</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八、评审委员会审查供应商的投标文件，工作人员记录审查的情况。</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九、评审委员会按以下工作程序进行：</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1、评标委员会对各供应商的投标文件进行初审，对未能通过初审的投标文件作投标无效处理。</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2、对通过初审的供应商的投标文件进行详细的比较和评价。如需要，进行必要的澄清/说明工作。</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3、根据参与投标且符合招标文件要求的供应商数量情况，确定本项目的评审方法。</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4、采用综合评分法的情况：评审委员会将分别对供应商递交的投标文件进行评审。</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4.1评审委员会将根据供应商的供货能力、服务能力、货物的质量、是否满足本次采购的商务条件、报价等方面的情况进行综合评价，评标委员会依据得分情况推荐综合得分第一名的供应商为第一中标候选人；</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4.2如果两个及以上供应商的综合评分相同时，取投标价格低者为第一中标候选人。</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4.3如果两个及以上供应商的综合评分相同，且投标价格也相同时，取技术部分得分高者为第一中标候选人。</w:t>
      </w:r>
    </w:p>
    <w:p>
      <w:pPr>
        <w:numPr>
          <w:ilvl w:val="0"/>
          <w:numId w:val="7"/>
        </w:num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采用谈判的情况：如参与投标且符合招标文件要求的供应商仅有1家，评审委员会将与投标供应商进行谈判。</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5.1 供应商在谈判时由项目负责人与评审委员会进行谈判；</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5.2 原则上成交价应为最初报价的95%。</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5.3 评审委员会在谈判环节确定本项目最后的方案和承诺的内容，确定符合本次采购要求。如经谈判，供应商无法对招标实质性要求作出完全的响应，该供应商将被要求退出本次谈判，项目招标失败。</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6、评审委员会按照本项目招标文件中规定的评标方法确定中标供应商。</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十、根据本次采购的结果，10个工作日内与中标供应商签订合同。</w:t>
      </w: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pStyle w:val="5"/>
        <w:rPr>
          <w:rFonts w:ascii="宋体" w:hAnsi="宋体" w:cs="宋体"/>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numPr>
          <w:ilvl w:val="0"/>
          <w:numId w:val="2"/>
        </w:numPr>
        <w:spacing w:line="360" w:lineRule="auto"/>
        <w:jc w:val="center"/>
        <w:outlineLvl w:val="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 xml:space="preserve"> </w:t>
      </w:r>
      <w:bookmarkStart w:id="5" w:name="_Toc3567"/>
      <w:r>
        <w:rPr>
          <w:rFonts w:hint="eastAsia" w:ascii="宋体" w:hAnsi="宋体" w:cs="宋体"/>
          <w:b/>
          <w:bCs/>
          <w:color w:val="000000" w:themeColor="text1"/>
          <w:sz w:val="24"/>
          <w14:textFill>
            <w14:solidFill>
              <w14:schemeClr w14:val="tx1"/>
            </w14:solidFill>
          </w14:textFill>
        </w:rPr>
        <w:t>合同格式及合同条款</w:t>
      </w:r>
      <w:bookmarkEnd w:id="5"/>
    </w:p>
    <w:p>
      <w:pPr>
        <w:spacing w:line="360" w:lineRule="auto"/>
        <w:ind w:firstLine="470" w:firstLineChars="196"/>
        <w:jc w:val="center"/>
        <w:rPr>
          <w:rFonts w:ascii="宋体" w:hAnsi="宋体" w:cs="宋体"/>
          <w:color w:val="000000" w:themeColor="text1"/>
          <w:sz w:val="24"/>
          <w14:textFill>
            <w14:solidFill>
              <w14:schemeClr w14:val="tx1"/>
            </w14:solidFill>
          </w14:textFill>
        </w:rPr>
      </w:pPr>
      <w:bookmarkStart w:id="6" w:name="_Toc73521592"/>
      <w:bookmarkStart w:id="7" w:name="_Toc73517685"/>
      <w:bookmarkStart w:id="8" w:name="_Toc84303603"/>
      <w:bookmarkStart w:id="9" w:name="_Toc100052414"/>
      <w:bookmarkStart w:id="10" w:name="_Toc101074886"/>
      <w:bookmarkStart w:id="11" w:name="_Toc73521680"/>
      <w:bookmarkStart w:id="12" w:name="_Toc73518163"/>
    </w:p>
    <w:bookmarkEnd w:id="6"/>
    <w:bookmarkEnd w:id="7"/>
    <w:bookmarkEnd w:id="8"/>
    <w:bookmarkEnd w:id="9"/>
    <w:bookmarkEnd w:id="10"/>
    <w:bookmarkEnd w:id="11"/>
    <w:bookmarkEnd w:id="12"/>
    <w:p>
      <w:pPr>
        <w:pStyle w:val="22"/>
        <w:spacing w:line="360" w:lineRule="auto"/>
        <w:ind w:left="1470" w:right="1470" w:firstLine="482"/>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合同编号（甲方）：            </w:t>
      </w:r>
    </w:p>
    <w:p>
      <w:pPr>
        <w:pStyle w:val="22"/>
        <w:spacing w:line="360" w:lineRule="auto"/>
        <w:ind w:left="1470" w:right="1470" w:firstLine="482"/>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合同编号（乙方）：            </w:t>
      </w:r>
    </w:p>
    <w:p>
      <w:pPr>
        <w:pStyle w:val="22"/>
        <w:spacing w:line="360" w:lineRule="auto"/>
        <w:ind w:left="1470" w:right="1470" w:firstLine="482"/>
        <w:jc w:val="center"/>
        <w:rPr>
          <w:rFonts w:ascii="宋体" w:hAnsi="宋体" w:cs="宋体"/>
          <w:b/>
          <w:color w:val="000000" w:themeColor="text1"/>
          <w:sz w:val="24"/>
          <w:szCs w:val="24"/>
          <w14:textFill>
            <w14:solidFill>
              <w14:schemeClr w14:val="tx1"/>
            </w14:solidFill>
          </w14:textFill>
        </w:rPr>
      </w:pPr>
    </w:p>
    <w:p>
      <w:pPr>
        <w:pStyle w:val="22"/>
        <w:spacing w:line="360" w:lineRule="auto"/>
        <w:ind w:left="1470" w:right="1470" w:firstLine="482"/>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w:t>
      </w:r>
    </w:p>
    <w:p>
      <w:pPr>
        <w:pStyle w:val="22"/>
        <w:spacing w:line="360" w:lineRule="auto"/>
        <w:ind w:left="1470" w:right="1470" w:firstLine="482"/>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w:t>
      </w:r>
    </w:p>
    <w:p>
      <w:pPr>
        <w:spacing w:line="360" w:lineRule="auto"/>
        <w:jc w:val="center"/>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“港税e”香港居民个人所得税优惠政策申报辅助服务项目</w:t>
      </w:r>
    </w:p>
    <w:p>
      <w:pPr>
        <w:spacing w:line="360" w:lineRule="auto"/>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委托合同</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pStyle w:val="22"/>
        <w:spacing w:line="360" w:lineRule="auto"/>
        <w:ind w:left="1470" w:right="1470"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w:t>
      </w:r>
    </w:p>
    <w:p>
      <w:pPr>
        <w:pStyle w:val="22"/>
        <w:spacing w:line="360" w:lineRule="auto"/>
        <w:ind w:left="1470" w:right="1470"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w:t>
      </w: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sz w:val="24"/>
          <w:u w:val="single"/>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项目名称：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eastAsia="zh-CN"/>
          <w14:textFill>
            <w14:solidFill>
              <w14:schemeClr w14:val="tx1"/>
            </w14:solidFill>
          </w14:textFill>
        </w:rPr>
        <w:t>“港税e”香港居民个人所得税优惠政策申报辅助服务项目</w:t>
      </w:r>
    </w:p>
    <w:p>
      <w:pPr>
        <w:spacing w:line="360" w:lineRule="auto"/>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项目类型：</w:t>
      </w:r>
      <w:r>
        <w:rPr>
          <w:rFonts w:hint="eastAsia" w:ascii="宋体" w:hAnsi="宋体" w:cs="宋体"/>
          <w:color w:val="000000" w:themeColor="text1"/>
          <w:sz w:val="24"/>
          <w:u w:val="single"/>
          <w14:textFill>
            <w14:solidFill>
              <w14:schemeClr w14:val="tx1"/>
            </w14:solidFill>
          </w14:textFill>
        </w:rPr>
        <w:t xml:space="preserve">      服务类                  </w:t>
      </w:r>
    </w:p>
    <w:p>
      <w:pPr>
        <w:spacing w:line="360" w:lineRule="auto"/>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委托方（甲方）：</w:t>
      </w:r>
      <w:r>
        <w:rPr>
          <w:rFonts w:hint="eastAsia" w:ascii="宋体" w:hAnsi="宋体" w:cs="宋体"/>
          <w:color w:val="000000" w:themeColor="text1"/>
          <w:sz w:val="24"/>
          <w:u w:val="single"/>
          <w14:textFill>
            <w14:solidFill>
              <w14:schemeClr w14:val="tx1"/>
            </w14:solidFill>
          </w14:textFill>
        </w:rPr>
        <w:t xml:space="preserve">  深圳市前海深港现代服务业合作区管理局  </w:t>
      </w:r>
    </w:p>
    <w:p>
      <w:pPr>
        <w:spacing w:line="360" w:lineRule="auto"/>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承接方（乙方）：</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 </w:t>
      </w:r>
    </w:p>
    <w:p>
      <w:pPr>
        <w:spacing w:line="360" w:lineRule="auto"/>
        <w:jc w:val="center"/>
        <w:rPr>
          <w:rFonts w:ascii="宋体" w:hAnsi="宋体" w:cs="宋体"/>
          <w:color w:val="000000" w:themeColor="text1"/>
          <w:sz w:val="24"/>
          <w14:textFill>
            <w14:solidFill>
              <w14:schemeClr w14:val="tx1"/>
            </w14:solidFill>
          </w14:textFill>
        </w:rPr>
      </w:pPr>
    </w:p>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二〇二四年  月</w:t>
      </w:r>
    </w:p>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本合同共    页（不含封面）</w:t>
      </w:r>
    </w:p>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br w:type="page"/>
      </w:r>
      <w:r>
        <w:rPr>
          <w:rFonts w:hint="eastAsia" w:ascii="宋体" w:hAnsi="宋体" w:cs="宋体"/>
          <w:b/>
          <w:bCs/>
          <w:color w:val="000000" w:themeColor="text1"/>
          <w:sz w:val="24"/>
          <w14:textFill>
            <w14:solidFill>
              <w14:schemeClr w14:val="tx1"/>
            </w14:solidFill>
          </w14:textFill>
        </w:rPr>
        <w:t xml:space="preserve">甲方： </w:t>
      </w:r>
      <w:r>
        <w:rPr>
          <w:rFonts w:hint="eastAsia" w:ascii="宋体" w:hAnsi="宋体" w:cs="宋体"/>
          <w:color w:val="000000" w:themeColor="text1"/>
          <w:sz w:val="24"/>
          <w:u w:val="single"/>
          <w14:textFill>
            <w14:solidFill>
              <w14:schemeClr w14:val="tx1"/>
            </w14:solidFill>
          </w14:textFill>
        </w:rPr>
        <w:t>深圳市前海深港现代服务业合作区管理局</w:t>
      </w:r>
    </w:p>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 xml:space="preserve">地址： </w:t>
      </w:r>
      <w:r>
        <w:rPr>
          <w:rFonts w:hint="eastAsia" w:ascii="宋体" w:hAnsi="宋体" w:cs="宋体"/>
          <w:color w:val="000000" w:themeColor="text1"/>
          <w:sz w:val="24"/>
          <w:u w:val="single"/>
          <w14:textFill>
            <w14:solidFill>
              <w14:schemeClr w14:val="tx1"/>
            </w14:solidFill>
          </w14:textFill>
        </w:rPr>
        <w:t>深圳市前海深港合作区</w:t>
      </w:r>
      <w:r>
        <w:rPr>
          <w:rFonts w:ascii="宋体" w:hAnsi="宋体" w:cs="宋体"/>
          <w:color w:val="000000" w:themeColor="text1"/>
          <w:sz w:val="24"/>
          <w:u w:val="single"/>
          <w14:textFill>
            <w14:solidFill>
              <w14:schemeClr w14:val="tx1"/>
            </w14:solidFill>
          </w14:textFill>
        </w:rPr>
        <w:t>桂湾五路123号前海大厦T1栋前海管理局</w:t>
      </w:r>
    </w:p>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 xml:space="preserve">法定代表人： </w:t>
      </w:r>
    </w:p>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 xml:space="preserve"> </w:t>
      </w:r>
    </w:p>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乙方：</w:t>
      </w:r>
    </w:p>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地址：</w:t>
      </w:r>
    </w:p>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法定代表人：</w:t>
      </w:r>
    </w:p>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以下甲方和乙方合称“双方”。</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根据《中华人民共和国民法典》等法律、法规的相关规定和编号为【</w:t>
      </w:r>
      <w:r>
        <w:rPr>
          <w:rFonts w:hint="eastAsia" w:ascii="宋体" w:hAnsi="宋体" w:cs="宋体"/>
          <w:color w:val="000000" w:themeColor="text1"/>
          <w:sz w:val="24"/>
          <w:lang w:eastAsia="zh-CN"/>
          <w14:textFill>
            <w14:solidFill>
              <w14:schemeClr w14:val="tx1"/>
            </w14:solidFill>
          </w14:textFill>
        </w:rPr>
        <w:t>QH2024006</w:t>
      </w:r>
      <w:r>
        <w:rPr>
          <w:rFonts w:hint="eastAsia" w:ascii="宋体" w:hAnsi="宋体" w:cs="宋体"/>
          <w:color w:val="000000" w:themeColor="text1"/>
          <w:sz w:val="24"/>
          <w14:textFill>
            <w14:solidFill>
              <w14:schemeClr w14:val="tx1"/>
            </w14:solidFill>
          </w14:textFill>
        </w:rPr>
        <w:t>】招标项目的中标结果，由【***】单位（以下简称乙方）为中标人。按照《中华人民共和国民法典》和《深圳经济特区政府采购条例》，经深圳市前海深港现代服务业合作区管理局（以下简称甲方）和【***】单位（以下简称乙方）协商，就甲方委托</w:t>
      </w:r>
      <w:r>
        <w:rPr>
          <w:rFonts w:hint="eastAsia" w:ascii="宋体" w:hAnsi="宋体" w:cs="宋体"/>
          <w:b/>
          <w:bCs/>
          <w:color w:val="000000" w:themeColor="text1"/>
          <w:sz w:val="24"/>
          <w:u w:val="single"/>
          <w14:textFill>
            <w14:solidFill>
              <w14:schemeClr w14:val="tx1"/>
            </w14:solidFill>
          </w14:textFill>
        </w:rPr>
        <w:t>乙方</w:t>
      </w:r>
      <w:r>
        <w:rPr>
          <w:rFonts w:hint="eastAsia" w:ascii="宋体" w:hAnsi="宋体" w:cs="宋体"/>
          <w:color w:val="000000" w:themeColor="text1"/>
          <w:sz w:val="24"/>
          <w14:textFill>
            <w14:solidFill>
              <w14:schemeClr w14:val="tx1"/>
            </w14:solidFill>
          </w14:textFill>
        </w:rPr>
        <w:t>共同承担</w:t>
      </w:r>
      <w:r>
        <w:rPr>
          <w:rFonts w:hint="eastAsia" w:ascii="宋体" w:hAnsi="宋体" w:cs="宋体"/>
          <w:color w:val="000000" w:themeColor="text1"/>
          <w:sz w:val="24"/>
          <w:u w:val="single"/>
          <w:lang w:eastAsia="zh-CN"/>
          <w14:textFill>
            <w14:solidFill>
              <w14:schemeClr w14:val="tx1"/>
            </w14:solidFill>
          </w14:textFill>
        </w:rPr>
        <w:t>“港税e”香港居民个人所得税优惠政策申报辅助服务项目</w:t>
      </w:r>
      <w:r>
        <w:rPr>
          <w:rFonts w:hint="eastAsia" w:ascii="宋体" w:hAnsi="宋体" w:cs="宋体"/>
          <w:b/>
          <w:bCs/>
          <w:color w:val="000000" w:themeColor="text1"/>
          <w:kern w:val="0"/>
          <w:sz w:val="24"/>
          <w:u w:val="single"/>
          <w14:textFill>
            <w14:solidFill>
              <w14:schemeClr w14:val="tx1"/>
            </w14:solidFill>
          </w14:textFill>
        </w:rPr>
        <w:t>（以下简称本项目）</w:t>
      </w:r>
      <w:r>
        <w:rPr>
          <w:rFonts w:hint="eastAsia" w:ascii="宋体" w:hAnsi="宋体" w:cs="宋体"/>
          <w:color w:val="000000" w:themeColor="text1"/>
          <w:sz w:val="24"/>
          <w14:textFill>
            <w14:solidFill>
              <w14:schemeClr w14:val="tx1"/>
            </w14:solidFill>
          </w14:textFill>
        </w:rPr>
        <w:t>，达成以下合同条款：</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第一条 项目内容</w:t>
      </w:r>
    </w:p>
    <w:p>
      <w:pPr>
        <w:spacing w:line="360" w:lineRule="auto"/>
        <w:ind w:firstLine="480" w:firstLineChars="200"/>
        <w:rPr>
          <w:rFonts w:hint="eastAsia" w:ascii="宋体" w:hAnsi="宋体" w:eastAsia="宋体" w:cs="宋体"/>
          <w:bCs/>
          <w:color w:val="000000" w:themeColor="text1"/>
          <w:sz w:val="24"/>
          <w:lang w:eastAsia="zh-CN"/>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1.项目名称：</w:t>
      </w:r>
      <w:r>
        <w:rPr>
          <w:rFonts w:hint="eastAsia" w:ascii="宋体" w:hAnsi="宋体" w:cs="宋体"/>
          <w:bCs/>
          <w:color w:val="000000" w:themeColor="text1"/>
          <w:sz w:val="24"/>
          <w:lang w:eastAsia="zh-CN"/>
          <w14:textFill>
            <w14:solidFill>
              <w14:schemeClr w14:val="tx1"/>
            </w14:solidFill>
          </w14:textFill>
        </w:rPr>
        <w:t>“港税e”香港居民个人所得税优惠政策申报辅助服务项目</w:t>
      </w:r>
    </w:p>
    <w:p>
      <w:pPr>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2.项目内容：</w:t>
      </w:r>
    </w:p>
    <w:p>
      <w:pPr>
        <w:pStyle w:val="2"/>
        <w:ind w:firstLine="480" w:firstLineChars="200"/>
        <w:rPr>
          <w:color w:val="000000" w:themeColor="text1"/>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“港税e”香港居民个人所得税优惠政策申报辅助服务项目</w:t>
      </w:r>
      <w:r>
        <w:rPr>
          <w:rFonts w:hint="eastAsia" w:ascii="宋体" w:hAnsi="宋体" w:cs="宋体"/>
          <w:color w:val="000000" w:themeColor="text1"/>
          <w:sz w:val="24"/>
          <w14:textFill>
            <w14:solidFill>
              <w14:schemeClr w14:val="tx1"/>
            </w14:solidFill>
          </w14:textFill>
        </w:rPr>
        <w:t>具有业务规范性强、政策影响面广、服务窗口期政策依赖性强、业务耦合度紧密等特点，涉及了自然人电子税务局及其特色应用、深圳税务自然人税收应用平台等系统。为确保相关政策有效落地，保障服务实施工作井然有序、有条不紊地进行，需要开展个性化定制、数据、多语种对照、咨询等事项服务工作，详情如下：</w:t>
      </w:r>
    </w:p>
    <w:p>
      <w:pPr>
        <w:autoSpaceDE w:val="0"/>
        <w:autoSpaceDN w:val="0"/>
        <w:adjustRightInd w:val="0"/>
        <w:spacing w:line="360" w:lineRule="auto"/>
        <w:ind w:right="17" w:firstLine="482" w:firstLineChars="200"/>
        <w:outlineLvl w:val="2"/>
        <w:rPr>
          <w:rFonts w:hint="eastAsia"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lang w:val="en-US" w:eastAsia="zh-CN"/>
          <w14:textFill>
            <w14:solidFill>
              <w14:schemeClr w14:val="tx1"/>
            </w14:solidFill>
          </w14:textFill>
        </w:rPr>
        <w:t>2.</w:t>
      </w:r>
      <w:r>
        <w:rPr>
          <w:rFonts w:hint="eastAsia" w:ascii="宋体" w:hAnsi="宋体" w:cs="宋体"/>
          <w:b/>
          <w:bCs/>
          <w:color w:val="000000" w:themeColor="text1"/>
          <w:kern w:val="0"/>
          <w:sz w:val="24"/>
          <w14:textFill>
            <w14:solidFill>
              <w14:schemeClr w14:val="tx1"/>
            </w14:solidFill>
          </w14:textFill>
        </w:rPr>
        <w:t>1信息化申报辅助服务</w:t>
      </w:r>
    </w:p>
    <w:p>
      <w:pPr>
        <w:autoSpaceDE w:val="0"/>
        <w:autoSpaceDN w:val="0"/>
        <w:adjustRightInd w:val="0"/>
        <w:spacing w:line="360" w:lineRule="auto"/>
        <w:ind w:right="17" w:firstLine="480" w:firstLineChars="200"/>
        <w:outlineLvl w:val="2"/>
        <w:rPr>
          <w:rFonts w:hint="eastAsia" w:ascii="宋体" w:hAnsi="宋体" w:cs="宋体"/>
          <w:b w:val="0"/>
          <w:bCs w:val="0"/>
          <w:color w:val="000000" w:themeColor="text1"/>
          <w:kern w:val="0"/>
          <w:sz w:val="24"/>
          <w14:textFill>
            <w14:solidFill>
              <w14:schemeClr w14:val="tx1"/>
            </w14:solidFill>
          </w14:textFill>
        </w:rPr>
      </w:pPr>
      <w:r>
        <w:rPr>
          <w:rFonts w:hint="eastAsia" w:ascii="宋体" w:hAnsi="宋体" w:cs="宋体"/>
          <w:b w:val="0"/>
          <w:bCs w:val="0"/>
          <w:color w:val="000000" w:themeColor="text1"/>
          <w:kern w:val="0"/>
          <w:sz w:val="24"/>
          <w14:textFill>
            <w14:solidFill>
              <w14:schemeClr w14:val="tx1"/>
            </w14:solidFill>
          </w14:textFill>
        </w:rPr>
        <w:t>基于在前海工作的香港居民个人所得税优惠相关政策，充分利用现有信息化资源，提供适用于前海区域的信息化申报辅助服务，包括但不限于以下内容：纳税人端、税务人端个性化申报辅助服务、信息化渠道集成服务、信息化消息集成服务等</w:t>
      </w:r>
      <w:r>
        <w:rPr>
          <w:rFonts w:hint="eastAsia" w:ascii="宋体" w:hAnsi="宋体" w:cs="宋体"/>
          <w:b w:val="0"/>
          <w:bCs w:val="0"/>
          <w:color w:val="000000" w:themeColor="text1"/>
          <w:kern w:val="0"/>
          <w:sz w:val="24"/>
          <w:lang w:eastAsia="zh-CN"/>
          <w14:textFill>
            <w14:solidFill>
              <w14:schemeClr w14:val="tx1"/>
            </w14:solidFill>
          </w14:textFill>
        </w:rPr>
        <w:t>，为香港居民提供申报页面的多语种对照</w:t>
      </w:r>
      <w:r>
        <w:rPr>
          <w:rFonts w:hint="eastAsia" w:ascii="宋体" w:hAnsi="宋体" w:cs="宋体"/>
          <w:b w:val="0"/>
          <w:bCs w:val="0"/>
          <w:color w:val="000000" w:themeColor="text1"/>
          <w:kern w:val="0"/>
          <w:sz w:val="24"/>
          <w14:textFill>
            <w14:solidFill>
              <w14:schemeClr w14:val="tx1"/>
            </w14:solidFill>
          </w14:textFill>
        </w:rPr>
        <w:t>。</w:t>
      </w:r>
    </w:p>
    <w:p>
      <w:pPr>
        <w:tabs>
          <w:tab w:val="left" w:pos="720"/>
        </w:tabs>
        <w:autoSpaceDE w:val="0"/>
        <w:autoSpaceDN w:val="0"/>
        <w:adjustRightInd w:val="0"/>
        <w:spacing w:line="360" w:lineRule="auto"/>
        <w:ind w:right="17" w:firstLine="482" w:firstLineChars="200"/>
        <w:outlineLvl w:val="2"/>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2</w:t>
      </w:r>
      <w:r>
        <w:rPr>
          <w:rFonts w:ascii="宋体" w:hAnsi="宋体" w:cs="宋体"/>
          <w:b/>
          <w:bCs/>
          <w:color w:val="000000" w:themeColor="text1"/>
          <w:kern w:val="0"/>
          <w:sz w:val="24"/>
          <w14:textFill>
            <w14:solidFill>
              <w14:schemeClr w14:val="tx1"/>
            </w14:solidFill>
          </w14:textFill>
        </w:rPr>
        <w:t>.2.</w:t>
      </w:r>
      <w:r>
        <w:rPr>
          <w:rFonts w:hint="eastAsia" w:ascii="宋体" w:hAnsi="宋体" w:cs="宋体"/>
          <w:b/>
          <w:bCs/>
          <w:color w:val="000000" w:themeColor="text1"/>
          <w:kern w:val="0"/>
          <w:sz w:val="24"/>
          <w14:textFill>
            <w14:solidFill>
              <w14:schemeClr w14:val="tx1"/>
            </w14:solidFill>
          </w14:textFill>
        </w:rPr>
        <w:t>数据服务</w:t>
      </w:r>
    </w:p>
    <w:p>
      <w:pPr>
        <w:pStyle w:val="2"/>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（1）数据归集</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前海“港税e”香港居民个人所得税优惠服务，归集应用国家税务总局清分的自然人电子税务局基础数据，包括登记数据、申报数据、征收数据及部分跨省数据</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通过“充分归集+数据驱动”提升前海地区香港居民个人所得税税收优惠服务质量。</w:t>
      </w:r>
    </w:p>
    <w:p>
      <w:pPr>
        <w:pStyle w:val="2"/>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）同步数据模型服务为确保试算服务预填数据与国家税务总局自然人电子税务局及个人所得税</w:t>
      </w:r>
      <w:r>
        <w:rPr>
          <w:rFonts w:ascii="宋体" w:hAnsi="宋体" w:cs="宋体"/>
          <w:color w:val="000000" w:themeColor="text1"/>
          <w:sz w:val="24"/>
          <w14:textFill>
            <w14:solidFill>
              <w14:schemeClr w14:val="tx1"/>
            </w14:solidFill>
          </w14:textFill>
        </w:rPr>
        <w:t>APP</w:t>
      </w:r>
      <w:r>
        <w:rPr>
          <w:rFonts w:hint="eastAsia" w:ascii="宋体" w:hAnsi="宋体" w:cs="宋体"/>
          <w:color w:val="000000" w:themeColor="text1"/>
          <w:sz w:val="24"/>
          <w14:textFill>
            <w14:solidFill>
              <w14:schemeClr w14:val="tx1"/>
            </w14:solidFill>
          </w14:textFill>
        </w:rPr>
        <w:t>一致，同步国家税务总局自然人电子税务局生产服务库、归集库数据标准，按照汇聚层、标准层、专题层、计算层构建前海“港税e”香港居民个人所得税优惠服务数据模型。</w:t>
      </w:r>
    </w:p>
    <w:p>
      <w:pPr>
        <w:tabs>
          <w:tab w:val="left" w:pos="720"/>
        </w:tabs>
        <w:autoSpaceDE w:val="0"/>
        <w:autoSpaceDN w:val="0"/>
        <w:adjustRightInd w:val="0"/>
        <w:spacing w:line="360" w:lineRule="auto"/>
        <w:ind w:right="17" w:firstLine="482" w:firstLineChars="200"/>
        <w:outlineLvl w:val="2"/>
        <w:rPr>
          <w:rFonts w:hint="eastAsia"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2</w:t>
      </w:r>
      <w:r>
        <w:rPr>
          <w:rFonts w:ascii="宋体" w:hAnsi="宋体" w:cs="宋体"/>
          <w:b/>
          <w:bCs/>
          <w:color w:val="000000" w:themeColor="text1"/>
          <w:kern w:val="0"/>
          <w:sz w:val="24"/>
          <w14:textFill>
            <w14:solidFill>
              <w14:schemeClr w14:val="tx1"/>
            </w14:solidFill>
          </w14:textFill>
        </w:rPr>
        <w:t>.3.</w:t>
      </w:r>
      <w:r>
        <w:rPr>
          <w:rFonts w:hint="eastAsia" w:ascii="宋体" w:hAnsi="宋体" w:cs="宋体"/>
          <w:b/>
          <w:bCs/>
          <w:color w:val="000000" w:themeColor="text1"/>
          <w:kern w:val="0"/>
          <w:sz w:val="24"/>
          <w14:textFill>
            <w14:solidFill>
              <w14:schemeClr w14:val="tx1"/>
            </w14:solidFill>
          </w14:textFill>
        </w:rPr>
        <w:t>汇算清缴数据试算服务</w:t>
      </w:r>
    </w:p>
    <w:p>
      <w:pPr>
        <w:pStyle w:val="2"/>
        <w:ind w:firstLine="480" w:firstLineChars="200"/>
        <w:rPr>
          <w:rFonts w:hint="eastAsia" w:ascii="宋体" w:hAnsi="宋体" w:cs="宋体"/>
          <w:b/>
          <w:bCs/>
          <w:color w:val="000000" w:themeColor="text1"/>
          <w:kern w:val="0"/>
          <w:sz w:val="24"/>
          <w14:textFill>
            <w14:solidFill>
              <w14:schemeClr w14:val="tx1"/>
            </w14:solidFill>
          </w14:textFill>
        </w:rPr>
      </w:pPr>
      <w:r>
        <w:rPr>
          <w:rFonts w:hint="eastAsia" w:ascii="宋体" w:hAnsi="宋体" w:cs="宋体"/>
          <w:b w:val="0"/>
          <w:bCs w:val="0"/>
          <w:color w:val="000000" w:themeColor="text1"/>
          <w:kern w:val="0"/>
          <w:sz w:val="24"/>
          <w14:textFill>
            <w14:solidFill>
              <w14:schemeClr w14:val="tx1"/>
            </w14:solidFill>
          </w14:textFill>
        </w:rPr>
        <w:t>为符合个人所得税优惠政策的前海区域香港居民提供个人所得税税收优惠汇缴试算服务，包括但不限于以下内容：汇算清缴减免税试算服务、减免税申报服务、汇算清缴自查服务等。</w:t>
      </w:r>
    </w:p>
    <w:p>
      <w:pPr>
        <w:tabs>
          <w:tab w:val="left" w:pos="720"/>
        </w:tabs>
        <w:autoSpaceDE w:val="0"/>
        <w:autoSpaceDN w:val="0"/>
        <w:adjustRightInd w:val="0"/>
        <w:spacing w:line="360" w:lineRule="auto"/>
        <w:ind w:right="17" w:firstLine="482" w:firstLineChars="200"/>
        <w:outlineLvl w:val="2"/>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2.</w:t>
      </w:r>
      <w:r>
        <w:rPr>
          <w:rFonts w:ascii="宋体" w:hAnsi="宋体" w:cs="宋体"/>
          <w:b/>
          <w:bCs/>
          <w:color w:val="000000" w:themeColor="text1"/>
          <w:kern w:val="0"/>
          <w:sz w:val="24"/>
          <w14:textFill>
            <w14:solidFill>
              <w14:schemeClr w14:val="tx1"/>
            </w14:solidFill>
          </w14:textFill>
        </w:rPr>
        <w:t>4</w:t>
      </w:r>
      <w:r>
        <w:rPr>
          <w:rFonts w:hint="eastAsia" w:ascii="宋体" w:hAnsi="宋体" w:cs="宋体"/>
          <w:b/>
          <w:bCs/>
          <w:color w:val="000000" w:themeColor="text1"/>
          <w:kern w:val="0"/>
          <w:sz w:val="24"/>
          <w14:textFill>
            <w14:solidFill>
              <w14:schemeClr w14:val="tx1"/>
            </w14:solidFill>
          </w14:textFill>
        </w:rPr>
        <w:t>.初始化服务</w:t>
      </w:r>
    </w:p>
    <w:p>
      <w:pPr>
        <w:pStyle w:val="32"/>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14:textFill>
            <w14:solidFill>
              <w14:schemeClr w14:val="tx1"/>
            </w14:solidFill>
          </w14:textFill>
        </w:rPr>
        <w:t>为确保相关政策有效落地，</w:t>
      </w:r>
      <w:r>
        <w:rPr>
          <w:rFonts w:hint="eastAsia" w:ascii="宋体" w:hAnsi="宋体" w:cs="宋体"/>
          <w:color w:val="000000" w:themeColor="text1"/>
          <w:sz w:val="24"/>
          <w:lang w:val="en-US" w:eastAsia="zh-CN"/>
          <w14:textFill>
            <w14:solidFill>
              <w14:schemeClr w14:val="tx1"/>
            </w14:solidFill>
          </w14:textFill>
        </w:rPr>
        <w:t>乙方</w:t>
      </w:r>
      <w:r>
        <w:rPr>
          <w:rFonts w:hint="eastAsia" w:ascii="宋体" w:hAnsi="宋体" w:cs="宋体"/>
          <w:color w:val="000000" w:themeColor="text1"/>
          <w14:textFill>
            <w14:solidFill>
              <w14:schemeClr w14:val="tx1"/>
            </w14:solidFill>
          </w14:textFill>
        </w:rPr>
        <w:t>需完成前海区域数据</w:t>
      </w:r>
      <w:r>
        <w:rPr>
          <w:rFonts w:hint="eastAsia" w:ascii="宋体" w:hAnsi="宋体" w:cs="宋体"/>
          <w:color w:val="000000" w:themeColor="text1"/>
          <w:szCs w:val="24"/>
          <w14:textFill>
            <w14:solidFill>
              <w14:schemeClr w14:val="tx1"/>
            </w14:solidFill>
          </w14:textFill>
        </w:rPr>
        <w:t>初始化，确保能够正常提供服务数据，再根据用户需求，利用</w:t>
      </w:r>
      <w:r>
        <w:rPr>
          <w:rFonts w:hint="eastAsia" w:ascii="宋体" w:hAnsi="宋体" w:cs="宋体"/>
          <w:color w:val="000000" w:themeColor="text1"/>
          <w:szCs w:val="24"/>
          <w:lang w:eastAsia="zh-CN"/>
          <w14:textFill>
            <w14:solidFill>
              <w14:schemeClr w14:val="tx1"/>
            </w14:solidFill>
          </w14:textFill>
        </w:rPr>
        <w:t>现有</w:t>
      </w:r>
      <w:r>
        <w:rPr>
          <w:rFonts w:hint="eastAsia" w:ascii="宋体" w:hAnsi="宋体" w:cs="宋体"/>
          <w:color w:val="000000" w:themeColor="text1"/>
          <w:szCs w:val="24"/>
          <w14:textFill>
            <w14:solidFill>
              <w14:schemeClr w14:val="tx1"/>
            </w14:solidFill>
          </w14:textFill>
        </w:rPr>
        <w:t>信息化资源进行必要的服务数据加工配置和服务参数设置，确保初始状态的准确性和可靠性。在服务实施过程中，乙方要建立问题分析和解决方案的机制，对出现的问题进行及时分析，并提供有效的解决措施，供上线单位决策参考，并协助相关应用软件厂商解决问题，确保服务项目的顺利实施和成功上线，为用户提供高质量、稳定、可靠的系统服务。</w:t>
      </w:r>
    </w:p>
    <w:p>
      <w:pPr>
        <w:tabs>
          <w:tab w:val="left" w:pos="720"/>
        </w:tabs>
        <w:autoSpaceDE w:val="0"/>
        <w:autoSpaceDN w:val="0"/>
        <w:adjustRightInd w:val="0"/>
        <w:spacing w:line="360" w:lineRule="auto"/>
        <w:ind w:right="17" w:firstLine="482" w:firstLineChars="200"/>
        <w:outlineLvl w:val="2"/>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2.</w:t>
      </w:r>
      <w:r>
        <w:rPr>
          <w:rFonts w:ascii="宋体" w:hAnsi="宋体" w:cs="宋体"/>
          <w:b/>
          <w:bCs/>
          <w:color w:val="000000" w:themeColor="text1"/>
          <w:kern w:val="0"/>
          <w:sz w:val="24"/>
          <w14:textFill>
            <w14:solidFill>
              <w14:schemeClr w14:val="tx1"/>
            </w14:solidFill>
          </w14:textFill>
        </w:rPr>
        <w:t>5</w:t>
      </w:r>
      <w:r>
        <w:rPr>
          <w:rFonts w:hint="eastAsia" w:ascii="宋体" w:hAnsi="宋体" w:cs="宋体"/>
          <w:b/>
          <w:bCs/>
          <w:color w:val="000000" w:themeColor="text1"/>
          <w:kern w:val="0"/>
          <w:sz w:val="24"/>
          <w14:textFill>
            <w14:solidFill>
              <w14:schemeClr w14:val="tx1"/>
            </w14:solidFill>
          </w14:textFill>
        </w:rPr>
        <w:t>.咨询支持服务</w:t>
      </w:r>
    </w:p>
    <w:p>
      <w:pPr>
        <w:pStyle w:val="2"/>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（1）为了有效推进本服务项目的顺利进行，</w:t>
      </w:r>
      <w:r>
        <w:rPr>
          <w:rFonts w:hint="eastAsia" w:ascii="宋体" w:hAnsi="宋体" w:cs="宋体"/>
          <w:color w:val="000000" w:themeColor="text1"/>
          <w:sz w:val="24"/>
          <w:lang w:val="en-US" w:eastAsia="zh-CN"/>
          <w14:textFill>
            <w14:solidFill>
              <w14:schemeClr w14:val="tx1"/>
            </w14:solidFill>
          </w14:textFill>
        </w:rPr>
        <w:t>乙方</w:t>
      </w:r>
      <w:r>
        <w:rPr>
          <w:rFonts w:hint="eastAsia" w:ascii="宋体" w:hAnsi="宋体" w:cs="宋体"/>
          <w:color w:val="000000" w:themeColor="text1"/>
          <w:sz w:val="24"/>
          <w14:textFill>
            <w14:solidFill>
              <w14:schemeClr w14:val="tx1"/>
            </w14:solidFill>
          </w14:textFill>
        </w:rPr>
        <w:t>需本项目涉及的相关岗位工作人员提供全面的专家咨询支持服务。服务需涵盖本项目的核心内容以及自然人电子税务局系统的相关衔接功能。以协助相关岗位工作人员不断更新自己的知识和技能，应对业务规范性强、影响面广的香港居民个人所得税优惠服务要求。</w:t>
      </w:r>
    </w:p>
    <w:p>
      <w:pPr>
        <w:pStyle w:val="2"/>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）咨询支持服务方式包括但不限于在线答疑、电话咨询、远程辅导、现场指导等，需为相关岗位工作人员提供及时、准确、实用的咨询支持。</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第二条  服务期限</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本项目服务期限为自合同签订后</w:t>
      </w:r>
      <w:r>
        <w:rPr>
          <w:rFonts w:hint="eastAsia" w:ascii="宋体" w:hAnsi="宋体" w:cs="宋体"/>
          <w:color w:val="000000" w:themeColor="text1"/>
          <w:sz w:val="24"/>
          <w:lang w:val="en-US" w:eastAsia="zh-CN"/>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个月内完成全部项目工作内容并提交最终成果。</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第三条  项目资料归属</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1.所有提交给甲方的项目文件及相关资料的</w:t>
      </w:r>
      <w:r>
        <w:rPr>
          <w:rFonts w:ascii="宋体" w:hAnsi="宋体" w:cs="宋体"/>
          <w:color w:val="000000" w:themeColor="text1"/>
          <w:sz w:val="24"/>
          <w14:textFill>
            <w14:solidFill>
              <w14:schemeClr w14:val="tx1"/>
            </w14:solidFill>
          </w14:textFill>
        </w:rPr>
        <w:t>阶段性成果及</w:t>
      </w:r>
      <w:r>
        <w:rPr>
          <w:rFonts w:hint="eastAsia" w:ascii="宋体" w:hAnsi="宋体" w:cs="宋体"/>
          <w:color w:val="000000" w:themeColor="text1"/>
          <w:sz w:val="24"/>
          <w14:textFill>
            <w14:solidFill>
              <w14:schemeClr w14:val="tx1"/>
            </w14:solidFill>
          </w14:textFill>
        </w:rPr>
        <w:t>最后文本，包括为履行服务范围所编制的计划和证明资料等，甲乙双方共同</w:t>
      </w:r>
      <w:r>
        <w:rPr>
          <w:rFonts w:ascii="宋体" w:hAnsi="宋体" w:cs="宋体"/>
          <w:color w:val="000000" w:themeColor="text1"/>
          <w:sz w:val="24"/>
          <w14:textFill>
            <w14:solidFill>
              <w14:schemeClr w14:val="tx1"/>
            </w14:solidFill>
          </w14:textFill>
        </w:rPr>
        <w:t>所有</w:t>
      </w:r>
      <w:r>
        <w:rPr>
          <w:rFonts w:hint="eastAsia" w:ascii="宋体" w:hAnsi="宋体" w:cs="宋体"/>
          <w:color w:val="000000" w:themeColor="text1"/>
          <w:sz w:val="24"/>
          <w14:textFill>
            <w14:solidFill>
              <w14:schemeClr w14:val="tx1"/>
            </w14:solidFill>
          </w14:textFill>
        </w:rPr>
        <w:t>，乙方在提交给甲方之前应将上述资料进行整理归类和编制索引。</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2.乙方未经甲方的书面同意，不得将上述资料泄露或授权给第三方使用。</w:t>
      </w:r>
    </w:p>
    <w:p>
      <w:pPr>
        <w:spacing w:line="560" w:lineRule="exact"/>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第四条  甲方的权利与义务</w:t>
      </w:r>
    </w:p>
    <w:p>
      <w:pPr>
        <w:pStyle w:val="5"/>
        <w:spacing w:after="0" w:line="360" w:lineRule="auto"/>
        <w:ind w:firstLine="48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1.甲方的权利</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有权向乙方询问工作进展情况及相关的内容，并要求乙方在指定时间内作出答复。甲方对项目服务过程的决策、控制、实施等环节实行全面管理，协调和监督研究工作开展，控制项目服务过程，进行工作成果验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（2）有权对服务项目、成果的具体问题提出意见和建议，乙方在收到甲方的意见或建议后，应当对相关成果进行及时进行修改。</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（3）当甲方认定乙方人员不按合同履行其职责，或与第三人串通给甲方造成经济损失的，甲方有权要求更换人员，直至终止合同并要求乙方承担相应的赔偿责任。</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（4）如乙方所提供的服务不符合本合同的要求，甲方有权要求乙方重新执行相应的工作服务，由此产生的全部费用由乙方自行承担，同时，甲方的付款时间相应顺延。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（5）甲方有权要求乙方全面履行合同。甲方不接受部分履行，如本合同项下部分成果文件未能按时交付则视为整体延误。</w:t>
      </w:r>
    </w:p>
    <w:p>
      <w:pPr>
        <w:spacing w:line="560" w:lineRule="exact"/>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2.甲方的义务</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（1）甲方应按照合同规定为乙方提供必要的支持与协助。</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（2）为使工作顺利进行，甲方应在一个合理的时间内向乙方提供能够获得的与工作有关的资料。</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（3）甲方应按照本合同的约定向乙方支付服务费用。</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（4）甲方指定项目联系人：</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姓名： </w:t>
      </w:r>
    </w:p>
    <w:p>
      <w:pPr>
        <w:spacing w:line="360" w:lineRule="auto"/>
        <w:ind w:firstLine="480" w:firstLineChars="200"/>
        <w:rPr>
          <w:rFonts w:ascii="宋体" w:hAnsi="宋体" w:cs="宋体"/>
          <w:b/>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联系方式：</w:t>
      </w:r>
    </w:p>
    <w:p>
      <w:pPr>
        <w:spacing w:line="560" w:lineRule="exact"/>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第五条　乙方的权利与义务</w:t>
      </w:r>
    </w:p>
    <w:p>
      <w:pPr>
        <w:pStyle w:val="5"/>
        <w:spacing w:after="0"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1.乙方的权利</w:t>
      </w:r>
    </w:p>
    <w:p>
      <w:pPr>
        <w:pStyle w:val="5"/>
        <w:spacing w:after="0"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（1）乙方在本项目服务过程中，如甲方提供的资料不明确时可向甲方提出书面报告。</w:t>
      </w:r>
    </w:p>
    <w:p>
      <w:pPr>
        <w:pStyle w:val="5"/>
        <w:spacing w:after="0"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（2）乙方在本项目服务过程中，有权对第三方提出与本服务业务有关的问题进行核对或查问。</w:t>
      </w:r>
    </w:p>
    <w:p>
      <w:pPr>
        <w:pStyle w:val="5"/>
        <w:spacing w:after="0"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2.乙方的义务</w:t>
      </w:r>
    </w:p>
    <w:p>
      <w:pPr>
        <w:pStyle w:val="5"/>
        <w:spacing w:after="0"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（1）应按照</w:t>
      </w:r>
      <w:r>
        <w:rPr>
          <w:rFonts w:hint="eastAsia" w:ascii="宋体" w:hAnsi="宋体" w:cs="宋体"/>
          <w:color w:val="000000" w:themeColor="text1"/>
          <w:u w:val="single"/>
          <w14:textFill>
            <w14:solidFill>
              <w14:schemeClr w14:val="tx1"/>
            </w14:solidFill>
          </w14:textFill>
        </w:rPr>
        <w:t>QH2024006</w:t>
      </w:r>
      <w:r>
        <w:rPr>
          <w:rFonts w:hint="eastAsia" w:ascii="宋体" w:hAnsi="宋体" w:cs="宋体"/>
          <w:color w:val="000000" w:themeColor="text1"/>
          <w14:textFill>
            <w14:solidFill>
              <w14:schemeClr w14:val="tx1"/>
            </w14:solidFill>
          </w14:textFill>
        </w:rPr>
        <w:t>号招标文件、乙方投标文件要求按期完成本项目服务工作。</w:t>
      </w:r>
    </w:p>
    <w:p>
      <w:pPr>
        <w:pStyle w:val="5"/>
        <w:spacing w:after="0"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（2）向甲方提交</w:t>
      </w:r>
      <w:r>
        <w:rPr>
          <w:rFonts w:hint="eastAsia" w:ascii="宋体" w:hAnsi="宋体" w:cs="宋体"/>
          <w:color w:val="000000" w:themeColor="text1"/>
          <w:sz w:val="24"/>
          <w14:textFill>
            <w14:solidFill>
              <w14:schemeClr w14:val="tx1"/>
            </w14:solidFill>
          </w14:textFill>
        </w:rPr>
        <w:t>咨询</w:t>
      </w:r>
      <w:r>
        <w:rPr>
          <w:rFonts w:hint="eastAsia" w:ascii="宋体" w:hAnsi="宋体" w:cs="宋体"/>
          <w:color w:val="000000" w:themeColor="text1"/>
          <w14:textFill>
            <w14:solidFill>
              <w14:schemeClr w14:val="tx1"/>
            </w14:solidFill>
          </w14:textFill>
        </w:rPr>
        <w:t>资料以及甲方要求的其他材料等。</w:t>
      </w:r>
    </w:p>
    <w:p>
      <w:pPr>
        <w:pStyle w:val="5"/>
        <w:spacing w:after="0"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（3）在履行合同期间或合同规定期限内，不得泄露与本合同规定业务活动有关的保密资料。</w:t>
      </w:r>
    </w:p>
    <w:p>
      <w:pPr>
        <w:pStyle w:val="5"/>
        <w:spacing w:after="0"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乙方应按国家、省及深圳的有关法律法规、设计标准、技术规范以及本合同约定的工作内容、工作进度等要求提供项目服务，并对其提交的成果文件负责。对于与本项目工作内容相关的其他相关项目，乙方应进行充分了解并做好协调与衔接工作。</w:t>
      </w:r>
    </w:p>
    <w:p>
      <w:pPr>
        <w:pStyle w:val="5"/>
        <w:spacing w:after="0"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（5）对甲方提出的合理的额外服务，不应予以拒绝。</w:t>
      </w:r>
    </w:p>
    <w:p>
      <w:pPr>
        <w:pStyle w:val="5"/>
        <w:spacing w:after="0"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乙方应接受甲方对工作进展的询问、监督和指导，严格按本合同约定的内容、标准和期限完成项目工作，并向甲方提交项目成果。项目工作完成后，乙方应按照甲方要求将完成本项目的工作总结和相关台账资料交给甲方。</w:t>
      </w:r>
    </w:p>
    <w:p>
      <w:pPr>
        <w:pStyle w:val="5"/>
        <w:spacing w:after="0"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（7）对于验收过程中发现的问题，乙方应在发现问题之日起3天内进行改正，以符合甲方的需要。</w:t>
      </w:r>
    </w:p>
    <w:p>
      <w:pPr>
        <w:pStyle w:val="5"/>
        <w:spacing w:after="0"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（8）如乙方提供的服务或成果文件不符合本合同要求，必须在甲方提出要求后3天内无条件改善或修改，其费用由乙方自行承担。改进或修改期间，甲方付款时间相应顺延。</w:t>
      </w:r>
    </w:p>
    <w:p>
      <w:pPr>
        <w:pStyle w:val="5"/>
        <w:spacing w:after="0"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（9）乙方应独立完成本项目。未经甲方书面事先同意，乙方不得向任何第三方全部或部分转让本项目。</w:t>
      </w:r>
    </w:p>
    <w:p>
      <w:pPr>
        <w:pStyle w:val="5"/>
        <w:spacing w:after="0"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乙方对其工作人员在合同履行期间的一切行为负责，期间发生的一切安全事故责任、其他人身损害意外及因此发生的人身损害赔偿和其他费用由乙方自行承担，与甲方无关。若因乙方工作人员的行为导致甲方支付赔偿及其他费用，乙方应全部偿还给甲方。</w:t>
      </w:r>
    </w:p>
    <w:p>
      <w:pPr>
        <w:pStyle w:val="5"/>
        <w:spacing w:after="0"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为保证项目成果的质量，乙方在合同履行期间，应按照服务内容要求组织专家队伍，成立专门的项目团队，并保障项目团队成员到位。乙方应保证本合同的主要核心成员在项目实施期间全程参与项目实质性工作。项目负责人负责对项目实施全过程进行组织和指导，并承担项目的实质性工作。如确需更换项目团队成员，乙方应事先征得甲方的同意，且接替人员的职位、资历应与原定成员相当，否则，每擅自更换一个项目团队成员，乙方应向甲方支付本合同总价款5%的违约金。</w:t>
      </w:r>
    </w:p>
    <w:p>
      <w:pPr>
        <w:pStyle w:val="5"/>
        <w:spacing w:after="0"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（12）乙方必须按本合同约定的内容、标准和期限完成项目工作，并按照甲方要求将完成委托事项的相关资料交给甲方。如甲方需对工作进度进行调整，甲方、乙方应共同协商解决。</w:t>
      </w:r>
    </w:p>
    <w:p>
      <w:pPr>
        <w:pStyle w:val="5"/>
        <w:spacing w:after="0"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（13）乙方有维护甲方声誉的义务，乙方不能以甲方名义从事与本项目无关的任何事务，否则甲方有权追究其相关责任。</w:t>
      </w:r>
    </w:p>
    <w:p>
      <w:pPr>
        <w:pStyle w:val="5"/>
        <w:spacing w:after="0"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（14）本合同期满或提前解除、终止后，乙方应将甲方的档案资料、信息数据等交还甲方，并应销毁或删除所有备份。</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（15）乙方在完成本项目过程中，不得损害其他任何第三方的知识产权等合法权益，否则由此造成的相关责任应当由乙方自行承担，与甲方无关。</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（16）乙方指定项目联系人：</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姓名： </w:t>
      </w:r>
    </w:p>
    <w:p>
      <w:pPr>
        <w:spacing w:line="360" w:lineRule="auto"/>
        <w:ind w:firstLine="480" w:firstLineChars="200"/>
        <w:rPr>
          <w:rFonts w:ascii="宋体" w:hAnsi="宋体" w:cs="宋体"/>
          <w:b/>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联系方式：</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第六条  人员要求</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以下为本项目核心领导团队。</w:t>
      </w:r>
    </w:p>
    <w:tbl>
      <w:tblPr>
        <w:tblStyle w:val="16"/>
        <w:tblW w:w="8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69"/>
        <w:gridCol w:w="677"/>
        <w:gridCol w:w="677"/>
        <w:gridCol w:w="677"/>
        <w:gridCol w:w="1392"/>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116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姓名</w:t>
            </w:r>
          </w:p>
        </w:tc>
        <w:tc>
          <w:tcPr>
            <w:tcW w:w="67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性别</w:t>
            </w:r>
          </w:p>
        </w:tc>
        <w:tc>
          <w:tcPr>
            <w:tcW w:w="67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年龄</w:t>
            </w:r>
          </w:p>
        </w:tc>
        <w:tc>
          <w:tcPr>
            <w:tcW w:w="67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学历</w:t>
            </w:r>
          </w:p>
        </w:tc>
        <w:tc>
          <w:tcPr>
            <w:tcW w:w="139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职称、职务</w:t>
            </w:r>
          </w:p>
        </w:tc>
        <w:tc>
          <w:tcPr>
            <w:tcW w:w="290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拟任</w:t>
            </w:r>
            <w:r>
              <w:rPr>
                <w:rFonts w:ascii="宋体" w:hAnsi="宋体" w:cs="宋体"/>
                <w:color w:val="000000" w:themeColor="text1"/>
                <w:sz w:val="24"/>
                <w14:textFill>
                  <w14:solidFill>
                    <w14:schemeClr w14:val="tx1"/>
                  </w14:solidFill>
                </w14:textFill>
              </w:rPr>
              <w:t>团队</w:t>
            </w:r>
            <w:r>
              <w:rPr>
                <w:rFonts w:hint="eastAsia" w:ascii="宋体" w:hAnsi="宋体" w:cs="宋体"/>
                <w:color w:val="000000" w:themeColor="text1"/>
                <w:sz w:val="24"/>
                <w14:textFill>
                  <w14:solidFill>
                    <w14:schemeClr w14:val="tx1"/>
                  </w14:solidFill>
                </w14:textFill>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116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67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67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67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39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290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116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67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67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67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39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290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r>
    </w:tbl>
    <w:p>
      <w:pPr>
        <w:spacing w:line="360" w:lineRule="auto"/>
        <w:ind w:firstLine="480" w:firstLineChars="200"/>
        <w:rPr>
          <w:rFonts w:ascii="宋体" w:hAnsi="宋体" w:cs="宋体"/>
          <w:b/>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乙方拟安排的项目服务团队成员不得少于10人。</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第七条 成果权属与知识产权</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1.双方对本合同有关的知识产权以及与之相关的所有权利归属约定如下： 本项目全部阶段性成果和最终成果的知识产权以及与之相关的所有权利归甲乙双方共同所有</w:t>
      </w:r>
      <w:r>
        <w:rPr>
          <w:rFonts w:hint="eastAsia" w:ascii="宋体" w:hAnsi="宋体" w:cs="宋体"/>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本合同签署前双方已经拥有的知识产权权利，仍归各自所有。</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双方确定，甲方有权利用乙方按照本合同约定提供的研究开发成果，进行后续改进。由此产生的具有实质性或创造性技术进步特征的新的技术成果及其权利归属，全部由甲方享有。具体相关利益的分配办法如下：甲方100%。</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乙方所提交的全部中间成果和最终成果文件及任何数据、资料、软件等不得侵犯任何第三方的知识产权或其他权利，由于该等文件、数据、资料、软件侵权所导致的任何索赔或责任均由乙方承担。同时，甲方保留要求乙方赔偿相应损失的权利，包括但不限于上述索赔或责任所产生的诉讼费用、合理的律师费用、鉴定评估费用、调查费用、和解金额或生效法律文书中规定的赔偿金额。</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未经甲方书面同意，乙方不得将本项目的中间成果和最终成果文件及任何数据、资料、软件向任何第三方转让、授权任何第三方使用或用于本合同项目外的其他项目。经核实发生以上情况，乙方应向甲方支付本合同总价款20%的违约金，如果违约金无法弥补甲方的损失，甲方有权要求乙方赔偿全部损失，包括但不限于上述索赔或责任所产生的诉讼费用、合理的律师费用、鉴定评估费用、调查费用、和解金额或生效法律文书中规定的赔偿金额。</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5.乙方完成本合同项目的研究开发人员享有在有关技术成果文件上写明技术成果完成者的权利和与甲方共同获得有关署名权、荣誉证书、奖励的权利。</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第八条  保密条款</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bookmarkStart w:id="13" w:name="_Toc216520223"/>
      <w:r>
        <w:rPr>
          <w:rFonts w:hint="eastAsia" w:ascii="宋体" w:hAnsi="宋体" w:cs="宋体"/>
          <w:color w:val="000000" w:themeColor="text1"/>
          <w:sz w:val="24"/>
          <w14:textFill>
            <w14:solidFill>
              <w14:schemeClr w14:val="tx1"/>
            </w14:solidFill>
          </w14:textFill>
        </w:rPr>
        <w:t>1.甲乙双方应保守的秘密是指不为公众所知悉、能为权利人带来经济利益、具有实用性并经权利人采取保密措施的技术信息和经营信息，或由甲乙双方在履行本合同过程中明确指明为秘密的、法律所认可的任何信息，以及乙方在履行本合同过程中所获得或接触到的任何甲方内部数据资料。</w:t>
      </w:r>
      <w:bookmarkEnd w:id="13"/>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双方应遵守国家的有关保密规定。妥善保管对方提供的资料，保守对方的各项秘密，并保护对方的知识产权。获取对方秘密的一方应当采取有效的保护方式防止秘密未经授权而被使用、传播或公开，仅可以将该秘密用于履行其在本合同项下的义务，且只能由相关的技术人员使用。</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乙方须以保密方式处理在编制本项目成果文件过程中自甲方、甲方工作人员或甲方关联机构获得的相关信息、资料、图纸、数据等，或由甲方在履行本合同过程中明确指明为秘密的任何信息，以及乙方因本项目工作所直接或间接取得、处理或接触的任何其他资料。未经甲方同意，不得向任何第三方透露任何有关本项目的内容，或公开任何项目中间成果或最终成果。即使向履行本合同有关的人员提供前述保密信息，也应限于履行合同的必需范围，且这些人员应接受至少与本条款同等严格的保密条款的约束。</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4.乙方实施项目的程序应符合国家安全、保密的有关规定和标准。</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bookmarkStart w:id="14" w:name="_Toc216520224"/>
      <w:r>
        <w:rPr>
          <w:rFonts w:hint="eastAsia" w:ascii="宋体" w:hAnsi="宋体" w:cs="宋体"/>
          <w:color w:val="000000" w:themeColor="text1"/>
          <w:sz w:val="24"/>
          <w14:textFill>
            <w14:solidFill>
              <w14:schemeClr w14:val="tx1"/>
            </w14:solidFill>
          </w14:textFill>
        </w:rPr>
        <w:t>5</w:t>
      </w:r>
      <w:bookmarkEnd w:id="14"/>
      <w:bookmarkStart w:id="15" w:name="_Toc216520226"/>
      <w:r>
        <w:rPr>
          <w:rFonts w:hint="eastAsia" w:ascii="宋体" w:hAnsi="宋体" w:cs="宋体"/>
          <w:color w:val="000000" w:themeColor="text1"/>
          <w:sz w:val="24"/>
          <w14:textFill>
            <w14:solidFill>
              <w14:schemeClr w14:val="tx1"/>
            </w14:solidFill>
          </w14:textFill>
        </w:rPr>
        <w:t>.上述保密义务不适用以下情况：</w:t>
      </w:r>
      <w:bookmarkEnd w:id="15"/>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（1）获取的信息已被合法公开；</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（2）获得信息拥有方书面许可并在该许可范围内披露；</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（3）国家法律、法规规定的情形。</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6.如乙方违反上述保密条款，甲方有权解除本合同，乙方应在合同解除通知发出之日起10日内向甲方支付本合同服务费总金额20%的违约金，如果违约金无法弥补甲方损失，甲方保留要求乙方赔偿全部损失的权利，包括但不限于前述责任所产生的诉讼费用、合理的律师费用、鉴定评估费用、调查费用、和解金额或生效法律文书中规定的赔偿金额。 </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7.无论本合同或本合同其他条款是否有效，本保密条款始终约束双方。国家秘密的保密期限由国家有关部门确定，工作秘密的保密期限由甲方确定。</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第九条  交付成果与验收要求</w:t>
      </w:r>
    </w:p>
    <w:p>
      <w:pPr>
        <w:pStyle w:val="7"/>
        <w:rPr>
          <w:rFonts w:ascii="宋体" w:hAnsi="宋体" w:cs="宋体"/>
          <w:color w:val="000000" w:themeColor="text1"/>
          <w:kern w:val="2"/>
          <w:sz w:val="24"/>
          <w:szCs w:val="24"/>
          <w14:textFill>
            <w14:solidFill>
              <w14:schemeClr w14:val="tx1"/>
            </w14:solidFill>
          </w14:textFill>
        </w:rPr>
      </w:pPr>
      <w:r>
        <w:rPr>
          <w:rFonts w:hint="eastAsia" w:ascii="宋体" w:hAnsi="宋体" w:cs="宋体"/>
          <w:color w:val="000000" w:themeColor="text1"/>
          <w:kern w:val="2"/>
          <w:sz w:val="24"/>
          <w:szCs w:val="24"/>
          <w14:textFill>
            <w14:solidFill>
              <w14:schemeClr w14:val="tx1"/>
            </w14:solidFill>
          </w14:textFill>
        </w:rPr>
        <w:t>1.交付成果</w:t>
      </w:r>
    </w:p>
    <w:p>
      <w:pPr>
        <w:pStyle w:val="7"/>
        <w:ind w:left="0" w:leftChars="0" w:firstLine="480" w:firstLineChars="200"/>
        <w:rPr>
          <w:rFonts w:ascii="宋体" w:hAnsi="宋体" w:cs="宋体"/>
          <w:color w:val="000000" w:themeColor="text1"/>
          <w:kern w:val="2"/>
          <w:sz w:val="24"/>
          <w:szCs w:val="24"/>
          <w14:textFill>
            <w14:solidFill>
              <w14:schemeClr w14:val="tx1"/>
            </w14:solidFill>
          </w14:textFill>
        </w:rPr>
      </w:pPr>
      <w:r>
        <w:rPr>
          <w:rFonts w:hint="eastAsia" w:ascii="宋体" w:hAnsi="宋体" w:cs="宋体"/>
          <w:color w:val="000000" w:themeColor="text1"/>
          <w:kern w:val="2"/>
          <w:sz w:val="24"/>
          <w:szCs w:val="24"/>
          <w14:textFill>
            <w14:solidFill>
              <w14:schemeClr w14:val="tx1"/>
            </w14:solidFill>
          </w14:textFill>
        </w:rPr>
        <w:t>乙方应按照甲方要求，移交</w:t>
      </w:r>
      <w:r>
        <w:rPr>
          <w:rFonts w:hint="eastAsia" w:ascii="宋体" w:hAnsi="宋体" w:cs="宋体"/>
          <w:color w:val="000000" w:themeColor="text1"/>
          <w:sz w:val="24"/>
          <w14:textFill>
            <w14:solidFill>
              <w14:schemeClr w14:val="tx1"/>
            </w14:solidFill>
          </w14:textFill>
        </w:rPr>
        <w:t>项目服务</w:t>
      </w:r>
      <w:r>
        <w:rPr>
          <w:rFonts w:hint="eastAsia" w:ascii="宋体" w:hAnsi="宋体" w:cs="宋体"/>
          <w:color w:val="000000" w:themeColor="text1"/>
          <w:kern w:val="2"/>
          <w:sz w:val="24"/>
          <w:szCs w:val="24"/>
          <w14:textFill>
            <w14:solidFill>
              <w14:schemeClr w14:val="tx1"/>
            </w14:solidFill>
          </w14:textFill>
        </w:rPr>
        <w:t>过程中的各类文档，并进行产出物的交付，至少包括项目过程文件、</w:t>
      </w:r>
      <w:r>
        <w:rPr>
          <w:rFonts w:hint="eastAsia" w:ascii="宋体" w:hAnsi="宋体" w:cs="宋体"/>
          <w:color w:val="000000" w:themeColor="text1"/>
          <w:kern w:val="2"/>
          <w:sz w:val="24"/>
          <w:szCs w:val="24"/>
          <w:lang w:val="en-US" w:eastAsia="zh-CN"/>
          <w14:textFill>
            <w14:solidFill>
              <w14:schemeClr w14:val="tx1"/>
            </w14:solidFill>
          </w14:textFill>
        </w:rPr>
        <w:t>最终成果文件</w:t>
      </w:r>
      <w:r>
        <w:rPr>
          <w:rFonts w:hint="eastAsia" w:ascii="宋体" w:hAnsi="宋体" w:cs="宋体"/>
          <w:color w:val="000000" w:themeColor="text1"/>
          <w:sz w:val="24"/>
          <w14:textFill>
            <w14:solidFill>
              <w14:schemeClr w14:val="tx1"/>
            </w14:solidFill>
          </w14:textFill>
        </w:rPr>
        <w:t>等</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最终成果</w:t>
      </w:r>
      <w:r>
        <w:rPr>
          <w:rFonts w:hint="eastAsia" w:ascii="宋体" w:hAnsi="宋体" w:cs="宋体"/>
          <w:color w:val="000000" w:themeColor="text1"/>
          <w:kern w:val="2"/>
          <w:sz w:val="24"/>
          <w:szCs w:val="24"/>
          <w:lang w:val="en-US" w:eastAsia="zh-CN"/>
          <w14:textFill>
            <w14:solidFill>
              <w14:schemeClr w14:val="tx1"/>
            </w14:solidFill>
          </w14:textFill>
        </w:rPr>
        <w:t>文件</w:t>
      </w:r>
      <w:r>
        <w:rPr>
          <w:rFonts w:hint="eastAsia" w:ascii="宋体" w:hAnsi="宋体" w:cs="宋体"/>
          <w:color w:val="000000" w:themeColor="text1"/>
          <w:sz w:val="24"/>
          <w:lang w:val="en-US" w:eastAsia="zh-CN"/>
          <w14:textFill>
            <w14:solidFill>
              <w14:schemeClr w14:val="tx1"/>
            </w14:solidFill>
          </w14:textFill>
        </w:rPr>
        <w:t>为形成</w:t>
      </w:r>
      <w:r>
        <w:rPr>
          <w:rFonts w:hint="eastAsia" w:ascii="宋体" w:hAnsi="宋体" w:cs="宋体"/>
          <w:bCs/>
          <w:color w:val="000000" w:themeColor="text1"/>
          <w:sz w:val="24"/>
          <w14:textFill>
            <w14:solidFill>
              <w14:schemeClr w14:val="tx1"/>
            </w14:solidFill>
          </w14:textFill>
        </w:rPr>
        <w:t>《前海“港税e”香港居民个人所得税优惠服务报告》</w:t>
      </w:r>
      <w:r>
        <w:rPr>
          <w:rFonts w:hint="eastAsia" w:ascii="宋体" w:hAnsi="宋体" w:cs="宋体"/>
          <w:color w:val="000000" w:themeColor="text1"/>
          <w:kern w:val="2"/>
          <w:sz w:val="24"/>
          <w:szCs w:val="24"/>
          <w14:textFill>
            <w14:solidFill>
              <w14:schemeClr w14:val="tx1"/>
            </w14:solidFill>
          </w14:textFill>
        </w:rPr>
        <w:t>。产出物应提供电子和纸质两种介质，内容应清晰完整，且和项目相符，并保持版本一致。</w:t>
      </w:r>
    </w:p>
    <w:p>
      <w:pPr>
        <w:pStyle w:val="7"/>
        <w:rPr>
          <w:rFonts w:ascii="宋体" w:hAnsi="宋体" w:cs="宋体"/>
          <w:color w:val="000000" w:themeColor="text1"/>
          <w:kern w:val="2"/>
          <w:sz w:val="24"/>
          <w:szCs w:val="24"/>
          <w14:textFill>
            <w14:solidFill>
              <w14:schemeClr w14:val="tx1"/>
            </w14:solidFill>
          </w14:textFill>
        </w:rPr>
      </w:pPr>
      <w:r>
        <w:rPr>
          <w:rFonts w:hint="eastAsia" w:ascii="宋体" w:hAnsi="宋体" w:cs="宋体"/>
          <w:color w:val="000000" w:themeColor="text1"/>
          <w:kern w:val="2"/>
          <w:sz w:val="24"/>
          <w:szCs w:val="24"/>
          <w14:textFill>
            <w14:solidFill>
              <w14:schemeClr w14:val="tx1"/>
            </w14:solidFill>
          </w14:textFill>
        </w:rPr>
        <w:t>2.验收要求</w:t>
      </w:r>
    </w:p>
    <w:p>
      <w:pPr>
        <w:pStyle w:val="7"/>
        <w:ind w:left="0" w:leftChars="0" w:firstLine="480" w:firstLineChars="200"/>
        <w:rPr>
          <w:bCs/>
          <w:color w:val="000000" w:themeColor="text1"/>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协助</w:t>
      </w:r>
      <w:r>
        <w:rPr>
          <w:rFonts w:hint="eastAsia" w:ascii="宋体" w:hAnsi="宋体" w:cs="宋体"/>
          <w:bCs/>
          <w:color w:val="000000" w:themeColor="text1"/>
          <w:sz w:val="24"/>
          <w:lang w:val="en-US" w:eastAsia="zh-CN"/>
          <w14:textFill>
            <w14:solidFill>
              <w14:schemeClr w14:val="tx1"/>
            </w14:solidFill>
          </w14:textFill>
        </w:rPr>
        <w:t>甲方</w:t>
      </w:r>
      <w:r>
        <w:rPr>
          <w:rFonts w:hint="eastAsia" w:ascii="宋体" w:hAnsi="宋体" w:cs="宋体"/>
          <w:bCs/>
          <w:color w:val="000000" w:themeColor="text1"/>
          <w:sz w:val="24"/>
          <w14:textFill>
            <w14:solidFill>
              <w14:schemeClr w14:val="tx1"/>
            </w14:solidFill>
          </w14:textFill>
        </w:rPr>
        <w:t>，在合同服务期内开展前海“港税e”香港居民个人所得税优惠服务，合同服务期满后形成《前海“港税e”香港居民个人所得税优惠服务报告》成果，且服务报告最终通过甲方验收。</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 xml:space="preserve">第十条  </w:t>
      </w:r>
      <w:r>
        <w:rPr>
          <w:rFonts w:hint="eastAsia" w:ascii="宋体" w:hAnsi="宋体" w:cs="宋体"/>
          <w:b/>
          <w:color w:val="000000" w:themeColor="text1"/>
          <w:sz w:val="24"/>
          <w14:textFill>
            <w14:solidFill>
              <w14:schemeClr w14:val="tx1"/>
            </w14:solidFill>
          </w14:textFill>
        </w:rPr>
        <w:t>培训要求</w:t>
      </w:r>
    </w:p>
    <w:p>
      <w:pPr>
        <w:spacing w:line="360" w:lineRule="auto"/>
        <w:ind w:firstLine="480" w:firstLineChars="200"/>
        <w:rPr>
          <w:rFonts w:ascii="宋体" w:hAnsi="宋体" w:cs="宋体"/>
          <w:b/>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乙方对所供软件的所有产品的基本使用方法对税务机关工作人员进行培训，在软件集成过程中出现的问题进行现场解答和技术指导。乙方需对税务机关工作人员进行操作培训，指导正确使用本系统，并对使用过程中出现的问题进行解答和技术指导。</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第十一条  项目服务费用及付款方式</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1.合同价款：合同总价为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 xml:space="preserve"> （含税）。包</w:t>
      </w:r>
      <w:r>
        <w:rPr>
          <w:rFonts w:hint="eastAsia" w:ascii="宋体" w:hAnsi="宋体" w:cs="宋体"/>
          <w:bCs/>
          <w:color w:val="000000" w:themeColor="text1"/>
          <w:sz w:val="24"/>
          <w14:textFill>
            <w14:solidFill>
              <w14:schemeClr w14:val="tx1"/>
            </w14:solidFill>
          </w14:textFill>
        </w:rPr>
        <w:t>括但不限于</w:t>
      </w:r>
      <w:r>
        <w:rPr>
          <w:rFonts w:hint="eastAsia" w:ascii="宋体" w:hAnsi="宋体" w:cs="宋体"/>
          <w:color w:val="000000" w:themeColor="text1"/>
          <w:kern w:val="0"/>
          <w:sz w:val="24"/>
          <w14:textFill>
            <w14:solidFill>
              <w14:schemeClr w14:val="tx1"/>
            </w14:solidFill>
          </w14:textFill>
        </w:rPr>
        <w:t>整体方案设计、个性化定制、数据服务、多语种对照特色服务、初始化服务、咨询支持、人员费用、税费等所有费用，并提供合同要求的成果文件，以及其他相关服务的全部费用</w:t>
      </w:r>
      <w:r>
        <w:rPr>
          <w:rFonts w:hint="eastAsia" w:ascii="宋体" w:hAnsi="宋体" w:cs="宋体"/>
          <w:color w:val="000000" w:themeColor="text1"/>
          <w:sz w:val="24"/>
          <w:lang w:val="zh-CN"/>
          <w14:textFill>
            <w14:solidFill>
              <w14:schemeClr w14:val="tx1"/>
            </w14:solidFill>
          </w14:textFill>
        </w:rPr>
        <w:t>。</w:t>
      </w:r>
    </w:p>
    <w:p>
      <w:pPr>
        <w:widowControl/>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2.合同价款由甲方分</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期支付至乙方指定银行账户：</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1.首期：合同签订生效后，根据</w:t>
      </w:r>
      <w:r>
        <w:rPr>
          <w:rFonts w:hint="eastAsia" w:ascii="宋体" w:hAnsi="宋体" w:cs="宋体"/>
          <w:color w:val="000000" w:themeColor="text1"/>
          <w:sz w:val="24"/>
          <w:lang w:val="en-US" w:eastAsia="zh-CN"/>
          <w14:textFill>
            <w14:solidFill>
              <w14:schemeClr w14:val="tx1"/>
            </w14:solidFill>
          </w14:textFill>
        </w:rPr>
        <w:t>乙方</w:t>
      </w:r>
      <w:r>
        <w:rPr>
          <w:rFonts w:hint="eastAsia" w:ascii="宋体" w:hAnsi="宋体" w:cs="宋体"/>
          <w:color w:val="000000" w:themeColor="text1"/>
          <w:sz w:val="24"/>
          <w14:textFill>
            <w14:solidFill>
              <w14:schemeClr w14:val="tx1"/>
            </w14:solidFill>
          </w14:textFill>
        </w:rPr>
        <w:t>的付款申请，向</w:t>
      </w:r>
      <w:r>
        <w:rPr>
          <w:rFonts w:hint="eastAsia" w:ascii="宋体" w:hAnsi="宋体" w:cs="宋体"/>
          <w:color w:val="000000" w:themeColor="text1"/>
          <w:sz w:val="24"/>
          <w:lang w:val="en-US" w:eastAsia="zh-CN"/>
          <w14:textFill>
            <w14:solidFill>
              <w14:schemeClr w14:val="tx1"/>
            </w14:solidFill>
          </w14:textFill>
        </w:rPr>
        <w:t>乙方</w:t>
      </w:r>
      <w:r>
        <w:rPr>
          <w:rFonts w:hint="eastAsia" w:ascii="宋体" w:hAnsi="宋体" w:cs="宋体"/>
          <w:color w:val="000000" w:themeColor="text1"/>
          <w:sz w:val="24"/>
          <w14:textFill>
            <w14:solidFill>
              <w14:schemeClr w14:val="tx1"/>
            </w14:solidFill>
          </w14:textFill>
        </w:rPr>
        <w:t>指定银行账户支付合同服务费总金额的50%；</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2.第2期：完成所有项目成果交付并经</w:t>
      </w:r>
      <w:r>
        <w:rPr>
          <w:rFonts w:hint="eastAsia" w:ascii="宋体" w:hAnsi="宋体" w:cs="宋体"/>
          <w:color w:val="000000" w:themeColor="text1"/>
          <w:sz w:val="24"/>
          <w:lang w:val="en-US" w:eastAsia="zh-CN"/>
          <w14:textFill>
            <w14:solidFill>
              <w14:schemeClr w14:val="tx1"/>
            </w14:solidFill>
          </w14:textFill>
        </w:rPr>
        <w:t>甲方</w:t>
      </w:r>
      <w:r>
        <w:rPr>
          <w:rFonts w:hint="eastAsia" w:ascii="宋体" w:hAnsi="宋体" w:cs="宋体"/>
          <w:color w:val="000000" w:themeColor="text1"/>
          <w:sz w:val="24"/>
          <w14:textFill>
            <w14:solidFill>
              <w14:schemeClr w14:val="tx1"/>
            </w14:solidFill>
          </w14:textFill>
        </w:rPr>
        <w:t>验收通过后，根据</w:t>
      </w:r>
      <w:r>
        <w:rPr>
          <w:rFonts w:hint="eastAsia" w:ascii="宋体" w:hAnsi="宋体" w:cs="宋体"/>
          <w:color w:val="000000" w:themeColor="text1"/>
          <w:sz w:val="24"/>
          <w:lang w:val="en-US" w:eastAsia="zh-CN"/>
          <w14:textFill>
            <w14:solidFill>
              <w14:schemeClr w14:val="tx1"/>
            </w14:solidFill>
          </w14:textFill>
        </w:rPr>
        <w:t>乙方</w:t>
      </w:r>
      <w:r>
        <w:rPr>
          <w:rFonts w:hint="eastAsia" w:ascii="宋体" w:hAnsi="宋体" w:cs="宋体"/>
          <w:color w:val="000000" w:themeColor="text1"/>
          <w:sz w:val="24"/>
          <w14:textFill>
            <w14:solidFill>
              <w14:schemeClr w14:val="tx1"/>
            </w14:solidFill>
          </w14:textFill>
        </w:rPr>
        <w:t>的付款申请，向</w:t>
      </w:r>
      <w:r>
        <w:rPr>
          <w:rFonts w:hint="eastAsia" w:ascii="宋体" w:hAnsi="宋体" w:cs="宋体"/>
          <w:color w:val="000000" w:themeColor="text1"/>
          <w:sz w:val="24"/>
          <w:lang w:val="en-US" w:eastAsia="zh-CN"/>
          <w14:textFill>
            <w14:solidFill>
              <w14:schemeClr w14:val="tx1"/>
            </w14:solidFill>
          </w14:textFill>
        </w:rPr>
        <w:t>乙方</w:t>
      </w:r>
      <w:r>
        <w:rPr>
          <w:rFonts w:hint="eastAsia" w:ascii="宋体" w:hAnsi="宋体" w:cs="宋体"/>
          <w:color w:val="000000" w:themeColor="text1"/>
          <w:sz w:val="24"/>
          <w14:textFill>
            <w14:solidFill>
              <w14:schemeClr w14:val="tx1"/>
            </w14:solidFill>
          </w14:textFill>
        </w:rPr>
        <w:t>指定银行账户支付本合同服务费总金额的50%；</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3.上述每期款项均在满足付款条件，且</w:t>
      </w:r>
      <w:r>
        <w:rPr>
          <w:rFonts w:hint="eastAsia" w:ascii="宋体" w:hAnsi="宋体" w:cs="宋体"/>
          <w:color w:val="000000" w:themeColor="text1"/>
          <w:sz w:val="24"/>
          <w:lang w:val="en-US" w:eastAsia="zh-CN"/>
          <w14:textFill>
            <w14:solidFill>
              <w14:schemeClr w14:val="tx1"/>
            </w14:solidFill>
          </w14:textFill>
        </w:rPr>
        <w:t>甲方</w:t>
      </w:r>
      <w:r>
        <w:rPr>
          <w:rFonts w:hint="eastAsia" w:ascii="宋体" w:hAnsi="宋体" w:cs="宋体"/>
          <w:color w:val="000000" w:themeColor="text1"/>
          <w:sz w:val="24"/>
          <w14:textFill>
            <w14:solidFill>
              <w14:schemeClr w14:val="tx1"/>
            </w14:solidFill>
          </w14:textFill>
        </w:rPr>
        <w:t>收到</w:t>
      </w:r>
      <w:r>
        <w:rPr>
          <w:rFonts w:hint="eastAsia" w:ascii="宋体" w:hAnsi="宋体" w:cs="宋体"/>
          <w:color w:val="000000" w:themeColor="text1"/>
          <w:sz w:val="24"/>
          <w:lang w:val="en-US" w:eastAsia="zh-CN"/>
          <w14:textFill>
            <w14:solidFill>
              <w14:schemeClr w14:val="tx1"/>
            </w14:solidFill>
          </w14:textFill>
        </w:rPr>
        <w:t>乙方</w:t>
      </w:r>
      <w:r>
        <w:rPr>
          <w:rFonts w:hint="eastAsia" w:ascii="宋体" w:hAnsi="宋体" w:cs="宋体"/>
          <w:color w:val="000000" w:themeColor="text1"/>
          <w:sz w:val="24"/>
          <w14:textFill>
            <w14:solidFill>
              <w14:schemeClr w14:val="tx1"/>
            </w14:solidFill>
          </w14:textFill>
        </w:rPr>
        <w:t>开具的载明相应金额的合格发票后15个工作日内付至</w:t>
      </w:r>
      <w:r>
        <w:rPr>
          <w:rFonts w:hint="eastAsia" w:ascii="宋体" w:hAnsi="宋体" w:cs="宋体"/>
          <w:color w:val="000000" w:themeColor="text1"/>
          <w:sz w:val="24"/>
          <w:lang w:val="en-US" w:eastAsia="zh-CN"/>
          <w14:textFill>
            <w14:solidFill>
              <w14:schemeClr w14:val="tx1"/>
            </w14:solidFill>
          </w14:textFill>
        </w:rPr>
        <w:t>乙方</w:t>
      </w:r>
      <w:r>
        <w:rPr>
          <w:rFonts w:hint="eastAsia" w:ascii="宋体" w:hAnsi="宋体" w:cs="宋体"/>
          <w:color w:val="000000" w:themeColor="text1"/>
          <w:sz w:val="24"/>
          <w14:textFill>
            <w14:solidFill>
              <w14:schemeClr w14:val="tx1"/>
            </w14:solidFill>
          </w14:textFill>
        </w:rPr>
        <w:t>指定银行账户。如未及时收到发票，则</w:t>
      </w:r>
      <w:r>
        <w:rPr>
          <w:rFonts w:hint="eastAsia" w:ascii="宋体" w:hAnsi="宋体" w:cs="宋体"/>
          <w:color w:val="000000" w:themeColor="text1"/>
          <w:sz w:val="24"/>
          <w:lang w:val="en-US" w:eastAsia="zh-CN"/>
          <w14:textFill>
            <w14:solidFill>
              <w14:schemeClr w14:val="tx1"/>
            </w14:solidFill>
          </w14:textFill>
        </w:rPr>
        <w:t>甲方</w:t>
      </w:r>
      <w:r>
        <w:rPr>
          <w:rFonts w:hint="eastAsia" w:ascii="宋体" w:hAnsi="宋体" w:cs="宋体"/>
          <w:color w:val="000000" w:themeColor="text1"/>
          <w:sz w:val="24"/>
          <w14:textFill>
            <w14:solidFill>
              <w14:schemeClr w14:val="tx1"/>
            </w14:solidFill>
          </w14:textFill>
        </w:rPr>
        <w:t>相应付款时间顺延。若因</w:t>
      </w:r>
      <w:r>
        <w:rPr>
          <w:rFonts w:hint="eastAsia" w:ascii="宋体" w:hAnsi="宋体" w:cs="宋体"/>
          <w:color w:val="000000" w:themeColor="text1"/>
          <w:sz w:val="24"/>
          <w:lang w:val="en-US" w:eastAsia="zh-CN"/>
          <w14:textFill>
            <w14:solidFill>
              <w14:schemeClr w14:val="tx1"/>
            </w14:solidFill>
          </w14:textFill>
        </w:rPr>
        <w:t>甲方</w:t>
      </w:r>
      <w:r>
        <w:rPr>
          <w:rFonts w:hint="eastAsia" w:ascii="宋体" w:hAnsi="宋体" w:cs="宋体"/>
          <w:color w:val="000000" w:themeColor="text1"/>
          <w:sz w:val="24"/>
          <w14:textFill>
            <w14:solidFill>
              <w14:schemeClr w14:val="tx1"/>
            </w14:solidFill>
          </w14:textFill>
        </w:rPr>
        <w:t>付款审批影响支付进度，请</w:t>
      </w:r>
      <w:r>
        <w:rPr>
          <w:rFonts w:hint="eastAsia" w:ascii="宋体" w:hAnsi="宋体" w:cs="宋体"/>
          <w:color w:val="000000" w:themeColor="text1"/>
          <w:sz w:val="24"/>
          <w:lang w:val="en-US" w:eastAsia="zh-CN"/>
          <w14:textFill>
            <w14:solidFill>
              <w14:schemeClr w14:val="tx1"/>
            </w14:solidFill>
          </w14:textFill>
        </w:rPr>
        <w:t>乙方</w:t>
      </w:r>
      <w:r>
        <w:rPr>
          <w:rFonts w:hint="eastAsia" w:ascii="宋体" w:hAnsi="宋体" w:cs="宋体"/>
          <w:color w:val="000000" w:themeColor="text1"/>
          <w:sz w:val="24"/>
          <w14:textFill>
            <w14:solidFill>
              <w14:schemeClr w14:val="tx1"/>
            </w14:solidFill>
          </w14:textFill>
        </w:rPr>
        <w:t>予以谅解，并不得就此向</w:t>
      </w:r>
      <w:r>
        <w:rPr>
          <w:rFonts w:hint="eastAsia" w:ascii="宋体" w:hAnsi="宋体" w:cs="宋体"/>
          <w:color w:val="000000" w:themeColor="text1"/>
          <w:sz w:val="24"/>
          <w:lang w:val="en-US" w:eastAsia="zh-CN"/>
          <w14:textFill>
            <w14:solidFill>
              <w14:schemeClr w14:val="tx1"/>
            </w14:solidFill>
          </w14:textFill>
        </w:rPr>
        <w:t>甲方</w:t>
      </w:r>
      <w:r>
        <w:rPr>
          <w:rFonts w:hint="eastAsia" w:ascii="宋体" w:hAnsi="宋体" w:cs="宋体"/>
          <w:color w:val="000000" w:themeColor="text1"/>
          <w:sz w:val="24"/>
          <w14:textFill>
            <w14:solidFill>
              <w14:schemeClr w14:val="tx1"/>
            </w14:solidFill>
          </w14:textFill>
        </w:rPr>
        <w:t>索赔。</w:t>
      </w:r>
    </w:p>
    <w:p>
      <w:pPr>
        <w:pStyle w:val="5"/>
        <w:spacing w:after="0"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3.乙方银行账户信息：</w:t>
      </w:r>
    </w:p>
    <w:p>
      <w:pPr>
        <w:pStyle w:val="5"/>
        <w:spacing w:after="0"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开户银行： </w:t>
      </w:r>
    </w:p>
    <w:p>
      <w:pPr>
        <w:pStyle w:val="5"/>
        <w:spacing w:after="0"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户名：</w:t>
      </w:r>
    </w:p>
    <w:p>
      <w:pPr>
        <w:pStyle w:val="5"/>
        <w:spacing w:after="0"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账号：</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第十二条 合同提前终止</w:t>
      </w:r>
    </w:p>
    <w:p>
      <w:pPr>
        <w:pStyle w:val="22"/>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1.双方协商同意提前终止本合同的，按双方协商约定的方式进行清算执行。</w:t>
      </w:r>
    </w:p>
    <w:p>
      <w:pPr>
        <w:pStyle w:val="22"/>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如果一方发生破产、解散、被依法关闭、撤销或已进入清算阶段等情形，发生上述情形的一方有义务在事由发生后15个工作日内以书面方式通知对方，对方有权解除合同。在该等情形下，甲方已向乙方支付的款项不退还，尚未支付的款项不再支付，同时乙方应向甲方提交在合同终止日前完成的所有项目文件和相关资料。</w:t>
      </w:r>
    </w:p>
    <w:p>
      <w:pPr>
        <w:pStyle w:val="22"/>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3.有下列情形之一的，本合同自甲方向乙方发出书面通知之日起终止：</w:t>
      </w:r>
    </w:p>
    <w:p>
      <w:pPr>
        <w:pStyle w:val="22"/>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（1）甲方的职能发生转变，不再具有委托职能。</w:t>
      </w:r>
    </w:p>
    <w:p>
      <w:pPr>
        <w:pStyle w:val="22"/>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（2）本合同签订时适用的法律法规或政策发生变化，且对本合同的继续履行造成重大影响。</w:t>
      </w:r>
    </w:p>
    <w:p>
      <w:pPr>
        <w:pStyle w:val="22"/>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发生以上情形，甲方已向乙方支付的款项不退还，尚未支付的款项不再支付，但乙方确因履行合同过程中产生的款项除外。同时乙方应向甲方提交在合同终止日前完成的所有项目文件和相关资料。</w:t>
      </w:r>
    </w:p>
    <w:p>
      <w:pPr>
        <w:pStyle w:val="22"/>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4.如发生不可抗力或其他超出合同双方控制的事件，致使一方无法履行合同，本合同解除。</w:t>
      </w:r>
    </w:p>
    <w:p>
      <w:pPr>
        <w:pStyle w:val="22"/>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本合同所称不可抗力是指自然灾害、战争、地震等不可预见、不可避免、不可克服的情况。不可抗力事件发生后，受影响一方应立即通知对方，并在力所能及的条件下迅速采取措施，尽力减少损失。不可抗力事件结束后48小时内受影响方应向对方通报受影响情况。如不可抗力事件持续发生，受影响方应每隔7天向对方书面报告一次受影响情况。不可抗力事件结束后14天内，受影响方应向对方提交正式报告及有关部门开具的证明材料。</w:t>
      </w:r>
    </w:p>
    <w:p>
      <w:pPr>
        <w:pStyle w:val="22"/>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（2）发生不可抗力，甲乙双方承担各自的损失。由于其中一方迟延履行合同义务后发生不可抗力的，其违约责任不能免除。</w:t>
      </w:r>
    </w:p>
    <w:p>
      <w:pPr>
        <w:pStyle w:val="22"/>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不可抗力事件导致一方无法履行合同义务或继续履行已无意义，由双方协商终止本合同并进行清算，甲方应按照乙方已完成的工作量支付款项，同时乙方应向甲方提交在合同终止日前完成的所有项目文件和相关资料。</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第十三条  争议解决办法</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因本合同的履行发生的或与本合同有关的争议或纠纷，由甲乙双方协商解决。协商不成的，任意一方有权向深圳前海合作区人民法院提起诉讼。</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第十四条 项目变更</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1.本合同履行过程中的需求变更和进度调整，以甲乙双方达成一致的书面文件为准。</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2.乙方遇到不能按期完成工作的情况，应及时以书面形式将不能按期完成工作的理由、延误时间通知甲方。甲方在收到乙方通知后，根据情况决定是否延长完成时间。如同意延长，则乙方责任期也相应延长。</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3.因非乙方责任造成项目进度推迟或延误，无法按照本合同约定的日期完成相应工作，双方经过协商可以进一步约定完成的日期，双方的权利和义务也随之顺延。</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4.在本项目进展过程中，经双方同意的工作内容等方面的增减，如所涉增加费用的金额不超过本合同项下服务费总金额的10%，由双方商定变更内容及具体价格后签订书面补充协议予以确认。</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第十五条 风险责任</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乙方应完全地按照【</w:t>
      </w:r>
      <w:r>
        <w:rPr>
          <w:rFonts w:hint="eastAsia" w:ascii="宋体" w:hAnsi="宋体" w:cs="宋体"/>
          <w:color w:val="000000" w:themeColor="text1"/>
          <w:sz w:val="24"/>
          <w:lang w:eastAsia="zh-CN"/>
          <w14:textFill>
            <w14:solidFill>
              <w14:schemeClr w14:val="tx1"/>
            </w14:solidFill>
          </w14:textFill>
        </w:rPr>
        <w:t>QH2024006</w:t>
      </w:r>
      <w:r>
        <w:rPr>
          <w:rFonts w:hint="eastAsia" w:ascii="宋体" w:hAnsi="宋体" w:cs="宋体"/>
          <w:color w:val="000000" w:themeColor="text1"/>
          <w:sz w:val="24"/>
          <w14:textFill>
            <w14:solidFill>
              <w14:schemeClr w14:val="tx1"/>
            </w14:solidFill>
          </w14:textFill>
        </w:rPr>
        <w:t>】号招标文件的要求和乙方投标文件的承诺完成本项目，出于自身财务、技术、人力等原因导致项目失败的，应承担全部责任。</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第十六条  违约责任</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1.乙方未按照本合同约定的时间完成本项目各阶段工作，每延迟一日，甲方有权自尚未支付的合同款项中扣除本合同服务费总金额的1‰的逾期违约金。</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2.本项目项下的工作内容不可分割，任一文件的迟延交付均视为整个项目的迟延交付。</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3.本合同履行期间，发生下述情形时，甲方有权解除本合同，乙方除应退还甲方已支付的全部款项外， 还应在合同解除通知发出之日起30日内向甲方支付合同总价款20%的违约金。乙方应同时将已完成的项目成果移交给甲方，并将全部有关资料退还甲方：</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（1）乙方未能按合同约定的日期（含协商延缓的日期）提交各阶段成果或最终成果，延误时间超过15个工作日；</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（2）因乙方工作的错误或遗漏造成成果质量损失，</w:t>
      </w:r>
      <w:r>
        <w:rPr>
          <w:rFonts w:hint="eastAsia" w:ascii="宋体" w:hAnsi="宋体" w:cs="宋体"/>
          <w:color w:val="000000" w:themeColor="text1"/>
          <w:sz w:val="24"/>
          <w:lang w:val="zh-CN"/>
          <w14:textFill>
            <w14:solidFill>
              <w14:schemeClr w14:val="tx1"/>
            </w14:solidFill>
          </w14:textFill>
        </w:rPr>
        <w:t>工作成果质量低劣，不能满足甲方工作需要和要求</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（3）乙方虽如期提交最终成果，但连续二次未能通过甲方验收的；</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）项目负责人未承担本合同项目实质性工作，或未经甲方书面在先同意，乙方擅自更换项目负责人的；</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）发现乙方或乙方工作人员出现全部或部分丧失履行委托服务能力的情况，甲方有权通知乙方限期整改或更换工作人员，期限届满乙方并未进行改善的；</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）乙方明确表示或者以自己的行为表明不履行本合同的。</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除因甲方付款审批影响支付进度的情况外，如甲方未按照本合同约定的时间支付服务费，乙方书面催告甲方并给予不少于30个工作日的履行期限后甲方仍未支付的，乙方有权自该期限届满之日起要求甲方支付该阶段应付而未付合同价款每日1‰的逾期违约金。甲方无正当理由拒绝接受服务，到期明确表示拒付服务款项的，甲方向乙方偿付本合同总价</w:t>
      </w: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%的违约金。</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上述违约责任各自独立且可累加。本合同所约定的违约金如低于因违约行为所造成的损失，违约方应补偿上述不足部分的损失，包括但不限于前述责任所产生的诉讼费用、合理的律师费用、鉴定评估费用、调查费用、和解金额或生效法律文书中规定的赔偿金额。</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第十七条  其他</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有关本项目的中标文件、招标文件、投标书等共同构成本合同的组成部分，上述文件可相互说明。如果上述文件发生矛盾或产生不一致时，按以下顺序进行解释，同一顺序的文件发生矛盾或存在不一致时，应以签订日期在后的为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（1）合同书及补充协议；</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（2）中标通知书；</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（3）招标文件（编号：</w:t>
      </w:r>
      <w:r>
        <w:rPr>
          <w:rFonts w:hint="eastAsia" w:ascii="宋体" w:hAnsi="宋体" w:cs="宋体"/>
          <w:color w:val="000000" w:themeColor="text1"/>
          <w:sz w:val="24"/>
          <w:lang w:eastAsia="zh-CN"/>
          <w14:textFill>
            <w14:solidFill>
              <w14:schemeClr w14:val="tx1"/>
            </w14:solidFill>
          </w14:textFill>
        </w:rPr>
        <w:t>QH2024006</w:t>
      </w:r>
      <w:r>
        <w:rPr>
          <w:rFonts w:hint="eastAsia" w:ascii="宋体" w:hAnsi="宋体" w:cs="宋体"/>
          <w:color w:val="000000" w:themeColor="text1"/>
          <w:sz w:val="24"/>
          <w14:textFill>
            <w14:solidFill>
              <w14:schemeClr w14:val="tx1"/>
            </w14:solidFill>
          </w14:textFill>
        </w:rPr>
        <w:t>）及其澄清、补正公告；</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（4）投标书。</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2.本合同附件（如有）为合同不可分割的组成部分，与本合同一并加盖骑缝章后具有同等法律效力。若附件与合同正文有任何冲突，以合同正文为准。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3.本合同各条标题仅为提示之用，应以条文内容确定各方的权利义务。</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4.本合同未尽事宜，由双方协商签订补充协议进行约定。补充协议应以书面形式作成，经双方盖章后与本合同具有同等法律效力。</w:t>
      </w:r>
    </w:p>
    <w:p>
      <w:pPr>
        <w:pStyle w:val="22"/>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5.本合同约定的权利和义务不因合同双方发生收购、兼并、重组、分立而发生变化。如果发生上述情形，则本合同约定的权利和义务随之转移至收购、兼并、重组或分立后成立的单位。</w:t>
      </w:r>
    </w:p>
    <w:p>
      <w:pPr>
        <w:pStyle w:val="22"/>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6.本合同在国家法律、法规和规章规定的范围内执行。当国家法律、法规和规章发生变化导致本合同有关条款与之抵触时，双方协商变更或废止该条款，在此情况下，双方互不承担责任。</w:t>
      </w:r>
    </w:p>
    <w:p>
      <w:pPr>
        <w:pStyle w:val="22"/>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7.如果本合同的任何条款在任何时候变成不合法、无效或不可强制执行而不从根本上影响本合同的效力时，本合同的其他条款不受影响。</w:t>
      </w:r>
    </w:p>
    <w:p>
      <w:pPr>
        <w:pStyle w:val="22"/>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未得到对方的书面许可，一方均不得以广告或在公共场合使用或模仿对方的商业名称、商标、图案、服务标志、符号、代码、型号或缩写，任何一方均不得声称对对方的商业名称、商标、图案、服务标志、符号、代码、型号或缩写拥有所有权。</w:t>
      </w:r>
    </w:p>
    <w:p>
      <w:pPr>
        <w:pStyle w:val="22"/>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9.任何一方未经另一方同意不得向任何第三方透露本合同的签订及其内容。甲方向其关联公司透露前述内容的，不受此限。</w:t>
      </w:r>
    </w:p>
    <w:p>
      <w:pPr>
        <w:pStyle w:val="22"/>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甲乙双方因履行本合同或与本合同有关的一切通知都必须按照本合同中的地址，以书面形式或双方确认的传真或类似的通讯方式进行。采用信函形式的应使用挂号信或者具有良好信誉的特快专递送达。如使用传真，自收到传真系统提示发送成功报告时即视为已经送达对方；如使用挂号信件或特快专递，通知日期即为邮件寄出日期并以邮戳为准，自通知日起【三】日后即视为已经送达对方。</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11.本合同自双方盖章之日起生效，有效期至本合同全部权利义务履行完毕之日止。</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12.本合同一式六份，甲、乙方各执三份，均具有同等法律效力。</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（以下无正文，为签章栏）</w:t>
      </w:r>
    </w:p>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br w:type="page"/>
      </w:r>
      <w:r>
        <w:rPr>
          <w:rFonts w:hint="eastAsia" w:ascii="宋体" w:hAnsi="宋体" w:cs="宋体"/>
          <w:color w:val="000000" w:themeColor="text1"/>
          <w:sz w:val="24"/>
          <w14:textFill>
            <w14:solidFill>
              <w14:schemeClr w14:val="tx1"/>
            </w14:solidFill>
          </w14:textFill>
        </w:rPr>
        <w:t>（本页为签章页）</w:t>
      </w:r>
    </w:p>
    <w:p>
      <w:pPr>
        <w:adjustRightInd w:val="0"/>
        <w:snapToGrid w:val="0"/>
        <w:spacing w:line="360" w:lineRule="auto"/>
        <w:rPr>
          <w:rFonts w:ascii="宋体" w:hAnsi="宋体" w:cs="宋体"/>
          <w:color w:val="000000" w:themeColor="text1"/>
          <w:sz w:val="24"/>
          <w14:textFill>
            <w14:solidFill>
              <w14:schemeClr w14:val="tx1"/>
            </w14:solidFill>
          </w14:textFill>
        </w:rPr>
      </w:pPr>
    </w:p>
    <w:p>
      <w:pPr>
        <w:adjustRightInd w:val="0"/>
        <w:snapToGrid w:val="0"/>
        <w:spacing w:line="360" w:lineRule="auto"/>
        <w:rPr>
          <w:rFonts w:ascii="宋体" w:hAnsi="宋体" w:cs="宋体"/>
          <w:color w:val="000000" w:themeColor="text1"/>
          <w:sz w:val="24"/>
          <w14:textFill>
            <w14:solidFill>
              <w14:schemeClr w14:val="tx1"/>
            </w14:solidFill>
          </w14:textFill>
        </w:rPr>
      </w:pPr>
    </w:p>
    <w:p>
      <w:pPr>
        <w:adjustRightInd w:val="0"/>
        <w:snapToGrid w:val="0"/>
        <w:spacing w:line="360" w:lineRule="auto"/>
        <w:rPr>
          <w:rFonts w:ascii="宋体" w:hAnsi="宋体" w:cs="宋体"/>
          <w:color w:val="000000" w:themeColor="text1"/>
          <w:sz w:val="24"/>
          <w14:textFill>
            <w14:solidFill>
              <w14:schemeClr w14:val="tx1"/>
            </w14:solidFill>
          </w14:textFill>
        </w:rPr>
      </w:pPr>
    </w:p>
    <w:p>
      <w:pPr>
        <w:adjustRightInd w:val="0"/>
        <w:snapToGrid w:val="0"/>
        <w:spacing w:line="360" w:lineRule="auto"/>
        <w:ind w:firstLine="200"/>
        <w:rPr>
          <w:rFonts w:ascii="宋体" w:hAnsi="宋体" w:cs="宋体"/>
          <w:color w:val="000000" w:themeColor="text1"/>
          <w:sz w:val="24"/>
          <w14:textFill>
            <w14:solidFill>
              <w14:schemeClr w14:val="tx1"/>
            </w14:solidFill>
          </w14:textFill>
        </w:rPr>
      </w:pPr>
    </w:p>
    <w:p>
      <w:pPr>
        <w:adjustRightInd w:val="0"/>
        <w:snapToGrid w:val="0"/>
        <w:spacing w:line="360" w:lineRule="auto"/>
        <w:ind w:left="8312" w:hanging="8312" w:hangingChars="345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甲方名称：                                 乙方名称：</w:t>
      </w:r>
    </w:p>
    <w:p>
      <w:pPr>
        <w:adjustRightInd w:val="0"/>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深圳市前海深港现代服务业合作区管理局</w:t>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 xml:space="preserve">     </w:t>
      </w:r>
    </w:p>
    <w:p>
      <w:pPr>
        <w:adjustRightInd w:val="0"/>
        <w:snapToGrid w:val="0"/>
        <w:spacing w:line="360" w:lineRule="auto"/>
        <w:ind w:firstLine="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（盖章）</w:t>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 xml:space="preserve">           （盖章）</w:t>
      </w:r>
    </w:p>
    <w:p>
      <w:pPr>
        <w:adjustRightInd w:val="0"/>
        <w:snapToGrid w:val="0"/>
        <w:spacing w:line="360" w:lineRule="auto"/>
        <w:ind w:firstLine="200"/>
        <w:rPr>
          <w:rFonts w:ascii="宋体" w:hAnsi="宋体" w:cs="宋体"/>
          <w:color w:val="000000" w:themeColor="text1"/>
          <w:sz w:val="24"/>
          <w14:textFill>
            <w14:solidFill>
              <w14:schemeClr w14:val="tx1"/>
            </w14:solidFill>
          </w14:textFill>
        </w:rPr>
      </w:pPr>
    </w:p>
    <w:p>
      <w:pPr>
        <w:widowControl/>
        <w:adjustRightInd w:val="0"/>
        <w:snapToGrid w:val="0"/>
        <w:spacing w:line="360" w:lineRule="auto"/>
        <w:ind w:firstLine="200"/>
        <w:jc w:val="left"/>
        <w:rPr>
          <w:rFonts w:ascii="宋体" w:hAnsi="宋体" w:cs="宋体"/>
          <w:color w:val="000000" w:themeColor="text1"/>
          <w:sz w:val="24"/>
          <w14:textFill>
            <w14:solidFill>
              <w14:schemeClr w14:val="tx1"/>
            </w14:solidFill>
          </w14:textFill>
        </w:rPr>
      </w:pPr>
    </w:p>
    <w:p>
      <w:pPr>
        <w:adjustRightInd w:val="0"/>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日期：                                       日期：</w:t>
      </w:r>
    </w:p>
    <w:p>
      <w:pPr>
        <w:adjustRightInd w:val="0"/>
        <w:snapToGrid w:val="0"/>
        <w:spacing w:line="360" w:lineRule="auto"/>
        <w:ind w:firstLine="720" w:firstLineChars="300"/>
        <w:rPr>
          <w:rFonts w:ascii="宋体" w:hAnsi="宋体" w:cs="宋体"/>
          <w:color w:val="000000" w:themeColor="text1"/>
          <w:sz w:val="24"/>
          <w14:textFill>
            <w14:solidFill>
              <w14:schemeClr w14:val="tx1"/>
            </w14:solidFill>
          </w14:textFill>
        </w:rPr>
      </w:pPr>
    </w:p>
    <w:p>
      <w:pPr>
        <w:adjustRightInd w:val="0"/>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注：本合同样本仅供参考，非实质性条款内容可由采购人和中标人协商确定。</w:t>
      </w:r>
    </w:p>
    <w:p>
      <w:pPr>
        <w:snapToGrid w:val="0"/>
        <w:spacing w:line="360" w:lineRule="auto"/>
        <w:rPr>
          <w:rFonts w:ascii="宋体" w:hAnsi="宋体" w:cs="宋体"/>
          <w:color w:val="000000" w:themeColor="text1"/>
          <w:sz w:val="24"/>
          <w14:textFill>
            <w14:solidFill>
              <w14:schemeClr w14:val="tx1"/>
            </w14:solidFill>
          </w14:textFill>
        </w:rPr>
      </w:pPr>
    </w:p>
    <w:p>
      <w:pPr>
        <w:numPr>
          <w:ilvl w:val="0"/>
          <w:numId w:val="2"/>
        </w:numPr>
        <w:spacing w:line="360" w:lineRule="auto"/>
        <w:jc w:val="center"/>
        <w:outlineLvl w:val="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br w:type="page"/>
      </w:r>
      <w:r>
        <w:rPr>
          <w:rFonts w:hint="eastAsia" w:ascii="宋体" w:hAnsi="宋体" w:cs="宋体"/>
          <w:b/>
          <w:bCs/>
          <w:color w:val="000000" w:themeColor="text1"/>
          <w:sz w:val="24"/>
          <w14:textFill>
            <w14:solidFill>
              <w14:schemeClr w14:val="tx1"/>
            </w14:solidFill>
          </w14:textFill>
        </w:rPr>
        <w:t xml:space="preserve"> </w:t>
      </w:r>
      <w:bookmarkStart w:id="16" w:name="_Toc25518"/>
      <w:r>
        <w:rPr>
          <w:rFonts w:hint="eastAsia" w:ascii="宋体" w:hAnsi="宋体" w:cs="宋体"/>
          <w:b/>
          <w:bCs/>
          <w:color w:val="000000" w:themeColor="text1"/>
          <w:sz w:val="24"/>
          <w14:textFill>
            <w14:solidFill>
              <w14:schemeClr w14:val="tx1"/>
            </w14:solidFill>
          </w14:textFill>
        </w:rPr>
        <w:t>用户需求书</w:t>
      </w:r>
      <w:bookmarkEnd w:id="16"/>
    </w:p>
    <w:p>
      <w:pPr>
        <w:pStyle w:val="23"/>
        <w:rPr>
          <w:b/>
          <w:bCs/>
          <w:color w:val="000000" w:themeColor="text1"/>
          <w14:textFill>
            <w14:solidFill>
              <w14:schemeClr w14:val="tx1"/>
            </w14:solidFill>
          </w14:textFill>
        </w:rPr>
      </w:pPr>
      <w:bookmarkStart w:id="17" w:name="_Toc51746099"/>
      <w:r>
        <w:rPr>
          <w:rFonts w:hint="eastAsia"/>
          <w:b/>
          <w:bCs/>
          <w:color w:val="000000" w:themeColor="text1"/>
          <w14:textFill>
            <w14:solidFill>
              <w14:schemeClr w14:val="tx1"/>
            </w14:solidFill>
          </w14:textFill>
        </w:rPr>
        <w:t>项目概况</w:t>
      </w:r>
    </w:p>
    <w:bookmarkEnd w:id="17"/>
    <w:p>
      <w:pPr>
        <w:pStyle w:val="5"/>
        <w:spacing w:after="0" w:line="360" w:lineRule="auto"/>
        <w:ind w:firstLine="480" w:firstLineChars="200"/>
        <w:rPr>
          <w:rFonts w:ascii="宋体" w:hAnsi="宋体" w:cs="宋体"/>
          <w:color w:val="000000" w:themeColor="text1"/>
          <w:szCs w:val="32"/>
          <w14:textFill>
            <w14:solidFill>
              <w14:schemeClr w14:val="tx1"/>
            </w14:solidFill>
          </w14:textFill>
        </w:rPr>
      </w:pPr>
      <w:r>
        <w:rPr>
          <w:rFonts w:hint="eastAsia" w:ascii="宋体" w:hAnsi="宋体" w:cs="宋体"/>
          <w:color w:val="000000" w:themeColor="text1"/>
          <w:szCs w:val="32"/>
          <w14:textFill>
            <w14:solidFill>
              <w14:schemeClr w14:val="tx1"/>
            </w14:solidFill>
          </w14:textFill>
        </w:rPr>
        <w:t>2023年12月21日，国家发改委正式对外发布《前海深港现代服务业合作区总体发展规划》（以下简称《前海规划》），提出加强财税政策支持，对在前海工作的香港居民，其个人所得税税负超过香港税负的部分予以免征。目前，前海区域香港居民人数体量较大，为最大程度地便利香港居民申请办理优惠，促进《前海规划》重要税收优惠政策高质量落地，迫切需要依托计算机工具和智慧化手段，为准确计算港人个税减免额提供有效支撑。</w:t>
      </w:r>
    </w:p>
    <w:p>
      <w:pPr>
        <w:pStyle w:val="23"/>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项目内容</w:t>
      </w:r>
    </w:p>
    <w:p>
      <w:pPr>
        <w:pStyle w:val="2"/>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“港税e”香港居民个人所得税优惠政策申报辅助服务项目</w:t>
      </w:r>
      <w:r>
        <w:rPr>
          <w:rFonts w:hint="eastAsia" w:ascii="宋体" w:hAnsi="宋体" w:cs="宋体"/>
          <w:color w:val="000000" w:themeColor="text1"/>
          <w:sz w:val="24"/>
          <w14:textFill>
            <w14:solidFill>
              <w14:schemeClr w14:val="tx1"/>
            </w14:solidFill>
          </w14:textFill>
        </w:rPr>
        <w:t>具有业务规范性强、政策影响面广、服务窗口期政策依赖性强、业务耦合度紧密等特点，涉及了自然人电子税务局及其特色应用、深圳税务自然人税收应用平台等系统。为确保相关政策有效落地，保障服务实施工作井然有序、有条不紊地进行，需要开展个性化定制、数据、多语种对照、咨询等事项服务工作，详情如下：</w:t>
      </w:r>
    </w:p>
    <w:p>
      <w:pPr>
        <w:pStyle w:val="2"/>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1.信息化申报辅助服务</w:t>
      </w:r>
    </w:p>
    <w:p>
      <w:pPr>
        <w:pStyle w:val="2"/>
        <w:ind w:firstLine="480" w:firstLineChars="200"/>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基于在前海工作的香港居民个人所得税优惠相关政策，充分利用现有信息化资源，提供适用于前海区域的信息化申报辅助服务，包括但不限于以下内容：纳税人端、税务人端个性化申报辅助服务、信息化渠道集成服务、信息化消息集成服务等</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为香港居民提供申报页面的多语种对照。</w:t>
      </w:r>
    </w:p>
    <w:p>
      <w:pPr>
        <w:pStyle w:val="2"/>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2.收入及扣除数据智能比对服务</w:t>
      </w:r>
    </w:p>
    <w:p>
      <w:pPr>
        <w:pStyle w:val="2"/>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（1）数据归集。协助整合归集应用于国家税务总局清分的自然人电子税务局基础数据，包括登记数据、申报数据、征收数据及部分跨省数据</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通过“充分归集+数据驱动”提升前海地区香港居民个人所得税收入、扣除项等数据申报的准确性和完整性，提高申报数据质量。</w:t>
      </w:r>
    </w:p>
    <w:p>
      <w:pPr>
        <w:pStyle w:val="2"/>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同步数据模型服务。为确保试算服务预填数据与国家税务总局自然人电子税务局及个人所得税APP一致，同步国家税务总局自然人电子税务局生产服务库、归集库数据标准，按照汇聚层、标准层、专题层、计算层，构建特色前海“港税e”香港居民个人所得税优惠服务数据模型。</w:t>
      </w:r>
    </w:p>
    <w:p>
      <w:pPr>
        <w:pStyle w:val="2"/>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3.汇算清缴数据智能试算服务</w:t>
      </w:r>
    </w:p>
    <w:p>
      <w:pPr>
        <w:pStyle w:val="2"/>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为符合个人所得税优惠政策的前海区域香港居民提供个人所得税税收优惠汇缴智能试算服务，包括但不限于以下内容：汇算清缴减免税试算服务、减免税申报服务、汇算清缴自查服务等。</w:t>
      </w:r>
    </w:p>
    <w:p>
      <w:pPr>
        <w:pStyle w:val="2"/>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4.咨询支持服务</w:t>
      </w:r>
    </w:p>
    <w:p>
      <w:pPr>
        <w:pStyle w:val="2"/>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为纳税人端的香港居民提供税收政策专家咨询支持服务。提供自然人电子税务局系统的相关衔接功能。咨询支持服务方式包括但不限于在线答疑、电话咨询、远程辅导、现场指导等，为香港居民提供及时、准确、实用的咨询支持。</w:t>
      </w:r>
    </w:p>
    <w:p>
      <w:pPr>
        <w:pStyle w:val="23"/>
        <w:rPr>
          <w:rFonts w:ascii="宋体" w:hAnsi="宋体" w:cs="宋体"/>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项目团队要求</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中标人拟安排的项目服务团队成员不得少于10人。</w:t>
      </w:r>
    </w:p>
    <w:p>
      <w:pPr>
        <w:pStyle w:val="23"/>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交付成果与验收要求</w:t>
      </w:r>
    </w:p>
    <w:p>
      <w:pPr>
        <w:pStyle w:val="23"/>
        <w:numPr>
          <w:ilvl w:val="0"/>
          <w:numId w:val="0"/>
        </w:numPr>
        <w:ind w:left="420"/>
        <w:rPr>
          <w:color w:val="000000" w:themeColor="text1"/>
          <w14:textFill>
            <w14:solidFill>
              <w14:schemeClr w14:val="tx1"/>
            </w14:solidFill>
          </w14:textFill>
        </w:rPr>
      </w:pPr>
      <w:r>
        <w:rPr>
          <w:rFonts w:hint="eastAsia"/>
          <w:color w:val="000000" w:themeColor="text1"/>
          <w14:textFill>
            <w14:solidFill>
              <w14:schemeClr w14:val="tx1"/>
            </w14:solidFill>
          </w14:textFill>
        </w:rPr>
        <w:t>（一）交付成果</w:t>
      </w:r>
    </w:p>
    <w:p>
      <w:pPr>
        <w:spacing w:line="360" w:lineRule="auto"/>
        <w:ind w:firstLine="480" w:firstLineChars="200"/>
        <w:rPr>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中标人应按照采购人要求，移交项目服务过程中的各类文档，并进行产出物的交付，至少包括项目过程文件、</w:t>
      </w:r>
      <w:r>
        <w:rPr>
          <w:rFonts w:hint="eastAsia" w:ascii="宋体" w:hAnsi="宋体" w:cs="宋体"/>
          <w:color w:val="000000" w:themeColor="text1"/>
          <w:kern w:val="2"/>
          <w:sz w:val="24"/>
          <w:szCs w:val="24"/>
          <w:lang w:val="en-US" w:eastAsia="zh-CN"/>
          <w14:textFill>
            <w14:solidFill>
              <w14:schemeClr w14:val="tx1"/>
            </w14:solidFill>
          </w14:textFill>
        </w:rPr>
        <w:t>最终成果文件</w:t>
      </w:r>
      <w:r>
        <w:rPr>
          <w:rFonts w:hint="eastAsia" w:ascii="宋体" w:hAnsi="宋体" w:cs="宋体"/>
          <w:color w:val="000000" w:themeColor="text1"/>
          <w:sz w:val="24"/>
          <w14:textFill>
            <w14:solidFill>
              <w14:schemeClr w14:val="tx1"/>
            </w14:solidFill>
          </w14:textFill>
        </w:rPr>
        <w:t>等</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最终成果</w:t>
      </w:r>
      <w:r>
        <w:rPr>
          <w:rFonts w:hint="eastAsia" w:ascii="宋体" w:hAnsi="宋体" w:cs="宋体"/>
          <w:color w:val="000000" w:themeColor="text1"/>
          <w:kern w:val="2"/>
          <w:sz w:val="24"/>
          <w:szCs w:val="24"/>
          <w:lang w:val="en-US" w:eastAsia="zh-CN"/>
          <w14:textFill>
            <w14:solidFill>
              <w14:schemeClr w14:val="tx1"/>
            </w14:solidFill>
          </w14:textFill>
        </w:rPr>
        <w:t>文件</w:t>
      </w:r>
      <w:r>
        <w:rPr>
          <w:rFonts w:hint="eastAsia" w:ascii="宋体" w:hAnsi="宋体" w:cs="宋体"/>
          <w:color w:val="000000" w:themeColor="text1"/>
          <w:sz w:val="24"/>
          <w:lang w:val="en-US" w:eastAsia="zh-CN"/>
          <w14:textFill>
            <w14:solidFill>
              <w14:schemeClr w14:val="tx1"/>
            </w14:solidFill>
          </w14:textFill>
        </w:rPr>
        <w:t>为形成</w:t>
      </w:r>
      <w:r>
        <w:rPr>
          <w:rFonts w:hint="eastAsia" w:ascii="宋体" w:hAnsi="宋体" w:cs="宋体"/>
          <w:bCs/>
          <w:color w:val="000000" w:themeColor="text1"/>
          <w:sz w:val="24"/>
          <w14:textFill>
            <w14:solidFill>
              <w14:schemeClr w14:val="tx1"/>
            </w14:solidFill>
          </w14:textFill>
        </w:rPr>
        <w:t>《前海“港税e”香港居民个人所得税优惠服务报告》</w:t>
      </w:r>
      <w:r>
        <w:rPr>
          <w:rFonts w:hint="eastAsia" w:ascii="宋体" w:hAnsi="宋体" w:cs="宋体"/>
          <w:color w:val="000000" w:themeColor="text1"/>
          <w:sz w:val="24"/>
          <w14:textFill>
            <w14:solidFill>
              <w14:schemeClr w14:val="tx1"/>
            </w14:solidFill>
          </w14:textFill>
        </w:rPr>
        <w:t>。产出物应提供电子和纸质两种介质，内容应清晰完整，且和项目相符，并保持版本一致。</w:t>
      </w:r>
    </w:p>
    <w:p>
      <w:pPr>
        <w:pStyle w:val="23"/>
        <w:numPr>
          <w:ilvl w:val="0"/>
          <w:numId w:val="0"/>
        </w:numPr>
        <w:ind w:left="420"/>
        <w:rPr>
          <w:color w:val="000000" w:themeColor="text1"/>
          <w14:textFill>
            <w14:solidFill>
              <w14:schemeClr w14:val="tx1"/>
            </w14:solidFill>
          </w14:textFill>
        </w:rPr>
      </w:pPr>
      <w:r>
        <w:rPr>
          <w:rFonts w:hint="eastAsia"/>
          <w:color w:val="000000" w:themeColor="text1"/>
          <w14:textFill>
            <w14:solidFill>
              <w14:schemeClr w14:val="tx1"/>
            </w14:solidFill>
          </w14:textFill>
        </w:rPr>
        <w:t>（二）验收要求</w:t>
      </w:r>
    </w:p>
    <w:p>
      <w:pPr>
        <w:pStyle w:val="7"/>
        <w:ind w:left="0" w:leftChars="0" w:firstLine="480" w:firstLineChars="200"/>
        <w:rPr>
          <w:color w:val="000000" w:themeColor="text1"/>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协助采购人，在合同服务期内开展前海“港税e”香港居民个人所得税优惠服务，合同服务期满后形成《前海“港税e”香港居民个人所得税优惠服务报告》成果，且服务报告最终通过</w:t>
      </w:r>
      <w:r>
        <w:rPr>
          <w:rFonts w:hint="eastAsia" w:ascii="宋体" w:hAnsi="宋体" w:cs="宋体"/>
          <w:bCs/>
          <w:color w:val="000000" w:themeColor="text1"/>
          <w:sz w:val="24"/>
          <w:lang w:val="en-US" w:eastAsia="zh-CN"/>
          <w14:textFill>
            <w14:solidFill>
              <w14:schemeClr w14:val="tx1"/>
            </w14:solidFill>
          </w14:textFill>
        </w:rPr>
        <w:t>采购人</w:t>
      </w:r>
      <w:r>
        <w:rPr>
          <w:rFonts w:hint="eastAsia" w:ascii="宋体" w:hAnsi="宋体" w:cs="宋体"/>
          <w:bCs/>
          <w:color w:val="000000" w:themeColor="text1"/>
          <w:sz w:val="24"/>
          <w14:textFill>
            <w14:solidFill>
              <w14:schemeClr w14:val="tx1"/>
            </w14:solidFill>
          </w14:textFill>
        </w:rPr>
        <w:t>验收。</w:t>
      </w:r>
    </w:p>
    <w:p>
      <w:pPr>
        <w:pStyle w:val="23"/>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培训要求</w:t>
      </w:r>
    </w:p>
    <w:p>
      <w:pPr>
        <w:pStyle w:val="7"/>
        <w:ind w:left="0" w:leftChars="0" w:firstLine="480" w:firstLineChars="200"/>
        <w:rPr>
          <w:color w:val="000000" w:themeColor="text1"/>
          <w14:textFill>
            <w14:solidFill>
              <w14:schemeClr w14:val="tx1"/>
            </w14:solidFill>
          </w14:textFill>
        </w:rPr>
      </w:pPr>
      <w:r>
        <w:rPr>
          <w:rFonts w:hint="eastAsia" w:ascii="宋体" w:hAnsi="宋体" w:cs="宋体"/>
          <w:color w:val="000000" w:themeColor="text1"/>
          <w:kern w:val="2"/>
          <w:sz w:val="24"/>
          <w:szCs w:val="24"/>
          <w14:textFill>
            <w14:solidFill>
              <w14:schemeClr w14:val="tx1"/>
            </w14:solidFill>
          </w14:textFill>
        </w:rPr>
        <w:t>中标人对</w:t>
      </w:r>
      <w:r>
        <w:rPr>
          <w:rFonts w:hint="eastAsia" w:ascii="宋体" w:hAnsi="宋体" w:cs="宋体"/>
          <w:color w:val="000000" w:themeColor="text1"/>
          <w:kern w:val="2"/>
          <w:sz w:val="24"/>
          <w:szCs w:val="24"/>
          <w:lang w:val="en-US" w:eastAsia="zh-CN"/>
          <w14:textFill>
            <w14:solidFill>
              <w14:schemeClr w14:val="tx1"/>
            </w14:solidFill>
          </w14:textFill>
        </w:rPr>
        <w:t>提供服务需要用到的</w:t>
      </w:r>
      <w:r>
        <w:rPr>
          <w:rFonts w:hint="eastAsia" w:ascii="宋体" w:hAnsi="宋体" w:cs="宋体"/>
          <w:color w:val="000000" w:themeColor="text1"/>
          <w:kern w:val="2"/>
          <w:sz w:val="24"/>
          <w:szCs w:val="24"/>
          <w14:textFill>
            <w14:solidFill>
              <w14:schemeClr w14:val="tx1"/>
            </w14:solidFill>
          </w14:textFill>
        </w:rPr>
        <w:t>软件的基本使用方法对税务机关工作人员进行培训，在软件集成过程中出现的问题进行现场解答和技术指导。中标人需对税务机关工作人员进行操作培训，指导正确使用本系统，并对使用过程中出现的问题进行解答和技术指导。</w:t>
      </w:r>
    </w:p>
    <w:p>
      <w:pPr>
        <w:pStyle w:val="23"/>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商务要求</w:t>
      </w:r>
    </w:p>
    <w:p>
      <w:pPr>
        <w:tabs>
          <w:tab w:val="left" w:pos="720"/>
        </w:tabs>
        <w:autoSpaceDE w:val="0"/>
        <w:autoSpaceDN w:val="0"/>
        <w:adjustRightInd w:val="0"/>
        <w:spacing w:line="360" w:lineRule="auto"/>
        <w:ind w:right="17" w:firstLine="482" w:firstLineChars="200"/>
        <w:outlineLvl w:val="2"/>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（一）服务期限</w:t>
      </w:r>
    </w:p>
    <w:p>
      <w:pPr>
        <w:tabs>
          <w:tab w:val="left" w:pos="720"/>
        </w:tabs>
        <w:autoSpaceDE w:val="0"/>
        <w:autoSpaceDN w:val="0"/>
        <w:adjustRightInd w:val="0"/>
        <w:spacing w:line="360" w:lineRule="auto"/>
        <w:ind w:right="17" w:firstLine="480" w:firstLineChars="200"/>
        <w:outlineLvl w:val="2"/>
        <w:rPr>
          <w:rFonts w:hint="eastAsia" w:ascii="宋体" w:hAnsi="宋体" w:eastAsia="宋体" w:cs="宋体"/>
          <w:b/>
          <w:bCs/>
          <w:color w:val="000000" w:themeColor="text1"/>
          <w:kern w:val="0"/>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本项目服务期限为自合同签订后</w:t>
      </w:r>
      <w:r>
        <w:rPr>
          <w:rFonts w:hint="eastAsia" w:ascii="宋体" w:hAnsi="宋体" w:cs="宋体"/>
          <w:color w:val="000000" w:themeColor="text1"/>
          <w:sz w:val="24"/>
          <w:lang w:val="en-US" w:eastAsia="zh-CN"/>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个月内完成全部项目工作内容并提交最终成果。</w:t>
      </w:r>
    </w:p>
    <w:p>
      <w:pPr>
        <w:tabs>
          <w:tab w:val="left" w:pos="720"/>
        </w:tabs>
        <w:autoSpaceDE w:val="0"/>
        <w:autoSpaceDN w:val="0"/>
        <w:adjustRightInd w:val="0"/>
        <w:spacing w:line="360" w:lineRule="auto"/>
        <w:ind w:right="17" w:firstLine="482" w:firstLineChars="200"/>
        <w:outlineLvl w:val="2"/>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（二）报价要求</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1.本次投标为总价包干，投标报价总价作为中标人与采购人签订的合同金额。项目预算控制46.6万元以内，投标人的报价不可高于预算（限价），否则投标人的投标文件视同无效。项目服务费包括但不限于</w:t>
      </w:r>
      <w:r>
        <w:rPr>
          <w:rFonts w:hint="eastAsia" w:ascii="宋体" w:hAnsi="宋体" w:cs="宋体"/>
          <w:color w:val="000000" w:themeColor="text1"/>
          <w:kern w:val="0"/>
          <w:sz w:val="24"/>
          <w:lang w:eastAsia="zh-CN"/>
          <w14:textFill>
            <w14:solidFill>
              <w14:schemeClr w14:val="tx1"/>
            </w14:solidFill>
          </w14:textFill>
        </w:rPr>
        <w:t>整体方案设计、个性化定制、数据服务、多语种对照特色服务、初始化服务、咨询支持、人员费用、税费等所有费用</w:t>
      </w:r>
      <w:r>
        <w:rPr>
          <w:rFonts w:hint="eastAsia" w:ascii="宋体" w:hAnsi="宋体" w:cs="宋体"/>
          <w:color w:val="000000" w:themeColor="text1"/>
          <w:kern w:val="0"/>
          <w:sz w:val="24"/>
          <w14:textFill>
            <w14:solidFill>
              <w14:schemeClr w14:val="tx1"/>
            </w14:solidFill>
          </w14:textFill>
        </w:rPr>
        <w:t>，并提供合同要求的成果文件，以及其他相关服务的全部费用</w:t>
      </w:r>
      <w:r>
        <w:rPr>
          <w:rFonts w:hint="eastAsia" w:ascii="宋体" w:hAnsi="宋体" w:cs="宋体"/>
          <w:color w:val="000000" w:themeColor="text1"/>
          <w:sz w:val="24"/>
          <w14:textFill>
            <w14:solidFill>
              <w14:schemeClr w14:val="tx1"/>
            </w14:solidFill>
          </w14:textFill>
        </w:rPr>
        <w:t>。</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投标人应根据本企业的成本自行决定报价，但不得以低于其企业成本的报价投标；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3.投标人的投标报价，应是本项目招标范围和招标文件及合同条款上所列的各项内容中所述的全部，不得以任何理由予以重复，并以投标人在投标文件中提出的综合单价或总价为依据。</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4.投标人应充分了解项目的位置、情况、道路及任何其他足以影响投标报价的情况，任何因忽视或误解项目情况而导致的索赔或服务期限延长申请将不获批准。</w:t>
      </w:r>
    </w:p>
    <w:p>
      <w:pPr>
        <w:widowControl/>
        <w:spacing w:line="360" w:lineRule="auto"/>
        <w:ind w:firstLine="480" w:firstLineChars="200"/>
        <w:rPr>
          <w:rFonts w:ascii="宋体" w:hAnsi="宋体" w:cs="宋体"/>
          <w:b/>
          <w:bCs/>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除非采购代理机构通过修改招标文件予以更正，否则，投标人应毫无例外地按招标文件所列的清单中项目和数量填报综合单价或总价。投标人未填综合单价或总价的项目，在实施后，将不得予以支付，并视作该项费用已包括在其他有价款的综合单价或总价内。</w:t>
      </w:r>
    </w:p>
    <w:p>
      <w:pPr>
        <w:tabs>
          <w:tab w:val="left" w:pos="720"/>
        </w:tabs>
        <w:autoSpaceDE w:val="0"/>
        <w:autoSpaceDN w:val="0"/>
        <w:adjustRightInd w:val="0"/>
        <w:spacing w:line="360" w:lineRule="auto"/>
        <w:ind w:right="17" w:firstLine="482" w:firstLineChars="200"/>
        <w:outlineLvl w:val="2"/>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（三）付款方式</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项目价款由采购人分2期支付至中标人指定银行账户：</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1.首期：合同签订生效后，根据中标人的付款申请，向中标人指定银行账户支付合同服务费总金额的50%；</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2.第2期：完成所有项目成果交付并经采购人验收通过后，根据中标人的付款申请，向中标人指定银行账户支付本合同服务费总金额的50%；</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3.上述每期款项均在满足付款条件，且采购人收到中标人开具的载明相应金额的合格发票后15个工作日内付至中标人指定银行账户。如未及时收到发票，则采购人相应付款时间顺延。若因</w:t>
      </w:r>
      <w:r>
        <w:rPr>
          <w:rFonts w:ascii="宋体" w:hAnsi="宋体" w:cs="宋体"/>
          <w:color w:val="000000" w:themeColor="text1"/>
          <w:sz w:val="24"/>
          <w14:textFill>
            <w14:solidFill>
              <w14:schemeClr w14:val="tx1"/>
            </w14:solidFill>
          </w14:textFill>
        </w:rPr>
        <w:t>采购人</w:t>
      </w:r>
      <w:r>
        <w:rPr>
          <w:rFonts w:hint="eastAsia" w:ascii="宋体" w:hAnsi="宋体" w:cs="宋体"/>
          <w:color w:val="000000" w:themeColor="text1"/>
          <w:sz w:val="24"/>
          <w14:textFill>
            <w14:solidFill>
              <w14:schemeClr w14:val="tx1"/>
            </w14:solidFill>
          </w14:textFill>
        </w:rPr>
        <w:t>付款审批影响支付进度，请</w:t>
      </w:r>
      <w:r>
        <w:rPr>
          <w:rFonts w:ascii="宋体" w:hAnsi="宋体" w:cs="宋体"/>
          <w:color w:val="000000" w:themeColor="text1"/>
          <w:sz w:val="24"/>
          <w14:textFill>
            <w14:solidFill>
              <w14:schemeClr w14:val="tx1"/>
            </w14:solidFill>
          </w14:textFill>
        </w:rPr>
        <w:t>中标人</w:t>
      </w:r>
      <w:r>
        <w:rPr>
          <w:rFonts w:hint="eastAsia" w:ascii="宋体" w:hAnsi="宋体" w:cs="宋体"/>
          <w:color w:val="000000" w:themeColor="text1"/>
          <w:sz w:val="24"/>
          <w14:textFill>
            <w14:solidFill>
              <w14:schemeClr w14:val="tx1"/>
            </w14:solidFill>
          </w14:textFill>
        </w:rPr>
        <w:t>予以谅解，并不得就此向</w:t>
      </w:r>
      <w:r>
        <w:rPr>
          <w:rFonts w:ascii="宋体" w:hAnsi="宋体" w:cs="宋体"/>
          <w:color w:val="000000" w:themeColor="text1"/>
          <w:sz w:val="24"/>
          <w14:textFill>
            <w14:solidFill>
              <w14:schemeClr w14:val="tx1"/>
            </w14:solidFill>
          </w14:textFill>
        </w:rPr>
        <w:t>采购人</w:t>
      </w:r>
      <w:r>
        <w:rPr>
          <w:rFonts w:hint="eastAsia" w:ascii="宋体" w:hAnsi="宋体" w:cs="宋体"/>
          <w:color w:val="000000" w:themeColor="text1"/>
          <w:sz w:val="24"/>
          <w14:textFill>
            <w14:solidFill>
              <w14:schemeClr w14:val="tx1"/>
            </w14:solidFill>
          </w14:textFill>
        </w:rPr>
        <w:t>索赔。</w:t>
      </w:r>
    </w:p>
    <w:p>
      <w:pPr>
        <w:tabs>
          <w:tab w:val="left" w:pos="720"/>
        </w:tabs>
        <w:autoSpaceDE w:val="0"/>
        <w:autoSpaceDN w:val="0"/>
        <w:adjustRightInd w:val="0"/>
        <w:spacing w:line="360" w:lineRule="auto"/>
        <w:ind w:right="17" w:firstLine="482" w:firstLineChars="200"/>
        <w:outlineLvl w:val="2"/>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（四）成果权属与知识产权</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1.双方对本合同有关的知识产权以及与之相关的所有权利归属约定如下： 本项目全部阶段性成果和最终成果的知识产权以及与之相关的所有权利归甲乙双方共同所有</w:t>
      </w:r>
      <w:r>
        <w:rPr>
          <w:rFonts w:hint="eastAsia" w:ascii="宋体" w:hAnsi="宋体" w:cs="宋体"/>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本合同签署前双方已经拥有的知识产权权利，仍归各自所有。</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双方确定，采购人有权利用中标人按照本合同约定提供的研究开发成果，进行后续改进。由此产生的具有实质性或创造性技术进步特征的新的技术成果及其权利归属，全部由采购人享有。具体相关利益的分配办法如下：采购人100%。</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中标人所提交的全部中间成果和最终成果文件及任何数据、资料、软件等不得侵犯任何第三方的知识产权或其他权利，由于该等文件、数据、资料、软件侵权所导致的任何索赔或责任均由中标人承担。同时，采购人保留要求中标人赔偿相应损失的权利，包括但不限于上述索赔或责任所产生的诉讼费用、合理的律师费用、鉴定评估费用、调查费用、和解金额或生效法律文书中规定的赔偿金额。</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未经采购人书面同意，中标人不得将本项目的中间成果和最终成果文件及任何数据、资料、软件向任何第三方转让、授权任何第三方使用或用于本合同项目外的其他项目。经核实发生以上情况，中标人应向采购人支付本合同总价款20%的违约金，如果违约金无法弥补采购人的损失，采购人有权要求中标人赔偿全部损失，包括但不限于上述索赔或责任所产生的诉讼费用、合理的律师费用、鉴定评估费用、调查费用、和解金额或生效法律文书中规定的赔偿金额。</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5.中标人完成本合同项目的研究开发人员享有在有关技术成果文件上写明技术成果完成者的权利和与采购人共同获得有关署名权、荣誉证书、奖励的权利。</w:t>
      </w:r>
    </w:p>
    <w:p>
      <w:pPr>
        <w:widowControl/>
        <w:spacing w:line="360" w:lineRule="auto"/>
        <w:ind w:firstLine="482" w:firstLineChars="200"/>
        <w:outlineLvl w:val="2"/>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（五）</w:t>
      </w:r>
      <w:r>
        <w:rPr>
          <w:rFonts w:hint="eastAsia" w:ascii="宋体" w:hAnsi="宋体" w:cs="宋体"/>
          <w:b/>
          <w:bCs/>
          <w:color w:val="000000" w:themeColor="text1"/>
          <w:sz w:val="24"/>
          <w14:textFill>
            <w14:solidFill>
              <w14:schemeClr w14:val="tx1"/>
            </w14:solidFill>
          </w14:textFill>
        </w:rPr>
        <w:t>保密条款</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双方应保守的秘密是指不为公众所知悉、能为权利人带来经济利益、具有实用性并经权利人采取保密措施的技术信息和经营信息，或由双方在履行本合同过程中明确指明为秘密的、法律所认可的任何信息，以及中标人在履行本合同过程中所获得或接触到的任何采购人内部数据资料。</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双方应遵守国家的有关保密规定。妥善保管对方提供的资料，保守对方的各项秘密，并保护对方的知识产权。获取对方秘密的一方应当采取有效的保护方式防止秘密未经授权而被使用、传播或公开，仅可以将该秘密用于履行其在本合同项下的义务，且只能由相关的技术人员使用。</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中标人须以保密方式处理在编制本项目成果文件过程中自采购人、采购人工作人员或采购人关联机构获得的相关信息、资料、图纸、数据等，或由采购人在履行本合同过程中明确指明为秘密的任何信息，以及中标人因本项目工作所直接或间接取得、处理或接触的任何其他资料。未经采购人同意，不得向任何第三方透露任何有关本项目的内容，或公开任何项目中间成果或最终成果。即使向履行本合同有关的人员提供前述保密信息，也应限于履行合同的必需范围，且这些人员应接受至少与本条款同等严格的保密条款的约束。</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4.中标人实施项目的程序应符合国家安全、保密的有关规定和标准。</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5.上述保密义务不适用以下情况：</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（1）获取的信息已被合法公开；</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（2）获得信息拥有方书面许可并在该许可范围内披露；</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（3）国家法律、法规规定的情形。</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如中标人违反上述保密条款，采购人有权解除本合同，中标人应在合同解除通知发出之日起10日内向采购人支付本合同服务费总金额20%的违约金，如果违约金无法弥补采购人损失，采购人保留要求中标人赔偿全部损失的权利，包括但不限于前述责任所产生的诉讼费用、合理的律师费用、鉴定评估费用、调查费用、和解金额或生效法律文书中规定的赔偿金额。</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7.无论本合同或本合同其他条款是否有效，本保密条款始终约束双方。国家秘密的保密期限由国家有关部门确定，工作秘密的保密期限由采购人确定。</w:t>
      </w:r>
    </w:p>
    <w:p>
      <w:pPr>
        <w:widowControl/>
        <w:spacing w:line="360" w:lineRule="auto"/>
        <w:ind w:firstLine="482" w:firstLineChars="200"/>
        <w:outlineLvl w:val="2"/>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（六）</w:t>
      </w:r>
      <w:r>
        <w:rPr>
          <w:rFonts w:hint="eastAsia" w:ascii="宋体" w:hAnsi="宋体" w:cs="宋体"/>
          <w:b/>
          <w:bCs/>
          <w:color w:val="000000" w:themeColor="text1"/>
          <w:sz w:val="24"/>
          <w14:textFill>
            <w14:solidFill>
              <w14:schemeClr w14:val="tx1"/>
            </w14:solidFill>
          </w14:textFill>
        </w:rPr>
        <w:t>违约责任</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1.中标人未按照本合同约定的时间完成本项目各阶段工作，每延迟一日，采购人有权自尚未支付的合同款项中扣除本合同服务费总金额的1‰的逾期违约金。</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2.本项目项下的工作内容不可分割，任一文件的迟延交付均视为整个项目的迟延交付。</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3.本合同履行期间，发生下述情形时，采购人有权解除本合同，中标人除应退还采购人已支付的全部款项外， 还应在合同解除通知发出之日起30日内向采购人支付合同总价款20%的违约金。中标人应同时将已完成的项目成果移交给采购人，并将全部有关资料退还采购人：</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（1）中标人未能按合同约定的日期（含协商延缓的日期）提交各阶段成果或最终成果，延误时间超过15个工作日；</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（2）因中标人工作的错误或遗漏造成成果质量损失，</w:t>
      </w:r>
      <w:r>
        <w:rPr>
          <w:rFonts w:hint="eastAsia" w:ascii="宋体" w:hAnsi="宋体" w:cs="宋体"/>
          <w:color w:val="000000" w:themeColor="text1"/>
          <w:sz w:val="24"/>
          <w:lang w:val="zh-CN"/>
          <w14:textFill>
            <w14:solidFill>
              <w14:schemeClr w14:val="tx1"/>
            </w14:solidFill>
          </w14:textFill>
        </w:rPr>
        <w:t>工作成果质量低劣，不能满足采购人工作需要和要求</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（3）中标人虽如期提交最终成果，但连续二次未能通过采购人验收的；</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）项目负责人未承担本合同项目实质性工作，或未经采购人书面在先同意，中标人擅自更换项目负责人的；</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）发现中标人或中标人工作人员出现全部或部分丧失履行委托服务能力的情况，采购人有权通知中标人限期整改或更换工作人员，期限届满中标人并未进行改善的；</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）中标人明确表示或者以自己的行为表明不履行本合同的。</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除因采购人付款审批影响支付进度的情况外，如采购人未按照本合同约定的时间支付服务费，中标人书面催告采购人并给予不少于30个工作日的履行期限后采购人仍未支付的，中标人有权自该期限届满之日起要求采购人支付该阶段应付而未付合同价款每日1‰的逾期违约金。采购人无正当理由拒绝接受服务，到期明确表示拒付服务款项的，采购人向中标人偿付本合同总价</w:t>
      </w: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%的违约金。</w:t>
      </w:r>
    </w:p>
    <w:p>
      <w:pPr>
        <w:widowControl/>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上述违约责任各自独立且可累加。本合同所约定的违约金如低于因违约行为所造成的损失，违约方应补偿上述不足部分的损失，包括但不限于前述责任所产生的诉讼费用、合理的律师费用、鉴定评估费用、调查费用、和解金额或生效法律文书中规定的赔偿金额。</w:t>
      </w:r>
    </w:p>
    <w:p>
      <w:pPr>
        <w:widowControl/>
        <w:spacing w:line="360" w:lineRule="auto"/>
        <w:ind w:firstLine="480" w:firstLineChars="200"/>
        <w:jc w:val="center"/>
        <w:rPr>
          <w:rFonts w:ascii="宋体" w:cs="宋体"/>
          <w:b/>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br w:type="page"/>
      </w:r>
      <w:bookmarkStart w:id="18" w:name="_Toc23822"/>
      <w:r>
        <w:rPr>
          <w:rFonts w:hint="eastAsia" w:ascii="宋体" w:cs="宋体"/>
          <w:b/>
          <w:bCs/>
          <w:color w:val="000000" w:themeColor="text1"/>
          <w:sz w:val="24"/>
          <w14:textFill>
            <w14:solidFill>
              <w14:schemeClr w14:val="tx1"/>
            </w14:solidFill>
          </w14:textFill>
        </w:rPr>
        <w:t>第六章 投标文件初审及招标项目评分表</w:t>
      </w:r>
      <w:bookmarkEnd w:id="18"/>
    </w:p>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投标文件初审表（不可偏离条款）</w:t>
      </w: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（凡有下列情形之一的，投标文件无效，投标作废标处理）</w:t>
      </w:r>
    </w:p>
    <w:tbl>
      <w:tblPr>
        <w:tblStyle w:val="16"/>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7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9" w:type="dxa"/>
            <w:gridSpan w:val="2"/>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资格性检查表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7108"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投标人不具备招标文件所列的资格要求，或未提交相应的资格证明资料（详见招标公告 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9" w:type="dxa"/>
            <w:gridSpan w:val="2"/>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7108"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将一个包中的内容拆开投标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7108"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投标文件及开标一览表未按规定密封、签字、盖章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7108"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招标文件未规定允许有替代方案时，对同一项目投标时，同时提供两套或两套以上的投标方案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7108"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分项报价或投标总价高于预算金额（最高投标限价）或投标报价有严重缺漏项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p>
        </w:tc>
        <w:tc>
          <w:tcPr>
            <w:tcW w:w="7108"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同一项目出现两个及以上报价，按规定又无法确定哪个是有效报价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w:t>
            </w:r>
          </w:p>
        </w:tc>
        <w:tc>
          <w:tcPr>
            <w:tcW w:w="7108"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投标文件载明的招标项目完成或服务期限不满足招标文件规定的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w:t>
            </w:r>
          </w:p>
        </w:tc>
        <w:tc>
          <w:tcPr>
            <w:tcW w:w="7108"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所投货物或工程或服务在质量、技术、方案等方面没有实质性满足招标文件要求（是否实质性满足招标文件要求，由评标委员会来作出评判）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w:t>
            </w:r>
          </w:p>
        </w:tc>
        <w:tc>
          <w:tcPr>
            <w:tcW w:w="7108"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《用户需求响应表》未按要求填写，经评审委员会认定存在不明或不实的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w:t>
            </w:r>
          </w:p>
        </w:tc>
        <w:tc>
          <w:tcPr>
            <w:tcW w:w="7108"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法律、法规规定的其他情形</w:t>
            </w:r>
          </w:p>
        </w:tc>
      </w:tr>
    </w:tbl>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br w:type="page"/>
      </w:r>
      <w:r>
        <w:rPr>
          <w:rFonts w:hint="eastAsia" w:ascii="宋体" w:hAnsi="宋体" w:cs="宋体"/>
          <w:b/>
          <w:bCs/>
          <w:color w:val="000000" w:themeColor="text1"/>
          <w:sz w:val="24"/>
          <w14:textFill>
            <w14:solidFill>
              <w14:schemeClr w14:val="tx1"/>
            </w14:solidFill>
          </w14:textFill>
        </w:rPr>
        <w:t>招标项目评分表</w:t>
      </w:r>
    </w:p>
    <w:tbl>
      <w:tblPr>
        <w:tblStyle w:val="16"/>
        <w:tblW w:w="977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2"/>
        <w:gridCol w:w="1168"/>
        <w:gridCol w:w="5907"/>
        <w:gridCol w:w="901"/>
        <w:gridCol w:w="10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9777" w:type="dxa"/>
            <w:gridSpan w:val="5"/>
            <w:shd w:val="clear" w:color="auto" w:fill="D9D9D9"/>
            <w:vAlign w:val="center"/>
          </w:tcPr>
          <w:p>
            <w:pPr>
              <w:autoSpaceDE w:val="0"/>
              <w:autoSpaceDN w:val="0"/>
              <w:adjustRightInd w:val="0"/>
              <w:spacing w:line="360" w:lineRule="auto"/>
              <w:jc w:val="center"/>
              <w:rPr>
                <w:rFonts w:ascii="宋体" w:hAnsi="宋体" w:cs="宋体"/>
                <w:b/>
                <w:color w:val="000000" w:themeColor="text1"/>
                <w:sz w:val="24"/>
                <w:lang w:val="zh-CN"/>
                <w14:textFill>
                  <w14:solidFill>
                    <w14:schemeClr w14:val="tx1"/>
                  </w14:solidFill>
                </w14:textFill>
              </w:rPr>
            </w:pPr>
            <w:r>
              <w:rPr>
                <w:rFonts w:hint="eastAsia" w:ascii="宋体" w:hAnsi="宋体" w:cs="宋体"/>
                <w:b/>
                <w:color w:val="000000" w:themeColor="text1"/>
                <w:sz w:val="24"/>
                <w:lang w:val="zh-CN"/>
                <w14:textFill>
                  <w14:solidFill>
                    <w14:schemeClr w14:val="tx1"/>
                  </w14:solidFill>
                </w14:textFill>
              </w:rPr>
              <w:t>一、价格部分（</w:t>
            </w:r>
            <w:r>
              <w:rPr>
                <w:rFonts w:hint="eastAsia" w:ascii="宋体" w:hAnsi="宋体" w:cs="宋体"/>
                <w:b/>
                <w:color w:val="000000" w:themeColor="text1"/>
                <w:sz w:val="24"/>
                <w14:textFill>
                  <w14:solidFill>
                    <w14:schemeClr w14:val="tx1"/>
                  </w14:solidFill>
                </w14:textFill>
              </w:rPr>
              <w:t>10</w:t>
            </w:r>
            <w:r>
              <w:rPr>
                <w:rFonts w:hint="eastAsia" w:ascii="宋体" w:hAnsi="宋体" w:cs="宋体"/>
                <w:b/>
                <w:color w:val="000000" w:themeColor="text1"/>
                <w:sz w:val="24"/>
                <w:lang w:val="zh-CN"/>
                <w14:textFill>
                  <w14:solidFill>
                    <w14:schemeClr w14:val="tx1"/>
                  </w14:solidFill>
                </w14:textFill>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22"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序号</w:t>
            </w:r>
          </w:p>
        </w:tc>
        <w:tc>
          <w:tcPr>
            <w:tcW w:w="1168"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内容</w:t>
            </w:r>
          </w:p>
        </w:tc>
        <w:tc>
          <w:tcPr>
            <w:tcW w:w="5907"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评分规则</w:t>
            </w:r>
          </w:p>
        </w:tc>
        <w:tc>
          <w:tcPr>
            <w:tcW w:w="901" w:type="dxa"/>
            <w:vAlign w:val="center"/>
          </w:tcPr>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权重</w:t>
            </w:r>
          </w:p>
        </w:tc>
        <w:tc>
          <w:tcPr>
            <w:tcW w:w="1079"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评分方式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22" w:type="dxa"/>
            <w:vAlign w:val="center"/>
          </w:tcPr>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1</w:t>
            </w:r>
          </w:p>
        </w:tc>
        <w:tc>
          <w:tcPr>
            <w:tcW w:w="1168" w:type="dxa"/>
            <w:vAlign w:val="center"/>
          </w:tcPr>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投标报价</w:t>
            </w:r>
          </w:p>
        </w:tc>
        <w:tc>
          <w:tcPr>
            <w:tcW w:w="5907" w:type="dxa"/>
            <w:vAlign w:val="center"/>
          </w:tcPr>
          <w:p>
            <w:pPr>
              <w:pStyle w:val="4"/>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采用低价优先法计算，即满足招标文件要求且投标价格最低的投标报价为评标基准价，其价格分为满分。其他投标人的价格分统一按照下列公式计算：</w:t>
            </w:r>
          </w:p>
          <w:p>
            <w:pPr>
              <w:pStyle w:val="4"/>
              <w:spacing w:line="360" w:lineRule="auto"/>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投标报价得分=(评标基准价／投标报价)×10</w:t>
            </w:r>
          </w:p>
          <w:p>
            <w:pPr>
              <w:numPr>
                <w:ilvl w:val="0"/>
                <w:numId w:val="8"/>
              </w:numPr>
              <w:spacing w:line="360" w:lineRule="auto"/>
              <w:ind w:left="250" w:hanging="249" w:hangingChars="104"/>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价格评分仅限于有效投标人，</w:t>
            </w:r>
            <w:r>
              <w:rPr>
                <w:rFonts w:hint="eastAsia" w:ascii="宋体" w:hAnsi="宋体" w:cs="宋体"/>
                <w:color w:val="000000" w:themeColor="text1"/>
                <w:sz w:val="24"/>
                <w14:textFill>
                  <w14:solidFill>
                    <w14:schemeClr w14:val="tx1"/>
                  </w14:solidFill>
                </w14:textFill>
              </w:rPr>
              <w:t>当价格分&lt;0时，取0。</w:t>
            </w:r>
          </w:p>
          <w:p>
            <w:pPr>
              <w:numPr>
                <w:ilvl w:val="0"/>
                <w:numId w:val="8"/>
              </w:numPr>
              <w:spacing w:line="360" w:lineRule="auto"/>
              <w:ind w:left="250" w:hanging="249" w:hangingChars="104"/>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根据财库〔2020〕46号、财库〔2014〕68号及财库〔2017〕141号及（深财购〔2022〕31号）文件规定：本项目非专门面向中小企业的项目，对小型和微型企业、监狱企业或残疾人福利性企业产品的价格给予10%的扣除，扣除后的价格即为“经评审合格的投标报价”参与价格评审。</w:t>
            </w:r>
          </w:p>
          <w:p>
            <w:pPr>
              <w:pStyle w:val="4"/>
              <w:spacing w:line="360" w:lineRule="auto"/>
              <w:ind w:left="216" w:leftChars="103"/>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kern w:val="2"/>
                <w:sz w:val="24"/>
                <w14:textFill>
                  <w14:solidFill>
                    <w14:schemeClr w14:val="tx1"/>
                  </w14:solidFill>
                </w14:textFill>
              </w:rPr>
              <w:t>监狱企业应当提供由省级以上监狱管理局、戒毒管理局（含新疆生产建设兵团）出具的属于监狱企业的证明文件，中小企业提供中小企业声明函，残疾人福利性企业提供残疾人福利性企业声明函。</w:t>
            </w:r>
          </w:p>
        </w:tc>
        <w:tc>
          <w:tcPr>
            <w:tcW w:w="901"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w:t>
            </w:r>
          </w:p>
        </w:tc>
        <w:tc>
          <w:tcPr>
            <w:tcW w:w="1079" w:type="dxa"/>
            <w:vAlign w:val="center"/>
          </w:tcPr>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评审委员打分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9777" w:type="dxa"/>
            <w:gridSpan w:val="5"/>
            <w:shd w:val="clear" w:color="auto" w:fill="D9D9D9"/>
            <w:vAlign w:val="center"/>
          </w:tcPr>
          <w:p>
            <w:pPr>
              <w:autoSpaceDE w:val="0"/>
              <w:autoSpaceDN w:val="0"/>
              <w:adjustRightInd w:val="0"/>
              <w:spacing w:line="360" w:lineRule="auto"/>
              <w:jc w:val="center"/>
              <w:rPr>
                <w:rFonts w:ascii="宋体" w:hAnsi="宋体" w:cs="宋体"/>
                <w:b/>
                <w:color w:val="000000" w:themeColor="text1"/>
                <w:sz w:val="24"/>
                <w:lang w:val="zh-CN"/>
                <w14:textFill>
                  <w14:solidFill>
                    <w14:schemeClr w14:val="tx1"/>
                  </w14:solidFill>
                </w14:textFill>
              </w:rPr>
            </w:pPr>
            <w:r>
              <w:rPr>
                <w:rFonts w:hint="eastAsia" w:ascii="宋体" w:hAnsi="宋体" w:cs="宋体"/>
                <w:b/>
                <w:color w:val="000000" w:themeColor="text1"/>
                <w:sz w:val="24"/>
                <w:lang w:val="zh-CN"/>
                <w14:textFill>
                  <w14:solidFill>
                    <w14:schemeClr w14:val="tx1"/>
                  </w14:solidFill>
                </w14:textFill>
              </w:rPr>
              <w:t>二、商务部分（</w:t>
            </w:r>
            <w:r>
              <w:rPr>
                <w:rFonts w:hint="eastAsia" w:ascii="宋体" w:hAnsi="宋体" w:cs="宋体"/>
                <w:b/>
                <w:color w:val="000000" w:themeColor="text1"/>
                <w:sz w:val="24"/>
                <w14:textFill>
                  <w14:solidFill>
                    <w14:schemeClr w14:val="tx1"/>
                  </w14:solidFill>
                </w14:textFill>
              </w:rPr>
              <w:t>45</w:t>
            </w:r>
            <w:r>
              <w:rPr>
                <w:rFonts w:hint="eastAsia" w:ascii="宋体" w:hAnsi="宋体" w:cs="宋体"/>
                <w:b/>
                <w:color w:val="000000" w:themeColor="text1"/>
                <w:sz w:val="24"/>
                <w:lang w:val="zh-CN"/>
                <w14:textFill>
                  <w14:solidFill>
                    <w14:schemeClr w14:val="tx1"/>
                  </w14:solidFill>
                </w14:textFill>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22"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序号</w:t>
            </w:r>
          </w:p>
        </w:tc>
        <w:tc>
          <w:tcPr>
            <w:tcW w:w="1168"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内容</w:t>
            </w:r>
          </w:p>
        </w:tc>
        <w:tc>
          <w:tcPr>
            <w:tcW w:w="5907"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评分规则</w:t>
            </w:r>
          </w:p>
        </w:tc>
        <w:tc>
          <w:tcPr>
            <w:tcW w:w="901" w:type="dxa"/>
            <w:vAlign w:val="center"/>
          </w:tcPr>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权重</w:t>
            </w:r>
          </w:p>
        </w:tc>
        <w:tc>
          <w:tcPr>
            <w:tcW w:w="1079"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评分方式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22"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1168"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投标人通过相关认证情况</w:t>
            </w:r>
          </w:p>
        </w:tc>
        <w:tc>
          <w:tcPr>
            <w:tcW w:w="5907"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（一）评分内容：</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1.投标人通过</w:t>
            </w:r>
            <w:r>
              <w:rPr>
                <w:rFonts w:ascii="宋体" w:hAnsi="宋体" w:cs="宋体"/>
                <w:color w:val="000000" w:themeColor="text1"/>
                <w:sz w:val="24"/>
                <w14:textFill>
                  <w14:solidFill>
                    <w14:schemeClr w14:val="tx1"/>
                  </w14:solidFill>
                </w14:textFill>
              </w:rPr>
              <w:t>ISO</w:t>
            </w:r>
            <w:r>
              <w:rPr>
                <w:rFonts w:hint="eastAsia" w:ascii="宋体" w:hAnsi="宋体" w:cs="宋体"/>
                <w:color w:val="000000" w:themeColor="text1"/>
                <w:sz w:val="24"/>
                <w14:textFill>
                  <w14:solidFill>
                    <w14:schemeClr w14:val="tx1"/>
                  </w14:solidFill>
                </w14:textFill>
              </w:rPr>
              <w:t>质量管理体系认证的，得</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 xml:space="preserve">分；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2.投标人通过ISO环境管理体系认证的，得1.5分；</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3.投标人通过ISO职业健康安全管理体系认证的，得</w:t>
            </w:r>
            <w:r>
              <w:rPr>
                <w:rFonts w:ascii="宋体" w:hAnsi="宋体" w:cs="宋体"/>
                <w:color w:val="000000" w:themeColor="text1"/>
                <w:sz w:val="24"/>
                <w14:textFill>
                  <w14:solidFill>
                    <w14:schemeClr w14:val="tx1"/>
                  </w14:solidFill>
                </w14:textFill>
              </w:rPr>
              <w:t>1.5</w:t>
            </w:r>
            <w:r>
              <w:rPr>
                <w:rFonts w:hint="eastAsia" w:ascii="宋体" w:hAnsi="宋体" w:cs="宋体"/>
                <w:color w:val="000000" w:themeColor="text1"/>
                <w:sz w:val="24"/>
                <w14:textFill>
                  <w14:solidFill>
                    <w14:schemeClr w14:val="tx1"/>
                  </w14:solidFill>
                </w14:textFill>
              </w:rPr>
              <w:t>分。</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（二）评分依据：</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1.要求提供有效的认证证书以及同时提供中国</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国家认证认可监督管理委员会（http://www.cnca.gov.cn/）有效的查询截图作为得分依据。</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2.以上资料均要求提供扫描件（或官方网站截图）加盖公章，原件备查。评分中出现无证明资料或专家无法凭所提供资料判断是否得分的情况，一律作不得分处理。</w:t>
            </w:r>
          </w:p>
        </w:tc>
        <w:tc>
          <w:tcPr>
            <w:tcW w:w="901"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1079" w:type="dxa"/>
            <w:vAlign w:val="center"/>
          </w:tcPr>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评审委员打分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22"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1168"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投标人同类项目业绩情况</w:t>
            </w:r>
          </w:p>
        </w:tc>
        <w:tc>
          <w:tcPr>
            <w:tcW w:w="5907"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（一）评分内容：</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2021年1月至本项目开标之日止，具有以下案例：</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1、具有同类个人所得税相关项目（包括服务类、开发类）案例的，每提供1个得0.5分，最高得4分。</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2、具有系统运行维护项目案例，每提供1个得0.5分，累计最高得1分。</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案例时间以合同签订时间为准。同一项目仅得一次分数，不可重复得分。</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（二）评分依据：</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要求同时提供合同关键信息（包括但不限于合同封面、合作内容、双方盖章页等）和已完成，且履约评价合格或者验收合格证明文件作为得分依据，履约评价合格或者验收合格证明文件需加盖合同甲方公章（或甲方业务章）。</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2.通过合同关键信息无法判断是否得分的，还须同时提供能证明得分的其他证明资料，如项目报告或合同甲方出具的证明文件等。</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3.以上资料均要求提供扫描件加盖公章，原件备查。评分中出现无证明资料或专家无法凭所提供资料判断是否得分的情况，一律作不得分处理。</w:t>
            </w:r>
          </w:p>
        </w:tc>
        <w:tc>
          <w:tcPr>
            <w:tcW w:w="901"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1079" w:type="dxa"/>
            <w:vAlign w:val="center"/>
          </w:tcPr>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评审委员打分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22"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1168"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拟安排的项目负责人情况（仅限一人）</w:t>
            </w:r>
          </w:p>
        </w:tc>
        <w:tc>
          <w:tcPr>
            <w:tcW w:w="5907"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（一）评分内容：</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1.具有计算机相关专业本科或以上学历（供应商如提供国外学位证书的，须同时提供中文翻译及教育部留学服务中心出具的“国外学历学位认证书”，否则不得分），得</w:t>
            </w: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分；</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2.具有人力资源部门颁发的信息系统项目管理师认证证书，得</w:t>
            </w: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分；</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3.具有信息化项目建设的工作经验，得</w:t>
            </w: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分；</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（二）评分依据：</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要求提供投标人相关证书证明资料以及通过投标人缴纳的近三个月（2023年12月至2024年2月）的任意一个月的社保证明作为本单位员工的证明依据。如供应商为新成立单位且成立时间不足一个月的，可提供加盖公章的情况说明或者证明材料亦视为符合。</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学历证明：学历证明需提供毕业证书复印件及学信网查询截图，原件备查。对于较早颁发的学历证书，学信网无法查询的，除要求提供证书扫描件，需要提供其他佐证材料（如毕业院校、人社部门等颁发机构或监管机构等单位出具的证明）作为可以得分的依据。</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如涉及考察人员工作经验，要求提供项目合同关键信息（包括但不限于合同封面、合作内容、双方盖章页等，需体现人员名称）作为得分依据，通过合同关键信息无法判断是否得分的，还须同时提供合同甲方出具的证明文件。</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4.以上资料均要求提供扫描件（或官方网站截图），原件备查。评分中出现无证明资料或专家无法凭所提供资料判断是否得分的情况，一律作不得分处理。</w:t>
            </w:r>
          </w:p>
        </w:tc>
        <w:tc>
          <w:tcPr>
            <w:tcW w:w="901" w:type="dxa"/>
            <w:vAlign w:val="center"/>
          </w:tcPr>
          <w:p>
            <w:pPr>
              <w:autoSpaceDE w:val="0"/>
              <w:autoSpaceDN w:val="0"/>
              <w:adjustRightInd w:val="0"/>
              <w:spacing w:line="360" w:lineRule="auto"/>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8</w:t>
            </w:r>
          </w:p>
        </w:tc>
        <w:tc>
          <w:tcPr>
            <w:tcW w:w="1079" w:type="dxa"/>
            <w:vAlign w:val="center"/>
          </w:tcPr>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评审委员打分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22"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1168"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拟安排的项目主要团队成员（主要技术人员）情况（项目负责人除外）</w:t>
            </w:r>
          </w:p>
        </w:tc>
        <w:tc>
          <w:tcPr>
            <w:tcW w:w="5907"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（一）评分内容：</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1.每投入一名具有计算机相关专业本科或以上学历的成员得0.</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分，最高得</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分（供应商如提供国外学位证书的，须同时提供中文翻译及教育部留学服务中心出具的“国外学历学位认证证书”，否则不得分）。</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2.投入的成员中每有一名具备软件设计师（中级或以上）证书或数据库认证（OCP）的，得</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分，最高得</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分。</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以上人员可重复计分。</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（二）评分依据：</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要求提供投标人相关证书证明资料以及通过投标人缴纳的近三个月（2023年12月至2024年2月）的任意一个月的社保证明作为本单位员工的证明依据。如供应商为新成立单位且成立时间不足一个月的，可提供加盖公章的情况说明或者证明材料亦视为符合。</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学历证明：学历证明需提供毕业证书复印件及学信网查询截图，原件备查。对于较早颁发的学历证书，学信网无法查询的，除要求提供证书扫描件，需要提供其他佐证材料（如毕业院校、人社部门等颁发机构或监管机构等单位出具的证明）作为可以得分的依据。</w:t>
            </w:r>
          </w:p>
          <w:p>
            <w:pPr>
              <w:spacing w:line="36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.以上资料均要求提供扫描件（或官方网站截图）加盖公章，原件备查。评分中出现无证明资料或专家无法凭所提供资料判断是否得分的情况，一律作不得分处理。</w:t>
            </w:r>
          </w:p>
        </w:tc>
        <w:tc>
          <w:tcPr>
            <w:tcW w:w="901"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w:t>
            </w:r>
          </w:p>
        </w:tc>
        <w:tc>
          <w:tcPr>
            <w:tcW w:w="1079" w:type="dxa"/>
            <w:vAlign w:val="center"/>
          </w:tcPr>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评审委员打分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22"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1168"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投标人自主知识产权产品（创新、设计）情况</w:t>
            </w:r>
          </w:p>
        </w:tc>
        <w:tc>
          <w:tcPr>
            <w:tcW w:w="5907"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（一）评分内容：</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投标人拥有网上业务的办理类软件或管理类软件自主知识产权，即具有软件著作权证书（专利）的，每提供1个证书得2分，最高可得10分。</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（二）评分依据：</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软件著作要求提供投标人合法使用产权（专利）的证明材料。投标人自有产权（专利）的，提供投标人作为知识产权人的软件著作权登记证书（专利证书）；通过购买的方式取得的软件著作权登记证书（专利证书），除需提供证书，还需同时提供购买合同，需体现购买人为投标人；通过租赁或授权等方式取得的第三方知识产权合法使用权的，提供与第三方签订的租赁协议（或授权证明）以及第三方的知识产权证明材料作为得分依据。</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2.以上资料均要求提供扫描件（或官方网站截图）加盖公章，原件备查。评分中出现无证明资料或专家无法凭所提供资料判断是否得分的情况，一律作不得分处理。</w:t>
            </w:r>
          </w:p>
        </w:tc>
        <w:tc>
          <w:tcPr>
            <w:tcW w:w="901"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w:t>
            </w:r>
          </w:p>
        </w:tc>
        <w:tc>
          <w:tcPr>
            <w:tcW w:w="1079" w:type="dxa"/>
            <w:vAlign w:val="center"/>
          </w:tcPr>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评审委员打分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22" w:type="dxa"/>
            <w:vAlign w:val="center"/>
          </w:tcPr>
          <w:p>
            <w:pPr>
              <w:autoSpaceDE w:val="0"/>
              <w:autoSpaceDN w:val="0"/>
              <w:adjustRightInd w:val="0"/>
              <w:spacing w:line="360" w:lineRule="auto"/>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6</w:t>
            </w:r>
          </w:p>
        </w:tc>
        <w:tc>
          <w:tcPr>
            <w:tcW w:w="1168" w:type="dxa"/>
            <w:vAlign w:val="center"/>
          </w:tcPr>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诚信声明与承诺</w:t>
            </w:r>
          </w:p>
        </w:tc>
        <w:tc>
          <w:tcPr>
            <w:tcW w:w="5907" w:type="dxa"/>
            <w:vAlign w:val="center"/>
          </w:tcPr>
          <w:p>
            <w:pPr>
              <w:wordWrap w:val="0"/>
              <w:spacing w:line="360" w:lineRule="auto"/>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深圳市财政局关于印发&lt;深圳市财政局政府采购供应商信用信息管理办法&gt;的通知》（深财规〔2023〕3号）相关规定，如供应商在全国范围内存在因政府采购违法、违规行为受到财政部门罚款等一般行政处罚信息，或者存在该办法第十一条所称在本市集中采购活动中的一般违法失信行为记录信息，且在公示期内的，本项不得分，投标人按招标文件格式要求提供《诚信声明与承诺》的得满分，其他不得分。</w:t>
            </w:r>
          </w:p>
        </w:tc>
        <w:tc>
          <w:tcPr>
            <w:tcW w:w="901"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1079" w:type="dxa"/>
            <w:vAlign w:val="center"/>
          </w:tcPr>
          <w:p>
            <w:pPr>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评审委员打分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9777" w:type="dxa"/>
            <w:gridSpan w:val="5"/>
            <w:shd w:val="clear" w:color="auto" w:fill="D9D9D9"/>
            <w:vAlign w:val="center"/>
          </w:tcPr>
          <w:p>
            <w:pPr>
              <w:autoSpaceDE w:val="0"/>
              <w:autoSpaceDN w:val="0"/>
              <w:adjustRightInd w:val="0"/>
              <w:spacing w:line="360" w:lineRule="auto"/>
              <w:jc w:val="center"/>
              <w:rPr>
                <w:rFonts w:ascii="宋体" w:hAnsi="宋体" w:cs="宋体"/>
                <w:b/>
                <w:color w:val="000000" w:themeColor="text1"/>
                <w:sz w:val="24"/>
                <w:lang w:val="zh-CN"/>
                <w14:textFill>
                  <w14:solidFill>
                    <w14:schemeClr w14:val="tx1"/>
                  </w14:solidFill>
                </w14:textFill>
              </w:rPr>
            </w:pPr>
            <w:r>
              <w:rPr>
                <w:rFonts w:hint="eastAsia" w:ascii="宋体" w:hAnsi="宋体" w:cs="宋体"/>
                <w:b/>
                <w:color w:val="000000" w:themeColor="text1"/>
                <w:sz w:val="24"/>
                <w:lang w:val="zh-CN"/>
                <w14:textFill>
                  <w14:solidFill>
                    <w14:schemeClr w14:val="tx1"/>
                  </w14:solidFill>
                </w14:textFill>
              </w:rPr>
              <w:t>三、技术部分（</w:t>
            </w:r>
            <w:r>
              <w:rPr>
                <w:rFonts w:hint="eastAsia" w:ascii="宋体" w:hAnsi="宋体" w:cs="宋体"/>
                <w:b/>
                <w:color w:val="000000" w:themeColor="text1"/>
                <w:sz w:val="24"/>
                <w14:textFill>
                  <w14:solidFill>
                    <w14:schemeClr w14:val="tx1"/>
                  </w14:solidFill>
                </w14:textFill>
              </w:rPr>
              <w:t>45</w:t>
            </w:r>
            <w:r>
              <w:rPr>
                <w:rFonts w:hint="eastAsia" w:ascii="宋体" w:hAnsi="宋体" w:cs="宋体"/>
                <w:b/>
                <w:color w:val="000000" w:themeColor="text1"/>
                <w:sz w:val="24"/>
                <w:lang w:val="zh-CN"/>
                <w14:textFill>
                  <w14:solidFill>
                    <w14:schemeClr w14:val="tx1"/>
                  </w14:solidFill>
                </w14:textFill>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22"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序号</w:t>
            </w:r>
          </w:p>
        </w:tc>
        <w:tc>
          <w:tcPr>
            <w:tcW w:w="1168"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内容</w:t>
            </w:r>
          </w:p>
        </w:tc>
        <w:tc>
          <w:tcPr>
            <w:tcW w:w="5907" w:type="dxa"/>
            <w:vAlign w:val="center"/>
          </w:tcPr>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评分规则</w:t>
            </w:r>
          </w:p>
        </w:tc>
        <w:tc>
          <w:tcPr>
            <w:tcW w:w="901" w:type="dxa"/>
            <w:vAlign w:val="center"/>
          </w:tcPr>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权重</w:t>
            </w:r>
          </w:p>
        </w:tc>
        <w:tc>
          <w:tcPr>
            <w:tcW w:w="1079" w:type="dxa"/>
            <w:vAlign w:val="center"/>
          </w:tcPr>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评分方式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22" w:type="dxa"/>
            <w:vAlign w:val="center"/>
          </w:tcPr>
          <w:p>
            <w:pPr>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1</w:t>
            </w:r>
          </w:p>
        </w:tc>
        <w:tc>
          <w:tcPr>
            <w:tcW w:w="1168" w:type="dxa"/>
            <w:vAlign w:val="center"/>
          </w:tcPr>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项目实施方案</w:t>
            </w:r>
          </w:p>
        </w:tc>
        <w:tc>
          <w:tcPr>
            <w:tcW w:w="5907" w:type="dxa"/>
          </w:tcPr>
          <w:p>
            <w:pPr>
              <w:spacing w:line="360" w:lineRule="auto"/>
              <w:jc w:val="left"/>
              <w:rPr>
                <w:rFonts w:ascii="宋体" w:hAnsi="宋体" w:cs="宋体"/>
                <w:bCs/>
                <w:iCs/>
                <w:color w:val="000000" w:themeColor="text1"/>
                <w:sz w:val="24"/>
                <w14:textFill>
                  <w14:solidFill>
                    <w14:schemeClr w14:val="tx1"/>
                  </w14:solidFill>
                </w14:textFill>
              </w:rPr>
            </w:pPr>
            <w:r>
              <w:rPr>
                <w:rFonts w:hint="eastAsia" w:ascii="宋体" w:hAnsi="宋体" w:cs="宋体"/>
                <w:bCs/>
                <w:iCs/>
                <w:color w:val="000000" w:themeColor="text1"/>
                <w:sz w:val="24"/>
                <w14:textFill>
                  <w14:solidFill>
                    <w14:schemeClr w14:val="tx1"/>
                  </w14:solidFill>
                </w14:textFill>
              </w:rPr>
              <w:t>（一）评审内容：</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根据投标人提供项目实施方案，方案内容包含不限于：</w:t>
            </w:r>
          </w:p>
          <w:p>
            <w:pPr>
              <w:numPr>
                <w:ilvl w:val="-1"/>
                <w:numId w:val="0"/>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1.信息化申报辅助服务；</w:t>
            </w:r>
          </w:p>
          <w:p>
            <w:pPr>
              <w:numPr>
                <w:ilvl w:val="-1"/>
                <w:numId w:val="0"/>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2.收入及扣除数据智能比对服务；</w:t>
            </w:r>
          </w:p>
          <w:p>
            <w:pPr>
              <w:numPr>
                <w:ilvl w:val="-1"/>
                <w:numId w:val="0"/>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多语种对照特色服务；</w:t>
            </w:r>
          </w:p>
          <w:p>
            <w:pPr>
              <w:numPr>
                <w:ilvl w:val="-1"/>
                <w:numId w:val="0"/>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汇算清缴数据智能试算服务；</w:t>
            </w:r>
          </w:p>
          <w:p>
            <w:pPr>
              <w:pStyle w:val="2"/>
              <w:numPr>
                <w:ilvl w:val="-1"/>
                <w:numId w:val="0"/>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4.咨询支持服务。</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方案满足以上五项得4分，满足</w:t>
            </w:r>
            <w:r>
              <w:rPr>
                <w:rFonts w:hint="eastAsia" w:ascii="宋体" w:hAnsi="宋体" w:cs="宋体"/>
                <w:color w:val="000000" w:themeColor="text1"/>
                <w:sz w:val="24"/>
                <w:lang w:val="en-US" w:eastAsia="zh-CN"/>
                <w14:textFill>
                  <w14:solidFill>
                    <w14:schemeClr w14:val="tx1"/>
                  </w14:solidFill>
                </w14:textFill>
              </w:rPr>
              <w:t>四</w:t>
            </w:r>
            <w:r>
              <w:rPr>
                <w:rFonts w:hint="eastAsia" w:ascii="宋体" w:hAnsi="宋体" w:cs="宋体"/>
                <w:color w:val="000000" w:themeColor="text1"/>
                <w:sz w:val="24"/>
                <w14:textFill>
                  <w14:solidFill>
                    <w14:schemeClr w14:val="tx1"/>
                  </w14:solidFill>
                </w14:textFill>
              </w:rPr>
              <w:t>项得</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分，满足</w:t>
            </w:r>
            <w:r>
              <w:rPr>
                <w:rFonts w:hint="eastAsia" w:ascii="宋体" w:hAnsi="宋体" w:cs="宋体"/>
                <w:color w:val="000000" w:themeColor="text1"/>
                <w:sz w:val="24"/>
                <w:lang w:val="en-US" w:eastAsia="zh-CN"/>
                <w14:textFill>
                  <w14:solidFill>
                    <w14:schemeClr w14:val="tx1"/>
                  </w14:solidFill>
                </w14:textFill>
              </w:rPr>
              <w:t>三</w:t>
            </w:r>
            <w:r>
              <w:rPr>
                <w:rFonts w:hint="eastAsia" w:ascii="宋体" w:hAnsi="宋体" w:cs="宋体"/>
                <w:color w:val="000000" w:themeColor="text1"/>
                <w:sz w:val="24"/>
                <w14:textFill>
                  <w14:solidFill>
                    <w14:schemeClr w14:val="tx1"/>
                  </w14:solidFill>
                </w14:textFill>
              </w:rPr>
              <w:t>项得</w:t>
            </w: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分，满足2项得1分，其他情况不得分。</w:t>
            </w:r>
          </w:p>
          <w:p>
            <w:pPr>
              <w:spacing w:line="360" w:lineRule="auto"/>
              <w:jc w:val="left"/>
              <w:rPr>
                <w:rFonts w:ascii="宋体" w:hAnsi="宋体" w:cs="宋体"/>
                <w:bCs/>
                <w:iCs/>
                <w:color w:val="000000" w:themeColor="text1"/>
                <w:sz w:val="24"/>
                <w14:textFill>
                  <w14:solidFill>
                    <w14:schemeClr w14:val="tx1"/>
                  </w14:solidFill>
                </w14:textFill>
              </w:rPr>
            </w:pPr>
            <w:r>
              <w:rPr>
                <w:rFonts w:hint="eastAsia" w:ascii="宋体" w:hAnsi="宋体" w:cs="宋体"/>
                <w:bCs/>
                <w:iCs/>
                <w:color w:val="000000" w:themeColor="text1"/>
                <w:sz w:val="24"/>
                <w14:textFill>
                  <w14:solidFill>
                    <w14:schemeClr w14:val="tx1"/>
                  </w14:solidFill>
                </w14:textFill>
              </w:rPr>
              <w:t>（二）评审标准：</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在此基础上提供的实施方案，根据方案理解是否精准、分析是否深入进一步评分：</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对上述实施方案内容理解精准，分析深入的，方案具备较高可操作性，能有效确保项目实施进度和实施质量的评价为优，加6分；</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对上述实施方案内容理解较为准确，分析较为深入的，项目实施进度和质量保证措施合理的评价为良，加3分；</w:t>
            </w:r>
          </w:p>
          <w:p>
            <w:pPr>
              <w:wordWrap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对上述实施方案内容理解一般，分析基本正确的评价为中，加1分；</w:t>
            </w:r>
          </w:p>
          <w:p>
            <w:pPr>
              <w:autoSpaceDE w:val="0"/>
              <w:autoSpaceDN w:val="0"/>
              <w:adjustRightInd w:val="0"/>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对上述实施方案内容理解差，分析一般的评价为差，不加分。</w:t>
            </w:r>
          </w:p>
        </w:tc>
        <w:tc>
          <w:tcPr>
            <w:tcW w:w="901" w:type="dxa"/>
            <w:vAlign w:val="center"/>
          </w:tcPr>
          <w:p>
            <w:pPr>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10</w:t>
            </w:r>
          </w:p>
        </w:tc>
        <w:tc>
          <w:tcPr>
            <w:tcW w:w="1079" w:type="dxa"/>
            <w:vAlign w:val="center"/>
          </w:tcPr>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评审委员打分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22" w:type="dxa"/>
            <w:vAlign w:val="center"/>
          </w:tcPr>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2</w:t>
            </w:r>
          </w:p>
        </w:tc>
        <w:tc>
          <w:tcPr>
            <w:tcW w:w="1168" w:type="dxa"/>
            <w:vAlign w:val="center"/>
          </w:tcPr>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项目需求理解</w:t>
            </w:r>
          </w:p>
        </w:tc>
        <w:tc>
          <w:tcPr>
            <w:tcW w:w="5907" w:type="dxa"/>
          </w:tcPr>
          <w:p>
            <w:pPr>
              <w:autoSpaceDE w:val="0"/>
              <w:autoSpaceDN w:val="0"/>
              <w:adjustRightInd w:val="0"/>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（一）评审内容：</w:t>
            </w:r>
          </w:p>
          <w:p>
            <w:pPr>
              <w:autoSpaceDE w:val="0"/>
              <w:autoSpaceDN w:val="0"/>
              <w:adjustRightInd w:val="0"/>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根据投标人提供项目理解分析，方案内容包含不限于：</w:t>
            </w:r>
          </w:p>
          <w:p>
            <w:pPr>
              <w:autoSpaceDE w:val="0"/>
              <w:autoSpaceDN w:val="0"/>
              <w:adjustRightInd w:val="0"/>
              <w:spacing w:line="360" w:lineRule="auto"/>
              <w:jc w:val="left"/>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sz w:val="24"/>
                <w14:textFill>
                  <w14:solidFill>
                    <w14:schemeClr w14:val="tx1"/>
                  </w14:solidFill>
                </w14:textFill>
              </w:rPr>
              <w:t>1、对本项目涉及的自然人电子税务局、深圳市税务局自然人税收应用平台现状的理解，包括上述系统的业务架构、技术架构、数据架构、业务流程等是否有了解；</w:t>
            </w:r>
          </w:p>
          <w:p>
            <w:pPr>
              <w:autoSpaceDE w:val="0"/>
              <w:autoSpaceDN w:val="0"/>
              <w:adjustRightInd w:val="0"/>
              <w:spacing w:line="360" w:lineRule="auto"/>
              <w:jc w:val="left"/>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2、对本项目所建设的“港税e”系统需求的理解，重点是考察该系统与深圳市税务局自然人税收应用平台合理衔接是否有理解； </w:t>
            </w:r>
          </w:p>
          <w:p>
            <w:pPr>
              <w:autoSpaceDE w:val="0"/>
              <w:autoSpaceDN w:val="0"/>
              <w:adjustRightInd w:val="0"/>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方案满足以上二项得4分，满足一项得2分，不满足或未提供不得分。</w:t>
            </w:r>
          </w:p>
          <w:p>
            <w:pPr>
              <w:autoSpaceDE w:val="0"/>
              <w:autoSpaceDN w:val="0"/>
              <w:adjustRightInd w:val="0"/>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（二）评审标准：</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在此基础上提供的实施方案，根据方案理解是否精准、分析是否深入进一步评分：</w:t>
            </w:r>
          </w:p>
          <w:p>
            <w:pPr>
              <w:autoSpaceDE w:val="0"/>
              <w:autoSpaceDN w:val="0"/>
              <w:adjustRightInd w:val="0"/>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对上述内容理解精准，分析深入的，并能提供佐证的评价为优，加6分；</w:t>
            </w:r>
          </w:p>
          <w:p>
            <w:pPr>
              <w:autoSpaceDE w:val="0"/>
              <w:autoSpaceDN w:val="0"/>
              <w:adjustRightInd w:val="0"/>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对上述内容理解较为准确，分析较为深入的评价为良，加3分；</w:t>
            </w:r>
          </w:p>
          <w:p>
            <w:pPr>
              <w:autoSpaceDE w:val="0"/>
              <w:autoSpaceDN w:val="0"/>
              <w:adjustRightInd w:val="0"/>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对上述内容理解一般，分析基本正确的评价为中，加1分；</w:t>
            </w:r>
          </w:p>
          <w:p>
            <w:pPr>
              <w:autoSpaceDE w:val="0"/>
              <w:autoSpaceDN w:val="0"/>
              <w:adjustRightInd w:val="0"/>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对上述实施方案内容理解差，分析一般的评价为差，不加分。</w:t>
            </w:r>
          </w:p>
        </w:tc>
        <w:tc>
          <w:tcPr>
            <w:tcW w:w="901" w:type="dxa"/>
            <w:vAlign w:val="center"/>
          </w:tcPr>
          <w:p>
            <w:pPr>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10</w:t>
            </w:r>
          </w:p>
        </w:tc>
        <w:tc>
          <w:tcPr>
            <w:tcW w:w="1079" w:type="dxa"/>
            <w:vAlign w:val="center"/>
          </w:tcPr>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评审委员打分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22" w:type="dxa"/>
            <w:vAlign w:val="center"/>
          </w:tcPr>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3</w:t>
            </w:r>
          </w:p>
        </w:tc>
        <w:tc>
          <w:tcPr>
            <w:tcW w:w="1168" w:type="dxa"/>
            <w:vAlign w:val="center"/>
          </w:tcPr>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项目重点难点分析、应对措施及相关的合理化建议</w:t>
            </w:r>
          </w:p>
        </w:tc>
        <w:tc>
          <w:tcPr>
            <w:tcW w:w="5907" w:type="dxa"/>
            <w:vAlign w:val="center"/>
          </w:tcPr>
          <w:p>
            <w:pPr>
              <w:wordWrap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（一）评审内容：</w:t>
            </w:r>
          </w:p>
          <w:p>
            <w:pPr>
              <w:wordWrap w:val="0"/>
              <w:spacing w:line="360" w:lineRule="auto"/>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w:t>
            </w:r>
            <w:r>
              <w:rPr>
                <w:rFonts w:hint="eastAsia" w:ascii="宋体" w:hAnsi="宋体" w:cs="宋体"/>
                <w:color w:val="000000" w:themeColor="text1"/>
                <w:kern w:val="0"/>
                <w:sz w:val="24"/>
                <w:lang w:bidi="ar"/>
                <w14:textFill>
                  <w14:solidFill>
                    <w14:schemeClr w14:val="tx1"/>
                  </w14:solidFill>
                </w14:textFill>
              </w:rPr>
              <w:t>考察投标人对项目重点难点分析、应对措施及相关的合理化建议，</w:t>
            </w:r>
            <w:r>
              <w:rPr>
                <w:rFonts w:hint="eastAsia" w:ascii="宋体" w:hAnsi="宋体" w:cs="宋体"/>
                <w:color w:val="000000" w:themeColor="text1"/>
                <w:sz w:val="24"/>
                <w14:textFill>
                  <w14:solidFill>
                    <w14:schemeClr w14:val="tx1"/>
                  </w14:solidFill>
                </w14:textFill>
              </w:rPr>
              <w:t>内容包含不限于：</w:t>
            </w:r>
          </w:p>
          <w:p>
            <w:pPr>
              <w:numPr>
                <w:ilvl w:val="0"/>
                <w:numId w:val="9"/>
              </w:numPr>
              <w:wordWrap w:val="0"/>
              <w:spacing w:line="360" w:lineRule="auto"/>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sz w:val="24"/>
                <w14:textFill>
                  <w14:solidFill>
                    <w14:schemeClr w14:val="tx1"/>
                  </w14:solidFill>
                </w14:textFill>
              </w:rPr>
              <w:t>对内地及香港居民个人所得税政策</w:t>
            </w:r>
            <w:r>
              <w:rPr>
                <w:rFonts w:hint="eastAsia" w:ascii="宋体" w:hAnsi="宋体" w:cs="宋体"/>
                <w:color w:val="000000" w:themeColor="text1"/>
                <w:kern w:val="0"/>
                <w:sz w:val="24"/>
                <w:lang w:bidi="ar"/>
                <w14:textFill>
                  <w14:solidFill>
                    <w14:schemeClr w14:val="tx1"/>
                  </w14:solidFill>
                </w14:textFill>
              </w:rPr>
              <w:t>的理解；</w:t>
            </w:r>
          </w:p>
          <w:p>
            <w:pPr>
              <w:numPr>
                <w:ilvl w:val="0"/>
                <w:numId w:val="9"/>
              </w:numPr>
              <w:wordWrap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对项目中的重点难点的分析和表述；</w:t>
            </w:r>
          </w:p>
          <w:p>
            <w:pPr>
              <w:numPr>
                <w:ilvl w:val="0"/>
                <w:numId w:val="9"/>
              </w:numPr>
              <w:wordWrap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针对重点难点提出的解决方案等内容。</w:t>
            </w:r>
          </w:p>
          <w:p>
            <w:pPr>
              <w:autoSpaceDE w:val="0"/>
              <w:autoSpaceDN w:val="0"/>
              <w:adjustRightInd w:val="0"/>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方案满足以上三项得4分，满足二项得2分，满足一项得1分，不满足或未提供不得分。</w:t>
            </w:r>
          </w:p>
          <w:p>
            <w:pPr>
              <w:wordWrap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（二）评审标准：</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在此基础上提供的实施方案，根据方案理解是否精准、分析是否深入进一步评分：</w:t>
            </w:r>
          </w:p>
          <w:p>
            <w:pPr>
              <w:autoSpaceDE w:val="0"/>
              <w:autoSpaceDN w:val="0"/>
              <w:adjustRightInd w:val="0"/>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对上述内容理解精准，分析深入的评价为优，加6分；</w:t>
            </w:r>
          </w:p>
          <w:p>
            <w:pPr>
              <w:autoSpaceDE w:val="0"/>
              <w:autoSpaceDN w:val="0"/>
              <w:adjustRightInd w:val="0"/>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对上述内容理解较为准确，分析较为深入的评价为良，加3分；</w:t>
            </w:r>
          </w:p>
          <w:p>
            <w:pPr>
              <w:autoSpaceDE w:val="0"/>
              <w:autoSpaceDN w:val="0"/>
              <w:adjustRightInd w:val="0"/>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对上述内容理解一般，分析基本正确的评价为中，加1分；</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对上述实施方案内容理解差，分析一般的评价为差，不加分。</w:t>
            </w:r>
          </w:p>
        </w:tc>
        <w:tc>
          <w:tcPr>
            <w:tcW w:w="901" w:type="dxa"/>
            <w:vAlign w:val="center"/>
          </w:tcPr>
          <w:p>
            <w:pPr>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10</w:t>
            </w:r>
          </w:p>
        </w:tc>
        <w:tc>
          <w:tcPr>
            <w:tcW w:w="1079" w:type="dxa"/>
            <w:vAlign w:val="center"/>
          </w:tcPr>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评审委员打分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22"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1168" w:type="dxa"/>
            <w:vAlign w:val="center"/>
          </w:tcPr>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质量（完成时间、安全、环保）保障措施及方案</w:t>
            </w:r>
          </w:p>
        </w:tc>
        <w:tc>
          <w:tcPr>
            <w:tcW w:w="5907" w:type="dxa"/>
            <w:vAlign w:val="center"/>
          </w:tcPr>
          <w:p>
            <w:pPr>
              <w:wordWrap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（一）评审内容：</w:t>
            </w:r>
          </w:p>
          <w:p>
            <w:pPr>
              <w:wordWrap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根据投标人对项目服务质量（完成时间、安全、环保）保障措施及方案提供方案，内容包含不限于：</w:t>
            </w:r>
          </w:p>
          <w:p>
            <w:pPr>
              <w:numPr>
                <w:ilvl w:val="0"/>
                <w:numId w:val="10"/>
              </w:numPr>
              <w:wordWrap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质量保障措施；</w:t>
            </w:r>
          </w:p>
          <w:p>
            <w:pPr>
              <w:numPr>
                <w:ilvl w:val="0"/>
                <w:numId w:val="10"/>
              </w:numPr>
              <w:wordWrap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风险控制计划；</w:t>
            </w:r>
          </w:p>
          <w:p>
            <w:pPr>
              <w:numPr>
                <w:ilvl w:val="0"/>
                <w:numId w:val="10"/>
              </w:numPr>
              <w:wordWrap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应急响应处理措施。</w:t>
            </w:r>
          </w:p>
          <w:p>
            <w:pPr>
              <w:autoSpaceDE w:val="0"/>
              <w:autoSpaceDN w:val="0"/>
              <w:adjustRightInd w:val="0"/>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方案满足以上三项得3分，满足二项得2分，满足一项得1分，不满足或未提供不得分。</w:t>
            </w:r>
          </w:p>
          <w:p>
            <w:pPr>
              <w:wordWrap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（二）评审标准：</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在此基础上提供的实施方案，根据方案理解是否精准、分析是否深入进一步评分：</w:t>
            </w:r>
          </w:p>
          <w:p>
            <w:pPr>
              <w:autoSpaceDE w:val="0"/>
              <w:autoSpaceDN w:val="0"/>
              <w:adjustRightInd w:val="0"/>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对上述内容理解精准，分析深入的评价为优，加4分；</w:t>
            </w:r>
          </w:p>
          <w:p>
            <w:pPr>
              <w:autoSpaceDE w:val="0"/>
              <w:autoSpaceDN w:val="0"/>
              <w:adjustRightInd w:val="0"/>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对上述内容理解较为准确，分析较为深入的评价为良，加3分；</w:t>
            </w:r>
          </w:p>
          <w:p>
            <w:pPr>
              <w:autoSpaceDE w:val="0"/>
              <w:autoSpaceDN w:val="0"/>
              <w:adjustRightInd w:val="0"/>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对上述内容理解一般，分析基本正确的评价为中，加1分；</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对上述实施方案内容理解差，分析一般的评价为差，不加分。</w:t>
            </w:r>
          </w:p>
        </w:tc>
        <w:tc>
          <w:tcPr>
            <w:tcW w:w="901" w:type="dxa"/>
            <w:vAlign w:val="center"/>
          </w:tcPr>
          <w:p>
            <w:pPr>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7</w:t>
            </w:r>
          </w:p>
        </w:tc>
        <w:tc>
          <w:tcPr>
            <w:tcW w:w="1079" w:type="dxa"/>
            <w:vAlign w:val="center"/>
          </w:tcPr>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评审委员打分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22"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1168" w:type="dxa"/>
            <w:vAlign w:val="center"/>
          </w:tcPr>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项目完成（服务期满）后的服务承诺</w:t>
            </w:r>
          </w:p>
        </w:tc>
        <w:tc>
          <w:tcPr>
            <w:tcW w:w="5907" w:type="dxa"/>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投标人承诺以下全部三项的得4分，否则不得分。</w:t>
            </w:r>
          </w:p>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（1）服务期满后主动离岗； </w:t>
            </w:r>
          </w:p>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（2）与后续服务公司进行交接； </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（3）服务期满，后续服务公司未到位前仍按原合同服务承诺提供服务。</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要求提供承诺（格式自定）加盖公章作为得分依据，未提供承诺或承诺内容不满足要求不得分。</w:t>
            </w:r>
          </w:p>
        </w:tc>
        <w:tc>
          <w:tcPr>
            <w:tcW w:w="901" w:type="dxa"/>
            <w:vAlign w:val="center"/>
          </w:tcPr>
          <w:p>
            <w:pPr>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4</w:t>
            </w:r>
          </w:p>
        </w:tc>
        <w:tc>
          <w:tcPr>
            <w:tcW w:w="1079" w:type="dxa"/>
            <w:vAlign w:val="center"/>
          </w:tcPr>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评审委员打分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22"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p>
        </w:tc>
        <w:tc>
          <w:tcPr>
            <w:tcW w:w="1168" w:type="dxa"/>
            <w:vAlign w:val="center"/>
          </w:tcPr>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其他服务</w:t>
            </w:r>
            <w:r>
              <w:rPr>
                <w:rFonts w:hint="eastAsia" w:ascii="宋体" w:hAnsi="宋体" w:cs="宋体"/>
                <w:color w:val="000000" w:themeColor="text1"/>
                <w:sz w:val="24"/>
                <w:lang w:val="zh-CN"/>
                <w14:textFill>
                  <w14:solidFill>
                    <w14:schemeClr w14:val="tx1"/>
                  </w14:solidFill>
                </w14:textFill>
              </w:rPr>
              <w:t>承诺</w:t>
            </w:r>
          </w:p>
        </w:tc>
        <w:tc>
          <w:tcPr>
            <w:tcW w:w="5907" w:type="dxa"/>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投标人承诺以下全部两项的得4分，否则不得分。</w:t>
            </w:r>
          </w:p>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1.服务质量达到招标文件要求；</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2.对未能达到的管理要求承担管理责任。</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要求提供承诺（格式自定）加盖公章作为得分依据，未提供承诺或承诺内容不满足要求不得分。</w:t>
            </w:r>
          </w:p>
        </w:tc>
        <w:tc>
          <w:tcPr>
            <w:tcW w:w="901" w:type="dxa"/>
            <w:vAlign w:val="center"/>
          </w:tcPr>
          <w:p>
            <w:pPr>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4</w:t>
            </w:r>
          </w:p>
        </w:tc>
        <w:tc>
          <w:tcPr>
            <w:tcW w:w="1079" w:type="dxa"/>
            <w:vAlign w:val="center"/>
          </w:tcPr>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评审委员打分</w:t>
            </w:r>
          </w:p>
        </w:tc>
      </w:tr>
    </w:tbl>
    <w:p>
      <w:pPr>
        <w:tabs>
          <w:tab w:val="left" w:pos="640"/>
          <w:tab w:val="left" w:pos="1260"/>
          <w:tab w:val="left" w:pos="1418"/>
        </w:tabs>
        <w:spacing w:line="360" w:lineRule="auto"/>
        <w:ind w:right="-420" w:rightChars="-200"/>
        <w:rPr>
          <w:rFonts w:ascii="宋体" w:hAnsi="宋体" w:cs="宋体"/>
          <w:color w:val="000000" w:themeColor="text1"/>
          <w:sz w:val="24"/>
          <w:lang w:val="fr-CH"/>
          <w14:textFill>
            <w14:solidFill>
              <w14:schemeClr w14:val="tx1"/>
            </w14:solidFill>
          </w14:textFill>
        </w:rPr>
        <w:sectPr>
          <w:pgSz w:w="11906" w:h="16838"/>
          <w:pgMar w:top="850" w:right="1803" w:bottom="709" w:left="1803" w:header="851" w:footer="992" w:gutter="0"/>
          <w:cols w:space="720" w:num="1"/>
          <w:docGrid w:type="lines" w:linePitch="319" w:charSpace="0"/>
        </w:sectPr>
      </w:pPr>
    </w:p>
    <w:p>
      <w:pPr>
        <w:spacing w:line="360" w:lineRule="auto"/>
        <w:jc w:val="center"/>
        <w:outlineLvl w:val="0"/>
        <w:rPr>
          <w:rFonts w:ascii="宋体" w:hAnsi="宋体" w:cs="宋体"/>
          <w:b/>
          <w:bCs/>
          <w:color w:val="000000" w:themeColor="text1"/>
          <w:sz w:val="24"/>
          <w14:textFill>
            <w14:solidFill>
              <w14:schemeClr w14:val="tx1"/>
            </w14:solidFill>
          </w14:textFill>
        </w:rPr>
      </w:pPr>
      <w:bookmarkStart w:id="19" w:name="_Toc9548"/>
      <w:bookmarkStart w:id="20" w:name="_Hlk28269117"/>
      <w:r>
        <w:rPr>
          <w:rFonts w:hint="eastAsia" w:ascii="宋体" w:hAnsi="宋体" w:cs="宋体"/>
          <w:b/>
          <w:bCs/>
          <w:color w:val="000000" w:themeColor="text1"/>
          <w:sz w:val="24"/>
          <w14:textFill>
            <w14:solidFill>
              <w14:schemeClr w14:val="tx1"/>
            </w14:solidFill>
          </w14:textFill>
        </w:rPr>
        <w:t>第七章 附件（投标文件格式）</w:t>
      </w:r>
      <w:bookmarkEnd w:id="19"/>
    </w:p>
    <w:p>
      <w:pPr>
        <w:keepNext/>
        <w:keepLines/>
        <w:spacing w:before="260" w:after="260" w:line="440" w:lineRule="exact"/>
        <w:jc w:val="center"/>
        <w:outlineLvl w:val="1"/>
        <w:rPr>
          <w:rFonts w:ascii="宋体" w:hAnsi="宋体" w:cs="宋体"/>
          <w:b/>
          <w:bCs/>
          <w:color w:val="000000" w:themeColor="text1"/>
          <w:sz w:val="24"/>
          <w14:textFill>
            <w14:solidFill>
              <w14:schemeClr w14:val="tx1"/>
            </w14:solidFill>
          </w14:textFill>
        </w:rPr>
      </w:pPr>
      <w:bookmarkStart w:id="21" w:name="_Toc31827"/>
      <w:bookmarkStart w:id="22" w:name="_Toc19494"/>
      <w:bookmarkStart w:id="23" w:name="_Toc6548"/>
      <w:bookmarkStart w:id="24" w:name="_Toc5116"/>
      <w:r>
        <w:rPr>
          <w:rFonts w:hint="eastAsia" w:ascii="宋体" w:hAnsi="宋体" w:cs="宋体"/>
          <w:b/>
          <w:bCs/>
          <w:color w:val="000000" w:themeColor="text1"/>
          <w:sz w:val="24"/>
          <w14:textFill>
            <w14:solidFill>
              <w14:schemeClr w14:val="tx1"/>
            </w14:solidFill>
          </w14:textFill>
        </w:rPr>
        <w:t>1、投标文件密封袋/封面参考</w:t>
      </w:r>
      <w:bookmarkEnd w:id="21"/>
      <w:bookmarkEnd w:id="22"/>
      <w:bookmarkEnd w:id="23"/>
      <w:bookmarkEnd w:id="24"/>
    </w:p>
    <w:tbl>
      <w:tblPr>
        <w:tblStyle w:val="16"/>
        <w:tblW w:w="8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2" w:hRule="atLeast"/>
          <w:jc w:val="center"/>
        </w:trPr>
        <w:tc>
          <w:tcPr>
            <w:tcW w:w="8540" w:type="dxa"/>
          </w:tcPr>
          <w:p>
            <w:pPr>
              <w:pStyle w:val="5"/>
              <w:tabs>
                <w:tab w:val="left" w:pos="562"/>
                <w:tab w:val="left" w:pos="3372"/>
                <w:tab w:val="left" w:pos="3653"/>
              </w:tabs>
              <w:spacing w:line="360" w:lineRule="auto"/>
              <w:rPr>
                <w:rFonts w:ascii="仿宋_GB2312" w:eastAsia="仿宋_GB2312"/>
                <w:b/>
                <w:color w:val="000000" w:themeColor="text1"/>
                <w:sz w:val="32"/>
                <w14:textFill>
                  <w14:solidFill>
                    <w14:schemeClr w14:val="tx1"/>
                  </w14:solidFill>
                </w14:textFill>
              </w:rPr>
            </w:pPr>
          </w:p>
          <w:p>
            <w:pPr>
              <w:pStyle w:val="5"/>
              <w:tabs>
                <w:tab w:val="left" w:pos="562"/>
                <w:tab w:val="left" w:pos="3372"/>
                <w:tab w:val="left" w:pos="3653"/>
              </w:tabs>
              <w:spacing w:line="360" w:lineRule="auto"/>
              <w:jc w:val="center"/>
              <w:rPr>
                <w:rFonts w:ascii="黑体" w:eastAsia="黑体"/>
                <w:b/>
                <w:color w:val="000000" w:themeColor="text1"/>
                <w:sz w:val="72"/>
                <w:szCs w:val="72"/>
                <w14:textFill>
                  <w14:solidFill>
                    <w14:schemeClr w14:val="tx1"/>
                  </w14:solidFill>
                </w14:textFill>
              </w:rPr>
            </w:pPr>
          </w:p>
          <w:p>
            <w:pPr>
              <w:pStyle w:val="5"/>
              <w:tabs>
                <w:tab w:val="left" w:pos="562"/>
                <w:tab w:val="left" w:pos="3372"/>
                <w:tab w:val="left" w:pos="3653"/>
              </w:tabs>
              <w:spacing w:line="360" w:lineRule="auto"/>
              <w:jc w:val="center"/>
              <w:rPr>
                <w:rFonts w:ascii="黑体" w:eastAsia="黑体"/>
                <w:b/>
                <w:color w:val="000000" w:themeColor="text1"/>
                <w:sz w:val="72"/>
                <w:szCs w:val="72"/>
                <w14:textFill>
                  <w14:solidFill>
                    <w14:schemeClr w14:val="tx1"/>
                  </w14:solidFill>
                </w14:textFill>
              </w:rPr>
            </w:pPr>
            <w:r>
              <w:rPr>
                <w:rFonts w:hint="eastAsia" w:ascii="黑体" w:eastAsia="黑体"/>
                <w:b/>
                <w:color w:val="000000" w:themeColor="text1"/>
                <w:sz w:val="72"/>
                <w:szCs w:val="72"/>
                <w14:textFill>
                  <w14:solidFill>
                    <w14:schemeClr w14:val="tx1"/>
                  </w14:solidFill>
                </w14:textFill>
              </w:rPr>
              <w:t>投 标 文 件</w:t>
            </w:r>
          </w:p>
          <w:p>
            <w:pPr>
              <w:pStyle w:val="5"/>
              <w:tabs>
                <w:tab w:val="left" w:pos="562"/>
                <w:tab w:val="left" w:pos="3372"/>
                <w:tab w:val="left" w:pos="3653"/>
              </w:tabs>
              <w:spacing w:line="360" w:lineRule="auto"/>
              <w:jc w:val="center"/>
              <w:rPr>
                <w:rFonts w:ascii="黑体" w:eastAsia="黑体"/>
                <w:b/>
                <w:strike/>
                <w:color w:val="000000" w:themeColor="text1"/>
                <w:sz w:val="32"/>
                <w14:textFill>
                  <w14:solidFill>
                    <w14:schemeClr w14:val="tx1"/>
                  </w14:solidFill>
                </w14:textFill>
              </w:rPr>
            </w:pPr>
          </w:p>
          <w:p>
            <w:pPr>
              <w:spacing w:after="120" w:line="360" w:lineRule="auto"/>
              <w:ind w:firstLine="3385" w:firstLineChars="651"/>
              <w:textAlignment w:val="baseline"/>
              <w:rPr>
                <w:rFonts w:ascii="黑体" w:eastAsia="黑体"/>
                <w:color w:val="000000" w:themeColor="text1"/>
                <w:sz w:val="32"/>
                <w14:textFill>
                  <w14:solidFill>
                    <w14:schemeClr w14:val="tx1"/>
                  </w14:solidFill>
                </w14:textFill>
              </w:rPr>
            </w:pPr>
            <w:r>
              <w:rPr>
                <w:rFonts w:hint="eastAsia" w:ascii="黑体" w:eastAsia="黑体"/>
                <w:color w:val="000000" w:themeColor="text1"/>
                <w:sz w:val="52"/>
                <w:szCs w:val="52"/>
                <w14:textFill>
                  <w14:solidFill>
                    <w14:schemeClr w14:val="tx1"/>
                  </w14:solidFill>
                </w14:textFill>
              </w:rPr>
              <w:t xml:space="preserve">口 </w:t>
            </w:r>
            <w:r>
              <w:rPr>
                <w:rFonts w:hint="eastAsia" w:ascii="黑体" w:eastAsia="黑体"/>
                <w:color w:val="000000" w:themeColor="text1"/>
                <w:sz w:val="32"/>
                <w14:textFill>
                  <w14:solidFill>
                    <w14:schemeClr w14:val="tx1"/>
                  </w14:solidFill>
                </w14:textFill>
              </w:rPr>
              <w:t>正本</w:t>
            </w:r>
          </w:p>
          <w:p>
            <w:pPr>
              <w:spacing w:after="120" w:line="360" w:lineRule="auto"/>
              <w:ind w:firstLine="3385" w:firstLineChars="651"/>
              <w:textAlignment w:val="baseline"/>
              <w:rPr>
                <w:rFonts w:ascii="黑体" w:eastAsia="黑体"/>
                <w:color w:val="000000" w:themeColor="text1"/>
                <w:sz w:val="32"/>
                <w14:textFill>
                  <w14:solidFill>
                    <w14:schemeClr w14:val="tx1"/>
                  </w14:solidFill>
                </w14:textFill>
              </w:rPr>
            </w:pPr>
            <w:r>
              <w:rPr>
                <w:rFonts w:hint="eastAsia" w:ascii="黑体" w:eastAsia="黑体"/>
                <w:color w:val="000000" w:themeColor="text1"/>
                <w:sz w:val="52"/>
                <w:szCs w:val="52"/>
                <w14:textFill>
                  <w14:solidFill>
                    <w14:schemeClr w14:val="tx1"/>
                  </w14:solidFill>
                </w14:textFill>
              </w:rPr>
              <w:t xml:space="preserve">口 </w:t>
            </w:r>
            <w:r>
              <w:rPr>
                <w:rFonts w:hint="eastAsia" w:ascii="黑体" w:eastAsia="黑体"/>
                <w:color w:val="000000" w:themeColor="text1"/>
                <w:sz w:val="32"/>
                <w14:textFill>
                  <w14:solidFill>
                    <w14:schemeClr w14:val="tx1"/>
                  </w14:solidFill>
                </w14:textFill>
              </w:rPr>
              <w:t>副本</w:t>
            </w:r>
          </w:p>
          <w:p>
            <w:pPr>
              <w:pStyle w:val="5"/>
              <w:tabs>
                <w:tab w:val="left" w:pos="562"/>
                <w:tab w:val="left" w:pos="3372"/>
                <w:tab w:val="left" w:pos="3653"/>
              </w:tabs>
              <w:spacing w:line="360" w:lineRule="auto"/>
              <w:rPr>
                <w:rFonts w:ascii="仿宋_GB2312" w:eastAsia="仿宋_GB2312"/>
                <w:b/>
                <w:color w:val="000000" w:themeColor="text1"/>
                <w:sz w:val="32"/>
                <w14:textFill>
                  <w14:solidFill>
                    <w14:schemeClr w14:val="tx1"/>
                  </w14:solidFill>
                </w14:textFill>
              </w:rPr>
            </w:pPr>
          </w:p>
          <w:p>
            <w:pPr>
              <w:rPr>
                <w:color w:val="000000" w:themeColor="text1"/>
                <w14:textFill>
                  <w14:solidFill>
                    <w14:schemeClr w14:val="tx1"/>
                  </w14:solidFill>
                </w14:textFill>
              </w:rPr>
            </w:pPr>
          </w:p>
          <w:p>
            <w:pPr>
              <w:pStyle w:val="5"/>
              <w:tabs>
                <w:tab w:val="left" w:pos="562"/>
                <w:tab w:val="left" w:pos="3372"/>
                <w:tab w:val="left" w:pos="3653"/>
              </w:tabs>
              <w:spacing w:line="400" w:lineRule="exact"/>
              <w:ind w:firstLine="900" w:firstLineChars="320"/>
              <w:rPr>
                <w:rFonts w:ascii="仿宋_GB2312" w:eastAsia="仿宋_GB2312"/>
                <w:b/>
                <w:color w:val="000000" w:themeColor="text1"/>
                <w:sz w:val="28"/>
                <w:szCs w:val="28"/>
                <w14:textFill>
                  <w14:solidFill>
                    <w14:schemeClr w14:val="tx1"/>
                  </w14:solidFill>
                </w14:textFill>
              </w:rPr>
            </w:pPr>
          </w:p>
          <w:p>
            <w:pPr>
              <w:pStyle w:val="5"/>
              <w:tabs>
                <w:tab w:val="left" w:pos="562"/>
                <w:tab w:val="left" w:pos="3372"/>
                <w:tab w:val="left" w:pos="3653"/>
              </w:tabs>
              <w:spacing w:line="400" w:lineRule="exact"/>
              <w:ind w:firstLine="900" w:firstLineChars="32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项目编号：</w:t>
            </w:r>
            <w:r>
              <w:rPr>
                <w:rFonts w:hint="eastAsia" w:ascii="宋体" w:hAnsi="宋体" w:cs="Arial"/>
                <w:b/>
                <w:bCs/>
                <w:color w:val="000000" w:themeColor="text1"/>
                <w:sz w:val="28"/>
                <w:szCs w:val="28"/>
                <w:u w:val="single"/>
                <w14:textFill>
                  <w14:solidFill>
                    <w14:schemeClr w14:val="tx1"/>
                  </w14:solidFill>
                </w14:textFill>
              </w:rPr>
              <w:t xml:space="preserve">                                   </w:t>
            </w:r>
          </w:p>
          <w:p>
            <w:pPr>
              <w:pStyle w:val="5"/>
              <w:tabs>
                <w:tab w:val="left" w:pos="562"/>
                <w:tab w:val="left" w:pos="3372"/>
                <w:tab w:val="left" w:pos="3653"/>
              </w:tabs>
              <w:spacing w:line="400" w:lineRule="exact"/>
              <w:ind w:firstLine="900" w:firstLineChars="32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项目名称：</w:t>
            </w:r>
            <w:r>
              <w:rPr>
                <w:rFonts w:hint="eastAsia" w:ascii="宋体" w:hAnsi="宋体" w:cs="Arial"/>
                <w:b/>
                <w:bCs/>
                <w:color w:val="000000" w:themeColor="text1"/>
                <w:sz w:val="28"/>
                <w:szCs w:val="28"/>
                <w:u w:val="single"/>
                <w14:textFill>
                  <w14:solidFill>
                    <w14:schemeClr w14:val="tx1"/>
                  </w14:solidFill>
                </w14:textFill>
              </w:rPr>
              <w:t xml:space="preserve">                                   </w:t>
            </w:r>
          </w:p>
          <w:p>
            <w:pPr>
              <w:pStyle w:val="5"/>
              <w:tabs>
                <w:tab w:val="left" w:pos="562"/>
                <w:tab w:val="left" w:pos="3372"/>
                <w:tab w:val="left" w:pos="3653"/>
              </w:tabs>
              <w:spacing w:line="400" w:lineRule="exact"/>
              <w:ind w:firstLine="900" w:firstLineChars="32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投标人名称：</w:t>
            </w:r>
            <w:r>
              <w:rPr>
                <w:rFonts w:hint="eastAsia" w:ascii="宋体" w:hAnsi="宋体" w:cs="Arial"/>
                <w:b/>
                <w:bCs/>
                <w:color w:val="000000" w:themeColor="text1"/>
                <w:sz w:val="28"/>
                <w:szCs w:val="28"/>
                <w:u w:val="single"/>
                <w14:textFill>
                  <w14:solidFill>
                    <w14:schemeClr w14:val="tx1"/>
                  </w14:solidFill>
                </w14:textFill>
              </w:rPr>
              <w:t xml:space="preserve">                     （加盖公章）</w:t>
            </w:r>
          </w:p>
          <w:p>
            <w:pPr>
              <w:pStyle w:val="5"/>
              <w:tabs>
                <w:tab w:val="left" w:pos="562"/>
                <w:tab w:val="left" w:pos="3372"/>
                <w:tab w:val="left" w:pos="3653"/>
              </w:tabs>
              <w:spacing w:line="400" w:lineRule="exact"/>
              <w:ind w:firstLine="900" w:firstLineChars="320"/>
              <w:rPr>
                <w:rFonts w:ascii="宋体" w:hAnsi="宋体" w:cs="Arial"/>
                <w:b/>
                <w:bCs/>
                <w:color w:val="000000" w:themeColor="text1"/>
                <w:sz w:val="28"/>
                <w:szCs w:val="28"/>
                <w:u w:val="single"/>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投标人地址：</w:t>
            </w:r>
            <w:r>
              <w:rPr>
                <w:rFonts w:hint="eastAsia" w:ascii="宋体" w:hAnsi="宋体" w:cs="Arial"/>
                <w:b/>
                <w:bCs/>
                <w:color w:val="000000" w:themeColor="text1"/>
                <w:sz w:val="28"/>
                <w:szCs w:val="28"/>
                <w:u w:val="single"/>
                <w14:textFill>
                  <w14:solidFill>
                    <w14:schemeClr w14:val="tx1"/>
                  </w14:solidFill>
                </w14:textFill>
              </w:rPr>
              <w:t xml:space="preserve">                                 </w:t>
            </w:r>
          </w:p>
          <w:p>
            <w:pPr>
              <w:pStyle w:val="5"/>
              <w:tabs>
                <w:tab w:val="left" w:pos="562"/>
                <w:tab w:val="left" w:pos="3372"/>
                <w:tab w:val="left" w:pos="3653"/>
              </w:tabs>
              <w:spacing w:line="400" w:lineRule="exact"/>
              <w:ind w:firstLine="900" w:firstLineChars="320"/>
              <w:rPr>
                <w:rFonts w:ascii="宋体" w:hAnsi="宋体" w:cs="Arial"/>
                <w:b/>
                <w:bCs/>
                <w:color w:val="000000" w:themeColor="text1"/>
                <w:sz w:val="28"/>
                <w:szCs w:val="28"/>
                <w:u w:val="single"/>
                <w14:textFill>
                  <w14:solidFill>
                    <w14:schemeClr w14:val="tx1"/>
                  </w14:solidFill>
                </w14:textFill>
              </w:rPr>
            </w:pPr>
            <w:r>
              <w:rPr>
                <w:rFonts w:hint="eastAsia" w:ascii="宋体" w:hAnsi="宋体" w:cs="Arial"/>
                <w:b/>
                <w:bCs/>
                <w:color w:val="000000" w:themeColor="text1"/>
                <w:sz w:val="28"/>
                <w:szCs w:val="28"/>
                <w14:textFill>
                  <w14:solidFill>
                    <w14:schemeClr w14:val="tx1"/>
                  </w14:solidFill>
                </w14:textFill>
              </w:rPr>
              <w:t>法定代表人/被授权人：</w:t>
            </w:r>
            <w:r>
              <w:rPr>
                <w:rFonts w:hint="eastAsia" w:ascii="宋体" w:hAnsi="宋体" w:cs="Arial"/>
                <w:b/>
                <w:bCs/>
                <w:color w:val="000000" w:themeColor="text1"/>
                <w:sz w:val="28"/>
                <w:szCs w:val="28"/>
                <w:u w:val="single"/>
                <w14:textFill>
                  <w14:solidFill>
                    <w14:schemeClr w14:val="tx1"/>
                  </w14:solidFill>
                </w14:textFill>
              </w:rPr>
              <w:t xml:space="preserve">                        </w:t>
            </w:r>
          </w:p>
          <w:p>
            <w:pPr>
              <w:pStyle w:val="5"/>
              <w:tabs>
                <w:tab w:val="left" w:pos="562"/>
                <w:tab w:val="left" w:pos="3372"/>
                <w:tab w:val="left" w:pos="3653"/>
              </w:tabs>
              <w:spacing w:line="400" w:lineRule="exact"/>
              <w:ind w:firstLine="900" w:firstLineChars="320"/>
              <w:rPr>
                <w:rFonts w:ascii="宋体" w:hAnsi="宋体" w:cs="宋体"/>
                <w:b/>
                <w:color w:val="000000" w:themeColor="text1"/>
                <w:sz w:val="28"/>
                <w:szCs w:val="28"/>
                <w14:textFill>
                  <w14:solidFill>
                    <w14:schemeClr w14:val="tx1"/>
                  </w14:solidFill>
                </w14:textFill>
              </w:rPr>
            </w:pPr>
            <w:r>
              <w:rPr>
                <w:rFonts w:hint="eastAsia" w:ascii="宋体" w:hAnsi="宋体" w:cs="Arial"/>
                <w:b/>
                <w:bCs/>
                <w:color w:val="000000" w:themeColor="text1"/>
                <w:sz w:val="28"/>
                <w:szCs w:val="28"/>
                <w14:textFill>
                  <w14:solidFill>
                    <w14:schemeClr w14:val="tx1"/>
                  </w14:solidFill>
                </w14:textFill>
              </w:rPr>
              <w:t>联系电话：</w:t>
            </w:r>
            <w:r>
              <w:rPr>
                <w:rFonts w:hint="eastAsia" w:ascii="宋体" w:hAnsi="宋体" w:cs="Arial"/>
                <w:b/>
                <w:bCs/>
                <w:color w:val="000000" w:themeColor="text1"/>
                <w:sz w:val="28"/>
                <w:szCs w:val="28"/>
                <w:u w:val="single"/>
                <w14:textFill>
                  <w14:solidFill>
                    <w14:schemeClr w14:val="tx1"/>
                  </w14:solidFill>
                </w14:textFill>
              </w:rPr>
              <w:t xml:space="preserve">                                   </w:t>
            </w:r>
          </w:p>
          <w:p>
            <w:pPr>
              <w:spacing w:line="360" w:lineRule="auto"/>
              <w:jc w:val="center"/>
              <w:rPr>
                <w:rFonts w:ascii="宋体" w:hAnsi="宋体" w:cs="Arial"/>
                <w:b/>
                <w:bCs/>
                <w:color w:val="000000" w:themeColor="text1"/>
                <w:sz w:val="28"/>
                <w:szCs w:val="28"/>
                <w14:textFill>
                  <w14:solidFill>
                    <w14:schemeClr w14:val="tx1"/>
                  </w14:solidFill>
                </w14:textFill>
              </w:rPr>
            </w:pPr>
          </w:p>
          <w:p>
            <w:pPr>
              <w:spacing w:line="360" w:lineRule="auto"/>
              <w:jc w:val="center"/>
              <w:rPr>
                <w:rFonts w:ascii="宋体" w:hAnsi="宋体" w:cs="Arial"/>
                <w:b/>
                <w:bCs/>
                <w:color w:val="000000" w:themeColor="text1"/>
                <w:sz w:val="28"/>
                <w:szCs w:val="28"/>
                <w14:textFill>
                  <w14:solidFill>
                    <w14:schemeClr w14:val="tx1"/>
                  </w14:solidFill>
                </w14:textFill>
              </w:rPr>
            </w:pPr>
          </w:p>
          <w:p>
            <w:pPr>
              <w:spacing w:line="360" w:lineRule="auto"/>
              <w:jc w:val="center"/>
              <w:rPr>
                <w:rFonts w:ascii="仿宋_GB2312" w:eastAsia="仿宋_GB2312"/>
                <w:b/>
                <w:color w:val="000000" w:themeColor="text1"/>
                <w:sz w:val="32"/>
                <w14:textFill>
                  <w14:solidFill>
                    <w14:schemeClr w14:val="tx1"/>
                  </w14:solidFill>
                </w14:textFill>
              </w:rPr>
            </w:pPr>
            <w:r>
              <w:rPr>
                <w:rFonts w:hint="eastAsia" w:ascii="宋体" w:hAnsi="宋体" w:cs="Arial"/>
                <w:b/>
                <w:bCs/>
                <w:color w:val="000000" w:themeColor="text1"/>
                <w:sz w:val="28"/>
                <w:szCs w:val="28"/>
                <w14:textFill>
                  <w14:solidFill>
                    <w14:schemeClr w14:val="tx1"/>
                  </w14:solidFill>
                </w14:textFill>
              </w:rPr>
              <w:t>【年月日时分之前不得启封。】</w:t>
            </w:r>
          </w:p>
        </w:tc>
      </w:tr>
    </w:tbl>
    <w:p>
      <w:pPr>
        <w:spacing w:line="360" w:lineRule="auto"/>
        <w:jc w:val="center"/>
        <w:rPr>
          <w:rFonts w:ascii="宋体" w:hAnsi="宋体" w:cs="宋体"/>
          <w:b/>
          <w:bCs/>
          <w:color w:val="000000" w:themeColor="text1"/>
          <w:sz w:val="24"/>
          <w14:textFill>
            <w14:solidFill>
              <w14:schemeClr w14:val="tx1"/>
            </w14:solidFill>
          </w14:textFill>
        </w:rPr>
      </w:pPr>
    </w:p>
    <w:p>
      <w:pPr>
        <w:spacing w:before="100" w:beforeAutospacing="1" w:after="100" w:afterAutospacing="1"/>
        <w:jc w:val="center"/>
        <w:outlineLvl w:val="1"/>
        <w:rPr>
          <w:rFonts w:ascii="宋体" w:hAnsi="宋体" w:cs="宋体"/>
          <w:b/>
          <w:color w:val="000000" w:themeColor="text1"/>
          <w:sz w:val="24"/>
          <w14:textFill>
            <w14:solidFill>
              <w14:schemeClr w14:val="tx1"/>
            </w14:solidFill>
          </w14:textFill>
        </w:rPr>
      </w:pPr>
      <w:bookmarkStart w:id="25" w:name="_Toc16724"/>
      <w:r>
        <w:rPr>
          <w:rFonts w:hint="eastAsia" w:ascii="宋体" w:hAnsi="宋体" w:cs="宋体"/>
          <w:b/>
          <w:color w:val="000000" w:themeColor="text1"/>
          <w:sz w:val="24"/>
          <w14:textFill>
            <w14:solidFill>
              <w14:schemeClr w14:val="tx1"/>
            </w14:solidFill>
          </w14:textFill>
        </w:rPr>
        <w:t>2、投标文件—目录</w:t>
      </w:r>
      <w:bookmarkEnd w:id="25"/>
    </w:p>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（一）</w:t>
      </w:r>
      <w:r>
        <w:rPr>
          <w:rFonts w:hint="eastAsia" w:ascii="宋体" w:hAnsi="宋体" w:cs="宋体"/>
          <w:b/>
          <w:bCs/>
          <w:color w:val="000000" w:themeColor="text1"/>
          <w:sz w:val="24"/>
          <w:lang w:val="zh-CN"/>
          <w14:textFill>
            <w14:solidFill>
              <w14:schemeClr w14:val="tx1"/>
            </w14:solidFill>
          </w14:textFill>
        </w:rPr>
        <w:t>价格部分</w:t>
      </w:r>
    </w:p>
    <w:p>
      <w:pPr>
        <w:numPr>
          <w:ilvl w:val="0"/>
          <w:numId w:val="11"/>
        </w:numPr>
        <w:tabs>
          <w:tab w:val="left" w:pos="640"/>
          <w:tab w:val="clear" w:pos="425"/>
        </w:tabs>
        <w:spacing w:line="360" w:lineRule="auto"/>
        <w:ind w:left="625" w:hanging="62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投标一览表；</w:t>
      </w:r>
    </w:p>
    <w:p>
      <w:pPr>
        <w:numPr>
          <w:ilvl w:val="0"/>
          <w:numId w:val="11"/>
        </w:numPr>
        <w:tabs>
          <w:tab w:val="left" w:pos="640"/>
          <w:tab w:val="clear" w:pos="425"/>
        </w:tabs>
        <w:spacing w:line="360" w:lineRule="auto"/>
        <w:ind w:left="625" w:hanging="62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分类报价明细表；</w:t>
      </w:r>
    </w:p>
    <w:p>
      <w:pPr>
        <w:spacing w:line="360" w:lineRule="auto"/>
        <w:rPr>
          <w:rFonts w:ascii="宋体" w:hAnsi="宋体" w:cs="宋体"/>
          <w:b/>
          <w:bCs/>
          <w:color w:val="000000" w:themeColor="text1"/>
          <w:sz w:val="24"/>
          <w:u w:val="wave"/>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（二）商务部分</w:t>
      </w:r>
    </w:p>
    <w:p>
      <w:pPr>
        <w:numPr>
          <w:ilvl w:val="0"/>
          <w:numId w:val="12"/>
        </w:numPr>
        <w:tabs>
          <w:tab w:val="left" w:pos="640"/>
          <w:tab w:val="left" w:pos="1260"/>
          <w:tab w:val="left" w:pos="1418"/>
        </w:tabs>
        <w:spacing w:line="360" w:lineRule="auto"/>
        <w:ind w:left="845" w:hanging="84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投标函；</w:t>
      </w:r>
    </w:p>
    <w:p>
      <w:pPr>
        <w:numPr>
          <w:ilvl w:val="0"/>
          <w:numId w:val="12"/>
        </w:numPr>
        <w:tabs>
          <w:tab w:val="left" w:pos="640"/>
          <w:tab w:val="left" w:pos="1260"/>
          <w:tab w:val="left" w:pos="1418"/>
        </w:tabs>
        <w:spacing w:line="360" w:lineRule="auto"/>
        <w:ind w:left="645" w:hanging="645"/>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t>营业执照【其他组织提供《事业单位法人证书》或《民办非企业单位登记证书》】及税务登记册证副本复印件（加盖投标人公章，若提供的营业执照为三证合一，则税务登记证可不单独提供）；</w:t>
      </w:r>
    </w:p>
    <w:p>
      <w:pPr>
        <w:numPr>
          <w:ilvl w:val="0"/>
          <w:numId w:val="12"/>
        </w:numPr>
        <w:tabs>
          <w:tab w:val="left" w:pos="640"/>
          <w:tab w:val="left" w:pos="1260"/>
          <w:tab w:val="left" w:pos="1418"/>
        </w:tabs>
        <w:spacing w:line="360" w:lineRule="auto"/>
        <w:ind w:left="645" w:hanging="645"/>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t>政府采购投标及履约承诺函；</w:t>
      </w:r>
    </w:p>
    <w:p>
      <w:pPr>
        <w:numPr>
          <w:ilvl w:val="0"/>
          <w:numId w:val="12"/>
        </w:numPr>
        <w:tabs>
          <w:tab w:val="left" w:pos="640"/>
          <w:tab w:val="left" w:pos="1260"/>
          <w:tab w:val="left" w:pos="1418"/>
        </w:tabs>
        <w:spacing w:line="360" w:lineRule="auto"/>
        <w:ind w:left="645" w:hanging="645"/>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t>关于资格的声明函；</w:t>
      </w:r>
    </w:p>
    <w:p>
      <w:pPr>
        <w:numPr>
          <w:ilvl w:val="0"/>
          <w:numId w:val="12"/>
        </w:numPr>
        <w:tabs>
          <w:tab w:val="left" w:pos="640"/>
          <w:tab w:val="left" w:pos="1260"/>
          <w:tab w:val="left" w:pos="1418"/>
        </w:tabs>
        <w:spacing w:line="360" w:lineRule="auto"/>
        <w:ind w:left="645" w:hanging="645"/>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t>法人代表证明书及身份证明；</w:t>
      </w:r>
    </w:p>
    <w:p>
      <w:pPr>
        <w:numPr>
          <w:ilvl w:val="0"/>
          <w:numId w:val="12"/>
        </w:numPr>
        <w:tabs>
          <w:tab w:val="left" w:pos="640"/>
          <w:tab w:val="left" w:pos="1260"/>
          <w:tab w:val="left" w:pos="1418"/>
        </w:tabs>
        <w:spacing w:line="360" w:lineRule="auto"/>
        <w:ind w:left="845" w:hanging="845"/>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t>法定代表人授权书及身份证明；</w:t>
      </w:r>
    </w:p>
    <w:p>
      <w:pPr>
        <w:numPr>
          <w:ilvl w:val="0"/>
          <w:numId w:val="12"/>
        </w:numPr>
        <w:tabs>
          <w:tab w:val="left" w:pos="640"/>
          <w:tab w:val="left" w:pos="1260"/>
          <w:tab w:val="left" w:pos="1418"/>
        </w:tabs>
        <w:spacing w:line="360" w:lineRule="auto"/>
        <w:ind w:left="845" w:hanging="845"/>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t>招标代理服务费承诺书；</w:t>
      </w:r>
    </w:p>
    <w:p>
      <w:pPr>
        <w:numPr>
          <w:ilvl w:val="0"/>
          <w:numId w:val="12"/>
        </w:numPr>
        <w:tabs>
          <w:tab w:val="left" w:pos="640"/>
          <w:tab w:val="left" w:pos="1260"/>
          <w:tab w:val="left" w:pos="1418"/>
        </w:tabs>
        <w:spacing w:line="360" w:lineRule="auto"/>
        <w:ind w:left="845" w:hanging="845"/>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t>投标人简介；</w:t>
      </w:r>
    </w:p>
    <w:p>
      <w:pPr>
        <w:numPr>
          <w:ilvl w:val="0"/>
          <w:numId w:val="12"/>
        </w:numPr>
        <w:tabs>
          <w:tab w:val="left" w:pos="640"/>
          <w:tab w:val="left" w:pos="840"/>
          <w:tab w:val="left" w:pos="1260"/>
          <w:tab w:val="left" w:pos="1418"/>
        </w:tabs>
        <w:spacing w:line="360" w:lineRule="auto"/>
        <w:ind w:left="845" w:hanging="845"/>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t>投标人通过相关认证情况；</w:t>
      </w:r>
    </w:p>
    <w:p>
      <w:pPr>
        <w:numPr>
          <w:ilvl w:val="0"/>
          <w:numId w:val="12"/>
        </w:numPr>
        <w:tabs>
          <w:tab w:val="left" w:pos="640"/>
          <w:tab w:val="left" w:pos="840"/>
          <w:tab w:val="left" w:pos="1260"/>
          <w:tab w:val="left" w:pos="1418"/>
        </w:tabs>
        <w:spacing w:line="360" w:lineRule="auto"/>
        <w:ind w:left="845" w:hanging="845"/>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t>投标人同类项目业绩情况；</w:t>
      </w:r>
    </w:p>
    <w:p>
      <w:pPr>
        <w:numPr>
          <w:ilvl w:val="0"/>
          <w:numId w:val="12"/>
        </w:numPr>
        <w:tabs>
          <w:tab w:val="left" w:pos="640"/>
          <w:tab w:val="left" w:pos="840"/>
          <w:tab w:val="left" w:pos="1260"/>
          <w:tab w:val="left" w:pos="1418"/>
        </w:tabs>
        <w:spacing w:line="360" w:lineRule="auto"/>
        <w:ind w:left="845" w:hanging="845"/>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t>拟安排的项目负责人情况（仅限一人）；</w:t>
      </w:r>
    </w:p>
    <w:p>
      <w:pPr>
        <w:numPr>
          <w:ilvl w:val="0"/>
          <w:numId w:val="12"/>
        </w:numPr>
        <w:tabs>
          <w:tab w:val="left" w:pos="640"/>
          <w:tab w:val="left" w:pos="840"/>
          <w:tab w:val="left" w:pos="1260"/>
          <w:tab w:val="left" w:pos="1418"/>
        </w:tabs>
        <w:spacing w:line="360" w:lineRule="auto"/>
        <w:ind w:left="845" w:hanging="845"/>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t>拟安排的项目主要团队成员（主要技术人员）情况（项目负责人除外）；</w:t>
      </w:r>
    </w:p>
    <w:p>
      <w:pPr>
        <w:numPr>
          <w:ilvl w:val="0"/>
          <w:numId w:val="12"/>
        </w:numPr>
        <w:tabs>
          <w:tab w:val="left" w:pos="640"/>
          <w:tab w:val="left" w:pos="840"/>
          <w:tab w:val="left" w:pos="1260"/>
          <w:tab w:val="left" w:pos="1418"/>
        </w:tabs>
        <w:spacing w:line="360" w:lineRule="auto"/>
        <w:ind w:left="845" w:hanging="845"/>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t>投标人自主知识产权产品（创新、设计）情况；</w:t>
      </w:r>
    </w:p>
    <w:p>
      <w:pPr>
        <w:numPr>
          <w:ilvl w:val="0"/>
          <w:numId w:val="12"/>
        </w:numPr>
        <w:tabs>
          <w:tab w:val="left" w:pos="640"/>
          <w:tab w:val="left" w:pos="840"/>
          <w:tab w:val="left" w:pos="1260"/>
          <w:tab w:val="left" w:pos="1418"/>
        </w:tabs>
        <w:spacing w:line="360" w:lineRule="auto"/>
        <w:ind w:left="845" w:hanging="845"/>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t>诚信声明与承诺；</w:t>
      </w:r>
    </w:p>
    <w:p>
      <w:pPr>
        <w:numPr>
          <w:ilvl w:val="0"/>
          <w:numId w:val="12"/>
        </w:numPr>
        <w:tabs>
          <w:tab w:val="left" w:pos="640"/>
          <w:tab w:val="left" w:pos="840"/>
          <w:tab w:val="left" w:pos="1260"/>
          <w:tab w:val="left" w:pos="1418"/>
        </w:tabs>
        <w:spacing w:line="360" w:lineRule="auto"/>
        <w:ind w:left="845" w:hanging="84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投标人认为有必要提供的其他材料。</w:t>
      </w:r>
    </w:p>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（三）技术部分</w:t>
      </w:r>
    </w:p>
    <w:p>
      <w:pPr>
        <w:numPr>
          <w:ilvl w:val="0"/>
          <w:numId w:val="13"/>
        </w:numPr>
        <w:tabs>
          <w:tab w:val="left" w:pos="640"/>
          <w:tab w:val="left" w:pos="1260"/>
          <w:tab w:val="left" w:pos="1418"/>
        </w:tabs>
        <w:spacing w:line="360" w:lineRule="auto"/>
        <w:ind w:left="640" w:right="-420" w:rightChars="-200" w:hanging="640"/>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t>用户需求响应表；</w:t>
      </w:r>
    </w:p>
    <w:p>
      <w:pPr>
        <w:numPr>
          <w:ilvl w:val="0"/>
          <w:numId w:val="13"/>
        </w:numPr>
        <w:tabs>
          <w:tab w:val="left" w:pos="640"/>
          <w:tab w:val="left" w:pos="1260"/>
          <w:tab w:val="left" w:pos="1418"/>
        </w:tabs>
        <w:spacing w:line="360" w:lineRule="auto"/>
        <w:ind w:left="845" w:right="-420" w:rightChars="-200" w:hanging="845"/>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t>项目实施方案；</w:t>
      </w:r>
    </w:p>
    <w:p>
      <w:pPr>
        <w:numPr>
          <w:ilvl w:val="0"/>
          <w:numId w:val="13"/>
        </w:numPr>
        <w:tabs>
          <w:tab w:val="left" w:pos="640"/>
          <w:tab w:val="left" w:pos="1260"/>
          <w:tab w:val="left" w:pos="1418"/>
        </w:tabs>
        <w:spacing w:line="360" w:lineRule="auto"/>
        <w:ind w:left="845" w:right="-420" w:rightChars="-200" w:hanging="845"/>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t>项目需求理解；</w:t>
      </w:r>
    </w:p>
    <w:p>
      <w:pPr>
        <w:numPr>
          <w:ilvl w:val="0"/>
          <w:numId w:val="13"/>
        </w:numPr>
        <w:tabs>
          <w:tab w:val="left" w:pos="640"/>
          <w:tab w:val="left" w:pos="1260"/>
          <w:tab w:val="left" w:pos="1418"/>
        </w:tabs>
        <w:spacing w:line="360" w:lineRule="auto"/>
        <w:ind w:left="845" w:right="-420" w:rightChars="-200" w:hanging="845"/>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t>项目重点难点分析、应对措施及相关的合理化建议；</w:t>
      </w:r>
    </w:p>
    <w:p>
      <w:pPr>
        <w:numPr>
          <w:ilvl w:val="0"/>
          <w:numId w:val="13"/>
        </w:numPr>
        <w:tabs>
          <w:tab w:val="left" w:pos="640"/>
          <w:tab w:val="left" w:pos="1260"/>
          <w:tab w:val="left" w:pos="1418"/>
        </w:tabs>
        <w:spacing w:line="360" w:lineRule="auto"/>
        <w:ind w:left="845" w:right="-420" w:rightChars="-200" w:hanging="845"/>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t>质量（完成时间、安全、环保）保障措施及方案；</w:t>
      </w:r>
    </w:p>
    <w:p>
      <w:pPr>
        <w:numPr>
          <w:ilvl w:val="0"/>
          <w:numId w:val="13"/>
        </w:numPr>
        <w:tabs>
          <w:tab w:val="left" w:pos="640"/>
          <w:tab w:val="left" w:pos="1260"/>
          <w:tab w:val="left" w:pos="1418"/>
        </w:tabs>
        <w:spacing w:line="360" w:lineRule="auto"/>
        <w:ind w:left="845" w:right="-420" w:rightChars="-200" w:hanging="845"/>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t>项目完成（服务期满）后的服务承诺；</w:t>
      </w:r>
    </w:p>
    <w:p>
      <w:pPr>
        <w:numPr>
          <w:ilvl w:val="0"/>
          <w:numId w:val="13"/>
        </w:numPr>
        <w:tabs>
          <w:tab w:val="left" w:pos="640"/>
          <w:tab w:val="left" w:pos="1260"/>
          <w:tab w:val="left" w:pos="1418"/>
        </w:tabs>
        <w:spacing w:line="360" w:lineRule="auto"/>
        <w:ind w:left="845" w:right="-420" w:rightChars="-200" w:hanging="845"/>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t>其他服务承诺；</w:t>
      </w:r>
    </w:p>
    <w:p>
      <w:pPr>
        <w:numPr>
          <w:ilvl w:val="0"/>
          <w:numId w:val="13"/>
        </w:numPr>
        <w:tabs>
          <w:tab w:val="left" w:pos="640"/>
          <w:tab w:val="left" w:pos="1260"/>
          <w:tab w:val="left" w:pos="1418"/>
        </w:tabs>
        <w:spacing w:line="360" w:lineRule="auto"/>
        <w:ind w:left="845" w:right="-420" w:rightChars="-200" w:hanging="845"/>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t>投标人认为有必要提供的其他材料。</w:t>
      </w:r>
    </w:p>
    <w:p>
      <w:pPr>
        <w:outlineLvl w:val="2"/>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br w:type="page"/>
      </w:r>
      <w:r>
        <w:rPr>
          <w:rFonts w:hint="eastAsia" w:ascii="宋体" w:hAnsi="宋体" w:cs="宋体"/>
          <w:b/>
          <w:bCs/>
          <w:color w:val="000000" w:themeColor="text1"/>
          <w:sz w:val="24"/>
          <w14:textFill>
            <w14:solidFill>
              <w14:schemeClr w14:val="tx1"/>
            </w14:solidFill>
          </w14:textFill>
        </w:rPr>
        <w:t>（一）</w:t>
      </w:r>
      <w:r>
        <w:rPr>
          <w:rFonts w:hint="eastAsia" w:ascii="宋体" w:hAnsi="宋体" w:cs="宋体"/>
          <w:b/>
          <w:bCs/>
          <w:color w:val="000000" w:themeColor="text1"/>
          <w:sz w:val="24"/>
          <w:lang w:val="zh-CN"/>
          <w14:textFill>
            <w14:solidFill>
              <w14:schemeClr w14:val="tx1"/>
            </w14:solidFill>
          </w14:textFill>
        </w:rPr>
        <w:t>价格部分</w:t>
      </w:r>
    </w:p>
    <w:p>
      <w:pPr>
        <w:numPr>
          <w:ilvl w:val="0"/>
          <w:numId w:val="14"/>
        </w:numPr>
        <w:tabs>
          <w:tab w:val="left" w:pos="640"/>
          <w:tab w:val="clear" w:pos="425"/>
        </w:tabs>
        <w:ind w:left="625" w:hanging="62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投标一览表；</w:t>
      </w:r>
    </w:p>
    <w:p>
      <w:pPr>
        <w:spacing w:line="360" w:lineRule="auto"/>
        <w:rPr>
          <w:rFonts w:ascii="宋体" w:hAnsi="宋体" w:cs="宋体"/>
          <w:color w:val="000000" w:themeColor="text1"/>
          <w:sz w:val="24"/>
          <w14:textFill>
            <w14:solidFill>
              <w14:schemeClr w14:val="tx1"/>
            </w14:solidFill>
          </w14:textFill>
        </w:rPr>
      </w:pPr>
    </w:p>
    <w:p>
      <w:pPr>
        <w:spacing w:line="360"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投标一览表</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投标供应商名称：（公章）</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招标编号：</w:t>
      </w:r>
      <w:r>
        <w:rPr>
          <w:rFonts w:hint="eastAsia" w:ascii="宋体" w:hAnsi="宋体" w:cs="宋体"/>
          <w:color w:val="000000" w:themeColor="text1"/>
          <w:sz w:val="24"/>
          <w:u w:val="single"/>
          <w14:textFill>
            <w14:solidFill>
              <w14:schemeClr w14:val="tx1"/>
            </w14:solidFill>
          </w14:textFill>
        </w:rPr>
        <w:t xml:space="preserve">                                      </w:t>
      </w:r>
    </w:p>
    <w:tbl>
      <w:tblPr>
        <w:tblStyle w:val="16"/>
        <w:tblW w:w="0" w:type="auto"/>
        <w:tblInd w:w="28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84"/>
        <w:gridCol w:w="2896"/>
        <w:gridCol w:w="13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5" w:hRule="atLeast"/>
        </w:trPr>
        <w:tc>
          <w:tcPr>
            <w:tcW w:w="3484" w:type="dxa"/>
            <w:vAlign w:val="center"/>
          </w:tcPr>
          <w:p>
            <w:pPr>
              <w:spacing w:after="60"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项目名称</w:t>
            </w:r>
          </w:p>
        </w:tc>
        <w:tc>
          <w:tcPr>
            <w:tcW w:w="2896" w:type="dxa"/>
            <w:vAlign w:val="center"/>
          </w:tcPr>
          <w:p>
            <w:pPr>
              <w:spacing w:after="60"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投标价</w:t>
            </w:r>
          </w:p>
          <w:p>
            <w:pPr>
              <w:spacing w:after="60"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（人民币）</w:t>
            </w:r>
          </w:p>
        </w:tc>
        <w:tc>
          <w:tcPr>
            <w:tcW w:w="1318" w:type="dxa"/>
            <w:vAlign w:val="center"/>
          </w:tcPr>
          <w:p>
            <w:pPr>
              <w:spacing w:after="60"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3" w:hRule="atLeast"/>
        </w:trPr>
        <w:tc>
          <w:tcPr>
            <w:tcW w:w="3484" w:type="dxa"/>
            <w:vAlign w:val="center"/>
          </w:tcPr>
          <w:p>
            <w:pPr>
              <w:spacing w:line="360" w:lineRule="auto"/>
              <w:jc w:val="center"/>
              <w:rPr>
                <w:rFonts w:ascii="宋体" w:hAnsi="宋体" w:cs="宋体"/>
                <w:color w:val="000000" w:themeColor="text1"/>
                <w:sz w:val="24"/>
                <w:u w:val="single"/>
                <w14:textFill>
                  <w14:solidFill>
                    <w14:schemeClr w14:val="tx1"/>
                  </w14:solidFill>
                </w14:textFill>
              </w:rPr>
            </w:pPr>
          </w:p>
        </w:tc>
        <w:tc>
          <w:tcPr>
            <w:tcW w:w="2896" w:type="dxa"/>
            <w:vAlign w:val="center"/>
          </w:tcPr>
          <w:p>
            <w:pPr>
              <w:spacing w:line="360" w:lineRule="auto"/>
              <w:jc w:val="center"/>
              <w:rPr>
                <w:rFonts w:ascii="宋体" w:hAnsi="宋体" w:cs="宋体"/>
                <w:color w:val="000000" w:themeColor="text1"/>
                <w:sz w:val="24"/>
                <w:u w:val="single"/>
                <w14:textFill>
                  <w14:solidFill>
                    <w14:schemeClr w14:val="tx1"/>
                  </w14:solidFill>
                </w14:textFill>
              </w:rPr>
            </w:pPr>
          </w:p>
        </w:tc>
        <w:tc>
          <w:tcPr>
            <w:tcW w:w="1318" w:type="dxa"/>
            <w:vAlign w:val="center"/>
          </w:tcPr>
          <w:p>
            <w:pPr>
              <w:spacing w:line="360" w:lineRule="auto"/>
              <w:jc w:val="center"/>
              <w:rPr>
                <w:rFonts w:ascii="宋体" w:hAnsi="宋体" w:cs="宋体"/>
                <w:color w:val="000000" w:themeColor="text1"/>
                <w:sz w:val="24"/>
                <w:u w:val="single"/>
                <w14:textFill>
                  <w14:solidFill>
                    <w14:schemeClr w14:val="tx1"/>
                  </w14:solidFill>
                </w14:textFill>
              </w:rPr>
            </w:pPr>
          </w:p>
        </w:tc>
      </w:tr>
    </w:tbl>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投标供应商授权代表：</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职              务：</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日              期：</w:t>
      </w:r>
      <w:r>
        <w:rPr>
          <w:rFonts w:hint="eastAsia" w:ascii="宋体" w:hAnsi="宋体" w:cs="宋体"/>
          <w:color w:val="000000" w:themeColor="text1"/>
          <w:sz w:val="24"/>
          <w:u w:val="single"/>
          <w14:textFill>
            <w14:solidFill>
              <w14:schemeClr w14:val="tx1"/>
            </w14:solidFill>
          </w14:textFill>
        </w:rPr>
        <w:t xml:space="preserve">                   </w:t>
      </w:r>
    </w:p>
    <w:p>
      <w:pPr>
        <w:pStyle w:val="5"/>
        <w:rPr>
          <w:color w:val="000000" w:themeColor="text1"/>
          <w14:textFill>
            <w14:solidFill>
              <w14:schemeClr w14:val="tx1"/>
            </w14:solidFill>
          </w14:textFill>
        </w:rPr>
      </w:pPr>
    </w:p>
    <w:p>
      <w:pPr>
        <w:numPr>
          <w:ilvl w:val="0"/>
          <w:numId w:val="14"/>
        </w:numPr>
        <w:tabs>
          <w:tab w:val="left" w:pos="640"/>
          <w:tab w:val="clear" w:pos="425"/>
        </w:tabs>
        <w:ind w:left="625" w:hanging="62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br w:type="page"/>
      </w:r>
      <w:r>
        <w:rPr>
          <w:rFonts w:hint="eastAsia" w:ascii="宋体" w:hAnsi="宋体" w:cs="宋体"/>
          <w:color w:val="000000" w:themeColor="text1"/>
          <w:sz w:val="24"/>
          <w14:textFill>
            <w14:solidFill>
              <w14:schemeClr w14:val="tx1"/>
            </w14:solidFill>
          </w14:textFill>
        </w:rPr>
        <w:t>分项报价清单；</w:t>
      </w:r>
    </w:p>
    <w:p>
      <w:pPr>
        <w:spacing w:line="360"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分项报价清单</w:t>
      </w: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投标供应商名称：（公章）</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招标编号：</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p>
    <w:tbl>
      <w:tblPr>
        <w:tblStyle w:val="16"/>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2212"/>
        <w:gridCol w:w="720"/>
        <w:gridCol w:w="1800"/>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028" w:type="dxa"/>
            <w:vAlign w:val="bottom"/>
          </w:tcPr>
          <w:p>
            <w:pPr>
              <w:pStyle w:val="8"/>
              <w:spacing w:line="360" w:lineRule="auto"/>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序号</w:t>
            </w:r>
          </w:p>
        </w:tc>
        <w:tc>
          <w:tcPr>
            <w:tcW w:w="2212" w:type="dxa"/>
            <w:vAlign w:val="center"/>
          </w:tcPr>
          <w:p>
            <w:pPr>
              <w:pStyle w:val="8"/>
              <w:spacing w:line="360" w:lineRule="auto"/>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项目名称、内容</w:t>
            </w:r>
          </w:p>
        </w:tc>
        <w:tc>
          <w:tcPr>
            <w:tcW w:w="720" w:type="dxa"/>
            <w:vAlign w:val="center"/>
          </w:tcPr>
          <w:p>
            <w:pPr>
              <w:pStyle w:val="8"/>
              <w:spacing w:line="360" w:lineRule="auto"/>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单位</w:t>
            </w:r>
          </w:p>
        </w:tc>
        <w:tc>
          <w:tcPr>
            <w:tcW w:w="1800" w:type="dxa"/>
            <w:vAlign w:val="center"/>
          </w:tcPr>
          <w:p>
            <w:pPr>
              <w:pStyle w:val="8"/>
              <w:spacing w:line="360" w:lineRule="auto"/>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数量（工作量）</w:t>
            </w:r>
          </w:p>
        </w:tc>
        <w:tc>
          <w:tcPr>
            <w:tcW w:w="1620" w:type="dxa"/>
            <w:vAlign w:val="center"/>
          </w:tcPr>
          <w:p>
            <w:pPr>
              <w:pStyle w:val="8"/>
              <w:spacing w:line="360" w:lineRule="auto"/>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单价</w:t>
            </w:r>
          </w:p>
        </w:tc>
        <w:tc>
          <w:tcPr>
            <w:tcW w:w="1620" w:type="dxa"/>
            <w:vAlign w:val="center"/>
          </w:tcPr>
          <w:p>
            <w:pPr>
              <w:pStyle w:val="8"/>
              <w:spacing w:line="360" w:lineRule="auto"/>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28" w:type="dxa"/>
            <w:vAlign w:val="bottom"/>
          </w:tcPr>
          <w:p>
            <w:pPr>
              <w:pStyle w:val="8"/>
              <w:spacing w:line="360" w:lineRule="auto"/>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w:t>
            </w:r>
          </w:p>
        </w:tc>
        <w:tc>
          <w:tcPr>
            <w:tcW w:w="2212" w:type="dxa"/>
            <w:vAlign w:val="center"/>
          </w:tcPr>
          <w:p>
            <w:pPr>
              <w:pStyle w:val="8"/>
              <w:spacing w:line="360" w:lineRule="auto"/>
              <w:jc w:val="center"/>
              <w:rPr>
                <w:rFonts w:hAnsi="宋体" w:cs="宋体"/>
                <w:color w:val="000000" w:themeColor="text1"/>
                <w:sz w:val="24"/>
                <w14:textFill>
                  <w14:solidFill>
                    <w14:schemeClr w14:val="tx1"/>
                  </w14:solidFill>
                </w14:textFill>
              </w:rPr>
            </w:pPr>
          </w:p>
        </w:tc>
        <w:tc>
          <w:tcPr>
            <w:tcW w:w="720" w:type="dxa"/>
            <w:vAlign w:val="center"/>
          </w:tcPr>
          <w:p>
            <w:pPr>
              <w:pStyle w:val="8"/>
              <w:spacing w:line="360" w:lineRule="auto"/>
              <w:jc w:val="center"/>
              <w:rPr>
                <w:rFonts w:hAnsi="宋体" w:cs="宋体"/>
                <w:color w:val="000000" w:themeColor="text1"/>
                <w:sz w:val="24"/>
                <w14:textFill>
                  <w14:solidFill>
                    <w14:schemeClr w14:val="tx1"/>
                  </w14:solidFill>
                </w14:textFill>
              </w:rPr>
            </w:pPr>
          </w:p>
        </w:tc>
        <w:tc>
          <w:tcPr>
            <w:tcW w:w="1800" w:type="dxa"/>
            <w:vAlign w:val="center"/>
          </w:tcPr>
          <w:p>
            <w:pPr>
              <w:pStyle w:val="8"/>
              <w:spacing w:line="360" w:lineRule="auto"/>
              <w:jc w:val="center"/>
              <w:rPr>
                <w:rFonts w:hAnsi="宋体" w:cs="宋体"/>
                <w:color w:val="000000" w:themeColor="text1"/>
                <w:sz w:val="24"/>
                <w14:textFill>
                  <w14:solidFill>
                    <w14:schemeClr w14:val="tx1"/>
                  </w14:solidFill>
                </w14:textFill>
              </w:rPr>
            </w:pPr>
          </w:p>
        </w:tc>
        <w:tc>
          <w:tcPr>
            <w:tcW w:w="1620" w:type="dxa"/>
            <w:vAlign w:val="center"/>
          </w:tcPr>
          <w:p>
            <w:pPr>
              <w:pStyle w:val="8"/>
              <w:spacing w:line="360" w:lineRule="auto"/>
              <w:jc w:val="center"/>
              <w:rPr>
                <w:rFonts w:hAnsi="宋体" w:cs="宋体"/>
                <w:color w:val="000000" w:themeColor="text1"/>
                <w:sz w:val="24"/>
                <w14:textFill>
                  <w14:solidFill>
                    <w14:schemeClr w14:val="tx1"/>
                  </w14:solidFill>
                </w14:textFill>
              </w:rPr>
            </w:pPr>
          </w:p>
        </w:tc>
        <w:tc>
          <w:tcPr>
            <w:tcW w:w="1620" w:type="dxa"/>
            <w:vAlign w:val="center"/>
          </w:tcPr>
          <w:p>
            <w:pPr>
              <w:pStyle w:val="8"/>
              <w:spacing w:line="360" w:lineRule="auto"/>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028" w:type="dxa"/>
            <w:vAlign w:val="bottom"/>
          </w:tcPr>
          <w:p>
            <w:pPr>
              <w:pStyle w:val="8"/>
              <w:spacing w:line="360" w:lineRule="auto"/>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w:t>
            </w:r>
          </w:p>
        </w:tc>
        <w:tc>
          <w:tcPr>
            <w:tcW w:w="2212"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p>
        </w:tc>
        <w:tc>
          <w:tcPr>
            <w:tcW w:w="720" w:type="dxa"/>
            <w:vAlign w:val="center"/>
          </w:tcPr>
          <w:p>
            <w:pPr>
              <w:pStyle w:val="8"/>
              <w:spacing w:line="360" w:lineRule="auto"/>
              <w:jc w:val="center"/>
              <w:rPr>
                <w:rFonts w:hAnsi="宋体" w:cs="宋体"/>
                <w:color w:val="000000" w:themeColor="text1"/>
                <w:sz w:val="24"/>
                <w14:textFill>
                  <w14:solidFill>
                    <w14:schemeClr w14:val="tx1"/>
                  </w14:solidFill>
                </w14:textFill>
              </w:rPr>
            </w:pPr>
          </w:p>
        </w:tc>
        <w:tc>
          <w:tcPr>
            <w:tcW w:w="1800" w:type="dxa"/>
            <w:vAlign w:val="center"/>
          </w:tcPr>
          <w:p>
            <w:pPr>
              <w:pStyle w:val="8"/>
              <w:spacing w:line="360" w:lineRule="auto"/>
              <w:jc w:val="center"/>
              <w:rPr>
                <w:rFonts w:hAnsi="宋体" w:cs="宋体"/>
                <w:color w:val="000000" w:themeColor="text1"/>
                <w:sz w:val="24"/>
                <w14:textFill>
                  <w14:solidFill>
                    <w14:schemeClr w14:val="tx1"/>
                  </w14:solidFill>
                </w14:textFill>
              </w:rPr>
            </w:pPr>
          </w:p>
        </w:tc>
        <w:tc>
          <w:tcPr>
            <w:tcW w:w="1620" w:type="dxa"/>
            <w:vAlign w:val="center"/>
          </w:tcPr>
          <w:p>
            <w:pPr>
              <w:pStyle w:val="8"/>
              <w:spacing w:line="360" w:lineRule="auto"/>
              <w:jc w:val="center"/>
              <w:rPr>
                <w:rFonts w:hAnsi="宋体" w:cs="宋体"/>
                <w:color w:val="000000" w:themeColor="text1"/>
                <w:sz w:val="24"/>
                <w14:textFill>
                  <w14:solidFill>
                    <w14:schemeClr w14:val="tx1"/>
                  </w14:solidFill>
                </w14:textFill>
              </w:rPr>
            </w:pPr>
          </w:p>
        </w:tc>
        <w:tc>
          <w:tcPr>
            <w:tcW w:w="1620" w:type="dxa"/>
            <w:vAlign w:val="center"/>
          </w:tcPr>
          <w:p>
            <w:pPr>
              <w:pStyle w:val="8"/>
              <w:spacing w:line="360" w:lineRule="auto"/>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28" w:type="dxa"/>
            <w:vAlign w:val="bottom"/>
          </w:tcPr>
          <w:p>
            <w:pPr>
              <w:pStyle w:val="8"/>
              <w:spacing w:line="360" w:lineRule="auto"/>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w:t>
            </w:r>
          </w:p>
        </w:tc>
        <w:tc>
          <w:tcPr>
            <w:tcW w:w="2212"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p>
        </w:tc>
        <w:tc>
          <w:tcPr>
            <w:tcW w:w="720" w:type="dxa"/>
            <w:vAlign w:val="center"/>
          </w:tcPr>
          <w:p>
            <w:pPr>
              <w:pStyle w:val="8"/>
              <w:spacing w:line="360" w:lineRule="auto"/>
              <w:jc w:val="center"/>
              <w:rPr>
                <w:rFonts w:hAnsi="宋体" w:cs="宋体"/>
                <w:color w:val="000000" w:themeColor="text1"/>
                <w:sz w:val="24"/>
                <w14:textFill>
                  <w14:solidFill>
                    <w14:schemeClr w14:val="tx1"/>
                  </w14:solidFill>
                </w14:textFill>
              </w:rPr>
            </w:pPr>
          </w:p>
        </w:tc>
        <w:tc>
          <w:tcPr>
            <w:tcW w:w="1800" w:type="dxa"/>
            <w:vAlign w:val="center"/>
          </w:tcPr>
          <w:p>
            <w:pPr>
              <w:pStyle w:val="8"/>
              <w:spacing w:line="360" w:lineRule="auto"/>
              <w:jc w:val="center"/>
              <w:rPr>
                <w:rFonts w:hAnsi="宋体" w:cs="宋体"/>
                <w:color w:val="000000" w:themeColor="text1"/>
                <w:sz w:val="24"/>
                <w14:textFill>
                  <w14:solidFill>
                    <w14:schemeClr w14:val="tx1"/>
                  </w14:solidFill>
                </w14:textFill>
              </w:rPr>
            </w:pPr>
          </w:p>
        </w:tc>
        <w:tc>
          <w:tcPr>
            <w:tcW w:w="1620" w:type="dxa"/>
            <w:vAlign w:val="center"/>
          </w:tcPr>
          <w:p>
            <w:pPr>
              <w:pStyle w:val="8"/>
              <w:spacing w:line="360" w:lineRule="auto"/>
              <w:jc w:val="center"/>
              <w:rPr>
                <w:rFonts w:hAnsi="宋体" w:cs="宋体"/>
                <w:color w:val="000000" w:themeColor="text1"/>
                <w:sz w:val="24"/>
                <w14:textFill>
                  <w14:solidFill>
                    <w14:schemeClr w14:val="tx1"/>
                  </w14:solidFill>
                </w14:textFill>
              </w:rPr>
            </w:pPr>
          </w:p>
        </w:tc>
        <w:tc>
          <w:tcPr>
            <w:tcW w:w="1620" w:type="dxa"/>
            <w:vAlign w:val="center"/>
          </w:tcPr>
          <w:p>
            <w:pPr>
              <w:pStyle w:val="8"/>
              <w:spacing w:line="360" w:lineRule="auto"/>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028" w:type="dxa"/>
            <w:vAlign w:val="bottom"/>
          </w:tcPr>
          <w:p>
            <w:pPr>
              <w:pStyle w:val="8"/>
              <w:spacing w:line="360" w:lineRule="auto"/>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w:t>
            </w:r>
          </w:p>
        </w:tc>
        <w:tc>
          <w:tcPr>
            <w:tcW w:w="2212"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p>
        </w:tc>
        <w:tc>
          <w:tcPr>
            <w:tcW w:w="720" w:type="dxa"/>
            <w:vAlign w:val="center"/>
          </w:tcPr>
          <w:p>
            <w:pPr>
              <w:pStyle w:val="8"/>
              <w:spacing w:line="360" w:lineRule="auto"/>
              <w:jc w:val="center"/>
              <w:rPr>
                <w:rFonts w:hAnsi="宋体" w:cs="宋体"/>
                <w:color w:val="000000" w:themeColor="text1"/>
                <w:sz w:val="24"/>
                <w14:textFill>
                  <w14:solidFill>
                    <w14:schemeClr w14:val="tx1"/>
                  </w14:solidFill>
                </w14:textFill>
              </w:rPr>
            </w:pPr>
          </w:p>
        </w:tc>
        <w:tc>
          <w:tcPr>
            <w:tcW w:w="1800" w:type="dxa"/>
            <w:vAlign w:val="center"/>
          </w:tcPr>
          <w:p>
            <w:pPr>
              <w:pStyle w:val="8"/>
              <w:spacing w:line="360" w:lineRule="auto"/>
              <w:jc w:val="center"/>
              <w:rPr>
                <w:rFonts w:hAnsi="宋体" w:cs="宋体"/>
                <w:color w:val="000000" w:themeColor="text1"/>
                <w:sz w:val="24"/>
                <w14:textFill>
                  <w14:solidFill>
                    <w14:schemeClr w14:val="tx1"/>
                  </w14:solidFill>
                </w14:textFill>
              </w:rPr>
            </w:pPr>
          </w:p>
        </w:tc>
        <w:tc>
          <w:tcPr>
            <w:tcW w:w="1620" w:type="dxa"/>
            <w:vAlign w:val="center"/>
          </w:tcPr>
          <w:p>
            <w:pPr>
              <w:pStyle w:val="8"/>
              <w:spacing w:line="360" w:lineRule="auto"/>
              <w:jc w:val="center"/>
              <w:rPr>
                <w:rFonts w:hAnsi="宋体" w:cs="宋体"/>
                <w:color w:val="000000" w:themeColor="text1"/>
                <w:sz w:val="24"/>
                <w14:textFill>
                  <w14:solidFill>
                    <w14:schemeClr w14:val="tx1"/>
                  </w14:solidFill>
                </w14:textFill>
              </w:rPr>
            </w:pPr>
          </w:p>
        </w:tc>
        <w:tc>
          <w:tcPr>
            <w:tcW w:w="1620" w:type="dxa"/>
            <w:vAlign w:val="center"/>
          </w:tcPr>
          <w:p>
            <w:pPr>
              <w:pStyle w:val="8"/>
              <w:spacing w:line="360" w:lineRule="auto"/>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28" w:type="dxa"/>
            <w:vAlign w:val="bottom"/>
          </w:tcPr>
          <w:p>
            <w:pPr>
              <w:pStyle w:val="8"/>
              <w:spacing w:line="360" w:lineRule="auto"/>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w:t>
            </w:r>
          </w:p>
        </w:tc>
        <w:tc>
          <w:tcPr>
            <w:tcW w:w="2212"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p>
        </w:tc>
        <w:tc>
          <w:tcPr>
            <w:tcW w:w="720" w:type="dxa"/>
            <w:vAlign w:val="center"/>
          </w:tcPr>
          <w:p>
            <w:pPr>
              <w:pStyle w:val="8"/>
              <w:spacing w:line="360" w:lineRule="auto"/>
              <w:jc w:val="center"/>
              <w:rPr>
                <w:rFonts w:hAnsi="宋体" w:cs="宋体"/>
                <w:color w:val="000000" w:themeColor="text1"/>
                <w:sz w:val="24"/>
                <w14:textFill>
                  <w14:solidFill>
                    <w14:schemeClr w14:val="tx1"/>
                  </w14:solidFill>
                </w14:textFill>
              </w:rPr>
            </w:pPr>
          </w:p>
        </w:tc>
        <w:tc>
          <w:tcPr>
            <w:tcW w:w="1800" w:type="dxa"/>
            <w:vAlign w:val="center"/>
          </w:tcPr>
          <w:p>
            <w:pPr>
              <w:pStyle w:val="8"/>
              <w:spacing w:line="360" w:lineRule="auto"/>
              <w:jc w:val="center"/>
              <w:rPr>
                <w:rFonts w:hAnsi="宋体" w:cs="宋体"/>
                <w:color w:val="000000" w:themeColor="text1"/>
                <w:sz w:val="24"/>
                <w14:textFill>
                  <w14:solidFill>
                    <w14:schemeClr w14:val="tx1"/>
                  </w14:solidFill>
                </w14:textFill>
              </w:rPr>
            </w:pPr>
          </w:p>
        </w:tc>
        <w:tc>
          <w:tcPr>
            <w:tcW w:w="1620" w:type="dxa"/>
            <w:vAlign w:val="center"/>
          </w:tcPr>
          <w:p>
            <w:pPr>
              <w:pStyle w:val="8"/>
              <w:spacing w:line="360" w:lineRule="auto"/>
              <w:jc w:val="center"/>
              <w:rPr>
                <w:rFonts w:hAnsi="宋体" w:cs="宋体"/>
                <w:color w:val="000000" w:themeColor="text1"/>
                <w:sz w:val="24"/>
                <w14:textFill>
                  <w14:solidFill>
                    <w14:schemeClr w14:val="tx1"/>
                  </w14:solidFill>
                </w14:textFill>
              </w:rPr>
            </w:pPr>
          </w:p>
        </w:tc>
        <w:tc>
          <w:tcPr>
            <w:tcW w:w="1620" w:type="dxa"/>
            <w:vAlign w:val="center"/>
          </w:tcPr>
          <w:p>
            <w:pPr>
              <w:pStyle w:val="8"/>
              <w:spacing w:line="360" w:lineRule="auto"/>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28" w:type="dxa"/>
            <w:vAlign w:val="bottom"/>
          </w:tcPr>
          <w:p>
            <w:pPr>
              <w:pStyle w:val="8"/>
              <w:spacing w:line="360" w:lineRule="auto"/>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6</w:t>
            </w:r>
          </w:p>
        </w:tc>
        <w:tc>
          <w:tcPr>
            <w:tcW w:w="2212"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p>
        </w:tc>
        <w:tc>
          <w:tcPr>
            <w:tcW w:w="720" w:type="dxa"/>
            <w:vAlign w:val="center"/>
          </w:tcPr>
          <w:p>
            <w:pPr>
              <w:pStyle w:val="8"/>
              <w:spacing w:line="360" w:lineRule="auto"/>
              <w:jc w:val="center"/>
              <w:rPr>
                <w:rFonts w:hAnsi="宋体" w:cs="宋体"/>
                <w:color w:val="000000" w:themeColor="text1"/>
                <w:sz w:val="24"/>
                <w14:textFill>
                  <w14:solidFill>
                    <w14:schemeClr w14:val="tx1"/>
                  </w14:solidFill>
                </w14:textFill>
              </w:rPr>
            </w:pPr>
          </w:p>
        </w:tc>
        <w:tc>
          <w:tcPr>
            <w:tcW w:w="1800" w:type="dxa"/>
            <w:vAlign w:val="center"/>
          </w:tcPr>
          <w:p>
            <w:pPr>
              <w:pStyle w:val="8"/>
              <w:spacing w:line="360" w:lineRule="auto"/>
              <w:jc w:val="center"/>
              <w:rPr>
                <w:rFonts w:hAnsi="宋体" w:cs="宋体"/>
                <w:color w:val="000000" w:themeColor="text1"/>
                <w:sz w:val="24"/>
                <w14:textFill>
                  <w14:solidFill>
                    <w14:schemeClr w14:val="tx1"/>
                  </w14:solidFill>
                </w14:textFill>
              </w:rPr>
            </w:pPr>
          </w:p>
        </w:tc>
        <w:tc>
          <w:tcPr>
            <w:tcW w:w="1620" w:type="dxa"/>
            <w:vAlign w:val="center"/>
          </w:tcPr>
          <w:p>
            <w:pPr>
              <w:pStyle w:val="8"/>
              <w:spacing w:line="360" w:lineRule="auto"/>
              <w:jc w:val="center"/>
              <w:rPr>
                <w:rFonts w:hAnsi="宋体" w:cs="宋体"/>
                <w:color w:val="000000" w:themeColor="text1"/>
                <w:sz w:val="24"/>
                <w14:textFill>
                  <w14:solidFill>
                    <w14:schemeClr w14:val="tx1"/>
                  </w14:solidFill>
                </w14:textFill>
              </w:rPr>
            </w:pPr>
          </w:p>
        </w:tc>
        <w:tc>
          <w:tcPr>
            <w:tcW w:w="1620" w:type="dxa"/>
            <w:vAlign w:val="center"/>
          </w:tcPr>
          <w:p>
            <w:pPr>
              <w:pStyle w:val="8"/>
              <w:spacing w:line="360" w:lineRule="auto"/>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28" w:type="dxa"/>
            <w:vAlign w:val="bottom"/>
          </w:tcPr>
          <w:p>
            <w:pPr>
              <w:pStyle w:val="8"/>
              <w:spacing w:line="360" w:lineRule="auto"/>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7</w:t>
            </w:r>
          </w:p>
        </w:tc>
        <w:tc>
          <w:tcPr>
            <w:tcW w:w="2212"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p>
        </w:tc>
        <w:tc>
          <w:tcPr>
            <w:tcW w:w="720" w:type="dxa"/>
            <w:vAlign w:val="center"/>
          </w:tcPr>
          <w:p>
            <w:pPr>
              <w:pStyle w:val="8"/>
              <w:spacing w:line="360" w:lineRule="auto"/>
              <w:jc w:val="center"/>
              <w:rPr>
                <w:rFonts w:hAnsi="宋体" w:cs="宋体"/>
                <w:color w:val="000000" w:themeColor="text1"/>
                <w:sz w:val="24"/>
                <w14:textFill>
                  <w14:solidFill>
                    <w14:schemeClr w14:val="tx1"/>
                  </w14:solidFill>
                </w14:textFill>
              </w:rPr>
            </w:pPr>
          </w:p>
        </w:tc>
        <w:tc>
          <w:tcPr>
            <w:tcW w:w="1800" w:type="dxa"/>
            <w:vAlign w:val="center"/>
          </w:tcPr>
          <w:p>
            <w:pPr>
              <w:pStyle w:val="8"/>
              <w:spacing w:line="360" w:lineRule="auto"/>
              <w:jc w:val="center"/>
              <w:rPr>
                <w:rFonts w:hAnsi="宋体" w:cs="宋体"/>
                <w:color w:val="000000" w:themeColor="text1"/>
                <w:sz w:val="24"/>
                <w14:textFill>
                  <w14:solidFill>
                    <w14:schemeClr w14:val="tx1"/>
                  </w14:solidFill>
                </w14:textFill>
              </w:rPr>
            </w:pPr>
          </w:p>
        </w:tc>
        <w:tc>
          <w:tcPr>
            <w:tcW w:w="1620" w:type="dxa"/>
            <w:vAlign w:val="center"/>
          </w:tcPr>
          <w:p>
            <w:pPr>
              <w:pStyle w:val="8"/>
              <w:spacing w:line="360" w:lineRule="auto"/>
              <w:jc w:val="center"/>
              <w:rPr>
                <w:rFonts w:hAnsi="宋体" w:cs="宋体"/>
                <w:color w:val="000000" w:themeColor="text1"/>
                <w:sz w:val="24"/>
                <w14:textFill>
                  <w14:solidFill>
                    <w14:schemeClr w14:val="tx1"/>
                  </w14:solidFill>
                </w14:textFill>
              </w:rPr>
            </w:pPr>
          </w:p>
        </w:tc>
        <w:tc>
          <w:tcPr>
            <w:tcW w:w="1620" w:type="dxa"/>
            <w:vAlign w:val="center"/>
          </w:tcPr>
          <w:p>
            <w:pPr>
              <w:pStyle w:val="8"/>
              <w:spacing w:line="360" w:lineRule="auto"/>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28" w:type="dxa"/>
            <w:vAlign w:val="bottom"/>
          </w:tcPr>
          <w:p>
            <w:pPr>
              <w:pStyle w:val="8"/>
              <w:spacing w:line="360" w:lineRule="auto"/>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8</w:t>
            </w:r>
          </w:p>
        </w:tc>
        <w:tc>
          <w:tcPr>
            <w:tcW w:w="2212"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p>
        </w:tc>
        <w:tc>
          <w:tcPr>
            <w:tcW w:w="720" w:type="dxa"/>
            <w:vAlign w:val="center"/>
          </w:tcPr>
          <w:p>
            <w:pPr>
              <w:pStyle w:val="8"/>
              <w:spacing w:line="360" w:lineRule="auto"/>
              <w:jc w:val="center"/>
              <w:rPr>
                <w:rFonts w:hAnsi="宋体" w:cs="宋体"/>
                <w:color w:val="000000" w:themeColor="text1"/>
                <w:sz w:val="24"/>
                <w14:textFill>
                  <w14:solidFill>
                    <w14:schemeClr w14:val="tx1"/>
                  </w14:solidFill>
                </w14:textFill>
              </w:rPr>
            </w:pPr>
          </w:p>
        </w:tc>
        <w:tc>
          <w:tcPr>
            <w:tcW w:w="1800" w:type="dxa"/>
            <w:vAlign w:val="center"/>
          </w:tcPr>
          <w:p>
            <w:pPr>
              <w:pStyle w:val="8"/>
              <w:spacing w:line="360" w:lineRule="auto"/>
              <w:jc w:val="center"/>
              <w:rPr>
                <w:rFonts w:hAnsi="宋体" w:cs="宋体"/>
                <w:color w:val="000000" w:themeColor="text1"/>
                <w:sz w:val="24"/>
                <w14:textFill>
                  <w14:solidFill>
                    <w14:schemeClr w14:val="tx1"/>
                  </w14:solidFill>
                </w14:textFill>
              </w:rPr>
            </w:pPr>
          </w:p>
        </w:tc>
        <w:tc>
          <w:tcPr>
            <w:tcW w:w="1620" w:type="dxa"/>
            <w:vAlign w:val="center"/>
          </w:tcPr>
          <w:p>
            <w:pPr>
              <w:pStyle w:val="8"/>
              <w:spacing w:line="360" w:lineRule="auto"/>
              <w:jc w:val="center"/>
              <w:rPr>
                <w:rFonts w:hAnsi="宋体" w:cs="宋体"/>
                <w:color w:val="000000" w:themeColor="text1"/>
                <w:sz w:val="24"/>
                <w14:textFill>
                  <w14:solidFill>
                    <w14:schemeClr w14:val="tx1"/>
                  </w14:solidFill>
                </w14:textFill>
              </w:rPr>
            </w:pPr>
          </w:p>
        </w:tc>
        <w:tc>
          <w:tcPr>
            <w:tcW w:w="1620" w:type="dxa"/>
            <w:vAlign w:val="center"/>
          </w:tcPr>
          <w:p>
            <w:pPr>
              <w:pStyle w:val="8"/>
              <w:spacing w:line="360" w:lineRule="auto"/>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28" w:type="dxa"/>
            <w:vAlign w:val="bottom"/>
          </w:tcPr>
          <w:p>
            <w:pPr>
              <w:pStyle w:val="8"/>
              <w:spacing w:line="360" w:lineRule="auto"/>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9</w:t>
            </w:r>
          </w:p>
        </w:tc>
        <w:tc>
          <w:tcPr>
            <w:tcW w:w="2212" w:type="dxa"/>
            <w:vAlign w:val="center"/>
          </w:tcPr>
          <w:p>
            <w:pPr>
              <w:autoSpaceDE w:val="0"/>
              <w:autoSpaceDN w:val="0"/>
              <w:adjustRightInd w:val="0"/>
              <w:spacing w:line="360" w:lineRule="auto"/>
              <w:jc w:val="center"/>
              <w:rPr>
                <w:rFonts w:ascii="宋体" w:hAnsi="宋体" w:cs="宋体"/>
                <w:color w:val="000000" w:themeColor="text1"/>
                <w:sz w:val="24"/>
                <w14:textFill>
                  <w14:solidFill>
                    <w14:schemeClr w14:val="tx1"/>
                  </w14:solidFill>
                </w14:textFill>
              </w:rPr>
            </w:pPr>
          </w:p>
        </w:tc>
        <w:tc>
          <w:tcPr>
            <w:tcW w:w="720" w:type="dxa"/>
            <w:vAlign w:val="center"/>
          </w:tcPr>
          <w:p>
            <w:pPr>
              <w:pStyle w:val="8"/>
              <w:spacing w:line="360" w:lineRule="auto"/>
              <w:jc w:val="center"/>
              <w:rPr>
                <w:rFonts w:hAnsi="宋体" w:cs="宋体"/>
                <w:color w:val="000000" w:themeColor="text1"/>
                <w:sz w:val="24"/>
                <w14:textFill>
                  <w14:solidFill>
                    <w14:schemeClr w14:val="tx1"/>
                  </w14:solidFill>
                </w14:textFill>
              </w:rPr>
            </w:pPr>
          </w:p>
        </w:tc>
        <w:tc>
          <w:tcPr>
            <w:tcW w:w="1800" w:type="dxa"/>
            <w:vAlign w:val="center"/>
          </w:tcPr>
          <w:p>
            <w:pPr>
              <w:pStyle w:val="8"/>
              <w:spacing w:line="360" w:lineRule="auto"/>
              <w:jc w:val="center"/>
              <w:rPr>
                <w:rFonts w:hAnsi="宋体" w:cs="宋体"/>
                <w:color w:val="000000" w:themeColor="text1"/>
                <w:sz w:val="24"/>
                <w14:textFill>
                  <w14:solidFill>
                    <w14:schemeClr w14:val="tx1"/>
                  </w14:solidFill>
                </w14:textFill>
              </w:rPr>
            </w:pPr>
          </w:p>
        </w:tc>
        <w:tc>
          <w:tcPr>
            <w:tcW w:w="1620" w:type="dxa"/>
            <w:vAlign w:val="center"/>
          </w:tcPr>
          <w:p>
            <w:pPr>
              <w:pStyle w:val="8"/>
              <w:spacing w:line="360" w:lineRule="auto"/>
              <w:jc w:val="center"/>
              <w:rPr>
                <w:rFonts w:hAnsi="宋体" w:cs="宋体"/>
                <w:color w:val="000000" w:themeColor="text1"/>
                <w:sz w:val="24"/>
                <w14:textFill>
                  <w14:solidFill>
                    <w14:schemeClr w14:val="tx1"/>
                  </w14:solidFill>
                </w14:textFill>
              </w:rPr>
            </w:pPr>
          </w:p>
        </w:tc>
        <w:tc>
          <w:tcPr>
            <w:tcW w:w="1620" w:type="dxa"/>
            <w:vAlign w:val="center"/>
          </w:tcPr>
          <w:p>
            <w:pPr>
              <w:pStyle w:val="8"/>
              <w:spacing w:line="360" w:lineRule="auto"/>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28" w:type="dxa"/>
            <w:vAlign w:val="bottom"/>
          </w:tcPr>
          <w:p>
            <w:pPr>
              <w:pStyle w:val="8"/>
              <w:spacing w:line="360" w:lineRule="auto"/>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w:t>
            </w:r>
          </w:p>
        </w:tc>
        <w:tc>
          <w:tcPr>
            <w:tcW w:w="2212" w:type="dxa"/>
            <w:vAlign w:val="center"/>
          </w:tcPr>
          <w:p>
            <w:pPr>
              <w:pStyle w:val="8"/>
              <w:spacing w:line="360" w:lineRule="auto"/>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w:t>
            </w:r>
          </w:p>
        </w:tc>
        <w:tc>
          <w:tcPr>
            <w:tcW w:w="720" w:type="dxa"/>
            <w:vAlign w:val="center"/>
          </w:tcPr>
          <w:p>
            <w:pPr>
              <w:pStyle w:val="8"/>
              <w:spacing w:line="360" w:lineRule="auto"/>
              <w:jc w:val="center"/>
              <w:rPr>
                <w:rFonts w:hAnsi="宋体" w:cs="宋体"/>
                <w:color w:val="000000" w:themeColor="text1"/>
                <w:sz w:val="24"/>
                <w14:textFill>
                  <w14:solidFill>
                    <w14:schemeClr w14:val="tx1"/>
                  </w14:solidFill>
                </w14:textFill>
              </w:rPr>
            </w:pPr>
          </w:p>
        </w:tc>
        <w:tc>
          <w:tcPr>
            <w:tcW w:w="1800" w:type="dxa"/>
            <w:vAlign w:val="center"/>
          </w:tcPr>
          <w:p>
            <w:pPr>
              <w:pStyle w:val="8"/>
              <w:spacing w:line="360" w:lineRule="auto"/>
              <w:jc w:val="center"/>
              <w:rPr>
                <w:rFonts w:hAnsi="宋体" w:cs="宋体"/>
                <w:color w:val="000000" w:themeColor="text1"/>
                <w:sz w:val="24"/>
                <w14:textFill>
                  <w14:solidFill>
                    <w14:schemeClr w14:val="tx1"/>
                  </w14:solidFill>
                </w14:textFill>
              </w:rPr>
            </w:pPr>
          </w:p>
        </w:tc>
        <w:tc>
          <w:tcPr>
            <w:tcW w:w="1620" w:type="dxa"/>
            <w:vAlign w:val="center"/>
          </w:tcPr>
          <w:p>
            <w:pPr>
              <w:pStyle w:val="8"/>
              <w:spacing w:line="360" w:lineRule="auto"/>
              <w:jc w:val="center"/>
              <w:rPr>
                <w:rFonts w:hAnsi="宋体" w:cs="宋体"/>
                <w:color w:val="000000" w:themeColor="text1"/>
                <w:sz w:val="24"/>
                <w14:textFill>
                  <w14:solidFill>
                    <w14:schemeClr w14:val="tx1"/>
                  </w14:solidFill>
                </w14:textFill>
              </w:rPr>
            </w:pPr>
          </w:p>
        </w:tc>
        <w:tc>
          <w:tcPr>
            <w:tcW w:w="1620" w:type="dxa"/>
            <w:vAlign w:val="center"/>
          </w:tcPr>
          <w:p>
            <w:pPr>
              <w:pStyle w:val="8"/>
              <w:spacing w:line="360" w:lineRule="auto"/>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9000" w:type="dxa"/>
            <w:gridSpan w:val="6"/>
          </w:tcPr>
          <w:p>
            <w:pPr>
              <w:pStyle w:val="8"/>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报价合计</w:t>
            </w:r>
          </w:p>
        </w:tc>
      </w:tr>
    </w:tbl>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投标供应商授权代表： ________________________</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职              务：</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日              期：</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outlineLvl w:val="2"/>
        <w:rPr>
          <w:rFonts w:ascii="宋体" w:hAnsi="宋体" w:cs="宋体"/>
          <w:b/>
          <w:bCs/>
          <w:color w:val="000000" w:themeColor="text1"/>
          <w:sz w:val="24"/>
          <w:u w:val="wave"/>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br w:type="page"/>
      </w:r>
      <w:r>
        <w:rPr>
          <w:rFonts w:hint="eastAsia" w:ascii="宋体" w:hAnsi="宋体" w:cs="宋体"/>
          <w:b/>
          <w:bCs/>
          <w:color w:val="000000" w:themeColor="text1"/>
          <w:sz w:val="24"/>
          <w14:textFill>
            <w14:solidFill>
              <w14:schemeClr w14:val="tx1"/>
            </w14:solidFill>
          </w14:textFill>
        </w:rPr>
        <w:t>（二）商务部分</w:t>
      </w:r>
    </w:p>
    <w:p>
      <w:pPr>
        <w:numPr>
          <w:ilvl w:val="0"/>
          <w:numId w:val="15"/>
        </w:numPr>
        <w:tabs>
          <w:tab w:val="left" w:pos="640"/>
          <w:tab w:val="left" w:pos="1260"/>
          <w:tab w:val="left" w:pos="1418"/>
        </w:tabs>
        <w:spacing w:line="360" w:lineRule="auto"/>
        <w:ind w:left="845" w:hanging="84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投标响应书；</w:t>
      </w:r>
    </w:p>
    <w:p>
      <w:pPr>
        <w:spacing w:line="360"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投标响应书</w:t>
      </w: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致：</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ind w:firstLine="494" w:firstLineChars="206"/>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根据贵方为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项目采购的邀请</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（招标文件编号         ），签字代表</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（全名、职务）经正式授权并代表供应商</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（供应商方名称、地址）提交</w:t>
      </w:r>
      <w:r>
        <w:rPr>
          <w:rFonts w:hint="eastAsia" w:ascii="宋体" w:hAnsi="宋体" w:cs="宋体"/>
          <w:b/>
          <w:color w:val="000000" w:themeColor="text1"/>
          <w:sz w:val="24"/>
          <w14:textFill>
            <w14:solidFill>
              <w14:schemeClr w14:val="tx1"/>
            </w14:solidFill>
          </w14:textFill>
        </w:rPr>
        <w:t>一份正本四份副本以及1份电子文档的</w:t>
      </w:r>
      <w:r>
        <w:rPr>
          <w:rFonts w:hint="eastAsia" w:ascii="宋体" w:hAnsi="宋体" w:cs="宋体"/>
          <w:color w:val="000000" w:themeColor="text1"/>
          <w:sz w:val="24"/>
          <w14:textFill>
            <w14:solidFill>
              <w14:schemeClr w14:val="tx1"/>
            </w14:solidFill>
          </w14:textFill>
        </w:rPr>
        <w:t>投标文件。</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据此函，签字代表宣布同意如下：</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1、供应商方将按招标文件的规定履行合同责任和义务。</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2、供应商方已详细审查全部投标文件，包括修改文件（如有的话）以及全部参考资料和有关附件。我们完全理解并同意放弃对这方面有不明及误解的权利。</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3、与本投标项目有关的一切正式往来通信请寄：</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地址：</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邮编：</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电话：</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传真：</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邮箱：</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投标供应商授权代表、职务（印刷体）：</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投标供应商名称：</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（公  章）：</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      期：</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投标供应商授权代表：</w:t>
      </w:r>
      <w:r>
        <w:rPr>
          <w:rFonts w:hint="eastAsia" w:ascii="宋体" w:hAnsi="宋体" w:cs="宋体"/>
          <w:color w:val="000000" w:themeColor="text1"/>
          <w:sz w:val="24"/>
          <w:u w:val="single"/>
          <w14:textFill>
            <w14:solidFill>
              <w14:schemeClr w14:val="tx1"/>
            </w14:solidFill>
          </w14:textFill>
        </w:rPr>
        <w:t xml:space="preserve">                           </w:t>
      </w:r>
    </w:p>
    <w:p>
      <w:pPr>
        <w:pStyle w:val="5"/>
        <w:rPr>
          <w:color w:val="000000" w:themeColor="text1"/>
          <w14:textFill>
            <w14:solidFill>
              <w14:schemeClr w14:val="tx1"/>
            </w14:solidFill>
          </w14:textFill>
        </w:rPr>
      </w:pPr>
    </w:p>
    <w:p>
      <w:pPr>
        <w:numPr>
          <w:ilvl w:val="0"/>
          <w:numId w:val="15"/>
        </w:numPr>
        <w:tabs>
          <w:tab w:val="left" w:pos="640"/>
          <w:tab w:val="left" w:pos="1260"/>
          <w:tab w:val="left" w:pos="1418"/>
        </w:tabs>
        <w:spacing w:line="360" w:lineRule="auto"/>
        <w:ind w:left="645" w:hanging="645"/>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br w:type="page"/>
      </w:r>
      <w:r>
        <w:rPr>
          <w:rFonts w:hint="eastAsia" w:ascii="宋体" w:hAnsi="宋体" w:cs="宋体"/>
          <w:color w:val="000000" w:themeColor="text1"/>
          <w:sz w:val="24"/>
          <w:lang w:val="fr-CH"/>
          <w14:textFill>
            <w14:solidFill>
              <w14:schemeClr w14:val="tx1"/>
            </w14:solidFill>
          </w14:textFill>
        </w:rPr>
        <w:t>营业执照【其他组织提供《事业单位法人证书》或《民办非企业单位登记证书》】及税务登记册证副本复印件（加盖投标人公章，若提供的营业执照为三证合一，则税务登记证可不单独提供）；</w:t>
      </w:r>
    </w:p>
    <w:p>
      <w:pPr>
        <w:numPr>
          <w:ilvl w:val="0"/>
          <w:numId w:val="15"/>
        </w:numPr>
        <w:tabs>
          <w:tab w:val="left" w:pos="640"/>
          <w:tab w:val="left" w:pos="1260"/>
          <w:tab w:val="left" w:pos="1418"/>
        </w:tabs>
        <w:spacing w:line="360" w:lineRule="auto"/>
        <w:ind w:left="645" w:hanging="645"/>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br w:type="page"/>
      </w:r>
      <w:r>
        <w:rPr>
          <w:rFonts w:hint="eastAsia" w:ascii="宋体" w:hAnsi="宋体" w:cs="宋体"/>
          <w:color w:val="000000" w:themeColor="text1"/>
          <w:sz w:val="24"/>
          <w:lang w:val="fr-CH"/>
          <w14:textFill>
            <w14:solidFill>
              <w14:schemeClr w14:val="tx1"/>
            </w14:solidFill>
          </w14:textFill>
        </w:rPr>
        <w:t>政府采购投标及履约承诺函；</w:t>
      </w:r>
    </w:p>
    <w:p>
      <w:pPr>
        <w:spacing w:line="360" w:lineRule="auto"/>
        <w:jc w:val="center"/>
        <w:rPr>
          <w:rFonts w:ascii="宋体" w:hAnsi="宋体" w:cs="宋体"/>
          <w:b/>
          <w:bCs/>
          <w:color w:val="000000" w:themeColor="text1"/>
          <w:sz w:val="24"/>
          <w:lang w:val="fr-CH"/>
          <w14:textFill>
            <w14:solidFill>
              <w14:schemeClr w14:val="tx1"/>
            </w14:solidFill>
          </w14:textFill>
        </w:rPr>
      </w:pPr>
      <w:r>
        <w:rPr>
          <w:rFonts w:hint="eastAsia" w:ascii="宋体" w:hAnsi="宋体" w:cs="宋体"/>
          <w:b/>
          <w:bCs/>
          <w:color w:val="000000" w:themeColor="text1"/>
          <w:sz w:val="24"/>
          <w:lang w:val="fr-CH"/>
          <w14:textFill>
            <w14:solidFill>
              <w14:schemeClr w14:val="tx1"/>
            </w14:solidFill>
          </w14:textFill>
        </w:rPr>
        <w:t>政府采购投标及履约承诺函</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（采购单位名称/代理机构名称）：</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我单位深知本项目对贵局的重要性和紧迫性，亦了解贵局对廉政建设的相关要求，因此我单位承诺如下：</w:t>
      </w:r>
    </w:p>
    <w:p>
      <w:pPr>
        <w:numPr>
          <w:ilvl w:val="0"/>
          <w:numId w:val="16"/>
        </w:num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我单位本招标项目所提供的货物或服务未侵犯知识产权。</w:t>
      </w:r>
    </w:p>
    <w:p>
      <w:pPr>
        <w:widowControl/>
        <w:numPr>
          <w:ilvl w:val="0"/>
          <w:numId w:val="16"/>
        </w:numPr>
        <w:shd w:val="clear" w:color="auto" w:fill="FFFFFF"/>
        <w:spacing w:line="360" w:lineRule="auto"/>
        <w:ind w:right="-4"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我单位</w:t>
      </w:r>
      <w:r>
        <w:rPr>
          <w:rFonts w:hint="eastAsia" w:ascii="宋体" w:hAnsi="宋体" w:cs="宋体"/>
          <w:color w:val="000000" w:themeColor="text1"/>
          <w:kern w:val="0"/>
          <w:sz w:val="24"/>
          <w14:textFill>
            <w14:solidFill>
              <w14:schemeClr w14:val="tx1"/>
            </w14:solidFill>
          </w14:textFill>
        </w:rPr>
        <w:t>及其法定代表人参与政府采购项目投标近三年内（投标人成立不足三年的可从成立之日起算）在经营活动中没有重大违法记录以及不存在被有关部门禁止参与政府采购活动且在有效期内的情况；无串通投标、弄虚作假不良行为记录被暂停投标资格期间或涉嫌串通投标、弄虚作假并正在接受主管部门调查的情况；无因违反建设工程法律、法规规定而受到建设行政主管部门红色警示并正在红色警示期间的情况；</w:t>
      </w:r>
    </w:p>
    <w:p>
      <w:pPr>
        <w:widowControl/>
        <w:numPr>
          <w:ilvl w:val="0"/>
          <w:numId w:val="16"/>
        </w:numPr>
        <w:shd w:val="clear" w:color="auto" w:fill="FFFFFF"/>
        <w:spacing w:line="360" w:lineRule="auto"/>
        <w:ind w:right="-4"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我单位</w:t>
      </w:r>
      <w:r>
        <w:rPr>
          <w:rFonts w:hint="eastAsia" w:ascii="宋体" w:hAnsi="宋体" w:cs="宋体"/>
          <w:color w:val="000000" w:themeColor="text1"/>
          <w:kern w:val="0"/>
          <w:sz w:val="24"/>
          <w14:textFill>
            <w14:solidFill>
              <w14:schemeClr w14:val="tx1"/>
            </w14:solidFill>
          </w14:textFill>
        </w:rPr>
        <w:t>及其法定代表人近三年内（投标人成立不足三年的可从成立之日起算）无行贿犯罪记录；</w:t>
      </w:r>
    </w:p>
    <w:p>
      <w:pPr>
        <w:numPr>
          <w:ilvl w:val="0"/>
          <w:numId w:val="16"/>
        </w:num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我单位具备《中华人民共和国政府采购法》第二十二条第一款的条件。</w:t>
      </w:r>
    </w:p>
    <w:p>
      <w:pPr>
        <w:numPr>
          <w:ilvl w:val="0"/>
          <w:numId w:val="16"/>
        </w:num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符合财政部和深圳市财政局关于诚信管理的要求，</w:t>
      </w:r>
      <w:r>
        <w:rPr>
          <w:rFonts w:hint="eastAsia" w:ascii="宋体" w:hAnsi="宋体" w:cs="宋体"/>
          <w:color w:val="000000" w:themeColor="text1"/>
          <w:kern w:val="0"/>
          <w:sz w:val="24"/>
          <w14:textFill>
            <w14:solidFill>
              <w14:schemeClr w14:val="tx1"/>
            </w14:solidFill>
          </w14:textFill>
        </w:rPr>
        <w:t>至投标截止时间，我单位未有在“信用中国”网（www.creditchina.gov.cn）、中国政府采购网（www.ccgp.gov.cn）、深圳市政府采购监督管理网（zfcg.sz.gov.cn）和国家企业信用信息公示系统（www.gsxt.gov.cn）等4个官网中列入“失信被执行人、重大税收违法失信主体、政府采购严重违法失信行为记录名单”</w:t>
      </w:r>
      <w:r>
        <w:rPr>
          <w:rFonts w:hint="eastAsia" w:ascii="宋体" w:hAnsi="宋体" w:cs="宋体"/>
          <w:color w:val="000000" w:themeColor="text1"/>
          <w:sz w:val="24"/>
          <w14:textFill>
            <w14:solidFill>
              <w14:schemeClr w14:val="tx1"/>
            </w14:solidFill>
          </w14:textFill>
        </w:rPr>
        <w:t>。</w:t>
      </w:r>
    </w:p>
    <w:p>
      <w:pPr>
        <w:numPr>
          <w:ilvl w:val="0"/>
          <w:numId w:val="16"/>
        </w:num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我单位不存在单位法定代表人（负责人）为同一人或者存在直接控股、管理关系的不同供应商，同时参加本项目投标之情形；我公司未为本项目提供过整体设计、规范编制或者项目管理、监理、检测等服务。</w:t>
      </w:r>
    </w:p>
    <w:p>
      <w:pPr>
        <w:numPr>
          <w:ilvl w:val="0"/>
          <w:numId w:val="16"/>
        </w:num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单位参与该项目投标，严格遵循公平竞争的原则，不恶意串通，不妨碍其他投标人的竞争行为，不损害采购人或者其他投标人的合法权益。我单位已清楚，如违反上述要求，将作投标无效处理，并自动放弃贵局自本项目起所有采购项目的投标事宜。</w:t>
      </w:r>
    </w:p>
    <w:p>
      <w:pPr>
        <w:numPr>
          <w:ilvl w:val="0"/>
          <w:numId w:val="16"/>
        </w:num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我单位如果中标，做到诚实守信，依照本项目招标文件需求内容、签署的采购合同及本单位在投标中所作的一切承诺履约；不非法转包、分包。</w:t>
      </w:r>
    </w:p>
    <w:p>
      <w:pPr>
        <w:numPr>
          <w:ilvl w:val="0"/>
          <w:numId w:val="16"/>
        </w:num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单位承诺本项目的报价不低于我单位的成本价，不恶意低价谋取中标；对本项目的报价负责，中标后将严格按照本项目招标文件需求、签署的采购合同及我单位在投标中所作的全部承诺履行。我单位清楚，若我单位以“报价太低而无法履约”为理由放弃本项目中标资格时，且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numPr>
          <w:ilvl w:val="0"/>
          <w:numId w:val="16"/>
        </w:num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单位已认真核实了投标文件的全部内容，所有资料均为真实资料。我公司对投标文件中全部投标资料的真实性负责，如被证实我公司的投标文件中存在虚假资料的，则视为我单位隐瞒真实情况、提供虚假资料，我单位愿意接受主管部门作出的行政处罚。</w:t>
      </w:r>
    </w:p>
    <w:p>
      <w:pPr>
        <w:numPr>
          <w:ilvl w:val="0"/>
          <w:numId w:val="16"/>
        </w:num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我单位承诺未参与本项目的采购需求、技术指标、商务指标等内容的设定，不存在对其他投标单位不公平的行为。</w:t>
      </w:r>
    </w:p>
    <w:p>
      <w:pPr>
        <w:numPr>
          <w:ilvl w:val="0"/>
          <w:numId w:val="16"/>
        </w:num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单位承诺严格遵守贵局廉政建设的相关要求，不对采购人进行贿赂，进行有偿报答；不对采购人进行任何形式的利益输送；不对采购人进行宴请和娱乐等消费活动；不对采购人进行赠送各种礼品、现金、有价证券、中介费、好处费等行为。</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以上承诺，如有违反，愿依照国家相关法律处理，并承担由此给采购人带来的损失。</w:t>
      </w:r>
    </w:p>
    <w:p>
      <w:pPr>
        <w:spacing w:line="360" w:lineRule="auto"/>
        <w:ind w:firstLine="480" w:firstLineChars="200"/>
        <w:rPr>
          <w:rFonts w:ascii="宋体" w:hAnsi="宋体" w:cs="宋体"/>
          <w:color w:val="000000" w:themeColor="text1"/>
          <w:sz w:val="24"/>
          <w14:textFill>
            <w14:solidFill>
              <w14:schemeClr w14:val="tx1"/>
            </w14:solidFill>
          </w14:textFill>
        </w:rPr>
      </w:pPr>
    </w:p>
    <w:p>
      <w:pPr>
        <w:tabs>
          <w:tab w:val="left" w:pos="4860"/>
        </w:tabs>
        <w:adjustRightInd w:val="0"/>
        <w:snapToGrid w:val="0"/>
        <w:spacing w:line="360" w:lineRule="auto"/>
        <w:ind w:right="105" w:rightChars="50"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投标供应商法定代表人或授权代表（签字或签章）：                  </w:t>
      </w:r>
    </w:p>
    <w:p>
      <w:pPr>
        <w:tabs>
          <w:tab w:val="left" w:pos="4860"/>
        </w:tabs>
        <w:adjustRightInd w:val="0"/>
        <w:snapToGrid w:val="0"/>
        <w:spacing w:line="360" w:lineRule="auto"/>
        <w:ind w:right="105" w:rightChars="50"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投标供应商名称（盖章）：</w:t>
      </w:r>
    </w:p>
    <w:p>
      <w:pPr>
        <w:tabs>
          <w:tab w:val="left" w:pos="4860"/>
        </w:tabs>
        <w:adjustRightInd w:val="0"/>
        <w:snapToGrid w:val="0"/>
        <w:spacing w:line="360" w:lineRule="auto"/>
        <w:ind w:right="105" w:rightChars="50"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日期：   年  月   日</w:t>
      </w:r>
    </w:p>
    <w:p>
      <w:pPr>
        <w:numPr>
          <w:ilvl w:val="0"/>
          <w:numId w:val="15"/>
        </w:numPr>
        <w:tabs>
          <w:tab w:val="left" w:pos="640"/>
          <w:tab w:val="left" w:pos="1260"/>
          <w:tab w:val="left" w:pos="1418"/>
        </w:tabs>
        <w:spacing w:line="360" w:lineRule="auto"/>
        <w:ind w:left="645" w:hanging="645"/>
        <w:rPr>
          <w:rFonts w:ascii="宋体" w:hAnsi="宋体" w:cs="宋体"/>
          <w:color w:val="000000" w:themeColor="text1"/>
          <w:sz w:val="24"/>
          <w:lang w:val="fr-CH"/>
          <w14:textFill>
            <w14:solidFill>
              <w14:schemeClr w14:val="tx1"/>
            </w14:solidFill>
          </w14:textFill>
        </w:rPr>
      </w:pPr>
      <w:r>
        <w:rPr>
          <w:rFonts w:hint="eastAsia" w:hAnsi="宋体" w:cs="宋体"/>
          <w:color w:val="000000" w:themeColor="text1"/>
          <w14:textFill>
            <w14:solidFill>
              <w14:schemeClr w14:val="tx1"/>
            </w14:solidFill>
          </w14:textFill>
        </w:rPr>
        <w:br w:type="page"/>
      </w:r>
      <w:r>
        <w:rPr>
          <w:rFonts w:hint="eastAsia" w:ascii="宋体" w:hAnsi="宋体" w:cs="宋体"/>
          <w:color w:val="000000" w:themeColor="text1"/>
          <w:sz w:val="24"/>
          <w14:textFill>
            <w14:solidFill>
              <w14:schemeClr w14:val="tx1"/>
            </w14:solidFill>
          </w14:textFill>
        </w:rPr>
        <w:t>关于资格的声明函；</w:t>
      </w:r>
    </w:p>
    <w:p>
      <w:pPr>
        <w:spacing w:line="360"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关于资格的声明函</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（采购单位名称/代理机构名称）：</w:t>
      </w:r>
    </w:p>
    <w:p>
      <w:pPr>
        <w:spacing w:line="360" w:lineRule="auto"/>
        <w:ind w:firstLine="566" w:firstLineChars="236"/>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 xml:space="preserve"> （ 投标人名称）    </w:t>
      </w:r>
      <w:r>
        <w:rPr>
          <w:rFonts w:hint="eastAsia" w:ascii="宋体" w:hAnsi="宋体" w:cs="宋体"/>
          <w:color w:val="000000" w:themeColor="text1"/>
          <w:sz w:val="24"/>
          <w14:textFill>
            <w14:solidFill>
              <w14:schemeClr w14:val="tx1"/>
            </w14:solidFill>
          </w14:textFill>
        </w:rPr>
        <w:t xml:space="preserve"> 参与了</w:t>
      </w:r>
      <w:r>
        <w:rPr>
          <w:rFonts w:hint="eastAsia" w:ascii="宋体" w:hAnsi="宋体" w:cs="宋体"/>
          <w:color w:val="000000" w:themeColor="text1"/>
          <w:sz w:val="24"/>
          <w:u w:val="single"/>
          <w14:textFill>
            <w14:solidFill>
              <w14:schemeClr w14:val="tx1"/>
            </w14:solidFill>
          </w14:textFill>
        </w:rPr>
        <w:t xml:space="preserve"> （项目名称 、招标编号） </w:t>
      </w:r>
      <w:r>
        <w:rPr>
          <w:rFonts w:hint="eastAsia" w:ascii="宋体" w:hAnsi="宋体" w:cs="宋体"/>
          <w:color w:val="000000" w:themeColor="text1"/>
          <w:sz w:val="24"/>
          <w14:textFill>
            <w14:solidFill>
              <w14:schemeClr w14:val="tx1"/>
            </w14:solidFill>
          </w14:textFill>
        </w:rPr>
        <w:t>的投标，现已认真核实了投标文件资格部分的全部资料，所有资料均为真实资料。我单位对投标文件中全部资格投标资料的真实性负责，如被证实我单位的投标文件中存在虚假资料的，则视为我单位隐瞒真实情况、提供虚假资料，我单位愿意接受主管部门作出的行政处罚。</w:t>
      </w:r>
    </w:p>
    <w:p>
      <w:pPr>
        <w:spacing w:line="360" w:lineRule="auto"/>
        <w:ind w:lef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特此承诺！</w:t>
      </w:r>
    </w:p>
    <w:p>
      <w:pPr>
        <w:spacing w:line="360" w:lineRule="auto"/>
        <w:ind w:left="420"/>
        <w:rPr>
          <w:rFonts w:ascii="宋体" w:hAnsi="宋体" w:cs="宋体"/>
          <w:color w:val="000000" w:themeColor="text1"/>
          <w:sz w:val="24"/>
          <w14:textFill>
            <w14:solidFill>
              <w14:schemeClr w14:val="tx1"/>
            </w14:solidFill>
          </w14:textFill>
        </w:rPr>
      </w:pPr>
    </w:p>
    <w:p>
      <w:pPr>
        <w:tabs>
          <w:tab w:val="left" w:pos="4860"/>
        </w:tabs>
        <w:adjustRightInd w:val="0"/>
        <w:snapToGrid w:val="0"/>
        <w:spacing w:line="360" w:lineRule="auto"/>
        <w:ind w:right="105" w:rightChar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投标供应商名称（盖章）：</w:t>
      </w:r>
    </w:p>
    <w:p>
      <w:pPr>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日期：   年     月     日</w:t>
      </w:r>
    </w:p>
    <w:p>
      <w:pPr>
        <w:numPr>
          <w:ilvl w:val="0"/>
          <w:numId w:val="15"/>
        </w:numPr>
        <w:tabs>
          <w:tab w:val="left" w:pos="640"/>
          <w:tab w:val="left" w:pos="1260"/>
          <w:tab w:val="left" w:pos="1418"/>
        </w:tabs>
        <w:spacing w:line="360" w:lineRule="auto"/>
        <w:ind w:left="645" w:hanging="645"/>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br w:type="page"/>
      </w:r>
      <w:r>
        <w:rPr>
          <w:rFonts w:hint="eastAsia" w:ascii="宋体" w:hAnsi="宋体" w:cs="宋体"/>
          <w:color w:val="000000" w:themeColor="text1"/>
          <w:sz w:val="24"/>
          <w:lang w:val="fr-CH"/>
          <w14:textFill>
            <w14:solidFill>
              <w14:schemeClr w14:val="tx1"/>
            </w14:solidFill>
          </w14:textFill>
        </w:rPr>
        <w:t>法</w:t>
      </w:r>
      <w:r>
        <w:rPr>
          <w:rFonts w:ascii="宋体" w:hAnsi="宋体" w:cs="宋体"/>
          <w:color w:val="000000" w:themeColor="text1"/>
          <w:sz w:val="24"/>
          <w14:textFill>
            <w14:solidFill>
              <w14:schemeClr w14:val="tx1"/>
            </w14:solidFill>
          </w14:textFill>
        </w:rPr>
        <w:t>定代表</w:t>
      </w:r>
      <w:r>
        <w:rPr>
          <w:rFonts w:hint="eastAsia" w:ascii="宋体" w:hAnsi="宋体" w:cs="宋体"/>
          <w:color w:val="000000" w:themeColor="text1"/>
          <w:sz w:val="24"/>
          <w:lang w:val="fr-CH"/>
          <w14:textFill>
            <w14:solidFill>
              <w14:schemeClr w14:val="tx1"/>
            </w14:solidFill>
          </w14:textFill>
        </w:rPr>
        <w:t>人证明书及身份证明；</w:t>
      </w:r>
    </w:p>
    <w:p>
      <w:pPr>
        <w:spacing w:before="120" w:after="120" w:line="360" w:lineRule="auto"/>
        <w:jc w:val="center"/>
        <w:rPr>
          <w:rFonts w:ascii="宋体" w:hAnsi="宋体" w:cs="宋体"/>
          <w:b/>
          <w:color w:val="000000" w:themeColor="text1"/>
          <w:sz w:val="24"/>
          <w14:textFill>
            <w14:solidFill>
              <w14:schemeClr w14:val="tx1"/>
            </w14:solidFill>
          </w14:textFill>
        </w:rPr>
      </w:pPr>
    </w:p>
    <w:p>
      <w:pPr>
        <w:spacing w:before="120" w:after="120" w:line="360" w:lineRule="auto"/>
        <w:jc w:val="center"/>
        <w:rPr>
          <w:rFonts w:ascii="宋体" w:hAnsi="宋体" w:cs="宋体"/>
          <w:color w:val="000000" w:themeColor="text1"/>
          <w:sz w:val="24"/>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法定代表人证明书</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同志，现任我单位职务，为法定代表人，特此证明。</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签发日期：             有效日期：         单位：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附：代表人性别：   年龄：      身份证号码：</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营业执照号码：                 经济性质：</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主营（产）：</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兼营（产）：</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进口物品经营许可证号码：</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主营：</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兼营：</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说明：1、法定代表人为企业事业单位、国家机关、社会团体的主要行政负责人。</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2、内容必须填写真实、清楚，涂改无效，不得转让、买卖.</w:t>
      </w:r>
    </w:p>
    <w:p>
      <w:pPr>
        <w:tabs>
          <w:tab w:val="left" w:pos="3780"/>
        </w:tabs>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投标供应商名称（盖章）：</w:t>
      </w:r>
    </w:p>
    <w:p>
      <w:pPr>
        <w:tabs>
          <w:tab w:val="left" w:pos="3780"/>
        </w:tabs>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法定代表人（签字或签章）：</w:t>
      </w:r>
    </w:p>
    <w:p>
      <w:pPr>
        <w:spacing w:before="120" w:after="120"/>
        <w:jc w:val="left"/>
        <w:rPr>
          <w:rFonts w:ascii="宋体" w:hAnsi="宋体" w:cs="宋体"/>
          <w:color w:val="000000" w:themeColor="text1"/>
          <w:szCs w:val="21"/>
          <w14:textFill>
            <w14:solidFill>
              <w14:schemeClr w14:val="tx1"/>
            </w14:solidFill>
          </w14:textFill>
        </w:rPr>
      </w:pPr>
    </w:p>
    <w:p>
      <w:pPr>
        <w:spacing w:before="120" w:after="120" w:line="360" w:lineRule="auto"/>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附身份证正反面</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0"/>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jc w:val="center"/>
        </w:trPr>
        <w:tc>
          <w:tcPr>
            <w:tcW w:w="4240" w:type="dxa"/>
          </w:tcPr>
          <w:p>
            <w:pPr>
              <w:pStyle w:val="8"/>
              <w:spacing w:line="360" w:lineRule="auto"/>
              <w:rPr>
                <w:rFonts w:ascii="Arial Narrow" w:hAnsi="Arial Narrow"/>
                <w:b/>
                <w:bCs/>
                <w:color w:val="000000" w:themeColor="text1"/>
                <w:szCs w:val="21"/>
                <w14:textFill>
                  <w14:solidFill>
                    <w14:schemeClr w14:val="tx1"/>
                  </w14:solidFill>
                </w14:textFill>
              </w:rPr>
            </w:pPr>
          </w:p>
        </w:tc>
        <w:tc>
          <w:tcPr>
            <w:tcW w:w="4240" w:type="dxa"/>
          </w:tcPr>
          <w:p>
            <w:pPr>
              <w:pStyle w:val="8"/>
              <w:spacing w:line="360" w:lineRule="auto"/>
              <w:rPr>
                <w:rFonts w:ascii="Arial Narrow" w:hAnsi="Arial Narrow"/>
                <w:b/>
                <w:bCs/>
                <w:color w:val="000000" w:themeColor="text1"/>
                <w:szCs w:val="21"/>
                <w14:textFill>
                  <w14:solidFill>
                    <w14:schemeClr w14:val="tx1"/>
                  </w14:solidFill>
                </w14:textFill>
              </w:rPr>
            </w:pPr>
          </w:p>
        </w:tc>
      </w:tr>
    </w:tbl>
    <w:p>
      <w:pPr>
        <w:pStyle w:val="5"/>
        <w:rPr>
          <w:color w:val="000000" w:themeColor="text1"/>
          <w:lang w:val="fr-CH"/>
          <w14:textFill>
            <w14:solidFill>
              <w14:schemeClr w14:val="tx1"/>
            </w14:solidFill>
          </w14:textFill>
        </w:rPr>
      </w:pPr>
    </w:p>
    <w:p>
      <w:pPr>
        <w:numPr>
          <w:ilvl w:val="0"/>
          <w:numId w:val="15"/>
        </w:numPr>
        <w:tabs>
          <w:tab w:val="left" w:pos="640"/>
          <w:tab w:val="left" w:pos="1260"/>
          <w:tab w:val="left" w:pos="1418"/>
        </w:tabs>
        <w:spacing w:line="360" w:lineRule="auto"/>
        <w:ind w:left="845" w:hanging="845"/>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br w:type="page"/>
      </w:r>
      <w:r>
        <w:rPr>
          <w:rFonts w:hint="eastAsia" w:ascii="宋体" w:hAnsi="宋体" w:cs="宋体"/>
          <w:color w:val="000000" w:themeColor="text1"/>
          <w:sz w:val="24"/>
          <w:lang w:val="fr-CH"/>
          <w14:textFill>
            <w14:solidFill>
              <w14:schemeClr w14:val="tx1"/>
            </w14:solidFill>
          </w14:textFill>
        </w:rPr>
        <w:t>法定代表人授权书及身份证明；</w:t>
      </w:r>
    </w:p>
    <w:p>
      <w:pPr>
        <w:pStyle w:val="8"/>
        <w:spacing w:line="360" w:lineRule="auto"/>
        <w:jc w:val="center"/>
        <w:rPr>
          <w:rFonts w:hAnsi="宋体" w:cs="宋体"/>
          <w:b/>
          <w:color w:val="000000" w:themeColor="text1"/>
          <w:sz w:val="24"/>
          <w14:textFill>
            <w14:solidFill>
              <w14:schemeClr w14:val="tx1"/>
            </w14:solidFill>
          </w14:textFill>
        </w:rPr>
      </w:pPr>
    </w:p>
    <w:p>
      <w:pPr>
        <w:pStyle w:val="8"/>
        <w:spacing w:line="360" w:lineRule="auto"/>
        <w:jc w:val="center"/>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法定代表人授权书</w:t>
      </w:r>
    </w:p>
    <w:p>
      <w:pPr>
        <w:pStyle w:val="8"/>
        <w:spacing w:line="360" w:lineRule="auto"/>
        <w:rPr>
          <w:rFonts w:hAnsi="宋体" w:cs="宋体"/>
          <w:color w:val="000000" w:themeColor="text1"/>
          <w:sz w:val="24"/>
          <w14:textFill>
            <w14:solidFill>
              <w14:schemeClr w14:val="tx1"/>
            </w14:solidFill>
          </w14:textFill>
        </w:rPr>
      </w:pPr>
    </w:p>
    <w:p>
      <w:pPr>
        <w:pStyle w:val="8"/>
        <w:spacing w:line="360" w:lineRule="auto"/>
        <w:rPr>
          <w:rFonts w:hAnsi="宋体" w:cs="宋体"/>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深圳市前海深港现代服务业合作区管理局：</w:t>
      </w:r>
    </w:p>
    <w:p>
      <w:pPr>
        <w:pStyle w:val="8"/>
        <w:spacing w:line="360" w:lineRule="auto"/>
        <w:ind w:firstLine="42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本授权书声明：注册于</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（国家或地区）的</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（投标人名称）的在下面签字的</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（法定代表人姓名、职务）代表本公司授权在下面签字的</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（被授权人的姓名、职务）为本公司的合法代表人，就</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[招标编号为：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]的投标和合同执行，以我方的名义处理一切与之有关的事宜。</w:t>
      </w:r>
    </w:p>
    <w:p>
      <w:pPr>
        <w:pStyle w:val="8"/>
        <w:spacing w:line="360" w:lineRule="auto"/>
        <w:rPr>
          <w:rFonts w:hAnsi="宋体" w:cs="宋体"/>
          <w:color w:val="000000" w:themeColor="text1"/>
          <w:sz w:val="24"/>
          <w14:textFill>
            <w14:solidFill>
              <w14:schemeClr w14:val="tx1"/>
            </w14:solidFill>
          </w14:textFill>
        </w:rPr>
      </w:pPr>
    </w:p>
    <w:p>
      <w:pPr>
        <w:spacing w:line="360" w:lineRule="auto"/>
        <w:ind w:firstLine="57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本授权书于</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日签字生效，特此声明。</w:t>
      </w: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tabs>
          <w:tab w:val="left" w:pos="3780"/>
        </w:tabs>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投标供应商名称（盖章）：</w:t>
      </w:r>
    </w:p>
    <w:p>
      <w:pPr>
        <w:tabs>
          <w:tab w:val="left" w:pos="3780"/>
        </w:tabs>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法定代表人（签字或签章）：</w:t>
      </w:r>
    </w:p>
    <w:p>
      <w:pPr>
        <w:tabs>
          <w:tab w:val="left" w:pos="3780"/>
        </w:tabs>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被授权人代表（签字或签章）：</w:t>
      </w:r>
    </w:p>
    <w:p>
      <w:pPr>
        <w:tabs>
          <w:tab w:val="left" w:pos="640"/>
          <w:tab w:val="left" w:pos="1260"/>
          <w:tab w:val="left" w:pos="1418"/>
        </w:tabs>
        <w:spacing w:line="360" w:lineRule="auto"/>
        <w:rPr>
          <w:rFonts w:ascii="宋体" w:hAnsi="宋体" w:cs="宋体"/>
          <w:b/>
          <w:color w:val="000000" w:themeColor="text1"/>
          <w:sz w:val="24"/>
          <w14:textFill>
            <w14:solidFill>
              <w14:schemeClr w14:val="tx1"/>
            </w14:solidFill>
          </w14:textFill>
        </w:rPr>
      </w:pPr>
    </w:p>
    <w:p>
      <w:pPr>
        <w:tabs>
          <w:tab w:val="left" w:pos="640"/>
          <w:tab w:val="left" w:pos="1260"/>
          <w:tab w:val="left" w:pos="1418"/>
        </w:tabs>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附身份证正反面</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7"/>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4677" w:type="dxa"/>
          </w:tcPr>
          <w:p>
            <w:pPr>
              <w:pStyle w:val="8"/>
              <w:spacing w:line="360" w:lineRule="auto"/>
              <w:rPr>
                <w:rFonts w:ascii="Arial Narrow" w:hAnsi="Arial Narrow"/>
                <w:b/>
                <w:bCs/>
                <w:color w:val="000000" w:themeColor="text1"/>
                <w:szCs w:val="21"/>
                <w14:textFill>
                  <w14:solidFill>
                    <w14:schemeClr w14:val="tx1"/>
                  </w14:solidFill>
                </w14:textFill>
              </w:rPr>
            </w:pPr>
          </w:p>
        </w:tc>
        <w:tc>
          <w:tcPr>
            <w:tcW w:w="4677" w:type="dxa"/>
          </w:tcPr>
          <w:p>
            <w:pPr>
              <w:pStyle w:val="8"/>
              <w:spacing w:line="360" w:lineRule="auto"/>
              <w:rPr>
                <w:rFonts w:ascii="Arial Narrow" w:hAnsi="Arial Narrow"/>
                <w:b/>
                <w:bCs/>
                <w:color w:val="000000" w:themeColor="text1"/>
                <w:szCs w:val="21"/>
                <w14:textFill>
                  <w14:solidFill>
                    <w14:schemeClr w14:val="tx1"/>
                  </w14:solidFill>
                </w14:textFill>
              </w:rPr>
            </w:pPr>
          </w:p>
        </w:tc>
      </w:tr>
    </w:tbl>
    <w:p>
      <w:pPr>
        <w:tabs>
          <w:tab w:val="left" w:pos="640"/>
          <w:tab w:val="left" w:pos="1260"/>
          <w:tab w:val="left" w:pos="1418"/>
        </w:tabs>
        <w:spacing w:line="360" w:lineRule="auto"/>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br w:type="page"/>
      </w:r>
    </w:p>
    <w:p>
      <w:pPr>
        <w:numPr>
          <w:ilvl w:val="0"/>
          <w:numId w:val="15"/>
        </w:numPr>
        <w:tabs>
          <w:tab w:val="left" w:pos="640"/>
          <w:tab w:val="left" w:pos="1260"/>
          <w:tab w:val="left" w:pos="1418"/>
        </w:tabs>
        <w:spacing w:line="360" w:lineRule="auto"/>
        <w:ind w:left="640" w:hanging="640"/>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t>招标代理服务费承诺书；</w:t>
      </w:r>
    </w:p>
    <w:p>
      <w:pPr>
        <w:widowControl/>
        <w:autoSpaceDE w:val="0"/>
        <w:autoSpaceDN w:val="0"/>
        <w:spacing w:line="360" w:lineRule="auto"/>
        <w:ind w:left="359" w:right="26" w:hanging="357"/>
        <w:jc w:val="center"/>
        <w:textAlignment w:val="bottom"/>
        <w:rPr>
          <w:rFonts w:ascii="宋体" w:hAnsi="宋体" w:cs="宋体"/>
          <w:b/>
          <w:bCs/>
          <w:color w:val="000000" w:themeColor="text1"/>
          <w:sz w:val="24"/>
          <w:lang w:val="fr-CH"/>
          <w14:textFill>
            <w14:solidFill>
              <w14:schemeClr w14:val="tx1"/>
            </w14:solidFill>
          </w14:textFill>
        </w:rPr>
      </w:pPr>
    </w:p>
    <w:p>
      <w:pPr>
        <w:widowControl/>
        <w:autoSpaceDE w:val="0"/>
        <w:autoSpaceDN w:val="0"/>
        <w:spacing w:line="360" w:lineRule="auto"/>
        <w:ind w:left="359" w:right="26" w:hanging="357"/>
        <w:jc w:val="center"/>
        <w:textAlignment w:val="bottom"/>
        <w:rPr>
          <w:rFonts w:ascii="宋体" w:hAnsi="宋体" w:cs="宋体"/>
          <w:b/>
          <w:bCs/>
          <w:color w:val="000000" w:themeColor="text1"/>
          <w:sz w:val="24"/>
          <w:lang w:val="fr-CH"/>
          <w14:textFill>
            <w14:solidFill>
              <w14:schemeClr w14:val="tx1"/>
            </w14:solidFill>
          </w14:textFill>
        </w:rPr>
      </w:pPr>
      <w:r>
        <w:rPr>
          <w:rFonts w:hint="eastAsia" w:ascii="宋体" w:hAnsi="宋体" w:cs="宋体"/>
          <w:b/>
          <w:bCs/>
          <w:color w:val="000000" w:themeColor="text1"/>
          <w:sz w:val="24"/>
          <w:lang w:val="fr-CH"/>
          <w14:textFill>
            <w14:solidFill>
              <w14:schemeClr w14:val="tx1"/>
            </w14:solidFill>
          </w14:textFill>
        </w:rPr>
        <w:t>招标代理服务费承诺书</w:t>
      </w:r>
    </w:p>
    <w:p>
      <w:pPr>
        <w:widowControl/>
        <w:autoSpaceDE w:val="0"/>
        <w:autoSpaceDN w:val="0"/>
        <w:spacing w:line="360" w:lineRule="auto"/>
        <w:ind w:left="359" w:right="26" w:hanging="357"/>
        <w:textAlignment w:val="bottom"/>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致：中国远东国际招标有限公司</w:t>
      </w:r>
    </w:p>
    <w:p>
      <w:pPr>
        <w:widowControl/>
        <w:autoSpaceDE w:val="0"/>
        <w:autoSpaceDN w:val="0"/>
        <w:spacing w:line="360" w:lineRule="auto"/>
        <w:ind w:right="26" w:firstLine="540"/>
        <w:textAlignment w:val="bottom"/>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我们在贵司代理的</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项目（招标编号：</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）（货物/服务/工程）招标中若获中标，我们保证在收到中标通知书后5日内按招标文件的规定，以现金或电汇向贵公司指定的银行账号支付全额招标代理服务费。招标代理服务费按照</w:t>
      </w:r>
      <w:r>
        <w:rPr>
          <w:rFonts w:hint="eastAsia" w:ascii="宋体" w:hAnsi="宋体" w:cs="宋体"/>
          <w:color w:val="000000" w:themeColor="text1"/>
          <w:sz w:val="24"/>
          <w:u w:val="single"/>
          <w14:textFill>
            <w14:solidFill>
              <w14:schemeClr w14:val="tx1"/>
            </w14:solidFill>
          </w14:textFill>
        </w:rPr>
        <w:t>招标文件中的规定</w:t>
      </w:r>
      <w:r>
        <w:rPr>
          <w:rFonts w:hint="eastAsia" w:ascii="宋体" w:hAnsi="宋体" w:cs="宋体"/>
          <w:color w:val="000000" w:themeColor="text1"/>
          <w:sz w:val="24"/>
          <w14:textFill>
            <w14:solidFill>
              <w14:schemeClr w14:val="tx1"/>
            </w14:solidFill>
          </w14:textFill>
        </w:rPr>
        <w:t>计算。</w:t>
      </w:r>
    </w:p>
    <w:p>
      <w:pPr>
        <w:widowControl/>
        <w:autoSpaceDE w:val="0"/>
        <w:autoSpaceDN w:val="0"/>
        <w:spacing w:line="360" w:lineRule="auto"/>
        <w:ind w:right="26" w:firstLine="540"/>
        <w:textAlignment w:val="bottom"/>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特此承诺。</w:t>
      </w:r>
    </w:p>
    <w:p>
      <w:pPr>
        <w:tabs>
          <w:tab w:val="left" w:pos="3780"/>
        </w:tabs>
        <w:spacing w:line="360" w:lineRule="auto"/>
        <w:jc w:val="left"/>
        <w:rPr>
          <w:rFonts w:ascii="宋体" w:hAnsi="宋体" w:cs="宋体"/>
          <w:color w:val="000000" w:themeColor="text1"/>
          <w:sz w:val="24"/>
          <w14:textFill>
            <w14:solidFill>
              <w14:schemeClr w14:val="tx1"/>
            </w14:solidFill>
          </w14:textFill>
        </w:rPr>
      </w:pPr>
    </w:p>
    <w:p>
      <w:pPr>
        <w:tabs>
          <w:tab w:val="left" w:pos="3780"/>
        </w:tabs>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投标供应商名称（盖章）：</w:t>
      </w:r>
    </w:p>
    <w:p>
      <w:pPr>
        <w:widowControl/>
        <w:autoSpaceDE w:val="0"/>
        <w:autoSpaceDN w:val="0"/>
        <w:spacing w:line="360" w:lineRule="auto"/>
        <w:ind w:left="359" w:right="26" w:hanging="357"/>
        <w:textAlignment w:val="bottom"/>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投标供应商地址：</w:t>
      </w:r>
    </w:p>
    <w:p>
      <w:pPr>
        <w:widowControl/>
        <w:autoSpaceDE w:val="0"/>
        <w:autoSpaceDN w:val="0"/>
        <w:spacing w:line="360" w:lineRule="auto"/>
        <w:ind w:left="359" w:right="26" w:hanging="357"/>
        <w:textAlignment w:val="bottom"/>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电话：         </w:t>
      </w:r>
    </w:p>
    <w:p>
      <w:pPr>
        <w:widowControl/>
        <w:autoSpaceDE w:val="0"/>
        <w:autoSpaceDN w:val="0"/>
        <w:spacing w:line="360" w:lineRule="auto"/>
        <w:ind w:left="359" w:right="26" w:hanging="357"/>
        <w:textAlignment w:val="bottom"/>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传真：</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日期：   年     月     日</w:t>
      </w:r>
    </w:p>
    <w:p>
      <w:pPr>
        <w:pStyle w:val="5"/>
        <w:rPr>
          <w:color w:val="000000" w:themeColor="text1"/>
          <w:lang w:val="fr-CH"/>
          <w14:textFill>
            <w14:solidFill>
              <w14:schemeClr w14:val="tx1"/>
            </w14:solidFill>
          </w14:textFill>
        </w:rPr>
      </w:pPr>
    </w:p>
    <w:p>
      <w:pPr>
        <w:tabs>
          <w:tab w:val="left" w:pos="640"/>
          <w:tab w:val="left" w:pos="1260"/>
          <w:tab w:val="left" w:pos="1418"/>
        </w:tabs>
        <w:spacing w:line="360" w:lineRule="auto"/>
        <w:rPr>
          <w:rFonts w:ascii="宋体" w:hAnsi="宋体" w:cs="宋体"/>
          <w:color w:val="000000" w:themeColor="text1"/>
          <w:sz w:val="24"/>
          <w:lang w:val="fr-CH"/>
          <w14:textFill>
            <w14:solidFill>
              <w14:schemeClr w14:val="tx1"/>
            </w14:solidFill>
          </w14:textFill>
        </w:rPr>
      </w:pPr>
    </w:p>
    <w:p>
      <w:pPr>
        <w:numPr>
          <w:ilvl w:val="0"/>
          <w:numId w:val="15"/>
        </w:numPr>
        <w:tabs>
          <w:tab w:val="left" w:pos="640"/>
          <w:tab w:val="left" w:pos="1260"/>
          <w:tab w:val="left" w:pos="1418"/>
        </w:tabs>
        <w:spacing w:line="360" w:lineRule="auto"/>
        <w:ind w:left="845" w:hanging="845"/>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br w:type="page"/>
      </w:r>
      <w:r>
        <w:rPr>
          <w:rFonts w:hint="eastAsia" w:ascii="宋体" w:hAnsi="宋体" w:cs="宋体"/>
          <w:color w:val="000000" w:themeColor="text1"/>
          <w:sz w:val="24"/>
          <w14:textFill>
            <w14:solidFill>
              <w14:schemeClr w14:val="tx1"/>
            </w14:solidFill>
          </w14:textFill>
        </w:rPr>
        <w:t>供应商</w:t>
      </w:r>
      <w:r>
        <w:rPr>
          <w:rFonts w:hint="eastAsia" w:ascii="宋体" w:hAnsi="宋体" w:cs="宋体"/>
          <w:color w:val="000000" w:themeColor="text1"/>
          <w:sz w:val="24"/>
          <w:lang w:val="fr-CH"/>
          <w14:textFill>
            <w14:solidFill>
              <w14:schemeClr w14:val="tx1"/>
            </w14:solidFill>
          </w14:textFill>
        </w:rPr>
        <w:t>简介；</w:t>
      </w:r>
    </w:p>
    <w:p>
      <w:pPr>
        <w:pStyle w:val="8"/>
        <w:spacing w:line="360" w:lineRule="auto"/>
        <w:jc w:val="center"/>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供应商基本情况一览表</w:t>
      </w:r>
    </w:p>
    <w:p>
      <w:pPr>
        <w:pStyle w:val="8"/>
        <w:spacing w:line="360" w:lineRule="auto"/>
        <w:ind w:firstLine="42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1．名称及概况：</w:t>
      </w:r>
    </w:p>
    <w:p>
      <w:pPr>
        <w:pStyle w:val="8"/>
        <w:spacing w:line="360" w:lineRule="auto"/>
        <w:ind w:firstLine="42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（1）供应商名称：_______________________________________</w:t>
      </w:r>
    </w:p>
    <w:p>
      <w:pPr>
        <w:pStyle w:val="8"/>
        <w:spacing w:line="360" w:lineRule="auto"/>
        <w:ind w:firstLine="42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（2）地址：______________________________________________</w:t>
      </w:r>
    </w:p>
    <w:p>
      <w:pPr>
        <w:pStyle w:val="8"/>
        <w:spacing w:line="360" w:lineRule="auto"/>
        <w:ind w:firstLine="660" w:firstLineChars="275"/>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   邮政编码：___________________________________________</w:t>
      </w:r>
    </w:p>
    <w:p>
      <w:pPr>
        <w:pStyle w:val="8"/>
        <w:spacing w:line="360" w:lineRule="auto"/>
        <w:ind w:firstLine="42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     电话号码：___________________________________________ </w:t>
      </w:r>
    </w:p>
    <w:p>
      <w:pPr>
        <w:pStyle w:val="8"/>
        <w:spacing w:line="360" w:lineRule="auto"/>
        <w:ind w:firstLine="42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     传真号码：___________________________________________ </w:t>
      </w:r>
    </w:p>
    <w:p>
      <w:pPr>
        <w:pStyle w:val="8"/>
        <w:spacing w:line="360" w:lineRule="auto"/>
        <w:ind w:firstLine="42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（3）成立和／或注册日期：_________________________________</w:t>
      </w:r>
    </w:p>
    <w:p>
      <w:pPr>
        <w:pStyle w:val="8"/>
        <w:spacing w:line="360" w:lineRule="auto"/>
        <w:ind w:firstLine="42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（4）法人代表：___________________________________________</w:t>
      </w:r>
    </w:p>
    <w:p>
      <w:pPr>
        <w:pStyle w:val="8"/>
        <w:spacing w:line="360" w:lineRule="auto"/>
        <w:ind w:firstLine="42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（5）开户银行：___________________________________________</w:t>
      </w:r>
    </w:p>
    <w:p>
      <w:pPr>
        <w:pStyle w:val="8"/>
        <w:spacing w:line="360" w:lineRule="auto"/>
        <w:ind w:firstLine="42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（6）开户账号：___________________________________________</w:t>
      </w:r>
    </w:p>
    <w:p>
      <w:pPr>
        <w:pStyle w:val="8"/>
        <w:spacing w:line="360" w:lineRule="auto"/>
        <w:ind w:firstLine="42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（7）注册资金：___________________________________________</w:t>
      </w:r>
    </w:p>
    <w:p>
      <w:pPr>
        <w:pStyle w:val="8"/>
        <w:spacing w:line="360" w:lineRule="auto"/>
        <w:ind w:firstLine="42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（8）近两年财务基本情况</w:t>
      </w:r>
    </w:p>
    <w:p>
      <w:pPr>
        <w:pStyle w:val="8"/>
        <w:spacing w:line="360" w:lineRule="auto"/>
        <w:ind w:firstLine="42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    ①货币资金期末数：_____________________________________</w:t>
      </w:r>
    </w:p>
    <w:p>
      <w:pPr>
        <w:pStyle w:val="8"/>
        <w:spacing w:line="360" w:lineRule="auto"/>
        <w:ind w:firstLine="42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    ③年营业总额（值）：___________________________________</w:t>
      </w:r>
    </w:p>
    <w:p>
      <w:pPr>
        <w:pStyle w:val="8"/>
        <w:spacing w:line="360" w:lineRule="auto"/>
        <w:ind w:firstLine="42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    ③资产负债率：_________________________________________</w:t>
      </w:r>
    </w:p>
    <w:p>
      <w:pPr>
        <w:pStyle w:val="8"/>
        <w:spacing w:line="360" w:lineRule="auto"/>
        <w:ind w:firstLine="42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    ④销售利润率：_________________________________________</w:t>
      </w:r>
    </w:p>
    <w:p>
      <w:pPr>
        <w:pStyle w:val="8"/>
        <w:spacing w:line="360" w:lineRule="auto"/>
        <w:ind w:firstLine="42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    ⑤资本收益率：_________________________________________</w:t>
      </w:r>
    </w:p>
    <w:p>
      <w:pPr>
        <w:pStyle w:val="8"/>
        <w:spacing w:line="360" w:lineRule="auto"/>
        <w:ind w:firstLine="42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（9）项目主要联系人（姓名、职务、通讯）：</w:t>
      </w:r>
    </w:p>
    <w:p>
      <w:pPr>
        <w:pStyle w:val="8"/>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_____________________________________________________________________</w:t>
      </w:r>
    </w:p>
    <w:p>
      <w:pPr>
        <w:pStyle w:val="8"/>
        <w:spacing w:line="360" w:lineRule="auto"/>
        <w:ind w:firstLine="42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（10）公司概况；</w:t>
      </w:r>
    </w:p>
    <w:p>
      <w:pPr>
        <w:pStyle w:val="8"/>
        <w:spacing w:line="360" w:lineRule="auto"/>
        <w:ind w:firstLine="42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（11）公司组织机构；</w:t>
      </w:r>
    </w:p>
    <w:p>
      <w:pPr>
        <w:pStyle w:val="8"/>
        <w:spacing w:line="360" w:lineRule="auto"/>
        <w:ind w:firstLine="42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兹证明上述说明是真实、正确的，并提供了全部能提供的资料和数据，我们同意遵照贵方要求出示有关证明文件。</w:t>
      </w:r>
    </w:p>
    <w:p>
      <w:pPr>
        <w:tabs>
          <w:tab w:val="left" w:pos="3780"/>
        </w:tabs>
        <w:spacing w:line="360" w:lineRule="auto"/>
        <w:jc w:val="left"/>
        <w:rPr>
          <w:rFonts w:ascii="宋体" w:hAnsi="宋体" w:cs="宋体"/>
          <w:color w:val="000000" w:themeColor="text1"/>
          <w:sz w:val="24"/>
          <w14:textFill>
            <w14:solidFill>
              <w14:schemeClr w14:val="tx1"/>
            </w14:solidFill>
          </w14:textFill>
        </w:rPr>
      </w:pPr>
    </w:p>
    <w:p>
      <w:pPr>
        <w:tabs>
          <w:tab w:val="left" w:pos="3780"/>
        </w:tabs>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投标供应商名称（盖章）：</w:t>
      </w:r>
    </w:p>
    <w:p>
      <w:pPr>
        <w:tabs>
          <w:tab w:val="left" w:pos="3780"/>
        </w:tabs>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日期：  年  月   日</w:t>
      </w:r>
    </w:p>
    <w:p>
      <w:pPr>
        <w:pStyle w:val="5"/>
        <w:rPr>
          <w:color w:val="000000" w:themeColor="text1"/>
          <w:lang w:val="fr-CH"/>
          <w14:textFill>
            <w14:solidFill>
              <w14:schemeClr w14:val="tx1"/>
            </w14:solidFill>
          </w14:textFill>
        </w:rPr>
      </w:pPr>
    </w:p>
    <w:p>
      <w:pPr>
        <w:numPr>
          <w:ilvl w:val="0"/>
          <w:numId w:val="15"/>
        </w:numPr>
        <w:tabs>
          <w:tab w:val="left" w:pos="640"/>
        </w:tabs>
        <w:spacing w:line="360" w:lineRule="auto"/>
        <w:ind w:left="845" w:hanging="845"/>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br w:type="page"/>
      </w:r>
      <w:r>
        <w:rPr>
          <w:rFonts w:hint="eastAsia" w:ascii="宋体" w:hAnsi="宋体" w:cs="宋体"/>
          <w:color w:val="000000" w:themeColor="text1"/>
          <w:sz w:val="24"/>
          <w:lang w:val="fr-CH"/>
          <w14:textFill>
            <w14:solidFill>
              <w14:schemeClr w14:val="tx1"/>
            </w14:solidFill>
          </w14:textFill>
        </w:rPr>
        <w:t>投标人通过相关认证情况</w:t>
      </w:r>
      <w:r>
        <w:rPr>
          <w:rFonts w:hint="eastAsia" w:ascii="宋体" w:hAnsi="宋体" w:cs="宋体"/>
          <w:color w:val="000000" w:themeColor="text1"/>
          <w:sz w:val="24"/>
          <w14:textFill>
            <w14:solidFill>
              <w14:schemeClr w14:val="tx1"/>
            </w14:solidFill>
          </w14:textFill>
        </w:rPr>
        <w:t>；</w:t>
      </w:r>
    </w:p>
    <w:p>
      <w:pPr>
        <w:numPr>
          <w:ilvl w:val="0"/>
          <w:numId w:val="15"/>
        </w:numPr>
        <w:tabs>
          <w:tab w:val="left" w:pos="640"/>
        </w:tabs>
        <w:spacing w:line="360" w:lineRule="auto"/>
        <w:ind w:left="845" w:hanging="845"/>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t>投标人同类项目业绩情况</w:t>
      </w:r>
      <w:r>
        <w:rPr>
          <w:rFonts w:hint="eastAsia" w:ascii="宋体" w:hAnsi="宋体" w:cs="宋体"/>
          <w:color w:val="000000" w:themeColor="text1"/>
          <w:sz w:val="24"/>
          <w14:textFill>
            <w14:solidFill>
              <w14:schemeClr w14:val="tx1"/>
            </w14:solidFill>
          </w14:textFill>
        </w:rPr>
        <w:t>；</w:t>
      </w:r>
    </w:p>
    <w:p>
      <w:pPr>
        <w:numPr>
          <w:ilvl w:val="0"/>
          <w:numId w:val="15"/>
        </w:numPr>
        <w:tabs>
          <w:tab w:val="left" w:pos="640"/>
        </w:tabs>
        <w:spacing w:line="360" w:lineRule="auto"/>
        <w:ind w:left="845" w:hanging="845"/>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t>拟安排的项目负责人情况（仅限一人）</w:t>
      </w:r>
      <w:r>
        <w:rPr>
          <w:rFonts w:hint="eastAsia" w:ascii="宋体" w:hAnsi="宋体" w:cs="宋体"/>
          <w:color w:val="000000" w:themeColor="text1"/>
          <w:sz w:val="24"/>
          <w14:textFill>
            <w14:solidFill>
              <w14:schemeClr w14:val="tx1"/>
            </w14:solidFill>
          </w14:textFill>
        </w:rPr>
        <w:t>；</w:t>
      </w:r>
    </w:p>
    <w:p>
      <w:pPr>
        <w:numPr>
          <w:ilvl w:val="0"/>
          <w:numId w:val="15"/>
        </w:numPr>
        <w:tabs>
          <w:tab w:val="left" w:pos="640"/>
        </w:tabs>
        <w:spacing w:line="360" w:lineRule="auto"/>
        <w:ind w:left="845" w:hanging="845"/>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t>拟安排的项目主要团队成员（主要技术人员）情况（项目负责人除外）</w:t>
      </w:r>
      <w:r>
        <w:rPr>
          <w:rFonts w:hint="eastAsia" w:ascii="宋体" w:hAnsi="宋体" w:cs="宋体"/>
          <w:color w:val="000000" w:themeColor="text1"/>
          <w:sz w:val="24"/>
          <w14:textFill>
            <w14:solidFill>
              <w14:schemeClr w14:val="tx1"/>
            </w14:solidFill>
          </w14:textFill>
        </w:rPr>
        <w:t>；</w:t>
      </w:r>
    </w:p>
    <w:p>
      <w:pPr>
        <w:numPr>
          <w:ilvl w:val="0"/>
          <w:numId w:val="15"/>
        </w:numPr>
        <w:tabs>
          <w:tab w:val="left" w:pos="640"/>
        </w:tabs>
        <w:spacing w:line="360" w:lineRule="auto"/>
        <w:ind w:left="845" w:hanging="845"/>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t>投标人自主知识产权产品（创新、设计）情况</w:t>
      </w:r>
      <w:r>
        <w:rPr>
          <w:rFonts w:hint="eastAsia" w:ascii="宋体" w:hAnsi="宋体" w:cs="宋体"/>
          <w:color w:val="000000" w:themeColor="text1"/>
          <w:sz w:val="24"/>
          <w14:textFill>
            <w14:solidFill>
              <w14:schemeClr w14:val="tx1"/>
            </w14:solidFill>
          </w14:textFill>
        </w:rPr>
        <w:t>；</w:t>
      </w:r>
    </w:p>
    <w:p>
      <w:pPr>
        <w:tabs>
          <w:tab w:val="left" w:pos="640"/>
          <w:tab w:val="left" w:pos="1260"/>
          <w:tab w:val="left" w:pos="1418"/>
        </w:tabs>
        <w:jc w:val="center"/>
        <w:rPr>
          <w:rFonts w:ascii="宋体" w:hAnsi="宋体" w:cs="宋体"/>
          <w:b/>
          <w:bCs/>
          <w:color w:val="000000" w:themeColor="text1"/>
          <w:szCs w:val="21"/>
          <w14:textFill>
            <w14:solidFill>
              <w14:schemeClr w14:val="tx1"/>
            </w14:solidFill>
          </w14:textFill>
        </w:rPr>
      </w:pPr>
    </w:p>
    <w:p>
      <w:pPr>
        <w:tabs>
          <w:tab w:val="left" w:pos="640"/>
          <w:tab w:val="left" w:pos="1260"/>
          <w:tab w:val="left" w:pos="1418"/>
        </w:tabs>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注：以上各项请根据“招标项目评分表”中的要求自行填写并提供相应的证明材料。</w:t>
      </w:r>
    </w:p>
    <w:p>
      <w:pPr>
        <w:numPr>
          <w:ilvl w:val="0"/>
          <w:numId w:val="15"/>
        </w:numPr>
        <w:tabs>
          <w:tab w:val="left" w:pos="640"/>
          <w:tab w:val="left" w:pos="840"/>
          <w:tab w:val="left" w:pos="1260"/>
          <w:tab w:val="left" w:pos="1418"/>
        </w:tabs>
        <w:spacing w:line="360" w:lineRule="auto"/>
        <w:ind w:left="845" w:hanging="845"/>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br w:type="page"/>
      </w:r>
      <w:r>
        <w:rPr>
          <w:rFonts w:hint="eastAsia" w:ascii="宋体" w:hAnsi="宋体" w:cs="宋体"/>
          <w:b/>
          <w:bCs/>
          <w:color w:val="000000" w:themeColor="text1"/>
          <w:sz w:val="24"/>
          <w:lang w:val="fr-CH"/>
          <w14:textFill>
            <w14:solidFill>
              <w14:schemeClr w14:val="tx1"/>
            </w14:solidFill>
          </w14:textFill>
        </w:rPr>
        <w:t>诚信</w:t>
      </w:r>
      <w:r>
        <w:rPr>
          <w:rFonts w:hint="eastAsia" w:ascii="宋体" w:hAnsi="宋体" w:cs="宋体"/>
          <w:b/>
          <w:bCs/>
          <w:color w:val="000000" w:themeColor="text1"/>
          <w:sz w:val="24"/>
          <w14:textFill>
            <w14:solidFill>
              <w14:schemeClr w14:val="tx1"/>
            </w14:solidFill>
          </w14:textFill>
        </w:rPr>
        <w:t>声明与承诺</w:t>
      </w:r>
      <w:r>
        <w:rPr>
          <w:rFonts w:hint="eastAsia" w:ascii="宋体" w:hAnsi="宋体" w:cs="宋体"/>
          <w:b/>
          <w:bCs/>
          <w:color w:val="000000" w:themeColor="text1"/>
          <w:sz w:val="24"/>
          <w:lang w:val="fr-CH"/>
          <w14:textFill>
            <w14:solidFill>
              <w14:schemeClr w14:val="tx1"/>
            </w14:solidFill>
          </w14:textFill>
        </w:rPr>
        <w:t>；</w:t>
      </w:r>
    </w:p>
    <w:p>
      <w:pPr>
        <w:spacing w:line="360"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诚信声明与承诺</w:t>
      </w:r>
    </w:p>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中国远东国际招标有限公司：</w:t>
      </w:r>
    </w:p>
    <w:p>
      <w:pPr>
        <w:spacing w:line="360" w:lineRule="auto"/>
        <w:ind w:firstLine="360" w:firstLineChars="15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我公司（单位）参与贵代理机构组织的项目（项目编号：）投标，现就诚信作如下声明与承诺：</w:t>
      </w:r>
    </w:p>
    <w:p>
      <w:pPr>
        <w:spacing w:line="360" w:lineRule="auto"/>
        <w:ind w:firstLine="360" w:firstLineChars="15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我司（单位）承诺无财政部《财政部关于在政府采购活动中查询及使用信用记录有关问题的通知》及其他相关文件中规定的予以扣分的情形。</w:t>
      </w:r>
    </w:p>
    <w:p>
      <w:pPr>
        <w:spacing w:line="360" w:lineRule="auto"/>
        <w:ind w:firstLine="360" w:firstLineChars="15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我司对上述内容的真实性负责。如有虚假，将依法承担相应责任。</w:t>
      </w:r>
    </w:p>
    <w:p>
      <w:pPr>
        <w:spacing w:line="360" w:lineRule="auto"/>
        <w:ind w:firstLine="360" w:firstLineChars="15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特此声明与承诺！</w:t>
      </w:r>
    </w:p>
    <w:p>
      <w:pPr>
        <w:spacing w:line="360" w:lineRule="auto"/>
        <w:jc w:val="left"/>
        <w:rPr>
          <w:rFonts w:ascii="宋体" w:hAnsi="宋体" w:cs="宋体"/>
          <w:color w:val="000000" w:themeColor="text1"/>
          <w:sz w:val="24"/>
          <w14:textFill>
            <w14:solidFill>
              <w14:schemeClr w14:val="tx1"/>
            </w14:solidFill>
          </w14:textFill>
        </w:rPr>
      </w:pPr>
    </w:p>
    <w:p>
      <w:pPr>
        <w:spacing w:line="360" w:lineRule="auto"/>
        <w:jc w:val="left"/>
        <w:rPr>
          <w:rFonts w:ascii="宋体" w:hAnsi="宋体" w:cs="宋体"/>
          <w:color w:val="000000" w:themeColor="text1"/>
          <w:sz w:val="24"/>
          <w14:textFill>
            <w14:solidFill>
              <w14:schemeClr w14:val="tx1"/>
            </w14:solidFill>
          </w14:textFill>
        </w:rPr>
      </w:pPr>
    </w:p>
    <w:p>
      <w:pPr>
        <w:tabs>
          <w:tab w:val="left" w:pos="3780"/>
        </w:tabs>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投标供应商名称（盖章）：</w:t>
      </w:r>
    </w:p>
    <w:p>
      <w:pPr>
        <w:tabs>
          <w:tab w:val="left" w:pos="3780"/>
        </w:tabs>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日期：  年  月   日</w:t>
      </w:r>
    </w:p>
    <w:p>
      <w:pPr>
        <w:pStyle w:val="8"/>
        <w:spacing w:line="360" w:lineRule="auto"/>
        <w:jc w:val="left"/>
        <w:rPr>
          <w:rFonts w:hAnsi="宋体" w:cs="宋体"/>
          <w:color w:val="000000" w:themeColor="text1"/>
          <w:sz w:val="24"/>
          <w14:textFill>
            <w14:solidFill>
              <w14:schemeClr w14:val="tx1"/>
            </w14:solidFill>
          </w14:textFill>
        </w:rPr>
      </w:pPr>
    </w:p>
    <w:p>
      <w:pPr>
        <w:pStyle w:val="8"/>
        <w:spacing w:line="360" w:lineRule="auto"/>
        <w:jc w:val="left"/>
        <w:rPr>
          <w:rFonts w:hAnsi="宋体" w:cs="宋体"/>
          <w:color w:val="000000" w:themeColor="text1"/>
          <w:sz w:val="24"/>
          <w14:textFill>
            <w14:solidFill>
              <w14:schemeClr w14:val="tx1"/>
            </w14:solidFill>
          </w14:textFill>
        </w:rPr>
      </w:pPr>
    </w:p>
    <w:p>
      <w:pPr>
        <w:spacing w:before="100" w:beforeAutospacing="1" w:after="100" w:afterAutospacing="1"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注：近三年内，如投标人有任何违法违规、受惩罚和禁止、不良信用等记录，必须列明记载，并附网络截图（加盖公章）。</w:t>
      </w:r>
    </w:p>
    <w:p>
      <w:pPr>
        <w:pStyle w:val="5"/>
        <w:rPr>
          <w:color w:val="000000" w:themeColor="text1"/>
          <w:lang w:val="fr-CH"/>
          <w14:textFill>
            <w14:solidFill>
              <w14:schemeClr w14:val="tx1"/>
            </w14:solidFill>
          </w14:textFill>
        </w:rPr>
      </w:pPr>
    </w:p>
    <w:p>
      <w:pPr>
        <w:numPr>
          <w:ilvl w:val="0"/>
          <w:numId w:val="15"/>
        </w:numPr>
        <w:tabs>
          <w:tab w:val="left" w:pos="640"/>
          <w:tab w:val="left" w:pos="840"/>
          <w:tab w:val="left" w:pos="1260"/>
          <w:tab w:val="left" w:pos="1418"/>
        </w:tabs>
        <w:spacing w:line="360" w:lineRule="auto"/>
        <w:ind w:left="845" w:hanging="84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br w:type="page"/>
      </w:r>
      <w:r>
        <w:rPr>
          <w:rFonts w:hint="eastAsia" w:ascii="宋体" w:hAnsi="宋体" w:cs="宋体"/>
          <w:color w:val="000000" w:themeColor="text1"/>
          <w:sz w:val="24"/>
          <w14:textFill>
            <w14:solidFill>
              <w14:schemeClr w14:val="tx1"/>
            </w14:solidFill>
          </w14:textFill>
        </w:rPr>
        <w:t>投标人认为有必要提供的其他材料。</w:t>
      </w:r>
    </w:p>
    <w:p>
      <w:pPr>
        <w:spacing w:line="360" w:lineRule="auto"/>
        <w:rPr>
          <w:rFonts w:ascii="宋体" w:hAnsi="宋体" w:cs="宋体"/>
          <w:color w:val="000000" w:themeColor="text1"/>
          <w:sz w:val="24"/>
          <w14:textFill>
            <w14:solidFill>
              <w14:schemeClr w14:val="tx1"/>
            </w14:solidFill>
          </w14:textFill>
        </w:rPr>
      </w:pPr>
    </w:p>
    <w:p>
      <w:pPr>
        <w:spacing w:line="360" w:lineRule="auto"/>
        <w:outlineLvl w:val="2"/>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br w:type="page"/>
      </w:r>
      <w:r>
        <w:rPr>
          <w:rFonts w:hint="eastAsia" w:ascii="宋体" w:hAnsi="宋体" w:cs="宋体"/>
          <w:b/>
          <w:bCs/>
          <w:color w:val="000000" w:themeColor="text1"/>
          <w:sz w:val="24"/>
          <w14:textFill>
            <w14:solidFill>
              <w14:schemeClr w14:val="tx1"/>
            </w14:solidFill>
          </w14:textFill>
        </w:rPr>
        <w:t>（三）技术部分</w:t>
      </w:r>
    </w:p>
    <w:p>
      <w:pPr>
        <w:numPr>
          <w:ilvl w:val="0"/>
          <w:numId w:val="17"/>
        </w:numPr>
        <w:tabs>
          <w:tab w:val="left" w:pos="640"/>
          <w:tab w:val="left" w:pos="1260"/>
          <w:tab w:val="left" w:pos="1418"/>
        </w:tabs>
        <w:spacing w:line="360" w:lineRule="auto"/>
        <w:ind w:left="640" w:right="-420" w:rightChars="-200" w:hanging="640"/>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t>用户需求响应表；</w:t>
      </w:r>
    </w:p>
    <w:p>
      <w:pPr>
        <w:spacing w:after="78" w:line="360" w:lineRule="auto"/>
        <w:jc w:val="center"/>
        <w:rPr>
          <w:rFonts w:ascii="宋体" w:hAnsi="宋体" w:cs="宋体"/>
          <w:b/>
          <w:bCs/>
          <w:color w:val="000000" w:themeColor="text1"/>
          <w:sz w:val="24"/>
          <w:lang w:val="fr-CH"/>
          <w14:textFill>
            <w14:solidFill>
              <w14:schemeClr w14:val="tx1"/>
            </w14:solidFill>
          </w14:textFill>
        </w:rPr>
      </w:pPr>
      <w:r>
        <w:rPr>
          <w:rFonts w:hint="eastAsia" w:ascii="宋体" w:hAnsi="宋体" w:cs="宋体"/>
          <w:b/>
          <w:bCs/>
          <w:color w:val="000000" w:themeColor="text1"/>
          <w:sz w:val="24"/>
          <w:lang w:val="fr-CH"/>
          <w14:textFill>
            <w14:solidFill>
              <w14:schemeClr w14:val="tx1"/>
            </w14:solidFill>
          </w14:textFill>
        </w:rPr>
        <w:t>用户需求响应表</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投标供应商名称：（公章）</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招标编号：</w:t>
      </w:r>
      <w:r>
        <w:rPr>
          <w:rFonts w:hint="eastAsia" w:ascii="宋体" w:hAnsi="宋体" w:cs="宋体"/>
          <w:color w:val="000000" w:themeColor="text1"/>
          <w:sz w:val="24"/>
          <w:u w:val="single"/>
          <w14:textFill>
            <w14:solidFill>
              <w14:schemeClr w14:val="tx1"/>
            </w14:solidFill>
          </w14:textFill>
        </w:rPr>
        <w:t xml:space="preserve">                                      </w:t>
      </w:r>
    </w:p>
    <w:p>
      <w:pPr>
        <w:spacing w:after="78"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据招标文件要求，我公司承诺响应如下：</w:t>
      </w:r>
    </w:p>
    <w:tbl>
      <w:tblPr>
        <w:tblStyle w:val="16"/>
        <w:tblW w:w="0" w:type="auto"/>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78"/>
        <w:gridCol w:w="3507"/>
        <w:gridCol w:w="3241"/>
        <w:gridCol w:w="1917"/>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878" w:type="dxa"/>
            <w:vAlign w:val="center"/>
          </w:tcPr>
          <w:p>
            <w:pPr>
              <w:spacing w:line="360" w:lineRule="auto"/>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序号</w:t>
            </w:r>
          </w:p>
        </w:tc>
        <w:tc>
          <w:tcPr>
            <w:tcW w:w="3507" w:type="dxa"/>
            <w:vAlign w:val="center"/>
          </w:tcPr>
          <w:p>
            <w:pPr>
              <w:spacing w:line="360" w:lineRule="auto"/>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招标文件要求</w:t>
            </w:r>
          </w:p>
        </w:tc>
        <w:tc>
          <w:tcPr>
            <w:tcW w:w="3241" w:type="dxa"/>
            <w:vAlign w:val="center"/>
          </w:tcPr>
          <w:p>
            <w:pPr>
              <w:spacing w:line="360" w:lineRule="auto"/>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投标文件响应</w:t>
            </w:r>
          </w:p>
        </w:tc>
        <w:tc>
          <w:tcPr>
            <w:tcW w:w="1917" w:type="dxa"/>
            <w:vAlign w:val="center"/>
          </w:tcPr>
          <w:p>
            <w:pPr>
              <w:spacing w:line="360" w:lineRule="auto"/>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偏离说明（符合/正偏离/负偏离）</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878" w:type="dxa"/>
            <w:vAlign w:val="center"/>
          </w:tcPr>
          <w:p>
            <w:pPr>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w:t>
            </w:r>
          </w:p>
        </w:tc>
        <w:tc>
          <w:tcPr>
            <w:tcW w:w="3507" w:type="dxa"/>
            <w:vAlign w:val="center"/>
          </w:tcPr>
          <w:p>
            <w:pPr>
              <w:spacing w:after="78"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本章服务需求书内容为项目正常开展的基本要求，投标人必须完全响应满足招标文件“第五章 用户需求书”的全部内容，否则将导致投标无效。如投标人中标后被发现不能满足招标文件“第五章 用户需求书”的，采购单位有权拒绝签订合同，一切后果由投标人承担。</w:t>
            </w:r>
          </w:p>
        </w:tc>
        <w:tc>
          <w:tcPr>
            <w:tcW w:w="3241" w:type="dxa"/>
            <w:vAlign w:val="center"/>
          </w:tcPr>
          <w:p>
            <w:pPr>
              <w:spacing w:line="360" w:lineRule="auto"/>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填写说明：此项投标人必须完全响应满足，请投标人于“投标文件响应”栏中填写“投标人完全响应满足招标文件“第五章 用户需求书”的全部内容”即可；</w:t>
            </w:r>
          </w:p>
          <w:p>
            <w:pPr>
              <w:spacing w:line="360" w:lineRule="auto"/>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无需另行编制填写内容。</w:t>
            </w:r>
          </w:p>
        </w:tc>
        <w:tc>
          <w:tcPr>
            <w:tcW w:w="1917" w:type="dxa"/>
            <w:vAlign w:val="center"/>
          </w:tcPr>
          <w:p>
            <w:pPr>
              <w:spacing w:line="360" w:lineRule="auto"/>
              <w:jc w:val="center"/>
              <w:rPr>
                <w:rFonts w:ascii="宋体" w:hAnsi="宋体" w:cs="宋体"/>
                <w:bCs/>
                <w:color w:val="000000" w:themeColor="text1"/>
                <w:sz w:val="24"/>
                <w14:textFill>
                  <w14:solidFill>
                    <w14:schemeClr w14:val="tx1"/>
                  </w14:solidFill>
                </w14:textFill>
              </w:rPr>
            </w:pPr>
          </w:p>
        </w:tc>
      </w:tr>
    </w:tbl>
    <w:p>
      <w:pPr>
        <w:spacing w:after="78" w:line="360" w:lineRule="auto"/>
        <w:rPr>
          <w:rFonts w:ascii="宋体" w:hAnsi="宋体" w:cs="宋体"/>
          <w:bCs/>
          <w:color w:val="000000" w:themeColor="text1"/>
          <w:sz w:val="24"/>
          <w14:textFill>
            <w14:solidFill>
              <w14:schemeClr w14:val="tx1"/>
            </w14:solidFill>
          </w14:textFill>
        </w:rPr>
      </w:pPr>
    </w:p>
    <w:p>
      <w:pPr>
        <w:spacing w:after="78"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若响应情况优于招标要求，应作详细说明；“偏离情况”栏中根据响应情况填写，没有达到要求的填“负偏离”，达到要求的填“符合”，优于要求的填“正偏离”。</w:t>
      </w: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投标供应商授权代表：</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职              务：</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日              期：</w:t>
      </w:r>
      <w:r>
        <w:rPr>
          <w:rFonts w:hint="eastAsia" w:ascii="宋体" w:hAnsi="宋体" w:cs="宋体"/>
          <w:color w:val="000000" w:themeColor="text1"/>
          <w:sz w:val="24"/>
          <w:u w:val="single"/>
          <w14:textFill>
            <w14:solidFill>
              <w14:schemeClr w14:val="tx1"/>
            </w14:solidFill>
          </w14:textFill>
        </w:rPr>
        <w:t xml:space="preserve">                   </w:t>
      </w:r>
    </w:p>
    <w:p>
      <w:pPr>
        <w:pStyle w:val="5"/>
        <w:spacing w:line="360" w:lineRule="auto"/>
        <w:rPr>
          <w:color w:val="000000" w:themeColor="text1"/>
          <w:lang w:val="fr-CH"/>
          <w14:textFill>
            <w14:solidFill>
              <w14:schemeClr w14:val="tx1"/>
            </w14:solidFill>
          </w14:textFill>
        </w:rPr>
      </w:pPr>
    </w:p>
    <w:p>
      <w:pPr>
        <w:numPr>
          <w:ilvl w:val="0"/>
          <w:numId w:val="17"/>
        </w:numPr>
        <w:tabs>
          <w:tab w:val="left" w:pos="640"/>
          <w:tab w:val="left" w:pos="1260"/>
          <w:tab w:val="left" w:pos="1418"/>
        </w:tabs>
        <w:spacing w:line="360" w:lineRule="auto"/>
        <w:ind w:left="845" w:right="-420" w:rightChars="-200" w:hanging="845"/>
        <w:rPr>
          <w:rFonts w:ascii="宋体" w:hAnsi="宋体" w:cs="宋体"/>
          <w:color w:val="000000" w:themeColor="text1"/>
          <w:sz w:val="24"/>
          <w:lang w:val="sq-AL"/>
          <w14:textFill>
            <w14:solidFill>
              <w14:schemeClr w14:val="tx1"/>
            </w14:solidFill>
          </w14:textFill>
        </w:rPr>
      </w:pPr>
      <w:r>
        <w:rPr>
          <w:rFonts w:hint="eastAsia" w:ascii="宋体" w:hAnsi="宋体" w:cs="宋体"/>
          <w:color w:val="000000" w:themeColor="text1"/>
          <w:sz w:val="24"/>
          <w:lang w:val="sq-AL"/>
          <w14:textFill>
            <w14:solidFill>
              <w14:schemeClr w14:val="tx1"/>
            </w14:solidFill>
          </w14:textFill>
        </w:rPr>
        <w:br w:type="page"/>
      </w:r>
      <w:r>
        <w:rPr>
          <w:rFonts w:hint="eastAsia" w:ascii="宋体" w:hAnsi="宋体" w:cs="宋体"/>
          <w:color w:val="000000" w:themeColor="text1"/>
          <w:sz w:val="24"/>
          <w:lang w:val="sq-AL"/>
          <w14:textFill>
            <w14:solidFill>
              <w14:schemeClr w14:val="tx1"/>
            </w14:solidFill>
          </w14:textFill>
        </w:rPr>
        <w:t>项目实施方案；</w:t>
      </w:r>
    </w:p>
    <w:p>
      <w:pPr>
        <w:numPr>
          <w:ilvl w:val="0"/>
          <w:numId w:val="17"/>
        </w:numPr>
        <w:tabs>
          <w:tab w:val="left" w:pos="640"/>
          <w:tab w:val="left" w:pos="1260"/>
          <w:tab w:val="left" w:pos="1418"/>
        </w:tabs>
        <w:spacing w:line="360" w:lineRule="auto"/>
        <w:ind w:left="845" w:right="-420" w:rightChars="-200" w:hanging="845"/>
        <w:rPr>
          <w:rFonts w:ascii="宋体" w:hAnsi="宋体" w:cs="宋体"/>
          <w:color w:val="000000" w:themeColor="text1"/>
          <w:sz w:val="24"/>
          <w:lang w:val="sq-AL"/>
          <w14:textFill>
            <w14:solidFill>
              <w14:schemeClr w14:val="tx1"/>
            </w14:solidFill>
          </w14:textFill>
        </w:rPr>
      </w:pPr>
      <w:r>
        <w:rPr>
          <w:rFonts w:hint="eastAsia" w:ascii="宋体" w:hAnsi="宋体" w:cs="宋体"/>
          <w:color w:val="000000" w:themeColor="text1"/>
          <w:sz w:val="24"/>
          <w:lang w:val="sq-AL"/>
          <w14:textFill>
            <w14:solidFill>
              <w14:schemeClr w14:val="tx1"/>
            </w14:solidFill>
          </w14:textFill>
        </w:rPr>
        <w:t>项目需求理解；</w:t>
      </w:r>
    </w:p>
    <w:p>
      <w:pPr>
        <w:numPr>
          <w:ilvl w:val="0"/>
          <w:numId w:val="17"/>
        </w:numPr>
        <w:tabs>
          <w:tab w:val="left" w:pos="640"/>
          <w:tab w:val="left" w:pos="1260"/>
          <w:tab w:val="left" w:pos="1418"/>
        </w:tabs>
        <w:spacing w:line="360" w:lineRule="auto"/>
        <w:ind w:left="845" w:right="-420" w:rightChars="-200" w:hanging="845"/>
        <w:rPr>
          <w:rFonts w:ascii="宋体" w:hAnsi="宋体" w:cs="宋体"/>
          <w:color w:val="000000" w:themeColor="text1"/>
          <w:sz w:val="24"/>
          <w:lang w:val="sq-AL"/>
          <w14:textFill>
            <w14:solidFill>
              <w14:schemeClr w14:val="tx1"/>
            </w14:solidFill>
          </w14:textFill>
        </w:rPr>
      </w:pPr>
      <w:r>
        <w:rPr>
          <w:rFonts w:hint="eastAsia" w:ascii="宋体" w:hAnsi="宋体" w:cs="宋体"/>
          <w:color w:val="000000" w:themeColor="text1"/>
          <w:sz w:val="24"/>
          <w:lang w:val="sq-AL"/>
          <w14:textFill>
            <w14:solidFill>
              <w14:schemeClr w14:val="tx1"/>
            </w14:solidFill>
          </w14:textFill>
        </w:rPr>
        <w:t>项目重点难点分析、应对措施及相关的合理化建议；</w:t>
      </w:r>
    </w:p>
    <w:p>
      <w:pPr>
        <w:numPr>
          <w:ilvl w:val="0"/>
          <w:numId w:val="17"/>
        </w:numPr>
        <w:tabs>
          <w:tab w:val="left" w:pos="640"/>
          <w:tab w:val="left" w:pos="1260"/>
          <w:tab w:val="left" w:pos="1418"/>
        </w:tabs>
        <w:spacing w:line="360" w:lineRule="auto"/>
        <w:ind w:left="845" w:right="-420" w:rightChars="-200" w:hanging="845"/>
        <w:rPr>
          <w:rFonts w:ascii="宋体" w:hAnsi="宋体" w:cs="宋体"/>
          <w:color w:val="000000" w:themeColor="text1"/>
          <w:sz w:val="24"/>
          <w:lang w:val="sq-AL"/>
          <w14:textFill>
            <w14:solidFill>
              <w14:schemeClr w14:val="tx1"/>
            </w14:solidFill>
          </w14:textFill>
        </w:rPr>
      </w:pPr>
      <w:r>
        <w:rPr>
          <w:rFonts w:hint="eastAsia" w:ascii="宋体" w:hAnsi="宋体" w:cs="宋体"/>
          <w:color w:val="000000" w:themeColor="text1"/>
          <w:sz w:val="24"/>
          <w:lang w:val="sq-AL"/>
          <w14:textFill>
            <w14:solidFill>
              <w14:schemeClr w14:val="tx1"/>
            </w14:solidFill>
          </w14:textFill>
        </w:rPr>
        <w:t>质量（完成时间、安全、环保）保障措施及方案；</w:t>
      </w:r>
    </w:p>
    <w:p>
      <w:pPr>
        <w:numPr>
          <w:ilvl w:val="0"/>
          <w:numId w:val="17"/>
        </w:numPr>
        <w:tabs>
          <w:tab w:val="left" w:pos="640"/>
          <w:tab w:val="left" w:pos="1260"/>
          <w:tab w:val="left" w:pos="1418"/>
        </w:tabs>
        <w:spacing w:line="360" w:lineRule="auto"/>
        <w:ind w:left="845" w:right="-420" w:rightChars="-200" w:hanging="845"/>
        <w:rPr>
          <w:rFonts w:ascii="宋体" w:hAnsi="宋体" w:cs="宋体"/>
          <w:color w:val="000000" w:themeColor="text1"/>
          <w:sz w:val="24"/>
          <w:lang w:val="sq-AL"/>
          <w14:textFill>
            <w14:solidFill>
              <w14:schemeClr w14:val="tx1"/>
            </w14:solidFill>
          </w14:textFill>
        </w:rPr>
      </w:pPr>
      <w:r>
        <w:rPr>
          <w:rFonts w:hint="eastAsia" w:ascii="宋体" w:hAnsi="宋体" w:cs="宋体"/>
          <w:color w:val="000000" w:themeColor="text1"/>
          <w:sz w:val="24"/>
          <w:lang w:val="sq-AL"/>
          <w14:textFill>
            <w14:solidFill>
              <w14:schemeClr w14:val="tx1"/>
            </w14:solidFill>
          </w14:textFill>
        </w:rPr>
        <w:t>项目完成（服务期满）后的服务承诺；</w:t>
      </w:r>
    </w:p>
    <w:p>
      <w:pPr>
        <w:numPr>
          <w:ilvl w:val="0"/>
          <w:numId w:val="17"/>
        </w:numPr>
        <w:tabs>
          <w:tab w:val="left" w:pos="640"/>
          <w:tab w:val="left" w:pos="1260"/>
          <w:tab w:val="left" w:pos="1418"/>
        </w:tabs>
        <w:spacing w:line="360" w:lineRule="auto"/>
        <w:ind w:left="845" w:right="-420" w:rightChars="-200" w:hanging="845"/>
        <w:rPr>
          <w:rFonts w:ascii="宋体" w:hAnsi="宋体" w:cs="宋体"/>
          <w:color w:val="000000" w:themeColor="text1"/>
          <w:sz w:val="24"/>
          <w:lang w:val="sq-AL"/>
          <w14:textFill>
            <w14:solidFill>
              <w14:schemeClr w14:val="tx1"/>
            </w14:solidFill>
          </w14:textFill>
        </w:rPr>
      </w:pPr>
      <w:r>
        <w:rPr>
          <w:rFonts w:hint="eastAsia" w:ascii="宋体" w:hAnsi="宋体" w:cs="宋体"/>
          <w:color w:val="000000" w:themeColor="text1"/>
          <w:sz w:val="24"/>
          <w:lang w:val="sq-AL"/>
          <w14:textFill>
            <w14:solidFill>
              <w14:schemeClr w14:val="tx1"/>
            </w14:solidFill>
          </w14:textFill>
        </w:rPr>
        <w:t>其他服务承诺；</w:t>
      </w:r>
    </w:p>
    <w:p>
      <w:pPr>
        <w:tabs>
          <w:tab w:val="left" w:pos="640"/>
          <w:tab w:val="left" w:pos="1260"/>
          <w:tab w:val="left" w:pos="1418"/>
        </w:tabs>
        <w:jc w:val="center"/>
        <w:rPr>
          <w:rFonts w:ascii="宋体" w:hAnsi="宋体" w:cs="宋体"/>
          <w:b/>
          <w:bCs/>
          <w:color w:val="000000" w:themeColor="text1"/>
          <w:sz w:val="24"/>
          <w14:textFill>
            <w14:solidFill>
              <w14:schemeClr w14:val="tx1"/>
            </w14:solidFill>
          </w14:textFill>
        </w:rPr>
      </w:pPr>
    </w:p>
    <w:p>
      <w:pPr>
        <w:tabs>
          <w:tab w:val="left" w:pos="640"/>
          <w:tab w:val="left" w:pos="1260"/>
          <w:tab w:val="left" w:pos="1418"/>
        </w:tabs>
        <w:jc w:val="center"/>
        <w:rPr>
          <w:rFonts w:ascii="宋体" w:hAnsi="宋体" w:cs="宋体"/>
          <w:b/>
          <w:bCs/>
          <w:color w:val="000000" w:themeColor="text1"/>
          <w:sz w:val="24"/>
          <w14:textFill>
            <w14:solidFill>
              <w14:schemeClr w14:val="tx1"/>
            </w14:solidFill>
          </w14:textFill>
        </w:rPr>
      </w:pPr>
    </w:p>
    <w:p>
      <w:pPr>
        <w:tabs>
          <w:tab w:val="left" w:pos="640"/>
          <w:tab w:val="left" w:pos="1260"/>
          <w:tab w:val="left" w:pos="1418"/>
        </w:tabs>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注：以上各项请根据“招标项目评分表”中的要求自行填写并提供相应的证明材料。</w:t>
      </w:r>
    </w:p>
    <w:p>
      <w:pPr>
        <w:numPr>
          <w:ilvl w:val="0"/>
          <w:numId w:val="17"/>
        </w:numPr>
        <w:tabs>
          <w:tab w:val="left" w:pos="640"/>
          <w:tab w:val="left" w:pos="1260"/>
          <w:tab w:val="left" w:pos="1418"/>
        </w:tabs>
        <w:spacing w:line="360" w:lineRule="auto"/>
        <w:ind w:left="845" w:right="-420" w:rightChars="-200" w:hanging="845"/>
        <w:rPr>
          <w:rFonts w:ascii="宋体" w:hAnsi="宋体" w:cs="宋体"/>
          <w:color w:val="000000" w:themeColor="text1"/>
          <w:sz w:val="24"/>
          <w:lang w:val="fr-CH"/>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br w:type="page"/>
      </w:r>
      <w:r>
        <w:rPr>
          <w:rFonts w:hint="eastAsia" w:ascii="宋体" w:hAnsi="宋体" w:cs="宋体"/>
          <w:color w:val="000000" w:themeColor="text1"/>
          <w:sz w:val="24"/>
          <w:lang w:val="fr-CH"/>
          <w14:textFill>
            <w14:solidFill>
              <w14:schemeClr w14:val="tx1"/>
            </w14:solidFill>
          </w14:textFill>
        </w:rPr>
        <w:t>投标人认为有必要提供的其他材料。</w:t>
      </w:r>
      <w:bookmarkEnd w:id="20"/>
    </w:p>
    <w:p>
      <w:pPr>
        <w:tabs>
          <w:tab w:val="left" w:pos="360"/>
        </w:tabs>
        <w:spacing w:line="300" w:lineRule="auto"/>
        <w:outlineLvl w:val="0"/>
        <w:rPr>
          <w:rFonts w:ascii="宋体" w:hAnsi="宋体" w:cs="宋体"/>
          <w:b/>
          <w:bCs/>
          <w:color w:val="000000" w:themeColor="text1"/>
          <w:sz w:val="24"/>
          <w14:textFill>
            <w14:solidFill>
              <w14:schemeClr w14:val="tx1"/>
            </w14:solidFill>
          </w14:textFill>
        </w:rPr>
      </w:pPr>
      <w:r>
        <w:rPr>
          <w:rFonts w:hint="eastAsia" w:ascii="宋体" w:hAnsi="宋体" w:cs="宋体"/>
          <w:color w:val="000000" w:themeColor="text1"/>
          <w:sz w:val="24"/>
          <w:lang w:val="fr-CH"/>
          <w14:textFill>
            <w14:solidFill>
              <w14:schemeClr w14:val="tx1"/>
            </w14:solidFill>
          </w14:textFill>
        </w:rPr>
        <w:br w:type="page"/>
      </w:r>
      <w:bookmarkStart w:id="26" w:name="_Toc6251"/>
      <w:bookmarkStart w:id="27" w:name="_Toc742"/>
      <w:r>
        <w:rPr>
          <w:rFonts w:hint="eastAsia" w:ascii="宋体" w:hAnsi="宋体" w:cs="宋体"/>
          <w:b/>
          <w:bCs/>
          <w:color w:val="000000" w:themeColor="text1"/>
          <w:sz w:val="24"/>
          <w14:textFill>
            <w14:solidFill>
              <w14:schemeClr w14:val="tx1"/>
            </w14:solidFill>
          </w14:textFill>
        </w:rPr>
        <w:t>附件：相关政策</w:t>
      </w:r>
      <w:bookmarkEnd w:id="26"/>
      <w:bookmarkEnd w:id="27"/>
    </w:p>
    <w:p>
      <w:pPr>
        <w:tabs>
          <w:tab w:val="left" w:pos="360"/>
        </w:tabs>
        <w:outlineLvl w:val="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1、财政部、工业和信息化部《关于印发〈政府采购促进中小企业发展管理办法〉的通知》（财库〔2020〕46 号）</w:t>
      </w:r>
    </w:p>
    <w:p>
      <w:pPr>
        <w:pStyle w:val="5"/>
        <w:tabs>
          <w:tab w:val="left" w:pos="562"/>
          <w:tab w:val="left" w:pos="3372"/>
          <w:tab w:val="left" w:pos="3653"/>
        </w:tabs>
        <w:rPr>
          <w:rFonts w:ascii="宋体" w:hAnsi="宋体" w:cs="宋体"/>
          <w:color w:val="000000" w:themeColor="text1"/>
          <w14:textFill>
            <w14:solidFill>
              <w14:schemeClr w14:val="tx1"/>
            </w14:solidFill>
          </w14:textFill>
        </w:rPr>
      </w:pPr>
    </w:p>
    <w:p>
      <w:pPr>
        <w:widowControl/>
        <w:shd w:val="clear" w:color="auto" w:fill="FFFFFF"/>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关于印发《政府采购促进中小企业发展管理办法》的通知</w:t>
      </w:r>
    </w:p>
    <w:p>
      <w:pPr>
        <w:widowControl/>
        <w:shd w:val="clear" w:color="auto" w:fill="FFFFFF"/>
        <w:spacing w:after="24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财库〔2020〕46号</w:t>
      </w:r>
    </w:p>
    <w:p>
      <w:pPr>
        <w:widowControl/>
        <w:shd w:val="clear" w:color="auto" w:fill="FFFFFF"/>
        <w:spacing w:after="24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各中央预算单位办公厅（室），各省、自治区、直辖市、计划单列市财政厅（局）、工业和信息化主管部门，新疆生产建设兵团财政局、工业和信息化主管部门：</w:t>
      </w:r>
    </w:p>
    <w:p>
      <w:pPr>
        <w:widowControl/>
        <w:shd w:val="clear" w:color="auto" w:fill="FFFFFF"/>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shd w:val="clear" w:color="auto" w:fill="FFFFFF"/>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附件：政府采购促进中小企业发展管理办法</w:t>
      </w:r>
    </w:p>
    <w:p>
      <w:pPr>
        <w:widowControl/>
        <w:shd w:val="clear" w:color="auto" w:fill="FFFFFF"/>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财  政  部</w:t>
      </w:r>
    </w:p>
    <w:p>
      <w:pPr>
        <w:widowControl/>
        <w:shd w:val="clear" w:color="auto" w:fill="FFFFFF"/>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工业和信息化部</w:t>
      </w:r>
    </w:p>
    <w:p>
      <w:pPr>
        <w:widowControl/>
        <w:shd w:val="clear" w:color="auto" w:fill="FFFFFF"/>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2020年12月18日</w:t>
      </w:r>
    </w:p>
    <w:p>
      <w:pPr>
        <w:autoSpaceDE w:val="0"/>
        <w:autoSpaceDN w:val="0"/>
        <w:adjustRightInd w:val="0"/>
        <w:jc w:val="left"/>
        <w:rPr>
          <w:rFonts w:ascii="宋体" w:hAnsi="宋体" w:cs="宋体"/>
          <w:color w:val="000000" w:themeColor="text1"/>
          <w:kern w:val="0"/>
          <w:sz w:val="24"/>
          <w14:textFill>
            <w14:solidFill>
              <w14:schemeClr w14:val="tx1"/>
            </w14:solidFill>
          </w14:textFill>
        </w:rPr>
      </w:pPr>
    </w:p>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政府采购促进中小企业发展管理办法</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第一条 为了发挥政府采购的政策功能，促进中小企业健康发展，根据《中华人民共和国政府采购法》《中华人民共和国中小企业促进法》等有关法律法规，制定本办法。</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第二条 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第三条 采购人在政府采购活动中应当通过加强采购需求管理，落实预留采购份额、价格评审优惠、优先采购等 措施，提高中小企业在政府采购中的份额，支持中小企业发展。</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第四条 在政府采购活动中，供应商提供的货物、工程或者服务符合下列情形的，享受本办法规定的中小企业扶持政策：</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（一）在货物采购项目中，货物由中小企业制造，即货 物由中小企业生产且使用该中小企业商号或者注册商标；</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（二）在工程采购项目中，工程由中小企业承建，即工 程施工单位为中小企业；</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（三）在服务采购项目中，服务由中小企业承接，即提供服务的人员为中小企业依照《中华人民共和国劳动合同法》订立劳动合同的从业人员。</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在货物采购项目中，供应商提供的货物既有中小企业制造货物，也有大型企业制造货物的，不享受本办法规定的中小企业扶持政策。</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以联合体形式参加政府采购活动，联合体各方均为中小企业的，联合体视同中小企业。其中，联合体各方均为小微企业的，联合体视同小微企业。</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第五条 采购人在政府采购活动中应当合理确定采购项目的采购需求，不得以企业注册资本、资产总额、营业收入、从业人员、利润、纳税额等规模条件和财务指标作为供应商的资格要求或者评审因素，不得在企业股权结构、经营 年限等方面对中小企业实行差别待遇或者歧视待遇。</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第六条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5"/>
        <w:tabs>
          <w:tab w:val="left" w:pos="562"/>
          <w:tab w:val="left" w:pos="3372"/>
          <w:tab w:val="left" w:pos="3653"/>
        </w:tabs>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符合下列情形之一的，可不专门面向中小企业预留采购</w:t>
      </w:r>
      <w:r>
        <w:rPr>
          <w:rFonts w:hint="eastAsia" w:ascii="宋体" w:hAnsi="宋体" w:cs="宋体"/>
          <w:color w:val="000000" w:themeColor="text1"/>
          <w14:textFill>
            <w14:solidFill>
              <w14:schemeClr w14:val="tx1"/>
            </w14:solidFill>
          </w14:textFill>
        </w:rPr>
        <w:t>份额：</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（一）法律法规和国家有关政策明确规定优先或者应当面向事业单位、社会组织等非企业主体采购的；</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（二）因确需使用不可替代的专利、专有技术，基础设施限制，或者提供特定公共服务等原因，只能从中小企业之外的供应商处采购的；</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（三）按照本办法规定预留采购份额无法确保充分供应、充分竞争，或者存在可能影响政府采购目标实现的情形；</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（四）框架协议采购项目；</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（五）省级以上人民政府财政部门规定的其他情形。 除上述情形外，其他均为适宜由中小企业提供的情形。</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第七条采购限额标准以上，200万元以下的货物和服务采购项目、400 万元以下的工程采购项目，适宜由中小企业提供的，采购人应当专门面向中小企业采购。</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第八条 超过 200 万元的货物和服务采购项目、超过400 万元的工程采购项目中适宜由中小企业提供的，预留该部分采购项目预算总额的 30%以上专门面向中小企业采购， 其中预留给小微企业的比例不低于 60%。预留份额通过下列措施进行：</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（一）将采购项目整体或者设置采购包专门面向中小企业采购；</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（二）要求供应商以联合体形式参加采购活动，且联合体中中小企业承担的部分达到一定比例；</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（三）要求获得采购合同的供应商将采购项目中的一定比例分包给一家或者多家中小企业。</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组成联合体或者接受分包合同的中小企业与联合体内 其他企业、分包企业之间不得存在直接控股、管理关系。</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第九条 对于经主管预算单位统筹后未预留份额专门面向中小企业采购的采购项目，以及预留份额项目中的非预留部分采购包，采购人、采购代理机构应当对符合本办法规定的小微企业报价给予 6%—10%（工程项目为 3%—5%）的扣除（本项目以10%扣除），用扣除后的价格参加评审。适用招标投标法的政府采购 工程建设项目，采用综合评估法但未采用低价优先法计算价格分的，评标时应当在采用原报价进行评分的基础上增加其价格得分的 3%—5%作为其价格分。</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接受大中型企业与小微企业组成联合体或者允许大中 型企业向一家或者多家小微企业分包的采购项目，对于联合协议或者分包意向协议约定小微企业的合同份额占到合同 总金额 30%以上的，采购人、采购代理机构应当对联合体或者大中型企业的报价给予 2%-3%（工程项目为 1%—2%）的扣除，用扣除后的价格参加评审。适用招标投标法的政府采购 工程建设项目，采用综合评估法但未采用低价优先法计算价格分的，评标时应当在采用原报价进行评分的基础上增加其价格得分的 1%—2%作为其价格分。组成联合体或者接受分包的小微企业与联合体内其他企业、分包企业之间存在直接控股、管理关系的，不享受价格扣除优惠政策。</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第十条 采购人应当严格按照本办法规定和主管预算单位制定的预留采购份额具体方案开展采购活动。预留份额的采购项目或者采购包，通过发布公告方式邀请供应商后， 符合资格条件的中小企业数量不足 3 家的，应当中止采购活动，视同未预留份额的采购项目或者采购包，按照本办法第九条有关规定重新组织采购活动。</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第十一条 中小企业参加政府采购活动，应当出具本办法规定的《中小企业声明函》（附1），否则不得享受相关中小企业扶持政策。任何单位和个人不得要求供应商提供《中小企业声明函》之外的中小企业身份证明文件。</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第十二条 采购项目涉及中小企业采购的，采购文件应当明确以下内容：</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（一）预留份额的采购项目或者采购包，明确该项目或相关采购包专门面向中小企业采购，以及相关标的及预算金额；</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（二）要求以联合体形式参加或者合同分包的，明确联合协议或者分包意向协议中中小企业合同金额应当达到的 比例，并作为供应商资格条件；</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（三）非预留份额的采购项目或者采购包，明确有关价格扣除比例或者价格分加分比例；</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（四）规定依据本办法规定享受扶持政策获得政府采购合同的，小微企业不得将合同分包给大中型企业，中型企业不得将合同分包给大型企业；</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（五）采购人认为具备相关条件的，明确对中小企业在资金支付期限、预付款比例等方面的优惠措施；</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（六）明确采购标的对应的中小企业划分标准所属行业；</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（七）法律法规和省级以上人民政府财政部门规定的其他事项。</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第十三条 中标、成交供应商享受本办法规定的中小企业扶持政策的，采购人、采购代理机构应当对中标、成交结果公开中标、成交供应商的《中小企业声明函》。</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适用招标投标法的政府采购工程建设项目，应当在公示中标候选人时公开中标候选人的《中小企业声明函》。</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第十四条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第十五条 鼓励各地区、各部门在采购活动中允许中小企业引入信用担保手段，为中小企业在投标（响应）保证、履约保证等方面提供专业化服务。鼓励中小企业依法合规通过政府采购合同融资。</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第十六条 政府采购监督检查、投诉处理及政府采购行政处罚中对中小企业的认定，由货物制造商或者工程、服务供应商注册登记所在地的县级以上人民政府中小企业主管部门负责。</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中小企业主管部门应当在收到财政部门或者有关招标 投标行政监督部门关于协助开展中小企业认定函后 10 个工作日内做出书面答复。</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第十七条 各地区、各部门应当对涉及中小企业采购的 预算项目实施全过程绩效管理，合理设置绩效目标和指标， 落实扶持中小企业有关政策要求，定期开展绩效监控和评价， 强化绩效评价结果应用。</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xml:space="preserve">第十八条 主管预算单位应当自2022年起向同级财政部门报告本部门上一年度面向中小企业预留份额和采购的 具体情况，并在中国政府采购网公开预留项目执行情况（附 2）。未达到本办法规定的预留份额比例的，应当作出说明。 </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第十九条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第二十条 供应商按照本办法规定提供声明函内容不实的，属于提供虚假材料谋取中标、成交，依照《中华人民共和国政府采购法》等国家有关规定追究相应责任。</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适用招标投标法的政府采购工程建设项目，投标人按照 本办法规定提供声明函内容不实的，属于弄虚作假骗取中标，依照《中华人民共和国招标投标法》等国家有关规定追究相应责任。</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第二十一条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 有关规定追究相应责任；涉嫌犯罪的，依法移送有关国家机 关处理。</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第二十二条 对外援助项目、国家相关资格或者资质管理制度另有规定的项目，不适用本办法。</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第二十三条 关于视同中小企业的其他主体的政府采购扶持政策，由财政部会同有关部门另行规定。</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第二十四条 省级财政部门可以会同中小企业主管部门根据本办法的规定制定具体实施办法。</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第二十五条 本办法自 2021 年 1 月 1 日起施行。《财政部 工业和信息化部关于印发〈政府采购促进中小企业发展暂行办法〉的通知》（财库﹝2011﹞181 号）同时废止。</w:t>
      </w:r>
    </w:p>
    <w:p>
      <w:pPr>
        <w:pStyle w:val="5"/>
        <w:tabs>
          <w:tab w:val="left" w:pos="562"/>
          <w:tab w:val="left" w:pos="3372"/>
          <w:tab w:val="left" w:pos="3653"/>
        </w:tabs>
        <w:spacing w:before="5"/>
        <w:rPr>
          <w:rFonts w:ascii="宋体" w:hAnsi="宋体" w:cs="宋体"/>
          <w:color w:val="000000" w:themeColor="text1"/>
          <w14:textFill>
            <w14:solidFill>
              <w14:schemeClr w14:val="tx1"/>
            </w14:solidFill>
          </w14:textFill>
        </w:rPr>
      </w:pP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附：1.中小企业声明函</w:t>
      </w:r>
    </w:p>
    <w:p>
      <w:pPr>
        <w:pStyle w:val="5"/>
        <w:tabs>
          <w:tab w:val="left" w:pos="562"/>
          <w:tab w:val="left" w:pos="3372"/>
          <w:tab w:val="left" w:pos="3653"/>
        </w:tabs>
        <w:ind w:firstLine="960" w:firstLineChars="4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2.面向中小企业预留项目执行情况公告</w:t>
      </w:r>
    </w:p>
    <w:p>
      <w:pPr>
        <w:pStyle w:val="5"/>
        <w:tabs>
          <w:tab w:val="left" w:pos="562"/>
          <w:tab w:val="left" w:pos="3372"/>
          <w:tab w:val="left" w:pos="3653"/>
        </w:tabs>
        <w:spacing w:before="3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br w:type="page"/>
      </w:r>
      <w:r>
        <w:rPr>
          <w:rFonts w:hint="eastAsia" w:ascii="宋体" w:hAnsi="宋体" w:cs="宋体"/>
          <w:b/>
          <w:bCs/>
          <w:color w:val="000000" w:themeColor="text1"/>
          <w14:textFill>
            <w14:solidFill>
              <w14:schemeClr w14:val="tx1"/>
            </w14:solidFill>
          </w14:textFill>
        </w:rPr>
        <w:t>附 1</w:t>
      </w:r>
    </w:p>
    <w:p>
      <w:pPr>
        <w:spacing w:after="319" w:afterLines="10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中小企业声明函（货物）</w:t>
      </w:r>
    </w:p>
    <w:p>
      <w:pPr>
        <w:pStyle w:val="5"/>
        <w:tabs>
          <w:tab w:val="left" w:pos="562"/>
          <w:tab w:val="left" w:pos="3372"/>
          <w:tab w:val="left" w:pos="3653"/>
        </w:tabs>
        <w:ind w:firstLine="472" w:firstLineChars="200"/>
        <w:rPr>
          <w:rFonts w:ascii="宋体" w:hAnsi="宋体" w:cs="宋体"/>
          <w:color w:val="000000" w:themeColor="text1"/>
          <w:spacing w:val="-2"/>
          <w14:textFill>
            <w14:solidFill>
              <w14:schemeClr w14:val="tx1"/>
            </w14:solidFill>
          </w14:textFill>
        </w:rPr>
      </w:pPr>
      <w:r>
        <w:rPr>
          <w:rFonts w:hint="eastAsia" w:ascii="宋体" w:hAnsi="宋体" w:cs="宋体"/>
          <w:color w:val="000000" w:themeColor="text1"/>
          <w:spacing w:val="-2"/>
          <w14:textFill>
            <w14:solidFill>
              <w14:schemeClr w14:val="tx1"/>
            </w14:solidFill>
          </w14:textFill>
        </w:rPr>
        <w:t>本公司（联合体）郑重声明，根据《政府采购促进中小企业发展管理办法》（财库﹝2020﹞46 号）的规定，本公司（联合体）参加（</w:t>
      </w:r>
      <w:r>
        <w:rPr>
          <w:rFonts w:hint="eastAsia" w:ascii="宋体" w:hAnsi="宋体" w:cs="宋体"/>
          <w:color w:val="000000" w:themeColor="text1"/>
          <w:spacing w:val="-2"/>
          <w:u w:val="single"/>
          <w14:textFill>
            <w14:solidFill>
              <w14:schemeClr w14:val="tx1"/>
            </w14:solidFill>
          </w14:textFill>
        </w:rPr>
        <w:t>单位名称</w:t>
      </w:r>
      <w:r>
        <w:rPr>
          <w:rFonts w:hint="eastAsia" w:ascii="宋体" w:hAnsi="宋体" w:cs="宋体"/>
          <w:color w:val="000000" w:themeColor="text1"/>
          <w:spacing w:val="-2"/>
          <w14:textFill>
            <w14:solidFill>
              <w14:schemeClr w14:val="tx1"/>
            </w14:solidFill>
          </w14:textFill>
        </w:rPr>
        <w:t>）的（</w:t>
      </w:r>
      <w:r>
        <w:rPr>
          <w:rFonts w:hint="eastAsia" w:ascii="宋体" w:hAnsi="宋体" w:cs="宋体"/>
          <w:color w:val="000000" w:themeColor="text1"/>
          <w:spacing w:val="-2"/>
          <w:u w:val="single"/>
          <w14:textFill>
            <w14:solidFill>
              <w14:schemeClr w14:val="tx1"/>
            </w14:solidFill>
          </w14:textFill>
        </w:rPr>
        <w:t>项目名称</w:t>
      </w:r>
      <w:r>
        <w:rPr>
          <w:rFonts w:hint="eastAsia" w:ascii="宋体" w:hAnsi="宋体" w:cs="宋体"/>
          <w:color w:val="000000" w:themeColor="text1"/>
          <w:spacing w:val="-2"/>
          <w14:textFill>
            <w14:solidFill>
              <w14:schemeClr w14:val="tx1"/>
            </w14:solidFill>
          </w14:textFill>
        </w:rPr>
        <w:t>）采购活动，提供的货物全部由符合政策要求的中小企业制造。相关企业（含联合体中的中小企业、签订分包意向协议的中小企业） 的具体情况如下：</w:t>
      </w:r>
    </w:p>
    <w:p>
      <w:pPr>
        <w:pStyle w:val="5"/>
        <w:tabs>
          <w:tab w:val="left" w:pos="562"/>
          <w:tab w:val="left" w:pos="3372"/>
          <w:tab w:val="left" w:pos="3653"/>
        </w:tabs>
        <w:ind w:firstLine="480" w:firstLineChars="20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r>
        <w:rPr>
          <w:rFonts w:hint="eastAsia" w:ascii="宋体" w:hAnsi="宋体" w:cs="宋体"/>
          <w:color w:val="000000" w:themeColor="text1"/>
          <w:kern w:val="0"/>
          <w:u w:val="single"/>
          <w14:textFill>
            <w14:solidFill>
              <w14:schemeClr w14:val="tx1"/>
            </w14:solidFill>
          </w14:textFill>
        </w:rPr>
        <w:t>标的名称</w:t>
      </w:r>
      <w:r>
        <w:rPr>
          <w:rFonts w:hint="eastAsia" w:ascii="宋体" w:hAnsi="宋体" w:cs="宋体"/>
          <w:color w:val="000000" w:themeColor="text1"/>
          <w:kern w:val="0"/>
          <w14:textFill>
            <w14:solidFill>
              <w14:schemeClr w14:val="tx1"/>
            </w14:solidFill>
          </w14:textFill>
        </w:rPr>
        <w:t>），属于（</w:t>
      </w:r>
      <w:r>
        <w:rPr>
          <w:rFonts w:hint="eastAsia" w:ascii="宋体" w:hAnsi="宋体" w:cs="宋体"/>
          <w:color w:val="000000" w:themeColor="text1"/>
          <w:kern w:val="0"/>
          <w:u w:val="single"/>
          <w14:textFill>
            <w14:solidFill>
              <w14:schemeClr w14:val="tx1"/>
            </w14:solidFill>
          </w14:textFill>
        </w:rPr>
        <w:t>采购文件中明确的所属行业</w:t>
      </w:r>
      <w:r>
        <w:rPr>
          <w:rFonts w:hint="eastAsia" w:ascii="宋体" w:hAnsi="宋体" w:cs="宋体"/>
          <w:color w:val="000000" w:themeColor="text1"/>
          <w:kern w:val="0"/>
          <w14:textFill>
            <w14:solidFill>
              <w14:schemeClr w14:val="tx1"/>
            </w14:solidFill>
          </w14:textFill>
        </w:rPr>
        <w:t>）；制造商为（</w:t>
      </w:r>
      <w:r>
        <w:rPr>
          <w:rFonts w:hint="eastAsia" w:ascii="宋体" w:hAnsi="宋体" w:cs="宋体"/>
          <w:color w:val="000000" w:themeColor="text1"/>
          <w:kern w:val="0"/>
          <w:u w:val="single"/>
          <w14:textFill>
            <w14:solidFill>
              <w14:schemeClr w14:val="tx1"/>
            </w14:solidFill>
          </w14:textFill>
        </w:rPr>
        <w:t>企业名称</w:t>
      </w:r>
      <w:r>
        <w:rPr>
          <w:rFonts w:hint="eastAsia" w:ascii="宋体" w:hAnsi="宋体" w:cs="宋体"/>
          <w:color w:val="000000" w:themeColor="text1"/>
          <w:kern w:val="0"/>
          <w14:textFill>
            <w14:solidFill>
              <w14:schemeClr w14:val="tx1"/>
            </w14:solidFill>
          </w14:textFill>
        </w:rPr>
        <w:t>），从业人员</w:t>
      </w:r>
      <w:r>
        <w:rPr>
          <w:rFonts w:hint="eastAsia" w:ascii="宋体" w:hAnsi="宋体" w:cs="宋体"/>
          <w:color w:val="000000" w:themeColor="text1"/>
          <w:kern w:val="0"/>
          <w:u w:val="single"/>
          <w14:textFill>
            <w14:solidFill>
              <w14:schemeClr w14:val="tx1"/>
            </w14:solidFill>
          </w14:textFill>
        </w:rPr>
        <w:tab/>
      </w:r>
      <w:r>
        <w:rPr>
          <w:rFonts w:hint="eastAsia" w:ascii="宋体" w:hAnsi="宋体" w:cs="宋体"/>
          <w:color w:val="000000" w:themeColor="text1"/>
          <w:kern w:val="0"/>
          <w14:textFill>
            <w14:solidFill>
              <w14:schemeClr w14:val="tx1"/>
            </w14:solidFill>
          </w14:textFill>
        </w:rPr>
        <w:t xml:space="preserve">人，营业收入为 </w:t>
      </w:r>
      <w:r>
        <w:rPr>
          <w:rFonts w:hint="eastAsia" w:ascii="宋体" w:hAnsi="宋体" w:cs="宋体"/>
          <w:color w:val="000000" w:themeColor="text1"/>
          <w:kern w:val="0"/>
          <w:u w:val="single"/>
          <w14:textFill>
            <w14:solidFill>
              <w14:schemeClr w14:val="tx1"/>
            </w14:solidFill>
          </w14:textFill>
        </w:rPr>
        <w:tab/>
      </w:r>
      <w:r>
        <w:rPr>
          <w:rFonts w:hint="eastAsia" w:ascii="宋体" w:hAnsi="宋体" w:cs="宋体"/>
          <w:color w:val="000000" w:themeColor="text1"/>
          <w:kern w:val="0"/>
          <w14:textFill>
            <w14:solidFill>
              <w14:schemeClr w14:val="tx1"/>
            </w14:solidFill>
          </w14:textFill>
        </w:rPr>
        <w:t>万元，资产总额为</w:t>
      </w:r>
      <w:r>
        <w:rPr>
          <w:rFonts w:hint="eastAsia" w:ascii="宋体" w:hAnsi="宋体" w:cs="宋体"/>
          <w:color w:val="000000" w:themeColor="text1"/>
          <w:kern w:val="0"/>
          <w:u w:val="single"/>
          <w14:textFill>
            <w14:solidFill>
              <w14:schemeClr w14:val="tx1"/>
            </w14:solidFill>
          </w14:textFill>
        </w:rPr>
        <w:tab/>
      </w:r>
      <w:r>
        <w:rPr>
          <w:rFonts w:hint="eastAsia" w:ascii="宋体" w:hAnsi="宋体" w:cs="宋体"/>
          <w:color w:val="000000" w:themeColor="text1"/>
          <w:kern w:val="0"/>
          <w:u w:val="single"/>
          <w14:textFill>
            <w14:solidFill>
              <w14:schemeClr w14:val="tx1"/>
            </w14:solidFill>
          </w14:textFill>
        </w:rPr>
        <w:t xml:space="preserve"> </w:t>
      </w:r>
      <w:r>
        <w:rPr>
          <w:rFonts w:hint="eastAsia" w:ascii="宋体" w:hAnsi="宋体" w:cs="宋体"/>
          <w:color w:val="000000" w:themeColor="text1"/>
          <w:kern w:val="0"/>
          <w14:textFill>
            <w14:solidFill>
              <w14:schemeClr w14:val="tx1"/>
            </w14:solidFill>
          </w14:textFill>
        </w:rPr>
        <w:t>万元，属于（</w:t>
      </w:r>
      <w:r>
        <w:rPr>
          <w:rFonts w:hint="eastAsia" w:ascii="宋体" w:hAnsi="宋体" w:cs="宋体"/>
          <w:color w:val="000000" w:themeColor="text1"/>
          <w:kern w:val="0"/>
          <w:u w:val="single"/>
          <w14:textFill>
            <w14:solidFill>
              <w14:schemeClr w14:val="tx1"/>
            </w14:solidFill>
          </w14:textFill>
        </w:rPr>
        <w:t>中型企业、小型企业、微型企业</w:t>
      </w:r>
      <w:r>
        <w:rPr>
          <w:rFonts w:hint="eastAsia" w:ascii="宋体" w:hAnsi="宋体" w:cs="宋体"/>
          <w:color w:val="000000" w:themeColor="text1"/>
          <w:kern w:val="0"/>
          <w14:textFill>
            <w14:solidFill>
              <w14:schemeClr w14:val="tx1"/>
            </w14:solidFill>
          </w14:textFill>
        </w:rPr>
        <w:t>）；</w:t>
      </w:r>
    </w:p>
    <w:p>
      <w:pPr>
        <w:pStyle w:val="5"/>
        <w:tabs>
          <w:tab w:val="left" w:pos="562"/>
          <w:tab w:val="left" w:pos="3372"/>
          <w:tab w:val="left" w:pos="3653"/>
        </w:tabs>
        <w:ind w:firstLine="472" w:firstLineChars="200"/>
        <w:rPr>
          <w:rFonts w:ascii="宋体" w:hAnsi="宋体" w:cs="宋体"/>
          <w:color w:val="000000" w:themeColor="text1"/>
          <w:spacing w:val="-2"/>
          <w14:textFill>
            <w14:solidFill>
              <w14:schemeClr w14:val="tx1"/>
            </w14:solidFill>
          </w14:textFill>
        </w:rPr>
      </w:pPr>
      <w:r>
        <w:rPr>
          <w:rFonts w:hint="eastAsia" w:ascii="宋体" w:hAnsi="宋体" w:cs="宋体"/>
          <w:color w:val="000000" w:themeColor="text1"/>
          <w:spacing w:val="-2"/>
          <w14:textFill>
            <w14:solidFill>
              <w14:schemeClr w14:val="tx1"/>
            </w14:solidFill>
          </w14:textFill>
        </w:rPr>
        <w:t>2、（</w:t>
      </w:r>
      <w:r>
        <w:rPr>
          <w:rFonts w:hint="eastAsia" w:ascii="宋体" w:hAnsi="宋体" w:cs="宋体"/>
          <w:color w:val="000000" w:themeColor="text1"/>
          <w:spacing w:val="-2"/>
          <w:u w:val="single"/>
          <w14:textFill>
            <w14:solidFill>
              <w14:schemeClr w14:val="tx1"/>
            </w14:solidFill>
          </w14:textFill>
        </w:rPr>
        <w:t>标的名称</w:t>
      </w:r>
      <w:r>
        <w:rPr>
          <w:rFonts w:hint="eastAsia" w:ascii="宋体" w:hAnsi="宋体" w:cs="宋体"/>
          <w:color w:val="000000" w:themeColor="text1"/>
          <w:spacing w:val="-2"/>
          <w14:textFill>
            <w14:solidFill>
              <w14:schemeClr w14:val="tx1"/>
            </w14:solidFill>
          </w14:textFill>
        </w:rPr>
        <w:t>），属于（</w:t>
      </w:r>
      <w:r>
        <w:rPr>
          <w:rFonts w:hint="eastAsia" w:ascii="宋体" w:hAnsi="宋体" w:cs="宋体"/>
          <w:color w:val="000000" w:themeColor="text1"/>
          <w:spacing w:val="-2"/>
          <w:u w:val="single"/>
          <w14:textFill>
            <w14:solidFill>
              <w14:schemeClr w14:val="tx1"/>
            </w14:solidFill>
          </w14:textFill>
        </w:rPr>
        <w:t>采购文件中明确的所属行业</w:t>
      </w:r>
      <w:r>
        <w:rPr>
          <w:rFonts w:hint="eastAsia" w:ascii="宋体" w:hAnsi="宋体" w:cs="宋体"/>
          <w:color w:val="000000" w:themeColor="text1"/>
          <w:spacing w:val="-2"/>
          <w14:textFill>
            <w14:solidFill>
              <w14:schemeClr w14:val="tx1"/>
            </w14:solidFill>
          </w14:textFill>
        </w:rPr>
        <w:t>）；制造商为（</w:t>
      </w:r>
      <w:r>
        <w:rPr>
          <w:rFonts w:hint="eastAsia" w:ascii="宋体" w:hAnsi="宋体" w:cs="宋体"/>
          <w:color w:val="000000" w:themeColor="text1"/>
          <w:spacing w:val="-2"/>
          <w:u w:val="single"/>
          <w14:textFill>
            <w14:solidFill>
              <w14:schemeClr w14:val="tx1"/>
            </w14:solidFill>
          </w14:textFill>
        </w:rPr>
        <w:t>企业名称</w:t>
      </w:r>
      <w:r>
        <w:rPr>
          <w:rFonts w:hint="eastAsia" w:ascii="宋体" w:hAnsi="宋体" w:cs="宋体"/>
          <w:color w:val="000000" w:themeColor="text1"/>
          <w:spacing w:val="-2"/>
          <w14:textFill>
            <w14:solidFill>
              <w14:schemeClr w14:val="tx1"/>
            </w14:solidFill>
          </w14:textFill>
        </w:rPr>
        <w:t>），从业人员</w:t>
      </w:r>
      <w:r>
        <w:rPr>
          <w:rFonts w:hint="eastAsia" w:ascii="宋体" w:hAnsi="宋体" w:cs="宋体"/>
          <w:color w:val="000000" w:themeColor="text1"/>
          <w:spacing w:val="-2"/>
          <w:u w:val="single"/>
          <w14:textFill>
            <w14:solidFill>
              <w14:schemeClr w14:val="tx1"/>
            </w14:solidFill>
          </w14:textFill>
        </w:rPr>
        <w:t xml:space="preserve">    </w:t>
      </w:r>
      <w:r>
        <w:rPr>
          <w:rFonts w:hint="eastAsia" w:ascii="宋体" w:hAnsi="宋体" w:cs="宋体"/>
          <w:color w:val="000000" w:themeColor="text1"/>
          <w:spacing w:val="-2"/>
          <w14:textFill>
            <w14:solidFill>
              <w14:schemeClr w14:val="tx1"/>
            </w14:solidFill>
          </w14:textFill>
        </w:rPr>
        <w:t>人，营业收入为</w:t>
      </w:r>
      <w:r>
        <w:rPr>
          <w:rFonts w:hint="eastAsia" w:ascii="宋体" w:hAnsi="宋体" w:cs="宋体"/>
          <w:color w:val="000000" w:themeColor="text1"/>
          <w:spacing w:val="-2"/>
          <w:u w:val="single"/>
          <w14:textFill>
            <w14:solidFill>
              <w14:schemeClr w14:val="tx1"/>
            </w14:solidFill>
          </w14:textFill>
        </w:rPr>
        <w:tab/>
      </w:r>
      <w:r>
        <w:rPr>
          <w:rFonts w:hint="eastAsia" w:ascii="宋体" w:hAnsi="宋体" w:cs="宋体"/>
          <w:color w:val="000000" w:themeColor="text1"/>
          <w:spacing w:val="-2"/>
          <w14:textFill>
            <w14:solidFill>
              <w14:schemeClr w14:val="tx1"/>
            </w14:solidFill>
          </w14:textFill>
        </w:rPr>
        <w:t>万元，资产总额为</w:t>
      </w:r>
      <w:r>
        <w:rPr>
          <w:rFonts w:hint="eastAsia" w:ascii="宋体" w:hAnsi="宋体" w:cs="宋体"/>
          <w:color w:val="000000" w:themeColor="text1"/>
          <w:spacing w:val="-2"/>
          <w:u w:val="single"/>
          <w14:textFill>
            <w14:solidFill>
              <w14:schemeClr w14:val="tx1"/>
            </w14:solidFill>
          </w14:textFill>
        </w:rPr>
        <w:t xml:space="preserve">   </w:t>
      </w:r>
      <w:r>
        <w:rPr>
          <w:rFonts w:hint="eastAsia" w:ascii="宋体" w:hAnsi="宋体" w:cs="宋体"/>
          <w:color w:val="000000" w:themeColor="text1"/>
          <w:spacing w:val="-2"/>
          <w14:textFill>
            <w14:solidFill>
              <w14:schemeClr w14:val="tx1"/>
            </w14:solidFill>
          </w14:textFill>
        </w:rPr>
        <w:t>万元，属于（</w:t>
      </w:r>
      <w:r>
        <w:rPr>
          <w:rFonts w:hint="eastAsia" w:ascii="宋体" w:hAnsi="宋体" w:cs="宋体"/>
          <w:color w:val="000000" w:themeColor="text1"/>
          <w:spacing w:val="-2"/>
          <w:u w:val="single"/>
          <w14:textFill>
            <w14:solidFill>
              <w14:schemeClr w14:val="tx1"/>
            </w14:solidFill>
          </w14:textFill>
        </w:rPr>
        <w:t>中型企业、小型企业、微型企业</w:t>
      </w:r>
      <w:r>
        <w:rPr>
          <w:rFonts w:hint="eastAsia" w:ascii="宋体" w:hAnsi="宋体" w:cs="宋体"/>
          <w:color w:val="000000" w:themeColor="text1"/>
          <w:spacing w:val="-2"/>
          <w14:textFill>
            <w14:solidFill>
              <w14:schemeClr w14:val="tx1"/>
            </w14:solidFill>
          </w14:textFill>
        </w:rPr>
        <w:t>）；</w:t>
      </w:r>
    </w:p>
    <w:p>
      <w:pPr>
        <w:pStyle w:val="5"/>
        <w:tabs>
          <w:tab w:val="left" w:pos="562"/>
          <w:tab w:val="left" w:pos="3372"/>
          <w:tab w:val="left" w:pos="3653"/>
        </w:tabs>
        <w:ind w:firstLine="472" w:firstLineChars="200"/>
        <w:rPr>
          <w:rFonts w:ascii="宋体" w:hAnsi="宋体" w:cs="宋体"/>
          <w:color w:val="000000" w:themeColor="text1"/>
          <w:spacing w:val="-2"/>
          <w14:textFill>
            <w14:solidFill>
              <w14:schemeClr w14:val="tx1"/>
            </w14:solidFill>
          </w14:textFill>
        </w:rPr>
      </w:pPr>
      <w:r>
        <w:rPr>
          <w:rFonts w:hint="eastAsia" w:ascii="宋体" w:hAnsi="宋体" w:cs="宋体"/>
          <w:color w:val="000000" w:themeColor="text1"/>
          <w:spacing w:val="-2"/>
          <w14:textFill>
            <w14:solidFill>
              <w14:schemeClr w14:val="tx1"/>
            </w14:solidFill>
          </w14:textFill>
        </w:rPr>
        <w:t>……</w:t>
      </w:r>
    </w:p>
    <w:p>
      <w:pPr>
        <w:pStyle w:val="5"/>
        <w:tabs>
          <w:tab w:val="left" w:pos="562"/>
          <w:tab w:val="left" w:pos="3372"/>
          <w:tab w:val="left" w:pos="3653"/>
        </w:tabs>
        <w:ind w:firstLine="472" w:firstLineChars="200"/>
        <w:rPr>
          <w:rFonts w:ascii="宋体" w:hAnsi="宋体" w:cs="宋体"/>
          <w:color w:val="000000" w:themeColor="text1"/>
          <w:spacing w:val="-2"/>
          <w14:textFill>
            <w14:solidFill>
              <w14:schemeClr w14:val="tx1"/>
            </w14:solidFill>
          </w14:textFill>
        </w:rPr>
      </w:pPr>
      <w:r>
        <w:rPr>
          <w:rFonts w:hint="eastAsia" w:ascii="宋体" w:hAnsi="宋体" w:cs="宋体"/>
          <w:color w:val="000000" w:themeColor="text1"/>
          <w:spacing w:val="-2"/>
          <w14:textFill>
            <w14:solidFill>
              <w14:schemeClr w14:val="tx1"/>
            </w14:solidFill>
          </w14:textFill>
        </w:rPr>
        <w:t>以上企业，不属于大企业的分支机构，不存在控股股东为大企业的情形，也不存在与大企业的负责人为同一人的情形。</w:t>
      </w:r>
    </w:p>
    <w:p>
      <w:pPr>
        <w:pStyle w:val="5"/>
        <w:tabs>
          <w:tab w:val="left" w:pos="562"/>
          <w:tab w:val="left" w:pos="3372"/>
          <w:tab w:val="left" w:pos="3653"/>
        </w:tabs>
        <w:ind w:firstLine="472" w:firstLineChars="200"/>
        <w:rPr>
          <w:rFonts w:ascii="宋体" w:hAnsi="宋体" w:cs="宋体"/>
          <w:color w:val="000000" w:themeColor="text1"/>
          <w:spacing w:val="-2"/>
          <w14:textFill>
            <w14:solidFill>
              <w14:schemeClr w14:val="tx1"/>
            </w14:solidFill>
          </w14:textFill>
        </w:rPr>
      </w:pPr>
      <w:r>
        <w:rPr>
          <w:rFonts w:hint="eastAsia" w:ascii="宋体" w:hAnsi="宋体" w:cs="宋体"/>
          <w:color w:val="000000" w:themeColor="text1"/>
          <w:spacing w:val="-2"/>
          <w14:textFill>
            <w14:solidFill>
              <w14:schemeClr w14:val="tx1"/>
            </w14:solidFill>
          </w14:textFill>
        </w:rPr>
        <w:t>本企业对上述声明内容的真实性负责。如有虚假，将依法承担相应责任。</w:t>
      </w:r>
    </w:p>
    <w:p>
      <w:pPr>
        <w:pStyle w:val="5"/>
        <w:tabs>
          <w:tab w:val="left" w:pos="562"/>
          <w:tab w:val="left" w:pos="3372"/>
          <w:tab w:val="left" w:pos="3653"/>
        </w:tabs>
        <w:ind w:firstLine="472" w:firstLineChars="200"/>
        <w:rPr>
          <w:rFonts w:ascii="宋体" w:hAnsi="宋体" w:cs="宋体"/>
          <w:color w:val="000000" w:themeColor="text1"/>
          <w:spacing w:val="-2"/>
          <w14:textFill>
            <w14:solidFill>
              <w14:schemeClr w14:val="tx1"/>
            </w14:solidFill>
          </w14:textFill>
        </w:rPr>
      </w:pPr>
      <w:r>
        <w:rPr>
          <w:rFonts w:hint="eastAsia" w:ascii="宋体" w:hAnsi="宋体" w:cs="宋体"/>
          <w:color w:val="000000" w:themeColor="text1"/>
          <w:spacing w:val="-2"/>
          <w14:textFill>
            <w14:solidFill>
              <w14:schemeClr w14:val="tx1"/>
            </w14:solidFill>
          </w14:textFill>
        </w:rPr>
        <w:t>投标人已知悉《政府采购促进中小企业发展管理办法》（财库〔2020〕46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pStyle w:val="5"/>
        <w:tabs>
          <w:tab w:val="left" w:pos="562"/>
          <w:tab w:val="left" w:pos="3372"/>
          <w:tab w:val="left" w:pos="3653"/>
        </w:tabs>
        <w:ind w:left="4200" w:leftChars="2000"/>
        <w:rPr>
          <w:rFonts w:ascii="宋体" w:hAnsi="宋体" w:cs="宋体"/>
          <w:color w:val="000000" w:themeColor="text1"/>
          <w14:textFill>
            <w14:solidFill>
              <w14:schemeClr w14:val="tx1"/>
            </w14:solidFill>
          </w14:textFill>
        </w:rPr>
      </w:pPr>
      <w:r>
        <w:rPr>
          <w:rFonts w:hint="eastAsia" w:ascii="宋体" w:hAnsi="宋体" w:cs="宋体"/>
          <w:color w:val="000000" w:themeColor="text1"/>
          <w:spacing w:val="-2"/>
          <w14:textFill>
            <w14:solidFill>
              <w14:schemeClr w14:val="tx1"/>
            </w14:solidFill>
          </w14:textFill>
        </w:rPr>
        <w:t>企业名称（盖章）日期：</w:t>
      </w:r>
    </w:p>
    <w:p>
      <w:pPr>
        <w:pStyle w:val="5"/>
        <w:tabs>
          <w:tab w:val="left" w:pos="562"/>
          <w:tab w:val="left" w:pos="3372"/>
          <w:tab w:val="left" w:pos="3653"/>
        </w:tabs>
        <w:jc w:val="center"/>
        <w:rPr>
          <w:rFonts w:ascii="宋体" w:hAnsi="宋体" w:cs="宋体"/>
          <w:color w:val="000000" w:themeColor="text1"/>
          <w:spacing w:val="-2"/>
          <w14:textFill>
            <w14:solidFill>
              <w14:schemeClr w14:val="tx1"/>
            </w14:solidFill>
          </w14:textFill>
        </w:rPr>
      </w:pPr>
      <w:r>
        <w:rPr>
          <w:rFonts w:hint="eastAsia" w:ascii="宋体" w:hAnsi="宋体" w:cs="宋体"/>
          <w:color w:val="000000" w:themeColor="text1"/>
          <w:spacing w:val="-2"/>
          <w14:textFill>
            <w14:solidFill>
              <w14:schemeClr w14:val="tx1"/>
            </w14:solidFill>
          </w14:textFill>
        </w:rPr>
        <w:t>从业人员、营业收入、资产总额填报上一年度数据，无上一年度数据的新成立企业可不填报。</w:t>
      </w:r>
    </w:p>
    <w:p>
      <w:pPr>
        <w:spacing w:after="319" w:afterLines="10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br w:type="page"/>
      </w:r>
      <w:r>
        <w:rPr>
          <w:rFonts w:hint="eastAsia" w:ascii="宋体" w:hAnsi="宋体" w:cs="宋体"/>
          <w:color w:val="000000" w:themeColor="text1"/>
          <w:sz w:val="24"/>
          <w14:textFill>
            <w14:solidFill>
              <w14:schemeClr w14:val="tx1"/>
            </w14:solidFill>
          </w14:textFill>
        </w:rPr>
        <w:t>中小企业声明函（工程、服务）</w:t>
      </w:r>
    </w:p>
    <w:p>
      <w:pPr>
        <w:pStyle w:val="5"/>
        <w:tabs>
          <w:tab w:val="left" w:pos="562"/>
          <w:tab w:val="left" w:pos="3372"/>
          <w:tab w:val="left" w:pos="3653"/>
        </w:tabs>
        <w:ind w:firstLine="472" w:firstLineChars="200"/>
        <w:rPr>
          <w:rFonts w:ascii="宋体" w:hAnsi="宋体" w:cs="宋体"/>
          <w:color w:val="000000" w:themeColor="text1"/>
          <w:spacing w:val="-2"/>
          <w14:textFill>
            <w14:solidFill>
              <w14:schemeClr w14:val="tx1"/>
            </w14:solidFill>
          </w14:textFill>
        </w:rPr>
      </w:pPr>
      <w:r>
        <w:rPr>
          <w:rFonts w:hint="eastAsia" w:ascii="宋体" w:hAnsi="宋体" w:cs="宋体"/>
          <w:color w:val="000000" w:themeColor="text1"/>
          <w:spacing w:val="-2"/>
          <w14:textFill>
            <w14:solidFill>
              <w14:schemeClr w14:val="tx1"/>
            </w14:solidFill>
          </w14:textFill>
        </w:rPr>
        <w:t>本公司（联合体）郑重声明，根据《政府采购促进中小企业发展管理办法》（财库﹝2020﹞46 号）的规定，本公司（联合体）参加（</w:t>
      </w:r>
      <w:r>
        <w:rPr>
          <w:rFonts w:hint="eastAsia" w:ascii="宋体" w:hAnsi="宋体" w:cs="宋体"/>
          <w:color w:val="000000" w:themeColor="text1"/>
          <w:spacing w:val="-2"/>
          <w:u w:val="single"/>
          <w14:textFill>
            <w14:solidFill>
              <w14:schemeClr w14:val="tx1"/>
            </w14:solidFill>
          </w14:textFill>
        </w:rPr>
        <w:t>单位名称</w:t>
      </w:r>
      <w:r>
        <w:rPr>
          <w:rFonts w:hint="eastAsia" w:ascii="宋体" w:hAnsi="宋体" w:cs="宋体"/>
          <w:color w:val="000000" w:themeColor="text1"/>
          <w:spacing w:val="-2"/>
          <w14:textFill>
            <w14:solidFill>
              <w14:schemeClr w14:val="tx1"/>
            </w14:solidFill>
          </w14:textFill>
        </w:rPr>
        <w:t>）的（</w:t>
      </w:r>
      <w:r>
        <w:rPr>
          <w:rFonts w:hint="eastAsia" w:ascii="宋体" w:hAnsi="宋体" w:cs="宋体"/>
          <w:color w:val="000000" w:themeColor="text1"/>
          <w:spacing w:val="-2"/>
          <w:u w:val="single"/>
          <w14:textFill>
            <w14:solidFill>
              <w14:schemeClr w14:val="tx1"/>
            </w14:solidFill>
          </w14:textFill>
        </w:rPr>
        <w:t>项目名称</w:t>
      </w:r>
      <w:r>
        <w:rPr>
          <w:rFonts w:hint="eastAsia" w:ascii="宋体" w:hAnsi="宋体" w:cs="宋体"/>
          <w:color w:val="000000" w:themeColor="text1"/>
          <w:spacing w:val="-2"/>
          <w14:textFill>
            <w14:solidFill>
              <w14:schemeClr w14:val="tx1"/>
            </w14:solidFill>
          </w14:textFill>
        </w:rPr>
        <w:t>）采购活动，工程的施工单位全部为符合政策要求的中小企业（或者：服务全部由符合政策要求的中小企业承接）。相关企业（含联合 体中的中小企业、签订分包意向协议的中小企业）的具体情况如下：</w:t>
      </w:r>
    </w:p>
    <w:p>
      <w:pPr>
        <w:pStyle w:val="5"/>
        <w:tabs>
          <w:tab w:val="left" w:pos="562"/>
          <w:tab w:val="left" w:pos="3372"/>
          <w:tab w:val="left" w:pos="3653"/>
        </w:tabs>
        <w:ind w:firstLine="472" w:firstLineChars="200"/>
        <w:rPr>
          <w:rFonts w:ascii="宋体" w:hAnsi="宋体" w:cs="宋体"/>
          <w:color w:val="000000" w:themeColor="text1"/>
          <w:spacing w:val="-2"/>
          <w14:textFill>
            <w14:solidFill>
              <w14:schemeClr w14:val="tx1"/>
            </w14:solidFill>
          </w14:textFill>
        </w:rPr>
      </w:pPr>
      <w:r>
        <w:rPr>
          <w:rFonts w:hint="eastAsia" w:ascii="宋体" w:hAnsi="宋体" w:cs="宋体"/>
          <w:color w:val="000000" w:themeColor="text1"/>
          <w:spacing w:val="-2"/>
          <w14:textFill>
            <w14:solidFill>
              <w14:schemeClr w14:val="tx1"/>
            </w14:solidFill>
          </w14:textFill>
        </w:rPr>
        <w:t>1、（</w:t>
      </w:r>
      <w:r>
        <w:rPr>
          <w:rFonts w:hint="eastAsia" w:ascii="宋体" w:hAnsi="宋体" w:cs="宋体"/>
          <w:color w:val="000000" w:themeColor="text1"/>
          <w:spacing w:val="-2"/>
          <w:u w:val="single"/>
          <w14:textFill>
            <w14:solidFill>
              <w14:schemeClr w14:val="tx1"/>
            </w14:solidFill>
          </w14:textFill>
        </w:rPr>
        <w:t>标的名称</w:t>
      </w:r>
      <w:r>
        <w:rPr>
          <w:rFonts w:hint="eastAsia" w:ascii="宋体" w:hAnsi="宋体" w:cs="宋体"/>
          <w:color w:val="000000" w:themeColor="text1"/>
          <w:spacing w:val="-2"/>
          <w14:textFill>
            <w14:solidFill>
              <w14:schemeClr w14:val="tx1"/>
            </w14:solidFill>
          </w14:textFill>
        </w:rPr>
        <w:t>），属于（</w:t>
      </w:r>
      <w:r>
        <w:rPr>
          <w:rFonts w:hint="eastAsia" w:ascii="宋体" w:hAnsi="宋体" w:cs="宋体"/>
          <w:color w:val="000000" w:themeColor="text1"/>
          <w:spacing w:val="-2"/>
          <w:u w:val="single"/>
          <w14:textFill>
            <w14:solidFill>
              <w14:schemeClr w14:val="tx1"/>
            </w14:solidFill>
          </w14:textFill>
        </w:rPr>
        <w:t>采购文件中明确的所属行业</w:t>
      </w:r>
      <w:r>
        <w:rPr>
          <w:rFonts w:hint="eastAsia" w:ascii="宋体" w:hAnsi="宋体" w:cs="宋体"/>
          <w:color w:val="000000" w:themeColor="text1"/>
          <w:spacing w:val="-2"/>
          <w14:textFill>
            <w14:solidFill>
              <w14:schemeClr w14:val="tx1"/>
            </w14:solidFill>
          </w14:textFill>
        </w:rPr>
        <w:t>）；承建（承接）企业为（</w:t>
      </w:r>
      <w:r>
        <w:rPr>
          <w:rFonts w:hint="eastAsia" w:ascii="宋体" w:hAnsi="宋体" w:cs="宋体"/>
          <w:color w:val="000000" w:themeColor="text1"/>
          <w:spacing w:val="-2"/>
          <w:u w:val="single"/>
          <w14:textFill>
            <w14:solidFill>
              <w14:schemeClr w14:val="tx1"/>
            </w14:solidFill>
          </w14:textFill>
        </w:rPr>
        <w:t>企业名称</w:t>
      </w:r>
      <w:r>
        <w:rPr>
          <w:rFonts w:hint="eastAsia" w:ascii="宋体" w:hAnsi="宋体" w:cs="宋体"/>
          <w:color w:val="000000" w:themeColor="text1"/>
          <w:spacing w:val="-2"/>
          <w14:textFill>
            <w14:solidFill>
              <w14:schemeClr w14:val="tx1"/>
            </w14:solidFill>
          </w14:textFill>
        </w:rPr>
        <w:t>），从业人员</w:t>
      </w:r>
      <w:r>
        <w:rPr>
          <w:rFonts w:hint="eastAsia" w:ascii="宋体" w:hAnsi="宋体" w:cs="宋体"/>
          <w:color w:val="000000" w:themeColor="text1"/>
          <w:spacing w:val="-2"/>
          <w:u w:val="single"/>
          <w14:textFill>
            <w14:solidFill>
              <w14:schemeClr w14:val="tx1"/>
            </w14:solidFill>
          </w14:textFill>
        </w:rPr>
        <w:tab/>
      </w:r>
      <w:r>
        <w:rPr>
          <w:rFonts w:hint="eastAsia" w:ascii="宋体" w:hAnsi="宋体" w:cs="宋体"/>
          <w:color w:val="000000" w:themeColor="text1"/>
          <w:spacing w:val="-2"/>
          <w14:textFill>
            <w14:solidFill>
              <w14:schemeClr w14:val="tx1"/>
            </w14:solidFill>
          </w14:textFill>
        </w:rPr>
        <w:t>人，营业收入为</w:t>
      </w:r>
      <w:r>
        <w:rPr>
          <w:rFonts w:hint="eastAsia" w:ascii="宋体" w:hAnsi="宋体" w:cs="宋体"/>
          <w:color w:val="000000" w:themeColor="text1"/>
          <w:spacing w:val="-2"/>
          <w:u w:val="single"/>
          <w14:textFill>
            <w14:solidFill>
              <w14:schemeClr w14:val="tx1"/>
            </w14:solidFill>
          </w14:textFill>
        </w:rPr>
        <w:tab/>
      </w:r>
      <w:r>
        <w:rPr>
          <w:rFonts w:hint="eastAsia" w:ascii="宋体" w:hAnsi="宋体" w:cs="宋体"/>
          <w:color w:val="000000" w:themeColor="text1"/>
          <w:spacing w:val="-2"/>
          <w14:textFill>
            <w14:solidFill>
              <w14:schemeClr w14:val="tx1"/>
            </w14:solidFill>
          </w14:textFill>
        </w:rPr>
        <w:t>万元，资产总额为</w:t>
      </w:r>
      <w:r>
        <w:rPr>
          <w:rFonts w:hint="eastAsia" w:ascii="宋体" w:hAnsi="宋体" w:cs="宋体"/>
          <w:color w:val="000000" w:themeColor="text1"/>
          <w:spacing w:val="-2"/>
          <w:u w:val="single"/>
          <w14:textFill>
            <w14:solidFill>
              <w14:schemeClr w14:val="tx1"/>
            </w14:solidFill>
          </w14:textFill>
        </w:rPr>
        <w:tab/>
      </w:r>
      <w:r>
        <w:rPr>
          <w:rFonts w:hint="eastAsia" w:ascii="宋体" w:hAnsi="宋体" w:cs="宋体"/>
          <w:color w:val="000000" w:themeColor="text1"/>
          <w:spacing w:val="-2"/>
          <w14:textFill>
            <w14:solidFill>
              <w14:schemeClr w14:val="tx1"/>
            </w14:solidFill>
          </w14:textFill>
        </w:rPr>
        <w:t>万元，属于（</w:t>
      </w:r>
      <w:r>
        <w:rPr>
          <w:rFonts w:hint="eastAsia" w:ascii="宋体" w:hAnsi="宋体" w:cs="宋体"/>
          <w:color w:val="000000" w:themeColor="text1"/>
          <w:spacing w:val="-2"/>
          <w:u w:val="single"/>
          <w14:textFill>
            <w14:solidFill>
              <w14:schemeClr w14:val="tx1"/>
            </w14:solidFill>
          </w14:textFill>
        </w:rPr>
        <w:t>中型企业、小型企业、微型企业</w:t>
      </w:r>
      <w:r>
        <w:rPr>
          <w:rFonts w:hint="eastAsia" w:ascii="宋体" w:hAnsi="宋体" w:cs="宋体"/>
          <w:color w:val="000000" w:themeColor="text1"/>
          <w:spacing w:val="-2"/>
          <w14:textFill>
            <w14:solidFill>
              <w14:schemeClr w14:val="tx1"/>
            </w14:solidFill>
          </w14:textFill>
        </w:rPr>
        <w:t>）。</w:t>
      </w:r>
    </w:p>
    <w:p>
      <w:pPr>
        <w:pStyle w:val="5"/>
        <w:tabs>
          <w:tab w:val="left" w:pos="562"/>
          <w:tab w:val="left" w:pos="3372"/>
          <w:tab w:val="left" w:pos="3653"/>
        </w:tabs>
        <w:ind w:firstLine="472" w:firstLineChars="200"/>
        <w:rPr>
          <w:rFonts w:ascii="宋体" w:hAnsi="宋体" w:cs="宋体"/>
          <w:color w:val="000000" w:themeColor="text1"/>
          <w:spacing w:val="-2"/>
          <w14:textFill>
            <w14:solidFill>
              <w14:schemeClr w14:val="tx1"/>
            </w14:solidFill>
          </w14:textFill>
        </w:rPr>
      </w:pPr>
      <w:r>
        <w:rPr>
          <w:rFonts w:hint="eastAsia" w:ascii="宋体" w:hAnsi="宋体" w:cs="宋体"/>
          <w:color w:val="000000" w:themeColor="text1"/>
          <w:spacing w:val="-2"/>
          <w14:textFill>
            <w14:solidFill>
              <w14:schemeClr w14:val="tx1"/>
            </w14:solidFill>
          </w14:textFill>
        </w:rPr>
        <w:t>2、（</w:t>
      </w:r>
      <w:r>
        <w:rPr>
          <w:rFonts w:hint="eastAsia" w:ascii="宋体" w:hAnsi="宋体" w:cs="宋体"/>
          <w:color w:val="000000" w:themeColor="text1"/>
          <w:spacing w:val="-2"/>
          <w:u w:val="single"/>
          <w14:textFill>
            <w14:solidFill>
              <w14:schemeClr w14:val="tx1"/>
            </w14:solidFill>
          </w14:textFill>
        </w:rPr>
        <w:t>标的名称</w:t>
      </w:r>
      <w:r>
        <w:rPr>
          <w:rFonts w:hint="eastAsia" w:ascii="宋体" w:hAnsi="宋体" w:cs="宋体"/>
          <w:color w:val="000000" w:themeColor="text1"/>
          <w:spacing w:val="-2"/>
          <w14:textFill>
            <w14:solidFill>
              <w14:schemeClr w14:val="tx1"/>
            </w14:solidFill>
          </w14:textFill>
        </w:rPr>
        <w:t>），属于（</w:t>
      </w:r>
      <w:r>
        <w:rPr>
          <w:rFonts w:hint="eastAsia" w:ascii="宋体" w:hAnsi="宋体" w:cs="宋体"/>
          <w:color w:val="000000" w:themeColor="text1"/>
          <w:spacing w:val="-2"/>
          <w:u w:val="single"/>
          <w14:textFill>
            <w14:solidFill>
              <w14:schemeClr w14:val="tx1"/>
            </w14:solidFill>
          </w14:textFill>
        </w:rPr>
        <w:t>采购文件中明确的所属行业</w:t>
      </w:r>
      <w:r>
        <w:rPr>
          <w:rFonts w:hint="eastAsia" w:ascii="宋体" w:hAnsi="宋体" w:cs="宋体"/>
          <w:color w:val="000000" w:themeColor="text1"/>
          <w:spacing w:val="-2"/>
          <w14:textFill>
            <w14:solidFill>
              <w14:schemeClr w14:val="tx1"/>
            </w14:solidFill>
          </w14:textFill>
        </w:rPr>
        <w:t>） ；承建（承接）企业为（</w:t>
      </w:r>
      <w:r>
        <w:rPr>
          <w:rFonts w:hint="eastAsia" w:ascii="宋体" w:hAnsi="宋体" w:cs="宋体"/>
          <w:color w:val="000000" w:themeColor="text1"/>
          <w:spacing w:val="-2"/>
          <w:u w:val="single"/>
          <w14:textFill>
            <w14:solidFill>
              <w14:schemeClr w14:val="tx1"/>
            </w14:solidFill>
          </w14:textFill>
        </w:rPr>
        <w:t>企业名称</w:t>
      </w:r>
      <w:r>
        <w:rPr>
          <w:rFonts w:hint="eastAsia" w:ascii="宋体" w:hAnsi="宋体" w:cs="宋体"/>
          <w:color w:val="000000" w:themeColor="text1"/>
          <w:spacing w:val="-2"/>
          <w14:textFill>
            <w14:solidFill>
              <w14:schemeClr w14:val="tx1"/>
            </w14:solidFill>
          </w14:textFill>
        </w:rPr>
        <w:t>），从业人员</w:t>
      </w:r>
      <w:r>
        <w:rPr>
          <w:rFonts w:hint="eastAsia" w:ascii="宋体" w:hAnsi="宋体" w:cs="宋体"/>
          <w:color w:val="000000" w:themeColor="text1"/>
          <w:spacing w:val="-2"/>
          <w:u w:val="single"/>
          <w14:textFill>
            <w14:solidFill>
              <w14:schemeClr w14:val="tx1"/>
            </w14:solidFill>
          </w14:textFill>
        </w:rPr>
        <w:tab/>
      </w:r>
      <w:r>
        <w:rPr>
          <w:rFonts w:hint="eastAsia" w:ascii="宋体" w:hAnsi="宋体" w:cs="宋体"/>
          <w:color w:val="000000" w:themeColor="text1"/>
          <w:spacing w:val="-2"/>
          <w14:textFill>
            <w14:solidFill>
              <w14:schemeClr w14:val="tx1"/>
            </w14:solidFill>
          </w14:textFill>
        </w:rPr>
        <w:t>人，营业收入为</w:t>
      </w:r>
      <w:r>
        <w:rPr>
          <w:rFonts w:hint="eastAsia" w:ascii="宋体" w:hAnsi="宋体" w:cs="宋体"/>
          <w:color w:val="000000" w:themeColor="text1"/>
          <w:spacing w:val="-2"/>
          <w:u w:val="single"/>
          <w14:textFill>
            <w14:solidFill>
              <w14:schemeClr w14:val="tx1"/>
            </w14:solidFill>
          </w14:textFill>
        </w:rPr>
        <w:tab/>
      </w:r>
      <w:r>
        <w:rPr>
          <w:rFonts w:hint="eastAsia" w:ascii="宋体" w:hAnsi="宋体" w:cs="宋体"/>
          <w:color w:val="000000" w:themeColor="text1"/>
          <w:spacing w:val="-2"/>
          <w14:textFill>
            <w14:solidFill>
              <w14:schemeClr w14:val="tx1"/>
            </w14:solidFill>
          </w14:textFill>
        </w:rPr>
        <w:t>万元，资产总额为</w:t>
      </w:r>
      <w:r>
        <w:rPr>
          <w:rFonts w:hint="eastAsia" w:ascii="宋体" w:hAnsi="宋体" w:cs="宋体"/>
          <w:color w:val="000000" w:themeColor="text1"/>
          <w:spacing w:val="-2"/>
          <w:u w:val="single"/>
          <w14:textFill>
            <w14:solidFill>
              <w14:schemeClr w14:val="tx1"/>
            </w14:solidFill>
          </w14:textFill>
        </w:rPr>
        <w:tab/>
      </w:r>
      <w:r>
        <w:rPr>
          <w:rFonts w:hint="eastAsia" w:ascii="宋体" w:hAnsi="宋体" w:cs="宋体"/>
          <w:color w:val="000000" w:themeColor="text1"/>
          <w:spacing w:val="-2"/>
          <w14:textFill>
            <w14:solidFill>
              <w14:schemeClr w14:val="tx1"/>
            </w14:solidFill>
          </w14:textFill>
        </w:rPr>
        <w:t>万元，属于（</w:t>
      </w:r>
      <w:r>
        <w:rPr>
          <w:rFonts w:hint="eastAsia" w:ascii="宋体" w:hAnsi="宋体" w:cs="宋体"/>
          <w:color w:val="000000" w:themeColor="text1"/>
          <w:spacing w:val="-2"/>
          <w:u w:val="single"/>
          <w14:textFill>
            <w14:solidFill>
              <w14:schemeClr w14:val="tx1"/>
            </w14:solidFill>
          </w14:textFill>
        </w:rPr>
        <w:t>中型企业、小型企业、微型企业</w:t>
      </w:r>
      <w:r>
        <w:rPr>
          <w:rFonts w:hint="eastAsia" w:ascii="宋体" w:hAnsi="宋体" w:cs="宋体"/>
          <w:color w:val="000000" w:themeColor="text1"/>
          <w:spacing w:val="-2"/>
          <w14:textFill>
            <w14:solidFill>
              <w14:schemeClr w14:val="tx1"/>
            </w14:solidFill>
          </w14:textFill>
        </w:rPr>
        <w:t>）；</w:t>
      </w:r>
    </w:p>
    <w:p>
      <w:pPr>
        <w:pStyle w:val="5"/>
        <w:tabs>
          <w:tab w:val="left" w:pos="562"/>
          <w:tab w:val="left" w:pos="3372"/>
          <w:tab w:val="left" w:pos="3653"/>
        </w:tabs>
        <w:ind w:firstLine="472" w:firstLineChars="200"/>
        <w:rPr>
          <w:rFonts w:ascii="宋体" w:hAnsi="宋体" w:cs="宋体"/>
          <w:color w:val="000000" w:themeColor="text1"/>
          <w:spacing w:val="-2"/>
          <w14:textFill>
            <w14:solidFill>
              <w14:schemeClr w14:val="tx1"/>
            </w14:solidFill>
          </w14:textFill>
        </w:rPr>
      </w:pPr>
      <w:r>
        <w:rPr>
          <w:rFonts w:hint="eastAsia" w:ascii="宋体" w:hAnsi="宋体" w:cs="宋体"/>
          <w:color w:val="000000" w:themeColor="text1"/>
          <w:spacing w:val="-2"/>
          <w14:textFill>
            <w14:solidFill>
              <w14:schemeClr w14:val="tx1"/>
            </w14:solidFill>
          </w14:textFill>
        </w:rPr>
        <w:t>……</w:t>
      </w:r>
    </w:p>
    <w:p>
      <w:pPr>
        <w:pStyle w:val="5"/>
        <w:tabs>
          <w:tab w:val="left" w:pos="562"/>
          <w:tab w:val="left" w:pos="3372"/>
          <w:tab w:val="left" w:pos="3653"/>
        </w:tabs>
        <w:ind w:firstLine="472" w:firstLineChars="200"/>
        <w:rPr>
          <w:rFonts w:ascii="宋体" w:hAnsi="宋体" w:cs="宋体"/>
          <w:color w:val="000000" w:themeColor="text1"/>
          <w:spacing w:val="-2"/>
          <w14:textFill>
            <w14:solidFill>
              <w14:schemeClr w14:val="tx1"/>
            </w14:solidFill>
          </w14:textFill>
        </w:rPr>
      </w:pPr>
      <w:r>
        <w:rPr>
          <w:rFonts w:hint="eastAsia" w:ascii="宋体" w:hAnsi="宋体" w:cs="宋体"/>
          <w:color w:val="000000" w:themeColor="text1"/>
          <w:spacing w:val="-2"/>
          <w14:textFill>
            <w14:solidFill>
              <w14:schemeClr w14:val="tx1"/>
            </w14:solidFill>
          </w14:textFill>
        </w:rPr>
        <w:t>以上企业，不属于大企业的分支机构，不存在控股股东为大企业的情形，也不存在与大企业的负责人为同一人的情形。</w:t>
      </w:r>
    </w:p>
    <w:p>
      <w:pPr>
        <w:pStyle w:val="5"/>
        <w:tabs>
          <w:tab w:val="left" w:pos="562"/>
          <w:tab w:val="left" w:pos="3372"/>
          <w:tab w:val="left" w:pos="3653"/>
        </w:tabs>
        <w:ind w:firstLine="472" w:firstLineChars="200"/>
        <w:rPr>
          <w:rFonts w:ascii="宋体" w:hAnsi="宋体" w:cs="宋体"/>
          <w:color w:val="000000" w:themeColor="text1"/>
          <w:spacing w:val="-2"/>
          <w14:textFill>
            <w14:solidFill>
              <w14:schemeClr w14:val="tx1"/>
            </w14:solidFill>
          </w14:textFill>
        </w:rPr>
      </w:pPr>
      <w:r>
        <w:rPr>
          <w:rFonts w:hint="eastAsia" w:ascii="宋体" w:hAnsi="宋体" w:cs="宋体"/>
          <w:color w:val="000000" w:themeColor="text1"/>
          <w:spacing w:val="-2"/>
          <w14:textFill>
            <w14:solidFill>
              <w14:schemeClr w14:val="tx1"/>
            </w14:solidFill>
          </w14:textFill>
        </w:rPr>
        <w:t>本企业对上述声明内容的真实性负责。如有虚假，将依法承担相应责任。</w:t>
      </w:r>
    </w:p>
    <w:p>
      <w:pPr>
        <w:pStyle w:val="5"/>
        <w:tabs>
          <w:tab w:val="left" w:pos="562"/>
          <w:tab w:val="left" w:pos="3372"/>
          <w:tab w:val="left" w:pos="3653"/>
        </w:tabs>
        <w:ind w:firstLine="472" w:firstLineChars="200"/>
        <w:rPr>
          <w:rFonts w:ascii="宋体" w:hAnsi="宋体" w:cs="宋体"/>
          <w:color w:val="000000" w:themeColor="text1"/>
          <w:spacing w:val="-2"/>
          <w14:textFill>
            <w14:solidFill>
              <w14:schemeClr w14:val="tx1"/>
            </w14:solidFill>
          </w14:textFill>
        </w:rPr>
      </w:pPr>
      <w:r>
        <w:rPr>
          <w:rFonts w:hint="eastAsia" w:ascii="宋体" w:hAnsi="宋体" w:cs="宋体"/>
          <w:color w:val="000000" w:themeColor="text1"/>
          <w:spacing w:val="-2"/>
          <w14:textFill>
            <w14:solidFill>
              <w14:schemeClr w14:val="tx1"/>
            </w14:solidFill>
          </w14:textFill>
        </w:rPr>
        <w:t>投标人已知悉《政府采购促进中小企业发展管理办法》（财库〔2020〕46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pStyle w:val="5"/>
        <w:tabs>
          <w:tab w:val="left" w:pos="562"/>
          <w:tab w:val="left" w:pos="3372"/>
          <w:tab w:val="left" w:pos="3653"/>
        </w:tabs>
        <w:ind w:left="4200" w:leftChars="2000"/>
        <w:rPr>
          <w:rFonts w:ascii="宋体" w:hAnsi="宋体" w:cs="宋体"/>
          <w:color w:val="000000" w:themeColor="text1"/>
          <w:spacing w:val="-2"/>
          <w14:textFill>
            <w14:solidFill>
              <w14:schemeClr w14:val="tx1"/>
            </w14:solidFill>
          </w14:textFill>
        </w:rPr>
      </w:pPr>
    </w:p>
    <w:p>
      <w:pPr>
        <w:pStyle w:val="5"/>
        <w:tabs>
          <w:tab w:val="left" w:pos="562"/>
          <w:tab w:val="left" w:pos="3372"/>
          <w:tab w:val="left" w:pos="3653"/>
        </w:tabs>
        <w:ind w:left="4200" w:leftChars="2000"/>
        <w:rPr>
          <w:rFonts w:ascii="宋体" w:hAnsi="宋体" w:cs="宋体"/>
          <w:color w:val="000000" w:themeColor="text1"/>
          <w:spacing w:val="-2"/>
          <w14:textFill>
            <w14:solidFill>
              <w14:schemeClr w14:val="tx1"/>
            </w14:solidFill>
          </w14:textFill>
        </w:rPr>
      </w:pPr>
      <w:r>
        <w:rPr>
          <w:rFonts w:hint="eastAsia" w:ascii="宋体" w:hAnsi="宋体" w:cs="宋体"/>
          <w:color w:val="000000" w:themeColor="text1"/>
          <w:spacing w:val="-2"/>
          <w14:textFill>
            <w14:solidFill>
              <w14:schemeClr w14:val="tx1"/>
            </w14:solidFill>
          </w14:textFill>
        </w:rPr>
        <w:t>企业名称（盖章）日期：</w:t>
      </w:r>
    </w:p>
    <w:p>
      <w:pPr>
        <w:pStyle w:val="5"/>
        <w:tabs>
          <w:tab w:val="left" w:pos="562"/>
          <w:tab w:val="left" w:pos="3372"/>
          <w:tab w:val="left" w:pos="3653"/>
        </w:tabs>
        <w:rPr>
          <w:rFonts w:ascii="宋体" w:hAnsi="宋体" w:cs="宋体"/>
          <w:color w:val="000000" w:themeColor="text1"/>
          <w:spacing w:val="-2"/>
          <w14:textFill>
            <w14:solidFill>
              <w14:schemeClr w14:val="tx1"/>
            </w14:solidFill>
          </w14:textFill>
        </w:rPr>
      </w:pPr>
    </w:p>
    <w:p>
      <w:pPr>
        <w:pStyle w:val="5"/>
        <w:tabs>
          <w:tab w:val="left" w:pos="562"/>
          <w:tab w:val="left" w:pos="3372"/>
          <w:tab w:val="left" w:pos="3653"/>
        </w:tabs>
        <w:spacing w:before="30"/>
        <w:rPr>
          <w:rFonts w:ascii="宋体" w:hAnsi="宋体" w:cs="宋体"/>
          <w:color w:val="000000" w:themeColor="text1"/>
          <w14:textFill>
            <w14:solidFill>
              <w14:schemeClr w14:val="tx1"/>
            </w14:solidFill>
          </w14:textFill>
        </w:rPr>
      </w:pPr>
      <w:r>
        <w:rPr>
          <w:rFonts w:hint="eastAsia" w:ascii="宋体" w:hAnsi="宋体" w:cs="宋体"/>
          <w:color w:val="000000" w:themeColor="text1"/>
          <w:spacing w:val="-2"/>
          <w14:textFill>
            <w14:solidFill>
              <w14:schemeClr w14:val="tx1"/>
            </w14:solidFill>
          </w14:textFill>
        </w:rPr>
        <w:t>从业人员、营业收入、资产总额填报上一年度数据，无上一年度数据的新成立企业可不填报。</w:t>
      </w:r>
      <w:r>
        <w:rPr>
          <w:rFonts w:hint="eastAsia" w:ascii="宋体" w:hAnsi="宋体" w:cs="宋体"/>
          <w:color w:val="000000" w:themeColor="text1"/>
          <w14:textFill>
            <w14:solidFill>
              <w14:schemeClr w14:val="tx1"/>
            </w14:solidFill>
          </w14:textFill>
        </w:rPr>
        <w:br w:type="page"/>
      </w:r>
      <w:r>
        <w:rPr>
          <w:rFonts w:hint="eastAsia" w:ascii="宋体" w:hAnsi="宋体" w:cs="宋体"/>
          <w:b/>
          <w:bCs/>
          <w:color w:val="000000" w:themeColor="text1"/>
          <w14:textFill>
            <w14:solidFill>
              <w14:schemeClr w14:val="tx1"/>
            </w14:solidFill>
          </w14:textFill>
        </w:rPr>
        <w:t>附 2</w:t>
      </w:r>
    </w:p>
    <w:p>
      <w:pPr>
        <w:jc w:val="center"/>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pacing w:val="-3"/>
          <w:sz w:val="24"/>
          <w:u w:val="single" w:color="000000"/>
          <w14:textFill>
            <w14:solidFill>
              <w14:schemeClr w14:val="tx1"/>
            </w14:solidFill>
          </w14:textFill>
        </w:rPr>
        <w:t>（单位名称）</w:t>
      </w:r>
      <w:r>
        <w:rPr>
          <w:rFonts w:hint="eastAsia" w:ascii="宋体" w:hAnsi="宋体" w:cs="宋体"/>
          <w:color w:val="000000" w:themeColor="text1"/>
          <w:spacing w:val="-29"/>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年面向中小企业预留项目执行情况公告</w:t>
      </w:r>
    </w:p>
    <w:p>
      <w:pPr>
        <w:pStyle w:val="5"/>
        <w:tabs>
          <w:tab w:val="left" w:pos="562"/>
          <w:tab w:val="left" w:pos="3372"/>
          <w:tab w:val="left" w:pos="3653"/>
        </w:tabs>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根据《政府采购促进中小企业发展管理办法》（财库﹝2020﹞46</w:t>
      </w:r>
      <w:r>
        <w:rPr>
          <w:rFonts w:hint="eastAsia" w:ascii="宋体" w:hAnsi="宋体" w:cs="宋体"/>
          <w:color w:val="000000" w:themeColor="text1"/>
          <w:spacing w:val="-47"/>
          <w14:textFill>
            <w14:solidFill>
              <w14:schemeClr w14:val="tx1"/>
            </w14:solidFill>
          </w14:textFill>
        </w:rPr>
        <w:t xml:space="preserve"> 号</w:t>
      </w:r>
      <w:r>
        <w:rPr>
          <w:rFonts w:hint="eastAsia" w:ascii="宋体" w:hAnsi="宋体" w:cs="宋体"/>
          <w:color w:val="000000" w:themeColor="text1"/>
          <w:spacing w:val="-22"/>
          <w14:textFill>
            <w14:solidFill>
              <w14:schemeClr w14:val="tx1"/>
            </w14:solidFill>
          </w14:textFill>
        </w:rPr>
        <w:t>）</w:t>
      </w:r>
      <w:r>
        <w:rPr>
          <w:rFonts w:hint="eastAsia" w:ascii="宋体" w:hAnsi="宋体" w:cs="宋体"/>
          <w:color w:val="000000" w:themeColor="text1"/>
          <w:spacing w:val="-7"/>
          <w14:textFill>
            <w14:solidFill>
              <w14:schemeClr w14:val="tx1"/>
            </w14:solidFill>
          </w14:textFill>
        </w:rPr>
        <w:t>要求，现对本部门</w:t>
      </w:r>
      <w:r>
        <w:rPr>
          <w:rFonts w:hint="eastAsia" w:ascii="宋体" w:hAnsi="宋体" w:cs="宋体"/>
          <w:color w:val="000000" w:themeColor="text1"/>
          <w:spacing w:val="-3"/>
          <w14:textFill>
            <w14:solidFill>
              <w14:schemeClr w14:val="tx1"/>
            </w14:solidFill>
          </w14:textFill>
        </w:rPr>
        <w:t>（</w:t>
      </w:r>
      <w:r>
        <w:rPr>
          <w:rFonts w:hint="eastAsia" w:ascii="宋体" w:hAnsi="宋体" w:cs="宋体"/>
          <w:color w:val="000000" w:themeColor="text1"/>
          <w14:textFill>
            <w14:solidFill>
              <w14:schemeClr w14:val="tx1"/>
            </w14:solidFill>
          </w14:textFill>
        </w:rPr>
        <w:t>单位</w:t>
      </w:r>
      <w:r>
        <w:rPr>
          <w:rFonts w:hint="eastAsia" w:ascii="宋体" w:hAnsi="宋体" w:cs="宋体"/>
          <w:color w:val="000000" w:themeColor="text1"/>
          <w:spacing w:val="-7"/>
          <w14:textFill>
            <w14:solidFill>
              <w14:schemeClr w14:val="tx1"/>
            </w14:solidFill>
          </w14:textFill>
        </w:rPr>
        <w:t>）</w:t>
      </w:r>
      <w:r>
        <w:rPr>
          <w:rFonts w:hint="eastAsia" w:ascii="宋体" w:hAnsi="宋体" w:cs="宋体"/>
          <w:color w:val="000000" w:themeColor="text1"/>
          <w:spacing w:val="-4"/>
          <w14:textFill>
            <w14:solidFill>
              <w14:schemeClr w14:val="tx1"/>
            </w14:solidFill>
          </w14:textFill>
        </w:rPr>
        <w:t>××年面向中小企业预留项目执行情况公告如下：</w:t>
      </w:r>
    </w:p>
    <w:p>
      <w:pPr>
        <w:pStyle w:val="5"/>
        <w:tabs>
          <w:tab w:val="left" w:pos="562"/>
          <w:tab w:val="left" w:pos="3372"/>
          <w:tab w:val="left" w:pos="3653"/>
        </w:tabs>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本部门（单位）××年预留项目面向中小企业采购共计××万元，其中，面向小微企业采购××万元，占××%。</w:t>
      </w:r>
    </w:p>
    <w:p>
      <w:pPr>
        <w:pStyle w:val="5"/>
        <w:tabs>
          <w:tab w:val="left" w:pos="562"/>
          <w:tab w:val="left" w:pos="3372"/>
          <w:tab w:val="left" w:pos="3653"/>
        </w:tabs>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面向中小企业预留项目明细</w:t>
      </w:r>
    </w:p>
    <w:tbl>
      <w:tblPr>
        <w:tblStyle w:val="16"/>
        <w:tblW w:w="88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0"/>
        <w:gridCol w:w="1866"/>
        <w:gridCol w:w="2010"/>
        <w:gridCol w:w="2296"/>
        <w:gridCol w:w="17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Align w:val="center"/>
          </w:tcPr>
          <w:p>
            <w:pPr>
              <w:pStyle w:val="25"/>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序号</w:t>
            </w:r>
          </w:p>
        </w:tc>
        <w:tc>
          <w:tcPr>
            <w:tcW w:w="1866" w:type="dxa"/>
            <w:vAlign w:val="center"/>
          </w:tcPr>
          <w:p>
            <w:pPr>
              <w:pStyle w:val="25"/>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项目名称</w:t>
            </w:r>
          </w:p>
        </w:tc>
        <w:tc>
          <w:tcPr>
            <w:tcW w:w="2010" w:type="dxa"/>
            <w:vAlign w:val="center"/>
          </w:tcPr>
          <w:p>
            <w:pPr>
              <w:pStyle w:val="25"/>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预留选项</w:t>
            </w:r>
          </w:p>
        </w:tc>
        <w:tc>
          <w:tcPr>
            <w:tcW w:w="2296" w:type="dxa"/>
            <w:vAlign w:val="center"/>
          </w:tcPr>
          <w:p>
            <w:pPr>
              <w:pStyle w:val="25"/>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面向中小企业采购金额</w:t>
            </w:r>
          </w:p>
        </w:tc>
        <w:tc>
          <w:tcPr>
            <w:tcW w:w="1784" w:type="dxa"/>
            <w:vAlign w:val="center"/>
          </w:tcPr>
          <w:p>
            <w:pPr>
              <w:pStyle w:val="25"/>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合同链接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restart"/>
            <w:vAlign w:val="center"/>
          </w:tcPr>
          <w:p>
            <w:pPr>
              <w:pStyle w:val="25"/>
              <w:jc w:val="center"/>
              <w:rPr>
                <w:color w:val="000000" w:themeColor="text1"/>
                <w:sz w:val="24"/>
                <w:szCs w:val="24"/>
                <w14:textFill>
                  <w14:solidFill>
                    <w14:schemeClr w14:val="tx1"/>
                  </w14:solidFill>
                </w14:textFill>
              </w:rPr>
            </w:pPr>
          </w:p>
        </w:tc>
        <w:tc>
          <w:tcPr>
            <w:tcW w:w="1866" w:type="dxa"/>
            <w:tcBorders>
              <w:bottom w:val="nil"/>
            </w:tcBorders>
            <w:vAlign w:val="center"/>
          </w:tcPr>
          <w:p>
            <w:pPr>
              <w:pStyle w:val="25"/>
              <w:jc w:val="center"/>
              <w:rPr>
                <w:color w:val="000000" w:themeColor="text1"/>
                <w:sz w:val="24"/>
                <w:szCs w:val="24"/>
                <w14:textFill>
                  <w14:solidFill>
                    <w14:schemeClr w14:val="tx1"/>
                  </w14:solidFill>
                </w14:textFill>
              </w:rPr>
            </w:pPr>
          </w:p>
        </w:tc>
        <w:tc>
          <w:tcPr>
            <w:tcW w:w="2010" w:type="dxa"/>
            <w:tcBorders>
              <w:bottom w:val="nil"/>
            </w:tcBorders>
            <w:vAlign w:val="center"/>
          </w:tcPr>
          <w:p>
            <w:pPr>
              <w:pStyle w:val="25"/>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（填写“采购项</w:t>
            </w:r>
          </w:p>
        </w:tc>
        <w:tc>
          <w:tcPr>
            <w:tcW w:w="2296" w:type="dxa"/>
            <w:tcBorders>
              <w:bottom w:val="nil"/>
            </w:tcBorders>
            <w:vAlign w:val="center"/>
          </w:tcPr>
          <w:p>
            <w:pPr>
              <w:pStyle w:val="25"/>
              <w:jc w:val="center"/>
              <w:rPr>
                <w:color w:val="000000" w:themeColor="text1"/>
                <w:sz w:val="24"/>
                <w:szCs w:val="24"/>
                <w14:textFill>
                  <w14:solidFill>
                    <w14:schemeClr w14:val="tx1"/>
                  </w14:solidFill>
                </w14:textFill>
              </w:rPr>
            </w:pPr>
          </w:p>
        </w:tc>
        <w:tc>
          <w:tcPr>
            <w:tcW w:w="1784" w:type="dxa"/>
            <w:vMerge w:val="restart"/>
            <w:vAlign w:val="center"/>
          </w:tcPr>
          <w:p>
            <w:pPr>
              <w:pStyle w:val="25"/>
              <w:jc w:val="center"/>
              <w:rPr>
                <w:color w:val="000000" w:themeColor="text1"/>
                <w:sz w:val="24"/>
                <w:szCs w:val="24"/>
                <w14:textFill>
                  <w14:solidFill>
                    <w14:schemeClr w14:val="tx1"/>
                  </w14:solidFill>
                </w14:textFill>
              </w:rPr>
            </w:pPr>
          </w:p>
          <w:p>
            <w:pPr>
              <w:pStyle w:val="25"/>
              <w:jc w:val="center"/>
              <w:rPr>
                <w:color w:val="000000" w:themeColor="text1"/>
                <w:sz w:val="24"/>
                <w:szCs w:val="24"/>
                <w14:textFill>
                  <w14:solidFill>
                    <w14:schemeClr w14:val="tx1"/>
                  </w14:solidFill>
                </w14:textFill>
              </w:rPr>
            </w:pPr>
          </w:p>
          <w:p>
            <w:pPr>
              <w:pStyle w:val="25"/>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（填写合同在中国政府采购网公开的网址，合同 中应当包含有关联合体协议或者分包意向协议）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jc w:val="center"/>
              <w:rPr>
                <w:rFonts w:ascii="宋体" w:hAnsi="宋体" w:cs="宋体"/>
                <w:color w:val="000000" w:themeColor="text1"/>
                <w:sz w:val="24"/>
                <w14:textFill>
                  <w14:solidFill>
                    <w14:schemeClr w14:val="tx1"/>
                  </w14:solidFill>
                </w14:textFill>
              </w:rPr>
            </w:pPr>
          </w:p>
        </w:tc>
        <w:tc>
          <w:tcPr>
            <w:tcW w:w="1866" w:type="dxa"/>
            <w:tcBorders>
              <w:top w:val="nil"/>
              <w:bottom w:val="nil"/>
            </w:tcBorders>
            <w:vAlign w:val="center"/>
          </w:tcPr>
          <w:p>
            <w:pPr>
              <w:pStyle w:val="25"/>
              <w:jc w:val="center"/>
              <w:rPr>
                <w:color w:val="000000" w:themeColor="text1"/>
                <w:sz w:val="24"/>
                <w:szCs w:val="24"/>
                <w14:textFill>
                  <w14:solidFill>
                    <w14:schemeClr w14:val="tx1"/>
                  </w14:solidFill>
                </w14:textFill>
              </w:rPr>
            </w:pPr>
          </w:p>
        </w:tc>
        <w:tc>
          <w:tcPr>
            <w:tcW w:w="2010" w:type="dxa"/>
            <w:tcBorders>
              <w:top w:val="nil"/>
              <w:bottom w:val="nil"/>
            </w:tcBorders>
            <w:vAlign w:val="center"/>
          </w:tcPr>
          <w:p>
            <w:pPr>
              <w:pStyle w:val="25"/>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目整体预留”、</w:t>
            </w:r>
          </w:p>
        </w:tc>
        <w:tc>
          <w:tcPr>
            <w:tcW w:w="2296" w:type="dxa"/>
            <w:tcBorders>
              <w:top w:val="nil"/>
              <w:bottom w:val="nil"/>
            </w:tcBorders>
            <w:vAlign w:val="center"/>
          </w:tcPr>
          <w:p>
            <w:pPr>
              <w:pStyle w:val="25"/>
              <w:jc w:val="center"/>
              <w:rPr>
                <w:color w:val="000000" w:themeColor="text1"/>
                <w:sz w:val="24"/>
                <w:szCs w:val="24"/>
                <w14:textFill>
                  <w14:solidFill>
                    <w14:schemeClr w14:val="tx1"/>
                  </w14:solidFill>
                </w14:textFill>
              </w:rPr>
            </w:pPr>
          </w:p>
        </w:tc>
        <w:tc>
          <w:tcPr>
            <w:tcW w:w="1784" w:type="dxa"/>
            <w:vMerge w:val="continue"/>
            <w:tcBorders>
              <w:top w:val="nil"/>
            </w:tcBorders>
            <w:vAlign w:val="center"/>
          </w:tcPr>
          <w:p>
            <w:pPr>
              <w:jc w:val="center"/>
              <w:rPr>
                <w:rFonts w:ascii="宋体" w:hAnsi="宋体" w:cs="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jc w:val="center"/>
              <w:rPr>
                <w:rFonts w:ascii="宋体" w:hAnsi="宋体" w:cs="宋体"/>
                <w:color w:val="000000" w:themeColor="text1"/>
                <w:sz w:val="24"/>
                <w14:textFill>
                  <w14:solidFill>
                    <w14:schemeClr w14:val="tx1"/>
                  </w14:solidFill>
                </w14:textFill>
              </w:rPr>
            </w:pPr>
          </w:p>
        </w:tc>
        <w:tc>
          <w:tcPr>
            <w:tcW w:w="1866" w:type="dxa"/>
            <w:tcBorders>
              <w:top w:val="nil"/>
              <w:bottom w:val="nil"/>
            </w:tcBorders>
            <w:vAlign w:val="center"/>
          </w:tcPr>
          <w:p>
            <w:pPr>
              <w:pStyle w:val="25"/>
              <w:jc w:val="center"/>
              <w:rPr>
                <w:color w:val="000000" w:themeColor="text1"/>
                <w:sz w:val="24"/>
                <w:szCs w:val="24"/>
                <w14:textFill>
                  <w14:solidFill>
                    <w14:schemeClr w14:val="tx1"/>
                  </w14:solidFill>
                </w14:textFill>
              </w:rPr>
            </w:pPr>
          </w:p>
        </w:tc>
        <w:tc>
          <w:tcPr>
            <w:tcW w:w="2010" w:type="dxa"/>
            <w:tcBorders>
              <w:top w:val="nil"/>
              <w:bottom w:val="nil"/>
            </w:tcBorders>
            <w:vAlign w:val="center"/>
          </w:tcPr>
          <w:p>
            <w:pPr>
              <w:pStyle w:val="25"/>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“设置专门采购</w:t>
            </w:r>
          </w:p>
        </w:tc>
        <w:tc>
          <w:tcPr>
            <w:tcW w:w="2296" w:type="dxa"/>
            <w:tcBorders>
              <w:top w:val="nil"/>
              <w:bottom w:val="nil"/>
            </w:tcBorders>
            <w:vAlign w:val="center"/>
          </w:tcPr>
          <w:p>
            <w:pPr>
              <w:pStyle w:val="25"/>
              <w:jc w:val="center"/>
              <w:rPr>
                <w:color w:val="000000" w:themeColor="text1"/>
                <w:sz w:val="24"/>
                <w:szCs w:val="24"/>
                <w14:textFill>
                  <w14:solidFill>
                    <w14:schemeClr w14:val="tx1"/>
                  </w14:solidFill>
                </w14:textFill>
              </w:rPr>
            </w:pPr>
          </w:p>
        </w:tc>
        <w:tc>
          <w:tcPr>
            <w:tcW w:w="1784" w:type="dxa"/>
            <w:vMerge w:val="continue"/>
            <w:tcBorders>
              <w:top w:val="nil"/>
            </w:tcBorders>
            <w:vAlign w:val="center"/>
          </w:tcPr>
          <w:p>
            <w:pPr>
              <w:jc w:val="center"/>
              <w:rPr>
                <w:rFonts w:ascii="宋体" w:hAnsi="宋体" w:cs="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jc w:val="center"/>
              <w:rPr>
                <w:rFonts w:ascii="宋体" w:hAnsi="宋体" w:cs="宋体"/>
                <w:color w:val="000000" w:themeColor="text1"/>
                <w:sz w:val="24"/>
                <w14:textFill>
                  <w14:solidFill>
                    <w14:schemeClr w14:val="tx1"/>
                  </w14:solidFill>
                </w14:textFill>
              </w:rPr>
            </w:pPr>
          </w:p>
        </w:tc>
        <w:tc>
          <w:tcPr>
            <w:tcW w:w="1866" w:type="dxa"/>
            <w:tcBorders>
              <w:top w:val="nil"/>
              <w:bottom w:val="nil"/>
            </w:tcBorders>
            <w:vAlign w:val="center"/>
          </w:tcPr>
          <w:p>
            <w:pPr>
              <w:pStyle w:val="25"/>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（填写集中采</w:t>
            </w:r>
          </w:p>
        </w:tc>
        <w:tc>
          <w:tcPr>
            <w:tcW w:w="2010" w:type="dxa"/>
            <w:tcBorders>
              <w:top w:val="nil"/>
              <w:bottom w:val="nil"/>
            </w:tcBorders>
            <w:vAlign w:val="center"/>
          </w:tcPr>
          <w:p>
            <w:pPr>
              <w:pStyle w:val="25"/>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包”“要求以</w:t>
            </w:r>
          </w:p>
        </w:tc>
        <w:tc>
          <w:tcPr>
            <w:tcW w:w="2296" w:type="dxa"/>
            <w:tcBorders>
              <w:top w:val="nil"/>
              <w:bottom w:val="nil"/>
            </w:tcBorders>
            <w:vAlign w:val="center"/>
          </w:tcPr>
          <w:p>
            <w:pPr>
              <w:pStyle w:val="25"/>
              <w:jc w:val="center"/>
              <w:rPr>
                <w:color w:val="000000" w:themeColor="text1"/>
                <w:sz w:val="24"/>
                <w:szCs w:val="24"/>
                <w14:textFill>
                  <w14:solidFill>
                    <w14:schemeClr w14:val="tx1"/>
                  </w14:solidFill>
                </w14:textFill>
              </w:rPr>
            </w:pPr>
          </w:p>
        </w:tc>
        <w:tc>
          <w:tcPr>
            <w:tcW w:w="1784" w:type="dxa"/>
            <w:vMerge w:val="continue"/>
            <w:tcBorders>
              <w:top w:val="nil"/>
            </w:tcBorders>
            <w:vAlign w:val="center"/>
          </w:tcPr>
          <w:p>
            <w:pPr>
              <w:jc w:val="center"/>
              <w:rPr>
                <w:rFonts w:ascii="宋体" w:hAnsi="宋体" w:cs="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jc w:val="center"/>
              <w:rPr>
                <w:rFonts w:ascii="宋体" w:hAnsi="宋体" w:cs="宋体"/>
                <w:color w:val="000000" w:themeColor="text1"/>
                <w:sz w:val="24"/>
                <w14:textFill>
                  <w14:solidFill>
                    <w14:schemeClr w14:val="tx1"/>
                  </w14:solidFill>
                </w14:textFill>
              </w:rPr>
            </w:pPr>
          </w:p>
        </w:tc>
        <w:tc>
          <w:tcPr>
            <w:tcW w:w="1866" w:type="dxa"/>
            <w:tcBorders>
              <w:top w:val="nil"/>
              <w:bottom w:val="nil"/>
            </w:tcBorders>
            <w:vAlign w:val="center"/>
          </w:tcPr>
          <w:p>
            <w:pPr>
              <w:pStyle w:val="25"/>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购目录以内或</w:t>
            </w:r>
          </w:p>
        </w:tc>
        <w:tc>
          <w:tcPr>
            <w:tcW w:w="2010" w:type="dxa"/>
            <w:tcBorders>
              <w:top w:val="nil"/>
              <w:bottom w:val="nil"/>
            </w:tcBorders>
            <w:vAlign w:val="center"/>
          </w:tcPr>
          <w:p>
            <w:pPr>
              <w:pStyle w:val="25"/>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联合体形式参</w:t>
            </w:r>
          </w:p>
        </w:tc>
        <w:tc>
          <w:tcPr>
            <w:tcW w:w="2296" w:type="dxa"/>
            <w:tcBorders>
              <w:top w:val="nil"/>
              <w:bottom w:val="nil"/>
            </w:tcBorders>
            <w:vAlign w:val="center"/>
          </w:tcPr>
          <w:p>
            <w:pPr>
              <w:pStyle w:val="25"/>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（精确到万元）</w:t>
            </w:r>
          </w:p>
        </w:tc>
        <w:tc>
          <w:tcPr>
            <w:tcW w:w="1784" w:type="dxa"/>
            <w:vMerge w:val="continue"/>
            <w:tcBorders>
              <w:top w:val="nil"/>
            </w:tcBorders>
            <w:vAlign w:val="center"/>
          </w:tcPr>
          <w:p>
            <w:pPr>
              <w:jc w:val="center"/>
              <w:rPr>
                <w:rFonts w:ascii="宋体" w:hAnsi="宋体" w:cs="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jc w:val="center"/>
              <w:rPr>
                <w:rFonts w:ascii="宋体" w:hAnsi="宋体" w:cs="宋体"/>
                <w:color w:val="000000" w:themeColor="text1"/>
                <w:sz w:val="24"/>
                <w14:textFill>
                  <w14:solidFill>
                    <w14:schemeClr w14:val="tx1"/>
                  </w14:solidFill>
                </w14:textFill>
              </w:rPr>
            </w:pPr>
          </w:p>
        </w:tc>
        <w:tc>
          <w:tcPr>
            <w:tcW w:w="1866" w:type="dxa"/>
            <w:tcBorders>
              <w:top w:val="nil"/>
              <w:bottom w:val="nil"/>
            </w:tcBorders>
            <w:vAlign w:val="center"/>
          </w:tcPr>
          <w:p>
            <w:pPr>
              <w:pStyle w:val="25"/>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者采购限额标</w:t>
            </w:r>
          </w:p>
        </w:tc>
        <w:tc>
          <w:tcPr>
            <w:tcW w:w="2010" w:type="dxa"/>
            <w:tcBorders>
              <w:top w:val="nil"/>
              <w:bottom w:val="nil"/>
            </w:tcBorders>
            <w:vAlign w:val="center"/>
          </w:tcPr>
          <w:p>
            <w:pPr>
              <w:pStyle w:val="25"/>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加”或者“要求</w:t>
            </w:r>
          </w:p>
        </w:tc>
        <w:tc>
          <w:tcPr>
            <w:tcW w:w="2296" w:type="dxa"/>
            <w:tcBorders>
              <w:top w:val="nil"/>
              <w:bottom w:val="nil"/>
            </w:tcBorders>
            <w:vAlign w:val="center"/>
          </w:tcPr>
          <w:p>
            <w:pPr>
              <w:pStyle w:val="25"/>
              <w:jc w:val="center"/>
              <w:rPr>
                <w:color w:val="000000" w:themeColor="text1"/>
                <w:sz w:val="24"/>
                <w:szCs w:val="24"/>
                <w14:textFill>
                  <w14:solidFill>
                    <w14:schemeClr w14:val="tx1"/>
                  </w14:solidFill>
                </w14:textFill>
              </w:rPr>
            </w:pPr>
          </w:p>
        </w:tc>
        <w:tc>
          <w:tcPr>
            <w:tcW w:w="1784" w:type="dxa"/>
            <w:vMerge w:val="continue"/>
            <w:tcBorders>
              <w:top w:val="nil"/>
            </w:tcBorders>
            <w:vAlign w:val="center"/>
          </w:tcPr>
          <w:p>
            <w:pPr>
              <w:jc w:val="center"/>
              <w:rPr>
                <w:rFonts w:ascii="宋体" w:hAnsi="宋体" w:cs="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jc w:val="center"/>
              <w:rPr>
                <w:rFonts w:ascii="宋体" w:hAnsi="宋体" w:cs="宋体"/>
                <w:color w:val="000000" w:themeColor="text1"/>
                <w:sz w:val="24"/>
                <w14:textFill>
                  <w14:solidFill>
                    <w14:schemeClr w14:val="tx1"/>
                  </w14:solidFill>
                </w14:textFill>
              </w:rPr>
            </w:pPr>
          </w:p>
        </w:tc>
        <w:tc>
          <w:tcPr>
            <w:tcW w:w="1866" w:type="dxa"/>
            <w:tcBorders>
              <w:top w:val="nil"/>
              <w:bottom w:val="nil"/>
            </w:tcBorders>
            <w:vAlign w:val="center"/>
          </w:tcPr>
          <w:p>
            <w:pPr>
              <w:pStyle w:val="25"/>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准以上的采购项目</w:t>
            </w:r>
          </w:p>
        </w:tc>
        <w:tc>
          <w:tcPr>
            <w:tcW w:w="2010" w:type="dxa"/>
            <w:tcBorders>
              <w:top w:val="nil"/>
              <w:bottom w:val="nil"/>
            </w:tcBorders>
            <w:vAlign w:val="center"/>
          </w:tcPr>
          <w:p>
            <w:pPr>
              <w:pStyle w:val="25"/>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合同分包”，除</w:t>
            </w:r>
          </w:p>
        </w:tc>
        <w:tc>
          <w:tcPr>
            <w:tcW w:w="2296" w:type="dxa"/>
            <w:tcBorders>
              <w:top w:val="nil"/>
              <w:bottom w:val="nil"/>
            </w:tcBorders>
            <w:vAlign w:val="center"/>
          </w:tcPr>
          <w:p>
            <w:pPr>
              <w:pStyle w:val="25"/>
              <w:jc w:val="center"/>
              <w:rPr>
                <w:color w:val="000000" w:themeColor="text1"/>
                <w:sz w:val="24"/>
                <w:szCs w:val="24"/>
                <w14:textFill>
                  <w14:solidFill>
                    <w14:schemeClr w14:val="tx1"/>
                  </w14:solidFill>
                </w14:textFill>
              </w:rPr>
            </w:pPr>
          </w:p>
        </w:tc>
        <w:tc>
          <w:tcPr>
            <w:tcW w:w="1784" w:type="dxa"/>
            <w:vMerge w:val="continue"/>
            <w:tcBorders>
              <w:top w:val="nil"/>
            </w:tcBorders>
            <w:vAlign w:val="center"/>
          </w:tcPr>
          <w:p>
            <w:pPr>
              <w:jc w:val="center"/>
              <w:rPr>
                <w:rFonts w:ascii="宋体" w:hAnsi="宋体" w:cs="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jc w:val="center"/>
              <w:rPr>
                <w:rFonts w:ascii="宋体" w:hAnsi="宋体" w:cs="宋体"/>
                <w:color w:val="000000" w:themeColor="text1"/>
                <w:sz w:val="24"/>
                <w14:textFill>
                  <w14:solidFill>
                    <w14:schemeClr w14:val="tx1"/>
                  </w14:solidFill>
                </w14:textFill>
              </w:rPr>
            </w:pPr>
          </w:p>
        </w:tc>
        <w:tc>
          <w:tcPr>
            <w:tcW w:w="1866" w:type="dxa"/>
            <w:tcBorders>
              <w:top w:val="nil"/>
              <w:bottom w:val="nil"/>
            </w:tcBorders>
            <w:vAlign w:val="center"/>
          </w:tcPr>
          <w:p>
            <w:pPr>
              <w:pStyle w:val="25"/>
              <w:jc w:val="center"/>
              <w:rPr>
                <w:color w:val="000000" w:themeColor="text1"/>
                <w:sz w:val="24"/>
                <w:szCs w:val="24"/>
                <w14:textFill>
                  <w14:solidFill>
                    <w14:schemeClr w14:val="tx1"/>
                  </w14:solidFill>
                </w14:textFill>
              </w:rPr>
            </w:pPr>
          </w:p>
        </w:tc>
        <w:tc>
          <w:tcPr>
            <w:tcW w:w="2010" w:type="dxa"/>
            <w:tcBorders>
              <w:top w:val="nil"/>
              <w:bottom w:val="nil"/>
            </w:tcBorders>
            <w:vAlign w:val="center"/>
          </w:tcPr>
          <w:p>
            <w:pPr>
              <w:pStyle w:val="25"/>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“采购项目全部</w:t>
            </w:r>
          </w:p>
        </w:tc>
        <w:tc>
          <w:tcPr>
            <w:tcW w:w="2296" w:type="dxa"/>
            <w:tcBorders>
              <w:top w:val="nil"/>
              <w:bottom w:val="nil"/>
            </w:tcBorders>
            <w:vAlign w:val="center"/>
          </w:tcPr>
          <w:p>
            <w:pPr>
              <w:pStyle w:val="25"/>
              <w:jc w:val="center"/>
              <w:rPr>
                <w:color w:val="000000" w:themeColor="text1"/>
                <w:sz w:val="24"/>
                <w:szCs w:val="24"/>
                <w14:textFill>
                  <w14:solidFill>
                    <w14:schemeClr w14:val="tx1"/>
                  </w14:solidFill>
                </w14:textFill>
              </w:rPr>
            </w:pPr>
          </w:p>
        </w:tc>
        <w:tc>
          <w:tcPr>
            <w:tcW w:w="1784" w:type="dxa"/>
            <w:vMerge w:val="continue"/>
            <w:tcBorders>
              <w:top w:val="nil"/>
            </w:tcBorders>
            <w:vAlign w:val="center"/>
          </w:tcPr>
          <w:p>
            <w:pPr>
              <w:jc w:val="center"/>
              <w:rPr>
                <w:rFonts w:ascii="宋体" w:hAnsi="宋体" w:cs="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jc w:val="center"/>
              <w:rPr>
                <w:rFonts w:ascii="宋体" w:hAnsi="宋体" w:cs="宋体"/>
                <w:color w:val="000000" w:themeColor="text1"/>
                <w:sz w:val="24"/>
                <w14:textFill>
                  <w14:solidFill>
                    <w14:schemeClr w14:val="tx1"/>
                  </w14:solidFill>
                </w14:textFill>
              </w:rPr>
            </w:pPr>
          </w:p>
        </w:tc>
        <w:tc>
          <w:tcPr>
            <w:tcW w:w="1866" w:type="dxa"/>
            <w:tcBorders>
              <w:top w:val="nil"/>
              <w:bottom w:val="nil"/>
            </w:tcBorders>
            <w:vAlign w:val="center"/>
          </w:tcPr>
          <w:p>
            <w:pPr>
              <w:pStyle w:val="25"/>
              <w:jc w:val="center"/>
              <w:rPr>
                <w:color w:val="000000" w:themeColor="text1"/>
                <w:sz w:val="24"/>
                <w:szCs w:val="24"/>
                <w14:textFill>
                  <w14:solidFill>
                    <w14:schemeClr w14:val="tx1"/>
                  </w14:solidFill>
                </w14:textFill>
              </w:rPr>
            </w:pPr>
          </w:p>
        </w:tc>
        <w:tc>
          <w:tcPr>
            <w:tcW w:w="2010" w:type="dxa"/>
            <w:tcBorders>
              <w:top w:val="nil"/>
              <w:bottom w:val="nil"/>
            </w:tcBorders>
            <w:vAlign w:val="center"/>
          </w:tcPr>
          <w:p>
            <w:pPr>
              <w:pStyle w:val="25"/>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预留”外，还应</w:t>
            </w:r>
          </w:p>
        </w:tc>
        <w:tc>
          <w:tcPr>
            <w:tcW w:w="2296" w:type="dxa"/>
            <w:tcBorders>
              <w:top w:val="nil"/>
              <w:bottom w:val="nil"/>
            </w:tcBorders>
            <w:vAlign w:val="center"/>
          </w:tcPr>
          <w:p>
            <w:pPr>
              <w:pStyle w:val="25"/>
              <w:jc w:val="center"/>
              <w:rPr>
                <w:color w:val="000000" w:themeColor="text1"/>
                <w:sz w:val="24"/>
                <w:szCs w:val="24"/>
                <w14:textFill>
                  <w14:solidFill>
                    <w14:schemeClr w14:val="tx1"/>
                  </w14:solidFill>
                </w14:textFill>
              </w:rPr>
            </w:pPr>
          </w:p>
        </w:tc>
        <w:tc>
          <w:tcPr>
            <w:tcW w:w="1784" w:type="dxa"/>
            <w:vMerge w:val="continue"/>
            <w:tcBorders>
              <w:top w:val="nil"/>
            </w:tcBorders>
            <w:vAlign w:val="center"/>
          </w:tcPr>
          <w:p>
            <w:pPr>
              <w:jc w:val="center"/>
              <w:rPr>
                <w:rFonts w:ascii="宋体" w:hAnsi="宋体" w:cs="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jc w:val="center"/>
              <w:rPr>
                <w:rFonts w:ascii="宋体" w:hAnsi="宋体" w:cs="宋体"/>
                <w:color w:val="000000" w:themeColor="text1"/>
                <w:sz w:val="24"/>
                <w14:textFill>
                  <w14:solidFill>
                    <w14:schemeClr w14:val="tx1"/>
                  </w14:solidFill>
                </w14:textFill>
              </w:rPr>
            </w:pPr>
          </w:p>
        </w:tc>
        <w:tc>
          <w:tcPr>
            <w:tcW w:w="1866" w:type="dxa"/>
            <w:tcBorders>
              <w:top w:val="nil"/>
              <w:bottom w:val="nil"/>
            </w:tcBorders>
            <w:vAlign w:val="center"/>
          </w:tcPr>
          <w:p>
            <w:pPr>
              <w:pStyle w:val="25"/>
              <w:jc w:val="center"/>
              <w:rPr>
                <w:color w:val="000000" w:themeColor="text1"/>
                <w:sz w:val="24"/>
                <w:szCs w:val="24"/>
                <w14:textFill>
                  <w14:solidFill>
                    <w14:schemeClr w14:val="tx1"/>
                  </w14:solidFill>
                </w14:textFill>
              </w:rPr>
            </w:pPr>
          </w:p>
        </w:tc>
        <w:tc>
          <w:tcPr>
            <w:tcW w:w="2010" w:type="dxa"/>
            <w:tcBorders>
              <w:top w:val="nil"/>
              <w:bottom w:val="nil"/>
            </w:tcBorders>
            <w:vAlign w:val="center"/>
          </w:tcPr>
          <w:p>
            <w:pPr>
              <w:pStyle w:val="25"/>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当填写预留给中</w:t>
            </w:r>
          </w:p>
        </w:tc>
        <w:tc>
          <w:tcPr>
            <w:tcW w:w="2296" w:type="dxa"/>
            <w:tcBorders>
              <w:top w:val="nil"/>
              <w:bottom w:val="nil"/>
            </w:tcBorders>
            <w:vAlign w:val="center"/>
          </w:tcPr>
          <w:p>
            <w:pPr>
              <w:pStyle w:val="25"/>
              <w:jc w:val="center"/>
              <w:rPr>
                <w:color w:val="000000" w:themeColor="text1"/>
                <w:sz w:val="24"/>
                <w:szCs w:val="24"/>
                <w14:textFill>
                  <w14:solidFill>
                    <w14:schemeClr w14:val="tx1"/>
                  </w14:solidFill>
                </w14:textFill>
              </w:rPr>
            </w:pPr>
          </w:p>
        </w:tc>
        <w:tc>
          <w:tcPr>
            <w:tcW w:w="1784" w:type="dxa"/>
            <w:vMerge w:val="continue"/>
            <w:tcBorders>
              <w:top w:val="nil"/>
            </w:tcBorders>
            <w:vAlign w:val="center"/>
          </w:tcPr>
          <w:p>
            <w:pPr>
              <w:jc w:val="center"/>
              <w:rPr>
                <w:rFonts w:ascii="宋体" w:hAnsi="宋体" w:cs="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jc w:val="center"/>
              <w:rPr>
                <w:rFonts w:ascii="宋体" w:hAnsi="宋体" w:cs="宋体"/>
                <w:color w:val="000000" w:themeColor="text1"/>
                <w:sz w:val="24"/>
                <w14:textFill>
                  <w14:solidFill>
                    <w14:schemeClr w14:val="tx1"/>
                  </w14:solidFill>
                </w14:textFill>
              </w:rPr>
            </w:pPr>
          </w:p>
        </w:tc>
        <w:tc>
          <w:tcPr>
            <w:tcW w:w="1866" w:type="dxa"/>
            <w:tcBorders>
              <w:top w:val="nil"/>
            </w:tcBorders>
            <w:vAlign w:val="center"/>
          </w:tcPr>
          <w:p>
            <w:pPr>
              <w:pStyle w:val="25"/>
              <w:jc w:val="center"/>
              <w:rPr>
                <w:color w:val="000000" w:themeColor="text1"/>
                <w:sz w:val="24"/>
                <w:szCs w:val="24"/>
                <w14:textFill>
                  <w14:solidFill>
                    <w14:schemeClr w14:val="tx1"/>
                  </w14:solidFill>
                </w14:textFill>
              </w:rPr>
            </w:pPr>
          </w:p>
        </w:tc>
        <w:tc>
          <w:tcPr>
            <w:tcW w:w="2010" w:type="dxa"/>
            <w:tcBorders>
              <w:top w:val="nil"/>
            </w:tcBorders>
            <w:vAlign w:val="center"/>
          </w:tcPr>
          <w:p>
            <w:pPr>
              <w:pStyle w:val="25"/>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小企业的比例）</w:t>
            </w:r>
          </w:p>
        </w:tc>
        <w:tc>
          <w:tcPr>
            <w:tcW w:w="2296" w:type="dxa"/>
            <w:tcBorders>
              <w:top w:val="nil"/>
            </w:tcBorders>
            <w:vAlign w:val="center"/>
          </w:tcPr>
          <w:p>
            <w:pPr>
              <w:pStyle w:val="25"/>
              <w:jc w:val="center"/>
              <w:rPr>
                <w:color w:val="000000" w:themeColor="text1"/>
                <w:sz w:val="24"/>
                <w:szCs w:val="24"/>
                <w14:textFill>
                  <w14:solidFill>
                    <w14:schemeClr w14:val="tx1"/>
                  </w14:solidFill>
                </w14:textFill>
              </w:rPr>
            </w:pPr>
          </w:p>
        </w:tc>
        <w:tc>
          <w:tcPr>
            <w:tcW w:w="1784" w:type="dxa"/>
            <w:vMerge w:val="continue"/>
            <w:tcBorders>
              <w:top w:val="nil"/>
            </w:tcBorders>
            <w:vAlign w:val="center"/>
          </w:tcPr>
          <w:p>
            <w:pPr>
              <w:jc w:val="center"/>
              <w:rPr>
                <w:rFonts w:ascii="宋体" w:hAnsi="宋体" w:cs="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Align w:val="center"/>
          </w:tcPr>
          <w:p>
            <w:pPr>
              <w:pStyle w:val="25"/>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p>
        </w:tc>
        <w:tc>
          <w:tcPr>
            <w:tcW w:w="1866" w:type="dxa"/>
            <w:vAlign w:val="center"/>
          </w:tcPr>
          <w:p>
            <w:pPr>
              <w:pStyle w:val="25"/>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p>
        </w:tc>
        <w:tc>
          <w:tcPr>
            <w:tcW w:w="2010" w:type="dxa"/>
            <w:vAlign w:val="center"/>
          </w:tcPr>
          <w:p>
            <w:pPr>
              <w:pStyle w:val="25"/>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p>
        </w:tc>
        <w:tc>
          <w:tcPr>
            <w:tcW w:w="2296" w:type="dxa"/>
            <w:vAlign w:val="center"/>
          </w:tcPr>
          <w:p>
            <w:pPr>
              <w:pStyle w:val="25"/>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p>
        </w:tc>
        <w:tc>
          <w:tcPr>
            <w:tcW w:w="1784" w:type="dxa"/>
            <w:vAlign w:val="center"/>
          </w:tcPr>
          <w:p>
            <w:pPr>
              <w:pStyle w:val="25"/>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p>
        </w:tc>
      </w:tr>
    </w:tbl>
    <w:p>
      <w:pPr>
        <w:pStyle w:val="5"/>
        <w:tabs>
          <w:tab w:val="left" w:pos="562"/>
          <w:tab w:val="left" w:pos="3372"/>
          <w:tab w:val="left" w:pos="3653"/>
        </w:tabs>
        <w:spacing w:before="128"/>
        <w:ind w:left="4220" w:right="1843"/>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部门（单位）名称： 日期：</w:t>
      </w:r>
    </w:p>
    <w:p>
      <w:pPr>
        <w:pStyle w:val="5"/>
        <w:tabs>
          <w:tab w:val="left" w:pos="562"/>
          <w:tab w:val="left" w:pos="3372"/>
          <w:tab w:val="left" w:pos="3653"/>
        </w:tabs>
        <w:rPr>
          <w:rFonts w:ascii="宋体" w:hAnsi="宋体" w:cs="宋体"/>
          <w:color w:val="000000" w:themeColor="text1"/>
          <w14:textFill>
            <w14:solidFill>
              <w14:schemeClr w14:val="tx1"/>
            </w14:solidFill>
          </w14:textFill>
        </w:rPr>
      </w:pPr>
    </w:p>
    <w:p>
      <w:pPr>
        <w:pStyle w:val="15"/>
        <w:jc w:val="both"/>
        <w:outlineLvl w:val="9"/>
        <w:rPr>
          <w:rFonts w:ascii="宋体" w:hAnsi="宋体" w:eastAsia="宋体" w:cs="宋体"/>
          <w:color w:val="000000" w:themeColor="text1"/>
          <w:sz w:val="24"/>
          <w:szCs w:val="24"/>
          <w14:textFill>
            <w14:solidFill>
              <w14:schemeClr w14:val="tx1"/>
            </w14:solidFill>
          </w14:textFill>
        </w:rPr>
      </w:pPr>
    </w:p>
    <w:p>
      <w:pPr>
        <w:tabs>
          <w:tab w:val="left" w:pos="360"/>
        </w:tabs>
        <w:outlineLvl w:val="1"/>
        <w:rPr>
          <w:rFonts w:ascii="宋体" w:hAnsi="宋体" w:cs="宋体"/>
          <w:b/>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br w:type="page"/>
      </w:r>
      <w:r>
        <w:rPr>
          <w:rFonts w:hint="eastAsia" w:ascii="宋体" w:hAnsi="宋体" w:cs="宋体"/>
          <w:b/>
          <w:bCs/>
          <w:color w:val="000000" w:themeColor="text1"/>
          <w:sz w:val="24"/>
          <w14:textFill>
            <w14:solidFill>
              <w14:schemeClr w14:val="tx1"/>
            </w14:solidFill>
          </w14:textFill>
        </w:rPr>
        <w:t>2、工业和信息化部、国家统计局、国家发展和改革委员会、财政部《关于印发〈中小企业划型标准规定〉的通知》（工信部联企〔2011〕300 号）</w:t>
      </w:r>
    </w:p>
    <w:p>
      <w:pPr>
        <w:pStyle w:val="5"/>
        <w:tabs>
          <w:tab w:val="left" w:pos="562"/>
          <w:tab w:val="left" w:pos="3372"/>
          <w:tab w:val="left" w:pos="3653"/>
        </w:tabs>
        <w:rPr>
          <w:rFonts w:ascii="宋体" w:hAnsi="宋体" w:cs="宋体"/>
          <w:color w:val="000000" w:themeColor="text1"/>
          <w14:textFill>
            <w14:solidFill>
              <w14:schemeClr w14:val="tx1"/>
            </w14:solidFill>
          </w14:textFill>
        </w:rPr>
      </w:pPr>
    </w:p>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关于印发中小企业划型标准规定的通知</w:t>
      </w:r>
    </w:p>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工信部联企业〔2011〕300号</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各省、自治区、直辖市人民政府，国务院各部委、各直属机构及有关单位： </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ind w:firstLine="480" w:firstLineChars="200"/>
        <w:jc w:val="righ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工业和信息化部 国家统计局</w:t>
      </w:r>
    </w:p>
    <w:p>
      <w:pPr>
        <w:ind w:firstLine="480" w:firstLineChars="200"/>
        <w:jc w:val="righ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国家发展和改革委员会 财政部</w:t>
      </w:r>
    </w:p>
    <w:p>
      <w:pPr>
        <w:ind w:firstLine="480" w:firstLineChars="200"/>
        <w:jc w:val="righ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二○一一年六月十八日</w:t>
      </w:r>
    </w:p>
    <w:p>
      <w:pPr>
        <w:ind w:firstLine="480" w:firstLineChars="200"/>
        <w:rPr>
          <w:rFonts w:ascii="宋体" w:hAnsi="宋体" w:cs="宋体"/>
          <w:color w:val="000000" w:themeColor="text1"/>
          <w:sz w:val="24"/>
          <w14:textFill>
            <w14:solidFill>
              <w14:schemeClr w14:val="tx1"/>
            </w14:solidFill>
          </w14:textFill>
        </w:rPr>
      </w:pPr>
    </w:p>
    <w:p>
      <w:pPr>
        <w:ind w:firstLine="480" w:firstLineChars="200"/>
        <w:rPr>
          <w:rFonts w:ascii="宋体" w:hAnsi="宋体" w:cs="宋体"/>
          <w:color w:val="000000" w:themeColor="text1"/>
          <w:sz w:val="24"/>
          <w14:textFill>
            <w14:solidFill>
              <w14:schemeClr w14:val="tx1"/>
            </w14:solidFill>
          </w14:textFill>
        </w:rPr>
      </w:pPr>
    </w:p>
    <w:p>
      <w:pPr>
        <w:ind w:firstLine="480" w:firstLineChars="200"/>
        <w:rPr>
          <w:rFonts w:ascii="宋体" w:hAnsi="宋体" w:cs="宋体"/>
          <w:color w:val="000000" w:themeColor="text1"/>
          <w:sz w:val="24"/>
          <w14:textFill>
            <w14:solidFill>
              <w14:schemeClr w14:val="tx1"/>
            </w14:solidFill>
          </w14:textFill>
        </w:rPr>
      </w:pPr>
    </w:p>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 xml:space="preserve">中小企业划型标准规定 </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一、根据《中华人民共和国中小企业促进法》和《国务院关于进一步促进中小企业发展的若干意见》（国发〔2009〕36号），制定本规定。</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二、中小企业划分为中型、小型、微型三种类型，具体标准根据企业从业人员、营业收入、资产总额等指标，结合行业特点制定。</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三、本规定适用的行业包括：农、林、牧、渔业，工业（包括采矿业，制造 业，电力、热力、燃气及水生产和供应业），建筑业，批发业，零售业，交通运输 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 </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四、各行业划型标准为： </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（一）农、林、牧、渔业。营业收入20000万元以下的为中小微型企业。其中，营业收入500万元及以上的为中型企业，营业收入50万元及以上的为小型企业，营业收入50万元以下的为微型企业。</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 </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 </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 </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 </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 </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 </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 </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 </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 </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 </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 </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（十六）其他未列明行业。从业人员300人以下的为中小微型企业。其中，从业人员100人及以上的为中型企业；从业人员10人及以上的为小型企业；从业人员10人以下的为微型企业。</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五、企业类型的划分以统计部门的统计数据为依据。 </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六、本规定适用于在中华人民共和国境内依法设立的各类所有制和各种组织形式的企业。个体工商户和本规定以外的行业，参照本规定进行划型。 </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七、本规定的中型企业标准上限即为大型企业标准的下限，国家统计部门据此制定大中小微型企业的统计分类。国务院有关部门据此进行相关数据分析，不得制定与本规定不一致的企业划型标准。</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八、本规定由工业和信息化部、国家统计局会同有关部门根据《国民经济行业分类》修订情况和企业发展变化情况适时修订。 </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九、本规定由工业和信息化部、国家统计局会同有关部门负责解释。 </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十、本规定自发布之日起执行，原国家经贸委、原国家计委、财政部和国家统计局2003年颁布的《中小企业标准暂行规定》同时废止。</w:t>
      </w:r>
    </w:p>
    <w:p>
      <w:pPr>
        <w:ind w:firstLine="480" w:firstLineChars="200"/>
        <w:rPr>
          <w:rFonts w:ascii="宋体" w:hAnsi="宋体" w:cs="宋体"/>
          <w:color w:val="000000" w:themeColor="text1"/>
          <w:sz w:val="24"/>
          <w14:textFill>
            <w14:solidFill>
              <w14:schemeClr w14:val="tx1"/>
            </w14:solidFill>
          </w14:textFill>
        </w:rPr>
      </w:pPr>
    </w:p>
    <w:p>
      <w:pPr>
        <w:pStyle w:val="15"/>
        <w:jc w:val="both"/>
        <w:outlineLvl w:val="9"/>
        <w:rPr>
          <w:rFonts w:ascii="宋体" w:hAnsi="宋体" w:eastAsia="宋体" w:cs="宋体"/>
          <w:color w:val="000000" w:themeColor="text1"/>
          <w:sz w:val="24"/>
          <w:szCs w:val="24"/>
          <w14:textFill>
            <w14:solidFill>
              <w14:schemeClr w14:val="tx1"/>
            </w14:solidFill>
          </w14:textFill>
        </w:rPr>
      </w:pPr>
    </w:p>
    <w:p>
      <w:pPr>
        <w:pStyle w:val="15"/>
        <w:jc w:val="both"/>
        <w:outlineLvl w:val="9"/>
        <w:rPr>
          <w:rFonts w:ascii="宋体" w:hAnsi="宋体" w:eastAsia="宋体" w:cs="宋体"/>
          <w:color w:val="000000" w:themeColor="text1"/>
          <w:sz w:val="24"/>
          <w:szCs w:val="24"/>
          <w14:textFill>
            <w14:solidFill>
              <w14:schemeClr w14:val="tx1"/>
            </w14:solidFill>
          </w14:textFill>
        </w:rPr>
      </w:pPr>
    </w:p>
    <w:p>
      <w:pPr>
        <w:tabs>
          <w:tab w:val="left" w:pos="360"/>
        </w:tabs>
        <w:outlineLvl w:val="1"/>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br w:type="page"/>
      </w:r>
      <w:r>
        <w:rPr>
          <w:rFonts w:hint="eastAsia" w:ascii="宋体" w:hAnsi="宋体" w:cs="宋体"/>
          <w:b/>
          <w:bCs/>
          <w:color w:val="000000" w:themeColor="text1"/>
          <w:sz w:val="24"/>
          <w14:textFill>
            <w14:solidFill>
              <w14:schemeClr w14:val="tx1"/>
            </w14:solidFill>
          </w14:textFill>
        </w:rPr>
        <w:t>3、国家统计局《关于印发〈统计上大中小微型企业划分办法（2017）〉的通知》</w:t>
      </w:r>
    </w:p>
    <w:p>
      <w:pPr>
        <w:widowControl/>
        <w:shd w:val="clear" w:color="auto" w:fill="FFFFFF"/>
        <w:jc w:val="center"/>
        <w:rPr>
          <w:rFonts w:ascii="宋体" w:hAnsi="宋体" w:cs="宋体"/>
          <w:b/>
          <w:bCs/>
          <w:color w:val="000000" w:themeColor="text1"/>
          <w:kern w:val="0"/>
          <w:sz w:val="24"/>
          <w14:textFill>
            <w14:solidFill>
              <w14:schemeClr w14:val="tx1"/>
            </w14:solidFill>
          </w14:textFill>
        </w:rPr>
      </w:pPr>
    </w:p>
    <w:p>
      <w:pPr>
        <w:widowControl/>
        <w:shd w:val="clear" w:color="auto" w:fill="FFFFFF"/>
        <w:jc w:val="center"/>
        <w:rPr>
          <w:rFonts w:ascii="宋体" w:hAnsi="宋体" w:cs="宋体"/>
          <w:b/>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国家统计局关于印发《统计上大中小微型企业划分办法（2017）》的通知</w:t>
      </w:r>
    </w:p>
    <w:p>
      <w:pPr>
        <w:widowControl/>
        <w:shd w:val="clear" w:color="auto" w:fill="FFFFFF"/>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p>
      <w:pPr>
        <w:widowControl/>
        <w:shd w:val="clear" w:color="auto" w:fill="FFFFFF"/>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各省、自治区、直辖市统计局，新疆生产建设兵团统计局，国务院各有关部门，国家统计局各调查总队：</w:t>
      </w:r>
    </w:p>
    <w:p>
      <w:pPr>
        <w:widowControl/>
        <w:shd w:val="clear" w:color="auto" w:fill="FFFFFF"/>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p>
      <w:pPr>
        <w:widowControl/>
        <w:shd w:val="clear" w:color="auto" w:fill="FFFFFF"/>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hd w:val="clear" w:color="auto" w:fill="FFFFFF"/>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p>
      <w:pPr>
        <w:widowControl/>
        <w:shd w:val="clear" w:color="auto" w:fill="FFFFFF"/>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附件：《统计上大中小微型企业划分办法（2017）》修订说明</w:t>
      </w:r>
    </w:p>
    <w:p>
      <w:pPr>
        <w:widowControl/>
        <w:shd w:val="clear" w:color="auto" w:fill="FFFFFF"/>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p>
      <w:pPr>
        <w:widowControl/>
        <w:shd w:val="clear" w:color="auto" w:fill="FFFFFF"/>
        <w:ind w:firstLine="480" w:firstLineChars="200"/>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国家统计局</w:t>
      </w:r>
    </w:p>
    <w:p>
      <w:pPr>
        <w:widowControl/>
        <w:shd w:val="clear" w:color="auto" w:fill="FFFFFF"/>
        <w:ind w:firstLine="480" w:firstLineChars="200"/>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2017年12月28日</w:t>
      </w:r>
    </w:p>
    <w:p>
      <w:pPr>
        <w:widowControl/>
        <w:shd w:val="clear" w:color="auto" w:fill="FFFFFF"/>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p>
      <w:pPr>
        <w:widowControl/>
        <w:shd w:val="clear" w:color="auto" w:fill="FFFFFF"/>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统计上大中小微型企业划分办法（2017）</w:t>
      </w:r>
    </w:p>
    <w:p>
      <w:pPr>
        <w:widowControl/>
        <w:shd w:val="clear" w:color="auto" w:fill="FFFFFF"/>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hd w:val="clear" w:color="auto" w:fill="FFFFFF"/>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二、本办法适用对象为在中华人民共和国境内依法设立的各种组织形式的法人企业或单位。个体工商户参照本办法进行划分。</w:t>
      </w:r>
    </w:p>
    <w:p>
      <w:pPr>
        <w:widowControl/>
        <w:shd w:val="clear" w:color="auto" w:fill="FFFFFF"/>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hd w:val="clear" w:color="auto" w:fill="FFFFFF"/>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四、本办法按照行业门类、大类、中类和组合类别，依据从业人员、营业收入、资产总额等指标或替代指标，将我国的企业划分为大型、中型、小型、微型等四种类型。具体划分标准见附表。</w:t>
      </w:r>
    </w:p>
    <w:p>
      <w:pPr>
        <w:widowControl/>
        <w:shd w:val="clear" w:color="auto" w:fill="FFFFFF"/>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五、企业划分由政府综合统计部门根据统计年报每年确定一次，定报统计原则上不进行调整。</w:t>
      </w:r>
    </w:p>
    <w:p>
      <w:pPr>
        <w:widowControl/>
        <w:shd w:val="clear" w:color="auto" w:fill="FFFFFF"/>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六、本办法自印发之日起执行，国家统计局2011年印发的《统计上大中小微型企业划分办法》（国统字〔2011〕75号）同时废止。</w:t>
      </w:r>
    </w:p>
    <w:p>
      <w:pPr>
        <w:widowControl/>
        <w:shd w:val="clear" w:color="auto" w:fill="FFFFFF"/>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p>
      <w:pPr>
        <w:widowControl/>
        <w:shd w:val="clear" w:color="auto" w:fill="FFFFFF"/>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附表：统计上大中小微型企业划分标准</w:t>
      </w:r>
    </w:p>
    <w:p>
      <w:pPr>
        <w:widowControl/>
        <w:jc w:val="left"/>
        <w:rPr>
          <w:rFonts w:ascii="宋体" w:hAnsi="宋体" w:cs="宋体"/>
          <w:color w:val="000000" w:themeColor="text1"/>
          <w:kern w:val="0"/>
          <w:sz w:val="24"/>
          <w14:textFill>
            <w14:solidFill>
              <w14:schemeClr w14:val="tx1"/>
            </w14:solidFill>
          </w14:textFill>
        </w:rPr>
      </w:pPr>
    </w:p>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附表：</w:t>
      </w:r>
    </w:p>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统计上大中小微型企业划分标准</w:t>
      </w:r>
    </w:p>
    <w:tbl>
      <w:tblPr>
        <w:tblStyle w:val="1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742"/>
        <w:gridCol w:w="1462"/>
        <w:gridCol w:w="727"/>
        <w:gridCol w:w="1011"/>
        <w:gridCol w:w="1664"/>
        <w:gridCol w:w="1446"/>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行业名称</w:t>
            </w:r>
          </w:p>
        </w:tc>
        <w:tc>
          <w:tcPr>
            <w:tcW w:w="146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指标名称</w:t>
            </w:r>
          </w:p>
        </w:tc>
        <w:tc>
          <w:tcPr>
            <w:tcW w:w="727" w:type="dxa"/>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计量</w:t>
            </w:r>
          </w:p>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单位</w:t>
            </w:r>
          </w:p>
        </w:tc>
        <w:tc>
          <w:tcPr>
            <w:tcW w:w="1011"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大型</w:t>
            </w:r>
          </w:p>
        </w:tc>
        <w:tc>
          <w:tcPr>
            <w:tcW w:w="166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中型</w:t>
            </w:r>
          </w:p>
        </w:tc>
        <w:tc>
          <w:tcPr>
            <w:tcW w:w="144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小型</w:t>
            </w:r>
          </w:p>
        </w:tc>
        <w:tc>
          <w:tcPr>
            <w:tcW w:w="793"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农、林、牧、渔业</w:t>
            </w:r>
          </w:p>
        </w:tc>
        <w:tc>
          <w:tcPr>
            <w:tcW w:w="146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营业收入（Y）</w:t>
            </w:r>
          </w:p>
        </w:tc>
        <w:tc>
          <w:tcPr>
            <w:tcW w:w="727"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万元</w:t>
            </w:r>
          </w:p>
        </w:tc>
        <w:tc>
          <w:tcPr>
            <w:tcW w:w="1011"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Y≥20000</w:t>
            </w:r>
          </w:p>
        </w:tc>
        <w:tc>
          <w:tcPr>
            <w:tcW w:w="166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500≤Y＜20000</w:t>
            </w:r>
          </w:p>
        </w:tc>
        <w:tc>
          <w:tcPr>
            <w:tcW w:w="144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50≤Y＜500</w:t>
            </w:r>
          </w:p>
        </w:tc>
        <w:tc>
          <w:tcPr>
            <w:tcW w:w="793"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工业 *</w:t>
            </w:r>
          </w:p>
        </w:tc>
        <w:tc>
          <w:tcPr>
            <w:tcW w:w="146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从业人员（X）</w:t>
            </w:r>
          </w:p>
        </w:tc>
        <w:tc>
          <w:tcPr>
            <w:tcW w:w="727"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人</w:t>
            </w:r>
          </w:p>
        </w:tc>
        <w:tc>
          <w:tcPr>
            <w:tcW w:w="1011"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X≥1000</w:t>
            </w:r>
          </w:p>
        </w:tc>
        <w:tc>
          <w:tcPr>
            <w:tcW w:w="166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300≤X＜1000</w:t>
            </w:r>
          </w:p>
        </w:tc>
        <w:tc>
          <w:tcPr>
            <w:tcW w:w="144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20≤X＜300</w:t>
            </w:r>
          </w:p>
        </w:tc>
        <w:tc>
          <w:tcPr>
            <w:tcW w:w="793"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jc w:val="center"/>
              <w:rPr>
                <w:rFonts w:ascii="宋体" w:hAnsi="宋体" w:cs="宋体"/>
                <w:color w:val="000000" w:themeColor="text1"/>
                <w:kern w:val="0"/>
                <w:sz w:val="24"/>
                <w14:textFill>
                  <w14:solidFill>
                    <w14:schemeClr w14:val="tx1"/>
                  </w14:solidFill>
                </w14:textFill>
              </w:rPr>
            </w:pPr>
          </w:p>
        </w:tc>
        <w:tc>
          <w:tcPr>
            <w:tcW w:w="146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营业收入（Y）</w:t>
            </w:r>
          </w:p>
        </w:tc>
        <w:tc>
          <w:tcPr>
            <w:tcW w:w="727"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万元</w:t>
            </w:r>
          </w:p>
        </w:tc>
        <w:tc>
          <w:tcPr>
            <w:tcW w:w="1011"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Y≥40000</w:t>
            </w:r>
          </w:p>
        </w:tc>
        <w:tc>
          <w:tcPr>
            <w:tcW w:w="166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2000≤Y＜40000</w:t>
            </w:r>
          </w:p>
        </w:tc>
        <w:tc>
          <w:tcPr>
            <w:tcW w:w="144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300≤Y＜2000</w:t>
            </w:r>
          </w:p>
        </w:tc>
        <w:tc>
          <w:tcPr>
            <w:tcW w:w="793"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建筑业</w:t>
            </w:r>
          </w:p>
        </w:tc>
        <w:tc>
          <w:tcPr>
            <w:tcW w:w="146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营业收入（Y）</w:t>
            </w:r>
          </w:p>
        </w:tc>
        <w:tc>
          <w:tcPr>
            <w:tcW w:w="727"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万元</w:t>
            </w:r>
          </w:p>
        </w:tc>
        <w:tc>
          <w:tcPr>
            <w:tcW w:w="1011"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Y≥80000</w:t>
            </w:r>
          </w:p>
        </w:tc>
        <w:tc>
          <w:tcPr>
            <w:tcW w:w="166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6000≤Y＜80000</w:t>
            </w:r>
          </w:p>
        </w:tc>
        <w:tc>
          <w:tcPr>
            <w:tcW w:w="144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300≤Y＜6000</w:t>
            </w:r>
          </w:p>
        </w:tc>
        <w:tc>
          <w:tcPr>
            <w:tcW w:w="793"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jc w:val="center"/>
              <w:rPr>
                <w:rFonts w:ascii="宋体" w:hAnsi="宋体" w:cs="宋体"/>
                <w:color w:val="000000" w:themeColor="text1"/>
                <w:kern w:val="0"/>
                <w:sz w:val="24"/>
                <w14:textFill>
                  <w14:solidFill>
                    <w14:schemeClr w14:val="tx1"/>
                  </w14:solidFill>
                </w14:textFill>
              </w:rPr>
            </w:pPr>
          </w:p>
        </w:tc>
        <w:tc>
          <w:tcPr>
            <w:tcW w:w="146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资产总额（Z）</w:t>
            </w:r>
          </w:p>
        </w:tc>
        <w:tc>
          <w:tcPr>
            <w:tcW w:w="727"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万元</w:t>
            </w:r>
          </w:p>
        </w:tc>
        <w:tc>
          <w:tcPr>
            <w:tcW w:w="1011"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Z≥80000</w:t>
            </w:r>
          </w:p>
        </w:tc>
        <w:tc>
          <w:tcPr>
            <w:tcW w:w="166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5000≤Z＜80000</w:t>
            </w:r>
          </w:p>
        </w:tc>
        <w:tc>
          <w:tcPr>
            <w:tcW w:w="144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300≤Z＜5000</w:t>
            </w:r>
          </w:p>
        </w:tc>
        <w:tc>
          <w:tcPr>
            <w:tcW w:w="793"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批发业</w:t>
            </w:r>
          </w:p>
        </w:tc>
        <w:tc>
          <w:tcPr>
            <w:tcW w:w="146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从业人员（X）</w:t>
            </w:r>
          </w:p>
        </w:tc>
        <w:tc>
          <w:tcPr>
            <w:tcW w:w="727"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人</w:t>
            </w:r>
          </w:p>
        </w:tc>
        <w:tc>
          <w:tcPr>
            <w:tcW w:w="1011"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X≥200</w:t>
            </w:r>
          </w:p>
        </w:tc>
        <w:tc>
          <w:tcPr>
            <w:tcW w:w="166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20≤X＜200</w:t>
            </w:r>
          </w:p>
        </w:tc>
        <w:tc>
          <w:tcPr>
            <w:tcW w:w="144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5≤X＜20</w:t>
            </w:r>
          </w:p>
        </w:tc>
        <w:tc>
          <w:tcPr>
            <w:tcW w:w="793"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jc w:val="center"/>
              <w:rPr>
                <w:rFonts w:ascii="宋体" w:hAnsi="宋体" w:cs="宋体"/>
                <w:color w:val="000000" w:themeColor="text1"/>
                <w:kern w:val="0"/>
                <w:sz w:val="24"/>
                <w14:textFill>
                  <w14:solidFill>
                    <w14:schemeClr w14:val="tx1"/>
                  </w14:solidFill>
                </w14:textFill>
              </w:rPr>
            </w:pPr>
          </w:p>
        </w:tc>
        <w:tc>
          <w:tcPr>
            <w:tcW w:w="146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营业收入（Y）</w:t>
            </w:r>
          </w:p>
        </w:tc>
        <w:tc>
          <w:tcPr>
            <w:tcW w:w="727"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万元</w:t>
            </w:r>
          </w:p>
        </w:tc>
        <w:tc>
          <w:tcPr>
            <w:tcW w:w="1011"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Y≥40000</w:t>
            </w:r>
          </w:p>
        </w:tc>
        <w:tc>
          <w:tcPr>
            <w:tcW w:w="166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5000≤Y＜40000</w:t>
            </w:r>
          </w:p>
        </w:tc>
        <w:tc>
          <w:tcPr>
            <w:tcW w:w="144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1000≤Y＜5000</w:t>
            </w:r>
          </w:p>
        </w:tc>
        <w:tc>
          <w:tcPr>
            <w:tcW w:w="793"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零售业</w:t>
            </w:r>
          </w:p>
        </w:tc>
        <w:tc>
          <w:tcPr>
            <w:tcW w:w="146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从业人员（X）</w:t>
            </w:r>
          </w:p>
        </w:tc>
        <w:tc>
          <w:tcPr>
            <w:tcW w:w="727"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人</w:t>
            </w:r>
          </w:p>
        </w:tc>
        <w:tc>
          <w:tcPr>
            <w:tcW w:w="1011"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X≥300</w:t>
            </w:r>
          </w:p>
        </w:tc>
        <w:tc>
          <w:tcPr>
            <w:tcW w:w="166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50≤X＜300</w:t>
            </w:r>
          </w:p>
        </w:tc>
        <w:tc>
          <w:tcPr>
            <w:tcW w:w="144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10≤X＜50</w:t>
            </w:r>
          </w:p>
        </w:tc>
        <w:tc>
          <w:tcPr>
            <w:tcW w:w="793"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jc w:val="center"/>
              <w:rPr>
                <w:rFonts w:ascii="宋体" w:hAnsi="宋体" w:cs="宋体"/>
                <w:color w:val="000000" w:themeColor="text1"/>
                <w:kern w:val="0"/>
                <w:sz w:val="24"/>
                <w14:textFill>
                  <w14:solidFill>
                    <w14:schemeClr w14:val="tx1"/>
                  </w14:solidFill>
                </w14:textFill>
              </w:rPr>
            </w:pPr>
          </w:p>
        </w:tc>
        <w:tc>
          <w:tcPr>
            <w:tcW w:w="146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营业收入（Y）</w:t>
            </w:r>
          </w:p>
        </w:tc>
        <w:tc>
          <w:tcPr>
            <w:tcW w:w="727"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万元</w:t>
            </w:r>
          </w:p>
        </w:tc>
        <w:tc>
          <w:tcPr>
            <w:tcW w:w="1011"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Y≥20000</w:t>
            </w:r>
          </w:p>
        </w:tc>
        <w:tc>
          <w:tcPr>
            <w:tcW w:w="166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500≤Y＜20000</w:t>
            </w:r>
          </w:p>
        </w:tc>
        <w:tc>
          <w:tcPr>
            <w:tcW w:w="144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100≤Y＜500</w:t>
            </w:r>
          </w:p>
        </w:tc>
        <w:tc>
          <w:tcPr>
            <w:tcW w:w="793"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交通运输业 *</w:t>
            </w:r>
          </w:p>
        </w:tc>
        <w:tc>
          <w:tcPr>
            <w:tcW w:w="146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从业人员（X）</w:t>
            </w:r>
          </w:p>
        </w:tc>
        <w:tc>
          <w:tcPr>
            <w:tcW w:w="727"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人</w:t>
            </w:r>
          </w:p>
        </w:tc>
        <w:tc>
          <w:tcPr>
            <w:tcW w:w="1011"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X≥1000</w:t>
            </w:r>
          </w:p>
        </w:tc>
        <w:tc>
          <w:tcPr>
            <w:tcW w:w="166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300≤X＜1000</w:t>
            </w:r>
          </w:p>
        </w:tc>
        <w:tc>
          <w:tcPr>
            <w:tcW w:w="144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20≤X＜300</w:t>
            </w:r>
          </w:p>
        </w:tc>
        <w:tc>
          <w:tcPr>
            <w:tcW w:w="793"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jc w:val="center"/>
              <w:rPr>
                <w:rFonts w:ascii="宋体" w:hAnsi="宋体" w:cs="宋体"/>
                <w:color w:val="000000" w:themeColor="text1"/>
                <w:kern w:val="0"/>
                <w:sz w:val="24"/>
                <w14:textFill>
                  <w14:solidFill>
                    <w14:schemeClr w14:val="tx1"/>
                  </w14:solidFill>
                </w14:textFill>
              </w:rPr>
            </w:pPr>
          </w:p>
        </w:tc>
        <w:tc>
          <w:tcPr>
            <w:tcW w:w="146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营业收入（Y）</w:t>
            </w:r>
          </w:p>
        </w:tc>
        <w:tc>
          <w:tcPr>
            <w:tcW w:w="727"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万元</w:t>
            </w:r>
          </w:p>
        </w:tc>
        <w:tc>
          <w:tcPr>
            <w:tcW w:w="1011"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Y≥30000</w:t>
            </w:r>
          </w:p>
        </w:tc>
        <w:tc>
          <w:tcPr>
            <w:tcW w:w="166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3000≤Y＜30000</w:t>
            </w:r>
          </w:p>
        </w:tc>
        <w:tc>
          <w:tcPr>
            <w:tcW w:w="144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200≤Y＜3000</w:t>
            </w:r>
          </w:p>
        </w:tc>
        <w:tc>
          <w:tcPr>
            <w:tcW w:w="793"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仓储业*</w:t>
            </w:r>
          </w:p>
        </w:tc>
        <w:tc>
          <w:tcPr>
            <w:tcW w:w="146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从业人员（X）</w:t>
            </w:r>
          </w:p>
        </w:tc>
        <w:tc>
          <w:tcPr>
            <w:tcW w:w="727"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人</w:t>
            </w:r>
          </w:p>
        </w:tc>
        <w:tc>
          <w:tcPr>
            <w:tcW w:w="1011"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X≥200</w:t>
            </w:r>
          </w:p>
        </w:tc>
        <w:tc>
          <w:tcPr>
            <w:tcW w:w="166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100≤X＜200</w:t>
            </w:r>
          </w:p>
        </w:tc>
        <w:tc>
          <w:tcPr>
            <w:tcW w:w="144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20≤X＜100</w:t>
            </w:r>
          </w:p>
        </w:tc>
        <w:tc>
          <w:tcPr>
            <w:tcW w:w="793"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jc w:val="center"/>
              <w:rPr>
                <w:rFonts w:ascii="宋体" w:hAnsi="宋体" w:cs="宋体"/>
                <w:color w:val="000000" w:themeColor="text1"/>
                <w:kern w:val="0"/>
                <w:sz w:val="24"/>
                <w14:textFill>
                  <w14:solidFill>
                    <w14:schemeClr w14:val="tx1"/>
                  </w14:solidFill>
                </w14:textFill>
              </w:rPr>
            </w:pPr>
          </w:p>
        </w:tc>
        <w:tc>
          <w:tcPr>
            <w:tcW w:w="146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营业收入（Y）</w:t>
            </w:r>
          </w:p>
        </w:tc>
        <w:tc>
          <w:tcPr>
            <w:tcW w:w="727"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万元</w:t>
            </w:r>
          </w:p>
        </w:tc>
        <w:tc>
          <w:tcPr>
            <w:tcW w:w="1011"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Y≥30000</w:t>
            </w:r>
          </w:p>
        </w:tc>
        <w:tc>
          <w:tcPr>
            <w:tcW w:w="166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1000≤Y＜30000</w:t>
            </w:r>
          </w:p>
        </w:tc>
        <w:tc>
          <w:tcPr>
            <w:tcW w:w="144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100≤Y＜1000</w:t>
            </w:r>
          </w:p>
        </w:tc>
        <w:tc>
          <w:tcPr>
            <w:tcW w:w="793"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邮政业</w:t>
            </w:r>
          </w:p>
        </w:tc>
        <w:tc>
          <w:tcPr>
            <w:tcW w:w="146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从业人员（X）</w:t>
            </w:r>
          </w:p>
        </w:tc>
        <w:tc>
          <w:tcPr>
            <w:tcW w:w="727"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人</w:t>
            </w:r>
          </w:p>
        </w:tc>
        <w:tc>
          <w:tcPr>
            <w:tcW w:w="1011"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X≥1000</w:t>
            </w:r>
          </w:p>
        </w:tc>
        <w:tc>
          <w:tcPr>
            <w:tcW w:w="166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300≤X＜1000</w:t>
            </w:r>
          </w:p>
        </w:tc>
        <w:tc>
          <w:tcPr>
            <w:tcW w:w="144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20≤X＜300</w:t>
            </w:r>
          </w:p>
        </w:tc>
        <w:tc>
          <w:tcPr>
            <w:tcW w:w="793"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jc w:val="center"/>
              <w:rPr>
                <w:rFonts w:ascii="宋体" w:hAnsi="宋体" w:cs="宋体"/>
                <w:color w:val="000000" w:themeColor="text1"/>
                <w:kern w:val="0"/>
                <w:sz w:val="24"/>
                <w14:textFill>
                  <w14:solidFill>
                    <w14:schemeClr w14:val="tx1"/>
                  </w14:solidFill>
                </w14:textFill>
              </w:rPr>
            </w:pPr>
          </w:p>
        </w:tc>
        <w:tc>
          <w:tcPr>
            <w:tcW w:w="146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营业收入（Y）</w:t>
            </w:r>
          </w:p>
        </w:tc>
        <w:tc>
          <w:tcPr>
            <w:tcW w:w="727"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万元</w:t>
            </w:r>
          </w:p>
        </w:tc>
        <w:tc>
          <w:tcPr>
            <w:tcW w:w="1011"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Y≥30000</w:t>
            </w:r>
          </w:p>
        </w:tc>
        <w:tc>
          <w:tcPr>
            <w:tcW w:w="166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2000≤Y＜30000</w:t>
            </w:r>
          </w:p>
        </w:tc>
        <w:tc>
          <w:tcPr>
            <w:tcW w:w="144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100≤Y＜2000</w:t>
            </w:r>
          </w:p>
        </w:tc>
        <w:tc>
          <w:tcPr>
            <w:tcW w:w="793"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住宿业</w:t>
            </w:r>
          </w:p>
        </w:tc>
        <w:tc>
          <w:tcPr>
            <w:tcW w:w="146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从业人员（X）</w:t>
            </w:r>
          </w:p>
        </w:tc>
        <w:tc>
          <w:tcPr>
            <w:tcW w:w="727"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人</w:t>
            </w:r>
          </w:p>
        </w:tc>
        <w:tc>
          <w:tcPr>
            <w:tcW w:w="1011"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X≥300</w:t>
            </w:r>
          </w:p>
        </w:tc>
        <w:tc>
          <w:tcPr>
            <w:tcW w:w="166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100≤X＜300</w:t>
            </w:r>
          </w:p>
        </w:tc>
        <w:tc>
          <w:tcPr>
            <w:tcW w:w="144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10≤X＜100</w:t>
            </w:r>
          </w:p>
        </w:tc>
        <w:tc>
          <w:tcPr>
            <w:tcW w:w="793"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jc w:val="center"/>
              <w:rPr>
                <w:rFonts w:ascii="宋体" w:hAnsi="宋体" w:cs="宋体"/>
                <w:color w:val="000000" w:themeColor="text1"/>
                <w:kern w:val="0"/>
                <w:sz w:val="24"/>
                <w14:textFill>
                  <w14:solidFill>
                    <w14:schemeClr w14:val="tx1"/>
                  </w14:solidFill>
                </w14:textFill>
              </w:rPr>
            </w:pPr>
          </w:p>
        </w:tc>
        <w:tc>
          <w:tcPr>
            <w:tcW w:w="146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营业收入（Y）</w:t>
            </w:r>
          </w:p>
        </w:tc>
        <w:tc>
          <w:tcPr>
            <w:tcW w:w="727"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万元</w:t>
            </w:r>
          </w:p>
        </w:tc>
        <w:tc>
          <w:tcPr>
            <w:tcW w:w="1011"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Y≥10000</w:t>
            </w:r>
          </w:p>
        </w:tc>
        <w:tc>
          <w:tcPr>
            <w:tcW w:w="166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2000≤Y＜10000</w:t>
            </w:r>
          </w:p>
        </w:tc>
        <w:tc>
          <w:tcPr>
            <w:tcW w:w="144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100≤Y＜2000</w:t>
            </w:r>
          </w:p>
        </w:tc>
        <w:tc>
          <w:tcPr>
            <w:tcW w:w="793"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餐饮业</w:t>
            </w:r>
          </w:p>
        </w:tc>
        <w:tc>
          <w:tcPr>
            <w:tcW w:w="146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从业人员（X）</w:t>
            </w:r>
          </w:p>
        </w:tc>
        <w:tc>
          <w:tcPr>
            <w:tcW w:w="727"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人</w:t>
            </w:r>
          </w:p>
        </w:tc>
        <w:tc>
          <w:tcPr>
            <w:tcW w:w="1011"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X≥300</w:t>
            </w:r>
          </w:p>
        </w:tc>
        <w:tc>
          <w:tcPr>
            <w:tcW w:w="166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100≤X＜300</w:t>
            </w:r>
          </w:p>
        </w:tc>
        <w:tc>
          <w:tcPr>
            <w:tcW w:w="144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10≤X＜100</w:t>
            </w:r>
          </w:p>
        </w:tc>
        <w:tc>
          <w:tcPr>
            <w:tcW w:w="793"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jc w:val="center"/>
              <w:rPr>
                <w:rFonts w:ascii="宋体" w:hAnsi="宋体" w:cs="宋体"/>
                <w:color w:val="000000" w:themeColor="text1"/>
                <w:kern w:val="0"/>
                <w:sz w:val="24"/>
                <w14:textFill>
                  <w14:solidFill>
                    <w14:schemeClr w14:val="tx1"/>
                  </w14:solidFill>
                </w14:textFill>
              </w:rPr>
            </w:pPr>
          </w:p>
        </w:tc>
        <w:tc>
          <w:tcPr>
            <w:tcW w:w="146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营业收入（Y）</w:t>
            </w:r>
          </w:p>
        </w:tc>
        <w:tc>
          <w:tcPr>
            <w:tcW w:w="727"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万元</w:t>
            </w:r>
          </w:p>
        </w:tc>
        <w:tc>
          <w:tcPr>
            <w:tcW w:w="1011"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Y≥10000</w:t>
            </w:r>
          </w:p>
        </w:tc>
        <w:tc>
          <w:tcPr>
            <w:tcW w:w="166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2000≤Y＜10000</w:t>
            </w:r>
          </w:p>
        </w:tc>
        <w:tc>
          <w:tcPr>
            <w:tcW w:w="144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100≤Y＜2000</w:t>
            </w:r>
          </w:p>
        </w:tc>
        <w:tc>
          <w:tcPr>
            <w:tcW w:w="793"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信息传输业 *</w:t>
            </w:r>
          </w:p>
        </w:tc>
        <w:tc>
          <w:tcPr>
            <w:tcW w:w="146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从业人员（X）</w:t>
            </w:r>
          </w:p>
        </w:tc>
        <w:tc>
          <w:tcPr>
            <w:tcW w:w="727"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人</w:t>
            </w:r>
          </w:p>
        </w:tc>
        <w:tc>
          <w:tcPr>
            <w:tcW w:w="1011"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X≥2000</w:t>
            </w:r>
          </w:p>
        </w:tc>
        <w:tc>
          <w:tcPr>
            <w:tcW w:w="166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100≤X＜2000</w:t>
            </w:r>
          </w:p>
        </w:tc>
        <w:tc>
          <w:tcPr>
            <w:tcW w:w="144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10≤X＜100</w:t>
            </w:r>
          </w:p>
        </w:tc>
        <w:tc>
          <w:tcPr>
            <w:tcW w:w="793"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jc w:val="center"/>
              <w:rPr>
                <w:rFonts w:ascii="宋体" w:hAnsi="宋体" w:cs="宋体"/>
                <w:color w:val="000000" w:themeColor="text1"/>
                <w:kern w:val="0"/>
                <w:sz w:val="24"/>
                <w14:textFill>
                  <w14:solidFill>
                    <w14:schemeClr w14:val="tx1"/>
                  </w14:solidFill>
                </w14:textFill>
              </w:rPr>
            </w:pPr>
          </w:p>
        </w:tc>
        <w:tc>
          <w:tcPr>
            <w:tcW w:w="146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营业收入（Y）</w:t>
            </w:r>
          </w:p>
        </w:tc>
        <w:tc>
          <w:tcPr>
            <w:tcW w:w="727"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万元</w:t>
            </w:r>
          </w:p>
        </w:tc>
        <w:tc>
          <w:tcPr>
            <w:tcW w:w="1011"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Y≥100000</w:t>
            </w:r>
          </w:p>
        </w:tc>
        <w:tc>
          <w:tcPr>
            <w:tcW w:w="166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1000≤Y＜100000</w:t>
            </w:r>
          </w:p>
        </w:tc>
        <w:tc>
          <w:tcPr>
            <w:tcW w:w="144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100≤Y＜1000</w:t>
            </w:r>
          </w:p>
        </w:tc>
        <w:tc>
          <w:tcPr>
            <w:tcW w:w="793"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软件和信息技术服务业</w:t>
            </w:r>
          </w:p>
        </w:tc>
        <w:tc>
          <w:tcPr>
            <w:tcW w:w="146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从业人员（X）</w:t>
            </w:r>
          </w:p>
        </w:tc>
        <w:tc>
          <w:tcPr>
            <w:tcW w:w="727"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人</w:t>
            </w:r>
          </w:p>
        </w:tc>
        <w:tc>
          <w:tcPr>
            <w:tcW w:w="1011"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X≥300</w:t>
            </w:r>
          </w:p>
        </w:tc>
        <w:tc>
          <w:tcPr>
            <w:tcW w:w="166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100≤X＜300</w:t>
            </w:r>
          </w:p>
        </w:tc>
        <w:tc>
          <w:tcPr>
            <w:tcW w:w="144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10≤X＜100</w:t>
            </w:r>
          </w:p>
        </w:tc>
        <w:tc>
          <w:tcPr>
            <w:tcW w:w="793"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jc w:val="center"/>
              <w:rPr>
                <w:rFonts w:ascii="宋体" w:hAnsi="宋体" w:cs="宋体"/>
                <w:color w:val="000000" w:themeColor="text1"/>
                <w:kern w:val="0"/>
                <w:sz w:val="24"/>
                <w14:textFill>
                  <w14:solidFill>
                    <w14:schemeClr w14:val="tx1"/>
                  </w14:solidFill>
                </w14:textFill>
              </w:rPr>
            </w:pPr>
          </w:p>
        </w:tc>
        <w:tc>
          <w:tcPr>
            <w:tcW w:w="146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营业收入（Y）</w:t>
            </w:r>
          </w:p>
        </w:tc>
        <w:tc>
          <w:tcPr>
            <w:tcW w:w="727"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万元</w:t>
            </w:r>
          </w:p>
        </w:tc>
        <w:tc>
          <w:tcPr>
            <w:tcW w:w="1011"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Y≥10000</w:t>
            </w:r>
          </w:p>
        </w:tc>
        <w:tc>
          <w:tcPr>
            <w:tcW w:w="166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1000≤Y＜10000</w:t>
            </w:r>
          </w:p>
        </w:tc>
        <w:tc>
          <w:tcPr>
            <w:tcW w:w="144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50≤Y＜1000</w:t>
            </w:r>
          </w:p>
        </w:tc>
        <w:tc>
          <w:tcPr>
            <w:tcW w:w="793"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房地产开发经营</w:t>
            </w:r>
          </w:p>
        </w:tc>
        <w:tc>
          <w:tcPr>
            <w:tcW w:w="146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营业收入（Y）</w:t>
            </w:r>
          </w:p>
        </w:tc>
        <w:tc>
          <w:tcPr>
            <w:tcW w:w="727"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万元</w:t>
            </w:r>
          </w:p>
        </w:tc>
        <w:tc>
          <w:tcPr>
            <w:tcW w:w="1011"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Y≥200000</w:t>
            </w:r>
          </w:p>
        </w:tc>
        <w:tc>
          <w:tcPr>
            <w:tcW w:w="166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1000≤Y＜200000</w:t>
            </w:r>
          </w:p>
        </w:tc>
        <w:tc>
          <w:tcPr>
            <w:tcW w:w="144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100≤Y＜1000</w:t>
            </w:r>
          </w:p>
        </w:tc>
        <w:tc>
          <w:tcPr>
            <w:tcW w:w="793"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jc w:val="center"/>
              <w:rPr>
                <w:rFonts w:ascii="宋体" w:hAnsi="宋体" w:cs="宋体"/>
                <w:color w:val="000000" w:themeColor="text1"/>
                <w:kern w:val="0"/>
                <w:sz w:val="24"/>
                <w14:textFill>
                  <w14:solidFill>
                    <w14:schemeClr w14:val="tx1"/>
                  </w14:solidFill>
                </w14:textFill>
              </w:rPr>
            </w:pPr>
          </w:p>
        </w:tc>
        <w:tc>
          <w:tcPr>
            <w:tcW w:w="146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资产总额（Z）</w:t>
            </w:r>
          </w:p>
        </w:tc>
        <w:tc>
          <w:tcPr>
            <w:tcW w:w="727"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万元</w:t>
            </w:r>
          </w:p>
        </w:tc>
        <w:tc>
          <w:tcPr>
            <w:tcW w:w="1011"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Z≥10000</w:t>
            </w:r>
          </w:p>
        </w:tc>
        <w:tc>
          <w:tcPr>
            <w:tcW w:w="166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5000≤Z＜10000</w:t>
            </w:r>
          </w:p>
        </w:tc>
        <w:tc>
          <w:tcPr>
            <w:tcW w:w="144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2000≤Z＜5000</w:t>
            </w:r>
          </w:p>
        </w:tc>
        <w:tc>
          <w:tcPr>
            <w:tcW w:w="793"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物业管理</w:t>
            </w:r>
          </w:p>
        </w:tc>
        <w:tc>
          <w:tcPr>
            <w:tcW w:w="146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从业人员（X）</w:t>
            </w:r>
          </w:p>
        </w:tc>
        <w:tc>
          <w:tcPr>
            <w:tcW w:w="727"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人</w:t>
            </w:r>
          </w:p>
        </w:tc>
        <w:tc>
          <w:tcPr>
            <w:tcW w:w="1011"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X≥1000</w:t>
            </w:r>
          </w:p>
        </w:tc>
        <w:tc>
          <w:tcPr>
            <w:tcW w:w="166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300≤X＜1000</w:t>
            </w:r>
          </w:p>
        </w:tc>
        <w:tc>
          <w:tcPr>
            <w:tcW w:w="144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100≤X＜300</w:t>
            </w:r>
          </w:p>
        </w:tc>
        <w:tc>
          <w:tcPr>
            <w:tcW w:w="793"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jc w:val="center"/>
              <w:rPr>
                <w:rFonts w:ascii="宋体" w:hAnsi="宋体" w:cs="宋体"/>
                <w:color w:val="000000" w:themeColor="text1"/>
                <w:kern w:val="0"/>
                <w:sz w:val="24"/>
                <w14:textFill>
                  <w14:solidFill>
                    <w14:schemeClr w14:val="tx1"/>
                  </w14:solidFill>
                </w14:textFill>
              </w:rPr>
            </w:pPr>
          </w:p>
        </w:tc>
        <w:tc>
          <w:tcPr>
            <w:tcW w:w="146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营业收入（Y）</w:t>
            </w:r>
          </w:p>
        </w:tc>
        <w:tc>
          <w:tcPr>
            <w:tcW w:w="727"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万元</w:t>
            </w:r>
          </w:p>
        </w:tc>
        <w:tc>
          <w:tcPr>
            <w:tcW w:w="1011"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Y≥5000</w:t>
            </w:r>
          </w:p>
        </w:tc>
        <w:tc>
          <w:tcPr>
            <w:tcW w:w="166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1000≤Y＜5000</w:t>
            </w:r>
          </w:p>
        </w:tc>
        <w:tc>
          <w:tcPr>
            <w:tcW w:w="144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500≤Y＜1000</w:t>
            </w:r>
          </w:p>
        </w:tc>
        <w:tc>
          <w:tcPr>
            <w:tcW w:w="793"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租赁和商务服务业</w:t>
            </w:r>
          </w:p>
        </w:tc>
        <w:tc>
          <w:tcPr>
            <w:tcW w:w="146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从业人员（X）</w:t>
            </w:r>
          </w:p>
        </w:tc>
        <w:tc>
          <w:tcPr>
            <w:tcW w:w="727"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人</w:t>
            </w:r>
          </w:p>
        </w:tc>
        <w:tc>
          <w:tcPr>
            <w:tcW w:w="1011"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X≥300</w:t>
            </w:r>
          </w:p>
        </w:tc>
        <w:tc>
          <w:tcPr>
            <w:tcW w:w="166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100≤X＜300</w:t>
            </w:r>
          </w:p>
        </w:tc>
        <w:tc>
          <w:tcPr>
            <w:tcW w:w="144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10≤X＜100</w:t>
            </w:r>
          </w:p>
        </w:tc>
        <w:tc>
          <w:tcPr>
            <w:tcW w:w="793"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jc w:val="center"/>
              <w:rPr>
                <w:rFonts w:ascii="宋体" w:hAnsi="宋体" w:cs="宋体"/>
                <w:color w:val="000000" w:themeColor="text1"/>
                <w:kern w:val="0"/>
                <w:sz w:val="24"/>
                <w14:textFill>
                  <w14:solidFill>
                    <w14:schemeClr w14:val="tx1"/>
                  </w14:solidFill>
                </w14:textFill>
              </w:rPr>
            </w:pPr>
          </w:p>
        </w:tc>
        <w:tc>
          <w:tcPr>
            <w:tcW w:w="146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资产总额（Z）</w:t>
            </w:r>
          </w:p>
        </w:tc>
        <w:tc>
          <w:tcPr>
            <w:tcW w:w="727"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万元</w:t>
            </w:r>
          </w:p>
        </w:tc>
        <w:tc>
          <w:tcPr>
            <w:tcW w:w="1011"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Z≥120000</w:t>
            </w:r>
          </w:p>
        </w:tc>
        <w:tc>
          <w:tcPr>
            <w:tcW w:w="166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8000≤Z＜120000</w:t>
            </w:r>
          </w:p>
        </w:tc>
        <w:tc>
          <w:tcPr>
            <w:tcW w:w="144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100≤Z＜8000</w:t>
            </w:r>
          </w:p>
        </w:tc>
        <w:tc>
          <w:tcPr>
            <w:tcW w:w="793"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其他未列明行业 *</w:t>
            </w:r>
          </w:p>
        </w:tc>
        <w:tc>
          <w:tcPr>
            <w:tcW w:w="146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从业人员（X）</w:t>
            </w:r>
          </w:p>
        </w:tc>
        <w:tc>
          <w:tcPr>
            <w:tcW w:w="727"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人</w:t>
            </w:r>
          </w:p>
        </w:tc>
        <w:tc>
          <w:tcPr>
            <w:tcW w:w="1011"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X≥300</w:t>
            </w:r>
          </w:p>
        </w:tc>
        <w:tc>
          <w:tcPr>
            <w:tcW w:w="1664"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100≤X＜300</w:t>
            </w:r>
          </w:p>
        </w:tc>
        <w:tc>
          <w:tcPr>
            <w:tcW w:w="144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10≤X＜100</w:t>
            </w:r>
          </w:p>
        </w:tc>
        <w:tc>
          <w:tcPr>
            <w:tcW w:w="793"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X＜10</w:t>
            </w:r>
          </w:p>
        </w:tc>
      </w:tr>
    </w:tbl>
    <w:p>
      <w:pPr>
        <w:widowControl/>
        <w:shd w:val="clear" w:color="auto" w:fill="FFFFFF"/>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说明：</w:t>
      </w:r>
    </w:p>
    <w:p>
      <w:pPr>
        <w:widowControl/>
        <w:shd w:val="clear" w:color="auto" w:fill="FFFFFF"/>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1.大型、中型和小型企业须同时满足所列指标的下限，否则下划一档；微型企业只需满足所列指标中的一项即可。</w:t>
      </w:r>
    </w:p>
    <w:p>
      <w:pPr>
        <w:widowControl/>
        <w:shd w:val="clear" w:color="auto" w:fill="FFFFFF"/>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hd w:val="clear" w:color="auto" w:fill="FFFFFF"/>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pStyle w:val="5"/>
        <w:tabs>
          <w:tab w:val="left" w:pos="562"/>
          <w:tab w:val="left" w:pos="3372"/>
          <w:tab w:val="left" w:pos="3653"/>
        </w:tabs>
        <w:rPr>
          <w:rFonts w:ascii="宋体" w:hAnsi="宋体" w:cs="宋体"/>
          <w:color w:val="000000" w:themeColor="text1"/>
          <w14:textFill>
            <w14:solidFill>
              <w14:schemeClr w14:val="tx1"/>
            </w14:solidFill>
          </w14:textFill>
        </w:rPr>
      </w:pPr>
    </w:p>
    <w:p>
      <w:pPr>
        <w:pStyle w:val="15"/>
        <w:outlineLvl w:val="9"/>
        <w:rPr>
          <w:rFonts w:ascii="宋体" w:hAnsi="宋体" w:eastAsia="宋体" w:cs="宋体"/>
          <w:color w:val="000000" w:themeColor="text1"/>
          <w:sz w:val="24"/>
          <w:szCs w:val="24"/>
          <w14:textFill>
            <w14:solidFill>
              <w14:schemeClr w14:val="tx1"/>
            </w14:solidFill>
          </w14:textFill>
        </w:rPr>
      </w:pPr>
    </w:p>
    <w:p>
      <w:pPr>
        <w:tabs>
          <w:tab w:val="left" w:pos="360"/>
        </w:tabs>
        <w:outlineLvl w:val="1"/>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br w:type="page"/>
      </w:r>
      <w:r>
        <w:rPr>
          <w:rFonts w:hint="eastAsia" w:ascii="宋体" w:hAnsi="宋体" w:cs="宋体"/>
          <w:b/>
          <w:bCs/>
          <w:color w:val="000000" w:themeColor="text1"/>
          <w:sz w:val="24"/>
          <w14:textFill>
            <w14:solidFill>
              <w14:schemeClr w14:val="tx1"/>
            </w14:solidFill>
          </w14:textFill>
        </w:rPr>
        <w:t>4、财政部、民政部、中国残联《关于促进残疾人就业政府采购政策的通知》（财库〔2017〕141 号）</w:t>
      </w:r>
    </w:p>
    <w:p>
      <w:pPr>
        <w:shd w:val="clear" w:color="auto" w:fill="FFFFFF"/>
        <w:rPr>
          <w:rFonts w:ascii="宋体" w:hAnsi="宋体" w:cs="宋体"/>
          <w:bCs/>
          <w:color w:val="000000" w:themeColor="text1"/>
          <w:sz w:val="24"/>
          <w14:textFill>
            <w14:solidFill>
              <w14:schemeClr w14:val="tx1"/>
            </w14:solidFill>
          </w14:textFill>
        </w:rPr>
      </w:pPr>
    </w:p>
    <w:p>
      <w:pPr>
        <w:shd w:val="clear" w:color="auto" w:fill="FFFFFF"/>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关于促进残疾人就业政府采购政策的通知</w:t>
      </w:r>
    </w:p>
    <w:p>
      <w:pPr>
        <w:pStyle w:val="14"/>
        <w:shd w:val="clear" w:color="auto" w:fill="FFFFFF"/>
        <w:spacing w:before="0" w:beforeAutospacing="0" w:after="0" w:afterAutospacing="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w:t>
      </w:r>
      <w:bookmarkStart w:id="28" w:name="sendNo"/>
      <w:r>
        <w:rPr>
          <w:rFonts w:hint="eastAsia"/>
          <w:color w:val="000000" w:themeColor="text1"/>
          <w14:textFill>
            <w14:solidFill>
              <w14:schemeClr w14:val="tx1"/>
            </w14:solidFill>
          </w14:textFill>
        </w:rPr>
        <w:t>财库〔</w:t>
      </w:r>
      <w:bookmarkEnd w:id="28"/>
      <w:r>
        <w:rPr>
          <w:rFonts w:hint="eastAsia"/>
          <w:color w:val="000000" w:themeColor="text1"/>
          <w14:textFill>
            <w14:solidFill>
              <w14:schemeClr w14:val="tx1"/>
            </w14:solidFill>
          </w14:textFill>
        </w:rPr>
        <w:t>2017〕141号</w:t>
      </w:r>
    </w:p>
    <w:p>
      <w:pPr>
        <w:pStyle w:val="14"/>
        <w:shd w:val="clear" w:color="auto" w:fill="FFFFFF"/>
        <w:spacing w:before="0" w:beforeAutospacing="0" w:after="0" w:afterAutospacing="0"/>
        <w:ind w:firstLine="480" w:firstLineChars="200"/>
        <w:rPr>
          <w:color w:val="000000" w:themeColor="text1"/>
          <w14:textFill>
            <w14:solidFill>
              <w14:schemeClr w14:val="tx1"/>
            </w14:solidFill>
          </w14:textFill>
        </w:rPr>
      </w:pPr>
      <w:bookmarkStart w:id="29" w:name="toDeptId"/>
      <w:r>
        <w:rPr>
          <w:rFonts w:hint="eastAsia"/>
          <w:color w:val="000000" w:themeColor="text1"/>
          <w14:textFill>
            <w14:solidFill>
              <w14:schemeClr w14:val="tx1"/>
            </w14:solidFill>
          </w14:textFill>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bookmarkEnd w:id="29"/>
      <w:r>
        <w:rPr>
          <w:rFonts w:hint="eastAsia"/>
          <w:color w:val="000000" w:themeColor="text1"/>
          <w14:textFill>
            <w14:solidFill>
              <w14:schemeClr w14:val="tx1"/>
            </w14:solidFill>
          </w14:textFill>
        </w:rPr>
        <w:t>：</w:t>
      </w:r>
    </w:p>
    <w:p>
      <w:pPr>
        <w:pStyle w:val="14"/>
        <w:shd w:val="clear" w:color="auto" w:fill="FFFFFF"/>
        <w:spacing w:before="0" w:beforeAutospacing="0" w:after="0" w:afterAutospacing="0"/>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为了发挥政府采购促进残疾人就业的作用，进一步保障残疾人权益，依照《政府采购法》《残疾人保障法》等法律法规及相关规定，现就促进残疾人就业政府采购政策通知如下：</w:t>
      </w:r>
    </w:p>
    <w:p>
      <w:pPr>
        <w:pStyle w:val="14"/>
        <w:shd w:val="clear" w:color="auto" w:fill="FFFFFF"/>
        <w:spacing w:before="0" w:beforeAutospacing="0" w:after="0" w:afterAutospacing="0"/>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一、享受政府采购支持政策的残疾人福利性单位应当同时满足以下条件：</w:t>
      </w:r>
    </w:p>
    <w:p>
      <w:pPr>
        <w:pStyle w:val="14"/>
        <w:shd w:val="clear" w:color="auto" w:fill="FFFFFF"/>
        <w:spacing w:before="0" w:beforeAutospacing="0" w:after="0" w:afterAutospacing="0"/>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（一）安置的残疾人占本单位在职职工人数的比例不低于25%（含25%），并且安置的残疾人人数不少于10人（含10人）；</w:t>
      </w:r>
    </w:p>
    <w:p>
      <w:pPr>
        <w:pStyle w:val="14"/>
        <w:shd w:val="clear" w:color="auto" w:fill="FFFFFF"/>
        <w:spacing w:before="0" w:beforeAutospacing="0" w:after="0" w:afterAutospacing="0"/>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（二）依法与安置的每位残疾人签订了一年以上（含一年）的劳动合同或服务协议；</w:t>
      </w:r>
    </w:p>
    <w:p>
      <w:pPr>
        <w:pStyle w:val="14"/>
        <w:shd w:val="clear" w:color="auto" w:fill="FFFFFF"/>
        <w:spacing w:before="0" w:beforeAutospacing="0" w:after="0" w:afterAutospacing="0"/>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（三）为安置的每位残疾人按月足额缴纳了基本养老保险、基本医疗保险、失业保险、工伤保险和生育保险等社会保险费；</w:t>
      </w:r>
    </w:p>
    <w:p>
      <w:pPr>
        <w:pStyle w:val="14"/>
        <w:shd w:val="clear" w:color="auto" w:fill="FFFFFF"/>
        <w:spacing w:before="0" w:beforeAutospacing="0" w:after="0" w:afterAutospacing="0"/>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（四）通过银行等金融机构向安置的每位残疾人，按月支付了不低于单位所在区县适用的经省级人民政府批准的月最低工资标准的工资；</w:t>
      </w:r>
    </w:p>
    <w:p>
      <w:pPr>
        <w:pStyle w:val="14"/>
        <w:shd w:val="clear" w:color="auto" w:fill="FFFFFF"/>
        <w:spacing w:before="0" w:beforeAutospacing="0" w:after="0" w:afterAutospacing="0"/>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（五）提供本单位制造的货物、承担的工程或者服务（以下简称产品），或者提供其他残疾人福利性单位制造的货物（不包括使用非残疾人福利性单位注册商标的货物）。</w:t>
      </w:r>
    </w:p>
    <w:p>
      <w:pPr>
        <w:pStyle w:val="14"/>
        <w:shd w:val="clear" w:color="auto" w:fill="FFFFFF"/>
        <w:spacing w:before="0" w:beforeAutospacing="0" w:after="0" w:afterAutospacing="0"/>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14"/>
        <w:shd w:val="clear" w:color="auto" w:fill="FFFFFF"/>
        <w:spacing w:before="0" w:beforeAutospacing="0" w:after="0" w:afterAutospacing="0"/>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pStyle w:val="14"/>
        <w:shd w:val="clear" w:color="auto" w:fill="FFFFFF"/>
        <w:spacing w:before="0" w:beforeAutospacing="0" w:after="0" w:afterAutospacing="0"/>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中标、成交供应商为残疾人福利性单位的，采购人或者其委托的采购代理机构应当随中标、成交结果同时公告其《残疾人福利性单位声明函》，接受社会监督。</w:t>
      </w:r>
    </w:p>
    <w:p>
      <w:pPr>
        <w:pStyle w:val="14"/>
        <w:shd w:val="clear" w:color="auto" w:fill="FFFFFF"/>
        <w:spacing w:before="0" w:beforeAutospacing="0" w:after="0" w:afterAutospacing="0"/>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供应商提供的《残疾人福利性单位声明函》与事实不符的，依照《政府采购法》第七十七条第一款的规定追究法律责任。</w:t>
      </w:r>
    </w:p>
    <w:p>
      <w:pPr>
        <w:pStyle w:val="14"/>
        <w:shd w:val="clear" w:color="auto" w:fill="FFFFFF"/>
        <w:spacing w:before="0" w:beforeAutospacing="0" w:after="0" w:afterAutospacing="0"/>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三、在政府采购活动中，残疾人福利性单位视同小型、微型企业，享受预留份额、评审价格扣除等促进中小企业发展的政府采购政策。向残疾人福利性单位采购的金额，计入面向中小企业采购的统计数据。残疾人福利性单位属于小型、微型企业的，不重复享受政策。</w:t>
      </w:r>
    </w:p>
    <w:p>
      <w:pPr>
        <w:pStyle w:val="14"/>
        <w:shd w:val="clear" w:color="auto" w:fill="FFFFFF"/>
        <w:spacing w:before="0" w:beforeAutospacing="0" w:after="0" w:afterAutospacing="0"/>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四、采购人采购公开招标数额标准以上的货物或者服务，因落实促进残疾人就业政策的需要，依法履行有关报批程序后，可采用公开招标以外的采购方式。</w:t>
      </w:r>
    </w:p>
    <w:p>
      <w:pPr>
        <w:pStyle w:val="14"/>
        <w:shd w:val="clear" w:color="auto" w:fill="FFFFFF"/>
        <w:spacing w:before="0" w:beforeAutospacing="0" w:after="0" w:afterAutospacing="0" w:line="560" w:lineRule="exac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pStyle w:val="14"/>
        <w:shd w:val="clear" w:color="auto" w:fill="FFFFFF"/>
        <w:spacing w:before="0" w:beforeAutospacing="0" w:after="0" w:afterAutospacing="0" w:line="560" w:lineRule="exac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pStyle w:val="14"/>
        <w:shd w:val="clear" w:color="auto" w:fill="FFFFFF"/>
        <w:spacing w:before="0" w:beforeAutospacing="0" w:after="0" w:afterAutospacing="0" w:line="560" w:lineRule="exac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七、本通知自2017年10月1日起执行。</w:t>
      </w:r>
    </w:p>
    <w:p>
      <w:pPr>
        <w:pStyle w:val="14"/>
        <w:shd w:val="clear" w:color="auto" w:fill="FFFFFF"/>
        <w:spacing w:before="0" w:beforeAutospacing="0" w:after="0" w:afterAutospacing="0" w:line="560" w:lineRule="exact"/>
        <w:ind w:firstLine="480" w:firstLineChars="200"/>
        <w:jc w:val="right"/>
        <w:rPr>
          <w:color w:val="000000" w:themeColor="text1"/>
          <w14:textFill>
            <w14:solidFill>
              <w14:schemeClr w14:val="tx1"/>
            </w14:solidFill>
          </w14:textFill>
        </w:rPr>
      </w:pPr>
      <w:r>
        <w:rPr>
          <w:rFonts w:hint="eastAsia"/>
          <w:color w:val="000000" w:themeColor="text1"/>
          <w14:textFill>
            <w14:solidFill>
              <w14:schemeClr w14:val="tx1"/>
            </w14:solidFill>
          </w14:textFill>
        </w:rPr>
        <w:t>财政部 民政部 中国残疾人联合会</w:t>
      </w:r>
    </w:p>
    <w:p>
      <w:pPr>
        <w:pStyle w:val="14"/>
        <w:shd w:val="clear" w:color="auto" w:fill="FFFFFF"/>
        <w:spacing w:before="0" w:beforeAutospacing="0" w:after="0" w:afterAutospacing="0" w:line="560" w:lineRule="exact"/>
        <w:ind w:firstLine="480" w:firstLineChars="200"/>
        <w:jc w:val="right"/>
        <w:rPr>
          <w:color w:val="000000" w:themeColor="text1"/>
          <w14:textFill>
            <w14:solidFill>
              <w14:schemeClr w14:val="tx1"/>
            </w14:solidFill>
          </w14:textFill>
        </w:rPr>
      </w:pPr>
      <w:r>
        <w:rPr>
          <w:rFonts w:hint="eastAsia"/>
          <w:color w:val="000000" w:themeColor="text1"/>
          <w14:textFill>
            <w14:solidFill>
              <w14:schemeClr w14:val="tx1"/>
            </w14:solidFill>
          </w14:textFill>
        </w:rPr>
        <w:t>2017年8月22日</w:t>
      </w:r>
    </w:p>
    <w:p>
      <w:pPr>
        <w:pStyle w:val="26"/>
        <w:shd w:val="clear" w:color="auto" w:fill="FFFFFF"/>
        <w:spacing w:before="0" w:beforeAutospacing="0" w:after="0" w:afterAutospacing="0" w:line="560" w:lineRule="exact"/>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附件：</w:t>
      </w:r>
    </w:p>
    <w:p>
      <w:pPr>
        <w:pStyle w:val="26"/>
        <w:shd w:val="clear" w:color="auto" w:fill="FFFFFF"/>
        <w:spacing w:before="0" w:beforeAutospacing="0" w:after="0" w:afterAutospacing="0" w:line="560" w:lineRule="exact"/>
        <w:ind w:firstLine="482" w:firstLineChars="200"/>
        <w:jc w:val="center"/>
        <w:rPr>
          <w:color w:val="000000" w:themeColor="text1"/>
          <w14:textFill>
            <w14:solidFill>
              <w14:schemeClr w14:val="tx1"/>
            </w14:solidFill>
          </w14:textFill>
        </w:rPr>
      </w:pPr>
      <w:r>
        <w:rPr>
          <w:rStyle w:val="27"/>
          <w:rFonts w:hint="eastAsia"/>
          <w:b/>
          <w:bCs/>
          <w:color w:val="000000" w:themeColor="text1"/>
          <w14:textFill>
            <w14:solidFill>
              <w14:schemeClr w14:val="tx1"/>
            </w14:solidFill>
          </w14:textFill>
        </w:rPr>
        <w:t>残疾人福利性单位声明函</w:t>
      </w:r>
    </w:p>
    <w:p>
      <w:pPr>
        <w:pStyle w:val="26"/>
        <w:shd w:val="clear" w:color="auto" w:fill="FFFFFF"/>
        <w:spacing w:before="0" w:beforeAutospacing="0" w:after="0" w:afterAutospacing="0" w:line="560" w:lineRule="exact"/>
        <w:ind w:firstLine="480" w:firstLineChars="200"/>
        <w:jc w:val="both"/>
        <w:rPr>
          <w:color w:val="000000" w:themeColor="text1"/>
          <w14:textFill>
            <w14:solidFill>
              <w14:schemeClr w14:val="tx1"/>
            </w14:solidFill>
          </w14:textFill>
        </w:rPr>
      </w:pPr>
      <w:r>
        <w:rPr>
          <w:rStyle w:val="27"/>
          <w:rFonts w:hint="eastAsia"/>
          <w:color w:val="000000" w:themeColor="text1"/>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26"/>
        <w:shd w:val="clear" w:color="auto" w:fill="FFFFFF"/>
        <w:spacing w:before="0" w:beforeAutospacing="0" w:after="0" w:afterAutospacing="0" w:line="560" w:lineRule="exact"/>
        <w:ind w:firstLine="480" w:firstLineChars="200"/>
        <w:jc w:val="both"/>
        <w:rPr>
          <w:color w:val="000000" w:themeColor="text1"/>
          <w14:textFill>
            <w14:solidFill>
              <w14:schemeClr w14:val="tx1"/>
            </w14:solidFill>
          </w14:textFill>
        </w:rPr>
      </w:pPr>
      <w:r>
        <w:rPr>
          <w:rStyle w:val="27"/>
          <w:rFonts w:hint="eastAsia"/>
          <w:color w:val="000000" w:themeColor="text1"/>
          <w14:textFill>
            <w14:solidFill>
              <w14:schemeClr w14:val="tx1"/>
            </w14:solidFill>
          </w14:textFill>
        </w:rPr>
        <w:t>本单位对上述声明的真实性负责。如有虚假，将依法承担相应责任。</w:t>
      </w:r>
    </w:p>
    <w:p>
      <w:pPr>
        <w:pStyle w:val="26"/>
        <w:shd w:val="clear" w:color="auto" w:fill="FFFFFF"/>
        <w:spacing w:before="0" w:beforeAutospacing="0" w:after="0" w:afterAutospacing="0" w:line="5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投标人已知悉《关于促进残疾人就业政府采购政策的通知》（财库〔2017〕141 号）的规定，承诺提供的声明函内容是真实的，如提供声明函内容不实，则依法追究相关法律责任。</w:t>
      </w:r>
    </w:p>
    <w:p>
      <w:pPr>
        <w:pStyle w:val="26"/>
        <w:shd w:val="clear" w:color="auto" w:fill="FFFFFF"/>
        <w:spacing w:before="0" w:beforeAutospacing="0" w:after="0" w:afterAutospacing="0" w:line="560" w:lineRule="exact"/>
        <w:ind w:right="2100" w:rightChars="1000"/>
        <w:jc w:val="right"/>
        <w:rPr>
          <w:color w:val="000000" w:themeColor="text1"/>
          <w14:textFill>
            <w14:solidFill>
              <w14:schemeClr w14:val="tx1"/>
            </w14:solidFill>
          </w14:textFill>
        </w:rPr>
      </w:pPr>
      <w:r>
        <w:rPr>
          <w:rStyle w:val="27"/>
          <w:rFonts w:hint="eastAsia"/>
          <w:color w:val="000000" w:themeColor="text1"/>
          <w14:textFill>
            <w14:solidFill>
              <w14:schemeClr w14:val="tx1"/>
            </w14:solidFill>
          </w14:textFill>
        </w:rPr>
        <w:t>单位名称（盖章）：</w:t>
      </w:r>
    </w:p>
    <w:p>
      <w:pPr>
        <w:pStyle w:val="26"/>
        <w:shd w:val="clear" w:color="auto" w:fill="FFFFFF"/>
        <w:spacing w:before="0" w:beforeAutospacing="0" w:after="0" w:afterAutospacing="0" w:line="560" w:lineRule="exact"/>
        <w:ind w:right="2100" w:rightChars="1000"/>
        <w:jc w:val="right"/>
        <w:rPr>
          <w:color w:val="000000" w:themeColor="text1"/>
          <w:lang w:val="fr-CH"/>
          <w14:textFill>
            <w14:solidFill>
              <w14:schemeClr w14:val="tx1"/>
            </w14:solidFill>
          </w14:textFill>
        </w:rPr>
      </w:pPr>
      <w:r>
        <w:rPr>
          <w:rStyle w:val="27"/>
          <w:rFonts w:hint="eastAsia"/>
          <w:color w:val="000000" w:themeColor="text1"/>
          <w14:textFill>
            <w14:solidFill>
              <w14:schemeClr w14:val="tx1"/>
            </w14:solidFill>
          </w14:textFill>
        </w:rPr>
        <w:t>日 期：</w:t>
      </w:r>
    </w:p>
    <w:p>
      <w:pPr>
        <w:tabs>
          <w:tab w:val="left" w:pos="640"/>
          <w:tab w:val="left" w:pos="1260"/>
          <w:tab w:val="left" w:pos="1418"/>
        </w:tabs>
        <w:spacing w:line="360" w:lineRule="auto"/>
        <w:ind w:right="-420" w:rightChars="-200"/>
        <w:rPr>
          <w:rFonts w:ascii="宋体" w:hAnsi="宋体" w:cs="宋体"/>
          <w:color w:val="000000" w:themeColor="text1"/>
          <w:sz w:val="24"/>
          <w:lang w:val="fr-CH"/>
          <w14:textFill>
            <w14:solidFill>
              <w14:schemeClr w14:val="tx1"/>
            </w14:solidFill>
          </w14:textFill>
        </w:rPr>
      </w:pPr>
    </w:p>
    <w:p>
      <w:pPr>
        <w:pStyle w:val="21"/>
        <w:rPr>
          <w:color w:val="000000" w:themeColor="text1"/>
          <w:lang w:val="fr-CH"/>
          <w14:textFill>
            <w14:solidFill>
              <w14:schemeClr w14:val="tx1"/>
            </w14:solidFill>
          </w14:textFill>
        </w:rPr>
      </w:pPr>
    </w:p>
    <w:p>
      <w:pPr>
        <w:rPr>
          <w:color w:val="000000" w:themeColor="text1"/>
          <w14:textFill>
            <w14:solidFill>
              <w14:schemeClr w14:val="tx1"/>
            </w14:solidFill>
          </w14:textFill>
        </w:rPr>
      </w:pPr>
    </w:p>
    <w:sectPr>
      <w:pgSz w:w="11906" w:h="16838"/>
      <w:pgMar w:top="850" w:right="1803" w:bottom="709"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Style w:val="19"/>
        <w:rFonts w:ascii="宋体" w:hAnsi="宋体"/>
        <w:sz w:val="28"/>
        <w:szCs w:val="28"/>
      </w:rPr>
      <w:instrText xml:space="preserve">PAGE  </w:instrText>
    </w:r>
    <w:r>
      <w:rPr>
        <w:rFonts w:ascii="宋体" w:hAnsi="宋体"/>
        <w:sz w:val="28"/>
        <w:szCs w:val="28"/>
      </w:rPr>
      <w:fldChar w:fldCharType="separate"/>
    </w:r>
    <w:r>
      <w:rPr>
        <w:rStyle w:val="19"/>
        <w:rFonts w:ascii="宋体" w:hAnsi="宋体"/>
        <w:sz w:val="28"/>
        <w:szCs w:val="28"/>
      </w:rPr>
      <w:t>1</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Style w:val="19"/>
        <w:rFonts w:ascii="宋体" w:hAnsi="宋体"/>
        <w:sz w:val="28"/>
        <w:szCs w:val="28"/>
      </w:rPr>
      <w:instrText xml:space="preserve">PAGE  </w:instrText>
    </w:r>
    <w:r>
      <w:rPr>
        <w:rFonts w:ascii="宋体" w:hAnsi="宋体"/>
        <w:sz w:val="28"/>
        <w:szCs w:val="28"/>
      </w:rPr>
      <w:fldChar w:fldCharType="separate"/>
    </w:r>
    <w:r>
      <w:rPr>
        <w:rStyle w:val="19"/>
        <w:rFonts w:ascii="宋体" w:hAnsi="宋体"/>
        <w:sz w:val="28"/>
        <w:szCs w:val="28"/>
      </w:rPr>
      <w:t>12</w:t>
    </w:r>
    <w:r>
      <w:rPr>
        <w:rFonts w:ascii="宋体" w:hAnsi="宋体"/>
        <w:sz w:val="28"/>
        <w:szCs w:val="28"/>
      </w:rPr>
      <w:fldChar w:fldCharType="end"/>
    </w:r>
    <w:r>
      <w:rPr>
        <w:rFonts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CC046B"/>
    <w:multiLevelType w:val="singleLevel"/>
    <w:tmpl w:val="83CC046B"/>
    <w:lvl w:ilvl="0" w:tentative="0">
      <w:start w:val="1"/>
      <w:numFmt w:val="decimal"/>
      <w:lvlText w:val="（%1）"/>
      <w:lvlJc w:val="left"/>
      <w:pPr>
        <w:tabs>
          <w:tab w:val="left" w:pos="425"/>
        </w:tabs>
        <w:ind w:left="425" w:hanging="425"/>
      </w:pPr>
      <w:rPr>
        <w:rFonts w:hint="default"/>
      </w:rPr>
    </w:lvl>
  </w:abstractNum>
  <w:abstractNum w:abstractNumId="1">
    <w:nsid w:val="9F737C4C"/>
    <w:multiLevelType w:val="singleLevel"/>
    <w:tmpl w:val="9F737C4C"/>
    <w:lvl w:ilvl="0" w:tentative="0">
      <w:start w:val="1"/>
      <w:numFmt w:val="decimal"/>
      <w:lvlText w:val="（%1）"/>
      <w:lvlJc w:val="left"/>
      <w:pPr>
        <w:tabs>
          <w:tab w:val="left" w:pos="425"/>
        </w:tabs>
        <w:ind w:left="425" w:hanging="425"/>
      </w:pPr>
      <w:rPr>
        <w:rFonts w:hint="default"/>
      </w:rPr>
    </w:lvl>
  </w:abstractNum>
  <w:abstractNum w:abstractNumId="2">
    <w:nsid w:val="A77657F5"/>
    <w:multiLevelType w:val="singleLevel"/>
    <w:tmpl w:val="A77657F5"/>
    <w:lvl w:ilvl="0" w:tentative="0">
      <w:start w:val="1"/>
      <w:numFmt w:val="decimal"/>
      <w:suff w:val="nothing"/>
      <w:lvlText w:val="（%1）"/>
      <w:lvlJc w:val="left"/>
    </w:lvl>
  </w:abstractNum>
  <w:abstractNum w:abstractNumId="3">
    <w:nsid w:val="AFE7CFB2"/>
    <w:multiLevelType w:val="singleLevel"/>
    <w:tmpl w:val="AFE7CFB2"/>
    <w:lvl w:ilvl="0" w:tentative="0">
      <w:start w:val="1"/>
      <w:numFmt w:val="decimal"/>
      <w:lvlText w:val="（%1）"/>
      <w:lvlJc w:val="left"/>
      <w:pPr>
        <w:tabs>
          <w:tab w:val="left" w:pos="425"/>
        </w:tabs>
        <w:ind w:left="425" w:hanging="425"/>
      </w:pPr>
      <w:rPr>
        <w:rFonts w:hint="default"/>
      </w:rPr>
    </w:lvl>
  </w:abstractNum>
  <w:abstractNum w:abstractNumId="4">
    <w:nsid w:val="B60EDFBE"/>
    <w:multiLevelType w:val="singleLevel"/>
    <w:tmpl w:val="B60EDFBE"/>
    <w:lvl w:ilvl="0" w:tentative="0">
      <w:start w:val="1"/>
      <w:numFmt w:val="decimal"/>
      <w:suff w:val="nothing"/>
      <w:lvlText w:val="（%1）"/>
      <w:lvlJc w:val="left"/>
    </w:lvl>
  </w:abstractNum>
  <w:abstractNum w:abstractNumId="5">
    <w:nsid w:val="BFFEB4E7"/>
    <w:multiLevelType w:val="singleLevel"/>
    <w:tmpl w:val="BFFEB4E7"/>
    <w:lvl w:ilvl="0" w:tentative="0">
      <w:start w:val="1"/>
      <w:numFmt w:val="decimal"/>
      <w:suff w:val="nothing"/>
      <w:lvlText w:val="（%1）"/>
      <w:lvlJc w:val="left"/>
      <w:pPr>
        <w:ind w:left="480" w:firstLine="0"/>
      </w:pPr>
    </w:lvl>
  </w:abstractNum>
  <w:abstractNum w:abstractNumId="6">
    <w:nsid w:val="C7F68423"/>
    <w:multiLevelType w:val="singleLevel"/>
    <w:tmpl w:val="C7F68423"/>
    <w:lvl w:ilvl="0" w:tentative="0">
      <w:start w:val="1"/>
      <w:numFmt w:val="chineseCountingThousand"/>
      <w:pStyle w:val="23"/>
      <w:lvlText w:val="%1、"/>
      <w:lvlJc w:val="left"/>
      <w:pPr>
        <w:ind w:left="420" w:hanging="420"/>
      </w:pPr>
      <w:rPr>
        <w:rFonts w:hint="eastAsia"/>
      </w:rPr>
    </w:lvl>
  </w:abstractNum>
  <w:abstractNum w:abstractNumId="7">
    <w:nsid w:val="CBCC1AFC"/>
    <w:multiLevelType w:val="singleLevel"/>
    <w:tmpl w:val="CBCC1AFC"/>
    <w:lvl w:ilvl="0" w:tentative="0">
      <w:start w:val="5"/>
      <w:numFmt w:val="decimal"/>
      <w:suff w:val="nothing"/>
      <w:lvlText w:val="%1、"/>
      <w:lvlJc w:val="left"/>
    </w:lvl>
  </w:abstractNum>
  <w:abstractNum w:abstractNumId="8">
    <w:nsid w:val="F44D9858"/>
    <w:multiLevelType w:val="singleLevel"/>
    <w:tmpl w:val="F44D9858"/>
    <w:lvl w:ilvl="0" w:tentative="0">
      <w:start w:val="1"/>
      <w:numFmt w:val="decimal"/>
      <w:lvlText w:val="（%1）"/>
      <w:lvlJc w:val="left"/>
      <w:pPr>
        <w:tabs>
          <w:tab w:val="left" w:pos="567"/>
        </w:tabs>
        <w:ind w:left="567" w:hanging="425"/>
      </w:pPr>
      <w:rPr>
        <w:rFonts w:hint="default"/>
      </w:rPr>
    </w:lvl>
  </w:abstractNum>
  <w:abstractNum w:abstractNumId="9">
    <w:nsid w:val="F8A1E266"/>
    <w:multiLevelType w:val="singleLevel"/>
    <w:tmpl w:val="F8A1E266"/>
    <w:lvl w:ilvl="0" w:tentative="0">
      <w:start w:val="1"/>
      <w:numFmt w:val="decimal"/>
      <w:lvlText w:val="（%1）"/>
      <w:lvlJc w:val="left"/>
      <w:pPr>
        <w:tabs>
          <w:tab w:val="left" w:pos="425"/>
        </w:tabs>
        <w:ind w:left="425" w:hanging="425"/>
      </w:pPr>
      <w:rPr>
        <w:rFonts w:hint="default"/>
      </w:rPr>
    </w:lvl>
  </w:abstractNum>
  <w:abstractNum w:abstractNumId="10">
    <w:nsid w:val="418A3D68"/>
    <w:multiLevelType w:val="singleLevel"/>
    <w:tmpl w:val="418A3D68"/>
    <w:lvl w:ilvl="0" w:tentative="0">
      <w:start w:val="1"/>
      <w:numFmt w:val="decimal"/>
      <w:lvlText w:val="(%1)"/>
      <w:lvlJc w:val="left"/>
      <w:pPr>
        <w:tabs>
          <w:tab w:val="left" w:pos="-420"/>
        </w:tabs>
        <w:ind w:left="5" w:hanging="425"/>
      </w:pPr>
      <w:rPr>
        <w:rFonts w:hint="default"/>
      </w:rPr>
    </w:lvl>
  </w:abstractNum>
  <w:abstractNum w:abstractNumId="11">
    <w:nsid w:val="435840A3"/>
    <w:multiLevelType w:val="multilevel"/>
    <w:tmpl w:val="435840A3"/>
    <w:lvl w:ilvl="0" w:tentative="0">
      <w:start w:val="1"/>
      <w:numFmt w:val="decimal"/>
      <w:lvlText w:val="%1."/>
      <w:lvlJc w:val="left"/>
      <w:pPr>
        <w:ind w:left="422" w:hanging="420"/>
      </w:pPr>
    </w:lvl>
    <w:lvl w:ilvl="1" w:tentative="0">
      <w:start w:val="1"/>
      <w:numFmt w:val="lowerLetter"/>
      <w:lvlText w:val="%2)"/>
      <w:lvlJc w:val="left"/>
      <w:pPr>
        <w:ind w:left="842" w:hanging="420"/>
      </w:pPr>
    </w:lvl>
    <w:lvl w:ilvl="2" w:tentative="0">
      <w:start w:val="1"/>
      <w:numFmt w:val="lowerRoman"/>
      <w:lvlText w:val="%3."/>
      <w:lvlJc w:val="right"/>
      <w:pPr>
        <w:ind w:left="1262" w:hanging="420"/>
      </w:pPr>
    </w:lvl>
    <w:lvl w:ilvl="3" w:tentative="0">
      <w:start w:val="1"/>
      <w:numFmt w:val="decimal"/>
      <w:lvlText w:val="%4."/>
      <w:lvlJc w:val="left"/>
      <w:pPr>
        <w:ind w:left="1682" w:hanging="420"/>
      </w:pPr>
    </w:lvl>
    <w:lvl w:ilvl="4" w:tentative="0">
      <w:start w:val="1"/>
      <w:numFmt w:val="lowerLetter"/>
      <w:lvlText w:val="%5)"/>
      <w:lvlJc w:val="left"/>
      <w:pPr>
        <w:ind w:left="2102" w:hanging="420"/>
      </w:pPr>
    </w:lvl>
    <w:lvl w:ilvl="5" w:tentative="0">
      <w:start w:val="1"/>
      <w:numFmt w:val="lowerRoman"/>
      <w:lvlText w:val="%6."/>
      <w:lvlJc w:val="right"/>
      <w:pPr>
        <w:ind w:left="2522" w:hanging="420"/>
      </w:pPr>
    </w:lvl>
    <w:lvl w:ilvl="6" w:tentative="0">
      <w:start w:val="1"/>
      <w:numFmt w:val="decimal"/>
      <w:lvlText w:val="%7."/>
      <w:lvlJc w:val="left"/>
      <w:pPr>
        <w:ind w:left="2942" w:hanging="420"/>
      </w:pPr>
    </w:lvl>
    <w:lvl w:ilvl="7" w:tentative="0">
      <w:start w:val="1"/>
      <w:numFmt w:val="lowerLetter"/>
      <w:lvlText w:val="%8)"/>
      <w:lvlJc w:val="left"/>
      <w:pPr>
        <w:ind w:left="3362" w:hanging="420"/>
      </w:pPr>
    </w:lvl>
    <w:lvl w:ilvl="8" w:tentative="0">
      <w:start w:val="1"/>
      <w:numFmt w:val="lowerRoman"/>
      <w:lvlText w:val="%9."/>
      <w:lvlJc w:val="right"/>
      <w:pPr>
        <w:ind w:left="3782" w:hanging="420"/>
      </w:pPr>
    </w:lvl>
  </w:abstractNum>
  <w:abstractNum w:abstractNumId="12">
    <w:nsid w:val="500AFAE4"/>
    <w:multiLevelType w:val="singleLevel"/>
    <w:tmpl w:val="500AFAE4"/>
    <w:lvl w:ilvl="0" w:tentative="0">
      <w:start w:val="1"/>
      <w:numFmt w:val="decimal"/>
      <w:suff w:val="nothing"/>
      <w:lvlText w:val="%1、"/>
      <w:lvlJc w:val="left"/>
    </w:lvl>
  </w:abstractNum>
  <w:abstractNum w:abstractNumId="13">
    <w:nsid w:val="5B1CD88C"/>
    <w:multiLevelType w:val="singleLevel"/>
    <w:tmpl w:val="5B1CD88C"/>
    <w:lvl w:ilvl="0" w:tentative="0">
      <w:start w:val="1"/>
      <w:numFmt w:val="decimal"/>
      <w:suff w:val="nothing"/>
      <w:lvlText w:val="%1．"/>
      <w:lvlJc w:val="left"/>
      <w:pPr>
        <w:ind w:left="0" w:firstLine="400"/>
      </w:pPr>
      <w:rPr>
        <w:rFonts w:hint="default"/>
      </w:rPr>
    </w:lvl>
  </w:abstractNum>
  <w:abstractNum w:abstractNumId="14">
    <w:nsid w:val="5D7828B9"/>
    <w:multiLevelType w:val="singleLevel"/>
    <w:tmpl w:val="5D7828B9"/>
    <w:lvl w:ilvl="0" w:tentative="0">
      <w:start w:val="1"/>
      <w:numFmt w:val="decimal"/>
      <w:lvlText w:val="（%1）"/>
      <w:lvlJc w:val="left"/>
      <w:pPr>
        <w:tabs>
          <w:tab w:val="left" w:pos="425"/>
        </w:tabs>
        <w:ind w:left="425" w:hanging="425"/>
      </w:pPr>
      <w:rPr>
        <w:rFonts w:hint="default"/>
      </w:rPr>
    </w:lvl>
  </w:abstractNum>
  <w:abstractNum w:abstractNumId="15">
    <w:nsid w:val="5E7056F5"/>
    <w:multiLevelType w:val="singleLevel"/>
    <w:tmpl w:val="5E7056F5"/>
    <w:lvl w:ilvl="0" w:tentative="0">
      <w:start w:val="1"/>
      <w:numFmt w:val="decimal"/>
      <w:suff w:val="nothing"/>
      <w:lvlText w:val="%1、"/>
      <w:lvlJc w:val="left"/>
    </w:lvl>
  </w:abstractNum>
  <w:abstractNum w:abstractNumId="16">
    <w:nsid w:val="7D9E2CB6"/>
    <w:multiLevelType w:val="singleLevel"/>
    <w:tmpl w:val="7D9E2CB6"/>
    <w:lvl w:ilvl="0" w:tentative="0">
      <w:start w:val="1"/>
      <w:numFmt w:val="chineseCounting"/>
      <w:suff w:val="space"/>
      <w:lvlText w:val="第%1章"/>
      <w:lvlJc w:val="left"/>
      <w:rPr>
        <w:rFonts w:hint="eastAsia"/>
        <w:color w:val="auto"/>
      </w:rPr>
    </w:lvl>
  </w:abstractNum>
  <w:num w:numId="1">
    <w:abstractNumId w:val="6"/>
  </w:num>
  <w:num w:numId="2">
    <w:abstractNumId w:val="16"/>
  </w:num>
  <w:num w:numId="3">
    <w:abstractNumId w:val="4"/>
  </w:num>
  <w:num w:numId="4">
    <w:abstractNumId w:val="2"/>
  </w:num>
  <w:num w:numId="5">
    <w:abstractNumId w:val="10"/>
  </w:num>
  <w:num w:numId="6">
    <w:abstractNumId w:val="5"/>
  </w:num>
  <w:num w:numId="7">
    <w:abstractNumId w:val="7"/>
  </w:num>
  <w:num w:numId="8">
    <w:abstractNumId w:val="11"/>
  </w:num>
  <w:num w:numId="9">
    <w:abstractNumId w:val="15"/>
  </w:num>
  <w:num w:numId="10">
    <w:abstractNumId w:val="12"/>
  </w:num>
  <w:num w:numId="11">
    <w:abstractNumId w:val="3"/>
  </w:num>
  <w:num w:numId="12">
    <w:abstractNumId w:val="8"/>
  </w:num>
  <w:num w:numId="13">
    <w:abstractNumId w:val="1"/>
  </w:num>
  <w:num w:numId="14">
    <w:abstractNumId w:val="0"/>
  </w:num>
  <w:num w:numId="15">
    <w:abstractNumId w:val="9"/>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JiOTgwYzYxZTkzN2UyNmU5N2RhZGFlNmU4M2M4YTAifQ=="/>
    <w:docVar w:name="KSO_WPS_MARK_KEY" w:val="85c89fb7-edb0-4e3f-b015-7714f580040e"/>
  </w:docVars>
  <w:rsids>
    <w:rsidRoot w:val="6F152D9A"/>
    <w:rsid w:val="00017E8B"/>
    <w:rsid w:val="00094344"/>
    <w:rsid w:val="000C4905"/>
    <w:rsid w:val="000E7168"/>
    <w:rsid w:val="00114A8A"/>
    <w:rsid w:val="00133387"/>
    <w:rsid w:val="00154A5C"/>
    <w:rsid w:val="001752D7"/>
    <w:rsid w:val="0018274C"/>
    <w:rsid w:val="001D051F"/>
    <w:rsid w:val="001E27B8"/>
    <w:rsid w:val="002023B3"/>
    <w:rsid w:val="002B5B48"/>
    <w:rsid w:val="002E2520"/>
    <w:rsid w:val="003436F5"/>
    <w:rsid w:val="003445BF"/>
    <w:rsid w:val="00353D44"/>
    <w:rsid w:val="00354FDE"/>
    <w:rsid w:val="00364E8D"/>
    <w:rsid w:val="003B63DB"/>
    <w:rsid w:val="003C2DBD"/>
    <w:rsid w:val="003D58BF"/>
    <w:rsid w:val="003E4BD1"/>
    <w:rsid w:val="005B0955"/>
    <w:rsid w:val="005D4603"/>
    <w:rsid w:val="00611955"/>
    <w:rsid w:val="006229DC"/>
    <w:rsid w:val="006C16F4"/>
    <w:rsid w:val="008C3B0A"/>
    <w:rsid w:val="00922496"/>
    <w:rsid w:val="00946007"/>
    <w:rsid w:val="00951FEE"/>
    <w:rsid w:val="0096358A"/>
    <w:rsid w:val="009C0409"/>
    <w:rsid w:val="009E0826"/>
    <w:rsid w:val="00A0558B"/>
    <w:rsid w:val="00A163AB"/>
    <w:rsid w:val="00A22B49"/>
    <w:rsid w:val="00A262CB"/>
    <w:rsid w:val="00A6719A"/>
    <w:rsid w:val="00AC5136"/>
    <w:rsid w:val="00B12309"/>
    <w:rsid w:val="00BB7B67"/>
    <w:rsid w:val="00C60EEB"/>
    <w:rsid w:val="00C91D7B"/>
    <w:rsid w:val="00C92B22"/>
    <w:rsid w:val="00CB3710"/>
    <w:rsid w:val="00CB661D"/>
    <w:rsid w:val="00D4201A"/>
    <w:rsid w:val="00D45531"/>
    <w:rsid w:val="00D67E8A"/>
    <w:rsid w:val="00DA3CE3"/>
    <w:rsid w:val="00DC6142"/>
    <w:rsid w:val="00DF63E1"/>
    <w:rsid w:val="00E37AC1"/>
    <w:rsid w:val="00EE1F35"/>
    <w:rsid w:val="00F01EA4"/>
    <w:rsid w:val="00F10B29"/>
    <w:rsid w:val="00F11B0E"/>
    <w:rsid w:val="00F84ABD"/>
    <w:rsid w:val="00FB633B"/>
    <w:rsid w:val="010E4DB7"/>
    <w:rsid w:val="01382BF0"/>
    <w:rsid w:val="014B08FF"/>
    <w:rsid w:val="0179501D"/>
    <w:rsid w:val="01867F14"/>
    <w:rsid w:val="018C519F"/>
    <w:rsid w:val="01966A8F"/>
    <w:rsid w:val="01B42948"/>
    <w:rsid w:val="02062516"/>
    <w:rsid w:val="02130D8F"/>
    <w:rsid w:val="02306473"/>
    <w:rsid w:val="023C6129"/>
    <w:rsid w:val="02A34F5D"/>
    <w:rsid w:val="033E2E74"/>
    <w:rsid w:val="03855B2C"/>
    <w:rsid w:val="04117BDE"/>
    <w:rsid w:val="045A3333"/>
    <w:rsid w:val="0466502E"/>
    <w:rsid w:val="04675A50"/>
    <w:rsid w:val="04A005CC"/>
    <w:rsid w:val="04C908B6"/>
    <w:rsid w:val="057F2AEA"/>
    <w:rsid w:val="0594791F"/>
    <w:rsid w:val="05C07B0D"/>
    <w:rsid w:val="05CF1AFF"/>
    <w:rsid w:val="05DE61E6"/>
    <w:rsid w:val="05FD48BE"/>
    <w:rsid w:val="070B4DB8"/>
    <w:rsid w:val="07273A17"/>
    <w:rsid w:val="07465DF0"/>
    <w:rsid w:val="07AD5E6F"/>
    <w:rsid w:val="07F10B58"/>
    <w:rsid w:val="08575B3A"/>
    <w:rsid w:val="088A495D"/>
    <w:rsid w:val="08D8367F"/>
    <w:rsid w:val="08F301FA"/>
    <w:rsid w:val="093F51ED"/>
    <w:rsid w:val="099E3CC2"/>
    <w:rsid w:val="09BB0D18"/>
    <w:rsid w:val="09C15C02"/>
    <w:rsid w:val="0A3B4C36"/>
    <w:rsid w:val="0A5E78F5"/>
    <w:rsid w:val="0A602146"/>
    <w:rsid w:val="0A740EC6"/>
    <w:rsid w:val="0AB32309"/>
    <w:rsid w:val="0ABE2142"/>
    <w:rsid w:val="0B064214"/>
    <w:rsid w:val="0B496DF9"/>
    <w:rsid w:val="0BB84DE3"/>
    <w:rsid w:val="0BDA11FD"/>
    <w:rsid w:val="0C182E89"/>
    <w:rsid w:val="0CD449A2"/>
    <w:rsid w:val="0CFE523C"/>
    <w:rsid w:val="0D0F4ED6"/>
    <w:rsid w:val="0D5C54A5"/>
    <w:rsid w:val="0D7037CF"/>
    <w:rsid w:val="0D9D3E48"/>
    <w:rsid w:val="0DAB4BFF"/>
    <w:rsid w:val="0DE75E97"/>
    <w:rsid w:val="0E6600F5"/>
    <w:rsid w:val="0E680A20"/>
    <w:rsid w:val="0EE12594"/>
    <w:rsid w:val="0EEB70F9"/>
    <w:rsid w:val="0EF034BE"/>
    <w:rsid w:val="0EFD2680"/>
    <w:rsid w:val="0F0D78EE"/>
    <w:rsid w:val="0F2700A3"/>
    <w:rsid w:val="0F3F0608"/>
    <w:rsid w:val="0F695D22"/>
    <w:rsid w:val="0F8B2F3A"/>
    <w:rsid w:val="10310AAB"/>
    <w:rsid w:val="10741C20"/>
    <w:rsid w:val="107E311B"/>
    <w:rsid w:val="108331F5"/>
    <w:rsid w:val="108856CC"/>
    <w:rsid w:val="10CD6448"/>
    <w:rsid w:val="111F22E9"/>
    <w:rsid w:val="11506B59"/>
    <w:rsid w:val="11AD5DCF"/>
    <w:rsid w:val="11F97D8D"/>
    <w:rsid w:val="123F7349"/>
    <w:rsid w:val="12431D83"/>
    <w:rsid w:val="125667C5"/>
    <w:rsid w:val="12BA2192"/>
    <w:rsid w:val="12E27E62"/>
    <w:rsid w:val="12E666D9"/>
    <w:rsid w:val="12F04E65"/>
    <w:rsid w:val="12F0749E"/>
    <w:rsid w:val="13740B96"/>
    <w:rsid w:val="13806B2E"/>
    <w:rsid w:val="138A5087"/>
    <w:rsid w:val="13C90215"/>
    <w:rsid w:val="148F164A"/>
    <w:rsid w:val="14A27D20"/>
    <w:rsid w:val="14FE5F5C"/>
    <w:rsid w:val="154420C7"/>
    <w:rsid w:val="156C2EC6"/>
    <w:rsid w:val="15847875"/>
    <w:rsid w:val="15991BC6"/>
    <w:rsid w:val="159C7DFD"/>
    <w:rsid w:val="15C03212"/>
    <w:rsid w:val="15F01D49"/>
    <w:rsid w:val="15FA6724"/>
    <w:rsid w:val="16027A14"/>
    <w:rsid w:val="160B0322"/>
    <w:rsid w:val="168406E3"/>
    <w:rsid w:val="170D06D9"/>
    <w:rsid w:val="170E3AE7"/>
    <w:rsid w:val="174A4FB1"/>
    <w:rsid w:val="17731D1E"/>
    <w:rsid w:val="17C20009"/>
    <w:rsid w:val="185A32DE"/>
    <w:rsid w:val="185D31E1"/>
    <w:rsid w:val="185E65D1"/>
    <w:rsid w:val="18624E55"/>
    <w:rsid w:val="18C64FE3"/>
    <w:rsid w:val="18D23988"/>
    <w:rsid w:val="18F36B04"/>
    <w:rsid w:val="1910625E"/>
    <w:rsid w:val="1959313C"/>
    <w:rsid w:val="196835B7"/>
    <w:rsid w:val="197975A6"/>
    <w:rsid w:val="198D78AF"/>
    <w:rsid w:val="1998697F"/>
    <w:rsid w:val="19CA16E4"/>
    <w:rsid w:val="19EF3664"/>
    <w:rsid w:val="1A493A8B"/>
    <w:rsid w:val="1A654388"/>
    <w:rsid w:val="1A864A2A"/>
    <w:rsid w:val="1A995B9A"/>
    <w:rsid w:val="1AAA0FBB"/>
    <w:rsid w:val="1AF27192"/>
    <w:rsid w:val="1AFB73D3"/>
    <w:rsid w:val="1B26420D"/>
    <w:rsid w:val="1B2B737F"/>
    <w:rsid w:val="1B4D099D"/>
    <w:rsid w:val="1BC33A5C"/>
    <w:rsid w:val="1BC471FC"/>
    <w:rsid w:val="1BEA2D97"/>
    <w:rsid w:val="1C606834"/>
    <w:rsid w:val="1C6F14EE"/>
    <w:rsid w:val="1C9A5F36"/>
    <w:rsid w:val="1CEB326A"/>
    <w:rsid w:val="1CF814E3"/>
    <w:rsid w:val="1D273244"/>
    <w:rsid w:val="1D2B18B9"/>
    <w:rsid w:val="1DA376A1"/>
    <w:rsid w:val="1DCA2E80"/>
    <w:rsid w:val="1E12759A"/>
    <w:rsid w:val="1E234C86"/>
    <w:rsid w:val="1E426EBA"/>
    <w:rsid w:val="1E915E5E"/>
    <w:rsid w:val="1EA07086"/>
    <w:rsid w:val="1EA2746D"/>
    <w:rsid w:val="1ECA0E15"/>
    <w:rsid w:val="1EEC1A8C"/>
    <w:rsid w:val="1F784B5D"/>
    <w:rsid w:val="1F7D031E"/>
    <w:rsid w:val="1FAB0A8F"/>
    <w:rsid w:val="1FB2006F"/>
    <w:rsid w:val="20315438"/>
    <w:rsid w:val="203E49EC"/>
    <w:rsid w:val="20436F19"/>
    <w:rsid w:val="207417C9"/>
    <w:rsid w:val="208506CD"/>
    <w:rsid w:val="208B2A2D"/>
    <w:rsid w:val="209239FD"/>
    <w:rsid w:val="20A0611A"/>
    <w:rsid w:val="2144119B"/>
    <w:rsid w:val="218B0B78"/>
    <w:rsid w:val="219D54DB"/>
    <w:rsid w:val="21BC3427"/>
    <w:rsid w:val="21FC3824"/>
    <w:rsid w:val="22425039"/>
    <w:rsid w:val="22AA22DF"/>
    <w:rsid w:val="230230BC"/>
    <w:rsid w:val="230C1C0F"/>
    <w:rsid w:val="2358717F"/>
    <w:rsid w:val="238241FC"/>
    <w:rsid w:val="239662BE"/>
    <w:rsid w:val="23987286"/>
    <w:rsid w:val="23C245F9"/>
    <w:rsid w:val="23E528C4"/>
    <w:rsid w:val="240E2F5D"/>
    <w:rsid w:val="2435126F"/>
    <w:rsid w:val="245E4322"/>
    <w:rsid w:val="248F4E23"/>
    <w:rsid w:val="24BB0966"/>
    <w:rsid w:val="24FE645E"/>
    <w:rsid w:val="25204BCB"/>
    <w:rsid w:val="253908EB"/>
    <w:rsid w:val="254A0246"/>
    <w:rsid w:val="25761B5B"/>
    <w:rsid w:val="257B4323"/>
    <w:rsid w:val="25C762D9"/>
    <w:rsid w:val="25CA0F37"/>
    <w:rsid w:val="25E7441C"/>
    <w:rsid w:val="260E79FF"/>
    <w:rsid w:val="261C1AE1"/>
    <w:rsid w:val="265D3C03"/>
    <w:rsid w:val="26633E71"/>
    <w:rsid w:val="26CB16A9"/>
    <w:rsid w:val="26E054C2"/>
    <w:rsid w:val="26FC143B"/>
    <w:rsid w:val="27174F7C"/>
    <w:rsid w:val="271E5FEA"/>
    <w:rsid w:val="273E043A"/>
    <w:rsid w:val="276A7481"/>
    <w:rsid w:val="27A02EA3"/>
    <w:rsid w:val="27DB40B9"/>
    <w:rsid w:val="287D297A"/>
    <w:rsid w:val="288726D8"/>
    <w:rsid w:val="288D33FE"/>
    <w:rsid w:val="28FD5AA7"/>
    <w:rsid w:val="29177FCE"/>
    <w:rsid w:val="294E0E09"/>
    <w:rsid w:val="29772E93"/>
    <w:rsid w:val="29B82129"/>
    <w:rsid w:val="29E452C9"/>
    <w:rsid w:val="29EC4855"/>
    <w:rsid w:val="2A0B48B8"/>
    <w:rsid w:val="2A16744D"/>
    <w:rsid w:val="2A302202"/>
    <w:rsid w:val="2A600AAE"/>
    <w:rsid w:val="2A981B12"/>
    <w:rsid w:val="2AEB2519"/>
    <w:rsid w:val="2AFE4AA5"/>
    <w:rsid w:val="2B193CEA"/>
    <w:rsid w:val="2B285689"/>
    <w:rsid w:val="2B7A0143"/>
    <w:rsid w:val="2BC36C3A"/>
    <w:rsid w:val="2C33219E"/>
    <w:rsid w:val="2C4F2D00"/>
    <w:rsid w:val="2C624BCB"/>
    <w:rsid w:val="2CB3174D"/>
    <w:rsid w:val="2CC24B5A"/>
    <w:rsid w:val="2CD65DDE"/>
    <w:rsid w:val="2CEE3F55"/>
    <w:rsid w:val="2CFC41F4"/>
    <w:rsid w:val="2D330463"/>
    <w:rsid w:val="2D6E2C02"/>
    <w:rsid w:val="2DC27723"/>
    <w:rsid w:val="2E4722CA"/>
    <w:rsid w:val="2EB92876"/>
    <w:rsid w:val="2ED24797"/>
    <w:rsid w:val="2EE30245"/>
    <w:rsid w:val="2F2C3040"/>
    <w:rsid w:val="2F34284F"/>
    <w:rsid w:val="2F5051AF"/>
    <w:rsid w:val="2F59431A"/>
    <w:rsid w:val="2F5A0D7B"/>
    <w:rsid w:val="2F8C7F8E"/>
    <w:rsid w:val="2FCF4325"/>
    <w:rsid w:val="2FD91648"/>
    <w:rsid w:val="2FF24429"/>
    <w:rsid w:val="304A27DB"/>
    <w:rsid w:val="30556F21"/>
    <w:rsid w:val="305D2D0C"/>
    <w:rsid w:val="30A23EB5"/>
    <w:rsid w:val="30AA27E5"/>
    <w:rsid w:val="30AE4883"/>
    <w:rsid w:val="30B35ACB"/>
    <w:rsid w:val="30E67A0F"/>
    <w:rsid w:val="310549F0"/>
    <w:rsid w:val="310811F3"/>
    <w:rsid w:val="3146280D"/>
    <w:rsid w:val="3158559F"/>
    <w:rsid w:val="31774C75"/>
    <w:rsid w:val="31DD71CE"/>
    <w:rsid w:val="32171FB4"/>
    <w:rsid w:val="321D581C"/>
    <w:rsid w:val="323963CE"/>
    <w:rsid w:val="32731152"/>
    <w:rsid w:val="32764EA2"/>
    <w:rsid w:val="32893564"/>
    <w:rsid w:val="32A777DC"/>
    <w:rsid w:val="32B12408"/>
    <w:rsid w:val="331C3D26"/>
    <w:rsid w:val="332B3F69"/>
    <w:rsid w:val="338F44F8"/>
    <w:rsid w:val="339451D9"/>
    <w:rsid w:val="33B35A3E"/>
    <w:rsid w:val="33BE302F"/>
    <w:rsid w:val="342D0D71"/>
    <w:rsid w:val="34532DA5"/>
    <w:rsid w:val="34B306BA"/>
    <w:rsid w:val="34C74165"/>
    <w:rsid w:val="34E22381"/>
    <w:rsid w:val="34E751DD"/>
    <w:rsid w:val="34EA50C0"/>
    <w:rsid w:val="350A0461"/>
    <w:rsid w:val="351675A7"/>
    <w:rsid w:val="35621730"/>
    <w:rsid w:val="358B2693"/>
    <w:rsid w:val="35B16134"/>
    <w:rsid w:val="363D6170"/>
    <w:rsid w:val="36545584"/>
    <w:rsid w:val="36D347F2"/>
    <w:rsid w:val="36F81D0E"/>
    <w:rsid w:val="36FB00F6"/>
    <w:rsid w:val="37205FF6"/>
    <w:rsid w:val="37907A35"/>
    <w:rsid w:val="37E40B8A"/>
    <w:rsid w:val="37E66B23"/>
    <w:rsid w:val="38442EFA"/>
    <w:rsid w:val="38767A34"/>
    <w:rsid w:val="387C7014"/>
    <w:rsid w:val="38D411B4"/>
    <w:rsid w:val="39202096"/>
    <w:rsid w:val="392F53A3"/>
    <w:rsid w:val="393A44E6"/>
    <w:rsid w:val="39661562"/>
    <w:rsid w:val="3A2451C6"/>
    <w:rsid w:val="3ACC6031"/>
    <w:rsid w:val="3AF630AE"/>
    <w:rsid w:val="3B017EED"/>
    <w:rsid w:val="3B196D9D"/>
    <w:rsid w:val="3B1F6C15"/>
    <w:rsid w:val="3B270540"/>
    <w:rsid w:val="3B826DB7"/>
    <w:rsid w:val="3BD21711"/>
    <w:rsid w:val="3C504A40"/>
    <w:rsid w:val="3C577B7C"/>
    <w:rsid w:val="3C5F2ED5"/>
    <w:rsid w:val="3C9D3215"/>
    <w:rsid w:val="3CA31014"/>
    <w:rsid w:val="3CA3631F"/>
    <w:rsid w:val="3CB10D49"/>
    <w:rsid w:val="3D05703D"/>
    <w:rsid w:val="3D1B6DFC"/>
    <w:rsid w:val="3D2F488F"/>
    <w:rsid w:val="3D3632D2"/>
    <w:rsid w:val="3D3E0D3C"/>
    <w:rsid w:val="3D7F382F"/>
    <w:rsid w:val="3D7F7928"/>
    <w:rsid w:val="3D98669F"/>
    <w:rsid w:val="3DC54FBA"/>
    <w:rsid w:val="3DCE20C0"/>
    <w:rsid w:val="3E024C86"/>
    <w:rsid w:val="3E063608"/>
    <w:rsid w:val="3E720C9E"/>
    <w:rsid w:val="3E79027E"/>
    <w:rsid w:val="3E8E21C5"/>
    <w:rsid w:val="3EEC4A36"/>
    <w:rsid w:val="3F014A9B"/>
    <w:rsid w:val="3F392484"/>
    <w:rsid w:val="3F3C20FB"/>
    <w:rsid w:val="3F7E18C4"/>
    <w:rsid w:val="3FC47810"/>
    <w:rsid w:val="403A57EB"/>
    <w:rsid w:val="40416B7A"/>
    <w:rsid w:val="40C076C4"/>
    <w:rsid w:val="411B561D"/>
    <w:rsid w:val="412C782A"/>
    <w:rsid w:val="415972F5"/>
    <w:rsid w:val="415D3E87"/>
    <w:rsid w:val="417D62D7"/>
    <w:rsid w:val="41D15E79"/>
    <w:rsid w:val="41FA17F9"/>
    <w:rsid w:val="41FE7295"/>
    <w:rsid w:val="427A0F23"/>
    <w:rsid w:val="428F6994"/>
    <w:rsid w:val="429A368A"/>
    <w:rsid w:val="42D439C2"/>
    <w:rsid w:val="42D7761F"/>
    <w:rsid w:val="42EA346B"/>
    <w:rsid w:val="43236A0A"/>
    <w:rsid w:val="43362BE2"/>
    <w:rsid w:val="43761230"/>
    <w:rsid w:val="439971FA"/>
    <w:rsid w:val="43C31F9B"/>
    <w:rsid w:val="43E061B7"/>
    <w:rsid w:val="444B41D8"/>
    <w:rsid w:val="447F4C58"/>
    <w:rsid w:val="44836B0B"/>
    <w:rsid w:val="44D2256A"/>
    <w:rsid w:val="45196317"/>
    <w:rsid w:val="452A276C"/>
    <w:rsid w:val="45534298"/>
    <w:rsid w:val="45A44C85"/>
    <w:rsid w:val="45AF0A29"/>
    <w:rsid w:val="45B222C8"/>
    <w:rsid w:val="45CA09C4"/>
    <w:rsid w:val="45E702E2"/>
    <w:rsid w:val="45EF0E26"/>
    <w:rsid w:val="460348D1"/>
    <w:rsid w:val="4618037D"/>
    <w:rsid w:val="461940F5"/>
    <w:rsid w:val="4648639B"/>
    <w:rsid w:val="46786006"/>
    <w:rsid w:val="47170634"/>
    <w:rsid w:val="474D22A8"/>
    <w:rsid w:val="47573126"/>
    <w:rsid w:val="47961EA1"/>
    <w:rsid w:val="47A83982"/>
    <w:rsid w:val="47BD5C6E"/>
    <w:rsid w:val="47DB51AF"/>
    <w:rsid w:val="489214CF"/>
    <w:rsid w:val="48C91E02"/>
    <w:rsid w:val="49080B7C"/>
    <w:rsid w:val="499659FC"/>
    <w:rsid w:val="49A81D5C"/>
    <w:rsid w:val="49BD2527"/>
    <w:rsid w:val="49D31E4C"/>
    <w:rsid w:val="49E862B8"/>
    <w:rsid w:val="49FD6207"/>
    <w:rsid w:val="4A0330F2"/>
    <w:rsid w:val="4A240BDF"/>
    <w:rsid w:val="4A4A6CC6"/>
    <w:rsid w:val="4A784C18"/>
    <w:rsid w:val="4AC42881"/>
    <w:rsid w:val="4ACC3E2B"/>
    <w:rsid w:val="4B600173"/>
    <w:rsid w:val="4B8A3885"/>
    <w:rsid w:val="4B9E38CC"/>
    <w:rsid w:val="4BA10E14"/>
    <w:rsid w:val="4BD63F34"/>
    <w:rsid w:val="4BE64F18"/>
    <w:rsid w:val="4C1C097D"/>
    <w:rsid w:val="4C2C2DD4"/>
    <w:rsid w:val="4C417F01"/>
    <w:rsid w:val="4C43011D"/>
    <w:rsid w:val="4CA23096"/>
    <w:rsid w:val="4CA706AC"/>
    <w:rsid w:val="4CDC3ABD"/>
    <w:rsid w:val="4CFB77AE"/>
    <w:rsid w:val="4D2D76DE"/>
    <w:rsid w:val="4D6A3F87"/>
    <w:rsid w:val="4D9151F1"/>
    <w:rsid w:val="4E494C0D"/>
    <w:rsid w:val="4E5E1120"/>
    <w:rsid w:val="4E5E64EF"/>
    <w:rsid w:val="4E834801"/>
    <w:rsid w:val="4E9260E8"/>
    <w:rsid w:val="4ED55912"/>
    <w:rsid w:val="4EE53AB6"/>
    <w:rsid w:val="4EE97A66"/>
    <w:rsid w:val="4F151DB7"/>
    <w:rsid w:val="4F1E452A"/>
    <w:rsid w:val="4F367AC5"/>
    <w:rsid w:val="4F762772"/>
    <w:rsid w:val="4FBA7A09"/>
    <w:rsid w:val="50CB5C6D"/>
    <w:rsid w:val="50FF66E4"/>
    <w:rsid w:val="516E232E"/>
    <w:rsid w:val="51987603"/>
    <w:rsid w:val="519D3E2C"/>
    <w:rsid w:val="51BD3F4C"/>
    <w:rsid w:val="51EB3E43"/>
    <w:rsid w:val="51F37EF0"/>
    <w:rsid w:val="520774F7"/>
    <w:rsid w:val="52197129"/>
    <w:rsid w:val="52505342"/>
    <w:rsid w:val="526D2957"/>
    <w:rsid w:val="527C04C2"/>
    <w:rsid w:val="529F23FF"/>
    <w:rsid w:val="52C71429"/>
    <w:rsid w:val="52CD0741"/>
    <w:rsid w:val="52D55CA1"/>
    <w:rsid w:val="52D7186D"/>
    <w:rsid w:val="530F1502"/>
    <w:rsid w:val="53467550"/>
    <w:rsid w:val="537F5EDF"/>
    <w:rsid w:val="53A071CF"/>
    <w:rsid w:val="53B70FDA"/>
    <w:rsid w:val="54784C99"/>
    <w:rsid w:val="54C06D50"/>
    <w:rsid w:val="54D742E3"/>
    <w:rsid w:val="54DD24F3"/>
    <w:rsid w:val="550B5550"/>
    <w:rsid w:val="55146FA8"/>
    <w:rsid w:val="553757FC"/>
    <w:rsid w:val="562C228C"/>
    <w:rsid w:val="56334D5F"/>
    <w:rsid w:val="56496330"/>
    <w:rsid w:val="567D2601"/>
    <w:rsid w:val="56B42071"/>
    <w:rsid w:val="56CD0D0F"/>
    <w:rsid w:val="56DC1D52"/>
    <w:rsid w:val="56EB73E7"/>
    <w:rsid w:val="571006E4"/>
    <w:rsid w:val="5781231C"/>
    <w:rsid w:val="57EF14D5"/>
    <w:rsid w:val="581A6CD3"/>
    <w:rsid w:val="5846521D"/>
    <w:rsid w:val="58A839EA"/>
    <w:rsid w:val="58BA3515"/>
    <w:rsid w:val="593B5D5C"/>
    <w:rsid w:val="59C25A1D"/>
    <w:rsid w:val="59EF7044"/>
    <w:rsid w:val="5A191A9B"/>
    <w:rsid w:val="5A854D8F"/>
    <w:rsid w:val="5AE91F64"/>
    <w:rsid w:val="5B044E90"/>
    <w:rsid w:val="5B1E7D8B"/>
    <w:rsid w:val="5BD963A8"/>
    <w:rsid w:val="5BE22422"/>
    <w:rsid w:val="5C003935"/>
    <w:rsid w:val="5C315F0C"/>
    <w:rsid w:val="5C3B671B"/>
    <w:rsid w:val="5C433822"/>
    <w:rsid w:val="5C551AED"/>
    <w:rsid w:val="5C627087"/>
    <w:rsid w:val="5C6F429B"/>
    <w:rsid w:val="5C700ABB"/>
    <w:rsid w:val="5C797243"/>
    <w:rsid w:val="5C9C1B09"/>
    <w:rsid w:val="5CAC5787"/>
    <w:rsid w:val="5D5201C0"/>
    <w:rsid w:val="5E3D76A3"/>
    <w:rsid w:val="5EAC3900"/>
    <w:rsid w:val="5EB729BA"/>
    <w:rsid w:val="5F1E0A25"/>
    <w:rsid w:val="5F7D79D4"/>
    <w:rsid w:val="5F976E4D"/>
    <w:rsid w:val="5FD01870"/>
    <w:rsid w:val="5FDC0215"/>
    <w:rsid w:val="5FFC38FF"/>
    <w:rsid w:val="60097065"/>
    <w:rsid w:val="602F2164"/>
    <w:rsid w:val="603823FF"/>
    <w:rsid w:val="606C1599"/>
    <w:rsid w:val="60E916D9"/>
    <w:rsid w:val="60F35816"/>
    <w:rsid w:val="61144A0A"/>
    <w:rsid w:val="61202383"/>
    <w:rsid w:val="612956DC"/>
    <w:rsid w:val="614E5143"/>
    <w:rsid w:val="616A6E87"/>
    <w:rsid w:val="6183303E"/>
    <w:rsid w:val="618F19E3"/>
    <w:rsid w:val="61C827FF"/>
    <w:rsid w:val="61E45BE1"/>
    <w:rsid w:val="61E80ECE"/>
    <w:rsid w:val="61EB1FDC"/>
    <w:rsid w:val="627C183B"/>
    <w:rsid w:val="62A52B40"/>
    <w:rsid w:val="62AD7D81"/>
    <w:rsid w:val="62C70D09"/>
    <w:rsid w:val="62F044AF"/>
    <w:rsid w:val="630A6E47"/>
    <w:rsid w:val="632C5010"/>
    <w:rsid w:val="6347009B"/>
    <w:rsid w:val="63700E99"/>
    <w:rsid w:val="63821F6C"/>
    <w:rsid w:val="63AB4186"/>
    <w:rsid w:val="63EA052E"/>
    <w:rsid w:val="64236413"/>
    <w:rsid w:val="64427DEE"/>
    <w:rsid w:val="646443BC"/>
    <w:rsid w:val="646D3B32"/>
    <w:rsid w:val="64730367"/>
    <w:rsid w:val="64783763"/>
    <w:rsid w:val="647A5AE9"/>
    <w:rsid w:val="649C62B2"/>
    <w:rsid w:val="65085608"/>
    <w:rsid w:val="651E4E2C"/>
    <w:rsid w:val="652528BC"/>
    <w:rsid w:val="65336B29"/>
    <w:rsid w:val="65735178"/>
    <w:rsid w:val="65B17A4E"/>
    <w:rsid w:val="65FC3B45"/>
    <w:rsid w:val="666D1BC7"/>
    <w:rsid w:val="66BB6DD6"/>
    <w:rsid w:val="66C20165"/>
    <w:rsid w:val="66C202F7"/>
    <w:rsid w:val="67530DBD"/>
    <w:rsid w:val="676906D5"/>
    <w:rsid w:val="678C552E"/>
    <w:rsid w:val="679909C4"/>
    <w:rsid w:val="67A930D3"/>
    <w:rsid w:val="67C33BB1"/>
    <w:rsid w:val="67D72CA3"/>
    <w:rsid w:val="68083449"/>
    <w:rsid w:val="684B23DC"/>
    <w:rsid w:val="685C7D7A"/>
    <w:rsid w:val="68755AA8"/>
    <w:rsid w:val="689478DF"/>
    <w:rsid w:val="68A158A6"/>
    <w:rsid w:val="68D12617"/>
    <w:rsid w:val="69390486"/>
    <w:rsid w:val="69CC4E56"/>
    <w:rsid w:val="69DA3066"/>
    <w:rsid w:val="69E84923"/>
    <w:rsid w:val="6A727AAD"/>
    <w:rsid w:val="6AC326FD"/>
    <w:rsid w:val="6ACA6EAB"/>
    <w:rsid w:val="6AD36262"/>
    <w:rsid w:val="6B4450F3"/>
    <w:rsid w:val="6B533A81"/>
    <w:rsid w:val="6B6F436C"/>
    <w:rsid w:val="6B8C03C7"/>
    <w:rsid w:val="6B9D6AAA"/>
    <w:rsid w:val="6B9E4EA7"/>
    <w:rsid w:val="6BA52632"/>
    <w:rsid w:val="6BD24BEE"/>
    <w:rsid w:val="6BEF30FF"/>
    <w:rsid w:val="6C534A82"/>
    <w:rsid w:val="6C614672"/>
    <w:rsid w:val="6C653902"/>
    <w:rsid w:val="6C7E4965"/>
    <w:rsid w:val="6D056FFD"/>
    <w:rsid w:val="6D290931"/>
    <w:rsid w:val="6D8F7853"/>
    <w:rsid w:val="6DAE5BF9"/>
    <w:rsid w:val="6DC276BF"/>
    <w:rsid w:val="6DC47B9C"/>
    <w:rsid w:val="6DC9652E"/>
    <w:rsid w:val="6E5B2C4D"/>
    <w:rsid w:val="6EAF2053"/>
    <w:rsid w:val="6EC72090"/>
    <w:rsid w:val="6ECC0021"/>
    <w:rsid w:val="6EE36411"/>
    <w:rsid w:val="6EF65715"/>
    <w:rsid w:val="6F140386"/>
    <w:rsid w:val="6F152D9A"/>
    <w:rsid w:val="6F4A1BFD"/>
    <w:rsid w:val="6F4F3169"/>
    <w:rsid w:val="6F8F2BAE"/>
    <w:rsid w:val="6FC52542"/>
    <w:rsid w:val="6FF0075C"/>
    <w:rsid w:val="6FF670D1"/>
    <w:rsid w:val="70335C2F"/>
    <w:rsid w:val="70716758"/>
    <w:rsid w:val="7082577B"/>
    <w:rsid w:val="712D6B22"/>
    <w:rsid w:val="7142463B"/>
    <w:rsid w:val="71893D89"/>
    <w:rsid w:val="71F05504"/>
    <w:rsid w:val="723B7692"/>
    <w:rsid w:val="72583E79"/>
    <w:rsid w:val="72CA3E5A"/>
    <w:rsid w:val="73166763"/>
    <w:rsid w:val="73510D70"/>
    <w:rsid w:val="73FE0302"/>
    <w:rsid w:val="743965F4"/>
    <w:rsid w:val="743A66BF"/>
    <w:rsid w:val="74B8445B"/>
    <w:rsid w:val="74C07CAE"/>
    <w:rsid w:val="74E4399C"/>
    <w:rsid w:val="754B7577"/>
    <w:rsid w:val="755074D5"/>
    <w:rsid w:val="758111EB"/>
    <w:rsid w:val="75D02172"/>
    <w:rsid w:val="75F41216"/>
    <w:rsid w:val="764D5571"/>
    <w:rsid w:val="766F4593"/>
    <w:rsid w:val="76D77575"/>
    <w:rsid w:val="76FA1255"/>
    <w:rsid w:val="77211923"/>
    <w:rsid w:val="77383B2B"/>
    <w:rsid w:val="77946BAE"/>
    <w:rsid w:val="77DA3913"/>
    <w:rsid w:val="77E43CB3"/>
    <w:rsid w:val="78094A7F"/>
    <w:rsid w:val="782626A1"/>
    <w:rsid w:val="78305A5A"/>
    <w:rsid w:val="78E332A2"/>
    <w:rsid w:val="79216810"/>
    <w:rsid w:val="79424A4D"/>
    <w:rsid w:val="79534C4C"/>
    <w:rsid w:val="79CA578D"/>
    <w:rsid w:val="79D55FA9"/>
    <w:rsid w:val="7A066163"/>
    <w:rsid w:val="7A097A01"/>
    <w:rsid w:val="7A43069C"/>
    <w:rsid w:val="7AC22AF7"/>
    <w:rsid w:val="7AD149C3"/>
    <w:rsid w:val="7ADF3402"/>
    <w:rsid w:val="7B226FCC"/>
    <w:rsid w:val="7B7D209F"/>
    <w:rsid w:val="7BB76BA4"/>
    <w:rsid w:val="7C313474"/>
    <w:rsid w:val="7C8E41ED"/>
    <w:rsid w:val="7C9D7170"/>
    <w:rsid w:val="7CA12173"/>
    <w:rsid w:val="7CCE6E31"/>
    <w:rsid w:val="7CF24C2C"/>
    <w:rsid w:val="7D036989"/>
    <w:rsid w:val="7D0F3586"/>
    <w:rsid w:val="7D5F2148"/>
    <w:rsid w:val="7D6879B5"/>
    <w:rsid w:val="7D6F2271"/>
    <w:rsid w:val="7D883076"/>
    <w:rsid w:val="7D8F646F"/>
    <w:rsid w:val="7D913F95"/>
    <w:rsid w:val="7DE467BB"/>
    <w:rsid w:val="7E1E6B34"/>
    <w:rsid w:val="7E29039D"/>
    <w:rsid w:val="7E341102"/>
    <w:rsid w:val="7E7A410E"/>
    <w:rsid w:val="7E7A4DCB"/>
    <w:rsid w:val="7EEB5927"/>
    <w:rsid w:val="7F0A7EBE"/>
    <w:rsid w:val="7F2424A1"/>
    <w:rsid w:val="7F60063E"/>
    <w:rsid w:val="7FDC3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autoRedefine/>
    <w:qFormat/>
    <w:uiPriority w:val="0"/>
    <w:pPr>
      <w:keepNext/>
      <w:keepLines/>
      <w:spacing w:before="260" w:after="260" w:line="416" w:lineRule="auto"/>
      <w:outlineLvl w:val="2"/>
    </w:pPr>
    <w:rPr>
      <w:b/>
      <w:bCs/>
      <w:kern w:val="0"/>
      <w:sz w:val="32"/>
      <w:szCs w:val="32"/>
    </w:rPr>
  </w:style>
  <w:style w:type="character" w:default="1" w:styleId="17">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spacing w:line="360" w:lineRule="auto"/>
    </w:pPr>
  </w:style>
  <w:style w:type="paragraph" w:styleId="4">
    <w:name w:val="annotation text"/>
    <w:basedOn w:val="1"/>
    <w:autoRedefine/>
    <w:unhideWhenUsed/>
    <w:qFormat/>
    <w:uiPriority w:val="0"/>
    <w:pPr>
      <w:jc w:val="left"/>
    </w:pPr>
    <w:rPr>
      <w:kern w:val="0"/>
      <w:sz w:val="20"/>
    </w:rPr>
  </w:style>
  <w:style w:type="paragraph" w:styleId="5">
    <w:name w:val="Body Text"/>
    <w:basedOn w:val="1"/>
    <w:next w:val="6"/>
    <w:autoRedefine/>
    <w:unhideWhenUsed/>
    <w:qFormat/>
    <w:uiPriority w:val="0"/>
    <w:pPr>
      <w:spacing w:after="120"/>
    </w:pPr>
    <w:rPr>
      <w:sz w:val="24"/>
    </w:rPr>
  </w:style>
  <w:style w:type="paragraph" w:styleId="6">
    <w:name w:val="Quote"/>
    <w:next w:val="1"/>
    <w:autoRedefine/>
    <w:qFormat/>
    <w:uiPriority w:val="0"/>
    <w:pPr>
      <w:wordWrap w:val="0"/>
      <w:spacing w:before="200" w:after="160" w:line="276" w:lineRule="auto"/>
      <w:ind w:left="864" w:right="864"/>
      <w:jc w:val="center"/>
    </w:pPr>
    <w:rPr>
      <w:rFonts w:ascii="Calibri" w:hAnsi="Calibri" w:eastAsia="宋体" w:cs="Times New Roman"/>
      <w:i/>
      <w:sz w:val="21"/>
      <w:lang w:val="en-US" w:eastAsia="zh-CN" w:bidi="ar-SA"/>
    </w:rPr>
  </w:style>
  <w:style w:type="paragraph" w:styleId="7">
    <w:name w:val="Body Text Indent"/>
    <w:basedOn w:val="1"/>
    <w:autoRedefine/>
    <w:unhideWhenUsed/>
    <w:qFormat/>
    <w:uiPriority w:val="99"/>
    <w:pPr>
      <w:spacing w:after="120" w:line="360" w:lineRule="auto"/>
      <w:ind w:left="420" w:leftChars="200"/>
    </w:pPr>
    <w:rPr>
      <w:kern w:val="0"/>
      <w:sz w:val="20"/>
      <w:szCs w:val="20"/>
    </w:rPr>
  </w:style>
  <w:style w:type="paragraph" w:styleId="8">
    <w:name w:val="Plain Text"/>
    <w:basedOn w:val="1"/>
    <w:next w:val="9"/>
    <w:autoRedefine/>
    <w:qFormat/>
    <w:uiPriority w:val="0"/>
    <w:rPr>
      <w:rFonts w:ascii="宋体" w:hAnsi="Courier New"/>
    </w:rPr>
  </w:style>
  <w:style w:type="paragraph" w:customStyle="1" w:styleId="9">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10">
    <w:name w:val="Balloon Text"/>
    <w:basedOn w:val="1"/>
    <w:link w:val="34"/>
    <w:autoRedefine/>
    <w:qFormat/>
    <w:uiPriority w:val="0"/>
    <w:rPr>
      <w:sz w:val="18"/>
      <w:szCs w:val="18"/>
    </w:rPr>
  </w:style>
  <w:style w:type="paragraph" w:styleId="11">
    <w:name w:val="footer"/>
    <w:basedOn w:val="1"/>
    <w:autoRedefine/>
    <w:unhideWhenUsed/>
    <w:qFormat/>
    <w:uiPriority w:val="99"/>
    <w:pPr>
      <w:tabs>
        <w:tab w:val="center" w:pos="4153"/>
        <w:tab w:val="right" w:pos="8306"/>
      </w:tabs>
      <w:snapToGrid w:val="0"/>
      <w:jc w:val="left"/>
    </w:pPr>
    <w:rPr>
      <w:kern w:val="0"/>
      <w:sz w:val="18"/>
      <w:szCs w:val="18"/>
    </w:rPr>
  </w:style>
  <w:style w:type="paragraph" w:styleId="12">
    <w:name w:val="header"/>
    <w:basedOn w:val="1"/>
    <w:link w:val="30"/>
    <w:autoRedefine/>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autoRedefine/>
    <w:unhideWhenUsed/>
    <w:qFormat/>
    <w:uiPriority w:val="39"/>
  </w:style>
  <w:style w:type="paragraph" w:styleId="14">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15">
    <w:name w:val="Title"/>
    <w:basedOn w:val="1"/>
    <w:next w:val="1"/>
    <w:autoRedefine/>
    <w:qFormat/>
    <w:uiPriority w:val="0"/>
    <w:pPr>
      <w:spacing w:before="240" w:after="60"/>
      <w:jc w:val="center"/>
      <w:outlineLvl w:val="0"/>
    </w:pPr>
    <w:rPr>
      <w:rFonts w:ascii="Arial" w:hAnsi="Arial" w:eastAsia="隶书"/>
      <w:b/>
      <w:bCs/>
      <w:sz w:val="32"/>
      <w:szCs w:val="32"/>
    </w:rPr>
  </w:style>
  <w:style w:type="character" w:styleId="18">
    <w:name w:val="Strong"/>
    <w:basedOn w:val="17"/>
    <w:autoRedefine/>
    <w:qFormat/>
    <w:uiPriority w:val="22"/>
    <w:rPr>
      <w:b/>
      <w:bCs/>
    </w:rPr>
  </w:style>
  <w:style w:type="character" w:styleId="19">
    <w:name w:val="page number"/>
    <w:autoRedefine/>
    <w:qFormat/>
    <w:uiPriority w:val="0"/>
  </w:style>
  <w:style w:type="character" w:styleId="20">
    <w:name w:val="annotation reference"/>
    <w:basedOn w:val="17"/>
    <w:autoRedefine/>
    <w:qFormat/>
    <w:uiPriority w:val="0"/>
    <w:rPr>
      <w:sz w:val="21"/>
      <w:szCs w:val="21"/>
    </w:rPr>
  </w:style>
  <w:style w:type="paragraph" w:customStyle="1" w:styleId="21">
    <w:name w:val="正文格式"/>
    <w:basedOn w:val="7"/>
    <w:autoRedefine/>
    <w:qFormat/>
    <w:uiPriority w:val="99"/>
    <w:pPr>
      <w:spacing w:after="0"/>
      <w:ind w:left="0" w:leftChars="0" w:firstLine="600"/>
    </w:pPr>
    <w:rPr>
      <w:rFonts w:eastAsia="仿宋_GB2312"/>
      <w:sz w:val="30"/>
      <w:szCs w:val="30"/>
    </w:rPr>
  </w:style>
  <w:style w:type="paragraph" w:customStyle="1" w:styleId="22">
    <w:name w:val="文档正文"/>
    <w:basedOn w:val="1"/>
    <w:autoRedefine/>
    <w:qFormat/>
    <w:uiPriority w:val="99"/>
    <w:pPr>
      <w:adjustRightInd w:val="0"/>
      <w:spacing w:line="480" w:lineRule="atLeast"/>
      <w:ind w:firstLine="567" w:firstLineChars="200"/>
      <w:textAlignment w:val="baseline"/>
    </w:pPr>
    <w:rPr>
      <w:rFonts w:ascii="长城仿宋" w:hAnsi="Calibri"/>
      <w:kern w:val="0"/>
      <w:szCs w:val="20"/>
    </w:rPr>
  </w:style>
  <w:style w:type="paragraph" w:styleId="23">
    <w:name w:val="List Paragraph"/>
    <w:basedOn w:val="1"/>
    <w:autoRedefine/>
    <w:qFormat/>
    <w:uiPriority w:val="34"/>
    <w:pPr>
      <w:numPr>
        <w:ilvl w:val="0"/>
        <w:numId w:val="1"/>
      </w:numPr>
      <w:tabs>
        <w:tab w:val="left" w:pos="720"/>
      </w:tabs>
      <w:autoSpaceDE w:val="0"/>
      <w:autoSpaceDN w:val="0"/>
      <w:adjustRightInd w:val="0"/>
      <w:spacing w:line="360" w:lineRule="auto"/>
      <w:ind w:right="17"/>
      <w:jc w:val="left"/>
      <w:outlineLvl w:val="1"/>
    </w:pPr>
    <w:rPr>
      <w:sz w:val="24"/>
      <w:lang w:val="zh-CN"/>
    </w:rPr>
  </w:style>
  <w:style w:type="paragraph" w:customStyle="1" w:styleId="24">
    <w:name w:val="（）列表模式"/>
    <w:basedOn w:val="1"/>
    <w:autoRedefine/>
    <w:qFormat/>
    <w:uiPriority w:val="0"/>
    <w:pPr>
      <w:tabs>
        <w:tab w:val="left" w:pos="960"/>
        <w:tab w:val="left" w:pos="1470"/>
      </w:tabs>
      <w:spacing w:line="360" w:lineRule="auto"/>
      <w:ind w:left="1470" w:hanging="420"/>
    </w:pPr>
    <w:rPr>
      <w:sz w:val="24"/>
      <w:szCs w:val="20"/>
    </w:rPr>
  </w:style>
  <w:style w:type="paragraph" w:customStyle="1" w:styleId="25">
    <w:name w:val="Table Paragraph"/>
    <w:basedOn w:val="1"/>
    <w:autoRedefine/>
    <w:qFormat/>
    <w:uiPriority w:val="0"/>
    <w:pPr>
      <w:autoSpaceDE w:val="0"/>
      <w:autoSpaceDN w:val="0"/>
      <w:jc w:val="left"/>
    </w:pPr>
    <w:rPr>
      <w:rFonts w:ascii="宋体" w:hAnsi="宋体" w:cs="宋体"/>
      <w:kern w:val="0"/>
      <w:sz w:val="22"/>
      <w:szCs w:val="22"/>
    </w:rPr>
  </w:style>
  <w:style w:type="paragraph" w:customStyle="1" w:styleId="26">
    <w:name w:val="x-scope"/>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27">
    <w:name w:val="qowt-font5-gb2312"/>
    <w:autoRedefine/>
    <w:qFormat/>
    <w:uiPriority w:val="0"/>
  </w:style>
  <w:style w:type="paragraph" w:customStyle="1" w:styleId="28">
    <w:name w:val="Table Text"/>
    <w:basedOn w:val="1"/>
    <w:autoRedefine/>
    <w:semiHidden/>
    <w:qFormat/>
    <w:uiPriority w:val="0"/>
    <w:pPr>
      <w:widowControl/>
      <w:kinsoku w:val="0"/>
      <w:autoSpaceDE w:val="0"/>
      <w:autoSpaceDN w:val="0"/>
      <w:adjustRightInd w:val="0"/>
      <w:snapToGrid w:val="0"/>
      <w:jc w:val="left"/>
      <w:textAlignment w:val="baseline"/>
    </w:pPr>
    <w:rPr>
      <w:rFonts w:ascii="宋体" w:hAnsi="宋体" w:cs="宋体"/>
      <w:snapToGrid w:val="0"/>
      <w:color w:val="000000"/>
      <w:kern w:val="0"/>
      <w:szCs w:val="21"/>
      <w:lang w:eastAsia="en-US"/>
    </w:rPr>
  </w:style>
  <w:style w:type="paragraph" w:customStyle="1" w:styleId="29">
    <w:name w:val="CR-表格"/>
    <w:basedOn w:val="1"/>
    <w:autoRedefine/>
    <w:qFormat/>
    <w:uiPriority w:val="0"/>
    <w:pPr>
      <w:spacing w:line="288" w:lineRule="auto"/>
    </w:pPr>
    <w:rPr>
      <w:rFonts w:hint="eastAsia"/>
      <w:lang w:eastAsia="zh-Hans"/>
    </w:rPr>
  </w:style>
  <w:style w:type="character" w:customStyle="1" w:styleId="30">
    <w:name w:val="页眉 字符"/>
    <w:basedOn w:val="17"/>
    <w:link w:val="12"/>
    <w:autoRedefine/>
    <w:qFormat/>
    <w:uiPriority w:val="0"/>
    <w:rPr>
      <w:kern w:val="2"/>
      <w:sz w:val="18"/>
      <w:szCs w:val="18"/>
    </w:rPr>
  </w:style>
  <w:style w:type="paragraph" w:customStyle="1" w:styleId="31">
    <w:name w:val="B_Z2表格"/>
    <w:basedOn w:val="1"/>
    <w:autoRedefine/>
    <w:qFormat/>
    <w:uiPriority w:val="95"/>
    <w:pPr>
      <w:widowControl/>
      <w:spacing w:line="288" w:lineRule="auto"/>
      <w:jc w:val="center"/>
    </w:pPr>
    <w:rPr>
      <w:rFonts w:ascii="Arial" w:hAnsi="Arial" w:cs="Calibri"/>
      <w:kern w:val="0"/>
      <w:szCs w:val="20"/>
    </w:rPr>
  </w:style>
  <w:style w:type="paragraph" w:customStyle="1" w:styleId="32">
    <w:name w:val="B_Z1正文"/>
    <w:basedOn w:val="1"/>
    <w:autoRedefine/>
    <w:qFormat/>
    <w:uiPriority w:val="0"/>
    <w:pPr>
      <w:widowControl/>
      <w:adjustRightInd w:val="0"/>
      <w:snapToGrid w:val="0"/>
      <w:spacing w:line="360" w:lineRule="auto"/>
      <w:ind w:firstLine="480" w:firstLineChars="200"/>
    </w:pPr>
    <w:rPr>
      <w:rFonts w:asciiTheme="minorHAnsi" w:hAnsiTheme="minorHAnsi" w:cstheme="minorBidi"/>
      <w:sz w:val="24"/>
      <w:szCs w:val="22"/>
    </w:rPr>
  </w:style>
  <w:style w:type="paragraph" w:customStyle="1" w:styleId="33">
    <w:name w:val="修订1"/>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34">
    <w:name w:val="批注框文本 字符"/>
    <w:basedOn w:val="17"/>
    <w:link w:val="10"/>
    <w:autoRedefine/>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79</Pages>
  <Words>7201</Words>
  <Characters>41052</Characters>
  <Lines>342</Lines>
  <Paragraphs>96</Paragraphs>
  <TotalTime>5</TotalTime>
  <ScaleCrop>false</ScaleCrop>
  <LinksUpToDate>false</LinksUpToDate>
  <CharactersWithSpaces>48157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2024-03-14T06:29:00Z</dcterms:created>
  <dc:creator>姬崽</dc:creator>
  <cp:lastModifiedBy>YDZB</cp:lastModifiedBy>
  <dcterms:modified xsi:type="dcterms:W3CDTF">2024-03-19T11:13:15Z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B8C22CFB097B4D408D05730576EC8F63_13</vt:lpwstr>
  </property>
</Properties>
</file>