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b/>
          <w:spacing w:val="20"/>
          <w:sz w:val="28"/>
        </w:rPr>
      </w:pPr>
      <w:r>
        <w:rPr>
          <w:rFonts w:hint="eastAsia" w:ascii="宋体" w:hAnsi="宋体"/>
          <w:b/>
          <w:spacing w:val="20"/>
          <w:sz w:val="28"/>
        </w:rPr>
        <w:t>项目编号：QHCG23053</w:t>
      </w:r>
    </w:p>
    <w:p>
      <w:pPr>
        <w:jc w:val="center"/>
        <w:rPr>
          <w:rFonts w:ascii="黑体" w:hAnsi="Arial" w:eastAsia="黑体" w:cs="Arial"/>
          <w:sz w:val="52"/>
          <w:szCs w:val="52"/>
        </w:rPr>
      </w:pPr>
    </w:p>
    <w:p>
      <w:pPr>
        <w:jc w:val="center"/>
        <w:rPr>
          <w:rFonts w:ascii="黑体" w:hAnsi="Arial" w:eastAsia="黑体" w:cs="Arial"/>
          <w:sz w:val="52"/>
          <w:szCs w:val="52"/>
        </w:rPr>
      </w:pPr>
      <w:r>
        <w:rPr>
          <w:rFonts w:hint="eastAsia" w:ascii="黑体" w:hAnsi="Arial" w:eastAsia="黑体" w:cs="Arial"/>
          <w:sz w:val="52"/>
          <w:szCs w:val="52"/>
        </w:rPr>
        <w:t>【服务类】</w:t>
      </w:r>
    </w:p>
    <w:p>
      <w:pPr>
        <w:jc w:val="center"/>
        <w:rPr>
          <w:rFonts w:ascii="黑体" w:hAnsi="黑体" w:eastAsia="黑体"/>
          <w:sz w:val="52"/>
          <w:szCs w:val="52"/>
        </w:rPr>
      </w:pPr>
      <w:r>
        <w:rPr>
          <w:rFonts w:hint="eastAsia" w:ascii="黑体" w:hAnsi="黑体" w:eastAsia="黑体"/>
          <w:sz w:val="52"/>
          <w:szCs w:val="52"/>
        </w:rPr>
        <w:t>前海合作区土地供应2024年度分布</w:t>
      </w:r>
    </w:p>
    <w:p>
      <w:pPr>
        <w:jc w:val="center"/>
      </w:pPr>
      <w:r>
        <w:rPr>
          <w:rFonts w:hint="eastAsia" w:ascii="黑体" w:hAnsi="黑体" w:eastAsia="黑体"/>
          <w:sz w:val="52"/>
          <w:szCs w:val="52"/>
        </w:rPr>
        <w:t>指引及项目库构建</w:t>
      </w:r>
    </w:p>
    <w:p/>
    <w:p/>
    <w:p/>
    <w:p>
      <w:pPr>
        <w:jc w:val="center"/>
        <w:rPr>
          <w:rFonts w:ascii="黑体" w:eastAsia="黑体"/>
          <w:sz w:val="72"/>
          <w:szCs w:val="52"/>
        </w:rPr>
      </w:pPr>
      <w:r>
        <w:rPr>
          <w:rFonts w:hint="eastAsia" w:ascii="黑体" w:eastAsia="黑体"/>
          <w:sz w:val="72"/>
          <w:szCs w:val="52"/>
        </w:rPr>
        <w:t>招 标 文 件</w:t>
      </w:r>
    </w:p>
    <w:p>
      <w:pPr>
        <w:jc w:val="center"/>
        <w:rPr>
          <w:rFonts w:ascii="黑体" w:eastAsia="黑体"/>
          <w:sz w:val="52"/>
          <w:szCs w:val="52"/>
        </w:rPr>
      </w:pPr>
    </w:p>
    <w:p>
      <w:pPr>
        <w:rPr>
          <w:rFonts w:ascii="Arial" w:hAnsi="Arial" w:eastAsia="仿宋_GB2312" w:cs="Arial"/>
          <w:sz w:val="44"/>
        </w:rPr>
      </w:pPr>
    </w:p>
    <w:p>
      <w:pPr>
        <w:rPr>
          <w:rFonts w:ascii="Arial" w:hAnsi="Arial" w:eastAsia="仿宋_GB2312" w:cs="Arial"/>
          <w:sz w:val="44"/>
        </w:rPr>
      </w:pPr>
    </w:p>
    <w:p>
      <w:pPr>
        <w:snapToGrid w:val="0"/>
        <w:spacing w:line="480" w:lineRule="auto"/>
        <w:jc w:val="center"/>
        <w:rPr>
          <w:rFonts w:ascii="Arial" w:hAnsi="Arial" w:eastAsia="仿宋_GB2312" w:cs="Arial"/>
          <w:sz w:val="48"/>
        </w:rPr>
      </w:pPr>
      <w:r>
        <w:rPr>
          <w:rFonts w:hint="eastAsia" w:ascii="宋体" w:hAnsi="宋体" w:cs="宋体"/>
          <w:sz w:val="44"/>
        </w:rPr>
        <w:drawing>
          <wp:inline distT="0" distB="0" distL="114300" distR="114300">
            <wp:extent cx="1210945" cy="1210945"/>
            <wp:effectExtent l="0" t="0" r="8255" b="8255"/>
            <wp:docPr id="8" name="图片 8"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bbc1c3021ac190a7f1ff08bab79ef"/>
                    <pic:cNvPicPr>
                      <a:picLocks noChangeAspect="1"/>
                    </pic:cNvPicPr>
                  </pic:nvPicPr>
                  <pic:blipFill>
                    <a:blip r:embed="rId12"/>
                    <a:stretch>
                      <a:fillRect/>
                    </a:stretch>
                  </pic:blipFill>
                  <pic:spPr>
                    <a:xfrm>
                      <a:off x="0" y="0"/>
                      <a:ext cx="1210945" cy="1210945"/>
                    </a:xfrm>
                    <a:prstGeom prst="rect">
                      <a:avLst/>
                    </a:prstGeom>
                  </pic:spPr>
                </pic:pic>
              </a:graphicData>
            </a:graphic>
          </wp:inline>
        </w:drawing>
      </w:r>
    </w:p>
    <w:p>
      <w:pPr>
        <w:snapToGrid w:val="0"/>
        <w:jc w:val="center"/>
        <w:rPr>
          <w:rFonts w:ascii="黑体" w:hAnsi="黑体" w:eastAsia="黑体" w:cs="Arial"/>
          <w:sz w:val="32"/>
          <w:szCs w:val="36"/>
        </w:rPr>
      </w:pPr>
      <w:r>
        <w:rPr>
          <w:rFonts w:hint="eastAsia" w:ascii="黑体" w:hAnsi="黑体" w:eastAsia="黑体" w:cs="Arial"/>
          <w:sz w:val="32"/>
          <w:szCs w:val="36"/>
        </w:rPr>
        <w:t>深圳市前海深港现代服务业合作区管理局</w:t>
      </w:r>
    </w:p>
    <w:p>
      <w:pPr>
        <w:pStyle w:val="2"/>
        <w:jc w:val="center"/>
        <w:rPr>
          <w:sz w:val="18"/>
        </w:rPr>
      </w:pPr>
    </w:p>
    <w:p>
      <w:pPr>
        <w:jc w:val="center"/>
        <w:rPr>
          <w:rFonts w:ascii="黑体" w:hAnsi="黑体" w:eastAsia="黑体" w:cs="Arial"/>
          <w:sz w:val="32"/>
          <w:szCs w:val="36"/>
        </w:rPr>
      </w:pPr>
      <w:r>
        <w:rPr>
          <w:rFonts w:hint="eastAsia" w:ascii="黑体" w:hAnsi="黑体" w:eastAsia="黑体" w:cs="Arial"/>
          <w:sz w:val="32"/>
          <w:szCs w:val="36"/>
        </w:rPr>
        <w:t>二</w:t>
      </w:r>
      <w:r>
        <w:rPr>
          <w:rFonts w:hint="eastAsia" w:ascii="黑体" w:hAnsi="黑体" w:eastAsia="黑体" w:cs="宋体"/>
          <w:sz w:val="32"/>
          <w:szCs w:val="36"/>
        </w:rPr>
        <w:t>〇</w:t>
      </w:r>
      <w:r>
        <w:rPr>
          <w:rFonts w:hint="eastAsia" w:ascii="黑体" w:hAnsi="黑体" w:eastAsia="黑体" w:cs="Arial"/>
          <w:sz w:val="32"/>
          <w:szCs w:val="36"/>
        </w:rPr>
        <w:t>二</w:t>
      </w:r>
      <w:r>
        <w:rPr>
          <w:rFonts w:hint="eastAsia" w:ascii="黑体" w:hAnsi="黑体" w:eastAsia="黑体" w:cs="宋体"/>
          <w:sz w:val="32"/>
          <w:szCs w:val="36"/>
        </w:rPr>
        <w:t>四</w:t>
      </w:r>
      <w:r>
        <w:rPr>
          <w:rFonts w:hint="eastAsia" w:ascii="黑体" w:hAnsi="黑体" w:eastAsia="黑体" w:cs="Arial"/>
          <w:sz w:val="32"/>
          <w:szCs w:val="36"/>
        </w:rPr>
        <w:t>年</w:t>
      </w:r>
      <w:bookmarkStart w:id="0" w:name="bt工程概况"/>
      <w:bookmarkEnd w:id="0"/>
      <w:r>
        <w:rPr>
          <w:rFonts w:hint="eastAsia" w:ascii="黑体" w:hAnsi="黑体" w:eastAsia="黑体" w:cs="Arial"/>
          <w:sz w:val="32"/>
          <w:szCs w:val="36"/>
          <w:lang w:eastAsia="zh-CN"/>
        </w:rPr>
        <w:t>三</w:t>
      </w:r>
      <w:r>
        <w:rPr>
          <w:rFonts w:hint="eastAsia" w:ascii="黑体" w:hAnsi="黑体" w:eastAsia="黑体" w:cs="Arial"/>
          <w:sz w:val="32"/>
          <w:szCs w:val="36"/>
        </w:rPr>
        <w:t>月</w:t>
      </w:r>
    </w:p>
    <w:p>
      <w:pPr>
        <w:pStyle w:val="2"/>
        <w:rPr>
          <w:rFonts w:ascii="黑体" w:hAnsi="黑体" w:eastAsia="黑体" w:cs="Arial"/>
          <w:sz w:val="36"/>
          <w:szCs w:val="36"/>
        </w:rPr>
      </w:pPr>
    </w:p>
    <w:p>
      <w:pPr>
        <w:pStyle w:val="2"/>
        <w:sectPr>
          <w:footerReference r:id="rId4" w:type="first"/>
          <w:footerReference r:id="rId3" w:type="default"/>
          <w:pgSz w:w="11906" w:h="16838"/>
          <w:pgMar w:top="1985" w:right="1474" w:bottom="1871" w:left="1588" w:header="794" w:footer="964" w:gutter="0"/>
          <w:pgNumType w:start="1"/>
          <w:cols w:space="720" w:num="1"/>
          <w:titlePg/>
          <w:docGrid w:type="lines" w:linePitch="312" w:charSpace="0"/>
        </w:sectPr>
      </w:pPr>
    </w:p>
    <w:sdt>
      <w:sdtPr>
        <w:rPr>
          <w:rFonts w:hint="eastAsia" w:ascii="仿宋" w:hAnsi="仿宋" w:eastAsia="仿宋" w:cs="仿宋"/>
          <w:b/>
          <w:bCs/>
          <w:kern w:val="0"/>
          <w:sz w:val="28"/>
          <w:szCs w:val="36"/>
        </w:rPr>
        <w:id w:val="147477836"/>
        <w:docPartObj>
          <w:docPartGallery w:val="Table of Contents"/>
          <w:docPartUnique/>
        </w:docPartObj>
      </w:sdtPr>
      <w:sdtEndPr>
        <w:rPr>
          <w:rFonts w:hint="eastAsia" w:ascii="Times New Roman" w:hAnsi="Times New Roman" w:eastAsia="宋体" w:cs="Times New Roman"/>
          <w:b/>
          <w:bCs/>
          <w:kern w:val="0"/>
          <w:sz w:val="20"/>
          <w:szCs w:val="24"/>
        </w:rPr>
      </w:sdtEndPr>
      <w:sdtContent>
        <w:p>
          <w:pPr>
            <w:jc w:val="center"/>
            <w:rPr>
              <w:rFonts w:ascii="仿宋" w:hAnsi="仿宋" w:eastAsia="仿宋" w:cs="仿宋"/>
              <w:b/>
              <w:bCs/>
              <w:sz w:val="28"/>
              <w:szCs w:val="36"/>
            </w:rPr>
          </w:pPr>
          <w:r>
            <w:rPr>
              <w:rFonts w:hint="eastAsia" w:ascii="仿宋" w:hAnsi="仿宋" w:eastAsia="仿宋" w:cs="仿宋"/>
              <w:b/>
              <w:bCs/>
              <w:sz w:val="28"/>
              <w:szCs w:val="36"/>
            </w:rPr>
            <w:t>目  录</w:t>
          </w:r>
        </w:p>
        <w:p>
          <w:pPr>
            <w:pStyle w:val="17"/>
            <w:tabs>
              <w:tab w:val="right" w:leader="dot" w:pos="8844"/>
            </w:tabs>
          </w:pPr>
          <w:r>
            <w:rPr>
              <w:rFonts w:hint="eastAsia" w:ascii="宋体" w:hAnsi="宋体" w:cs="宋体"/>
              <w:b w:val="0"/>
              <w:bCs w:val="0"/>
            </w:rPr>
            <w:fldChar w:fldCharType="begin"/>
          </w:r>
          <w:r>
            <w:rPr>
              <w:rFonts w:hint="eastAsia" w:ascii="宋体" w:hAnsi="宋体" w:cs="宋体"/>
              <w:b w:val="0"/>
              <w:bCs w:val="0"/>
            </w:rPr>
            <w:instrText xml:space="preserve">TOC \o "1-3" \h \u </w:instrText>
          </w:r>
          <w:r>
            <w:rPr>
              <w:rFonts w:hint="eastAsia" w:ascii="宋体" w:hAnsi="宋体" w:cs="宋体"/>
              <w:b w:val="0"/>
              <w:bCs w:val="0"/>
            </w:rPr>
            <w:fldChar w:fldCharType="separate"/>
          </w:r>
          <w:r>
            <w:fldChar w:fldCharType="begin"/>
          </w:r>
          <w:r>
            <w:instrText xml:space="preserve"> HYPERLINK \l "_Toc4239" </w:instrText>
          </w:r>
          <w:r>
            <w:fldChar w:fldCharType="separate"/>
          </w:r>
          <w:r>
            <w:rPr>
              <w:rFonts w:hint="eastAsia" w:ascii="黑体" w:eastAsia="黑体"/>
              <w:szCs w:val="36"/>
            </w:rPr>
            <w:t>特别警示条款</w:t>
          </w:r>
          <w:r>
            <w:tab/>
          </w:r>
          <w:r>
            <w:fldChar w:fldCharType="begin"/>
          </w:r>
          <w:r>
            <w:instrText xml:space="preserve"> PAGEREF _Toc4239 \h </w:instrText>
          </w:r>
          <w:r>
            <w:fldChar w:fldCharType="separate"/>
          </w:r>
          <w:r>
            <w:t>1</w:t>
          </w:r>
          <w:r>
            <w:fldChar w:fldCharType="end"/>
          </w:r>
          <w:r>
            <w:fldChar w:fldCharType="end"/>
          </w:r>
        </w:p>
        <w:p>
          <w:pPr>
            <w:pStyle w:val="17"/>
            <w:tabs>
              <w:tab w:val="right" w:leader="dot" w:pos="8844"/>
            </w:tabs>
          </w:pPr>
          <w:r>
            <w:fldChar w:fldCharType="begin"/>
          </w:r>
          <w:r>
            <w:instrText xml:space="preserve"> HYPERLINK \l "_Toc23547" </w:instrText>
          </w:r>
          <w:r>
            <w:fldChar w:fldCharType="separate"/>
          </w:r>
          <w:r>
            <w:rPr>
              <w:rFonts w:hint="eastAsia" w:eastAsia="黑体"/>
            </w:rPr>
            <w:t>第一册  专用条款</w:t>
          </w:r>
          <w:r>
            <w:tab/>
          </w:r>
          <w:r>
            <w:fldChar w:fldCharType="begin"/>
          </w:r>
          <w:r>
            <w:instrText xml:space="preserve"> PAGEREF _Toc23547 \h </w:instrText>
          </w:r>
          <w:r>
            <w:fldChar w:fldCharType="separate"/>
          </w:r>
          <w:r>
            <w:t>3</w:t>
          </w:r>
          <w:r>
            <w:fldChar w:fldCharType="end"/>
          </w:r>
          <w:r>
            <w:fldChar w:fldCharType="end"/>
          </w:r>
        </w:p>
        <w:p>
          <w:pPr>
            <w:pStyle w:val="18"/>
            <w:tabs>
              <w:tab w:val="right" w:leader="dot" w:pos="8844"/>
            </w:tabs>
          </w:pPr>
          <w:r>
            <w:fldChar w:fldCharType="begin"/>
          </w:r>
          <w:r>
            <w:instrText xml:space="preserve"> HYPERLINK \l "_Toc16507" </w:instrText>
          </w:r>
          <w:r>
            <w:fldChar w:fldCharType="separate"/>
          </w:r>
          <w:r>
            <w:rPr>
              <w:rFonts w:hint="eastAsia"/>
            </w:rPr>
            <w:t>第一章  招标公告</w:t>
          </w:r>
          <w:r>
            <w:tab/>
          </w:r>
          <w:r>
            <w:fldChar w:fldCharType="begin"/>
          </w:r>
          <w:r>
            <w:instrText xml:space="preserve"> PAGEREF _Toc16507 \h </w:instrText>
          </w:r>
          <w:r>
            <w:fldChar w:fldCharType="separate"/>
          </w:r>
          <w:r>
            <w:t>4</w:t>
          </w:r>
          <w:r>
            <w:fldChar w:fldCharType="end"/>
          </w:r>
          <w:r>
            <w:fldChar w:fldCharType="end"/>
          </w:r>
        </w:p>
        <w:p>
          <w:pPr>
            <w:pStyle w:val="9"/>
            <w:tabs>
              <w:tab w:val="right" w:leader="dot" w:pos="8844"/>
            </w:tabs>
          </w:pPr>
          <w:r>
            <w:fldChar w:fldCharType="begin"/>
          </w:r>
          <w:r>
            <w:instrText xml:space="preserve"> HYPERLINK \l "_Toc12126" </w:instrText>
          </w:r>
          <w:r>
            <w:fldChar w:fldCharType="separate"/>
          </w:r>
          <w:r>
            <w:rPr>
              <w:rFonts w:hint="eastAsia" w:ascii="仿宋" w:hAnsi="仿宋" w:eastAsia="仿宋" w:cs="仿宋"/>
            </w:rPr>
            <w:t>一、项目基本情况</w:t>
          </w:r>
          <w:r>
            <w:tab/>
          </w:r>
          <w:r>
            <w:fldChar w:fldCharType="begin"/>
          </w:r>
          <w:r>
            <w:instrText xml:space="preserve"> PAGEREF _Toc12126 \h </w:instrText>
          </w:r>
          <w:r>
            <w:fldChar w:fldCharType="separate"/>
          </w:r>
          <w:r>
            <w:t>4</w:t>
          </w:r>
          <w:r>
            <w:fldChar w:fldCharType="end"/>
          </w:r>
          <w:r>
            <w:fldChar w:fldCharType="end"/>
          </w:r>
        </w:p>
        <w:p>
          <w:pPr>
            <w:pStyle w:val="9"/>
            <w:tabs>
              <w:tab w:val="right" w:leader="dot" w:pos="8844"/>
            </w:tabs>
          </w:pPr>
          <w:r>
            <w:fldChar w:fldCharType="begin"/>
          </w:r>
          <w:r>
            <w:instrText xml:space="preserve"> HYPERLINK \l "_Toc31613" </w:instrText>
          </w:r>
          <w:r>
            <w:fldChar w:fldCharType="separate"/>
          </w:r>
          <w:r>
            <w:rPr>
              <w:rFonts w:hint="eastAsia" w:ascii="仿宋" w:hAnsi="仿宋" w:eastAsia="仿宋" w:cs="仿宋"/>
            </w:rPr>
            <w:t>二、申请人的资格要求</w:t>
          </w:r>
          <w:r>
            <w:tab/>
          </w:r>
          <w:r>
            <w:fldChar w:fldCharType="begin"/>
          </w:r>
          <w:r>
            <w:instrText xml:space="preserve"> PAGEREF _Toc31613 \h </w:instrText>
          </w:r>
          <w:r>
            <w:fldChar w:fldCharType="separate"/>
          </w:r>
          <w:r>
            <w:t>4</w:t>
          </w:r>
          <w:r>
            <w:fldChar w:fldCharType="end"/>
          </w:r>
          <w:r>
            <w:fldChar w:fldCharType="end"/>
          </w:r>
        </w:p>
        <w:p>
          <w:pPr>
            <w:pStyle w:val="9"/>
            <w:tabs>
              <w:tab w:val="right" w:leader="dot" w:pos="8844"/>
            </w:tabs>
          </w:pPr>
          <w:r>
            <w:fldChar w:fldCharType="begin"/>
          </w:r>
          <w:r>
            <w:instrText xml:space="preserve"> HYPERLINK \l "_Toc17146" </w:instrText>
          </w:r>
          <w:r>
            <w:fldChar w:fldCharType="separate"/>
          </w:r>
          <w:r>
            <w:rPr>
              <w:rFonts w:hint="eastAsia" w:ascii="仿宋" w:hAnsi="仿宋" w:eastAsia="仿宋" w:cs="仿宋"/>
            </w:rPr>
            <w:t>三、获取招标文件</w:t>
          </w:r>
          <w:r>
            <w:tab/>
          </w:r>
          <w:r>
            <w:fldChar w:fldCharType="begin"/>
          </w:r>
          <w:r>
            <w:instrText xml:space="preserve"> PAGEREF _Toc17146 \h </w:instrText>
          </w:r>
          <w:r>
            <w:fldChar w:fldCharType="separate"/>
          </w:r>
          <w:r>
            <w:t>5</w:t>
          </w:r>
          <w:r>
            <w:fldChar w:fldCharType="end"/>
          </w:r>
          <w:r>
            <w:fldChar w:fldCharType="end"/>
          </w:r>
        </w:p>
        <w:p>
          <w:pPr>
            <w:pStyle w:val="9"/>
            <w:tabs>
              <w:tab w:val="right" w:leader="dot" w:pos="8844"/>
            </w:tabs>
          </w:pPr>
          <w:r>
            <w:fldChar w:fldCharType="begin"/>
          </w:r>
          <w:r>
            <w:instrText xml:space="preserve"> HYPERLINK \l "_Toc18025" </w:instrText>
          </w:r>
          <w:r>
            <w:fldChar w:fldCharType="separate"/>
          </w:r>
          <w:r>
            <w:rPr>
              <w:rFonts w:hint="eastAsia" w:ascii="仿宋" w:hAnsi="仿宋" w:eastAsia="仿宋" w:cs="仿宋"/>
            </w:rPr>
            <w:t>四、提交投标文件截止时间、 开标时间和地点</w:t>
          </w:r>
          <w:r>
            <w:tab/>
          </w:r>
          <w:r>
            <w:fldChar w:fldCharType="begin"/>
          </w:r>
          <w:r>
            <w:instrText xml:space="preserve"> PAGEREF _Toc18025 \h </w:instrText>
          </w:r>
          <w:r>
            <w:fldChar w:fldCharType="separate"/>
          </w:r>
          <w:r>
            <w:t>5</w:t>
          </w:r>
          <w:r>
            <w:fldChar w:fldCharType="end"/>
          </w:r>
          <w:r>
            <w:fldChar w:fldCharType="end"/>
          </w:r>
        </w:p>
        <w:p>
          <w:pPr>
            <w:pStyle w:val="9"/>
            <w:tabs>
              <w:tab w:val="right" w:leader="dot" w:pos="8844"/>
            </w:tabs>
          </w:pPr>
          <w:r>
            <w:fldChar w:fldCharType="begin"/>
          </w:r>
          <w:r>
            <w:instrText xml:space="preserve"> HYPERLINK \l "_Toc22041" </w:instrText>
          </w:r>
          <w:r>
            <w:fldChar w:fldCharType="separate"/>
          </w:r>
          <w:r>
            <w:rPr>
              <w:rFonts w:hint="eastAsia" w:ascii="仿宋" w:hAnsi="仿宋" w:eastAsia="仿宋" w:cs="仿宋"/>
            </w:rPr>
            <w:t>五、公告期限：自本公告发布之日起 5 个工作日</w:t>
          </w:r>
          <w:r>
            <w:tab/>
          </w:r>
          <w:r>
            <w:fldChar w:fldCharType="begin"/>
          </w:r>
          <w:r>
            <w:instrText xml:space="preserve"> PAGEREF _Toc22041 \h </w:instrText>
          </w:r>
          <w:r>
            <w:fldChar w:fldCharType="separate"/>
          </w:r>
          <w:r>
            <w:t>5</w:t>
          </w:r>
          <w:r>
            <w:fldChar w:fldCharType="end"/>
          </w:r>
          <w:r>
            <w:fldChar w:fldCharType="end"/>
          </w:r>
        </w:p>
        <w:p>
          <w:pPr>
            <w:pStyle w:val="9"/>
            <w:tabs>
              <w:tab w:val="right" w:leader="dot" w:pos="8844"/>
            </w:tabs>
          </w:pPr>
          <w:r>
            <w:fldChar w:fldCharType="begin"/>
          </w:r>
          <w:r>
            <w:instrText xml:space="preserve"> HYPERLINK \l "_Toc8704" </w:instrText>
          </w:r>
          <w:r>
            <w:fldChar w:fldCharType="separate"/>
          </w:r>
          <w:r>
            <w:rPr>
              <w:rFonts w:hint="eastAsia" w:ascii="仿宋" w:hAnsi="仿宋" w:eastAsia="仿宋" w:cs="仿宋"/>
            </w:rPr>
            <w:t>六、其他补充事宜</w:t>
          </w:r>
          <w:r>
            <w:tab/>
          </w:r>
          <w:r>
            <w:fldChar w:fldCharType="begin"/>
          </w:r>
          <w:r>
            <w:instrText xml:space="preserve"> PAGEREF _Toc8704 \h </w:instrText>
          </w:r>
          <w:r>
            <w:fldChar w:fldCharType="separate"/>
          </w:r>
          <w:r>
            <w:t>5</w:t>
          </w:r>
          <w:r>
            <w:fldChar w:fldCharType="end"/>
          </w:r>
          <w:r>
            <w:fldChar w:fldCharType="end"/>
          </w:r>
        </w:p>
        <w:p>
          <w:pPr>
            <w:pStyle w:val="9"/>
            <w:tabs>
              <w:tab w:val="right" w:leader="dot" w:pos="8844"/>
            </w:tabs>
          </w:pPr>
          <w:r>
            <w:fldChar w:fldCharType="begin"/>
          </w:r>
          <w:r>
            <w:instrText xml:space="preserve"> HYPERLINK \l "_Toc12950" </w:instrText>
          </w:r>
          <w:r>
            <w:fldChar w:fldCharType="separate"/>
          </w:r>
          <w:r>
            <w:rPr>
              <w:rFonts w:hint="eastAsia" w:ascii="仿宋" w:hAnsi="仿宋" w:eastAsia="仿宋" w:cs="仿宋"/>
            </w:rPr>
            <w:t>七、对本次招标提出询问， 请按以下方式联系。</w:t>
          </w:r>
          <w:r>
            <w:tab/>
          </w:r>
          <w:r>
            <w:fldChar w:fldCharType="begin"/>
          </w:r>
          <w:r>
            <w:instrText xml:space="preserve"> PAGEREF _Toc12950 \h </w:instrText>
          </w:r>
          <w:r>
            <w:fldChar w:fldCharType="separate"/>
          </w:r>
          <w:r>
            <w:t>6</w:t>
          </w:r>
          <w:r>
            <w:fldChar w:fldCharType="end"/>
          </w:r>
          <w:r>
            <w:fldChar w:fldCharType="end"/>
          </w:r>
        </w:p>
        <w:p>
          <w:pPr>
            <w:pStyle w:val="9"/>
            <w:tabs>
              <w:tab w:val="right" w:leader="dot" w:pos="8844"/>
            </w:tabs>
          </w:pPr>
          <w:r>
            <w:fldChar w:fldCharType="begin"/>
          </w:r>
          <w:r>
            <w:instrText xml:space="preserve"> HYPERLINK \l "_Toc13415" </w:instrText>
          </w:r>
          <w:r>
            <w:fldChar w:fldCharType="separate"/>
          </w:r>
          <w:r>
            <w:rPr>
              <w:rFonts w:hint="eastAsia" w:ascii="仿宋" w:hAnsi="仿宋" w:eastAsia="仿宋" w:cs="仿宋"/>
            </w:rPr>
            <w:t>八、银行账户信息</w:t>
          </w:r>
          <w:r>
            <w:tab/>
          </w:r>
          <w:r>
            <w:fldChar w:fldCharType="begin"/>
          </w:r>
          <w:r>
            <w:instrText xml:space="preserve"> PAGEREF _Toc13415 \h </w:instrText>
          </w:r>
          <w:r>
            <w:fldChar w:fldCharType="separate"/>
          </w:r>
          <w:r>
            <w:t>6</w:t>
          </w:r>
          <w:r>
            <w:fldChar w:fldCharType="end"/>
          </w:r>
          <w:r>
            <w:fldChar w:fldCharType="end"/>
          </w:r>
        </w:p>
        <w:p>
          <w:pPr>
            <w:pStyle w:val="18"/>
            <w:tabs>
              <w:tab w:val="right" w:leader="dot" w:pos="8844"/>
            </w:tabs>
          </w:pPr>
          <w:r>
            <w:fldChar w:fldCharType="begin"/>
          </w:r>
          <w:r>
            <w:instrText xml:space="preserve"> HYPERLINK \l "_Toc8935" </w:instrText>
          </w:r>
          <w:r>
            <w:fldChar w:fldCharType="separate"/>
          </w:r>
          <w:r>
            <w:rPr>
              <w:rFonts w:hint="eastAsia"/>
            </w:rPr>
            <w:t>第二章  关键信息</w:t>
          </w:r>
          <w:r>
            <w:tab/>
          </w:r>
          <w:r>
            <w:fldChar w:fldCharType="begin"/>
          </w:r>
          <w:r>
            <w:instrText xml:space="preserve"> PAGEREF _Toc8935 \h </w:instrText>
          </w:r>
          <w:r>
            <w:fldChar w:fldCharType="separate"/>
          </w:r>
          <w:r>
            <w:t>7</w:t>
          </w:r>
          <w:r>
            <w:fldChar w:fldCharType="end"/>
          </w:r>
          <w:r>
            <w:fldChar w:fldCharType="end"/>
          </w:r>
        </w:p>
        <w:p>
          <w:pPr>
            <w:pStyle w:val="9"/>
            <w:tabs>
              <w:tab w:val="right" w:leader="dot" w:pos="8844"/>
            </w:tabs>
          </w:pPr>
          <w:r>
            <w:fldChar w:fldCharType="begin"/>
          </w:r>
          <w:r>
            <w:instrText xml:space="preserve"> HYPERLINK \l "_Toc3964" </w:instrText>
          </w:r>
          <w:r>
            <w:fldChar w:fldCharType="separate"/>
          </w:r>
          <w:r>
            <w:rPr>
              <w:rFonts w:hint="eastAsia" w:ascii="黑体" w:eastAsia="黑体"/>
              <w:szCs w:val="28"/>
            </w:rPr>
            <w:t>表一、投标须知前附表</w:t>
          </w:r>
          <w:r>
            <w:tab/>
          </w:r>
          <w:r>
            <w:fldChar w:fldCharType="begin"/>
          </w:r>
          <w:r>
            <w:instrText xml:space="preserve"> PAGEREF _Toc3964 \h </w:instrText>
          </w:r>
          <w:r>
            <w:fldChar w:fldCharType="separate"/>
          </w:r>
          <w:r>
            <w:t>7</w:t>
          </w:r>
          <w:r>
            <w:fldChar w:fldCharType="end"/>
          </w:r>
          <w:r>
            <w:fldChar w:fldCharType="end"/>
          </w:r>
        </w:p>
        <w:p>
          <w:pPr>
            <w:pStyle w:val="9"/>
            <w:tabs>
              <w:tab w:val="right" w:leader="dot" w:pos="8844"/>
            </w:tabs>
          </w:pPr>
          <w:r>
            <w:fldChar w:fldCharType="begin"/>
          </w:r>
          <w:r>
            <w:instrText xml:space="preserve"> HYPERLINK \l "_Toc9651" </w:instrText>
          </w:r>
          <w:r>
            <w:fldChar w:fldCharType="separate"/>
          </w:r>
          <w:r>
            <w:rPr>
              <w:rFonts w:hint="eastAsia" w:ascii="黑体" w:eastAsia="黑体"/>
              <w:szCs w:val="28"/>
            </w:rPr>
            <w:t>表二、投标文件初审表</w:t>
          </w:r>
          <w:r>
            <w:tab/>
          </w:r>
          <w:r>
            <w:fldChar w:fldCharType="begin"/>
          </w:r>
          <w:r>
            <w:instrText xml:space="preserve"> PAGEREF _Toc9651 \h </w:instrText>
          </w:r>
          <w:r>
            <w:fldChar w:fldCharType="separate"/>
          </w:r>
          <w:r>
            <w:t>8</w:t>
          </w:r>
          <w:r>
            <w:fldChar w:fldCharType="end"/>
          </w:r>
          <w:r>
            <w:fldChar w:fldCharType="end"/>
          </w:r>
        </w:p>
        <w:p>
          <w:pPr>
            <w:pStyle w:val="9"/>
            <w:tabs>
              <w:tab w:val="right" w:leader="dot" w:pos="8844"/>
            </w:tabs>
          </w:pPr>
          <w:r>
            <w:fldChar w:fldCharType="begin"/>
          </w:r>
          <w:r>
            <w:instrText xml:space="preserve"> HYPERLINK \l "_Toc667" </w:instrText>
          </w:r>
          <w:r>
            <w:fldChar w:fldCharType="separate"/>
          </w:r>
          <w:r>
            <w:rPr>
              <w:rFonts w:hint="eastAsia" w:ascii="黑体" w:eastAsia="黑体"/>
              <w:szCs w:val="28"/>
            </w:rPr>
            <w:t>表三、评标信息</w:t>
          </w:r>
          <w:r>
            <w:tab/>
          </w:r>
          <w:r>
            <w:fldChar w:fldCharType="begin"/>
          </w:r>
          <w:r>
            <w:instrText xml:space="preserve"> PAGEREF _Toc667 \h </w:instrText>
          </w:r>
          <w:r>
            <w:fldChar w:fldCharType="separate"/>
          </w:r>
          <w:r>
            <w:t>9</w:t>
          </w:r>
          <w:r>
            <w:fldChar w:fldCharType="end"/>
          </w:r>
          <w:r>
            <w:fldChar w:fldCharType="end"/>
          </w:r>
        </w:p>
        <w:p>
          <w:pPr>
            <w:pStyle w:val="18"/>
            <w:tabs>
              <w:tab w:val="right" w:leader="dot" w:pos="8844"/>
            </w:tabs>
          </w:pPr>
          <w:r>
            <w:fldChar w:fldCharType="begin"/>
          </w:r>
          <w:r>
            <w:instrText xml:space="preserve"> HYPERLINK \l "_Toc13035" </w:instrText>
          </w:r>
          <w:r>
            <w:fldChar w:fldCharType="separate"/>
          </w:r>
          <w:r>
            <w:rPr>
              <w:rFonts w:hint="eastAsia"/>
            </w:rPr>
            <w:t>第三章  招标项目需求</w:t>
          </w:r>
          <w:r>
            <w:tab/>
          </w:r>
          <w:r>
            <w:fldChar w:fldCharType="begin"/>
          </w:r>
          <w:r>
            <w:instrText xml:space="preserve"> PAGEREF _Toc13035 \h </w:instrText>
          </w:r>
          <w:r>
            <w:fldChar w:fldCharType="separate"/>
          </w:r>
          <w:r>
            <w:t>13</w:t>
          </w:r>
          <w:r>
            <w:fldChar w:fldCharType="end"/>
          </w:r>
          <w:r>
            <w:fldChar w:fldCharType="end"/>
          </w:r>
        </w:p>
        <w:p>
          <w:pPr>
            <w:pStyle w:val="9"/>
            <w:tabs>
              <w:tab w:val="right" w:leader="dot" w:pos="8844"/>
            </w:tabs>
          </w:pPr>
          <w:r>
            <w:fldChar w:fldCharType="begin"/>
          </w:r>
          <w:r>
            <w:instrText xml:space="preserve"> HYPERLINK \l "_Toc7126" </w:instrText>
          </w:r>
          <w:r>
            <w:fldChar w:fldCharType="separate"/>
          </w:r>
          <w:r>
            <w:rPr>
              <w:rFonts w:hint="eastAsia" w:ascii="仿宋" w:hAnsi="仿宋" w:eastAsia="仿宋" w:cs="仿宋"/>
            </w:rPr>
            <w:t>一、项目概况</w:t>
          </w:r>
          <w:r>
            <w:tab/>
          </w:r>
          <w:r>
            <w:fldChar w:fldCharType="begin"/>
          </w:r>
          <w:r>
            <w:instrText xml:space="preserve"> PAGEREF _Toc7126 \h </w:instrText>
          </w:r>
          <w:r>
            <w:fldChar w:fldCharType="separate"/>
          </w:r>
          <w:r>
            <w:t>14</w:t>
          </w:r>
          <w:r>
            <w:fldChar w:fldCharType="end"/>
          </w:r>
          <w:r>
            <w:fldChar w:fldCharType="end"/>
          </w:r>
        </w:p>
        <w:p>
          <w:pPr>
            <w:pStyle w:val="9"/>
            <w:tabs>
              <w:tab w:val="right" w:leader="dot" w:pos="8844"/>
            </w:tabs>
          </w:pPr>
          <w:r>
            <w:fldChar w:fldCharType="begin"/>
          </w:r>
          <w:r>
            <w:instrText xml:space="preserve"> HYPERLINK \l "_Toc18098" </w:instrText>
          </w:r>
          <w:r>
            <w:fldChar w:fldCharType="separate"/>
          </w:r>
          <w:r>
            <w:rPr>
              <w:rFonts w:hint="eastAsia" w:ascii="仿宋" w:hAnsi="仿宋" w:eastAsia="仿宋" w:cs="仿宋"/>
            </w:rPr>
            <w:t>（一）项目背景</w:t>
          </w:r>
          <w:r>
            <w:tab/>
          </w:r>
          <w:r>
            <w:fldChar w:fldCharType="begin"/>
          </w:r>
          <w:r>
            <w:instrText xml:space="preserve"> PAGEREF _Toc18098 \h </w:instrText>
          </w:r>
          <w:r>
            <w:fldChar w:fldCharType="separate"/>
          </w:r>
          <w:r>
            <w:t>14</w:t>
          </w:r>
          <w:r>
            <w:fldChar w:fldCharType="end"/>
          </w:r>
          <w:r>
            <w:fldChar w:fldCharType="end"/>
          </w:r>
        </w:p>
        <w:p>
          <w:pPr>
            <w:pStyle w:val="9"/>
            <w:tabs>
              <w:tab w:val="right" w:leader="dot" w:pos="8844"/>
            </w:tabs>
          </w:pPr>
          <w:r>
            <w:fldChar w:fldCharType="begin"/>
          </w:r>
          <w:r>
            <w:instrText xml:space="preserve"> HYPERLINK \l "_Toc23475" </w:instrText>
          </w:r>
          <w:r>
            <w:fldChar w:fldCharType="separate"/>
          </w:r>
          <w:r>
            <w:rPr>
              <w:rFonts w:hint="eastAsia" w:ascii="仿宋" w:hAnsi="仿宋" w:eastAsia="仿宋" w:cs="仿宋"/>
              <w:szCs w:val="28"/>
            </w:rPr>
            <w:t>二、项目服务内容及服务要求</w:t>
          </w:r>
          <w:r>
            <w:tab/>
          </w:r>
          <w:r>
            <w:fldChar w:fldCharType="begin"/>
          </w:r>
          <w:r>
            <w:instrText xml:space="preserve"> PAGEREF _Toc23475 \h </w:instrText>
          </w:r>
          <w:r>
            <w:fldChar w:fldCharType="separate"/>
          </w:r>
          <w:r>
            <w:t>14</w:t>
          </w:r>
          <w:r>
            <w:fldChar w:fldCharType="end"/>
          </w:r>
          <w:r>
            <w:fldChar w:fldCharType="end"/>
          </w:r>
        </w:p>
        <w:p>
          <w:pPr>
            <w:pStyle w:val="9"/>
            <w:tabs>
              <w:tab w:val="right" w:leader="dot" w:pos="8844"/>
            </w:tabs>
          </w:pPr>
          <w:r>
            <w:fldChar w:fldCharType="begin"/>
          </w:r>
          <w:r>
            <w:instrText xml:space="preserve"> HYPERLINK \l "_Toc18598" </w:instrText>
          </w:r>
          <w:r>
            <w:fldChar w:fldCharType="separate"/>
          </w:r>
          <w:r>
            <w:rPr>
              <w:rFonts w:hint="eastAsia" w:ascii="仿宋" w:hAnsi="仿宋" w:eastAsia="仿宋" w:cs="仿宋"/>
              <w:szCs w:val="28"/>
            </w:rPr>
            <w:t>三、商务要求</w:t>
          </w:r>
          <w:r>
            <w:tab/>
          </w:r>
          <w:r>
            <w:fldChar w:fldCharType="begin"/>
          </w:r>
          <w:r>
            <w:instrText xml:space="preserve"> PAGEREF _Toc18598 \h </w:instrText>
          </w:r>
          <w:r>
            <w:fldChar w:fldCharType="separate"/>
          </w:r>
          <w:r>
            <w:t>14</w:t>
          </w:r>
          <w:r>
            <w:fldChar w:fldCharType="end"/>
          </w:r>
          <w:r>
            <w:fldChar w:fldCharType="end"/>
          </w:r>
        </w:p>
        <w:p>
          <w:pPr>
            <w:pStyle w:val="18"/>
            <w:tabs>
              <w:tab w:val="right" w:leader="dot" w:pos="8844"/>
            </w:tabs>
          </w:pPr>
          <w:r>
            <w:fldChar w:fldCharType="begin"/>
          </w:r>
          <w:r>
            <w:instrText xml:space="preserve">HYPERLINK \l "_Toc30682"</w:instrText>
          </w:r>
          <w:r>
            <w:fldChar w:fldCharType="separate"/>
          </w:r>
          <w:r>
            <w:rPr>
              <w:rFonts w:hint="eastAsia"/>
            </w:rPr>
            <w:t>第四章  合同格式及合同条款</w:t>
          </w:r>
          <w:r>
            <w:tab/>
          </w:r>
          <w:r>
            <w:fldChar w:fldCharType="begin"/>
          </w:r>
          <w:r>
            <w:instrText xml:space="preserve"> PAGEREF _Toc30682 \h </w:instrText>
          </w:r>
          <w:r>
            <w:fldChar w:fldCharType="separate"/>
          </w:r>
          <w:r>
            <w:t>20</w:t>
          </w:r>
          <w:r>
            <w:fldChar w:fldCharType="end"/>
          </w:r>
          <w:r>
            <w:fldChar w:fldCharType="end"/>
          </w:r>
        </w:p>
        <w:p>
          <w:pPr>
            <w:pStyle w:val="9"/>
            <w:tabs>
              <w:tab w:val="right" w:leader="dot" w:pos="8844"/>
            </w:tabs>
          </w:pPr>
          <w:r>
            <w:fldChar w:fldCharType="begin"/>
          </w:r>
          <w:r>
            <w:instrText xml:space="preserve">HYPERLINK \l "_Toc23107"</w:instrText>
          </w:r>
          <w:r>
            <w:fldChar w:fldCharType="separate"/>
          </w:r>
          <w:r>
            <w:rPr>
              <w:rFonts w:hint="eastAsia" w:ascii="仿宋" w:hAnsi="仿宋" w:eastAsia="仿宋" w:cs="仿宋"/>
            </w:rPr>
            <w:t>（一）主要工作内容</w:t>
          </w:r>
          <w:r>
            <w:tab/>
          </w:r>
          <w:r>
            <w:fldChar w:fldCharType="begin"/>
          </w:r>
          <w:r>
            <w:instrText xml:space="preserve"> PAGEREF _Toc23107 \h </w:instrText>
          </w:r>
          <w:r>
            <w:fldChar w:fldCharType="separate"/>
          </w:r>
          <w:r>
            <w:t>20</w:t>
          </w:r>
          <w:r>
            <w:fldChar w:fldCharType="end"/>
          </w:r>
          <w:r>
            <w:fldChar w:fldCharType="end"/>
          </w:r>
        </w:p>
        <w:p>
          <w:pPr>
            <w:pStyle w:val="18"/>
            <w:tabs>
              <w:tab w:val="right" w:leader="dot" w:pos="8844"/>
            </w:tabs>
          </w:pPr>
          <w:r>
            <w:fldChar w:fldCharType="begin"/>
          </w:r>
          <w:r>
            <w:instrText xml:space="preserve">HYPERLINK \l "_Toc11373"</w:instrText>
          </w:r>
          <w:r>
            <w:fldChar w:fldCharType="separate"/>
          </w:r>
          <w:r>
            <w:rPr>
              <w:rFonts w:hint="eastAsia"/>
            </w:rPr>
            <w:t>第五章  投标文件的格式、附件</w:t>
          </w:r>
          <w:r>
            <w:tab/>
          </w:r>
          <w:r>
            <w:fldChar w:fldCharType="begin"/>
          </w:r>
          <w:r>
            <w:instrText xml:space="preserve"> PAGEREF _Toc11373 \h </w:instrText>
          </w:r>
          <w:r>
            <w:fldChar w:fldCharType="separate"/>
          </w:r>
          <w:r>
            <w:t>30</w:t>
          </w:r>
          <w:r>
            <w:fldChar w:fldCharType="end"/>
          </w:r>
          <w:r>
            <w:fldChar w:fldCharType="end"/>
          </w:r>
        </w:p>
        <w:p>
          <w:pPr>
            <w:pStyle w:val="18"/>
            <w:tabs>
              <w:tab w:val="right" w:leader="dot" w:pos="8844"/>
            </w:tabs>
          </w:pPr>
          <w:r>
            <w:fldChar w:fldCharType="begin"/>
          </w:r>
          <w:r>
            <w:instrText xml:space="preserve">HYPERLINK \l "_Toc22746"</w:instrText>
          </w:r>
          <w:r>
            <w:fldChar w:fldCharType="separate"/>
          </w:r>
          <w:r>
            <w:rPr>
              <w:rFonts w:hint="eastAsia"/>
              <w:szCs w:val="32"/>
            </w:rPr>
            <w:t>密封袋封条格式</w:t>
          </w:r>
          <w:r>
            <w:tab/>
          </w:r>
          <w:r>
            <w:fldChar w:fldCharType="begin"/>
          </w:r>
          <w:r>
            <w:instrText xml:space="preserve"> PAGEREF _Toc22746 \h </w:instrText>
          </w:r>
          <w:r>
            <w:fldChar w:fldCharType="separate"/>
          </w:r>
          <w:r>
            <w:t>31</w:t>
          </w:r>
          <w:r>
            <w:fldChar w:fldCharType="end"/>
          </w:r>
          <w:r>
            <w:fldChar w:fldCharType="end"/>
          </w:r>
        </w:p>
        <w:p>
          <w:pPr>
            <w:pStyle w:val="18"/>
            <w:tabs>
              <w:tab w:val="right" w:leader="dot" w:pos="8844"/>
            </w:tabs>
          </w:pPr>
          <w:r>
            <w:fldChar w:fldCharType="begin"/>
          </w:r>
          <w:r>
            <w:instrText xml:space="preserve">HYPERLINK \l "_Toc19578"</w:instrText>
          </w:r>
          <w:r>
            <w:fldChar w:fldCharType="separate"/>
          </w:r>
          <w:r>
            <w:rPr>
              <w:rFonts w:hint="eastAsia" w:ascii="宋体" w:hAnsi="宋体" w:cs="Arial"/>
              <w:bCs/>
              <w:szCs w:val="52"/>
            </w:rPr>
            <w:t>投标文件/开标一览表</w:t>
          </w:r>
          <w:r>
            <w:tab/>
          </w:r>
          <w:r>
            <w:fldChar w:fldCharType="begin"/>
          </w:r>
          <w:r>
            <w:instrText xml:space="preserve"> PAGEREF _Toc19578 \h </w:instrText>
          </w:r>
          <w:r>
            <w:fldChar w:fldCharType="separate"/>
          </w:r>
          <w:r>
            <w:t>31</w:t>
          </w:r>
          <w:r>
            <w:fldChar w:fldCharType="end"/>
          </w:r>
          <w:r>
            <w:fldChar w:fldCharType="end"/>
          </w:r>
        </w:p>
        <w:p>
          <w:pPr>
            <w:pStyle w:val="9"/>
            <w:tabs>
              <w:tab w:val="right" w:leader="dot" w:pos="8844"/>
            </w:tabs>
          </w:pPr>
          <w:r>
            <w:fldChar w:fldCharType="begin"/>
          </w:r>
          <w:r>
            <w:instrText xml:space="preserve">HYPERLINK \l "_Toc19549"</w:instrText>
          </w:r>
          <w:r>
            <w:fldChar w:fldCharType="separate"/>
          </w:r>
          <w:r>
            <w:rPr>
              <w:rFonts w:hint="eastAsia" w:ascii="黑体" w:eastAsia="黑体"/>
              <w:szCs w:val="28"/>
            </w:rPr>
            <w:t>开标一览表</w:t>
          </w:r>
          <w:r>
            <w:tab/>
          </w:r>
          <w:r>
            <w:fldChar w:fldCharType="begin"/>
          </w:r>
          <w:r>
            <w:instrText xml:space="preserve"> PAGEREF _Toc19549 \h </w:instrText>
          </w:r>
          <w:r>
            <w:fldChar w:fldCharType="separate"/>
          </w:r>
          <w:r>
            <w:t>32</w:t>
          </w:r>
          <w:r>
            <w:fldChar w:fldCharType="end"/>
          </w:r>
          <w:r>
            <w:fldChar w:fldCharType="end"/>
          </w:r>
        </w:p>
        <w:p>
          <w:pPr>
            <w:pStyle w:val="9"/>
            <w:tabs>
              <w:tab w:val="right" w:leader="dot" w:pos="8844"/>
            </w:tabs>
          </w:pPr>
          <w:r>
            <w:fldChar w:fldCharType="begin"/>
          </w:r>
          <w:r>
            <w:instrText xml:space="preserve">HYPERLINK \l "_Toc18204"</w:instrText>
          </w:r>
          <w:r>
            <w:fldChar w:fldCharType="separate"/>
          </w:r>
          <w:r>
            <w:rPr>
              <w:rFonts w:hint="eastAsia" w:ascii="黑体" w:eastAsia="黑体"/>
              <w:szCs w:val="28"/>
            </w:rPr>
            <w:t>一、评标指引表</w:t>
          </w:r>
          <w:r>
            <w:tab/>
          </w:r>
          <w:r>
            <w:fldChar w:fldCharType="begin"/>
          </w:r>
          <w:r>
            <w:instrText xml:space="preserve"> PAGEREF _Toc18204 \h </w:instrText>
          </w:r>
          <w:r>
            <w:fldChar w:fldCharType="separate"/>
          </w:r>
          <w:r>
            <w:t>34</w:t>
          </w:r>
          <w:r>
            <w:fldChar w:fldCharType="end"/>
          </w:r>
          <w:r>
            <w:fldChar w:fldCharType="end"/>
          </w:r>
        </w:p>
        <w:p>
          <w:pPr>
            <w:pStyle w:val="9"/>
            <w:tabs>
              <w:tab w:val="right" w:leader="dot" w:pos="8844"/>
            </w:tabs>
          </w:pPr>
          <w:r>
            <w:fldChar w:fldCharType="begin"/>
          </w:r>
          <w:r>
            <w:instrText xml:space="preserve">HYPERLINK \l "_Toc1944"</w:instrText>
          </w:r>
          <w:r>
            <w:fldChar w:fldCharType="separate"/>
          </w:r>
          <w:r>
            <w:rPr>
              <w:rFonts w:hint="eastAsia" w:ascii="黑体" w:eastAsia="黑体"/>
              <w:szCs w:val="28"/>
            </w:rPr>
            <w:t>二、投标函及承诺函</w:t>
          </w:r>
          <w:r>
            <w:tab/>
          </w:r>
          <w:r>
            <w:fldChar w:fldCharType="begin"/>
          </w:r>
          <w:r>
            <w:instrText xml:space="preserve"> PAGEREF _Toc1944 \h </w:instrText>
          </w:r>
          <w:r>
            <w:fldChar w:fldCharType="separate"/>
          </w:r>
          <w:r>
            <w:t>36</w:t>
          </w:r>
          <w:r>
            <w:fldChar w:fldCharType="end"/>
          </w:r>
          <w:r>
            <w:fldChar w:fldCharType="end"/>
          </w:r>
        </w:p>
        <w:p>
          <w:pPr>
            <w:pStyle w:val="9"/>
            <w:tabs>
              <w:tab w:val="right" w:leader="dot" w:pos="8844"/>
            </w:tabs>
          </w:pPr>
          <w:r>
            <w:fldChar w:fldCharType="begin"/>
          </w:r>
          <w:r>
            <w:instrText xml:space="preserve">HYPERLINK \l "_Toc5158"</w:instrText>
          </w:r>
          <w:r>
            <w:fldChar w:fldCharType="separate"/>
          </w:r>
          <w:r>
            <w:rPr>
              <w:rFonts w:hint="eastAsia" w:ascii="黑体" w:eastAsia="黑体"/>
              <w:szCs w:val="28"/>
            </w:rPr>
            <w:t>三、法定代表人资格证明书</w:t>
          </w:r>
          <w:r>
            <w:tab/>
          </w:r>
          <w:r>
            <w:fldChar w:fldCharType="begin"/>
          </w:r>
          <w:r>
            <w:instrText xml:space="preserve"> PAGEREF _Toc5158 \h </w:instrText>
          </w:r>
          <w:r>
            <w:fldChar w:fldCharType="separate"/>
          </w:r>
          <w:r>
            <w:t>42</w:t>
          </w:r>
          <w:r>
            <w:fldChar w:fldCharType="end"/>
          </w:r>
          <w:r>
            <w:fldChar w:fldCharType="end"/>
          </w:r>
        </w:p>
        <w:p>
          <w:pPr>
            <w:pStyle w:val="9"/>
            <w:tabs>
              <w:tab w:val="right" w:leader="dot" w:pos="8844"/>
            </w:tabs>
          </w:pPr>
          <w:r>
            <w:fldChar w:fldCharType="begin"/>
          </w:r>
          <w:r>
            <w:instrText xml:space="preserve">HYPERLINK \l "_Toc9195"</w:instrText>
          </w:r>
          <w:r>
            <w:fldChar w:fldCharType="separate"/>
          </w:r>
          <w:r>
            <w:rPr>
              <w:rFonts w:hint="eastAsia" w:ascii="黑体" w:eastAsia="黑体"/>
              <w:szCs w:val="28"/>
            </w:rPr>
            <w:t>四、法定代表人授权书</w:t>
          </w:r>
          <w:r>
            <w:tab/>
          </w:r>
          <w:r>
            <w:fldChar w:fldCharType="begin"/>
          </w:r>
          <w:r>
            <w:instrText xml:space="preserve"> PAGEREF _Toc9195 \h </w:instrText>
          </w:r>
          <w:r>
            <w:fldChar w:fldCharType="separate"/>
          </w:r>
          <w:r>
            <w:t>43</w:t>
          </w:r>
          <w:r>
            <w:fldChar w:fldCharType="end"/>
          </w:r>
          <w:r>
            <w:fldChar w:fldCharType="end"/>
          </w:r>
        </w:p>
        <w:p>
          <w:pPr>
            <w:pStyle w:val="9"/>
            <w:tabs>
              <w:tab w:val="right" w:leader="dot" w:pos="8844"/>
            </w:tabs>
          </w:pPr>
          <w:r>
            <w:fldChar w:fldCharType="begin"/>
          </w:r>
          <w:r>
            <w:instrText xml:space="preserve">HYPERLINK \l "_Toc13830"</w:instrText>
          </w:r>
          <w:r>
            <w:fldChar w:fldCharType="separate"/>
          </w:r>
          <w:r>
            <w:rPr>
              <w:rFonts w:hint="eastAsia" w:ascii="黑体" w:eastAsia="黑体"/>
              <w:szCs w:val="28"/>
            </w:rPr>
            <w:t>五、分项报价清单表</w:t>
          </w:r>
          <w:r>
            <w:tab/>
          </w:r>
          <w:r>
            <w:fldChar w:fldCharType="begin"/>
          </w:r>
          <w:r>
            <w:instrText xml:space="preserve"> PAGEREF _Toc13830 \h </w:instrText>
          </w:r>
          <w:r>
            <w:fldChar w:fldCharType="separate"/>
          </w:r>
          <w:r>
            <w:t>44</w:t>
          </w:r>
          <w:r>
            <w:fldChar w:fldCharType="end"/>
          </w:r>
          <w:r>
            <w:fldChar w:fldCharType="end"/>
          </w:r>
        </w:p>
        <w:p>
          <w:pPr>
            <w:pStyle w:val="9"/>
            <w:tabs>
              <w:tab w:val="right" w:leader="dot" w:pos="8844"/>
            </w:tabs>
          </w:pPr>
          <w:r>
            <w:fldChar w:fldCharType="begin"/>
          </w:r>
          <w:r>
            <w:instrText xml:space="preserve">HYPERLINK \l "_Toc22119"</w:instrText>
          </w:r>
          <w:r>
            <w:fldChar w:fldCharType="separate"/>
          </w:r>
          <w:r>
            <w:rPr>
              <w:rFonts w:hint="eastAsia" w:ascii="黑体" w:eastAsia="黑体"/>
              <w:szCs w:val="28"/>
            </w:rPr>
            <w:t>六、供应商情况介绍</w:t>
          </w:r>
          <w:r>
            <w:tab/>
          </w:r>
          <w:r>
            <w:fldChar w:fldCharType="begin"/>
          </w:r>
          <w:r>
            <w:instrText xml:space="preserve"> PAGEREF _Toc22119 \h </w:instrText>
          </w:r>
          <w:r>
            <w:fldChar w:fldCharType="separate"/>
          </w:r>
          <w:r>
            <w:t>45</w:t>
          </w:r>
          <w:r>
            <w:fldChar w:fldCharType="end"/>
          </w:r>
          <w:r>
            <w:fldChar w:fldCharType="end"/>
          </w:r>
        </w:p>
        <w:p>
          <w:pPr>
            <w:pStyle w:val="9"/>
            <w:tabs>
              <w:tab w:val="right" w:leader="dot" w:pos="8844"/>
            </w:tabs>
          </w:pPr>
          <w:r>
            <w:fldChar w:fldCharType="begin"/>
          </w:r>
          <w:r>
            <w:instrText xml:space="preserve">HYPERLINK \l "_Toc24670"</w:instrText>
          </w:r>
          <w:r>
            <w:fldChar w:fldCharType="separate"/>
          </w:r>
          <w:r>
            <w:rPr>
              <w:rFonts w:hint="eastAsia" w:ascii="黑体" w:eastAsia="黑体"/>
              <w:bCs/>
              <w:kern w:val="0"/>
              <w:szCs w:val="28"/>
            </w:rPr>
            <w:t>七、投标人同类项目业绩情况</w:t>
          </w:r>
          <w:r>
            <w:tab/>
          </w:r>
          <w:r>
            <w:fldChar w:fldCharType="begin"/>
          </w:r>
          <w:r>
            <w:instrText xml:space="preserve"> PAGEREF _Toc24670 \h </w:instrText>
          </w:r>
          <w:r>
            <w:fldChar w:fldCharType="separate"/>
          </w:r>
          <w:r>
            <w:t>46</w:t>
          </w:r>
          <w:r>
            <w:fldChar w:fldCharType="end"/>
          </w:r>
          <w:r>
            <w:fldChar w:fldCharType="end"/>
          </w:r>
        </w:p>
        <w:p>
          <w:pPr>
            <w:pStyle w:val="9"/>
            <w:tabs>
              <w:tab w:val="right" w:leader="dot" w:pos="8844"/>
            </w:tabs>
          </w:pPr>
          <w:r>
            <w:fldChar w:fldCharType="begin"/>
          </w:r>
          <w:r>
            <w:instrText xml:space="preserve">HYPERLINK \l "_Toc29595"</w:instrText>
          </w:r>
          <w:r>
            <w:fldChar w:fldCharType="separate"/>
          </w:r>
          <w:r>
            <w:rPr>
              <w:rFonts w:hint="eastAsia" w:ascii="黑体" w:eastAsia="黑体"/>
              <w:bCs/>
              <w:kern w:val="0"/>
              <w:szCs w:val="28"/>
            </w:rPr>
            <w:t>八、项目团队情况</w:t>
          </w:r>
          <w:r>
            <w:tab/>
          </w:r>
          <w:r>
            <w:fldChar w:fldCharType="begin"/>
          </w:r>
          <w:r>
            <w:instrText xml:space="preserve"> PAGEREF _Toc29595 \h </w:instrText>
          </w:r>
          <w:r>
            <w:fldChar w:fldCharType="separate"/>
          </w:r>
          <w:r>
            <w:t>47</w:t>
          </w:r>
          <w:r>
            <w:fldChar w:fldCharType="end"/>
          </w:r>
          <w:r>
            <w:fldChar w:fldCharType="end"/>
          </w:r>
        </w:p>
        <w:p>
          <w:pPr>
            <w:pStyle w:val="9"/>
            <w:tabs>
              <w:tab w:val="right" w:leader="dot" w:pos="8844"/>
            </w:tabs>
          </w:pPr>
          <w:r>
            <w:fldChar w:fldCharType="begin"/>
          </w:r>
          <w:r>
            <w:instrText xml:space="preserve">HYPERLINK \l "_Toc3885"</w:instrText>
          </w:r>
          <w:r>
            <w:fldChar w:fldCharType="separate"/>
          </w:r>
          <w:r>
            <w:rPr>
              <w:rFonts w:hint="eastAsia" w:ascii="黑体" w:eastAsia="黑体"/>
              <w:szCs w:val="28"/>
            </w:rPr>
            <w:t>九、实施方案</w:t>
          </w:r>
          <w:r>
            <w:tab/>
          </w:r>
          <w:r>
            <w:fldChar w:fldCharType="begin"/>
          </w:r>
          <w:r>
            <w:instrText xml:space="preserve"> PAGEREF _Toc3885 \h </w:instrText>
          </w:r>
          <w:r>
            <w:fldChar w:fldCharType="separate"/>
          </w:r>
          <w:r>
            <w:t>48</w:t>
          </w:r>
          <w:r>
            <w:fldChar w:fldCharType="end"/>
          </w:r>
          <w:r>
            <w:fldChar w:fldCharType="end"/>
          </w:r>
        </w:p>
        <w:p>
          <w:pPr>
            <w:pStyle w:val="9"/>
            <w:tabs>
              <w:tab w:val="right" w:leader="dot" w:pos="8844"/>
            </w:tabs>
          </w:pPr>
          <w:r>
            <w:fldChar w:fldCharType="begin"/>
          </w:r>
          <w:r>
            <w:instrText xml:space="preserve">HYPERLINK \l "_Toc17036"</w:instrText>
          </w:r>
          <w:r>
            <w:fldChar w:fldCharType="separate"/>
          </w:r>
          <w:r>
            <w:rPr>
              <w:rFonts w:hint="eastAsia" w:ascii="黑体" w:eastAsia="黑体"/>
              <w:bCs/>
              <w:kern w:val="0"/>
              <w:szCs w:val="28"/>
            </w:rPr>
            <w:t>十、服务条款偏离表</w:t>
          </w:r>
          <w:r>
            <w:tab/>
          </w:r>
          <w:r>
            <w:fldChar w:fldCharType="begin"/>
          </w:r>
          <w:r>
            <w:instrText xml:space="preserve"> PAGEREF _Toc17036 \h </w:instrText>
          </w:r>
          <w:r>
            <w:fldChar w:fldCharType="separate"/>
          </w:r>
          <w:r>
            <w:t>49</w:t>
          </w:r>
          <w:r>
            <w:fldChar w:fldCharType="end"/>
          </w:r>
          <w:r>
            <w:fldChar w:fldCharType="end"/>
          </w:r>
        </w:p>
        <w:p>
          <w:pPr>
            <w:pStyle w:val="9"/>
            <w:tabs>
              <w:tab w:val="right" w:leader="dot" w:pos="8844"/>
            </w:tabs>
          </w:pPr>
          <w:r>
            <w:fldChar w:fldCharType="begin"/>
          </w:r>
          <w:r>
            <w:instrText xml:space="preserve">HYPERLINK \l "_Toc17500"</w:instrText>
          </w:r>
          <w:r>
            <w:fldChar w:fldCharType="separate"/>
          </w:r>
          <w:r>
            <w:rPr>
              <w:rFonts w:hint="eastAsia" w:ascii="黑体" w:eastAsia="黑体"/>
              <w:szCs w:val="28"/>
            </w:rPr>
            <w:t>十一、商务条款偏离表</w:t>
          </w:r>
          <w:r>
            <w:tab/>
          </w:r>
          <w:r>
            <w:fldChar w:fldCharType="begin"/>
          </w:r>
          <w:r>
            <w:instrText xml:space="preserve"> PAGEREF _Toc17500 \h </w:instrText>
          </w:r>
          <w:r>
            <w:fldChar w:fldCharType="separate"/>
          </w:r>
          <w:r>
            <w:t>50</w:t>
          </w:r>
          <w:r>
            <w:fldChar w:fldCharType="end"/>
          </w:r>
          <w:r>
            <w:fldChar w:fldCharType="end"/>
          </w:r>
        </w:p>
        <w:p>
          <w:pPr>
            <w:pStyle w:val="9"/>
            <w:tabs>
              <w:tab w:val="right" w:leader="dot" w:pos="8844"/>
            </w:tabs>
          </w:pPr>
          <w:r>
            <w:fldChar w:fldCharType="begin"/>
          </w:r>
          <w:r>
            <w:instrText xml:space="preserve">HYPERLINK \l "_Toc8337"</w:instrText>
          </w:r>
          <w:r>
            <w:fldChar w:fldCharType="separate"/>
          </w:r>
          <w:r>
            <w:rPr>
              <w:rFonts w:hint="eastAsia" w:ascii="黑体" w:eastAsia="黑体"/>
              <w:szCs w:val="28"/>
            </w:rPr>
            <w:t>十二、招标文件要求的其他内容及投标人认为需要加以说明其他内容</w:t>
          </w:r>
          <w:r>
            <w:tab/>
          </w:r>
          <w:r>
            <w:fldChar w:fldCharType="begin"/>
          </w:r>
          <w:r>
            <w:instrText xml:space="preserve"> PAGEREF _Toc8337 \h </w:instrText>
          </w:r>
          <w:r>
            <w:fldChar w:fldCharType="separate"/>
          </w:r>
          <w:r>
            <w:t>51</w:t>
          </w:r>
          <w:r>
            <w:fldChar w:fldCharType="end"/>
          </w:r>
          <w:r>
            <w:fldChar w:fldCharType="end"/>
          </w:r>
        </w:p>
        <w:p>
          <w:pPr>
            <w:pStyle w:val="17"/>
            <w:tabs>
              <w:tab w:val="right" w:leader="dot" w:pos="8844"/>
            </w:tabs>
          </w:pPr>
          <w:r>
            <w:fldChar w:fldCharType="begin"/>
          </w:r>
          <w:r>
            <w:instrText xml:space="preserve">HYPERLINK \l "_Toc1719"</w:instrText>
          </w:r>
          <w:r>
            <w:fldChar w:fldCharType="separate"/>
          </w:r>
          <w:r>
            <w:rPr>
              <w:rFonts w:ascii="Times New Roman" w:hAnsi="Times New Roman" w:eastAsia="黑体"/>
              <w:szCs w:val="24"/>
            </w:rPr>
            <w:t>第</w:t>
          </w:r>
          <w:r>
            <w:rPr>
              <w:rFonts w:hint="eastAsia" w:ascii="Times New Roman" w:hAnsi="Times New Roman" w:eastAsia="黑体"/>
              <w:szCs w:val="24"/>
            </w:rPr>
            <w:t>二</w:t>
          </w:r>
          <w:r>
            <w:rPr>
              <w:rFonts w:ascii="Times New Roman" w:hAnsi="Times New Roman" w:eastAsia="黑体"/>
              <w:szCs w:val="24"/>
            </w:rPr>
            <w:t>册</w:t>
          </w:r>
          <w:r>
            <w:rPr>
              <w:rFonts w:hint="eastAsia" w:ascii="Times New Roman" w:hAnsi="Times New Roman" w:eastAsia="黑体"/>
              <w:szCs w:val="24"/>
            </w:rPr>
            <w:t xml:space="preserve">  通用条款</w:t>
          </w:r>
          <w:r>
            <w:tab/>
          </w:r>
          <w:r>
            <w:fldChar w:fldCharType="begin"/>
          </w:r>
          <w:r>
            <w:instrText xml:space="preserve"> PAGEREF _Toc1719 \h </w:instrText>
          </w:r>
          <w:r>
            <w:fldChar w:fldCharType="separate"/>
          </w:r>
          <w:r>
            <w:t>52</w:t>
          </w:r>
          <w:r>
            <w:fldChar w:fldCharType="end"/>
          </w:r>
          <w:r>
            <w:fldChar w:fldCharType="end"/>
          </w:r>
        </w:p>
        <w:p>
          <w:pPr>
            <w:pStyle w:val="18"/>
            <w:tabs>
              <w:tab w:val="right" w:leader="dot" w:pos="8844"/>
            </w:tabs>
          </w:pPr>
          <w:r>
            <w:fldChar w:fldCharType="begin"/>
          </w:r>
          <w:r>
            <w:instrText xml:space="preserve">HYPERLINK \l "_Toc17642"</w:instrText>
          </w:r>
          <w:r>
            <w:fldChar w:fldCharType="separate"/>
          </w:r>
          <w:r>
            <w:rPr>
              <w:rFonts w:hint="eastAsia" w:ascii="黑体" w:hAnsi="黑体" w:eastAsia="黑体"/>
              <w:szCs w:val="32"/>
            </w:rPr>
            <w:t>第一章  总则</w:t>
          </w:r>
          <w:r>
            <w:tab/>
          </w:r>
          <w:r>
            <w:fldChar w:fldCharType="begin"/>
          </w:r>
          <w:r>
            <w:instrText xml:space="preserve"> PAGEREF _Toc17642 \h </w:instrText>
          </w:r>
          <w:r>
            <w:fldChar w:fldCharType="separate"/>
          </w:r>
          <w:r>
            <w:t>53</w:t>
          </w:r>
          <w:r>
            <w:fldChar w:fldCharType="end"/>
          </w:r>
          <w:r>
            <w:fldChar w:fldCharType="end"/>
          </w:r>
        </w:p>
        <w:p>
          <w:pPr>
            <w:pStyle w:val="18"/>
            <w:tabs>
              <w:tab w:val="right" w:leader="dot" w:pos="8844"/>
            </w:tabs>
          </w:pPr>
          <w:r>
            <w:fldChar w:fldCharType="begin"/>
          </w:r>
          <w:r>
            <w:instrText xml:space="preserve">HYPERLINK \l "_Toc21903"</w:instrText>
          </w:r>
          <w:r>
            <w:fldChar w:fldCharType="separate"/>
          </w:r>
          <w:r>
            <w:rPr>
              <w:rFonts w:hint="eastAsia" w:ascii="黑体" w:hAnsi="黑体"/>
            </w:rPr>
            <w:t>第二章  招标文件</w:t>
          </w:r>
          <w:r>
            <w:tab/>
          </w:r>
          <w:r>
            <w:fldChar w:fldCharType="begin"/>
          </w:r>
          <w:r>
            <w:instrText xml:space="preserve"> PAGEREF _Toc21903 \h </w:instrText>
          </w:r>
          <w:r>
            <w:fldChar w:fldCharType="separate"/>
          </w:r>
          <w:r>
            <w:t>55</w:t>
          </w:r>
          <w:r>
            <w:fldChar w:fldCharType="end"/>
          </w:r>
          <w:r>
            <w:fldChar w:fldCharType="end"/>
          </w:r>
        </w:p>
        <w:p>
          <w:pPr>
            <w:pStyle w:val="18"/>
            <w:tabs>
              <w:tab w:val="right" w:leader="dot" w:pos="8844"/>
            </w:tabs>
          </w:pPr>
          <w:r>
            <w:fldChar w:fldCharType="begin"/>
          </w:r>
          <w:r>
            <w:instrText xml:space="preserve">HYPERLINK \l "_Toc10836"</w:instrText>
          </w:r>
          <w:r>
            <w:fldChar w:fldCharType="separate"/>
          </w:r>
          <w:r>
            <w:rPr>
              <w:rFonts w:hint="eastAsia" w:ascii="黑体" w:hAnsi="黑体"/>
            </w:rPr>
            <w:t>第三章  投标文件的编制</w:t>
          </w:r>
          <w:r>
            <w:tab/>
          </w:r>
          <w:r>
            <w:fldChar w:fldCharType="begin"/>
          </w:r>
          <w:r>
            <w:instrText xml:space="preserve"> PAGEREF _Toc10836 \h </w:instrText>
          </w:r>
          <w:r>
            <w:fldChar w:fldCharType="separate"/>
          </w:r>
          <w:r>
            <w:t>57</w:t>
          </w:r>
          <w:r>
            <w:fldChar w:fldCharType="end"/>
          </w:r>
          <w:r>
            <w:fldChar w:fldCharType="end"/>
          </w:r>
        </w:p>
        <w:p>
          <w:pPr>
            <w:pStyle w:val="18"/>
            <w:tabs>
              <w:tab w:val="right" w:leader="dot" w:pos="8844"/>
            </w:tabs>
          </w:pPr>
          <w:r>
            <w:fldChar w:fldCharType="begin"/>
          </w:r>
          <w:r>
            <w:instrText xml:space="preserve">HYPERLINK \l "_Toc7839"</w:instrText>
          </w:r>
          <w:r>
            <w:fldChar w:fldCharType="separate"/>
          </w:r>
          <w:r>
            <w:rPr>
              <w:rFonts w:hint="eastAsia" w:ascii="黑体" w:hAnsi="黑体"/>
            </w:rPr>
            <w:t>第四章  投标文件的递交</w:t>
          </w:r>
          <w:r>
            <w:tab/>
          </w:r>
          <w:r>
            <w:fldChar w:fldCharType="begin"/>
          </w:r>
          <w:r>
            <w:instrText xml:space="preserve"> PAGEREF _Toc7839 \h </w:instrText>
          </w:r>
          <w:r>
            <w:fldChar w:fldCharType="separate"/>
          </w:r>
          <w:r>
            <w:t>59</w:t>
          </w:r>
          <w:r>
            <w:fldChar w:fldCharType="end"/>
          </w:r>
          <w:r>
            <w:fldChar w:fldCharType="end"/>
          </w:r>
        </w:p>
        <w:p>
          <w:pPr>
            <w:pStyle w:val="18"/>
            <w:tabs>
              <w:tab w:val="right" w:leader="dot" w:pos="8844"/>
            </w:tabs>
          </w:pPr>
          <w:r>
            <w:fldChar w:fldCharType="begin"/>
          </w:r>
          <w:r>
            <w:instrText xml:space="preserve">HYPERLINK \l "_Toc5599"</w:instrText>
          </w:r>
          <w:r>
            <w:fldChar w:fldCharType="separate"/>
          </w:r>
          <w:r>
            <w:rPr>
              <w:rFonts w:hint="eastAsia" w:ascii="黑体" w:hAnsi="黑体"/>
            </w:rPr>
            <w:t>第五章  开标</w:t>
          </w:r>
          <w:r>
            <w:tab/>
          </w:r>
          <w:r>
            <w:fldChar w:fldCharType="begin"/>
          </w:r>
          <w:r>
            <w:instrText xml:space="preserve"> PAGEREF _Toc5599 \h </w:instrText>
          </w:r>
          <w:r>
            <w:fldChar w:fldCharType="separate"/>
          </w:r>
          <w:r>
            <w:t>60</w:t>
          </w:r>
          <w:r>
            <w:fldChar w:fldCharType="end"/>
          </w:r>
          <w:r>
            <w:fldChar w:fldCharType="end"/>
          </w:r>
        </w:p>
        <w:p>
          <w:pPr>
            <w:pStyle w:val="18"/>
            <w:tabs>
              <w:tab w:val="right" w:leader="dot" w:pos="8844"/>
            </w:tabs>
          </w:pPr>
          <w:r>
            <w:fldChar w:fldCharType="begin"/>
          </w:r>
          <w:r>
            <w:instrText xml:space="preserve">HYPERLINK \l "_Toc28651"</w:instrText>
          </w:r>
          <w:r>
            <w:fldChar w:fldCharType="separate"/>
          </w:r>
          <w:r>
            <w:rPr>
              <w:rFonts w:hint="eastAsia" w:ascii="黑体" w:hAnsi="黑体"/>
            </w:rPr>
            <w:t>第六章  评标</w:t>
          </w:r>
          <w:r>
            <w:tab/>
          </w:r>
          <w:r>
            <w:fldChar w:fldCharType="begin"/>
          </w:r>
          <w:r>
            <w:instrText xml:space="preserve"> PAGEREF _Toc28651 \h </w:instrText>
          </w:r>
          <w:r>
            <w:fldChar w:fldCharType="separate"/>
          </w:r>
          <w:r>
            <w:t>60</w:t>
          </w:r>
          <w:r>
            <w:fldChar w:fldCharType="end"/>
          </w:r>
          <w:r>
            <w:fldChar w:fldCharType="end"/>
          </w:r>
        </w:p>
        <w:p>
          <w:pPr>
            <w:pStyle w:val="18"/>
            <w:tabs>
              <w:tab w:val="right" w:leader="dot" w:pos="8844"/>
            </w:tabs>
          </w:pPr>
          <w:r>
            <w:fldChar w:fldCharType="begin"/>
          </w:r>
          <w:r>
            <w:instrText xml:space="preserve">HYPERLINK \l "_Toc11730"</w:instrText>
          </w:r>
          <w:r>
            <w:fldChar w:fldCharType="separate"/>
          </w:r>
          <w:r>
            <w:rPr>
              <w:rFonts w:hint="eastAsia" w:ascii="黑体" w:hAnsi="黑体"/>
            </w:rPr>
            <w:t>第七章  评审程序及评标方法</w:t>
          </w:r>
          <w:r>
            <w:tab/>
          </w:r>
          <w:r>
            <w:fldChar w:fldCharType="begin"/>
          </w:r>
          <w:r>
            <w:instrText xml:space="preserve"> PAGEREF _Toc11730 \h </w:instrText>
          </w:r>
          <w:r>
            <w:fldChar w:fldCharType="separate"/>
          </w:r>
          <w:r>
            <w:t>62</w:t>
          </w:r>
          <w:r>
            <w:fldChar w:fldCharType="end"/>
          </w:r>
          <w:r>
            <w:fldChar w:fldCharType="end"/>
          </w:r>
        </w:p>
        <w:p>
          <w:pPr>
            <w:pStyle w:val="18"/>
            <w:tabs>
              <w:tab w:val="right" w:leader="dot" w:pos="8844"/>
            </w:tabs>
          </w:pPr>
          <w:r>
            <w:fldChar w:fldCharType="begin"/>
          </w:r>
          <w:r>
            <w:instrText xml:space="preserve">HYPERLINK \l "_Toc11691"</w:instrText>
          </w:r>
          <w:r>
            <w:fldChar w:fldCharType="separate"/>
          </w:r>
          <w:r>
            <w:rPr>
              <w:rFonts w:hint="eastAsia" w:ascii="黑体" w:hAnsi="黑体"/>
            </w:rPr>
            <w:t>第八章  公开招标失败的后续处理</w:t>
          </w:r>
          <w:r>
            <w:tab/>
          </w:r>
          <w:r>
            <w:fldChar w:fldCharType="begin"/>
          </w:r>
          <w:r>
            <w:instrText xml:space="preserve"> PAGEREF _Toc11691 \h </w:instrText>
          </w:r>
          <w:r>
            <w:fldChar w:fldCharType="separate"/>
          </w:r>
          <w:r>
            <w:t>65</w:t>
          </w:r>
          <w:r>
            <w:fldChar w:fldCharType="end"/>
          </w:r>
          <w:r>
            <w:fldChar w:fldCharType="end"/>
          </w:r>
        </w:p>
        <w:p>
          <w:pPr>
            <w:pStyle w:val="18"/>
            <w:tabs>
              <w:tab w:val="right" w:leader="dot" w:pos="8844"/>
            </w:tabs>
          </w:pPr>
          <w:r>
            <w:fldChar w:fldCharType="begin"/>
          </w:r>
          <w:r>
            <w:instrText xml:space="preserve">HYPERLINK \l "_Toc26729"</w:instrText>
          </w:r>
          <w:r>
            <w:fldChar w:fldCharType="separate"/>
          </w:r>
          <w:r>
            <w:rPr>
              <w:rFonts w:hint="eastAsia" w:ascii="黑体" w:hAnsi="黑体"/>
            </w:rPr>
            <w:t>第九章  合同的授予</w:t>
          </w:r>
          <w:r>
            <w:tab/>
          </w:r>
          <w:r>
            <w:fldChar w:fldCharType="begin"/>
          </w:r>
          <w:r>
            <w:instrText xml:space="preserve"> PAGEREF _Toc26729 \h </w:instrText>
          </w:r>
          <w:r>
            <w:fldChar w:fldCharType="separate"/>
          </w:r>
          <w:r>
            <w:t>68</w:t>
          </w:r>
          <w:r>
            <w:fldChar w:fldCharType="end"/>
          </w:r>
          <w:r>
            <w:fldChar w:fldCharType="end"/>
          </w:r>
        </w:p>
        <w:p>
          <w:pPr>
            <w:pStyle w:val="2"/>
            <w:spacing w:after="0"/>
            <w:sectPr>
              <w:footerReference r:id="rId6" w:type="first"/>
              <w:footerReference r:id="rId5" w:type="default"/>
              <w:pgSz w:w="11906" w:h="16838"/>
              <w:pgMar w:top="1985" w:right="1474" w:bottom="1871" w:left="1588" w:header="794" w:footer="964" w:gutter="0"/>
              <w:pgNumType w:start="1"/>
              <w:cols w:space="720" w:num="1"/>
              <w:docGrid w:type="lines" w:linePitch="312" w:charSpace="0"/>
            </w:sectPr>
          </w:pPr>
          <w:r>
            <w:rPr>
              <w:rFonts w:hint="eastAsia" w:ascii="宋体" w:hAnsi="宋体" w:cs="宋体"/>
              <w:szCs w:val="20"/>
            </w:rPr>
            <w:fldChar w:fldCharType="end"/>
          </w:r>
        </w:p>
      </w:sdtContent>
    </w:sdt>
    <w:p>
      <w:pPr>
        <w:jc w:val="center"/>
        <w:outlineLvl w:val="0"/>
        <w:rPr>
          <w:rFonts w:ascii="黑体" w:eastAsia="黑体"/>
          <w:sz w:val="36"/>
          <w:szCs w:val="36"/>
        </w:rPr>
      </w:pPr>
      <w:bookmarkStart w:id="1" w:name="_Toc14059"/>
      <w:bookmarkStart w:id="2" w:name="_Toc4239"/>
      <w:r>
        <w:rPr>
          <w:rFonts w:hint="eastAsia" w:ascii="黑体" w:eastAsia="黑体"/>
          <w:sz w:val="36"/>
          <w:szCs w:val="36"/>
        </w:rPr>
        <w:t>特别警示条款</w:t>
      </w:r>
      <w:bookmarkEnd w:id="1"/>
      <w:bookmarkEnd w:id="2"/>
    </w:p>
    <w:p>
      <w:pPr>
        <w:pStyle w:val="2"/>
      </w:pPr>
    </w:p>
    <w:p>
      <w:pPr>
        <w:pStyle w:val="2"/>
        <w:spacing w:line="240" w:lineRule="exact"/>
        <w:rPr>
          <w:rFonts w:ascii="仿宋" w:hAnsi="仿宋" w:eastAsia="仿宋" w:cs="仿宋"/>
          <w:sz w:val="24"/>
        </w:rPr>
      </w:pPr>
      <w:r>
        <w:rPr>
          <w:rFonts w:hint="eastAsia" w:ascii="仿宋" w:hAnsi="仿宋" w:eastAsia="仿宋" w:cs="仿宋"/>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pStyle w:val="2"/>
        <w:spacing w:line="240" w:lineRule="exact"/>
        <w:rPr>
          <w:rFonts w:ascii="仿宋" w:hAnsi="仿宋" w:eastAsia="仿宋" w:cs="仿宋"/>
          <w:sz w:val="24"/>
        </w:rPr>
      </w:pPr>
      <w:r>
        <w:rPr>
          <w:rFonts w:hint="eastAsia" w:ascii="仿宋" w:hAnsi="仿宋" w:eastAsia="仿宋" w:cs="仿宋"/>
          <w:sz w:val="24"/>
        </w:rPr>
        <w:t>（一）在采购活动中应当回避而未回避的；</w:t>
      </w:r>
    </w:p>
    <w:p>
      <w:pPr>
        <w:pStyle w:val="2"/>
        <w:spacing w:line="240" w:lineRule="exact"/>
        <w:rPr>
          <w:rFonts w:ascii="仿宋" w:hAnsi="仿宋" w:eastAsia="仿宋" w:cs="仿宋"/>
          <w:sz w:val="24"/>
        </w:rPr>
      </w:pPr>
      <w:r>
        <w:rPr>
          <w:rFonts w:hint="eastAsia" w:ascii="仿宋" w:hAnsi="仿宋" w:eastAsia="仿宋" w:cs="仿宋"/>
          <w:sz w:val="24"/>
        </w:rPr>
        <w:t>（二）未按本条例规定签订、履行采购合同，造成严重后果的；</w:t>
      </w:r>
    </w:p>
    <w:p>
      <w:pPr>
        <w:pStyle w:val="2"/>
        <w:spacing w:line="240" w:lineRule="exact"/>
        <w:rPr>
          <w:rFonts w:ascii="仿宋" w:hAnsi="仿宋" w:eastAsia="仿宋" w:cs="仿宋"/>
          <w:sz w:val="24"/>
        </w:rPr>
      </w:pPr>
      <w:r>
        <w:rPr>
          <w:rFonts w:hint="eastAsia" w:ascii="仿宋" w:hAnsi="仿宋" w:eastAsia="仿宋" w:cs="仿宋"/>
          <w:sz w:val="24"/>
        </w:rPr>
        <w:t>（三）隐瞒真实情况，提供虚假资料的；</w:t>
      </w:r>
    </w:p>
    <w:p>
      <w:pPr>
        <w:pStyle w:val="2"/>
        <w:spacing w:line="240" w:lineRule="exact"/>
        <w:rPr>
          <w:rFonts w:ascii="仿宋" w:hAnsi="仿宋" w:eastAsia="仿宋" w:cs="仿宋"/>
          <w:sz w:val="24"/>
        </w:rPr>
      </w:pPr>
      <w:r>
        <w:rPr>
          <w:rFonts w:hint="eastAsia" w:ascii="仿宋" w:hAnsi="仿宋" w:eastAsia="仿宋" w:cs="仿宋"/>
          <w:sz w:val="24"/>
        </w:rPr>
        <w:t>（四）以非法手段排斥其他供应商参与竞争的；</w:t>
      </w:r>
    </w:p>
    <w:p>
      <w:pPr>
        <w:pStyle w:val="2"/>
        <w:spacing w:line="240" w:lineRule="exact"/>
        <w:rPr>
          <w:rFonts w:ascii="仿宋" w:hAnsi="仿宋" w:eastAsia="仿宋" w:cs="仿宋"/>
          <w:sz w:val="24"/>
        </w:rPr>
      </w:pPr>
      <w:r>
        <w:rPr>
          <w:rFonts w:hint="eastAsia" w:ascii="仿宋" w:hAnsi="仿宋" w:eastAsia="仿宋" w:cs="仿宋"/>
          <w:sz w:val="24"/>
        </w:rPr>
        <w:t>（五）与其他采购参加人串通投标的；</w:t>
      </w:r>
    </w:p>
    <w:p>
      <w:pPr>
        <w:pStyle w:val="2"/>
        <w:spacing w:line="240" w:lineRule="exact"/>
        <w:rPr>
          <w:rFonts w:ascii="仿宋" w:hAnsi="仿宋" w:eastAsia="仿宋" w:cs="仿宋"/>
          <w:sz w:val="24"/>
        </w:rPr>
      </w:pPr>
      <w:r>
        <w:rPr>
          <w:rFonts w:hint="eastAsia" w:ascii="仿宋" w:hAnsi="仿宋" w:eastAsia="仿宋" w:cs="仿宋"/>
          <w:sz w:val="24"/>
        </w:rPr>
        <w:t>（六）恶意投诉的；</w:t>
      </w:r>
    </w:p>
    <w:p>
      <w:pPr>
        <w:pStyle w:val="2"/>
        <w:spacing w:line="240" w:lineRule="exact"/>
        <w:rPr>
          <w:rFonts w:ascii="仿宋" w:hAnsi="仿宋" w:eastAsia="仿宋" w:cs="仿宋"/>
          <w:sz w:val="24"/>
        </w:rPr>
      </w:pPr>
      <w:r>
        <w:rPr>
          <w:rFonts w:hint="eastAsia" w:ascii="仿宋" w:hAnsi="仿宋" w:eastAsia="仿宋" w:cs="仿宋"/>
          <w:sz w:val="24"/>
        </w:rPr>
        <w:t>（七）向采购项目相关人行贿或者提供其他不当利益的；</w:t>
      </w:r>
    </w:p>
    <w:p>
      <w:pPr>
        <w:pStyle w:val="2"/>
        <w:spacing w:line="240" w:lineRule="exact"/>
        <w:rPr>
          <w:rFonts w:ascii="仿宋" w:hAnsi="仿宋" w:eastAsia="仿宋" w:cs="仿宋"/>
          <w:sz w:val="24"/>
        </w:rPr>
      </w:pPr>
      <w:r>
        <w:rPr>
          <w:rFonts w:hint="eastAsia" w:ascii="仿宋" w:hAnsi="仿宋" w:eastAsia="仿宋" w:cs="仿宋"/>
          <w:sz w:val="24"/>
        </w:rPr>
        <w:t>（八）阻碍、抗拒主管部门监督检查的；</w:t>
      </w:r>
    </w:p>
    <w:p>
      <w:pPr>
        <w:pStyle w:val="2"/>
        <w:spacing w:line="240" w:lineRule="exact"/>
        <w:rPr>
          <w:rFonts w:ascii="仿宋" w:hAnsi="仿宋" w:eastAsia="仿宋" w:cs="仿宋"/>
          <w:sz w:val="24"/>
        </w:rPr>
      </w:pPr>
      <w:r>
        <w:rPr>
          <w:rFonts w:hint="eastAsia" w:ascii="仿宋" w:hAnsi="仿宋" w:eastAsia="仿宋" w:cs="仿宋"/>
          <w:sz w:val="24"/>
        </w:rPr>
        <w:t>（九）其他违反本条例规定的行为。</w:t>
      </w:r>
    </w:p>
    <w:p>
      <w:pPr>
        <w:pStyle w:val="2"/>
        <w:spacing w:line="240" w:lineRule="exact"/>
        <w:rPr>
          <w:rFonts w:ascii="仿宋" w:hAnsi="仿宋" w:eastAsia="仿宋" w:cs="仿宋"/>
          <w:sz w:val="24"/>
        </w:rPr>
      </w:pP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二、《深圳经济特区政府采购条例实施细则》第七十五条</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供应商有下列情形之一的，属于采购条例所称的串通投标行为，按照采购条例第五十七条有关规定处理：</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（一）投标供应商之间相互约定给予未中标的供应商利益补偿。</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（三）不同投标供应商的投标文件由同一单位或者同一人编制，或者由同一人分阶段参与编制的。</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（四）不同投标供应商的投标文件或部分投标文件相互混装。</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（五）不同投标供应商的投标文件内容存在非正常一致。</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（六）由同一单位工作人员为两家以上（含两家）供应商进行同一项投标活动的。</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（七）主管部门依照法律、法规认定的其他情形。</w:t>
      </w:r>
    </w:p>
    <w:p>
      <w:pPr>
        <w:snapToGrid w:val="0"/>
        <w:spacing w:line="360" w:lineRule="auto"/>
        <w:rPr>
          <w:rFonts w:ascii="仿宋" w:hAnsi="仿宋" w:eastAsia="仿宋" w:cs="仿宋"/>
          <w:color w:val="000000" w:themeColor="text1"/>
          <w:sz w:val="24"/>
          <w14:textFill>
            <w14:solidFill>
              <w14:schemeClr w14:val="tx1"/>
            </w14:solidFill>
          </w14:textFill>
        </w:rPr>
      </w:pP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三、《深圳经济特区政府采购条例实施细则》第七十七条</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供应商有下列情形之一的，属于隐瞒真实情况，提供虚假资料，按照采购条例第五十七条的有关规定处理：</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（一）通过转让或者租借等方式从其他单位获取资格或者资质证书投标的。</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（二）由其他单位或者其他单位负责人在投标供应商编制的投标文件上加盖印章或者签字的。</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（三）项目负责人或者主要技术人员不是本单位人员的。</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（四）投标保证金不是从投标供应商基本账户转出的。</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（五）其他隐瞒真实情况、提供虚假资料的行为。</w:t>
      </w:r>
    </w:p>
    <w:p>
      <w:pPr>
        <w:pStyle w:val="2"/>
        <w:spacing w:line="360" w:lineRule="auto"/>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r>
        <w:rPr>
          <w:rFonts w:hint="eastAsia" w:ascii="仿宋" w:hAnsi="仿宋" w:eastAsia="仿宋" w:cs="仿宋"/>
          <w:sz w:val="24"/>
        </w:rPr>
        <w:t>。</w:t>
      </w:r>
    </w:p>
    <w:p>
      <w:pPr>
        <w:pStyle w:val="2"/>
        <w:spacing w:line="240" w:lineRule="exact"/>
        <w:rPr>
          <w:rFonts w:ascii="仿宋" w:hAnsi="仿宋" w:eastAsia="仿宋" w:cs="仿宋"/>
          <w:sz w:val="24"/>
        </w:rPr>
      </w:pPr>
      <w:r>
        <w:rPr>
          <w:rFonts w:hint="eastAsia" w:ascii="仿宋" w:hAnsi="仿宋" w:eastAsia="仿宋" w:cs="仿宋"/>
          <w:sz w:val="24"/>
        </w:rPr>
        <w:t>四、请投标供应商阅读《政府采购违法行为风险知悉确认书》（内容详见“投标文件的格式、附件”中“招标文件要求的其他内容及投标人认为需要加以说明其他内容”），并经各投标供应商负责人或投标授权代表签字并加盖单位公章后，扫描上传至投标文件一并提交。</w:t>
      </w:r>
    </w:p>
    <w:p>
      <w:pPr>
        <w:pStyle w:val="2"/>
        <w:spacing w:line="240" w:lineRule="exact"/>
        <w:rPr>
          <w:rFonts w:ascii="仿宋" w:hAnsi="仿宋" w:eastAsia="仿宋" w:cs="仿宋"/>
          <w:sz w:val="24"/>
        </w:rPr>
      </w:pPr>
      <w:r>
        <w:rPr>
          <w:rFonts w:hint="eastAsia" w:ascii="仿宋" w:hAnsi="仿宋" w:eastAsia="仿宋" w:cs="仿宋"/>
          <w:sz w:val="24"/>
        </w:rPr>
        <w:t>注：该风险知悉确认书用于对供应商违法行为的警示，不作为供应商资格性审查及符合性审查条件。</w:t>
      </w:r>
    </w:p>
    <w:p>
      <w:pPr>
        <w:pStyle w:val="2"/>
        <w:spacing w:line="240" w:lineRule="exact"/>
      </w:pPr>
      <w:r>
        <w:rPr>
          <w:rFonts w:ascii="黑体" w:hAnsi="黑体" w:eastAsia="黑体" w:cs="Arial"/>
          <w:sz w:val="36"/>
          <w:szCs w:val="36"/>
        </w:rPr>
        <w:br w:type="page"/>
      </w:r>
    </w:p>
    <w:p/>
    <w:p>
      <w:pPr>
        <w:pStyle w:val="2"/>
      </w:pPr>
    </w:p>
    <w:p/>
    <w:p>
      <w:pPr>
        <w:pStyle w:val="2"/>
      </w:pPr>
    </w:p>
    <w:p/>
    <w:p>
      <w:pPr>
        <w:pStyle w:val="2"/>
      </w:pPr>
    </w:p>
    <w:p/>
    <w:p>
      <w:pPr>
        <w:pStyle w:val="2"/>
      </w:pPr>
    </w:p>
    <w:p/>
    <w:p>
      <w:pPr>
        <w:pStyle w:val="2"/>
      </w:pPr>
    </w:p>
    <w:p/>
    <w:p>
      <w:pPr>
        <w:pStyle w:val="2"/>
      </w:pPr>
    </w:p>
    <w:p/>
    <w:p>
      <w:pPr>
        <w:jc w:val="center"/>
        <w:outlineLvl w:val="0"/>
        <w:rPr>
          <w:b/>
        </w:rPr>
      </w:pPr>
      <w:bookmarkStart w:id="3" w:name="_Toc6901"/>
      <w:bookmarkStart w:id="4" w:name="_Toc6499"/>
      <w:bookmarkStart w:id="5" w:name="_Toc11737"/>
      <w:bookmarkStart w:id="6" w:name="_Toc22322"/>
      <w:bookmarkStart w:id="7" w:name="_Toc17277"/>
      <w:bookmarkStart w:id="8" w:name="_Toc15089"/>
      <w:bookmarkStart w:id="9" w:name="_Toc23547"/>
      <w:r>
        <w:rPr>
          <w:rFonts w:hint="eastAsia" w:eastAsia="黑体"/>
          <w:b/>
          <w:sz w:val="44"/>
        </w:rPr>
        <w:t>第一册  专用条款</w:t>
      </w:r>
      <w:bookmarkEnd w:id="3"/>
      <w:bookmarkEnd w:id="4"/>
      <w:bookmarkEnd w:id="5"/>
      <w:bookmarkEnd w:id="6"/>
      <w:bookmarkEnd w:id="7"/>
      <w:bookmarkEnd w:id="8"/>
      <w:bookmarkEnd w:id="9"/>
    </w:p>
    <w:p>
      <w:pPr>
        <w:pStyle w:val="3"/>
        <w:spacing w:before="0" w:after="0" w:line="415" w:lineRule="auto"/>
        <w:jc w:val="center"/>
      </w:pPr>
      <w:r>
        <w:br w:type="page"/>
      </w:r>
      <w:bookmarkStart w:id="10" w:name="_Toc11604"/>
      <w:bookmarkStart w:id="11" w:name="_Toc5530"/>
      <w:bookmarkStart w:id="12" w:name="_Toc49331722"/>
      <w:bookmarkStart w:id="13" w:name="_Toc3175"/>
      <w:bookmarkStart w:id="14" w:name="_Toc19920"/>
      <w:bookmarkStart w:id="15" w:name="_Toc16507"/>
      <w:bookmarkStart w:id="16" w:name="_Toc10345"/>
      <w:bookmarkStart w:id="17" w:name="_Toc14104"/>
      <w:r>
        <w:rPr>
          <w:rFonts w:hint="eastAsia"/>
        </w:rPr>
        <w:t xml:space="preserve">第一章  </w:t>
      </w:r>
      <w:bookmarkEnd w:id="10"/>
      <w:bookmarkEnd w:id="11"/>
      <w:bookmarkEnd w:id="12"/>
      <w:bookmarkEnd w:id="13"/>
      <w:bookmarkEnd w:id="14"/>
      <w:bookmarkEnd w:id="15"/>
      <w:bookmarkEnd w:id="16"/>
      <w:bookmarkEnd w:id="17"/>
      <w:r>
        <w:rPr>
          <w:rFonts w:hint="eastAsia"/>
        </w:rPr>
        <w:t>招标公告</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rPr>
                <w:rFonts w:ascii="仿宋" w:hAnsi="仿宋" w:eastAsia="仿宋" w:cs="仿宋"/>
                <w:sz w:val="24"/>
              </w:rPr>
            </w:pPr>
            <w:r>
              <w:rPr>
                <w:rFonts w:hint="eastAsia" w:ascii="仿宋" w:hAnsi="仿宋" w:eastAsia="仿宋" w:cs="仿宋"/>
                <w:sz w:val="24"/>
              </w:rPr>
              <w:t>项目概况</w:t>
            </w:r>
          </w:p>
          <w:p>
            <w:pPr>
              <w:spacing w:line="400" w:lineRule="exact"/>
              <w:ind w:firstLine="480" w:firstLineChars="200"/>
              <w:rPr>
                <w:rFonts w:ascii="仿宋" w:hAnsi="仿宋" w:eastAsia="仿宋" w:cs="仿宋"/>
                <w:b/>
                <w:bCs/>
                <w:sz w:val="24"/>
                <w:u w:val="single"/>
              </w:rPr>
            </w:pPr>
            <w:r>
              <w:rPr>
                <w:rFonts w:hint="eastAsia" w:ascii="仿宋" w:hAnsi="仿宋" w:eastAsia="仿宋" w:cs="仿宋"/>
                <w:bCs/>
                <w:sz w:val="24"/>
                <w:u w:val="single"/>
              </w:rPr>
              <w:t>前海合作区土地供应2024年度分布指引及项目库构建</w:t>
            </w:r>
            <w:r>
              <w:rPr>
                <w:rFonts w:hint="eastAsia" w:ascii="仿宋" w:hAnsi="仿宋" w:eastAsia="仿宋" w:cs="仿宋"/>
                <w:sz w:val="24"/>
              </w:rPr>
              <w:t>招标项目的潜在投标人应在</w:t>
            </w:r>
            <w:r>
              <w:rPr>
                <w:rFonts w:hint="eastAsia" w:ascii="仿宋" w:hAnsi="仿宋" w:eastAsia="仿宋" w:cs="仿宋"/>
                <w:sz w:val="24"/>
                <w:u w:val="single"/>
              </w:rPr>
              <w:t>友和保险经纪有限公司</w:t>
            </w:r>
            <w:r>
              <w:rPr>
                <w:rFonts w:hint="eastAsia" w:ascii="仿宋" w:hAnsi="仿宋" w:eastAsia="仿宋" w:cs="仿宋"/>
                <w:sz w:val="24"/>
              </w:rPr>
              <w:t>获取招标文件，并于 202</w:t>
            </w:r>
            <w:r>
              <w:rPr>
                <w:rFonts w:ascii="仿宋" w:hAnsi="仿宋" w:eastAsia="仿宋" w:cs="仿宋"/>
                <w:sz w:val="24"/>
              </w:rPr>
              <w:t>4</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w:t>
            </w:r>
            <w:r>
              <w:rPr>
                <w:rFonts w:hint="eastAsia" w:ascii="仿宋" w:hAnsi="仿宋" w:eastAsia="仿宋" w:cs="仿宋"/>
                <w:sz w:val="24"/>
                <w:lang w:val="en-US" w:eastAsia="zh-CN"/>
              </w:rPr>
              <w:t>10</w:t>
            </w:r>
            <w:r>
              <w:rPr>
                <w:rFonts w:hint="eastAsia" w:ascii="仿宋" w:hAnsi="仿宋" w:eastAsia="仿宋" w:cs="仿宋"/>
                <w:sz w:val="24"/>
              </w:rPr>
              <w:t>点</w:t>
            </w:r>
            <w:r>
              <w:rPr>
                <w:rFonts w:hint="eastAsia" w:ascii="仿宋" w:hAnsi="仿宋" w:eastAsia="仿宋" w:cs="仿宋"/>
                <w:sz w:val="24"/>
                <w:lang w:val="en-US" w:eastAsia="zh-CN"/>
              </w:rPr>
              <w:t>0</w:t>
            </w:r>
            <w:r>
              <w:rPr>
                <w:rFonts w:hint="eastAsia" w:ascii="仿宋" w:hAnsi="仿宋" w:eastAsia="仿宋" w:cs="仿宋"/>
                <w:sz w:val="24"/>
              </w:rPr>
              <w:t>0分00秒（北京时间） 前递交投标文件。</w:t>
            </w:r>
          </w:p>
        </w:tc>
      </w:tr>
    </w:tbl>
    <w:p>
      <w:pPr>
        <w:adjustRightInd w:val="0"/>
        <w:snapToGrid w:val="0"/>
        <w:spacing w:line="400" w:lineRule="exact"/>
        <w:jc w:val="left"/>
        <w:rPr>
          <w:rFonts w:ascii="仿宋" w:hAnsi="仿宋" w:eastAsia="仿宋" w:cs="仿宋"/>
          <w:sz w:val="24"/>
        </w:rPr>
      </w:pPr>
    </w:p>
    <w:p>
      <w:pPr>
        <w:adjustRightInd w:val="0"/>
        <w:snapToGrid w:val="0"/>
        <w:spacing w:line="400" w:lineRule="exact"/>
        <w:jc w:val="left"/>
        <w:outlineLvl w:val="2"/>
        <w:rPr>
          <w:rFonts w:ascii="仿宋" w:hAnsi="仿宋" w:eastAsia="仿宋" w:cs="仿宋"/>
          <w:b/>
          <w:sz w:val="24"/>
        </w:rPr>
      </w:pPr>
      <w:bookmarkStart w:id="18" w:name="_Toc30160"/>
      <w:bookmarkStart w:id="19" w:name="_Toc16721"/>
      <w:bookmarkStart w:id="20" w:name="_Toc20773"/>
      <w:bookmarkStart w:id="21" w:name="_Toc12126"/>
      <w:bookmarkStart w:id="22" w:name="_Toc49331723"/>
      <w:bookmarkStart w:id="23" w:name="_Toc20448"/>
      <w:bookmarkStart w:id="24" w:name="_Toc11382"/>
      <w:bookmarkStart w:id="25" w:name="_Toc21064"/>
      <w:bookmarkStart w:id="26" w:name="_Toc21390"/>
      <w:bookmarkStart w:id="27" w:name="_Toc11940"/>
      <w:bookmarkStart w:id="28" w:name="_Toc14049"/>
      <w:r>
        <w:rPr>
          <w:rFonts w:hint="eastAsia" w:ascii="仿宋" w:hAnsi="仿宋" w:eastAsia="仿宋" w:cs="仿宋"/>
          <w:b/>
          <w:sz w:val="24"/>
        </w:rPr>
        <w:t>一、项目基本情况</w:t>
      </w:r>
      <w:bookmarkEnd w:id="18"/>
      <w:bookmarkEnd w:id="19"/>
      <w:bookmarkEnd w:id="20"/>
      <w:bookmarkEnd w:id="21"/>
      <w:bookmarkEnd w:id="22"/>
      <w:bookmarkEnd w:id="23"/>
      <w:bookmarkEnd w:id="24"/>
      <w:bookmarkEnd w:id="25"/>
      <w:bookmarkEnd w:id="26"/>
      <w:bookmarkEnd w:id="27"/>
      <w:bookmarkEnd w:id="28"/>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项目编号：QHCG23053</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项目名称：前海合作区土地供应2024年度分布指引及项目库构建</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预算金额：人民币1,</w:t>
      </w:r>
      <w:r>
        <w:rPr>
          <w:rFonts w:ascii="仿宋" w:hAnsi="仿宋" w:eastAsia="仿宋" w:cs="仿宋"/>
          <w:sz w:val="24"/>
        </w:rPr>
        <w:t>016</w:t>
      </w:r>
      <w:r>
        <w:rPr>
          <w:rFonts w:hint="eastAsia" w:ascii="仿宋" w:hAnsi="仿宋" w:eastAsia="仿宋" w:cs="仿宋"/>
          <w:sz w:val="24"/>
        </w:rPr>
        <w:t>,000元整</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最高限价：人民币1,</w:t>
      </w:r>
      <w:r>
        <w:rPr>
          <w:rFonts w:ascii="仿宋" w:hAnsi="仿宋" w:eastAsia="仿宋" w:cs="仿宋"/>
          <w:sz w:val="24"/>
        </w:rPr>
        <w:t>016</w:t>
      </w:r>
      <w:r>
        <w:rPr>
          <w:rFonts w:hint="eastAsia" w:ascii="仿宋" w:hAnsi="仿宋" w:eastAsia="仿宋" w:cs="仿宋"/>
          <w:sz w:val="24"/>
        </w:rPr>
        <w:t>,000元整</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采购需求：详见招标文件。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合同履行期限：详见招标文件。</w:t>
      </w:r>
    </w:p>
    <w:p>
      <w:pPr>
        <w:adjustRightInd w:val="0"/>
        <w:snapToGrid w:val="0"/>
        <w:spacing w:line="400" w:lineRule="exact"/>
        <w:jc w:val="left"/>
        <w:outlineLvl w:val="2"/>
        <w:rPr>
          <w:rFonts w:ascii="仿宋" w:hAnsi="仿宋" w:eastAsia="仿宋" w:cs="仿宋"/>
          <w:b/>
          <w:sz w:val="24"/>
        </w:rPr>
      </w:pPr>
      <w:bookmarkStart w:id="29" w:name="_Toc23916"/>
      <w:bookmarkStart w:id="30" w:name="_Toc21354"/>
      <w:bookmarkStart w:id="31" w:name="_Toc18564"/>
      <w:bookmarkStart w:id="32" w:name="_Toc4796"/>
      <w:bookmarkStart w:id="33" w:name="_Toc5896"/>
      <w:bookmarkStart w:id="34" w:name="_Toc49331724"/>
      <w:bookmarkStart w:id="35" w:name="_Toc31497"/>
      <w:bookmarkStart w:id="36" w:name="_Toc31613"/>
      <w:bookmarkStart w:id="37" w:name="_Toc27346"/>
      <w:bookmarkStart w:id="38" w:name="_Toc31594"/>
      <w:bookmarkStart w:id="39" w:name="_Toc15989"/>
      <w:r>
        <w:rPr>
          <w:rFonts w:hint="eastAsia" w:ascii="仿宋" w:hAnsi="仿宋" w:eastAsia="仿宋" w:cs="仿宋"/>
          <w:b/>
          <w:sz w:val="24"/>
        </w:rPr>
        <w:t>二、申请人的资格要求</w:t>
      </w:r>
      <w:bookmarkEnd w:id="29"/>
      <w:bookmarkEnd w:id="30"/>
      <w:bookmarkEnd w:id="31"/>
      <w:bookmarkEnd w:id="32"/>
      <w:bookmarkEnd w:id="33"/>
      <w:bookmarkEnd w:id="34"/>
      <w:bookmarkEnd w:id="35"/>
      <w:bookmarkEnd w:id="36"/>
      <w:bookmarkEnd w:id="37"/>
      <w:bookmarkEnd w:id="38"/>
      <w:bookmarkEnd w:id="39"/>
    </w:p>
    <w:p>
      <w:pPr>
        <w:pStyle w:val="29"/>
        <w:numPr>
          <w:ilvl w:val="255"/>
          <w:numId w:val="0"/>
        </w:num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1.投标人具有独立法人资格或为具有独立承担民事责任能力的其它组织</w:t>
      </w:r>
      <w:r>
        <w:rPr>
          <w:rFonts w:ascii="仿宋" w:hAnsi="仿宋" w:eastAsia="仿宋" w:cs="仿宋"/>
          <w:sz w:val="24"/>
        </w:rPr>
        <w:t>。</w:t>
      </w:r>
      <w:r>
        <w:rPr>
          <w:rFonts w:hint="eastAsia" w:ascii="仿宋" w:hAnsi="仿宋" w:eastAsia="仿宋" w:cs="仿宋"/>
          <w:sz w:val="24"/>
        </w:rPr>
        <w:t>（提供营业执照或事业单位法人证书或其他证明材料复印件加盖公章，原件备查）；</w:t>
      </w:r>
    </w:p>
    <w:p>
      <w:pPr>
        <w:pStyle w:val="29"/>
        <w:numPr>
          <w:ilvl w:val="255"/>
          <w:numId w:val="0"/>
        </w:numPr>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t>2.参与本项目投标前三年内，在经营活动中没有重大违法记录（由供应商在《政府采购投标及履约承诺函》中作出声明）。</w:t>
      </w:r>
    </w:p>
    <w:p>
      <w:pPr>
        <w:pStyle w:val="29"/>
        <w:numPr>
          <w:ilvl w:val="255"/>
          <w:numId w:val="0"/>
        </w:num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3.参与本项目政府采购活动时不存在被有关部门禁止参与政府采购活动且在有效期内的情况（由供应商在《政府采购投标及履约承诺函》中作出声明，加盖公章）；</w:t>
      </w:r>
    </w:p>
    <w:p>
      <w:pPr>
        <w:pStyle w:val="29"/>
        <w:numPr>
          <w:ilvl w:val="255"/>
          <w:numId w:val="0"/>
        </w:num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4.具备《中华人民共和国政府采购法》第二十二条第一款的条件（由供应商在《政府采购投标及履约承诺函》中作出声明，加盖公章）；</w:t>
      </w:r>
    </w:p>
    <w:p>
      <w:pPr>
        <w:pStyle w:val="29"/>
        <w:numPr>
          <w:ilvl w:val="255"/>
          <w:numId w:val="0"/>
        </w:num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未被列入失信被执行人、重大税收违法失信主体、政府采购严重违法失信行为记录名单（由供应商在《政府采购投标及履约承诺函》中作出声明，加盖公章）；【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将作为项目档案材料一并保存。】</w:t>
      </w:r>
    </w:p>
    <w:p>
      <w:pPr>
        <w:pStyle w:val="29"/>
        <w:numPr>
          <w:ilvl w:val="255"/>
          <w:numId w:val="0"/>
        </w:num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6.单位法定代表人（负责人）为同一人或者存在直接控股、管理关系的不同供应商，不得同时参加本项目投标（由供应商在《政府采购投标及履约承诺函》中作出声明，加盖公章）；</w:t>
      </w:r>
    </w:p>
    <w:p>
      <w:pPr>
        <w:pStyle w:val="29"/>
        <w:numPr>
          <w:ilvl w:val="255"/>
          <w:numId w:val="0"/>
        </w:num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7.为本项目提供整体设计、规范编制或者项目管理、监理、检测等服务的供应商，不得参加本项目投标。（由供应商在《政府采购投标及履约承诺函》中作出声明，加盖公章）；</w:t>
      </w:r>
    </w:p>
    <w:p>
      <w:pPr>
        <w:ind w:firstLine="480" w:firstLineChars="200"/>
        <w:rPr>
          <w:rFonts w:ascii="仿宋" w:hAnsi="仿宋" w:eastAsia="仿宋" w:cs="仿宋"/>
          <w:sz w:val="24"/>
        </w:rPr>
      </w:pPr>
      <w:r>
        <w:rPr>
          <w:rFonts w:hint="eastAsia" w:ascii="仿宋" w:hAnsi="仿宋" w:eastAsia="仿宋" w:cs="仿宋"/>
          <w:sz w:val="24"/>
        </w:rPr>
        <w:t>8.本项目不接受联合体投标，不接受投标人选用进口产品参与投标，不允许转包分包（由供应商在《政府采购投标及履约承诺函》中作出声明，加盖公章）。</w:t>
      </w:r>
    </w:p>
    <w:p>
      <w:pPr>
        <w:tabs>
          <w:tab w:val="left" w:pos="6090"/>
        </w:tabs>
        <w:adjustRightInd w:val="0"/>
        <w:snapToGrid w:val="0"/>
        <w:spacing w:line="400" w:lineRule="exact"/>
        <w:ind w:left="142"/>
        <w:jc w:val="left"/>
        <w:outlineLvl w:val="2"/>
        <w:rPr>
          <w:rFonts w:ascii="仿宋" w:hAnsi="仿宋" w:eastAsia="仿宋" w:cs="仿宋"/>
          <w:b/>
          <w:sz w:val="24"/>
        </w:rPr>
      </w:pPr>
      <w:bookmarkStart w:id="40" w:name="_Toc31142"/>
      <w:bookmarkStart w:id="41" w:name="_Toc17146"/>
      <w:bookmarkStart w:id="42" w:name="_Toc1146"/>
      <w:bookmarkStart w:id="43" w:name="_Toc49331725"/>
      <w:bookmarkStart w:id="44" w:name="_Toc9431"/>
      <w:bookmarkStart w:id="45" w:name="_Toc13063"/>
      <w:bookmarkStart w:id="46" w:name="_Toc29610"/>
      <w:bookmarkStart w:id="47" w:name="_Toc21397"/>
      <w:bookmarkStart w:id="48" w:name="_Toc2253"/>
      <w:bookmarkStart w:id="49" w:name="_Toc14814"/>
      <w:bookmarkStart w:id="50" w:name="_Toc22897"/>
      <w:r>
        <w:rPr>
          <w:rFonts w:hint="eastAsia" w:ascii="仿宋" w:hAnsi="仿宋" w:eastAsia="仿宋" w:cs="仿宋"/>
          <w:b/>
          <w:sz w:val="24"/>
        </w:rPr>
        <w:t>三、获取招标文件</w:t>
      </w:r>
      <w:bookmarkEnd w:id="40"/>
      <w:bookmarkEnd w:id="41"/>
      <w:bookmarkEnd w:id="42"/>
      <w:bookmarkEnd w:id="43"/>
      <w:bookmarkEnd w:id="44"/>
      <w:bookmarkEnd w:id="45"/>
      <w:bookmarkEnd w:id="46"/>
      <w:bookmarkEnd w:id="47"/>
      <w:bookmarkEnd w:id="48"/>
      <w:bookmarkEnd w:id="49"/>
      <w:bookmarkEnd w:id="50"/>
    </w:p>
    <w:p>
      <w:pPr>
        <w:adjustRightInd w:val="0"/>
        <w:snapToGrid w:val="0"/>
        <w:spacing w:line="400" w:lineRule="exact"/>
        <w:ind w:left="142" w:firstLine="480" w:firstLineChars="200"/>
        <w:jc w:val="left"/>
        <w:rPr>
          <w:rFonts w:ascii="仿宋" w:hAnsi="仿宋" w:eastAsia="仿宋" w:cs="仿宋"/>
          <w:sz w:val="24"/>
        </w:rPr>
      </w:pPr>
      <w:r>
        <w:rPr>
          <w:rFonts w:hint="eastAsia" w:ascii="仿宋" w:hAnsi="仿宋" w:eastAsia="仿宋" w:cs="仿宋"/>
          <w:sz w:val="24"/>
        </w:rPr>
        <w:t>1.时间：202</w:t>
      </w:r>
      <w:r>
        <w:rPr>
          <w:rFonts w:ascii="仿宋" w:hAnsi="仿宋" w:eastAsia="仿宋" w:cs="仿宋"/>
          <w:sz w:val="24"/>
        </w:rPr>
        <w:t>4</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日起至202</w:t>
      </w:r>
      <w:r>
        <w:rPr>
          <w:rFonts w:ascii="仿宋" w:hAnsi="仿宋" w:eastAsia="仿宋" w:cs="仿宋"/>
          <w:sz w:val="24"/>
        </w:rPr>
        <w:t>4</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日止,上午9:00-11:30,下午14:00-17:00（公休日及节假日除外，招标文件中时间均为北京时间）；</w:t>
      </w:r>
    </w:p>
    <w:p>
      <w:pPr>
        <w:adjustRightInd w:val="0"/>
        <w:snapToGrid w:val="0"/>
        <w:spacing w:line="400" w:lineRule="exact"/>
        <w:ind w:left="142" w:firstLine="480" w:firstLineChars="200"/>
        <w:jc w:val="left"/>
        <w:rPr>
          <w:rFonts w:ascii="仿宋" w:hAnsi="仿宋" w:eastAsia="仿宋" w:cs="仿宋"/>
          <w:sz w:val="24"/>
        </w:rPr>
      </w:pPr>
      <w:r>
        <w:rPr>
          <w:rFonts w:hint="eastAsia" w:ascii="仿宋" w:hAnsi="仿宋" w:eastAsia="仿宋" w:cs="仿宋"/>
          <w:sz w:val="24"/>
        </w:rPr>
        <w:t>2.地点：深圳市福田区福田体育公园西北角友和招标代理服务中心（靠近北门）；</w:t>
      </w:r>
    </w:p>
    <w:p>
      <w:pPr>
        <w:adjustRightInd w:val="0"/>
        <w:snapToGrid w:val="0"/>
        <w:spacing w:line="400" w:lineRule="exact"/>
        <w:ind w:left="142" w:firstLine="480" w:firstLineChars="200"/>
        <w:jc w:val="left"/>
        <w:rPr>
          <w:rFonts w:ascii="仿宋" w:hAnsi="仿宋" w:eastAsia="仿宋" w:cs="仿宋"/>
          <w:sz w:val="24"/>
        </w:rPr>
      </w:pPr>
      <w:r>
        <w:rPr>
          <w:rFonts w:hint="eastAsia" w:ascii="仿宋" w:hAnsi="仿宋" w:eastAsia="仿宋" w:cs="仿宋"/>
          <w:sz w:val="24"/>
        </w:rPr>
        <w:t>3.报名方式：线上报名，具体操作请登录“友和招标代理服务网”（网址：http://yhzb.uho.cn/）的“重要通知”中查看《关于采用线上报名方式的通知》；</w:t>
      </w:r>
    </w:p>
    <w:p>
      <w:pPr>
        <w:adjustRightInd w:val="0"/>
        <w:snapToGrid w:val="0"/>
        <w:spacing w:line="400" w:lineRule="exact"/>
        <w:ind w:left="142" w:firstLine="480" w:firstLineChars="200"/>
        <w:jc w:val="left"/>
        <w:rPr>
          <w:rFonts w:ascii="仿宋" w:hAnsi="仿宋" w:eastAsia="仿宋" w:cs="仿宋"/>
          <w:sz w:val="24"/>
        </w:rPr>
      </w:pPr>
      <w:r>
        <w:rPr>
          <w:rFonts w:hint="eastAsia" w:ascii="仿宋" w:hAnsi="仿宋" w:eastAsia="仿宋" w:cs="仿宋"/>
          <w:sz w:val="24"/>
        </w:rPr>
        <w:t>4.售价：本招标文件每个包组售价人民币500元，售后不退；如需邮寄，均以“到付”为邮寄费的付费方式。</w:t>
      </w:r>
    </w:p>
    <w:p>
      <w:pPr>
        <w:adjustRightInd w:val="0"/>
        <w:snapToGrid w:val="0"/>
        <w:spacing w:line="400" w:lineRule="exact"/>
        <w:ind w:left="142" w:firstLine="480" w:firstLineChars="200"/>
        <w:jc w:val="left"/>
        <w:rPr>
          <w:rFonts w:ascii="仿宋" w:hAnsi="仿宋" w:eastAsia="仿宋" w:cs="仿宋"/>
          <w:sz w:val="24"/>
        </w:rPr>
      </w:pPr>
      <w:r>
        <w:rPr>
          <w:rFonts w:hint="eastAsia" w:ascii="仿宋" w:hAnsi="仿宋" w:eastAsia="仿宋" w:cs="仿宋"/>
          <w:sz w:val="24"/>
        </w:rPr>
        <w:t>5.招标文件售卖咨询电话：0755-83881111</w:t>
      </w:r>
    </w:p>
    <w:p>
      <w:pPr>
        <w:pStyle w:val="29"/>
        <w:adjustRightInd w:val="0"/>
        <w:snapToGrid w:val="0"/>
        <w:spacing w:line="400" w:lineRule="exact"/>
        <w:ind w:left="420" w:leftChars="200" w:firstLine="240" w:firstLineChars="100"/>
        <w:jc w:val="left"/>
        <w:rPr>
          <w:rFonts w:ascii="仿宋" w:hAnsi="仿宋" w:eastAsia="仿宋" w:cs="仿宋"/>
          <w:sz w:val="24"/>
        </w:rPr>
      </w:pPr>
      <w:r>
        <w:rPr>
          <w:rFonts w:hint="eastAsia" w:ascii="仿宋" w:hAnsi="仿宋" w:eastAsia="仿宋" w:cs="仿宋"/>
          <w:sz w:val="24"/>
        </w:rPr>
        <w:t>6.购买招标文件所需资料：</w:t>
      </w:r>
    </w:p>
    <w:p>
      <w:pPr>
        <w:pStyle w:val="29"/>
        <w:adjustRightInd w:val="0"/>
        <w:snapToGrid w:val="0"/>
        <w:spacing w:line="400" w:lineRule="exact"/>
        <w:ind w:left="420" w:leftChars="200" w:firstLine="240" w:firstLineChars="100"/>
        <w:jc w:val="left"/>
        <w:rPr>
          <w:rFonts w:ascii="仿宋" w:hAnsi="仿宋" w:eastAsia="仿宋" w:cs="仿宋"/>
          <w:sz w:val="24"/>
        </w:rPr>
      </w:pPr>
      <w:r>
        <w:rPr>
          <w:rFonts w:hint="eastAsia" w:ascii="仿宋" w:hAnsi="仿宋" w:eastAsia="仿宋" w:cs="仿宋"/>
          <w:sz w:val="24"/>
        </w:rPr>
        <w:t>（1）法定代表人证明书原件及身份证扫描件（加盖公章）；</w:t>
      </w:r>
    </w:p>
    <w:p>
      <w:pPr>
        <w:pStyle w:val="29"/>
        <w:adjustRightInd w:val="0"/>
        <w:snapToGrid w:val="0"/>
        <w:spacing w:line="400" w:lineRule="exact"/>
        <w:ind w:left="420" w:leftChars="200" w:firstLine="240" w:firstLineChars="100"/>
        <w:jc w:val="left"/>
        <w:rPr>
          <w:rFonts w:ascii="仿宋" w:hAnsi="仿宋" w:eastAsia="仿宋" w:cs="仿宋"/>
          <w:sz w:val="24"/>
        </w:rPr>
      </w:pPr>
      <w:r>
        <w:rPr>
          <w:rFonts w:hint="eastAsia" w:ascii="仿宋" w:hAnsi="仿宋" w:eastAsia="仿宋" w:cs="仿宋"/>
          <w:sz w:val="24"/>
        </w:rPr>
        <w:t>（2）法定代表人授权委托书原件及被授权人身份证扫描件（加盖公章）；</w:t>
      </w:r>
    </w:p>
    <w:p>
      <w:pPr>
        <w:pStyle w:val="29"/>
        <w:adjustRightInd w:val="0"/>
        <w:snapToGrid w:val="0"/>
        <w:spacing w:line="400" w:lineRule="exact"/>
        <w:ind w:left="420" w:leftChars="200" w:firstLine="240" w:firstLineChars="100"/>
        <w:jc w:val="left"/>
        <w:rPr>
          <w:rFonts w:ascii="仿宋" w:hAnsi="仿宋" w:eastAsia="仿宋" w:cs="仿宋"/>
          <w:sz w:val="24"/>
        </w:rPr>
      </w:pPr>
      <w:r>
        <w:rPr>
          <w:rFonts w:hint="eastAsia" w:ascii="仿宋" w:hAnsi="仿宋" w:eastAsia="仿宋" w:cs="仿宋"/>
          <w:sz w:val="24"/>
        </w:rPr>
        <w:t>（3）上述“二、申请人的资格要求”中第1项证明文件。</w:t>
      </w:r>
    </w:p>
    <w:p>
      <w:pPr>
        <w:adjustRightInd w:val="0"/>
        <w:snapToGrid w:val="0"/>
        <w:spacing w:line="400" w:lineRule="exact"/>
        <w:jc w:val="left"/>
        <w:outlineLvl w:val="2"/>
        <w:rPr>
          <w:rFonts w:ascii="仿宋" w:hAnsi="仿宋" w:eastAsia="仿宋" w:cs="仿宋"/>
          <w:b/>
          <w:sz w:val="24"/>
        </w:rPr>
      </w:pPr>
      <w:bookmarkStart w:id="51" w:name="_Toc12335"/>
      <w:bookmarkStart w:id="52" w:name="_Toc7473"/>
      <w:bookmarkStart w:id="53" w:name="_Toc49331726"/>
      <w:bookmarkStart w:id="54" w:name="_Toc15198"/>
      <w:bookmarkStart w:id="55" w:name="_Toc10019"/>
      <w:bookmarkStart w:id="56" w:name="_Toc31743"/>
      <w:bookmarkStart w:id="57" w:name="_Toc31495"/>
      <w:bookmarkStart w:id="58" w:name="_Toc18227"/>
      <w:bookmarkStart w:id="59" w:name="_Toc20284"/>
      <w:bookmarkStart w:id="60" w:name="_Toc18025"/>
      <w:bookmarkStart w:id="61" w:name="_Toc13079"/>
      <w:r>
        <w:rPr>
          <w:rFonts w:hint="eastAsia" w:ascii="仿宋" w:hAnsi="仿宋" w:eastAsia="仿宋" w:cs="仿宋"/>
          <w:b/>
          <w:sz w:val="24"/>
        </w:rPr>
        <w:t>四、提交投标文件截止时间、 开标时间和地点</w:t>
      </w:r>
      <w:bookmarkEnd w:id="51"/>
      <w:bookmarkEnd w:id="52"/>
      <w:bookmarkEnd w:id="53"/>
      <w:bookmarkEnd w:id="54"/>
      <w:bookmarkEnd w:id="55"/>
      <w:bookmarkEnd w:id="56"/>
      <w:bookmarkEnd w:id="57"/>
      <w:bookmarkEnd w:id="58"/>
      <w:bookmarkEnd w:id="59"/>
      <w:bookmarkEnd w:id="60"/>
      <w:bookmarkEnd w:id="61"/>
    </w:p>
    <w:p>
      <w:pPr>
        <w:adjustRightInd w:val="0"/>
        <w:snapToGrid w:val="0"/>
        <w:spacing w:line="400" w:lineRule="exact"/>
        <w:ind w:firstLine="480" w:firstLineChars="200"/>
        <w:jc w:val="left"/>
        <w:rPr>
          <w:rFonts w:ascii="仿宋" w:hAnsi="仿宋" w:eastAsia="仿宋" w:cs="仿宋"/>
          <w:sz w:val="24"/>
        </w:rPr>
      </w:pPr>
      <w:bookmarkStart w:id="62" w:name="_Toc49331727"/>
      <w:r>
        <w:rPr>
          <w:rFonts w:hint="eastAsia" w:ascii="仿宋" w:hAnsi="仿宋" w:eastAsia="仿宋" w:cs="仿宋"/>
          <w:sz w:val="24"/>
        </w:rPr>
        <w:t>时间：202</w:t>
      </w:r>
      <w:r>
        <w:rPr>
          <w:rFonts w:ascii="仿宋" w:hAnsi="仿宋" w:eastAsia="仿宋" w:cs="仿宋"/>
          <w:sz w:val="24"/>
        </w:rPr>
        <w:t>4</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w:t>
      </w:r>
      <w:r>
        <w:rPr>
          <w:rFonts w:hint="eastAsia" w:ascii="仿宋" w:hAnsi="仿宋" w:eastAsia="仿宋" w:cs="仿宋"/>
          <w:sz w:val="24"/>
          <w:lang w:val="en-US" w:eastAsia="zh-CN"/>
        </w:rPr>
        <w:t>10</w:t>
      </w:r>
      <w:r>
        <w:rPr>
          <w:rFonts w:hint="eastAsia" w:ascii="仿宋" w:hAnsi="仿宋" w:eastAsia="仿宋" w:cs="仿宋"/>
          <w:sz w:val="24"/>
        </w:rPr>
        <w:t>时</w:t>
      </w:r>
      <w:r>
        <w:rPr>
          <w:rFonts w:hint="eastAsia" w:ascii="仿宋" w:hAnsi="仿宋" w:eastAsia="仿宋" w:cs="仿宋"/>
          <w:sz w:val="24"/>
          <w:lang w:val="en-US" w:eastAsia="zh-CN"/>
        </w:rPr>
        <w:t>0</w:t>
      </w:r>
      <w:r>
        <w:rPr>
          <w:rFonts w:hint="eastAsia" w:ascii="仿宋" w:hAnsi="仿宋" w:eastAsia="仿宋" w:cs="仿宋"/>
          <w:sz w:val="24"/>
        </w:rPr>
        <w:t>0分00秒（北京时间）</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地点：深圳市福田区福田体育公园西北角友和招标代理服务中心（靠近北门）。</w:t>
      </w:r>
    </w:p>
    <w:p>
      <w:pPr>
        <w:adjustRightInd w:val="0"/>
        <w:snapToGrid w:val="0"/>
        <w:spacing w:line="400" w:lineRule="exact"/>
        <w:ind w:firstLine="482" w:firstLineChars="200"/>
        <w:jc w:val="left"/>
        <w:rPr>
          <w:rFonts w:ascii="仿宋" w:hAnsi="仿宋" w:eastAsia="仿宋" w:cs="仿宋"/>
          <w:sz w:val="24"/>
        </w:rPr>
      </w:pPr>
      <w:r>
        <w:rPr>
          <w:rFonts w:hint="eastAsia" w:ascii="仿宋" w:hAnsi="仿宋" w:eastAsia="仿宋" w:cs="仿宋"/>
          <w:b/>
          <w:bCs/>
          <w:sz w:val="24"/>
        </w:rPr>
        <w:t>递交方式：</w:t>
      </w:r>
      <w:r>
        <w:rPr>
          <w:rFonts w:hint="eastAsia" w:ascii="仿宋" w:hAnsi="仿宋" w:eastAsia="仿宋" w:cs="仿宋"/>
          <w:sz w:val="24"/>
        </w:rPr>
        <w:t>招标代理机构只接受在截标当日递交投标文件时间之内由投标人法定代表人或其授权代表亲自现场递交的投标文件，逾期收到或不符合规定的投标文件恕不接受。</w:t>
      </w:r>
    </w:p>
    <w:p>
      <w:pPr>
        <w:adjustRightInd w:val="0"/>
        <w:snapToGrid w:val="0"/>
        <w:spacing w:line="400" w:lineRule="exact"/>
        <w:jc w:val="left"/>
        <w:outlineLvl w:val="2"/>
        <w:rPr>
          <w:rFonts w:ascii="仿宋" w:hAnsi="仿宋" w:eastAsia="仿宋" w:cs="仿宋"/>
          <w:b/>
          <w:sz w:val="24"/>
        </w:rPr>
      </w:pPr>
      <w:bookmarkStart w:id="63" w:name="_Toc2013"/>
      <w:bookmarkStart w:id="64" w:name="_Toc8500"/>
      <w:bookmarkStart w:id="65" w:name="_Toc21140"/>
      <w:bookmarkStart w:id="66" w:name="_Toc20614"/>
      <w:bookmarkStart w:id="67" w:name="_Toc29620"/>
      <w:bookmarkStart w:id="68" w:name="_Toc4078"/>
      <w:bookmarkStart w:id="69" w:name="_Toc957"/>
      <w:bookmarkStart w:id="70" w:name="_Toc9526"/>
      <w:bookmarkStart w:id="71" w:name="_Toc22041"/>
      <w:bookmarkStart w:id="72" w:name="_Toc13000"/>
      <w:r>
        <w:rPr>
          <w:rFonts w:hint="eastAsia" w:ascii="仿宋" w:hAnsi="仿宋" w:eastAsia="仿宋" w:cs="仿宋"/>
          <w:b/>
          <w:sz w:val="24"/>
        </w:rPr>
        <w:t>五、公告期限：</w:t>
      </w:r>
      <w:r>
        <w:rPr>
          <w:rFonts w:hint="eastAsia" w:ascii="仿宋" w:hAnsi="仿宋" w:eastAsia="仿宋" w:cs="仿宋"/>
          <w:sz w:val="24"/>
        </w:rPr>
        <w:t>自本公告发布之日起 5 个工作日</w:t>
      </w:r>
      <w:bookmarkEnd w:id="62"/>
      <w:bookmarkEnd w:id="63"/>
      <w:bookmarkEnd w:id="64"/>
      <w:bookmarkEnd w:id="65"/>
      <w:bookmarkEnd w:id="66"/>
      <w:bookmarkEnd w:id="67"/>
      <w:bookmarkEnd w:id="68"/>
      <w:bookmarkEnd w:id="69"/>
      <w:bookmarkEnd w:id="70"/>
      <w:bookmarkEnd w:id="71"/>
      <w:bookmarkEnd w:id="72"/>
    </w:p>
    <w:p>
      <w:pPr>
        <w:adjustRightInd w:val="0"/>
        <w:snapToGrid w:val="0"/>
        <w:spacing w:line="400" w:lineRule="exact"/>
        <w:jc w:val="left"/>
        <w:outlineLvl w:val="2"/>
        <w:rPr>
          <w:rFonts w:ascii="仿宋" w:hAnsi="仿宋" w:eastAsia="仿宋" w:cs="仿宋"/>
          <w:b/>
          <w:sz w:val="24"/>
        </w:rPr>
      </w:pPr>
      <w:bookmarkStart w:id="73" w:name="_Toc25637"/>
      <w:bookmarkStart w:id="74" w:name="_Toc3826"/>
      <w:bookmarkStart w:id="75" w:name="_Toc8704"/>
      <w:bookmarkStart w:id="76" w:name="_Toc8439"/>
      <w:bookmarkStart w:id="77" w:name="_Toc20494"/>
      <w:bookmarkStart w:id="78" w:name="_Toc4597"/>
      <w:bookmarkStart w:id="79" w:name="_Toc4884"/>
      <w:bookmarkStart w:id="80" w:name="_Toc6030"/>
      <w:bookmarkStart w:id="81" w:name="_Toc15001"/>
      <w:bookmarkStart w:id="82" w:name="_Toc22588"/>
      <w:bookmarkStart w:id="83" w:name="_Toc49331728"/>
      <w:r>
        <w:rPr>
          <w:rFonts w:hint="eastAsia" w:ascii="仿宋" w:hAnsi="仿宋" w:eastAsia="仿宋" w:cs="仿宋"/>
          <w:b/>
          <w:sz w:val="24"/>
        </w:rPr>
        <w:t>六、其他补充事宜</w:t>
      </w:r>
      <w:bookmarkEnd w:id="73"/>
      <w:bookmarkEnd w:id="74"/>
      <w:bookmarkEnd w:id="75"/>
      <w:bookmarkEnd w:id="76"/>
      <w:bookmarkEnd w:id="77"/>
      <w:bookmarkEnd w:id="78"/>
      <w:bookmarkEnd w:id="79"/>
      <w:bookmarkEnd w:id="80"/>
      <w:bookmarkEnd w:id="81"/>
      <w:bookmarkEnd w:id="82"/>
      <w:bookmarkEnd w:id="83"/>
    </w:p>
    <w:p>
      <w:pPr>
        <w:adjustRightInd w:val="0"/>
        <w:snapToGrid w:val="0"/>
        <w:spacing w:line="400" w:lineRule="exact"/>
        <w:ind w:firstLine="482" w:firstLineChars="200"/>
        <w:jc w:val="left"/>
        <w:rPr>
          <w:rFonts w:ascii="仿宋" w:hAnsi="仿宋" w:eastAsia="仿宋" w:cs="仿宋"/>
          <w:b/>
          <w:sz w:val="24"/>
        </w:rPr>
      </w:pPr>
      <w:r>
        <w:rPr>
          <w:rFonts w:hint="eastAsia" w:ascii="仿宋" w:hAnsi="仿宋" w:eastAsia="仿宋" w:cs="仿宋"/>
          <w:b/>
          <w:sz w:val="24"/>
        </w:rPr>
        <w:t>1.澄清及答疑事项：</w:t>
      </w:r>
    </w:p>
    <w:p>
      <w:pPr>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投标人要求采购人对招标文件进行澄清的，请于投标截止日五日前，以书面形式加盖单位公章邮件或送达招标代理机构，邮件须电话确认，逾期不予受理。对招标文件进行澄清或者修改的，招标代理机构</w:t>
      </w:r>
      <w:r>
        <w:rPr>
          <w:rFonts w:hint="eastAsia" w:ascii="仿宋" w:hAnsi="仿宋" w:eastAsia="仿宋" w:cs="仿宋"/>
          <w:bCs/>
          <w:kern w:val="0"/>
          <w:sz w:val="24"/>
        </w:rPr>
        <w:t>在投标截止日</w:t>
      </w:r>
      <w:r>
        <w:rPr>
          <w:rFonts w:hint="eastAsia" w:ascii="仿宋" w:hAnsi="仿宋" w:eastAsia="仿宋" w:cs="仿宋"/>
          <w:kern w:val="0"/>
          <w:sz w:val="24"/>
        </w:rPr>
        <w:t>三日前通知所有已收受招标文件或者已响应招标的供应商。对招标文件的任何澄清或者修改，以招标代理机构发出的通知为准。</w:t>
      </w:r>
    </w:p>
    <w:p>
      <w:pPr>
        <w:adjustRightInd w:val="0"/>
        <w:snapToGrid w:val="0"/>
        <w:spacing w:line="400" w:lineRule="exact"/>
        <w:ind w:left="142" w:firstLine="482" w:firstLineChars="200"/>
        <w:jc w:val="left"/>
        <w:rPr>
          <w:rFonts w:ascii="仿宋" w:hAnsi="仿宋" w:eastAsia="仿宋" w:cs="仿宋"/>
          <w:b/>
          <w:bCs/>
          <w:sz w:val="24"/>
        </w:rPr>
      </w:pPr>
      <w:r>
        <w:rPr>
          <w:rFonts w:hint="eastAsia" w:ascii="仿宋" w:hAnsi="仿宋" w:eastAsia="仿宋" w:cs="仿宋"/>
          <w:b/>
          <w:bCs/>
          <w:sz w:val="24"/>
        </w:rPr>
        <w:t>2.重要提示：</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投标人有义务在招标活动期间浏览下述“相关项目信息查询网址”中各网站信息，招标人在相关网站上公布的与本次招标项目有关的信息视为已送达各投标人。招标人恕不再行电话通知各投标人。</w:t>
      </w:r>
    </w:p>
    <w:p>
      <w:pPr>
        <w:pStyle w:val="6"/>
        <w:ind w:firstLine="482"/>
        <w:rPr>
          <w:rFonts w:eastAsia="仿宋"/>
        </w:rPr>
      </w:pPr>
      <w:r>
        <w:rPr>
          <w:rFonts w:hint="eastAsia" w:ascii="仿宋" w:hAnsi="仿宋" w:eastAsia="仿宋" w:cs="仿宋"/>
          <w:b/>
          <w:bCs/>
          <w:kern w:val="2"/>
          <w:sz w:val="24"/>
        </w:rPr>
        <w:t>3.本项目所属行业为：</w:t>
      </w:r>
      <w:r>
        <w:rPr>
          <w:rFonts w:hint="eastAsia" w:ascii="仿宋" w:hAnsi="仿宋" w:eastAsia="仿宋" w:cs="仿宋"/>
          <w:b/>
          <w:bCs/>
          <w:kern w:val="2"/>
          <w:sz w:val="24"/>
          <w:u w:val="single"/>
        </w:rPr>
        <w:t>其他未列明行业</w:t>
      </w:r>
      <w:r>
        <w:rPr>
          <w:rFonts w:hint="eastAsia" w:ascii="仿宋" w:hAnsi="仿宋" w:eastAsia="仿宋" w:cs="仿宋"/>
          <w:sz w:val="24"/>
        </w:rPr>
        <w:t>，投标人须根据《政府采购促进中小企业发展管理办法》（财库﹝2020﹞46 号）的规定填写《中小企业声明函</w:t>
      </w:r>
      <w:r>
        <w:rPr>
          <w:rFonts w:ascii="仿宋" w:hAnsi="仿宋" w:eastAsia="仿宋" w:cs="仿宋"/>
          <w:sz w:val="24"/>
        </w:rPr>
        <w:t>（</w:t>
      </w:r>
      <w:r>
        <w:rPr>
          <w:rFonts w:hint="eastAsia" w:ascii="仿宋" w:hAnsi="仿宋" w:eastAsia="仿宋" w:cs="仿宋"/>
          <w:sz w:val="24"/>
        </w:rPr>
        <w:t>服务）》。</w:t>
      </w:r>
    </w:p>
    <w:p>
      <w:pPr>
        <w:adjustRightInd w:val="0"/>
        <w:snapToGrid w:val="0"/>
        <w:spacing w:line="400" w:lineRule="exact"/>
        <w:jc w:val="left"/>
        <w:outlineLvl w:val="2"/>
        <w:rPr>
          <w:rFonts w:ascii="仿宋" w:hAnsi="仿宋" w:eastAsia="仿宋" w:cs="仿宋"/>
          <w:b/>
          <w:sz w:val="24"/>
        </w:rPr>
      </w:pPr>
      <w:bookmarkStart w:id="84" w:name="_Toc10496"/>
      <w:bookmarkStart w:id="85" w:name="_Toc49331729"/>
      <w:bookmarkStart w:id="86" w:name="_Toc26095"/>
      <w:bookmarkStart w:id="87" w:name="_Toc10663"/>
      <w:bookmarkStart w:id="88" w:name="_Toc12950"/>
      <w:bookmarkStart w:id="89" w:name="_Toc20579"/>
      <w:bookmarkStart w:id="90" w:name="_Toc970"/>
      <w:bookmarkStart w:id="91" w:name="_Toc26590"/>
      <w:bookmarkStart w:id="92" w:name="_Toc7589"/>
      <w:bookmarkStart w:id="93" w:name="_Toc31564"/>
      <w:bookmarkStart w:id="94" w:name="_Toc2150"/>
      <w:r>
        <w:rPr>
          <w:rFonts w:hint="eastAsia" w:ascii="仿宋" w:hAnsi="仿宋" w:eastAsia="仿宋" w:cs="仿宋"/>
          <w:b/>
          <w:sz w:val="24"/>
        </w:rPr>
        <w:t>七、对本次招标提出询问，请按以下方式联系。</w:t>
      </w:r>
      <w:bookmarkEnd w:id="84"/>
      <w:bookmarkEnd w:id="85"/>
      <w:bookmarkEnd w:id="86"/>
      <w:bookmarkEnd w:id="87"/>
      <w:bookmarkEnd w:id="88"/>
      <w:bookmarkEnd w:id="89"/>
      <w:bookmarkEnd w:id="90"/>
      <w:bookmarkEnd w:id="91"/>
      <w:bookmarkEnd w:id="92"/>
      <w:bookmarkEnd w:id="93"/>
      <w:bookmarkEnd w:id="94"/>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1.采购人信息</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名    称：深圳市前海深港现代服务业合作区管理局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地    址：深圳市前海深港合作区桂湾五路123号前海大厦T1栋</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联系人</w:t>
      </w:r>
      <w:r>
        <w:rPr>
          <w:rFonts w:ascii="仿宋" w:hAnsi="仿宋" w:eastAsia="仿宋" w:cs="仿宋"/>
          <w:sz w:val="24"/>
        </w:rPr>
        <w:t>:</w:t>
      </w:r>
      <w:r>
        <w:rPr>
          <w:rFonts w:hint="eastAsia" w:ascii="仿宋" w:hAnsi="仿宋" w:eastAsia="仿宋" w:cs="仿宋"/>
          <w:sz w:val="24"/>
        </w:rPr>
        <w:t xml:space="preserve"> 郭工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联系方式：0755-88105169</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2.采购代理机构信息</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名    称：友和保险经纪有限公司</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地    址：深圳市福田区福田体育公园西北角友和招标代理服务中心（靠近北门）</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联系方式：0755-83881281</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3.项目联系方式</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项目联系人：严定容</w:t>
      </w:r>
    </w:p>
    <w:p>
      <w:pPr>
        <w:adjustRightInd w:val="0"/>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电      话：0755-83881283</w:t>
      </w:r>
    </w:p>
    <w:p>
      <w:pPr>
        <w:adjustRightInd w:val="0"/>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业务监督电话：0755-83881269</w:t>
      </w:r>
    </w:p>
    <w:p>
      <w:pPr>
        <w:adjustRightInd w:val="0"/>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业务监督邮箱：ywjd@uho.cn</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4.相关项目信息查询网址</w:t>
      </w:r>
    </w:p>
    <w:p>
      <w:pPr>
        <w:pStyle w:val="7"/>
      </w:pPr>
      <w:bookmarkStart w:id="95" w:name="_Toc25780"/>
      <w:bookmarkStart w:id="96" w:name="_Toc5259"/>
      <w:bookmarkStart w:id="97" w:name="_Toc10586"/>
      <w:bookmarkStart w:id="98" w:name="_Toc30378"/>
      <w:bookmarkStart w:id="99" w:name="_Toc18189"/>
      <w:bookmarkStart w:id="100" w:name="_Toc10354"/>
      <w:bookmarkStart w:id="101" w:name="_Toc25870"/>
      <w:bookmarkStart w:id="102" w:name="_Toc2843"/>
      <w:r>
        <w:rPr>
          <w:rFonts w:hint="eastAsia" w:ascii="仿宋" w:hAnsi="仿宋" w:eastAsia="仿宋" w:cs="仿宋"/>
          <w:sz w:val="24"/>
        </w:rPr>
        <w:t>深圳公共资源交易中心（深圳交易集团有限公司政府采购业务分公司）</w:t>
      </w:r>
      <w:r>
        <w:rPr>
          <w:rFonts w:hint="eastAsia"/>
        </w:rPr>
        <w:t>https://www.szzfcg.cn/</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深圳市前海深港现代服务业合作区管理局 </w:t>
      </w:r>
      <w:r>
        <w:fldChar w:fldCharType="begin"/>
      </w:r>
      <w:r>
        <w:instrText xml:space="preserve"> HYPERLINK "http://qh.sz.gov.cn" </w:instrText>
      </w:r>
      <w:r>
        <w:fldChar w:fldCharType="separate"/>
      </w:r>
      <w:r>
        <w:rPr>
          <w:rStyle w:val="26"/>
          <w:rFonts w:hint="eastAsia" w:ascii="仿宋" w:hAnsi="仿宋" w:eastAsia="仿宋" w:cs="仿宋"/>
          <w:color w:val="auto"/>
          <w:sz w:val="24"/>
          <w:u w:val="none"/>
        </w:rPr>
        <w:t>http://qh.sz.gov.cn</w:t>
      </w:r>
      <w:r>
        <w:rPr>
          <w:rStyle w:val="26"/>
          <w:rFonts w:hint="eastAsia" w:ascii="仿宋" w:hAnsi="仿宋" w:eastAsia="仿宋" w:cs="仿宋"/>
          <w:color w:val="auto"/>
          <w:sz w:val="24"/>
          <w:u w:val="none"/>
        </w:rPr>
        <w:fldChar w:fldCharType="end"/>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友和招标代理服务网 http://yhzb.uho.cn/</w:t>
      </w:r>
    </w:p>
    <w:p>
      <w:pPr>
        <w:pStyle w:val="30"/>
        <w:spacing w:line="276" w:lineRule="auto"/>
        <w:ind w:firstLine="0" w:firstLineChars="0"/>
        <w:outlineLvl w:val="2"/>
        <w:rPr>
          <w:rFonts w:ascii="仿宋" w:hAnsi="仿宋" w:eastAsia="仿宋" w:cs="仿宋"/>
          <w:b/>
          <w:kern w:val="2"/>
          <w:sz w:val="24"/>
        </w:rPr>
      </w:pPr>
      <w:bookmarkStart w:id="103" w:name="_Toc21296"/>
      <w:bookmarkStart w:id="104" w:name="_Toc13415"/>
      <w:r>
        <w:rPr>
          <w:rFonts w:hint="eastAsia" w:ascii="仿宋" w:hAnsi="仿宋" w:eastAsia="仿宋" w:cs="仿宋"/>
          <w:b/>
          <w:kern w:val="2"/>
          <w:sz w:val="24"/>
        </w:rPr>
        <w:t>八、银行账户信息</w:t>
      </w:r>
      <w:bookmarkEnd w:id="95"/>
      <w:bookmarkEnd w:id="96"/>
      <w:bookmarkEnd w:id="97"/>
      <w:bookmarkEnd w:id="98"/>
      <w:bookmarkEnd w:id="99"/>
      <w:bookmarkEnd w:id="100"/>
      <w:bookmarkEnd w:id="101"/>
      <w:bookmarkEnd w:id="102"/>
      <w:bookmarkEnd w:id="103"/>
      <w:bookmarkEnd w:id="104"/>
    </w:p>
    <w:tbl>
      <w:tblPr>
        <w:tblStyle w:val="23"/>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pPr>
              <w:pStyle w:val="30"/>
              <w:spacing w:line="276" w:lineRule="auto"/>
              <w:ind w:firstLine="420"/>
              <w:jc w:val="center"/>
              <w:rPr>
                <w:rFonts w:ascii="仿宋" w:hAnsi="仿宋" w:eastAsia="仿宋" w:cs="仿宋"/>
                <w:sz w:val="21"/>
                <w:szCs w:val="21"/>
              </w:rPr>
            </w:pPr>
            <w:r>
              <w:rPr>
                <w:rFonts w:hint="eastAsia" w:ascii="仿宋" w:hAnsi="仿宋" w:eastAsia="仿宋" w:cs="仿宋"/>
                <w:sz w:val="21"/>
                <w:szCs w:val="21"/>
              </w:rPr>
              <w:t>缴费银行账户信息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30"/>
              <w:spacing w:line="276" w:lineRule="auto"/>
              <w:ind w:firstLine="420"/>
              <w:rPr>
                <w:rFonts w:ascii="仿宋" w:hAnsi="仿宋" w:eastAsia="仿宋" w:cs="仿宋"/>
                <w:sz w:val="21"/>
                <w:szCs w:val="21"/>
              </w:rPr>
            </w:pPr>
            <w:r>
              <w:rPr>
                <w:rFonts w:hint="eastAsia" w:ascii="仿宋" w:hAnsi="仿宋" w:eastAsia="仿宋" w:cs="仿宋"/>
                <w:sz w:val="21"/>
                <w:szCs w:val="21"/>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30"/>
              <w:spacing w:line="276" w:lineRule="auto"/>
              <w:ind w:firstLine="420"/>
              <w:rPr>
                <w:rFonts w:ascii="仿宋" w:hAnsi="仿宋" w:eastAsia="仿宋" w:cs="仿宋"/>
                <w:sz w:val="21"/>
                <w:szCs w:val="21"/>
              </w:rPr>
            </w:pPr>
            <w:r>
              <w:rPr>
                <w:rFonts w:hint="eastAsia" w:ascii="仿宋" w:hAnsi="仿宋" w:eastAsia="仿宋" w:cs="仿宋"/>
                <w:sz w:val="21"/>
                <w:szCs w:val="21"/>
              </w:rPr>
              <w:t>中国民生银行深圳分行福田支行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30"/>
              <w:spacing w:line="276" w:lineRule="auto"/>
              <w:ind w:firstLine="420"/>
              <w:rPr>
                <w:rFonts w:ascii="仿宋" w:hAnsi="仿宋" w:eastAsia="仿宋" w:cs="仿宋"/>
                <w:sz w:val="21"/>
                <w:szCs w:val="21"/>
              </w:rPr>
            </w:pPr>
            <w:r>
              <w:rPr>
                <w:rFonts w:hint="eastAsia" w:ascii="仿宋" w:hAnsi="仿宋" w:eastAsia="仿宋" w:cs="仿宋"/>
                <w:sz w:val="21"/>
                <w:szCs w:val="21"/>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30"/>
              <w:spacing w:line="276" w:lineRule="auto"/>
              <w:ind w:firstLine="420"/>
              <w:rPr>
                <w:rFonts w:ascii="仿宋" w:hAnsi="仿宋" w:eastAsia="仿宋" w:cs="仿宋"/>
                <w:sz w:val="21"/>
                <w:szCs w:val="21"/>
              </w:rPr>
            </w:pPr>
            <w:r>
              <w:rPr>
                <w:rFonts w:hint="eastAsia" w:ascii="仿宋" w:hAnsi="仿宋" w:eastAsia="仿宋" w:cs="仿宋"/>
                <w:sz w:val="21"/>
                <w:szCs w:val="21"/>
              </w:rPr>
              <w:t>友和保险经纪有限公司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pPr>
              <w:pStyle w:val="30"/>
              <w:spacing w:line="276" w:lineRule="auto"/>
              <w:ind w:firstLine="420"/>
              <w:rPr>
                <w:rFonts w:ascii="仿宋" w:hAnsi="仿宋" w:eastAsia="仿宋" w:cs="仿宋"/>
                <w:sz w:val="21"/>
                <w:szCs w:val="21"/>
              </w:rPr>
            </w:pPr>
            <w:r>
              <w:rPr>
                <w:rFonts w:hint="eastAsia" w:ascii="仿宋" w:hAnsi="仿宋" w:eastAsia="仿宋" w:cs="仿宋"/>
                <w:sz w:val="21"/>
                <w:szCs w:val="21"/>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pPr>
              <w:pStyle w:val="30"/>
              <w:spacing w:line="276" w:lineRule="auto"/>
              <w:ind w:firstLine="420"/>
              <w:rPr>
                <w:rFonts w:ascii="仿宋" w:hAnsi="仿宋" w:eastAsia="仿宋" w:cs="仿宋"/>
                <w:sz w:val="21"/>
                <w:szCs w:val="21"/>
              </w:rPr>
            </w:pPr>
            <w:r>
              <w:rPr>
                <w:rFonts w:hint="eastAsia" w:ascii="仿宋" w:hAnsi="仿宋" w:eastAsia="仿宋" w:cs="仿宋"/>
                <w:sz w:val="21"/>
                <w:szCs w:val="21"/>
              </w:rPr>
              <w:t>1806014170017592</w:t>
            </w:r>
          </w:p>
        </w:tc>
      </w:tr>
    </w:tbl>
    <w:p>
      <w:pPr>
        <w:rPr>
          <w:rFonts w:ascii="仿宋" w:hAnsi="仿宋" w:eastAsia="仿宋" w:cs="仿宋"/>
          <w:sz w:val="24"/>
        </w:rPr>
      </w:pPr>
    </w:p>
    <w:p>
      <w:pPr>
        <w:adjustRightInd w:val="0"/>
        <w:snapToGrid w:val="0"/>
        <w:spacing w:line="400" w:lineRule="exact"/>
        <w:ind w:right="420" w:firstLine="480" w:firstLineChars="200"/>
        <w:rPr>
          <w:rFonts w:ascii="仿宋" w:hAnsi="仿宋" w:eastAsia="仿宋" w:cs="仿宋"/>
          <w:sz w:val="24"/>
        </w:rPr>
      </w:pPr>
    </w:p>
    <w:p>
      <w:pPr>
        <w:adjustRightInd w:val="0"/>
        <w:snapToGrid w:val="0"/>
        <w:spacing w:line="400" w:lineRule="exact"/>
        <w:ind w:right="420" w:firstLine="5040" w:firstLineChars="2100"/>
        <w:jc w:val="right"/>
        <w:rPr>
          <w:rFonts w:ascii="仿宋" w:hAnsi="仿宋" w:eastAsia="仿宋" w:cs="仿宋"/>
          <w:sz w:val="24"/>
        </w:rPr>
      </w:pPr>
      <w:r>
        <w:rPr>
          <w:rFonts w:hint="eastAsia" w:ascii="仿宋" w:hAnsi="仿宋" w:eastAsia="仿宋" w:cs="仿宋"/>
          <w:sz w:val="24"/>
        </w:rPr>
        <w:t>友和保险经纪有限公司</w:t>
      </w:r>
    </w:p>
    <w:p>
      <w:pPr>
        <w:adjustRightInd w:val="0"/>
        <w:snapToGrid w:val="0"/>
        <w:spacing w:line="400" w:lineRule="exact"/>
        <w:ind w:right="420" w:firstLine="5040" w:firstLineChars="2100"/>
        <w:jc w:val="right"/>
        <w:rPr>
          <w:rFonts w:ascii="宋体" w:hAnsi="宋体"/>
          <w:szCs w:val="21"/>
        </w:rPr>
      </w:pPr>
      <w:r>
        <w:rPr>
          <w:rFonts w:hint="eastAsia" w:ascii="仿宋" w:hAnsi="仿宋" w:eastAsia="仿宋" w:cs="仿宋"/>
          <w:sz w:val="24"/>
        </w:rPr>
        <w:t>202</w:t>
      </w:r>
      <w:r>
        <w:rPr>
          <w:rFonts w:ascii="仿宋" w:hAnsi="仿宋" w:eastAsia="仿宋" w:cs="仿宋"/>
          <w:sz w:val="24"/>
        </w:rPr>
        <w:t>4</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p>
    <w:p/>
    <w:p>
      <w:pPr>
        <w:adjustRightInd w:val="0"/>
        <w:snapToGrid w:val="0"/>
        <w:spacing w:line="400" w:lineRule="exact"/>
        <w:ind w:right="210" w:firstLine="5565" w:firstLineChars="2650"/>
        <w:jc w:val="center"/>
        <w:rPr>
          <w:rFonts w:ascii="宋体" w:hAnsi="宋体"/>
          <w:szCs w:val="21"/>
        </w:rPr>
      </w:pPr>
    </w:p>
    <w:p>
      <w:bookmarkStart w:id="105" w:name="_Toc13881"/>
      <w:bookmarkStart w:id="106" w:name="_Toc17694"/>
      <w:bookmarkStart w:id="107" w:name="_Toc16832"/>
      <w:bookmarkStart w:id="108" w:name="_Toc5382"/>
      <w:bookmarkStart w:id="109" w:name="_Toc493"/>
      <w:r>
        <w:rPr>
          <w:rFonts w:hint="eastAsia"/>
        </w:rPr>
        <w:br w:type="page"/>
      </w:r>
    </w:p>
    <w:p>
      <w:pPr>
        <w:pStyle w:val="3"/>
        <w:spacing w:before="0" w:after="0" w:line="240" w:lineRule="auto"/>
        <w:jc w:val="center"/>
      </w:pPr>
      <w:bookmarkStart w:id="110" w:name="_Toc8935"/>
      <w:bookmarkStart w:id="111" w:name="_Toc17236"/>
      <w:r>
        <w:rPr>
          <w:rFonts w:hint="eastAsia"/>
        </w:rPr>
        <w:t>第二章  关键信息</w:t>
      </w:r>
      <w:bookmarkEnd w:id="105"/>
      <w:bookmarkEnd w:id="106"/>
      <w:bookmarkEnd w:id="107"/>
      <w:bookmarkEnd w:id="108"/>
      <w:bookmarkEnd w:id="109"/>
      <w:bookmarkEnd w:id="110"/>
      <w:bookmarkEnd w:id="111"/>
    </w:p>
    <w:p>
      <w:pPr>
        <w:pStyle w:val="4"/>
        <w:spacing w:before="0" w:after="0" w:line="240" w:lineRule="auto"/>
        <w:jc w:val="center"/>
        <w:rPr>
          <w:rFonts w:ascii="黑体" w:eastAsia="黑体"/>
          <w:sz w:val="28"/>
          <w:szCs w:val="28"/>
        </w:rPr>
      </w:pPr>
      <w:bookmarkStart w:id="112" w:name="_Toc4834"/>
      <w:bookmarkStart w:id="113" w:name="_Toc16835"/>
      <w:bookmarkStart w:id="114" w:name="_Toc24465"/>
      <w:bookmarkStart w:id="115" w:name="_Toc3964"/>
      <w:bookmarkStart w:id="116" w:name="_Toc6127"/>
      <w:bookmarkStart w:id="117" w:name="_Toc32034"/>
      <w:bookmarkStart w:id="118" w:name="_Toc29001"/>
      <w:bookmarkStart w:id="119" w:name="_Toc3547"/>
      <w:bookmarkStart w:id="120" w:name="_Toc29647"/>
      <w:bookmarkStart w:id="121" w:name="_Toc22070"/>
      <w:r>
        <w:rPr>
          <w:rFonts w:hint="eastAsia" w:ascii="黑体" w:eastAsia="黑体"/>
          <w:sz w:val="28"/>
          <w:szCs w:val="28"/>
        </w:rPr>
        <w:t>表一、投标须知前附表</w:t>
      </w:r>
      <w:bookmarkEnd w:id="112"/>
      <w:bookmarkEnd w:id="113"/>
      <w:bookmarkEnd w:id="114"/>
      <w:bookmarkEnd w:id="115"/>
      <w:bookmarkEnd w:id="116"/>
      <w:bookmarkEnd w:id="117"/>
      <w:bookmarkEnd w:id="118"/>
      <w:bookmarkEnd w:id="119"/>
      <w:bookmarkEnd w:id="120"/>
      <w:bookmarkEnd w:id="121"/>
    </w:p>
    <w:tbl>
      <w:tblPr>
        <w:tblStyle w:val="23"/>
        <w:tblW w:w="92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8"/>
        <w:gridCol w:w="957"/>
        <w:gridCol w:w="2512"/>
        <w:gridCol w:w="527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b/>
                <w:bCs/>
                <w:szCs w:val="21"/>
              </w:rPr>
            </w:pPr>
            <w:bookmarkStart w:id="122" w:name="bt总则"/>
            <w:bookmarkEnd w:id="122"/>
            <w:r>
              <w:rPr>
                <w:rFonts w:hint="eastAsia" w:ascii="仿宋" w:hAnsi="仿宋" w:eastAsia="仿宋" w:cs="仿宋"/>
                <w:b/>
                <w:bCs/>
                <w:szCs w:val="21"/>
              </w:rPr>
              <w:t>序号</w:t>
            </w:r>
          </w:p>
        </w:tc>
        <w:tc>
          <w:tcPr>
            <w:tcW w:w="957" w:type="dxa"/>
            <w:tcBorders>
              <w:lef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第二册条款号</w:t>
            </w:r>
          </w:p>
        </w:tc>
        <w:tc>
          <w:tcPr>
            <w:tcW w:w="2512" w:type="dxa"/>
            <w:vAlign w:val="center"/>
          </w:tcPr>
          <w:p>
            <w:pPr>
              <w:jc w:val="center"/>
              <w:rPr>
                <w:rFonts w:ascii="仿宋" w:hAnsi="仿宋" w:eastAsia="仿宋" w:cs="仿宋"/>
                <w:b/>
                <w:bCs/>
                <w:szCs w:val="21"/>
              </w:rPr>
            </w:pPr>
            <w:r>
              <w:rPr>
                <w:rFonts w:hint="eastAsia" w:ascii="仿宋" w:hAnsi="仿宋" w:eastAsia="仿宋" w:cs="仿宋"/>
                <w:b/>
                <w:bCs/>
                <w:szCs w:val="21"/>
              </w:rPr>
              <w:t>内   容</w:t>
            </w:r>
          </w:p>
        </w:tc>
        <w:tc>
          <w:tcPr>
            <w:tcW w:w="5273" w:type="dxa"/>
            <w:vAlign w:val="center"/>
          </w:tcPr>
          <w:p>
            <w:pPr>
              <w:jc w:val="center"/>
              <w:rPr>
                <w:rFonts w:ascii="仿宋" w:hAnsi="仿宋" w:eastAsia="仿宋" w:cs="仿宋"/>
                <w:b/>
                <w:bCs/>
                <w:szCs w:val="21"/>
              </w:rPr>
            </w:pPr>
            <w:r>
              <w:rPr>
                <w:rFonts w:hint="eastAsia" w:ascii="仿宋" w:hAnsi="仿宋" w:eastAsia="仿宋" w:cs="仿宋"/>
                <w:b/>
                <w:bCs/>
                <w:szCs w:val="21"/>
              </w:rPr>
              <w:t>说明及规定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957" w:type="dxa"/>
            <w:tcBorders>
              <w:left w:val="single" w:color="auto" w:sz="4" w:space="0"/>
            </w:tcBorders>
            <w:vAlign w:val="center"/>
          </w:tcPr>
          <w:p>
            <w:pPr>
              <w:jc w:val="center"/>
              <w:rPr>
                <w:rFonts w:ascii="仿宋" w:hAnsi="仿宋" w:eastAsia="仿宋" w:cs="仿宋"/>
                <w:szCs w:val="21"/>
              </w:rPr>
            </w:pPr>
          </w:p>
        </w:tc>
        <w:tc>
          <w:tcPr>
            <w:tcW w:w="2512" w:type="dxa"/>
            <w:vAlign w:val="center"/>
          </w:tcPr>
          <w:p>
            <w:pPr>
              <w:rPr>
                <w:rFonts w:ascii="仿宋" w:hAnsi="仿宋" w:eastAsia="仿宋" w:cs="仿宋"/>
                <w:bCs/>
                <w:szCs w:val="21"/>
              </w:rPr>
            </w:pPr>
            <w:r>
              <w:rPr>
                <w:rFonts w:hint="eastAsia" w:ascii="仿宋" w:hAnsi="仿宋" w:eastAsia="仿宋" w:cs="仿宋"/>
                <w:bCs/>
                <w:szCs w:val="21"/>
              </w:rPr>
              <w:t>资金来源</w:t>
            </w:r>
          </w:p>
        </w:tc>
        <w:tc>
          <w:tcPr>
            <w:tcW w:w="5273" w:type="dxa"/>
            <w:vAlign w:val="center"/>
          </w:tcPr>
          <w:p>
            <w:pPr>
              <w:rPr>
                <w:rFonts w:ascii="仿宋" w:hAnsi="仿宋" w:eastAsia="仿宋" w:cs="仿宋"/>
                <w:snapToGrid w:val="0"/>
                <w:kern w:val="0"/>
                <w:szCs w:val="21"/>
                <w:lang w:val="zh-CN"/>
              </w:rPr>
            </w:pPr>
            <w:r>
              <w:rPr>
                <w:rFonts w:hint="eastAsia" w:ascii="仿宋" w:hAnsi="仿宋" w:eastAsia="仿宋" w:cs="仿宋"/>
                <w:snapToGrid w:val="0"/>
                <w:kern w:val="0"/>
                <w:szCs w:val="21"/>
                <w:lang w:val="zh-CN"/>
              </w:rPr>
              <w:t>财政资金100%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957" w:type="dxa"/>
            <w:tcBorders>
              <w:left w:val="single" w:color="auto" w:sz="4" w:space="0"/>
            </w:tcBorders>
            <w:vAlign w:val="center"/>
          </w:tcPr>
          <w:p>
            <w:pPr>
              <w:jc w:val="center"/>
              <w:rPr>
                <w:rFonts w:ascii="仿宋" w:hAnsi="仿宋" w:eastAsia="仿宋" w:cs="仿宋"/>
                <w:szCs w:val="21"/>
              </w:rPr>
            </w:pPr>
          </w:p>
        </w:tc>
        <w:tc>
          <w:tcPr>
            <w:tcW w:w="2512" w:type="dxa"/>
            <w:vAlign w:val="center"/>
          </w:tcPr>
          <w:p>
            <w:pPr>
              <w:rPr>
                <w:rFonts w:ascii="仿宋" w:hAnsi="仿宋" w:eastAsia="仿宋" w:cs="仿宋"/>
                <w:bCs/>
                <w:szCs w:val="21"/>
              </w:rPr>
            </w:pPr>
            <w:r>
              <w:rPr>
                <w:rFonts w:hint="eastAsia" w:ascii="仿宋" w:hAnsi="仿宋" w:eastAsia="仿宋" w:cs="仿宋"/>
                <w:bCs/>
                <w:szCs w:val="21"/>
              </w:rPr>
              <w:t>项目预算或最高限价</w:t>
            </w:r>
          </w:p>
        </w:tc>
        <w:tc>
          <w:tcPr>
            <w:tcW w:w="5273" w:type="dxa"/>
            <w:vAlign w:val="center"/>
          </w:tcPr>
          <w:p>
            <w:pPr>
              <w:rPr>
                <w:rFonts w:ascii="仿宋" w:hAnsi="仿宋" w:eastAsia="仿宋" w:cs="仿宋"/>
                <w:kern w:val="0"/>
                <w:szCs w:val="21"/>
              </w:rPr>
            </w:pPr>
            <w:r>
              <w:rPr>
                <w:rFonts w:hint="eastAsia" w:ascii="仿宋" w:hAnsi="仿宋" w:eastAsia="仿宋" w:cs="仿宋"/>
                <w:kern w:val="0"/>
                <w:szCs w:val="21"/>
              </w:rPr>
              <w:t>人民币壹佰零壹万陆仟元整</w:t>
            </w:r>
          </w:p>
          <w:p>
            <w:pPr>
              <w:rPr>
                <w:rFonts w:ascii="仿宋" w:hAnsi="仿宋" w:eastAsia="仿宋" w:cs="仿宋"/>
                <w:kern w:val="0"/>
                <w:szCs w:val="21"/>
              </w:rPr>
            </w:pPr>
            <w:r>
              <w:rPr>
                <w:rFonts w:hint="eastAsia" w:ascii="仿宋" w:hAnsi="仿宋" w:eastAsia="仿宋" w:cs="仿宋"/>
                <w:kern w:val="0"/>
                <w:szCs w:val="21"/>
              </w:rPr>
              <w:t>（RMB1,</w:t>
            </w:r>
            <w:r>
              <w:rPr>
                <w:rFonts w:ascii="仿宋" w:hAnsi="仿宋" w:eastAsia="仿宋" w:cs="仿宋"/>
                <w:kern w:val="0"/>
                <w:szCs w:val="21"/>
              </w:rPr>
              <w:t>016</w:t>
            </w:r>
            <w:r>
              <w:rPr>
                <w:rFonts w:hint="eastAsia" w:ascii="仿宋" w:hAnsi="仿宋" w:eastAsia="仿宋" w:cs="仿宋"/>
                <w:kern w:val="0"/>
                <w:szCs w:val="21"/>
              </w:rPr>
              <w:t>,000</w:t>
            </w:r>
            <w:r>
              <w:rPr>
                <w:rFonts w:hint="eastAsia" w:ascii="仿宋" w:hAnsi="仿宋" w:eastAsia="仿宋" w:cs="仿宋"/>
                <w:szCs w:val="21"/>
              </w:rPr>
              <w:t>元</w:t>
            </w:r>
            <w:r>
              <w:rPr>
                <w:rFonts w:hint="eastAsia" w:ascii="仿宋" w:hAnsi="仿宋" w:eastAsia="仿宋" w:cs="仿宋"/>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2.10</w:t>
            </w:r>
          </w:p>
        </w:tc>
        <w:tc>
          <w:tcPr>
            <w:tcW w:w="2512" w:type="dxa"/>
            <w:vAlign w:val="center"/>
          </w:tcPr>
          <w:p>
            <w:pPr>
              <w:rPr>
                <w:rFonts w:ascii="仿宋" w:hAnsi="仿宋" w:eastAsia="仿宋" w:cs="仿宋"/>
                <w:bCs/>
                <w:szCs w:val="21"/>
              </w:rPr>
            </w:pPr>
            <w:r>
              <w:rPr>
                <w:rFonts w:hint="eastAsia" w:ascii="仿宋" w:hAnsi="仿宋" w:eastAsia="仿宋" w:cs="仿宋"/>
                <w:bCs/>
                <w:szCs w:val="21"/>
              </w:rPr>
              <w:t>项目名称</w:t>
            </w:r>
          </w:p>
        </w:tc>
        <w:tc>
          <w:tcPr>
            <w:tcW w:w="5273" w:type="dxa"/>
            <w:vAlign w:val="center"/>
          </w:tcPr>
          <w:p>
            <w:pPr>
              <w:rPr>
                <w:rFonts w:ascii="仿宋" w:hAnsi="仿宋" w:eastAsia="仿宋" w:cs="仿宋"/>
                <w:snapToGrid w:val="0"/>
                <w:kern w:val="0"/>
                <w:szCs w:val="21"/>
              </w:rPr>
            </w:pPr>
            <w:r>
              <w:rPr>
                <w:rFonts w:hint="eastAsia" w:ascii="仿宋" w:hAnsi="仿宋" w:eastAsia="仿宋" w:cs="仿宋"/>
                <w:snapToGrid w:val="0"/>
                <w:kern w:val="0"/>
                <w:szCs w:val="21"/>
              </w:rPr>
              <w:t>前海合作区土地供应2024年度分布指引及项目库构建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538" w:type="dxa"/>
            <w:tcBorders>
              <w:righ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4</w:t>
            </w:r>
          </w:p>
        </w:tc>
        <w:tc>
          <w:tcPr>
            <w:tcW w:w="957"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3.1</w:t>
            </w:r>
          </w:p>
        </w:tc>
        <w:tc>
          <w:tcPr>
            <w:tcW w:w="2512" w:type="dxa"/>
            <w:vAlign w:val="center"/>
          </w:tcPr>
          <w:p>
            <w:pPr>
              <w:rPr>
                <w:rFonts w:ascii="仿宋" w:hAnsi="仿宋" w:eastAsia="仿宋" w:cs="仿宋"/>
                <w:bCs/>
                <w:szCs w:val="21"/>
              </w:rPr>
            </w:pPr>
            <w:r>
              <w:rPr>
                <w:rFonts w:hint="eastAsia" w:ascii="仿宋" w:hAnsi="仿宋" w:eastAsia="仿宋" w:cs="仿宋"/>
                <w:bCs/>
                <w:szCs w:val="21"/>
              </w:rPr>
              <w:t>投标人的资质（格）要求</w:t>
            </w:r>
          </w:p>
        </w:tc>
        <w:tc>
          <w:tcPr>
            <w:tcW w:w="5273" w:type="dxa"/>
            <w:vAlign w:val="center"/>
          </w:tcPr>
          <w:p>
            <w:pPr>
              <w:rPr>
                <w:rFonts w:ascii="仿宋" w:hAnsi="仿宋" w:eastAsia="仿宋" w:cs="仿宋"/>
                <w:snapToGrid w:val="0"/>
                <w:kern w:val="0"/>
                <w:szCs w:val="21"/>
                <w:lang w:val="zh-CN"/>
              </w:rPr>
            </w:pPr>
            <w:r>
              <w:rPr>
                <w:rFonts w:hint="eastAsia" w:ascii="仿宋" w:hAnsi="仿宋" w:eastAsia="仿宋" w:cs="仿宋"/>
                <w:snapToGrid w:val="0"/>
                <w:kern w:val="0"/>
                <w:szCs w:val="21"/>
                <w:lang w:val="zh-CN"/>
              </w:rPr>
              <w:t>见招标公告中有关投标人资格要求中的相关内容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w:t>
            </w:r>
          </w:p>
        </w:tc>
        <w:tc>
          <w:tcPr>
            <w:tcW w:w="957"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szCs w:val="21"/>
              </w:rPr>
              <w:t>18.1</w:t>
            </w:r>
          </w:p>
        </w:tc>
        <w:tc>
          <w:tcPr>
            <w:tcW w:w="2512" w:type="dxa"/>
            <w:vAlign w:val="center"/>
          </w:tcPr>
          <w:p>
            <w:pPr>
              <w:rPr>
                <w:rFonts w:ascii="仿宋" w:hAnsi="仿宋" w:eastAsia="仿宋" w:cs="仿宋"/>
                <w:bCs/>
                <w:szCs w:val="21"/>
              </w:rPr>
            </w:pPr>
            <w:r>
              <w:rPr>
                <w:rFonts w:hint="eastAsia" w:ascii="仿宋" w:hAnsi="仿宋" w:eastAsia="仿宋" w:cs="仿宋"/>
                <w:bCs/>
                <w:szCs w:val="21"/>
              </w:rPr>
              <w:t>投标文件正副本</w:t>
            </w:r>
          </w:p>
        </w:tc>
        <w:tc>
          <w:tcPr>
            <w:tcW w:w="5273" w:type="dxa"/>
            <w:vAlign w:val="center"/>
          </w:tcPr>
          <w:p>
            <w:pPr>
              <w:rPr>
                <w:rFonts w:ascii="仿宋" w:hAnsi="仿宋" w:eastAsia="仿宋" w:cs="仿宋"/>
                <w:snapToGrid w:val="0"/>
                <w:kern w:val="0"/>
                <w:szCs w:val="21"/>
              </w:rPr>
            </w:pPr>
            <w:r>
              <w:rPr>
                <w:rFonts w:hint="eastAsia" w:ascii="仿宋" w:hAnsi="仿宋" w:eastAsia="仿宋" w:cs="仿宋"/>
                <w:szCs w:val="21"/>
              </w:rPr>
              <w:t>正本1份、副本5份（附电子版，电子版是以光盘、U盘或硬盘等移动存储介质提交的加盖公章的PDF电子投标文件。）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w:t>
            </w:r>
          </w:p>
        </w:tc>
        <w:tc>
          <w:tcPr>
            <w:tcW w:w="957" w:type="dxa"/>
            <w:tcBorders>
              <w:left w:val="single" w:color="auto" w:sz="4" w:space="0"/>
            </w:tcBorders>
            <w:vAlign w:val="center"/>
          </w:tcPr>
          <w:p>
            <w:pPr>
              <w:jc w:val="center"/>
              <w:rPr>
                <w:rFonts w:ascii="仿宋" w:hAnsi="仿宋" w:eastAsia="仿宋" w:cs="仿宋"/>
                <w:szCs w:val="21"/>
              </w:rPr>
            </w:pPr>
          </w:p>
        </w:tc>
        <w:tc>
          <w:tcPr>
            <w:tcW w:w="2512" w:type="dxa"/>
            <w:vAlign w:val="center"/>
          </w:tcPr>
          <w:p>
            <w:pPr>
              <w:rPr>
                <w:rFonts w:ascii="仿宋" w:hAnsi="仿宋" w:eastAsia="仿宋" w:cs="仿宋"/>
                <w:bCs/>
                <w:szCs w:val="21"/>
              </w:rPr>
            </w:pPr>
            <w:r>
              <w:rPr>
                <w:rFonts w:hint="eastAsia" w:ascii="仿宋" w:hAnsi="仿宋" w:eastAsia="仿宋" w:cs="仿宋"/>
                <w:bCs/>
                <w:szCs w:val="21"/>
              </w:rPr>
              <w:t>交货/完工/服务期限</w:t>
            </w:r>
          </w:p>
        </w:tc>
        <w:tc>
          <w:tcPr>
            <w:tcW w:w="5273" w:type="dxa"/>
            <w:vAlign w:val="center"/>
          </w:tcPr>
          <w:p>
            <w:pPr>
              <w:rPr>
                <w:rFonts w:ascii="仿宋" w:hAnsi="仿宋" w:eastAsia="仿宋" w:cs="仿宋"/>
                <w:snapToGrid w:val="0"/>
                <w:kern w:val="0"/>
                <w:szCs w:val="21"/>
                <w:lang w:val="zh-CN"/>
              </w:rPr>
            </w:pPr>
            <w:r>
              <w:rPr>
                <w:rFonts w:hint="eastAsia" w:ascii="仿宋" w:hAnsi="仿宋" w:eastAsia="仿宋" w:cs="仿宋"/>
                <w:snapToGrid w:val="0"/>
                <w:kern w:val="0"/>
                <w:szCs w:val="21"/>
                <w:lang w:val="zh-CN"/>
              </w:rPr>
              <w:t>见后述招标有关要求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vMerge w:val="restart"/>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28.2</w:t>
            </w:r>
          </w:p>
        </w:tc>
        <w:tc>
          <w:tcPr>
            <w:tcW w:w="2512" w:type="dxa"/>
            <w:vAlign w:val="center"/>
          </w:tcPr>
          <w:p>
            <w:pPr>
              <w:rPr>
                <w:rFonts w:ascii="仿宋" w:hAnsi="仿宋" w:eastAsia="仿宋" w:cs="仿宋"/>
                <w:bCs/>
                <w:szCs w:val="21"/>
              </w:rPr>
            </w:pPr>
            <w:r>
              <w:rPr>
                <w:rFonts w:hint="eastAsia" w:ascii="仿宋" w:hAnsi="仿宋" w:eastAsia="仿宋" w:cs="仿宋"/>
                <w:bCs/>
                <w:szCs w:val="21"/>
              </w:rPr>
              <w:t>评标方法</w:t>
            </w:r>
          </w:p>
        </w:tc>
        <w:tc>
          <w:tcPr>
            <w:tcW w:w="5273" w:type="dxa"/>
            <w:vAlign w:val="center"/>
          </w:tcPr>
          <w:p>
            <w:pPr>
              <w:rPr>
                <w:rFonts w:ascii="仿宋" w:hAnsi="仿宋" w:eastAsia="仿宋" w:cs="仿宋"/>
                <w:snapToGrid w:val="0"/>
                <w:kern w:val="0"/>
                <w:szCs w:val="21"/>
                <w:lang w:val="zh-CN"/>
              </w:rPr>
            </w:pPr>
            <w:r>
              <w:rPr>
                <w:rFonts w:hint="eastAsia" w:ascii="仿宋" w:hAnsi="仿宋" w:eastAsia="仿宋" w:cs="仿宋"/>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538" w:type="dxa"/>
            <w:vMerge w:val="continue"/>
            <w:tcBorders>
              <w:right w:val="single" w:color="auto" w:sz="4" w:space="0"/>
            </w:tcBorders>
            <w:vAlign w:val="center"/>
          </w:tcPr>
          <w:p>
            <w:pPr>
              <w:jc w:val="center"/>
              <w:rPr>
                <w:rFonts w:ascii="仿宋" w:hAnsi="仿宋" w:eastAsia="仿宋" w:cs="仿宋"/>
                <w:szCs w:val="21"/>
              </w:rPr>
            </w:pP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rPr>
              <w:t>29.2</w:t>
            </w:r>
          </w:p>
        </w:tc>
        <w:tc>
          <w:tcPr>
            <w:tcW w:w="2512" w:type="dxa"/>
            <w:vAlign w:val="center"/>
          </w:tcPr>
          <w:p>
            <w:pPr>
              <w:rPr>
                <w:rFonts w:ascii="仿宋" w:hAnsi="仿宋" w:eastAsia="仿宋" w:cs="仿宋"/>
                <w:bCs/>
                <w:szCs w:val="21"/>
              </w:rPr>
            </w:pPr>
            <w:r>
              <w:rPr>
                <w:rFonts w:hint="eastAsia" w:ascii="仿宋" w:hAnsi="仿宋" w:eastAsia="仿宋" w:cs="仿宋"/>
              </w:rPr>
              <w:t>定标方法</w:t>
            </w:r>
          </w:p>
        </w:tc>
        <w:tc>
          <w:tcPr>
            <w:tcW w:w="5273" w:type="dxa"/>
            <w:vAlign w:val="center"/>
          </w:tcPr>
          <w:p>
            <w:pPr>
              <w:rPr>
                <w:rFonts w:ascii="仿宋" w:hAnsi="仿宋" w:eastAsia="仿宋" w:cs="仿宋"/>
                <w:szCs w:val="21"/>
              </w:rPr>
            </w:pPr>
            <w:r>
              <w:rPr>
                <w:rFonts w:hint="eastAsia" w:ascii="仿宋" w:hAnsi="仿宋" w:eastAsia="仿宋" w:cs="仿宋"/>
                <w:sz w:val="24"/>
              </w:rPr>
              <w:sym w:font="Wingdings" w:char="00A8"/>
            </w:r>
            <w:r>
              <w:rPr>
                <w:rFonts w:hint="eastAsia" w:ascii="仿宋" w:hAnsi="仿宋" w:eastAsia="仿宋" w:cs="仿宋"/>
                <w:szCs w:val="21"/>
              </w:rPr>
              <w:t>自定法（本项目不适用）</w:t>
            </w:r>
          </w:p>
          <w:p>
            <w:pPr>
              <w:rPr>
                <w:rFonts w:ascii="仿宋" w:hAnsi="仿宋" w:eastAsia="仿宋" w:cs="仿宋"/>
                <w:szCs w:val="21"/>
              </w:rPr>
            </w:pPr>
            <w:r>
              <w:rPr>
                <w:rFonts w:hint="eastAsia" w:ascii="仿宋" w:hAnsi="仿宋" w:eastAsia="仿宋" w:cs="仿宋"/>
                <w:szCs w:val="21"/>
              </w:rPr>
              <w:t>注：非评定分离项目无需选择此项。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37"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8</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14.1</w:t>
            </w:r>
          </w:p>
        </w:tc>
        <w:tc>
          <w:tcPr>
            <w:tcW w:w="2512" w:type="dxa"/>
            <w:vAlign w:val="center"/>
          </w:tcPr>
          <w:p>
            <w:pPr>
              <w:rPr>
                <w:rFonts w:ascii="仿宋" w:hAnsi="仿宋" w:eastAsia="仿宋" w:cs="仿宋"/>
                <w:bCs/>
                <w:szCs w:val="21"/>
              </w:rPr>
            </w:pPr>
            <w:r>
              <w:rPr>
                <w:rFonts w:hint="eastAsia" w:ascii="仿宋" w:hAnsi="仿宋" w:eastAsia="仿宋" w:cs="仿宋"/>
                <w:bCs/>
                <w:szCs w:val="21"/>
              </w:rPr>
              <w:t>投标币种</w:t>
            </w:r>
          </w:p>
        </w:tc>
        <w:tc>
          <w:tcPr>
            <w:tcW w:w="5273" w:type="dxa"/>
            <w:vAlign w:val="center"/>
          </w:tcPr>
          <w:p>
            <w:pPr>
              <w:rPr>
                <w:rFonts w:ascii="仿宋" w:hAnsi="仿宋" w:eastAsia="仿宋" w:cs="仿宋"/>
                <w:snapToGrid w:val="0"/>
                <w:kern w:val="0"/>
                <w:szCs w:val="21"/>
                <w:lang w:val="zh-CN"/>
              </w:rPr>
            </w:pPr>
            <w:r>
              <w:rPr>
                <w:rFonts w:hint="eastAsia" w:ascii="仿宋" w:hAnsi="仿宋" w:eastAsia="仿宋" w:cs="仿宋"/>
                <w:snapToGrid w:val="0"/>
                <w:kern w:val="0"/>
                <w:szCs w:val="21"/>
                <w:lang w:val="zh-CN"/>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3"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9</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4.1</w:t>
            </w:r>
          </w:p>
        </w:tc>
        <w:tc>
          <w:tcPr>
            <w:tcW w:w="2512" w:type="dxa"/>
            <w:vAlign w:val="center"/>
          </w:tcPr>
          <w:p>
            <w:pPr>
              <w:rPr>
                <w:rFonts w:ascii="仿宋" w:hAnsi="仿宋" w:eastAsia="仿宋" w:cs="仿宋"/>
                <w:szCs w:val="21"/>
              </w:rPr>
            </w:pPr>
            <w:r>
              <w:rPr>
                <w:rFonts w:hint="eastAsia" w:ascii="仿宋" w:hAnsi="仿宋" w:eastAsia="仿宋" w:cs="仿宋"/>
                <w:szCs w:val="21"/>
              </w:rPr>
              <w:t>联合体投标</w:t>
            </w:r>
          </w:p>
        </w:tc>
        <w:tc>
          <w:tcPr>
            <w:tcW w:w="5273" w:type="dxa"/>
            <w:vAlign w:val="center"/>
          </w:tcPr>
          <w:p>
            <w:pPr>
              <w:rPr>
                <w:rFonts w:ascii="仿宋" w:hAnsi="仿宋" w:eastAsia="仿宋" w:cs="仿宋"/>
                <w:snapToGrid w:val="0"/>
                <w:kern w:val="0"/>
                <w:szCs w:val="21"/>
                <w:lang w:val="zh-CN"/>
              </w:rPr>
            </w:pPr>
            <w:r>
              <w:rPr>
                <w:rFonts w:hint="eastAsia" w:ascii="仿宋" w:hAnsi="仿宋" w:eastAsia="仿宋" w:cs="仿宋"/>
                <w:snapToGrid w:val="0"/>
                <w:kern w:val="0"/>
                <w:szCs w:val="21"/>
                <w:lang w:val="zh-CN"/>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15.1</w:t>
            </w:r>
          </w:p>
        </w:tc>
        <w:tc>
          <w:tcPr>
            <w:tcW w:w="2512" w:type="dxa"/>
            <w:vAlign w:val="center"/>
          </w:tcPr>
          <w:p>
            <w:pPr>
              <w:rPr>
                <w:rFonts w:ascii="仿宋" w:hAnsi="仿宋" w:eastAsia="仿宋" w:cs="仿宋"/>
                <w:szCs w:val="21"/>
              </w:rPr>
            </w:pPr>
            <w:r>
              <w:rPr>
                <w:rFonts w:hint="eastAsia" w:ascii="仿宋" w:hAnsi="仿宋" w:eastAsia="仿宋" w:cs="仿宋"/>
                <w:szCs w:val="21"/>
              </w:rPr>
              <w:t>投标有效期</w:t>
            </w:r>
          </w:p>
        </w:tc>
        <w:tc>
          <w:tcPr>
            <w:tcW w:w="5273" w:type="dxa"/>
            <w:vAlign w:val="center"/>
          </w:tcPr>
          <w:p>
            <w:pPr>
              <w:rPr>
                <w:rFonts w:ascii="仿宋" w:hAnsi="仿宋" w:eastAsia="仿宋" w:cs="仿宋"/>
                <w:szCs w:val="21"/>
              </w:rPr>
            </w:pPr>
            <w:r>
              <w:rPr>
                <w:rFonts w:hint="eastAsia" w:ascii="仿宋" w:hAnsi="仿宋" w:eastAsia="仿宋" w:cs="仿宋"/>
                <w:szCs w:val="21"/>
              </w:rPr>
              <w:t>120个日历天（从投标截止之日算起）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11</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16.1</w:t>
            </w:r>
          </w:p>
        </w:tc>
        <w:tc>
          <w:tcPr>
            <w:tcW w:w="2512" w:type="dxa"/>
            <w:vAlign w:val="center"/>
          </w:tcPr>
          <w:p>
            <w:pPr>
              <w:rPr>
                <w:rFonts w:ascii="仿宋" w:hAnsi="仿宋" w:eastAsia="仿宋" w:cs="仿宋"/>
                <w:szCs w:val="21"/>
              </w:rPr>
            </w:pPr>
            <w:r>
              <w:rPr>
                <w:rFonts w:hint="eastAsia" w:ascii="仿宋" w:hAnsi="仿宋" w:eastAsia="仿宋" w:cs="仿宋"/>
                <w:szCs w:val="21"/>
              </w:rPr>
              <w:t>投标人的替代方案</w:t>
            </w:r>
          </w:p>
        </w:tc>
        <w:tc>
          <w:tcPr>
            <w:tcW w:w="5273" w:type="dxa"/>
            <w:vAlign w:val="center"/>
          </w:tcPr>
          <w:p>
            <w:pPr>
              <w:rPr>
                <w:rFonts w:ascii="仿宋" w:hAnsi="仿宋" w:eastAsia="仿宋" w:cs="仿宋"/>
                <w:szCs w:val="21"/>
              </w:rPr>
            </w:pPr>
            <w:r>
              <w:rPr>
                <w:rFonts w:hint="eastAsia" w:ascii="仿宋" w:hAnsi="仿宋" w:eastAsia="仿宋" w:cs="仿宋"/>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12</w:t>
            </w:r>
          </w:p>
        </w:tc>
        <w:tc>
          <w:tcPr>
            <w:tcW w:w="957" w:type="dxa"/>
            <w:tcBorders>
              <w:left w:val="single" w:color="auto" w:sz="4" w:space="0"/>
            </w:tcBorders>
            <w:vAlign w:val="center"/>
          </w:tcPr>
          <w:p>
            <w:pPr>
              <w:jc w:val="center"/>
              <w:rPr>
                <w:rFonts w:ascii="仿宋" w:hAnsi="仿宋" w:eastAsia="仿宋" w:cs="仿宋"/>
                <w:szCs w:val="21"/>
              </w:rPr>
            </w:pPr>
          </w:p>
        </w:tc>
        <w:tc>
          <w:tcPr>
            <w:tcW w:w="2512" w:type="dxa"/>
            <w:vAlign w:val="center"/>
          </w:tcPr>
          <w:p>
            <w:pPr>
              <w:rPr>
                <w:rFonts w:ascii="仿宋" w:hAnsi="仿宋" w:eastAsia="仿宋" w:cs="仿宋"/>
                <w:szCs w:val="21"/>
              </w:rPr>
            </w:pPr>
            <w:r>
              <w:rPr>
                <w:rFonts w:hint="eastAsia" w:ascii="仿宋" w:hAnsi="仿宋" w:eastAsia="仿宋" w:cs="仿宋"/>
                <w:szCs w:val="21"/>
              </w:rPr>
              <w:t>购买标书时间地点</w:t>
            </w:r>
          </w:p>
        </w:tc>
        <w:tc>
          <w:tcPr>
            <w:tcW w:w="5273" w:type="dxa"/>
            <w:vAlign w:val="center"/>
          </w:tcPr>
          <w:p>
            <w:pPr>
              <w:rPr>
                <w:rFonts w:ascii="仿宋" w:hAnsi="仿宋" w:eastAsia="仿宋" w:cs="仿宋"/>
                <w:szCs w:val="21"/>
              </w:rPr>
            </w:pPr>
            <w:r>
              <w:rPr>
                <w:rFonts w:hint="eastAsia" w:ascii="仿宋" w:hAnsi="仿宋" w:eastAsia="仿宋" w:cs="仿宋"/>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13</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6.1</w:t>
            </w:r>
          </w:p>
        </w:tc>
        <w:tc>
          <w:tcPr>
            <w:tcW w:w="2512" w:type="dxa"/>
            <w:vAlign w:val="center"/>
          </w:tcPr>
          <w:p>
            <w:pPr>
              <w:rPr>
                <w:rFonts w:ascii="仿宋" w:hAnsi="仿宋" w:eastAsia="仿宋" w:cs="仿宋"/>
                <w:szCs w:val="21"/>
              </w:rPr>
            </w:pPr>
            <w:r>
              <w:rPr>
                <w:rFonts w:hint="eastAsia" w:ascii="仿宋" w:hAnsi="仿宋" w:eastAsia="仿宋" w:cs="仿宋"/>
                <w:szCs w:val="21"/>
              </w:rPr>
              <w:t>现场踏勘</w:t>
            </w:r>
          </w:p>
        </w:tc>
        <w:tc>
          <w:tcPr>
            <w:tcW w:w="5273" w:type="dxa"/>
            <w:vAlign w:val="center"/>
          </w:tcPr>
          <w:p>
            <w:pPr>
              <w:pStyle w:val="31"/>
              <w:tabs>
                <w:tab w:val="left" w:pos="1260"/>
              </w:tabs>
              <w:spacing w:line="240" w:lineRule="auto"/>
              <w:jc w:val="both"/>
              <w:rPr>
                <w:rFonts w:ascii="仿宋" w:hAnsi="仿宋" w:eastAsia="仿宋" w:cs="仿宋"/>
                <w:b w:val="0"/>
                <w:sz w:val="21"/>
                <w:szCs w:val="21"/>
              </w:rPr>
            </w:pPr>
            <w:r>
              <w:rPr>
                <w:rFonts w:hint="eastAsia" w:ascii="仿宋" w:hAnsi="仿宋" w:eastAsia="仿宋" w:cs="仿宋"/>
                <w:b w:val="0"/>
                <w:sz w:val="21"/>
                <w:szCs w:val="21"/>
              </w:rPr>
              <w:t>本项目是否组织供应商进行现场踏勘： 口是 ■否</w:t>
            </w:r>
          </w:p>
          <w:p>
            <w:pPr>
              <w:rPr>
                <w:rFonts w:ascii="仿宋" w:hAnsi="仿宋" w:eastAsia="仿宋" w:cs="仿宋"/>
                <w:szCs w:val="21"/>
              </w:rPr>
            </w:pPr>
            <w:r>
              <w:rPr>
                <w:rFonts w:hint="eastAsia" w:ascii="仿宋" w:hAnsi="仿宋" w:eastAsia="仿宋" w:cs="仿宋"/>
                <w:szCs w:val="21"/>
              </w:rPr>
              <w:t>时间、地址、联系人、联系方式等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7"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14</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7.1</w:t>
            </w:r>
          </w:p>
        </w:tc>
        <w:tc>
          <w:tcPr>
            <w:tcW w:w="2512" w:type="dxa"/>
            <w:vAlign w:val="center"/>
          </w:tcPr>
          <w:p>
            <w:pPr>
              <w:rPr>
                <w:rFonts w:ascii="仿宋" w:hAnsi="仿宋" w:eastAsia="仿宋" w:cs="仿宋"/>
                <w:szCs w:val="21"/>
              </w:rPr>
            </w:pPr>
            <w:r>
              <w:rPr>
                <w:rFonts w:hint="eastAsia" w:ascii="仿宋" w:hAnsi="仿宋" w:eastAsia="仿宋" w:cs="仿宋"/>
                <w:szCs w:val="21"/>
              </w:rPr>
              <w:t>现场答疑会</w:t>
            </w:r>
          </w:p>
        </w:tc>
        <w:tc>
          <w:tcPr>
            <w:tcW w:w="5273" w:type="dxa"/>
            <w:vAlign w:val="center"/>
          </w:tcPr>
          <w:p>
            <w:pPr>
              <w:rPr>
                <w:rFonts w:ascii="仿宋" w:hAnsi="仿宋" w:eastAsia="仿宋" w:cs="仿宋"/>
                <w:szCs w:val="21"/>
              </w:rPr>
            </w:pPr>
            <w:r>
              <w:rPr>
                <w:rFonts w:hint="eastAsia" w:ascii="仿宋" w:hAnsi="仿宋" w:eastAsia="仿宋" w:cs="仿宋"/>
                <w:szCs w:val="21"/>
              </w:rPr>
              <w:t>本项目不安排现场答疑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15</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7.1</w:t>
            </w:r>
          </w:p>
        </w:tc>
        <w:tc>
          <w:tcPr>
            <w:tcW w:w="2512" w:type="dxa"/>
            <w:vAlign w:val="center"/>
          </w:tcPr>
          <w:p>
            <w:pPr>
              <w:rPr>
                <w:rFonts w:ascii="仿宋" w:hAnsi="仿宋" w:eastAsia="仿宋" w:cs="仿宋"/>
                <w:szCs w:val="21"/>
              </w:rPr>
            </w:pPr>
            <w:r>
              <w:rPr>
                <w:rFonts w:hint="eastAsia" w:ascii="仿宋" w:hAnsi="仿宋" w:eastAsia="仿宋" w:cs="仿宋"/>
                <w:szCs w:val="21"/>
              </w:rPr>
              <w:t>采购人对招标文件的澄清或修改、答疑的期限</w:t>
            </w:r>
          </w:p>
        </w:tc>
        <w:tc>
          <w:tcPr>
            <w:tcW w:w="5273" w:type="dxa"/>
            <w:vAlign w:val="center"/>
          </w:tcPr>
          <w:p>
            <w:pPr>
              <w:rPr>
                <w:rFonts w:ascii="仿宋" w:hAnsi="仿宋" w:eastAsia="仿宋" w:cs="仿宋"/>
                <w:szCs w:val="21"/>
              </w:rPr>
            </w:pPr>
            <w:r>
              <w:rPr>
                <w:rFonts w:hint="eastAsia" w:ascii="仿宋" w:hAnsi="仿宋" w:eastAsia="仿宋" w:cs="仿宋"/>
                <w:szCs w:val="21"/>
              </w:rPr>
              <w:t>投标人有义务在招标期间上网浏览有关本项目的补充公告等信息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16</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18.1</w:t>
            </w:r>
          </w:p>
        </w:tc>
        <w:tc>
          <w:tcPr>
            <w:tcW w:w="2512" w:type="dxa"/>
            <w:vAlign w:val="center"/>
          </w:tcPr>
          <w:p>
            <w:pPr>
              <w:rPr>
                <w:rFonts w:ascii="仿宋" w:hAnsi="仿宋" w:eastAsia="仿宋" w:cs="仿宋"/>
                <w:szCs w:val="21"/>
              </w:rPr>
            </w:pPr>
            <w:r>
              <w:rPr>
                <w:rFonts w:hint="eastAsia" w:ascii="仿宋" w:hAnsi="仿宋" w:eastAsia="仿宋" w:cs="仿宋"/>
                <w:szCs w:val="21"/>
              </w:rPr>
              <w:t>投标文件的投递地址</w:t>
            </w:r>
          </w:p>
        </w:tc>
        <w:tc>
          <w:tcPr>
            <w:tcW w:w="5273" w:type="dxa"/>
            <w:vAlign w:val="center"/>
          </w:tcPr>
          <w:p>
            <w:pPr>
              <w:rPr>
                <w:rFonts w:ascii="仿宋" w:hAnsi="仿宋" w:eastAsia="仿宋" w:cs="仿宋"/>
                <w:szCs w:val="21"/>
              </w:rPr>
            </w:pPr>
            <w:r>
              <w:rPr>
                <w:rFonts w:hint="eastAsia" w:ascii="仿宋" w:hAnsi="仿宋" w:eastAsia="仿宋" w:cs="仿宋"/>
                <w:szCs w:val="21"/>
              </w:rPr>
              <w:t>深圳市福田区福田体育公园西北角友和招标代理服务中心（靠近北门）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17</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18.2</w:t>
            </w:r>
          </w:p>
        </w:tc>
        <w:tc>
          <w:tcPr>
            <w:tcW w:w="2512" w:type="dxa"/>
            <w:vAlign w:val="center"/>
          </w:tcPr>
          <w:p>
            <w:pPr>
              <w:rPr>
                <w:rFonts w:ascii="仿宋" w:hAnsi="仿宋" w:eastAsia="仿宋" w:cs="仿宋"/>
                <w:szCs w:val="21"/>
              </w:rPr>
            </w:pPr>
            <w:r>
              <w:rPr>
                <w:rFonts w:hint="eastAsia" w:ascii="仿宋" w:hAnsi="仿宋" w:eastAsia="仿宋" w:cs="仿宋"/>
                <w:szCs w:val="21"/>
              </w:rPr>
              <w:t>投标截止时间</w:t>
            </w:r>
          </w:p>
        </w:tc>
        <w:tc>
          <w:tcPr>
            <w:tcW w:w="5273" w:type="dxa"/>
            <w:vAlign w:val="center"/>
          </w:tcPr>
          <w:p>
            <w:pPr>
              <w:rPr>
                <w:rFonts w:ascii="仿宋" w:hAnsi="仿宋" w:eastAsia="仿宋" w:cs="仿宋"/>
                <w:szCs w:val="21"/>
              </w:rPr>
            </w:pPr>
            <w:r>
              <w:rPr>
                <w:rFonts w:hint="eastAsia" w:ascii="仿宋" w:hAnsi="仿宋" w:eastAsia="仿宋" w:cs="仿宋"/>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18</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20.1</w:t>
            </w:r>
          </w:p>
        </w:tc>
        <w:tc>
          <w:tcPr>
            <w:tcW w:w="2512" w:type="dxa"/>
            <w:vAlign w:val="center"/>
          </w:tcPr>
          <w:p>
            <w:pPr>
              <w:rPr>
                <w:rFonts w:ascii="仿宋" w:hAnsi="仿宋" w:eastAsia="仿宋" w:cs="仿宋"/>
                <w:szCs w:val="21"/>
              </w:rPr>
            </w:pPr>
            <w:r>
              <w:rPr>
                <w:rFonts w:hint="eastAsia" w:ascii="仿宋" w:hAnsi="仿宋" w:eastAsia="仿宋" w:cs="仿宋"/>
                <w:szCs w:val="21"/>
              </w:rPr>
              <w:t>开标时间和地点</w:t>
            </w:r>
          </w:p>
        </w:tc>
        <w:tc>
          <w:tcPr>
            <w:tcW w:w="5273" w:type="dxa"/>
            <w:vAlign w:val="center"/>
          </w:tcPr>
          <w:p>
            <w:pPr>
              <w:rPr>
                <w:rFonts w:ascii="仿宋" w:hAnsi="仿宋" w:eastAsia="仿宋" w:cs="仿宋"/>
                <w:szCs w:val="21"/>
              </w:rPr>
            </w:pPr>
            <w:r>
              <w:rPr>
                <w:rFonts w:hint="eastAsia" w:ascii="仿宋" w:hAnsi="仿宋" w:eastAsia="仿宋" w:cs="仿宋"/>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19</w:t>
            </w:r>
          </w:p>
        </w:tc>
        <w:tc>
          <w:tcPr>
            <w:tcW w:w="957" w:type="dxa"/>
            <w:tcBorders>
              <w:lef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39.1</w:t>
            </w:r>
          </w:p>
        </w:tc>
        <w:tc>
          <w:tcPr>
            <w:tcW w:w="2512" w:type="dxa"/>
            <w:vAlign w:val="center"/>
          </w:tcPr>
          <w:p>
            <w:pPr>
              <w:rPr>
                <w:rFonts w:ascii="仿宋" w:hAnsi="仿宋" w:eastAsia="仿宋" w:cs="仿宋"/>
                <w:szCs w:val="21"/>
              </w:rPr>
            </w:pPr>
            <w:r>
              <w:rPr>
                <w:rFonts w:hint="eastAsia" w:ascii="仿宋" w:hAnsi="仿宋" w:eastAsia="仿宋" w:cs="仿宋"/>
                <w:szCs w:val="21"/>
              </w:rPr>
              <w:t>履约担保金额</w:t>
            </w:r>
          </w:p>
        </w:tc>
        <w:tc>
          <w:tcPr>
            <w:tcW w:w="5273" w:type="dxa"/>
            <w:vAlign w:val="center"/>
          </w:tcPr>
          <w:p>
            <w:pPr>
              <w:rPr>
                <w:rFonts w:ascii="仿宋" w:hAnsi="仿宋" w:eastAsia="仿宋" w:cs="仿宋"/>
                <w:szCs w:val="21"/>
              </w:rPr>
            </w:pPr>
            <w:r>
              <w:rPr>
                <w:rFonts w:hint="eastAsia" w:ascii="仿宋" w:hAnsi="仿宋" w:eastAsia="仿宋" w:cs="仿宋"/>
                <w:szCs w:val="21"/>
              </w:rPr>
              <w:t>以双方订立合同所规定的金额为准，向采购单位缴纳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38" w:type="dxa"/>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20</w:t>
            </w:r>
          </w:p>
        </w:tc>
        <w:tc>
          <w:tcPr>
            <w:tcW w:w="957" w:type="dxa"/>
            <w:tcBorders>
              <w:left w:val="single" w:color="auto" w:sz="4" w:space="0"/>
            </w:tcBorders>
            <w:vAlign w:val="center"/>
          </w:tcPr>
          <w:p>
            <w:pPr>
              <w:jc w:val="center"/>
              <w:rPr>
                <w:rFonts w:ascii="仿宋" w:hAnsi="仿宋" w:eastAsia="仿宋" w:cs="仿宋"/>
                <w:szCs w:val="21"/>
              </w:rPr>
            </w:pPr>
          </w:p>
        </w:tc>
        <w:tc>
          <w:tcPr>
            <w:tcW w:w="2512" w:type="dxa"/>
            <w:vAlign w:val="center"/>
          </w:tcPr>
          <w:p>
            <w:pPr>
              <w:rPr>
                <w:rFonts w:ascii="仿宋" w:hAnsi="仿宋" w:eastAsia="仿宋" w:cs="仿宋"/>
                <w:szCs w:val="21"/>
              </w:rPr>
            </w:pPr>
            <w:r>
              <w:rPr>
                <w:rFonts w:hint="eastAsia" w:ascii="仿宋" w:hAnsi="仿宋" w:eastAsia="仿宋" w:cs="仿宋"/>
              </w:rPr>
              <w:t>中标候选人</w:t>
            </w:r>
          </w:p>
        </w:tc>
        <w:tc>
          <w:tcPr>
            <w:tcW w:w="5273" w:type="dxa"/>
            <w:vAlign w:val="center"/>
          </w:tcPr>
          <w:p>
            <w:pPr>
              <w:rPr>
                <w:rFonts w:ascii="仿宋" w:hAnsi="仿宋" w:eastAsia="仿宋" w:cs="仿宋"/>
                <w:szCs w:val="21"/>
              </w:rPr>
            </w:pPr>
            <w:r>
              <w:rPr>
                <w:rFonts w:hint="eastAsia" w:ascii="仿宋" w:hAnsi="仿宋" w:eastAsia="仿宋" w:cs="仿宋"/>
              </w:rPr>
              <w:t xml:space="preserve">评审委员会推荐排名前三的投标人分别作为第一、第二、第三中标候选人，其中第一中标候选人为首选的中标人。若出现第一中标候选人放弃中标资格或其中标资格被依法确认无效的，则第二中标候选人为新的中标人，以此类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280" w:type="dxa"/>
            <w:gridSpan w:val="4"/>
            <w:vAlign w:val="center"/>
          </w:tcPr>
          <w:p>
            <w:pPr>
              <w:rPr>
                <w:rFonts w:ascii="仿宋" w:hAnsi="仿宋" w:eastAsia="仿宋" w:cs="仿宋"/>
                <w:szCs w:val="21"/>
              </w:rPr>
            </w:pPr>
            <w:r>
              <w:rPr>
                <w:rFonts w:hint="eastAsia" w:ascii="仿宋" w:hAnsi="仿宋" w:eastAsia="仿宋" w:cs="仿宋"/>
                <w:szCs w:val="21"/>
              </w:rPr>
              <w:t>注：如“第二册 通用条款”与“第一册第三章 招标项目需求”的内容不一致的，以第一册第三章所述内容为准。</w:t>
            </w:r>
          </w:p>
        </w:tc>
      </w:tr>
    </w:tbl>
    <w:p>
      <w:pPr>
        <w:pStyle w:val="4"/>
        <w:jc w:val="center"/>
        <w:rPr>
          <w:sz w:val="28"/>
          <w:szCs w:val="28"/>
        </w:rPr>
      </w:pPr>
      <w:r>
        <w:rPr>
          <w:rFonts w:ascii="黑体" w:eastAsia="黑体"/>
          <w:b w:val="0"/>
          <w:sz w:val="28"/>
          <w:szCs w:val="28"/>
        </w:rPr>
        <w:br w:type="page"/>
      </w:r>
      <w:bookmarkStart w:id="123" w:name="_Toc14649"/>
      <w:bookmarkStart w:id="124" w:name="_Toc8508"/>
      <w:bookmarkStart w:id="125" w:name="_Toc9651"/>
      <w:bookmarkStart w:id="126" w:name="_Toc9146"/>
      <w:bookmarkStart w:id="127" w:name="_Toc21636"/>
      <w:bookmarkStart w:id="128" w:name="_Toc27211"/>
      <w:bookmarkStart w:id="129" w:name="_Toc15197"/>
      <w:bookmarkStart w:id="130" w:name="_Toc2653"/>
      <w:bookmarkStart w:id="131" w:name="_Toc4354"/>
      <w:bookmarkStart w:id="132" w:name="_Toc11630"/>
      <w:r>
        <w:rPr>
          <w:rFonts w:hint="eastAsia" w:ascii="黑体" w:eastAsia="黑体"/>
          <w:sz w:val="28"/>
          <w:szCs w:val="28"/>
        </w:rPr>
        <w:t>表二、投标文件初审表</w:t>
      </w:r>
      <w:bookmarkEnd w:id="123"/>
      <w:bookmarkEnd w:id="124"/>
      <w:bookmarkEnd w:id="125"/>
      <w:bookmarkEnd w:id="126"/>
      <w:bookmarkEnd w:id="127"/>
      <w:bookmarkEnd w:id="128"/>
      <w:bookmarkEnd w:id="129"/>
      <w:bookmarkEnd w:id="130"/>
      <w:bookmarkEnd w:id="131"/>
      <w:bookmarkEnd w:id="13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75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投标人不具备招标资质要求，或未提交相应资格证明材料(详见招标公告投标人资质要求，其中未列示的资质要求不得导致投标无效)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投标人未按招标公告要求完成投标报名的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75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szCs w:val="32"/>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szCs w:val="32"/>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3</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szCs w:val="32"/>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rPr>
              <w:t>分项报价或投标总价高于预算金额（最高投标限价）的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5</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szCs w:val="32"/>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6</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7</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szCs w:val="32"/>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8</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szCs w:val="32"/>
              </w:rPr>
              <w:t>所投货物、工程、服务在质量、技术、方案等方面没有实质性满足招标文件要求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9</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szCs w:val="32"/>
              </w:rPr>
              <w:t>未按招标文件附件所提供的样式和要求完整填写投标文件或投标文件组成部分不符合</w:t>
            </w:r>
            <w:r>
              <w:rPr>
                <w:rFonts w:hint="eastAsia" w:ascii="仿宋" w:hAnsi="仿宋" w:eastAsia="仿宋" w:cs="仿宋"/>
                <w:sz w:val="24"/>
              </w:rPr>
              <w:t>通用条款第18.1款规定的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rPr>
              <w:t>对招标文件中带★号条款的响应存在负偏离的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11</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szCs w:val="32"/>
              </w:rPr>
              <w:t>未按招标文件要求填写《服务条款偏离表》或《商务条款偏离表》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12</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32"/>
                <w:szCs w:val="32"/>
              </w:rPr>
            </w:pPr>
            <w:r>
              <w:rPr>
                <w:rFonts w:hint="eastAsia" w:ascii="仿宋" w:hAnsi="仿宋" w:eastAsia="仿宋" w:cs="仿宋"/>
                <w:sz w:val="24"/>
                <w:szCs w:val="32"/>
              </w:rPr>
              <w:t>投标报价有严重缺漏项目</w:t>
            </w:r>
          </w:p>
        </w:tc>
      </w:tr>
    </w:tbl>
    <w:p>
      <w:pPr>
        <w:widowControl/>
        <w:rPr>
          <w:rFonts w:ascii="仿宋" w:hAnsi="仿宋" w:eastAsia="仿宋" w:cs="仿宋"/>
          <w:b/>
          <w:sz w:val="24"/>
        </w:rPr>
      </w:pPr>
    </w:p>
    <w:p>
      <w:pPr>
        <w:jc w:val="center"/>
        <w:rPr>
          <w:rFonts w:ascii="黑体" w:eastAsia="黑体"/>
          <w:b/>
          <w:bCs/>
          <w:kern w:val="0"/>
          <w:sz w:val="28"/>
          <w:szCs w:val="28"/>
        </w:rPr>
      </w:pPr>
      <w:bookmarkStart w:id="133" w:name="_Toc26140"/>
      <w:bookmarkStart w:id="134" w:name="_Toc5700"/>
      <w:bookmarkStart w:id="135" w:name="_Toc4633"/>
      <w:bookmarkStart w:id="136" w:name="_Toc1467"/>
      <w:r>
        <w:rPr>
          <w:rFonts w:hint="eastAsia" w:ascii="黑体" w:eastAsia="黑体"/>
          <w:b/>
          <w:bCs/>
          <w:kern w:val="0"/>
          <w:sz w:val="28"/>
          <w:szCs w:val="28"/>
        </w:rPr>
        <w:t>实质性响应条款</w:t>
      </w:r>
      <w:bookmarkEnd w:id="133"/>
      <w:bookmarkEnd w:id="134"/>
      <w:bookmarkEnd w:id="135"/>
      <w:bookmarkEnd w:id="136"/>
    </w:p>
    <w:tbl>
      <w:tblPr>
        <w:tblStyle w:val="2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7655" w:type="dxa"/>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7655" w:type="dxa"/>
          </w:tcPr>
          <w:p>
            <w:pPr>
              <w:adjustRightInd w:val="0"/>
              <w:snapToGrid w:val="0"/>
              <w:spacing w:line="360" w:lineRule="auto"/>
              <w:rPr>
                <w:rFonts w:ascii="仿宋" w:hAnsi="仿宋" w:eastAsia="仿宋" w:cs="仿宋"/>
                <w:b/>
                <w:sz w:val="24"/>
              </w:rPr>
            </w:pPr>
            <w:r>
              <w:rPr>
                <w:rFonts w:hint="eastAsia" w:ascii="仿宋" w:hAnsi="仿宋" w:eastAsia="仿宋" w:cs="仿宋"/>
                <w:bCs/>
                <w:sz w:val="24"/>
              </w:rPr>
              <w:t>招标文件需求中带★号条款</w:t>
            </w:r>
          </w:p>
        </w:tc>
      </w:tr>
    </w:tbl>
    <w:p>
      <w:bookmarkStart w:id="539" w:name="_GoBack"/>
      <w:bookmarkEnd w:id="539"/>
      <w:r>
        <w:rPr>
          <w:rFonts w:hint="eastAsia" w:ascii="仿宋" w:hAnsi="仿宋" w:eastAsia="仿宋" w:cs="仿宋"/>
          <w:sz w:val="24"/>
        </w:rPr>
        <w:t>注：上表所列内容为不可负偏离的实质性条款。</w:t>
      </w:r>
    </w:p>
    <w:p>
      <w:pPr>
        <w:pStyle w:val="4"/>
        <w:jc w:val="center"/>
        <w:rPr>
          <w:rFonts w:ascii="黑体" w:eastAsia="黑体"/>
          <w:sz w:val="28"/>
          <w:szCs w:val="28"/>
        </w:rPr>
      </w:pPr>
      <w:bookmarkStart w:id="137" w:name="_Toc4188"/>
      <w:bookmarkStart w:id="138" w:name="_Toc16165"/>
      <w:bookmarkStart w:id="139" w:name="_Toc667"/>
      <w:bookmarkStart w:id="140" w:name="_Toc16784"/>
      <w:bookmarkStart w:id="141" w:name="_Toc30889"/>
      <w:bookmarkStart w:id="142" w:name="_Toc11064"/>
      <w:bookmarkStart w:id="143" w:name="_Toc31614"/>
      <w:bookmarkStart w:id="144" w:name="_Toc2727"/>
      <w:bookmarkStart w:id="145" w:name="_Toc17380"/>
      <w:bookmarkStart w:id="146" w:name="_Toc27098"/>
      <w:r>
        <w:rPr>
          <w:rFonts w:hint="eastAsia" w:ascii="黑体" w:eastAsia="黑体"/>
          <w:sz w:val="28"/>
          <w:szCs w:val="28"/>
        </w:rPr>
        <w:t>表三、评标信息</w:t>
      </w:r>
      <w:bookmarkEnd w:id="137"/>
      <w:bookmarkEnd w:id="138"/>
      <w:bookmarkEnd w:id="139"/>
      <w:bookmarkEnd w:id="140"/>
      <w:bookmarkEnd w:id="141"/>
      <w:bookmarkEnd w:id="142"/>
      <w:bookmarkEnd w:id="143"/>
      <w:bookmarkEnd w:id="144"/>
      <w:bookmarkEnd w:id="145"/>
      <w:bookmarkEnd w:id="146"/>
    </w:p>
    <w:p>
      <w:pPr>
        <w:spacing w:line="320" w:lineRule="exact"/>
        <w:jc w:val="left"/>
        <w:rPr>
          <w:rFonts w:ascii="仿宋" w:hAnsi="仿宋" w:eastAsia="仿宋" w:cs="仿宋"/>
          <w:sz w:val="24"/>
        </w:rPr>
      </w:pPr>
    </w:p>
    <w:tbl>
      <w:tblPr>
        <w:tblStyle w:val="23"/>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31"/>
        <w:gridCol w:w="1130"/>
        <w:gridCol w:w="795"/>
        <w:gridCol w:w="625"/>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shd w:val="clear" w:color="auto" w:fill="auto"/>
            <w:vAlign w:val="center"/>
          </w:tcPr>
          <w:p>
            <w:pPr>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3281" w:type="dxa"/>
            <w:gridSpan w:val="4"/>
            <w:shd w:val="clear" w:color="auto" w:fill="auto"/>
            <w:vAlign w:val="center"/>
          </w:tcPr>
          <w:p>
            <w:pPr>
              <w:jc w:val="center"/>
              <w:rPr>
                <w:rFonts w:ascii="仿宋" w:hAnsi="仿宋" w:eastAsia="仿宋" w:cs="仿宋"/>
                <w:b/>
                <w:color w:val="000000"/>
                <w:sz w:val="24"/>
              </w:rPr>
            </w:pPr>
            <w:r>
              <w:rPr>
                <w:rFonts w:hint="eastAsia" w:ascii="仿宋" w:hAnsi="仿宋" w:eastAsia="仿宋" w:cs="仿宋"/>
                <w:b/>
                <w:color w:val="000000"/>
                <w:sz w:val="24"/>
              </w:rPr>
              <w:t>评分项</w:t>
            </w:r>
          </w:p>
        </w:tc>
        <w:tc>
          <w:tcPr>
            <w:tcW w:w="5793" w:type="dxa"/>
            <w:shd w:val="clear" w:color="auto" w:fill="auto"/>
            <w:vAlign w:val="center"/>
          </w:tcPr>
          <w:p>
            <w:pPr>
              <w:jc w:val="center"/>
              <w:rPr>
                <w:rFonts w:ascii="仿宋" w:hAnsi="仿宋" w:eastAsia="仿宋" w:cs="仿宋"/>
                <w:b/>
                <w:color w:val="000000"/>
                <w:sz w:val="24"/>
              </w:rPr>
            </w:pPr>
            <w:r>
              <w:rPr>
                <w:rFonts w:hint="eastAsia" w:ascii="仿宋" w:hAnsi="仿宋" w:eastAsia="仿宋" w:cs="仿宋"/>
                <w:b/>
                <w:color w:val="00000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5" w:type="dxa"/>
            <w:shd w:val="clear" w:color="auto" w:fill="auto"/>
            <w:vAlign w:val="center"/>
          </w:tcPr>
          <w:p>
            <w:pPr>
              <w:jc w:val="center"/>
              <w:rPr>
                <w:rFonts w:ascii="仿宋" w:hAnsi="仿宋" w:eastAsia="仿宋" w:cs="仿宋"/>
                <w:b/>
                <w:color w:val="000000"/>
                <w:sz w:val="24"/>
              </w:rPr>
            </w:pPr>
            <w:r>
              <w:rPr>
                <w:rFonts w:hint="eastAsia" w:ascii="仿宋" w:hAnsi="仿宋" w:eastAsia="仿宋" w:cs="仿宋"/>
                <w:b/>
                <w:color w:val="000000"/>
                <w:sz w:val="24"/>
              </w:rPr>
              <w:t>1</w:t>
            </w:r>
          </w:p>
        </w:tc>
        <w:tc>
          <w:tcPr>
            <w:tcW w:w="3281" w:type="dxa"/>
            <w:gridSpan w:val="4"/>
            <w:shd w:val="clear" w:color="auto" w:fill="auto"/>
            <w:vAlign w:val="center"/>
          </w:tcPr>
          <w:p>
            <w:pPr>
              <w:jc w:val="center"/>
              <w:rPr>
                <w:rFonts w:ascii="仿宋" w:hAnsi="仿宋" w:eastAsia="仿宋" w:cs="仿宋"/>
                <w:b/>
                <w:color w:val="000000"/>
                <w:sz w:val="24"/>
              </w:rPr>
            </w:pPr>
            <w:r>
              <w:rPr>
                <w:rFonts w:hint="eastAsia" w:ascii="仿宋" w:hAnsi="仿宋" w:eastAsia="仿宋" w:cs="仿宋"/>
                <w:b/>
                <w:color w:val="000000"/>
                <w:sz w:val="24"/>
              </w:rPr>
              <w:t>价格部分</w:t>
            </w:r>
          </w:p>
        </w:tc>
        <w:tc>
          <w:tcPr>
            <w:tcW w:w="5793" w:type="dxa"/>
            <w:shd w:val="clear" w:color="auto" w:fill="auto"/>
            <w:vAlign w:val="center"/>
          </w:tcPr>
          <w:p>
            <w:pPr>
              <w:jc w:val="center"/>
              <w:rPr>
                <w:rFonts w:ascii="仿宋" w:hAnsi="仿宋" w:eastAsia="仿宋" w:cs="仿宋"/>
                <w:b/>
                <w:color w:val="000000"/>
                <w:sz w:val="24"/>
              </w:rPr>
            </w:pPr>
            <w:r>
              <w:rPr>
                <w:rFonts w:hint="eastAsia" w:ascii="仿宋" w:hAnsi="仿宋" w:eastAsia="仿宋" w:cs="仿宋"/>
                <w:b/>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shd w:val="clear" w:color="auto" w:fill="auto"/>
          </w:tcPr>
          <w:p>
            <w:pPr>
              <w:jc w:val="center"/>
              <w:rPr>
                <w:rFonts w:ascii="仿宋" w:hAnsi="仿宋" w:eastAsia="仿宋" w:cs="仿宋"/>
                <w:color w:val="000000"/>
                <w:sz w:val="24"/>
              </w:rPr>
            </w:pPr>
          </w:p>
        </w:tc>
        <w:tc>
          <w:tcPr>
            <w:tcW w:w="9074" w:type="dxa"/>
            <w:gridSpan w:val="5"/>
            <w:shd w:val="clear" w:color="auto" w:fill="auto"/>
          </w:tcPr>
          <w:p>
            <w:pPr>
              <w:pStyle w:val="19"/>
              <w:spacing w:before="0" w:beforeAutospacing="0" w:after="0" w:afterAutospacing="0"/>
              <w:ind w:firstLine="420"/>
              <w:rPr>
                <w:rFonts w:ascii="仿宋" w:hAnsi="仿宋" w:eastAsia="仿宋" w:cs="仿宋"/>
                <w:color w:val="000000"/>
              </w:rPr>
            </w:pPr>
            <w:r>
              <w:rPr>
                <w:rFonts w:hint="eastAsia" w:ascii="仿宋" w:hAnsi="仿宋" w:eastAsia="仿宋" w:cs="仿宋"/>
                <w:color w:val="000000"/>
              </w:rPr>
              <w:t xml:space="preserve">综合评分法，是指投标文件满足招标文件全部实质性要求，且按照评审因素的量化指标评审得分最高的投标人为中标候选人的评标方法。 </w:t>
            </w:r>
          </w:p>
          <w:p>
            <w:pPr>
              <w:pStyle w:val="19"/>
              <w:spacing w:before="0" w:beforeAutospacing="0" w:after="0" w:afterAutospacing="0"/>
              <w:ind w:firstLine="420"/>
              <w:rPr>
                <w:rFonts w:ascii="仿宋" w:hAnsi="仿宋" w:eastAsia="仿宋" w:cs="仿宋"/>
                <w:color w:val="000000"/>
              </w:rPr>
            </w:pPr>
            <w:r>
              <w:rPr>
                <w:rFonts w:hint="eastAsia" w:ascii="仿宋" w:hAnsi="仿宋" w:eastAsia="仿宋" w:cs="仿宋"/>
                <w:color w:val="000000"/>
              </w:rPr>
              <w:t>价格分计算方法：</w:t>
            </w:r>
          </w:p>
          <w:p>
            <w:pPr>
              <w:pStyle w:val="19"/>
              <w:spacing w:before="0" w:beforeAutospacing="0" w:after="0" w:afterAutospacing="0"/>
              <w:ind w:left="420"/>
              <w:rPr>
                <w:rFonts w:ascii="仿宋" w:hAnsi="仿宋" w:eastAsia="仿宋" w:cs="仿宋"/>
                <w:color w:val="000000"/>
              </w:rPr>
            </w:pPr>
            <w:r>
              <w:rPr>
                <w:rFonts w:hint="eastAsia" w:ascii="仿宋" w:hAnsi="仿宋" w:eastAsia="仿宋" w:cs="仿宋"/>
                <w:color w:val="000000"/>
              </w:rPr>
              <w:t xml:space="preserve">采用低价优先法计算，即满足招标文件要求且投标价格最低的投标报价为评标基准价，其价格分为满分。其他投标人的价格分统一按照下列公式计算： </w:t>
            </w:r>
          </w:p>
          <w:p>
            <w:pPr>
              <w:pStyle w:val="19"/>
              <w:spacing w:before="0" w:beforeAutospacing="0" w:after="0" w:afterAutospacing="0"/>
              <w:ind w:left="420"/>
              <w:rPr>
                <w:rFonts w:ascii="仿宋" w:hAnsi="仿宋" w:eastAsia="仿宋" w:cs="仿宋"/>
                <w:color w:val="000000"/>
              </w:rPr>
            </w:pPr>
            <w:r>
              <w:rPr>
                <w:rFonts w:hint="eastAsia" w:ascii="仿宋" w:hAnsi="仿宋" w:eastAsia="仿宋" w:cs="仿宋"/>
                <w:color w:val="000000"/>
              </w:rPr>
              <w:t>投标报价得分=(评标基准价／投标报价)×价格分值</w:t>
            </w:r>
          </w:p>
          <w:p>
            <w:pPr>
              <w:pStyle w:val="19"/>
              <w:spacing w:before="0" w:beforeAutospacing="0" w:after="0" w:afterAutospacing="0"/>
              <w:ind w:left="420"/>
              <w:rPr>
                <w:rFonts w:ascii="仿宋" w:hAnsi="仿宋" w:eastAsia="仿宋" w:cs="仿宋"/>
                <w:color w:val="000000"/>
              </w:rPr>
            </w:pPr>
            <w:r>
              <w:rPr>
                <w:rFonts w:hint="eastAsia" w:ascii="仿宋" w:hAnsi="仿宋" w:eastAsia="仿宋" w:cs="仿宋"/>
                <w:color w:val="000000"/>
              </w:rPr>
              <w:t xml:space="preserve">评标过程中，不得去掉报价中的最高报价和最低报价。 </w:t>
            </w:r>
          </w:p>
          <w:p>
            <w:pPr>
              <w:pStyle w:val="19"/>
              <w:spacing w:before="0" w:beforeAutospacing="0" w:after="0" w:afterAutospacing="0"/>
              <w:ind w:left="420"/>
              <w:rPr>
                <w:rFonts w:ascii="仿宋" w:hAnsi="仿宋" w:eastAsia="仿宋" w:cs="仿宋"/>
                <w:b/>
                <w:color w:val="000000"/>
              </w:rPr>
            </w:pPr>
            <w:r>
              <w:rPr>
                <w:rFonts w:hint="eastAsia" w:ascii="仿宋" w:hAnsi="仿宋" w:eastAsia="仿宋" w:cs="仿宋"/>
                <w:b/>
                <w:color w:val="000000"/>
              </w:rPr>
              <w:t>本项目为非专门面向中小企业的项目，用扣除后的价格参与评审，本项目的扣除比例为：</w:t>
            </w:r>
          </w:p>
          <w:p>
            <w:pPr>
              <w:pStyle w:val="19"/>
              <w:spacing w:before="0" w:beforeAutospacing="0" w:after="0" w:afterAutospacing="0"/>
              <w:ind w:left="420"/>
              <w:rPr>
                <w:rFonts w:ascii="仿宋" w:hAnsi="仿宋" w:eastAsia="仿宋" w:cs="仿宋"/>
                <w:b/>
                <w:color w:val="000000"/>
              </w:rPr>
            </w:pPr>
            <w:r>
              <w:rPr>
                <w:rFonts w:hint="eastAsia" w:ascii="仿宋" w:hAnsi="仿宋" w:eastAsia="仿宋" w:cs="仿宋"/>
                <w:b/>
                <w:color w:val="000000"/>
              </w:rPr>
              <w:t>1.小型企业、微型企业、监狱企业和残疾人福利性单位均给予10%的扣除。</w:t>
            </w:r>
          </w:p>
          <w:p>
            <w:pPr>
              <w:pStyle w:val="19"/>
              <w:spacing w:before="0" w:beforeAutospacing="0" w:after="0" w:afterAutospacing="0"/>
              <w:ind w:left="420"/>
              <w:rPr>
                <w:rFonts w:ascii="仿宋" w:hAnsi="仿宋" w:eastAsia="仿宋" w:cs="仿宋"/>
                <w:b/>
                <w:color w:val="000000"/>
              </w:rPr>
            </w:pPr>
            <w:r>
              <w:rPr>
                <w:rFonts w:hint="eastAsia" w:ascii="仿宋" w:hAnsi="仿宋" w:eastAsia="仿宋" w:cs="仿宋"/>
                <w:b/>
                <w:color w:val="000000"/>
              </w:rPr>
              <w:t>2.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4%的扣除。</w:t>
            </w:r>
          </w:p>
          <w:p>
            <w:pPr>
              <w:ind w:firstLine="482" w:firstLineChars="200"/>
              <w:jc w:val="left"/>
              <w:rPr>
                <w:rFonts w:ascii="仿宋" w:hAnsi="仿宋" w:eastAsia="仿宋" w:cs="仿宋"/>
                <w:color w:val="000000"/>
                <w:sz w:val="24"/>
              </w:rPr>
            </w:pPr>
            <w:r>
              <w:rPr>
                <w:rFonts w:hint="eastAsia" w:ascii="仿宋" w:hAnsi="仿宋" w:eastAsia="仿宋" w:cs="仿宋"/>
                <w:b/>
                <w:color w:val="000000"/>
                <w:sz w:val="24"/>
              </w:rPr>
              <w:t>3.相关证明文件详见投标文件格式要求，投标人同时为小型、微型企业、监狱企业和残疾人福利性单位的，评审中只享受一次价格扣除，不重复进行价格扣除。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2</w:t>
            </w:r>
          </w:p>
        </w:tc>
        <w:tc>
          <w:tcPr>
            <w:tcW w:w="2656" w:type="dxa"/>
            <w:gridSpan w:val="3"/>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技术部分</w:t>
            </w:r>
          </w:p>
        </w:tc>
        <w:tc>
          <w:tcPr>
            <w:tcW w:w="6418" w:type="dxa"/>
            <w:gridSpan w:val="2"/>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15" w:type="dxa"/>
            <w:vMerge w:val="restart"/>
            <w:shd w:val="clear" w:color="auto" w:fill="auto"/>
          </w:tcPr>
          <w:p>
            <w:pPr>
              <w:jc w:val="center"/>
              <w:rPr>
                <w:rFonts w:ascii="仿宋" w:hAnsi="仿宋" w:eastAsia="仿宋" w:cs="仿宋"/>
                <w:b/>
                <w:color w:val="000000"/>
                <w:sz w:val="24"/>
              </w:rPr>
            </w:pPr>
          </w:p>
        </w:tc>
        <w:tc>
          <w:tcPr>
            <w:tcW w:w="731" w:type="dxa"/>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行号</w:t>
            </w:r>
          </w:p>
        </w:tc>
        <w:tc>
          <w:tcPr>
            <w:tcW w:w="1130" w:type="dxa"/>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内容</w:t>
            </w:r>
          </w:p>
        </w:tc>
        <w:tc>
          <w:tcPr>
            <w:tcW w:w="795" w:type="dxa"/>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权重</w:t>
            </w:r>
          </w:p>
        </w:tc>
        <w:tc>
          <w:tcPr>
            <w:tcW w:w="6418" w:type="dxa"/>
            <w:gridSpan w:val="2"/>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15" w:type="dxa"/>
            <w:vMerge w:val="continue"/>
            <w:shd w:val="clear" w:color="auto" w:fill="auto"/>
            <w:vAlign w:val="center"/>
          </w:tcPr>
          <w:p>
            <w:pPr>
              <w:widowControl/>
              <w:jc w:val="left"/>
              <w:rPr>
                <w:rFonts w:ascii="仿宋" w:hAnsi="仿宋" w:eastAsia="仿宋" w:cs="仿宋_GB2312"/>
                <w:color w:val="000000"/>
                <w:sz w:val="24"/>
              </w:rPr>
            </w:pPr>
          </w:p>
        </w:tc>
        <w:tc>
          <w:tcPr>
            <w:tcW w:w="731" w:type="dxa"/>
            <w:shd w:val="clear" w:color="auto" w:fill="auto"/>
            <w:vAlign w:val="center"/>
          </w:tcPr>
          <w:p>
            <w:pPr>
              <w:spacing w:after="60"/>
              <w:jc w:val="center"/>
              <w:rPr>
                <w:rFonts w:ascii="仿宋" w:hAnsi="仿宋" w:eastAsia="仿宋" w:cs="仿宋_GB2312"/>
                <w:szCs w:val="21"/>
              </w:rPr>
            </w:pPr>
            <w:r>
              <w:rPr>
                <w:rFonts w:hint="eastAsia" w:ascii="仿宋" w:hAnsi="仿宋" w:eastAsia="仿宋" w:cs="仿宋_GB2312"/>
                <w:szCs w:val="21"/>
              </w:rPr>
              <w:t>1</w:t>
            </w:r>
          </w:p>
        </w:tc>
        <w:tc>
          <w:tcPr>
            <w:tcW w:w="1130" w:type="dxa"/>
            <w:shd w:val="clear" w:color="auto" w:fill="auto"/>
            <w:vAlign w:val="center"/>
          </w:tcPr>
          <w:p>
            <w:pPr>
              <w:widowControl/>
              <w:jc w:val="center"/>
              <w:textAlignment w:val="top"/>
              <w:rPr>
                <w:rFonts w:ascii="仿宋" w:hAnsi="仿宋" w:eastAsia="仿宋" w:cs="仿宋_GB2312"/>
              </w:rPr>
            </w:pPr>
            <w:r>
              <w:rPr>
                <w:rFonts w:hint="eastAsia" w:ascii="仿宋" w:hAnsi="仿宋" w:eastAsia="仿宋" w:cs="仿宋_GB2312"/>
                <w:kern w:val="0"/>
                <w:szCs w:val="21"/>
              </w:rPr>
              <w:t>实施方案（工作措施、工作方法、工作手段、工作流程）</w:t>
            </w:r>
          </w:p>
        </w:tc>
        <w:tc>
          <w:tcPr>
            <w:tcW w:w="795" w:type="dxa"/>
            <w:shd w:val="clear" w:color="auto" w:fill="auto"/>
            <w:vAlign w:val="center"/>
          </w:tcPr>
          <w:p>
            <w:pPr>
              <w:widowControl/>
              <w:jc w:val="center"/>
              <w:textAlignment w:val="top"/>
              <w:rPr>
                <w:rFonts w:ascii="仿宋" w:hAnsi="仿宋" w:eastAsia="仿宋" w:cs="仿宋_GB2312"/>
              </w:rPr>
            </w:pPr>
            <w:r>
              <w:rPr>
                <w:rFonts w:hint="eastAsia" w:ascii="仿宋" w:hAnsi="仿宋" w:eastAsia="仿宋" w:cs="仿宋_GB2312"/>
                <w:szCs w:val="21"/>
              </w:rPr>
              <w:t>15</w:t>
            </w:r>
          </w:p>
        </w:tc>
        <w:tc>
          <w:tcPr>
            <w:tcW w:w="6418" w:type="dxa"/>
            <w:gridSpan w:val="2"/>
            <w:shd w:val="clear" w:color="auto" w:fill="auto"/>
          </w:tcPr>
          <w:p>
            <w:pPr>
              <w:widowControl/>
              <w:textAlignment w:val="top"/>
              <w:rPr>
                <w:rFonts w:ascii="仿宋" w:hAnsi="仿宋" w:eastAsia="仿宋" w:cs="仿宋_GB2312"/>
                <w:b/>
                <w:bCs/>
                <w:szCs w:val="21"/>
              </w:rPr>
            </w:pPr>
            <w:r>
              <w:rPr>
                <w:rFonts w:hint="eastAsia" w:ascii="仿宋" w:hAnsi="仿宋" w:eastAsia="仿宋" w:cs="仿宋_GB2312"/>
                <w:b/>
                <w:bCs/>
                <w:szCs w:val="21"/>
              </w:rPr>
              <w:t>（一）评分内容</w:t>
            </w:r>
          </w:p>
          <w:p>
            <w:pPr>
              <w:rPr>
                <w:rFonts w:ascii="仿宋" w:hAnsi="仿宋" w:eastAsia="仿宋" w:cs="仿宋_GB2312"/>
                <w:szCs w:val="21"/>
              </w:rPr>
            </w:pPr>
            <w:r>
              <w:rPr>
                <w:rFonts w:hint="eastAsia" w:ascii="仿宋" w:hAnsi="仿宋" w:eastAsia="仿宋" w:cs="仿宋_GB2312"/>
                <w:szCs w:val="21"/>
              </w:rPr>
              <w:t>1.对项目背景理解；</w:t>
            </w:r>
          </w:p>
          <w:p>
            <w:pPr>
              <w:rPr>
                <w:rFonts w:ascii="仿宋" w:hAnsi="仿宋" w:eastAsia="仿宋" w:cs="仿宋_GB2312"/>
                <w:szCs w:val="21"/>
              </w:rPr>
            </w:pPr>
            <w:r>
              <w:rPr>
                <w:rFonts w:hint="eastAsia" w:ascii="仿宋" w:hAnsi="仿宋" w:eastAsia="仿宋" w:cs="仿宋_GB2312"/>
                <w:szCs w:val="21"/>
              </w:rPr>
              <w:t>2.对项目工作意义、工作目的认识；</w:t>
            </w:r>
          </w:p>
          <w:p>
            <w:pPr>
              <w:rPr>
                <w:rFonts w:ascii="仿宋" w:hAnsi="仿宋" w:eastAsia="仿宋" w:cs="仿宋_GB2312"/>
                <w:szCs w:val="21"/>
              </w:rPr>
            </w:pPr>
            <w:r>
              <w:rPr>
                <w:rFonts w:hint="eastAsia" w:ascii="仿宋" w:hAnsi="仿宋" w:eastAsia="仿宋" w:cs="仿宋_GB2312"/>
                <w:szCs w:val="21"/>
              </w:rPr>
              <w:t>3.对本项目提出工作方法和技术路线；</w:t>
            </w:r>
          </w:p>
          <w:p>
            <w:pPr>
              <w:widowControl/>
              <w:textAlignment w:val="top"/>
              <w:rPr>
                <w:rFonts w:ascii="仿宋" w:hAnsi="仿宋" w:eastAsia="仿宋" w:cs="仿宋_GB2312"/>
                <w:kern w:val="0"/>
                <w:szCs w:val="21"/>
                <w:lang w:bidi="ar"/>
              </w:rPr>
            </w:pPr>
            <w:r>
              <w:rPr>
                <w:rFonts w:hint="eastAsia" w:ascii="仿宋" w:hAnsi="仿宋" w:eastAsia="仿宋" w:cs="仿宋_GB2312"/>
                <w:szCs w:val="21"/>
              </w:rPr>
              <w:t>4.对本项目提出整体工作思路。</w:t>
            </w:r>
          </w:p>
          <w:p>
            <w:pPr>
              <w:widowControl/>
              <w:textAlignment w:val="top"/>
              <w:rPr>
                <w:rFonts w:ascii="仿宋" w:hAnsi="仿宋" w:eastAsia="仿宋" w:cs="仿宋_GB2312"/>
                <w:b/>
                <w:bCs/>
                <w:szCs w:val="21"/>
              </w:rPr>
            </w:pPr>
            <w:r>
              <w:rPr>
                <w:rFonts w:hint="eastAsia" w:ascii="仿宋" w:hAnsi="仿宋" w:eastAsia="仿宋" w:cs="仿宋_GB2312"/>
                <w:b/>
                <w:bCs/>
                <w:szCs w:val="21"/>
              </w:rPr>
              <w:t>（二）评分标准</w:t>
            </w:r>
          </w:p>
          <w:p>
            <w:pPr>
              <w:rPr>
                <w:rFonts w:ascii="仿宋" w:hAnsi="仿宋" w:eastAsia="仿宋" w:cs="仿宋_GB2312"/>
                <w:bCs/>
                <w:kern w:val="0"/>
                <w:szCs w:val="21"/>
                <w:lang w:bidi="ar"/>
              </w:rPr>
            </w:pPr>
            <w:r>
              <w:rPr>
                <w:rFonts w:hint="eastAsia" w:ascii="仿宋" w:hAnsi="仿宋" w:eastAsia="仿宋" w:cs="仿宋_GB2312"/>
                <w:bCs/>
                <w:kern w:val="0"/>
                <w:szCs w:val="21"/>
                <w:lang w:bidi="ar"/>
              </w:rPr>
              <w:t>内容包含以上四项要求的得10分，每缺少一项内容扣2.5分；在此基础上对投标人响应情况进行分档评分：</w:t>
            </w:r>
          </w:p>
          <w:p>
            <w:pPr>
              <w:rPr>
                <w:rFonts w:ascii="仿宋" w:hAnsi="仿宋" w:eastAsia="仿宋" w:cs="仿宋_GB2312"/>
                <w:bCs/>
                <w:kern w:val="0"/>
                <w:szCs w:val="21"/>
                <w:lang w:bidi="ar"/>
              </w:rPr>
            </w:pPr>
            <w:r>
              <w:rPr>
                <w:rFonts w:hint="eastAsia" w:ascii="仿宋" w:hAnsi="仿宋" w:eastAsia="仿宋" w:cs="仿宋_GB2312"/>
                <w:bCs/>
                <w:kern w:val="0"/>
                <w:szCs w:val="21"/>
                <w:lang w:bidi="ar"/>
              </w:rPr>
              <w:t>1.优评分标准：形成研究工作分解框架，具备一、二级标题、关键词或主要内容、研究方式等，且内容清晰合理、可操作性强，得5分。</w:t>
            </w:r>
          </w:p>
          <w:p>
            <w:pPr>
              <w:rPr>
                <w:rFonts w:ascii="仿宋" w:hAnsi="仿宋" w:eastAsia="仿宋" w:cs="仿宋_GB2312"/>
                <w:bCs/>
                <w:kern w:val="0"/>
                <w:szCs w:val="21"/>
                <w:lang w:bidi="ar"/>
              </w:rPr>
            </w:pPr>
            <w:r>
              <w:rPr>
                <w:rFonts w:hint="eastAsia" w:ascii="仿宋" w:hAnsi="仿宋" w:eastAsia="仿宋" w:cs="仿宋_GB2312"/>
                <w:bCs/>
                <w:kern w:val="0"/>
                <w:szCs w:val="21"/>
                <w:lang w:bidi="ar"/>
              </w:rPr>
              <w:t>2.良评分标准：形成研究工作分解框架，具备一、二级标题，且内容较为清晰合理、有可操作性，得3分。</w:t>
            </w:r>
          </w:p>
          <w:p>
            <w:pPr>
              <w:rPr>
                <w:rFonts w:ascii="仿宋" w:hAnsi="仿宋" w:eastAsia="仿宋" w:cs="仿宋_GB2312"/>
                <w:bCs/>
                <w:kern w:val="0"/>
                <w:szCs w:val="21"/>
                <w:lang w:bidi="ar"/>
              </w:rPr>
            </w:pPr>
            <w:r>
              <w:rPr>
                <w:rFonts w:hint="eastAsia" w:ascii="仿宋" w:hAnsi="仿宋" w:eastAsia="仿宋" w:cs="仿宋_GB2312"/>
                <w:bCs/>
                <w:kern w:val="0"/>
                <w:szCs w:val="21"/>
                <w:lang w:bidi="ar"/>
              </w:rPr>
              <w:t>3.中评分标准：形成简略的研究工作分解框架，未偏离实际要求，得1分。</w:t>
            </w:r>
          </w:p>
          <w:p>
            <w:pPr>
              <w:rPr>
                <w:rFonts w:ascii="仿宋" w:hAnsi="仿宋" w:eastAsia="仿宋" w:cs="仿宋_GB2312"/>
              </w:rPr>
            </w:pPr>
            <w:r>
              <w:rPr>
                <w:rFonts w:hint="eastAsia" w:ascii="仿宋" w:hAnsi="仿宋" w:eastAsia="仿宋" w:cs="仿宋_GB2312"/>
                <w:bCs/>
                <w:kern w:val="0"/>
                <w:szCs w:val="21"/>
                <w:lang w:bidi="ar"/>
              </w:rPr>
              <w:t>4.差评分标准：未形成研究工作分解框架，偏离实际要求，不得分</w:t>
            </w:r>
            <w:r>
              <w:rPr>
                <w:rFonts w:hint="eastAsia" w:ascii="仿宋" w:hAnsi="仿宋" w:eastAsia="仿宋"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15" w:type="dxa"/>
            <w:vMerge w:val="continue"/>
            <w:shd w:val="clear" w:color="auto" w:fill="auto"/>
            <w:vAlign w:val="center"/>
          </w:tcPr>
          <w:p>
            <w:pPr>
              <w:widowControl/>
              <w:jc w:val="left"/>
              <w:rPr>
                <w:rFonts w:ascii="仿宋" w:hAnsi="仿宋" w:eastAsia="仿宋" w:cs="仿宋_GB2312"/>
                <w:color w:val="000000"/>
                <w:sz w:val="24"/>
              </w:rPr>
            </w:pPr>
          </w:p>
        </w:tc>
        <w:tc>
          <w:tcPr>
            <w:tcW w:w="731" w:type="dxa"/>
            <w:shd w:val="clear" w:color="auto" w:fill="auto"/>
            <w:vAlign w:val="center"/>
          </w:tcPr>
          <w:p>
            <w:pPr>
              <w:spacing w:after="60"/>
              <w:jc w:val="center"/>
              <w:rPr>
                <w:rFonts w:ascii="仿宋" w:hAnsi="仿宋" w:eastAsia="仿宋" w:cs="仿宋_GB2312"/>
                <w:b/>
                <w:bCs/>
                <w:szCs w:val="21"/>
              </w:rPr>
            </w:pPr>
            <w:r>
              <w:rPr>
                <w:rFonts w:hint="eastAsia" w:ascii="仿宋" w:hAnsi="仿宋" w:eastAsia="仿宋" w:cs="仿宋_GB2312"/>
                <w:szCs w:val="21"/>
              </w:rPr>
              <w:t>2</w:t>
            </w:r>
          </w:p>
        </w:tc>
        <w:tc>
          <w:tcPr>
            <w:tcW w:w="1130" w:type="dxa"/>
            <w:shd w:val="clear" w:color="auto" w:fill="auto"/>
            <w:vAlign w:val="center"/>
          </w:tcPr>
          <w:p>
            <w:pPr>
              <w:jc w:val="center"/>
              <w:rPr>
                <w:rFonts w:ascii="仿宋" w:hAnsi="仿宋" w:eastAsia="仿宋" w:cs="仿宋_GB2312"/>
              </w:rPr>
            </w:pPr>
            <w:r>
              <w:rPr>
                <w:rFonts w:hint="eastAsia" w:ascii="仿宋" w:hAnsi="仿宋" w:eastAsia="仿宋" w:cs="仿宋_GB2312"/>
                <w:szCs w:val="21"/>
              </w:rPr>
              <w:t>项目重点难点分析、应对措施及相关的合理化建议</w:t>
            </w:r>
          </w:p>
        </w:tc>
        <w:tc>
          <w:tcPr>
            <w:tcW w:w="795" w:type="dxa"/>
            <w:shd w:val="clear" w:color="auto" w:fill="auto"/>
            <w:vAlign w:val="center"/>
          </w:tcPr>
          <w:p>
            <w:pPr>
              <w:widowControl/>
              <w:jc w:val="center"/>
              <w:textAlignment w:val="top"/>
              <w:rPr>
                <w:rFonts w:ascii="仿宋" w:hAnsi="仿宋" w:eastAsia="仿宋" w:cs="仿宋_GB2312"/>
              </w:rPr>
            </w:pPr>
            <w:r>
              <w:rPr>
                <w:rFonts w:hint="eastAsia" w:ascii="仿宋" w:hAnsi="仿宋" w:eastAsia="仿宋" w:cs="仿宋_GB2312"/>
                <w:szCs w:val="21"/>
              </w:rPr>
              <w:t>15</w:t>
            </w:r>
          </w:p>
        </w:tc>
        <w:tc>
          <w:tcPr>
            <w:tcW w:w="6418" w:type="dxa"/>
            <w:gridSpan w:val="2"/>
            <w:shd w:val="clear" w:color="auto" w:fill="auto"/>
          </w:tcPr>
          <w:p>
            <w:pPr>
              <w:widowControl/>
              <w:textAlignment w:val="top"/>
              <w:rPr>
                <w:rFonts w:ascii="仿宋" w:hAnsi="仿宋" w:eastAsia="仿宋" w:cs="仿宋_GB2312"/>
                <w:b/>
                <w:bCs/>
                <w:szCs w:val="21"/>
              </w:rPr>
            </w:pPr>
            <w:r>
              <w:rPr>
                <w:rFonts w:hint="eastAsia" w:ascii="仿宋" w:hAnsi="仿宋" w:eastAsia="仿宋" w:cs="仿宋_GB2312"/>
                <w:b/>
                <w:bCs/>
                <w:szCs w:val="21"/>
              </w:rPr>
              <w:t>（一）评分内容</w:t>
            </w:r>
          </w:p>
          <w:p>
            <w:pPr>
              <w:widowControl/>
              <w:textAlignment w:val="top"/>
              <w:rPr>
                <w:rFonts w:ascii="仿宋" w:hAnsi="仿宋" w:eastAsia="仿宋" w:cs="仿宋_GB2312"/>
                <w:szCs w:val="21"/>
              </w:rPr>
            </w:pPr>
            <w:r>
              <w:rPr>
                <w:rFonts w:hint="eastAsia" w:ascii="仿宋" w:hAnsi="仿宋" w:eastAsia="仿宋" w:cs="仿宋_GB2312"/>
                <w:szCs w:val="21"/>
              </w:rPr>
              <w:t>1.对重点问题的把握与分析；</w:t>
            </w:r>
          </w:p>
          <w:p>
            <w:pPr>
              <w:widowControl/>
              <w:textAlignment w:val="top"/>
              <w:rPr>
                <w:rFonts w:ascii="仿宋" w:hAnsi="仿宋" w:eastAsia="仿宋" w:cs="仿宋_GB2312"/>
                <w:szCs w:val="21"/>
              </w:rPr>
            </w:pPr>
            <w:r>
              <w:rPr>
                <w:rFonts w:hint="eastAsia" w:ascii="仿宋" w:hAnsi="仿宋" w:eastAsia="仿宋" w:cs="仿宋_GB2312"/>
                <w:szCs w:val="21"/>
              </w:rPr>
              <w:t>2.对难点问题的把握与分析；</w:t>
            </w:r>
          </w:p>
          <w:p>
            <w:pPr>
              <w:widowControl/>
              <w:textAlignment w:val="top"/>
              <w:rPr>
                <w:rFonts w:ascii="仿宋" w:hAnsi="仿宋" w:eastAsia="仿宋" w:cs="仿宋_GB2312"/>
                <w:szCs w:val="21"/>
              </w:rPr>
            </w:pPr>
            <w:r>
              <w:rPr>
                <w:rFonts w:hint="eastAsia" w:ascii="仿宋" w:hAnsi="仿宋" w:eastAsia="仿宋" w:cs="仿宋_GB2312"/>
                <w:szCs w:val="21"/>
              </w:rPr>
              <w:t>3.解决思路和方法。</w:t>
            </w:r>
          </w:p>
          <w:p>
            <w:pPr>
              <w:widowControl/>
              <w:textAlignment w:val="top"/>
              <w:rPr>
                <w:rFonts w:ascii="仿宋" w:hAnsi="仿宋" w:eastAsia="仿宋" w:cs="仿宋_GB2312"/>
                <w:b/>
                <w:bCs/>
                <w:szCs w:val="21"/>
              </w:rPr>
            </w:pPr>
            <w:r>
              <w:rPr>
                <w:rFonts w:hint="eastAsia" w:ascii="仿宋" w:hAnsi="仿宋" w:eastAsia="仿宋" w:cs="仿宋_GB2312"/>
                <w:b/>
                <w:bCs/>
                <w:szCs w:val="21"/>
              </w:rPr>
              <w:t>（二）评分标准</w:t>
            </w:r>
          </w:p>
          <w:p>
            <w:pPr>
              <w:widowControl/>
              <w:textAlignment w:val="top"/>
              <w:rPr>
                <w:rFonts w:ascii="仿宋" w:hAnsi="仿宋" w:eastAsia="仿宋" w:cs="仿宋_GB2312"/>
                <w:bCs/>
                <w:kern w:val="0"/>
                <w:szCs w:val="21"/>
                <w:lang w:bidi="ar"/>
              </w:rPr>
            </w:pPr>
            <w:r>
              <w:rPr>
                <w:rFonts w:hint="eastAsia" w:ascii="仿宋" w:hAnsi="仿宋" w:eastAsia="仿宋" w:cs="仿宋_GB2312"/>
                <w:bCs/>
                <w:kern w:val="0"/>
                <w:szCs w:val="21"/>
                <w:lang w:bidi="ar"/>
              </w:rPr>
              <w:t>内容包含以上三项要求的得9分，每缺少一项内容扣3分；在此基础上对投标人响应情况进行分档评分：</w:t>
            </w:r>
          </w:p>
          <w:p>
            <w:pPr>
              <w:widowControl/>
              <w:textAlignment w:val="top"/>
              <w:rPr>
                <w:rFonts w:ascii="仿宋" w:hAnsi="仿宋" w:eastAsia="仿宋" w:cs="仿宋_GB2312"/>
                <w:kern w:val="0"/>
                <w:szCs w:val="21"/>
                <w:lang w:bidi="ar"/>
              </w:rPr>
            </w:pPr>
            <w:r>
              <w:rPr>
                <w:rFonts w:hint="eastAsia" w:ascii="仿宋" w:hAnsi="仿宋" w:eastAsia="仿宋" w:cs="仿宋_GB2312"/>
                <w:kern w:val="0"/>
                <w:szCs w:val="21"/>
                <w:lang w:bidi="ar"/>
              </w:rPr>
              <w:t>1.优评分标准：分析准确到位，建议合理可行，得6</w:t>
            </w:r>
            <w:r>
              <w:rPr>
                <w:rFonts w:hint="eastAsia" w:ascii="仿宋" w:hAnsi="仿宋" w:eastAsia="仿宋" w:cs="仿宋_GB2312"/>
                <w:bCs/>
                <w:kern w:val="0"/>
                <w:szCs w:val="21"/>
                <w:lang w:bidi="ar"/>
              </w:rPr>
              <w:t>分</w:t>
            </w:r>
            <w:r>
              <w:rPr>
                <w:rFonts w:hint="eastAsia" w:ascii="仿宋" w:hAnsi="仿宋" w:eastAsia="仿宋" w:cs="仿宋_GB2312"/>
                <w:kern w:val="0"/>
                <w:szCs w:val="21"/>
                <w:lang w:bidi="ar"/>
              </w:rPr>
              <w:t>。</w:t>
            </w:r>
          </w:p>
          <w:p>
            <w:pPr>
              <w:widowControl/>
              <w:textAlignment w:val="top"/>
              <w:rPr>
                <w:rFonts w:ascii="仿宋" w:hAnsi="仿宋" w:eastAsia="仿宋" w:cs="仿宋_GB2312"/>
                <w:kern w:val="0"/>
                <w:szCs w:val="21"/>
                <w:lang w:bidi="ar"/>
              </w:rPr>
            </w:pPr>
            <w:r>
              <w:rPr>
                <w:rFonts w:hint="eastAsia" w:ascii="仿宋" w:hAnsi="仿宋" w:eastAsia="仿宋" w:cs="仿宋_GB2312"/>
                <w:kern w:val="0"/>
                <w:szCs w:val="21"/>
                <w:lang w:bidi="ar"/>
              </w:rPr>
              <w:t>2.良评分标准：分析准确到位，建议合理且具有一定可行性，得4</w:t>
            </w:r>
            <w:r>
              <w:rPr>
                <w:rFonts w:hint="eastAsia" w:ascii="仿宋" w:hAnsi="仿宋" w:eastAsia="仿宋" w:cs="仿宋_GB2312"/>
                <w:bCs/>
                <w:kern w:val="0"/>
                <w:szCs w:val="21"/>
                <w:lang w:bidi="ar"/>
              </w:rPr>
              <w:t>分</w:t>
            </w:r>
            <w:r>
              <w:rPr>
                <w:rFonts w:hint="eastAsia" w:ascii="仿宋" w:hAnsi="仿宋" w:eastAsia="仿宋" w:cs="仿宋_GB2312"/>
                <w:kern w:val="0"/>
                <w:szCs w:val="21"/>
                <w:lang w:bidi="ar"/>
              </w:rPr>
              <w:t>。</w:t>
            </w:r>
          </w:p>
          <w:p>
            <w:pPr>
              <w:widowControl/>
              <w:textAlignment w:val="top"/>
              <w:rPr>
                <w:rFonts w:ascii="仿宋" w:hAnsi="仿宋" w:eastAsia="仿宋" w:cs="仿宋_GB2312"/>
                <w:kern w:val="0"/>
                <w:szCs w:val="21"/>
                <w:lang w:bidi="ar"/>
              </w:rPr>
            </w:pPr>
            <w:r>
              <w:rPr>
                <w:rFonts w:hint="eastAsia" w:ascii="仿宋" w:hAnsi="仿宋" w:eastAsia="仿宋" w:cs="仿宋_GB2312"/>
                <w:kern w:val="0"/>
                <w:szCs w:val="21"/>
                <w:lang w:bidi="ar"/>
              </w:rPr>
              <w:t>3.中评分标准：分析有缺漏但基本到位，建议可行性低，得2</w:t>
            </w:r>
            <w:r>
              <w:rPr>
                <w:rFonts w:hint="eastAsia" w:ascii="仿宋" w:hAnsi="仿宋" w:eastAsia="仿宋" w:cs="仿宋_GB2312"/>
                <w:bCs/>
                <w:kern w:val="0"/>
                <w:szCs w:val="21"/>
                <w:lang w:bidi="ar"/>
              </w:rPr>
              <w:t>分</w:t>
            </w:r>
            <w:r>
              <w:rPr>
                <w:rFonts w:hint="eastAsia" w:ascii="仿宋" w:hAnsi="仿宋" w:eastAsia="仿宋" w:cs="仿宋_GB2312"/>
                <w:kern w:val="0"/>
                <w:szCs w:val="21"/>
                <w:lang w:bidi="ar"/>
              </w:rPr>
              <w:t>。</w:t>
            </w:r>
          </w:p>
          <w:p>
            <w:pPr>
              <w:widowControl/>
              <w:textAlignment w:val="top"/>
              <w:rPr>
                <w:rFonts w:ascii="仿宋" w:hAnsi="仿宋" w:eastAsia="仿宋" w:cs="仿宋_GB2312"/>
                <w:b/>
                <w:bCs/>
                <w:szCs w:val="21"/>
              </w:rPr>
            </w:pPr>
            <w:r>
              <w:rPr>
                <w:rFonts w:hint="eastAsia" w:ascii="仿宋" w:hAnsi="仿宋" w:eastAsia="仿宋" w:cs="仿宋_GB2312"/>
                <w:kern w:val="0"/>
                <w:szCs w:val="21"/>
                <w:lang w:bidi="ar"/>
              </w:rPr>
              <w:t>4.差评分标准：分析有严重缺漏，建议无可行性，不得</w:t>
            </w:r>
            <w:r>
              <w:rPr>
                <w:rFonts w:hint="eastAsia" w:ascii="仿宋" w:hAnsi="仿宋" w:eastAsia="仿宋" w:cs="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15" w:type="dxa"/>
            <w:vMerge w:val="continue"/>
            <w:shd w:val="clear" w:color="auto" w:fill="auto"/>
            <w:vAlign w:val="center"/>
          </w:tcPr>
          <w:p>
            <w:pPr>
              <w:widowControl/>
              <w:jc w:val="left"/>
              <w:rPr>
                <w:rFonts w:ascii="仿宋" w:hAnsi="仿宋" w:eastAsia="仿宋" w:cs="仿宋_GB2312"/>
                <w:color w:val="000000"/>
                <w:sz w:val="24"/>
              </w:rPr>
            </w:pPr>
          </w:p>
        </w:tc>
        <w:tc>
          <w:tcPr>
            <w:tcW w:w="731" w:type="dxa"/>
            <w:shd w:val="clear" w:color="auto" w:fill="auto"/>
            <w:vAlign w:val="center"/>
          </w:tcPr>
          <w:p>
            <w:pPr>
              <w:spacing w:after="60"/>
              <w:jc w:val="center"/>
              <w:rPr>
                <w:rFonts w:ascii="仿宋" w:hAnsi="仿宋" w:eastAsia="仿宋" w:cs="仿宋_GB2312"/>
                <w:szCs w:val="21"/>
              </w:rPr>
            </w:pPr>
            <w:r>
              <w:rPr>
                <w:rFonts w:hint="eastAsia" w:ascii="仿宋" w:hAnsi="仿宋" w:eastAsia="仿宋" w:cs="仿宋_GB2312"/>
                <w:szCs w:val="21"/>
              </w:rPr>
              <w:t>3</w:t>
            </w:r>
          </w:p>
        </w:tc>
        <w:tc>
          <w:tcPr>
            <w:tcW w:w="1130" w:type="dxa"/>
            <w:shd w:val="clear" w:color="auto" w:fill="auto"/>
            <w:vAlign w:val="center"/>
          </w:tcPr>
          <w:p>
            <w:pPr>
              <w:jc w:val="center"/>
              <w:rPr>
                <w:rFonts w:ascii="仿宋" w:hAnsi="仿宋" w:eastAsia="仿宋" w:cs="仿宋_GB2312"/>
                <w:szCs w:val="21"/>
              </w:rPr>
            </w:pPr>
            <w:bookmarkStart w:id="147" w:name="_Hlk148371963"/>
            <w:r>
              <w:rPr>
                <w:rFonts w:hint="eastAsia" w:ascii="仿宋" w:hAnsi="仿宋" w:eastAsia="仿宋" w:cs="仿宋_GB2312"/>
                <w:szCs w:val="21"/>
              </w:rPr>
              <w:t>质量（完成时间、安全、环保）保障措施及方案</w:t>
            </w:r>
            <w:bookmarkEnd w:id="147"/>
          </w:p>
        </w:tc>
        <w:tc>
          <w:tcPr>
            <w:tcW w:w="795" w:type="dxa"/>
            <w:shd w:val="clear" w:color="auto" w:fill="auto"/>
            <w:vAlign w:val="center"/>
          </w:tcPr>
          <w:p>
            <w:pPr>
              <w:jc w:val="center"/>
              <w:rPr>
                <w:rFonts w:ascii="仿宋" w:hAnsi="仿宋" w:eastAsia="仿宋" w:cs="仿宋_GB2312"/>
                <w:szCs w:val="21"/>
              </w:rPr>
            </w:pPr>
            <w:r>
              <w:rPr>
                <w:rFonts w:hint="eastAsia" w:ascii="仿宋" w:hAnsi="仿宋" w:eastAsia="仿宋" w:cs="仿宋_GB2312"/>
                <w:szCs w:val="21"/>
              </w:rPr>
              <w:t>5</w:t>
            </w:r>
          </w:p>
        </w:tc>
        <w:tc>
          <w:tcPr>
            <w:tcW w:w="6418" w:type="dxa"/>
            <w:gridSpan w:val="2"/>
            <w:shd w:val="clear" w:color="auto" w:fill="auto"/>
          </w:tcPr>
          <w:p>
            <w:pPr>
              <w:widowControl/>
              <w:textAlignment w:val="top"/>
              <w:rPr>
                <w:rFonts w:ascii="仿宋" w:hAnsi="仿宋" w:eastAsia="仿宋" w:cs="仿宋_GB2312"/>
                <w:b/>
                <w:bCs/>
                <w:szCs w:val="21"/>
              </w:rPr>
            </w:pPr>
            <w:r>
              <w:rPr>
                <w:rFonts w:hint="eastAsia" w:ascii="仿宋" w:hAnsi="仿宋" w:eastAsia="仿宋" w:cs="仿宋_GB2312"/>
                <w:b/>
                <w:bCs/>
                <w:szCs w:val="21"/>
              </w:rPr>
              <w:t>（一）评分内容</w:t>
            </w:r>
          </w:p>
          <w:p>
            <w:pPr>
              <w:rPr>
                <w:rFonts w:ascii="仿宋" w:hAnsi="仿宋" w:eastAsia="仿宋" w:cs="仿宋_GB2312"/>
                <w:szCs w:val="21"/>
              </w:rPr>
            </w:pPr>
            <w:r>
              <w:rPr>
                <w:rFonts w:hint="eastAsia" w:ascii="仿宋" w:hAnsi="仿宋" w:eastAsia="仿宋" w:cs="仿宋_GB2312"/>
                <w:szCs w:val="21"/>
              </w:rPr>
              <w:t>1.内容清晰完整；</w:t>
            </w:r>
          </w:p>
          <w:p>
            <w:pPr>
              <w:widowControl/>
              <w:textAlignment w:val="top"/>
              <w:rPr>
                <w:rFonts w:ascii="仿宋" w:hAnsi="仿宋" w:eastAsia="仿宋" w:cs="仿宋_GB2312"/>
                <w:szCs w:val="21"/>
              </w:rPr>
            </w:pPr>
            <w:r>
              <w:rPr>
                <w:rFonts w:hint="eastAsia" w:ascii="仿宋" w:hAnsi="仿宋" w:eastAsia="仿宋" w:cs="仿宋_GB2312"/>
                <w:szCs w:val="21"/>
              </w:rPr>
              <w:t>2.进度安排科学、符合项目要求。</w:t>
            </w:r>
          </w:p>
          <w:p>
            <w:pPr>
              <w:widowControl/>
              <w:textAlignment w:val="top"/>
              <w:rPr>
                <w:rFonts w:ascii="仿宋" w:hAnsi="仿宋" w:eastAsia="仿宋" w:cs="仿宋_GB2312"/>
                <w:b/>
                <w:bCs/>
                <w:szCs w:val="21"/>
              </w:rPr>
            </w:pPr>
            <w:r>
              <w:rPr>
                <w:rFonts w:hint="eastAsia" w:ascii="仿宋" w:hAnsi="仿宋" w:eastAsia="仿宋" w:cs="仿宋_GB2312"/>
                <w:b/>
                <w:bCs/>
                <w:szCs w:val="21"/>
              </w:rPr>
              <w:t>（二）评分标准</w:t>
            </w:r>
          </w:p>
          <w:p>
            <w:pPr>
              <w:widowControl/>
              <w:textAlignment w:val="top"/>
              <w:rPr>
                <w:rFonts w:ascii="仿宋" w:hAnsi="仿宋" w:eastAsia="仿宋" w:cs="仿宋_GB2312"/>
                <w:bCs/>
                <w:kern w:val="0"/>
                <w:szCs w:val="21"/>
                <w:lang w:bidi="ar"/>
              </w:rPr>
            </w:pPr>
            <w:r>
              <w:rPr>
                <w:rFonts w:hint="eastAsia" w:ascii="仿宋" w:hAnsi="仿宋" w:eastAsia="仿宋" w:cs="仿宋_GB2312"/>
                <w:bCs/>
                <w:kern w:val="0"/>
                <w:szCs w:val="21"/>
                <w:lang w:bidi="ar"/>
              </w:rPr>
              <w:t>内容包含以上两项要求的得3分，每缺少一项内容扣1.5分；在此基础上对投标人响应情况进行分档评分：</w:t>
            </w:r>
          </w:p>
          <w:p>
            <w:pPr>
              <w:widowControl/>
              <w:textAlignment w:val="top"/>
              <w:rPr>
                <w:rFonts w:ascii="仿宋" w:hAnsi="仿宋" w:eastAsia="仿宋" w:cs="仿宋_GB2312"/>
                <w:szCs w:val="21"/>
              </w:rPr>
            </w:pPr>
            <w:r>
              <w:rPr>
                <w:rFonts w:hint="eastAsia" w:ascii="仿宋" w:hAnsi="仿宋" w:eastAsia="仿宋" w:cs="仿宋_GB2312"/>
                <w:szCs w:val="21"/>
              </w:rPr>
              <w:t>1.优评分标准：项目进度保障措施合理有效，措施合理、全面、有效，得2</w:t>
            </w:r>
            <w:r>
              <w:rPr>
                <w:rFonts w:hint="eastAsia" w:ascii="仿宋" w:hAnsi="仿宋" w:eastAsia="仿宋" w:cs="仿宋_GB2312"/>
                <w:bCs/>
                <w:kern w:val="0"/>
                <w:szCs w:val="21"/>
                <w:lang w:bidi="ar"/>
              </w:rPr>
              <w:t>分</w:t>
            </w:r>
            <w:r>
              <w:rPr>
                <w:rFonts w:hint="eastAsia" w:ascii="仿宋" w:hAnsi="仿宋" w:eastAsia="仿宋" w:cs="仿宋_GB2312"/>
                <w:szCs w:val="21"/>
              </w:rPr>
              <w:t>。</w:t>
            </w:r>
          </w:p>
          <w:p>
            <w:pPr>
              <w:widowControl/>
              <w:textAlignment w:val="top"/>
              <w:rPr>
                <w:rFonts w:ascii="仿宋" w:hAnsi="仿宋" w:eastAsia="仿宋" w:cs="仿宋_GB2312"/>
                <w:szCs w:val="21"/>
              </w:rPr>
            </w:pPr>
            <w:r>
              <w:rPr>
                <w:rFonts w:hint="eastAsia" w:ascii="仿宋" w:hAnsi="仿宋" w:eastAsia="仿宋" w:cs="仿宋_GB2312"/>
                <w:szCs w:val="21"/>
              </w:rPr>
              <w:t>2.良评分标准：项目进度保障措施及措施设置合理、有一定有效性，得1.5</w:t>
            </w:r>
            <w:r>
              <w:rPr>
                <w:rFonts w:hint="eastAsia" w:ascii="仿宋" w:hAnsi="仿宋" w:eastAsia="仿宋" w:cs="仿宋_GB2312"/>
                <w:bCs/>
                <w:kern w:val="0"/>
                <w:szCs w:val="21"/>
                <w:lang w:bidi="ar"/>
              </w:rPr>
              <w:t>分</w:t>
            </w:r>
            <w:r>
              <w:rPr>
                <w:rFonts w:hint="eastAsia" w:ascii="仿宋" w:hAnsi="仿宋" w:eastAsia="仿宋" w:cs="仿宋_GB2312"/>
                <w:szCs w:val="21"/>
              </w:rPr>
              <w:t>。</w:t>
            </w:r>
          </w:p>
          <w:p>
            <w:pPr>
              <w:widowControl/>
              <w:textAlignment w:val="top"/>
              <w:rPr>
                <w:rFonts w:ascii="仿宋" w:hAnsi="仿宋" w:eastAsia="仿宋" w:cs="仿宋_GB2312"/>
                <w:szCs w:val="21"/>
              </w:rPr>
            </w:pPr>
            <w:r>
              <w:rPr>
                <w:rFonts w:hint="eastAsia" w:ascii="仿宋" w:hAnsi="仿宋" w:eastAsia="仿宋" w:cs="仿宋_GB2312"/>
                <w:szCs w:val="21"/>
              </w:rPr>
              <w:t>3.中评分标准：项目进度保障措施不够合理，有效性低，保密安全措施不全面，得1</w:t>
            </w:r>
            <w:r>
              <w:rPr>
                <w:rFonts w:hint="eastAsia" w:ascii="仿宋" w:hAnsi="仿宋" w:eastAsia="仿宋" w:cs="仿宋_GB2312"/>
                <w:bCs/>
                <w:kern w:val="0"/>
                <w:szCs w:val="21"/>
                <w:lang w:bidi="ar"/>
              </w:rPr>
              <w:t>分</w:t>
            </w:r>
            <w:r>
              <w:rPr>
                <w:rFonts w:hint="eastAsia" w:ascii="仿宋" w:hAnsi="仿宋" w:eastAsia="仿宋" w:cs="仿宋_GB2312"/>
                <w:szCs w:val="21"/>
              </w:rPr>
              <w:t>。</w:t>
            </w:r>
          </w:p>
          <w:p>
            <w:pPr>
              <w:widowControl/>
              <w:textAlignment w:val="top"/>
              <w:rPr>
                <w:rFonts w:ascii="仿宋" w:hAnsi="仿宋" w:eastAsia="仿宋" w:cs="仿宋_GB2312"/>
                <w:szCs w:val="21"/>
              </w:rPr>
            </w:pPr>
            <w:r>
              <w:rPr>
                <w:rFonts w:hint="eastAsia" w:ascii="仿宋" w:hAnsi="仿宋" w:eastAsia="仿宋" w:cs="仿宋_GB2312"/>
                <w:szCs w:val="21"/>
              </w:rPr>
              <w:t>4.差评分标准：项目进度保障措施完全偏离进度要求，措施覆盖面低、不全面，缺乏有效性，不得分。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jc w:val="center"/>
        </w:trPr>
        <w:tc>
          <w:tcPr>
            <w:tcW w:w="515" w:type="dxa"/>
            <w:vMerge w:val="continue"/>
            <w:shd w:val="clear" w:color="auto" w:fill="auto"/>
            <w:vAlign w:val="center"/>
          </w:tcPr>
          <w:p>
            <w:pPr>
              <w:widowControl/>
              <w:jc w:val="left"/>
              <w:rPr>
                <w:rFonts w:ascii="仿宋" w:hAnsi="仿宋" w:eastAsia="仿宋" w:cs="仿宋_GB2312"/>
                <w:color w:val="000000"/>
                <w:sz w:val="24"/>
              </w:rPr>
            </w:pPr>
          </w:p>
        </w:tc>
        <w:tc>
          <w:tcPr>
            <w:tcW w:w="731" w:type="dxa"/>
            <w:shd w:val="clear" w:color="auto" w:fill="auto"/>
            <w:vAlign w:val="center"/>
          </w:tcPr>
          <w:p>
            <w:pPr>
              <w:spacing w:after="60"/>
              <w:jc w:val="center"/>
              <w:rPr>
                <w:rFonts w:ascii="仿宋" w:hAnsi="仿宋" w:eastAsia="仿宋" w:cs="仿宋_GB2312"/>
                <w:szCs w:val="21"/>
              </w:rPr>
            </w:pPr>
            <w:r>
              <w:rPr>
                <w:rFonts w:hint="eastAsia" w:ascii="仿宋" w:hAnsi="仿宋" w:eastAsia="仿宋" w:cs="仿宋_GB2312"/>
                <w:szCs w:val="21"/>
              </w:rPr>
              <w:t>4</w:t>
            </w:r>
          </w:p>
        </w:tc>
        <w:tc>
          <w:tcPr>
            <w:tcW w:w="1130" w:type="dxa"/>
            <w:shd w:val="clear" w:color="auto" w:fill="auto"/>
            <w:vAlign w:val="center"/>
          </w:tcPr>
          <w:p>
            <w:pPr>
              <w:jc w:val="center"/>
              <w:rPr>
                <w:rFonts w:ascii="仿宋" w:hAnsi="仿宋" w:eastAsia="仿宋" w:cs="仿宋_GB2312"/>
                <w:szCs w:val="21"/>
              </w:rPr>
            </w:pPr>
            <w:r>
              <w:rPr>
                <w:rFonts w:hint="eastAsia" w:ascii="仿宋" w:hAnsi="仿宋" w:eastAsia="仿宋" w:cs="仿宋_GB2312"/>
                <w:szCs w:val="21"/>
              </w:rPr>
              <w:t>项目完成（服务期满）后的服务承诺</w:t>
            </w:r>
          </w:p>
        </w:tc>
        <w:tc>
          <w:tcPr>
            <w:tcW w:w="795" w:type="dxa"/>
            <w:shd w:val="clear" w:color="auto" w:fill="auto"/>
            <w:vAlign w:val="center"/>
          </w:tcPr>
          <w:p>
            <w:pPr>
              <w:jc w:val="center"/>
              <w:rPr>
                <w:rFonts w:ascii="仿宋" w:hAnsi="仿宋" w:eastAsia="仿宋" w:cs="仿宋_GB2312"/>
                <w:szCs w:val="21"/>
              </w:rPr>
            </w:pPr>
            <w:r>
              <w:rPr>
                <w:rFonts w:hint="eastAsia" w:ascii="仿宋" w:hAnsi="仿宋" w:eastAsia="仿宋" w:cs="仿宋_GB2312"/>
                <w:szCs w:val="21"/>
              </w:rPr>
              <w:t>5</w:t>
            </w:r>
          </w:p>
        </w:tc>
        <w:tc>
          <w:tcPr>
            <w:tcW w:w="6418" w:type="dxa"/>
            <w:gridSpan w:val="2"/>
            <w:shd w:val="clear" w:color="auto" w:fill="auto"/>
          </w:tcPr>
          <w:p>
            <w:pPr>
              <w:widowControl/>
              <w:textAlignment w:val="top"/>
              <w:rPr>
                <w:rFonts w:ascii="仿宋" w:hAnsi="仿宋" w:eastAsia="仿宋" w:cs="仿宋_GB2312"/>
                <w:b/>
                <w:bCs/>
                <w:szCs w:val="21"/>
              </w:rPr>
            </w:pPr>
            <w:r>
              <w:rPr>
                <w:rFonts w:hint="eastAsia" w:ascii="仿宋" w:hAnsi="仿宋" w:eastAsia="仿宋" w:cs="仿宋_GB2312"/>
                <w:b/>
                <w:bCs/>
                <w:szCs w:val="21"/>
              </w:rPr>
              <w:t>（一）评分内容</w:t>
            </w:r>
          </w:p>
          <w:p>
            <w:pPr>
              <w:widowControl/>
              <w:textAlignment w:val="top"/>
              <w:rPr>
                <w:rFonts w:ascii="仿宋" w:hAnsi="仿宋" w:eastAsia="仿宋" w:cs="仿宋_GB2312"/>
                <w:kern w:val="0"/>
                <w:szCs w:val="21"/>
                <w:lang w:bidi="ar"/>
              </w:rPr>
            </w:pPr>
            <w:r>
              <w:rPr>
                <w:rFonts w:hint="eastAsia" w:ascii="仿宋" w:hAnsi="仿宋" w:eastAsia="仿宋" w:cs="仿宋_GB2312"/>
                <w:kern w:val="0"/>
                <w:szCs w:val="21"/>
                <w:lang w:bidi="ar"/>
              </w:rPr>
              <w:t>1.提供详细的售后服务承诺书；</w:t>
            </w:r>
          </w:p>
          <w:p>
            <w:pPr>
              <w:widowControl/>
              <w:textAlignment w:val="top"/>
              <w:rPr>
                <w:rFonts w:ascii="仿宋" w:hAnsi="仿宋" w:eastAsia="仿宋" w:cs="仿宋_GB2312"/>
                <w:kern w:val="0"/>
                <w:szCs w:val="21"/>
                <w:lang w:bidi="ar"/>
              </w:rPr>
            </w:pPr>
            <w:r>
              <w:rPr>
                <w:rFonts w:hint="eastAsia" w:ascii="仿宋" w:hAnsi="仿宋" w:eastAsia="仿宋" w:cs="仿宋_GB2312"/>
                <w:kern w:val="0"/>
                <w:szCs w:val="21"/>
                <w:lang w:bidi="ar"/>
              </w:rPr>
              <w:t>2.售后服务内容明确且符合项目需要；</w:t>
            </w:r>
          </w:p>
          <w:p>
            <w:pPr>
              <w:widowControl/>
              <w:textAlignment w:val="top"/>
              <w:rPr>
                <w:rFonts w:ascii="仿宋" w:hAnsi="仿宋" w:eastAsia="仿宋" w:cs="仿宋_GB2312"/>
                <w:kern w:val="0"/>
                <w:szCs w:val="21"/>
                <w:lang w:bidi="ar"/>
              </w:rPr>
            </w:pPr>
            <w:r>
              <w:rPr>
                <w:rFonts w:hint="eastAsia" w:ascii="仿宋" w:hAnsi="仿宋" w:eastAsia="仿宋" w:cs="仿宋_GB2312"/>
                <w:kern w:val="0"/>
                <w:szCs w:val="21"/>
                <w:lang w:bidi="ar"/>
              </w:rPr>
              <w:t>3.安排专人负责标准技术咨询，并提供其联系手机、电话、传真、Email。</w:t>
            </w:r>
          </w:p>
          <w:p>
            <w:pPr>
              <w:widowControl/>
              <w:textAlignment w:val="top"/>
              <w:rPr>
                <w:rFonts w:ascii="仿宋" w:hAnsi="仿宋" w:eastAsia="仿宋" w:cs="仿宋_GB2312"/>
                <w:b/>
                <w:bCs/>
                <w:szCs w:val="21"/>
              </w:rPr>
            </w:pPr>
            <w:r>
              <w:rPr>
                <w:rFonts w:hint="eastAsia" w:ascii="仿宋" w:hAnsi="仿宋" w:eastAsia="仿宋" w:cs="仿宋_GB2312"/>
                <w:b/>
                <w:bCs/>
                <w:szCs w:val="21"/>
              </w:rPr>
              <w:t>（二）评分标准</w:t>
            </w:r>
          </w:p>
          <w:p>
            <w:pPr>
              <w:widowControl/>
              <w:textAlignment w:val="top"/>
              <w:rPr>
                <w:rFonts w:ascii="仿宋" w:hAnsi="仿宋" w:eastAsia="仿宋" w:cs="仿宋_GB2312"/>
                <w:bCs/>
                <w:kern w:val="0"/>
                <w:szCs w:val="21"/>
                <w:lang w:bidi="ar"/>
              </w:rPr>
            </w:pPr>
            <w:r>
              <w:rPr>
                <w:rFonts w:hint="eastAsia" w:ascii="仿宋" w:hAnsi="仿宋" w:eastAsia="仿宋" w:cs="仿宋_GB2312"/>
                <w:bCs/>
                <w:kern w:val="0"/>
                <w:szCs w:val="21"/>
                <w:lang w:bidi="ar"/>
              </w:rPr>
              <w:t>内容包含以上三项要求的得3分，每缺少一项内容扣1分；在此基础上对投标人响应情况进行分档评分：</w:t>
            </w:r>
          </w:p>
          <w:p>
            <w:pPr>
              <w:widowControl/>
              <w:textAlignment w:val="top"/>
              <w:rPr>
                <w:rFonts w:ascii="仿宋" w:hAnsi="仿宋" w:eastAsia="仿宋" w:cs="仿宋_GB2312"/>
                <w:kern w:val="0"/>
                <w:szCs w:val="21"/>
                <w:lang w:bidi="ar"/>
              </w:rPr>
            </w:pPr>
            <w:r>
              <w:rPr>
                <w:rFonts w:hint="eastAsia" w:ascii="仿宋" w:hAnsi="仿宋" w:eastAsia="仿宋" w:cs="仿宋_GB2312"/>
                <w:kern w:val="0"/>
                <w:szCs w:val="21"/>
                <w:lang w:bidi="ar"/>
              </w:rPr>
              <w:t>1.优评分标准：服务承诺完整、完善，承诺内容全面可信，有明确的服务时限，得2</w:t>
            </w:r>
            <w:r>
              <w:rPr>
                <w:rFonts w:hint="eastAsia" w:ascii="仿宋" w:hAnsi="仿宋" w:eastAsia="仿宋" w:cs="仿宋_GB2312"/>
                <w:bCs/>
                <w:kern w:val="0"/>
                <w:szCs w:val="21"/>
                <w:lang w:bidi="ar"/>
              </w:rPr>
              <w:t>分</w:t>
            </w:r>
            <w:r>
              <w:rPr>
                <w:rFonts w:hint="eastAsia" w:ascii="仿宋" w:hAnsi="仿宋" w:eastAsia="仿宋" w:cs="仿宋_GB2312"/>
                <w:kern w:val="0"/>
                <w:szCs w:val="21"/>
                <w:lang w:bidi="ar"/>
              </w:rPr>
              <w:t>。</w:t>
            </w:r>
          </w:p>
          <w:p>
            <w:pPr>
              <w:widowControl/>
              <w:textAlignment w:val="top"/>
              <w:rPr>
                <w:rFonts w:ascii="仿宋" w:hAnsi="仿宋" w:eastAsia="仿宋" w:cs="仿宋_GB2312"/>
                <w:kern w:val="0"/>
                <w:szCs w:val="21"/>
                <w:lang w:bidi="ar"/>
              </w:rPr>
            </w:pPr>
            <w:r>
              <w:rPr>
                <w:rFonts w:hint="eastAsia" w:ascii="仿宋" w:hAnsi="仿宋" w:eastAsia="仿宋" w:cs="仿宋_GB2312"/>
                <w:kern w:val="0"/>
                <w:szCs w:val="21"/>
                <w:lang w:bidi="ar"/>
              </w:rPr>
              <w:t>2.良评分标准：服务承诺完整，承诺内容可信，服务时限模糊，得</w:t>
            </w:r>
            <w:r>
              <w:rPr>
                <w:rFonts w:hint="eastAsia" w:ascii="仿宋" w:hAnsi="仿宋" w:eastAsia="仿宋" w:cs="仿宋_GB2312"/>
                <w:bCs/>
                <w:kern w:val="0"/>
                <w:szCs w:val="21"/>
                <w:lang w:bidi="ar"/>
              </w:rPr>
              <w:t>1分</w:t>
            </w:r>
            <w:r>
              <w:rPr>
                <w:rFonts w:hint="eastAsia" w:ascii="仿宋" w:hAnsi="仿宋" w:eastAsia="仿宋" w:cs="仿宋_GB2312"/>
                <w:kern w:val="0"/>
                <w:szCs w:val="21"/>
                <w:lang w:bidi="ar"/>
              </w:rPr>
              <w:t>。</w:t>
            </w:r>
          </w:p>
          <w:p>
            <w:pPr>
              <w:widowControl/>
              <w:textAlignment w:val="top"/>
              <w:rPr>
                <w:rFonts w:ascii="仿宋" w:hAnsi="仿宋" w:eastAsia="仿宋" w:cs="仿宋_GB2312"/>
                <w:kern w:val="0"/>
                <w:szCs w:val="21"/>
                <w:lang w:bidi="ar"/>
              </w:rPr>
            </w:pPr>
            <w:r>
              <w:rPr>
                <w:rFonts w:hint="eastAsia" w:ascii="仿宋" w:hAnsi="仿宋" w:eastAsia="仿宋" w:cs="仿宋_GB2312"/>
                <w:kern w:val="0"/>
                <w:szCs w:val="21"/>
                <w:lang w:bidi="ar"/>
              </w:rPr>
              <w:t>3.中评分标准：服务承诺有缺漏，承诺可信度底，服务时限模糊甚至无标明，得</w:t>
            </w:r>
            <w:r>
              <w:rPr>
                <w:rFonts w:hint="eastAsia" w:ascii="仿宋" w:hAnsi="仿宋" w:eastAsia="仿宋" w:cs="仿宋_GB2312"/>
                <w:bCs/>
                <w:kern w:val="0"/>
                <w:szCs w:val="21"/>
                <w:lang w:bidi="ar"/>
              </w:rPr>
              <w:t>0.5分</w:t>
            </w:r>
            <w:r>
              <w:rPr>
                <w:rFonts w:hint="eastAsia" w:ascii="仿宋" w:hAnsi="仿宋" w:eastAsia="仿宋" w:cs="仿宋_GB2312"/>
                <w:kern w:val="0"/>
                <w:szCs w:val="21"/>
                <w:lang w:bidi="ar"/>
              </w:rPr>
              <w:t>。</w:t>
            </w:r>
          </w:p>
          <w:p>
            <w:pPr>
              <w:widowControl/>
              <w:textAlignment w:val="top"/>
              <w:rPr>
                <w:rFonts w:ascii="仿宋" w:hAnsi="仿宋" w:eastAsia="仿宋" w:cs="仿宋_GB2312"/>
                <w:szCs w:val="21"/>
              </w:rPr>
            </w:pPr>
            <w:r>
              <w:rPr>
                <w:rFonts w:hint="eastAsia" w:ascii="仿宋" w:hAnsi="仿宋" w:eastAsia="仿宋" w:cs="仿宋_GB2312"/>
                <w:kern w:val="0"/>
                <w:szCs w:val="21"/>
                <w:lang w:bidi="ar"/>
              </w:rPr>
              <w:t>4.差评分标准：服务承诺严重缺漏，无可信度，无服务时限，不得</w:t>
            </w:r>
            <w:r>
              <w:rPr>
                <w:rFonts w:hint="eastAsia" w:ascii="仿宋" w:hAnsi="仿宋" w:eastAsia="仿宋" w:cs="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3</w:t>
            </w:r>
          </w:p>
        </w:tc>
        <w:tc>
          <w:tcPr>
            <w:tcW w:w="2656" w:type="dxa"/>
            <w:gridSpan w:val="3"/>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商务部分</w:t>
            </w:r>
          </w:p>
        </w:tc>
        <w:tc>
          <w:tcPr>
            <w:tcW w:w="6418" w:type="dxa"/>
            <w:gridSpan w:val="2"/>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15" w:type="dxa"/>
            <w:vMerge w:val="restart"/>
            <w:shd w:val="clear" w:color="auto" w:fill="auto"/>
          </w:tcPr>
          <w:p>
            <w:pPr>
              <w:jc w:val="center"/>
              <w:rPr>
                <w:rFonts w:ascii="仿宋" w:hAnsi="仿宋" w:eastAsia="仿宋" w:cs="仿宋"/>
                <w:b/>
                <w:color w:val="000000"/>
                <w:sz w:val="24"/>
              </w:rPr>
            </w:pPr>
          </w:p>
        </w:tc>
        <w:tc>
          <w:tcPr>
            <w:tcW w:w="731" w:type="dxa"/>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行号</w:t>
            </w:r>
          </w:p>
        </w:tc>
        <w:tc>
          <w:tcPr>
            <w:tcW w:w="1130" w:type="dxa"/>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内容</w:t>
            </w:r>
          </w:p>
        </w:tc>
        <w:tc>
          <w:tcPr>
            <w:tcW w:w="795" w:type="dxa"/>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权重</w:t>
            </w:r>
          </w:p>
        </w:tc>
        <w:tc>
          <w:tcPr>
            <w:tcW w:w="6418" w:type="dxa"/>
            <w:gridSpan w:val="2"/>
            <w:shd w:val="clear" w:color="auto" w:fill="auto"/>
          </w:tcPr>
          <w:p>
            <w:pPr>
              <w:jc w:val="center"/>
              <w:rPr>
                <w:rFonts w:ascii="仿宋" w:hAnsi="仿宋" w:eastAsia="仿宋" w:cs="仿宋"/>
                <w:b/>
                <w:color w:val="000000"/>
                <w:sz w:val="24"/>
              </w:rPr>
            </w:pPr>
            <w:r>
              <w:rPr>
                <w:rFonts w:hint="eastAsia" w:ascii="仿宋" w:hAnsi="仿宋" w:eastAsia="仿宋" w:cs="仿宋"/>
                <w:b/>
                <w:color w:val="00000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15" w:type="dxa"/>
            <w:vMerge w:val="continue"/>
            <w:shd w:val="clear" w:color="auto" w:fill="auto"/>
          </w:tcPr>
          <w:p>
            <w:pPr>
              <w:jc w:val="center"/>
              <w:rPr>
                <w:rFonts w:ascii="仿宋" w:hAnsi="仿宋" w:eastAsia="仿宋" w:cs="仿宋_GB2312"/>
                <w:b/>
                <w:color w:val="000000"/>
                <w:sz w:val="24"/>
              </w:rPr>
            </w:pPr>
          </w:p>
        </w:tc>
        <w:tc>
          <w:tcPr>
            <w:tcW w:w="731"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1130" w:type="dxa"/>
            <w:shd w:val="clear" w:color="auto" w:fill="auto"/>
            <w:vAlign w:val="center"/>
          </w:tcPr>
          <w:p>
            <w:pPr>
              <w:jc w:val="center"/>
              <w:rPr>
                <w:rFonts w:ascii="仿宋" w:hAnsi="仿宋" w:eastAsia="仿宋"/>
                <w:szCs w:val="21"/>
              </w:rPr>
            </w:pPr>
            <w:r>
              <w:rPr>
                <w:rFonts w:hint="eastAsia" w:ascii="仿宋" w:hAnsi="仿宋" w:eastAsia="仿宋"/>
                <w:szCs w:val="21"/>
              </w:rPr>
              <w:t>投标人资质情况</w:t>
            </w:r>
          </w:p>
        </w:tc>
        <w:tc>
          <w:tcPr>
            <w:tcW w:w="795" w:type="dxa"/>
            <w:shd w:val="clear" w:color="auto" w:fill="auto"/>
            <w:vAlign w:val="center"/>
          </w:tcPr>
          <w:p>
            <w:pPr>
              <w:jc w:val="center"/>
              <w:rPr>
                <w:rFonts w:ascii="仿宋" w:hAnsi="仿宋" w:eastAsia="仿宋"/>
                <w:szCs w:val="21"/>
              </w:rPr>
            </w:pPr>
            <w:r>
              <w:rPr>
                <w:rFonts w:hint="eastAsia" w:ascii="仿宋" w:hAnsi="仿宋" w:eastAsia="仿宋" w:cs="宋体"/>
                <w:szCs w:val="21"/>
              </w:rPr>
              <w:t>4</w:t>
            </w:r>
          </w:p>
        </w:tc>
        <w:tc>
          <w:tcPr>
            <w:tcW w:w="6418" w:type="dxa"/>
            <w:gridSpan w:val="2"/>
            <w:shd w:val="clear" w:color="auto" w:fill="auto"/>
            <w:vAlign w:val="center"/>
          </w:tcPr>
          <w:p>
            <w:pPr>
              <w:autoSpaceDE w:val="0"/>
              <w:autoSpaceDN w:val="0"/>
              <w:adjustRightInd w:val="0"/>
              <w:rPr>
                <w:rFonts w:ascii="仿宋" w:hAnsi="仿宋" w:eastAsia="仿宋"/>
                <w:szCs w:val="21"/>
              </w:rPr>
            </w:pPr>
            <w:r>
              <w:rPr>
                <w:rFonts w:hint="eastAsia" w:ascii="仿宋" w:hAnsi="仿宋" w:eastAsia="仿宋"/>
                <w:b/>
                <w:bCs/>
                <w:szCs w:val="21"/>
              </w:rPr>
              <w:t>（一）评分内容：</w:t>
            </w:r>
            <w:r>
              <w:rPr>
                <w:rFonts w:ascii="仿宋" w:hAnsi="仿宋" w:eastAsia="仿宋"/>
                <w:szCs w:val="21"/>
              </w:rPr>
              <w:t xml:space="preserve"> </w:t>
            </w:r>
          </w:p>
          <w:p>
            <w:pPr>
              <w:autoSpaceDE w:val="0"/>
              <w:autoSpaceDN w:val="0"/>
              <w:adjustRightInd w:val="0"/>
              <w:rPr>
                <w:rFonts w:ascii="仿宋" w:hAnsi="仿宋" w:eastAsia="仿宋"/>
                <w:szCs w:val="21"/>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投标人具备甲级城乡规划编制资质证书的，得2分；否则不得分；（提供证书复印件加盖投标人公章，原件备查。）</w:t>
            </w:r>
          </w:p>
          <w:p>
            <w:pPr>
              <w:autoSpaceDE w:val="0"/>
              <w:autoSpaceDN w:val="0"/>
              <w:adjustRightInd w:val="0"/>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投标人具备乙级及以上土地规划机构等级证书的，得2分；否则不得分；（提供证书复印件加盖投标人公章，原件备查。）</w:t>
            </w:r>
          </w:p>
          <w:p>
            <w:pPr>
              <w:wordWrap w:val="0"/>
              <w:rPr>
                <w:rFonts w:ascii="仿宋" w:hAnsi="仿宋" w:eastAsia="仿宋" w:cs="宋体"/>
                <w:b/>
                <w:bCs/>
                <w:szCs w:val="21"/>
              </w:rPr>
            </w:pPr>
            <w:r>
              <w:rPr>
                <w:rFonts w:hint="eastAsia" w:ascii="仿宋" w:hAnsi="仿宋" w:eastAsia="仿宋" w:cs="宋体"/>
                <w:b/>
                <w:bCs/>
                <w:szCs w:val="21"/>
              </w:rPr>
              <w:t>（二）评分依据：</w:t>
            </w:r>
          </w:p>
          <w:p>
            <w:pPr>
              <w:rPr>
                <w:rFonts w:ascii="仿宋" w:hAnsi="仿宋" w:eastAsia="仿宋" w:cs="宋体"/>
                <w:kern w:val="0"/>
                <w:szCs w:val="21"/>
              </w:rPr>
            </w:pPr>
            <w:r>
              <w:rPr>
                <w:rFonts w:hint="eastAsia" w:ascii="仿宋" w:hAnsi="仿宋" w:eastAsia="仿宋" w:cs="宋体"/>
                <w:szCs w:val="21"/>
              </w:rPr>
              <w:t>需提供证书复印件加盖投标人公章，原件备查。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15" w:type="dxa"/>
            <w:vMerge w:val="continue"/>
            <w:shd w:val="clear" w:color="auto" w:fill="auto"/>
          </w:tcPr>
          <w:p>
            <w:pPr>
              <w:jc w:val="center"/>
              <w:rPr>
                <w:rFonts w:ascii="仿宋" w:hAnsi="仿宋" w:eastAsia="仿宋" w:cs="仿宋_GB2312"/>
                <w:b/>
                <w:color w:val="000000"/>
                <w:sz w:val="24"/>
              </w:rPr>
            </w:pPr>
          </w:p>
        </w:tc>
        <w:tc>
          <w:tcPr>
            <w:tcW w:w="731" w:type="dxa"/>
            <w:shd w:val="clear" w:color="auto" w:fill="auto"/>
            <w:vAlign w:val="center"/>
          </w:tcPr>
          <w:p>
            <w:pPr>
              <w:jc w:val="center"/>
              <w:rPr>
                <w:rFonts w:ascii="仿宋" w:hAnsi="仿宋" w:eastAsia="仿宋" w:cs="宋体"/>
                <w:szCs w:val="21"/>
              </w:rPr>
            </w:pPr>
            <w:r>
              <w:rPr>
                <w:rFonts w:ascii="仿宋" w:hAnsi="仿宋" w:eastAsia="仿宋" w:cs="宋体"/>
                <w:szCs w:val="21"/>
              </w:rPr>
              <w:t>2</w:t>
            </w:r>
          </w:p>
        </w:tc>
        <w:tc>
          <w:tcPr>
            <w:tcW w:w="1130" w:type="dxa"/>
            <w:shd w:val="clear" w:color="auto" w:fill="auto"/>
            <w:vAlign w:val="center"/>
          </w:tcPr>
          <w:p>
            <w:pPr>
              <w:jc w:val="center"/>
              <w:rPr>
                <w:rFonts w:ascii="仿宋" w:hAnsi="仿宋" w:eastAsia="仿宋" w:cs="宋体"/>
                <w:szCs w:val="21"/>
              </w:rPr>
            </w:pPr>
            <w:r>
              <w:rPr>
                <w:rFonts w:hint="eastAsia" w:ascii="仿宋" w:hAnsi="仿宋" w:eastAsia="仿宋"/>
                <w:szCs w:val="21"/>
              </w:rPr>
              <w:t>投标人同类项目业绩情况</w:t>
            </w:r>
          </w:p>
        </w:tc>
        <w:tc>
          <w:tcPr>
            <w:tcW w:w="795" w:type="dxa"/>
            <w:shd w:val="clear" w:color="auto" w:fill="auto"/>
            <w:vAlign w:val="center"/>
          </w:tcPr>
          <w:p>
            <w:pPr>
              <w:jc w:val="center"/>
              <w:rPr>
                <w:rFonts w:ascii="仿宋" w:hAnsi="仿宋" w:eastAsia="仿宋" w:cs="宋体"/>
                <w:szCs w:val="21"/>
              </w:rPr>
            </w:pPr>
            <w:r>
              <w:rPr>
                <w:rFonts w:hint="eastAsia" w:ascii="仿宋" w:hAnsi="仿宋" w:eastAsia="仿宋"/>
                <w:szCs w:val="21"/>
              </w:rPr>
              <w:t>16</w:t>
            </w:r>
          </w:p>
        </w:tc>
        <w:tc>
          <w:tcPr>
            <w:tcW w:w="6418" w:type="dxa"/>
            <w:gridSpan w:val="2"/>
            <w:shd w:val="clear" w:color="auto" w:fill="auto"/>
          </w:tcPr>
          <w:p>
            <w:pPr>
              <w:rPr>
                <w:rFonts w:ascii="仿宋" w:hAnsi="仿宋" w:eastAsia="仿宋" w:cs="宋体"/>
                <w:b/>
                <w:bCs/>
                <w:kern w:val="0"/>
                <w:szCs w:val="21"/>
              </w:rPr>
            </w:pPr>
            <w:r>
              <w:rPr>
                <w:rFonts w:hint="eastAsia" w:ascii="仿宋" w:hAnsi="仿宋" w:eastAsia="仿宋" w:cs="宋体"/>
                <w:b/>
                <w:bCs/>
                <w:kern w:val="0"/>
                <w:szCs w:val="21"/>
              </w:rPr>
              <w:t>（一）评分内容：</w:t>
            </w:r>
          </w:p>
          <w:p>
            <w:pPr>
              <w:rPr>
                <w:rFonts w:ascii="仿宋" w:hAnsi="仿宋" w:eastAsia="仿宋" w:cs="宋体"/>
                <w:kern w:val="0"/>
              </w:rPr>
            </w:pPr>
            <w:r>
              <w:rPr>
                <w:rFonts w:hint="eastAsia" w:ascii="仿宋" w:hAnsi="仿宋" w:eastAsia="仿宋" w:cs="宋体"/>
                <w:bCs/>
                <w:szCs w:val="21"/>
              </w:rPr>
              <w:t>1</w:t>
            </w:r>
            <w:r>
              <w:rPr>
                <w:rFonts w:ascii="仿宋" w:hAnsi="仿宋" w:eastAsia="仿宋" w:cs="宋体"/>
                <w:bCs/>
                <w:szCs w:val="21"/>
              </w:rPr>
              <w:t>.</w:t>
            </w:r>
            <w:r>
              <w:rPr>
                <w:rFonts w:ascii="仿宋" w:hAnsi="仿宋" w:eastAsia="仿宋" w:cs="宋体"/>
                <w:szCs w:val="21"/>
              </w:rPr>
              <w:t>2020</w:t>
            </w:r>
            <w:r>
              <w:rPr>
                <w:rFonts w:hint="eastAsia" w:ascii="仿宋" w:hAnsi="仿宋" w:eastAsia="仿宋" w:cs="宋体"/>
                <w:szCs w:val="21"/>
              </w:rPr>
              <w:t>年</w:t>
            </w:r>
            <w:r>
              <w:rPr>
                <w:rFonts w:ascii="仿宋" w:hAnsi="仿宋" w:eastAsia="仿宋" w:cs="宋体"/>
                <w:szCs w:val="21"/>
              </w:rPr>
              <w:t>1月1日至投标截止日（以合同签订时间为准），承接过</w:t>
            </w:r>
            <w:r>
              <w:rPr>
                <w:rFonts w:hint="eastAsia" w:ascii="仿宋" w:hAnsi="仿宋" w:eastAsia="仿宋" w:cs="宋体"/>
                <w:szCs w:val="21"/>
              </w:rPr>
              <w:t>区级及以上区域土地供应计划项目的（合同名称需明确含有“土地供应”以及“计划”或“分布指引”或“前期研究”字样或合同内包含相关工作内容），每项得</w:t>
            </w:r>
            <w:r>
              <w:rPr>
                <w:rFonts w:ascii="仿宋" w:hAnsi="仿宋" w:eastAsia="仿宋" w:cs="宋体"/>
                <w:szCs w:val="21"/>
              </w:rPr>
              <w:t>2</w:t>
            </w:r>
            <w:r>
              <w:rPr>
                <w:rFonts w:hint="eastAsia" w:ascii="仿宋" w:hAnsi="仿宋" w:eastAsia="仿宋" w:cs="宋体"/>
                <w:szCs w:val="21"/>
              </w:rPr>
              <w:t>分，最高得</w:t>
            </w:r>
            <w:r>
              <w:rPr>
                <w:rFonts w:ascii="仿宋" w:hAnsi="仿宋" w:eastAsia="仿宋" w:cs="宋体"/>
                <w:szCs w:val="21"/>
              </w:rPr>
              <w:t>10</w:t>
            </w:r>
            <w:r>
              <w:rPr>
                <w:rFonts w:hint="eastAsia" w:ascii="仿宋" w:hAnsi="仿宋" w:eastAsia="仿宋" w:cs="宋体"/>
                <w:szCs w:val="21"/>
              </w:rPr>
              <w:t>分；</w:t>
            </w:r>
          </w:p>
          <w:p>
            <w:pPr>
              <w:pStyle w:val="2"/>
              <w:spacing w:after="0"/>
              <w:rPr>
                <w:rFonts w:ascii="仿宋" w:hAnsi="仿宋" w:eastAsia="仿宋" w:cs="宋体"/>
                <w:kern w:val="2"/>
                <w:sz w:val="21"/>
                <w:szCs w:val="21"/>
              </w:rPr>
            </w:pPr>
            <w:r>
              <w:rPr>
                <w:rFonts w:hint="eastAsia" w:ascii="仿宋" w:hAnsi="仿宋" w:eastAsia="仿宋" w:cs="宋体"/>
                <w:kern w:val="2"/>
                <w:sz w:val="21"/>
                <w:szCs w:val="21"/>
              </w:rPr>
              <w:t>2.2020年1月1日至投标截止日（以合同签订时间为准），承接过</w:t>
            </w:r>
            <w:r>
              <w:rPr>
                <w:rFonts w:hint="eastAsia" w:ascii="仿宋" w:hAnsi="仿宋" w:eastAsia="仿宋" w:cs="宋体"/>
                <w:szCs w:val="21"/>
              </w:rPr>
              <w:t>区级及以上区域</w:t>
            </w:r>
            <w:r>
              <w:rPr>
                <w:rFonts w:hint="eastAsia" w:ascii="仿宋" w:hAnsi="仿宋" w:eastAsia="仿宋" w:cs="宋体"/>
                <w:kern w:val="2"/>
                <w:sz w:val="21"/>
                <w:szCs w:val="21"/>
              </w:rPr>
              <w:t>土地管理项目的（合同名称须含有“土地”及“技术服务”字样</w:t>
            </w:r>
            <w:r>
              <w:rPr>
                <w:rFonts w:hint="eastAsia" w:ascii="仿宋" w:hAnsi="仿宋" w:eastAsia="仿宋" w:cs="宋体"/>
                <w:szCs w:val="21"/>
              </w:rPr>
              <w:t>或合同内包含相关工作内容</w:t>
            </w:r>
            <w:r>
              <w:rPr>
                <w:rFonts w:hint="eastAsia" w:ascii="仿宋" w:hAnsi="仿宋" w:eastAsia="仿宋" w:cs="宋体"/>
                <w:kern w:val="2"/>
                <w:sz w:val="21"/>
                <w:szCs w:val="21"/>
              </w:rPr>
              <w:t>），每项得</w:t>
            </w:r>
            <w:r>
              <w:rPr>
                <w:rFonts w:ascii="仿宋" w:hAnsi="仿宋" w:eastAsia="仿宋" w:cs="宋体"/>
                <w:kern w:val="2"/>
                <w:sz w:val="21"/>
                <w:szCs w:val="21"/>
              </w:rPr>
              <w:t>1</w:t>
            </w:r>
            <w:r>
              <w:rPr>
                <w:rFonts w:hint="eastAsia" w:ascii="仿宋" w:hAnsi="仿宋" w:eastAsia="仿宋" w:cs="宋体"/>
                <w:kern w:val="2"/>
                <w:sz w:val="21"/>
                <w:szCs w:val="21"/>
              </w:rPr>
              <w:t>分，最高得</w:t>
            </w:r>
            <w:r>
              <w:rPr>
                <w:rFonts w:ascii="仿宋" w:hAnsi="仿宋" w:eastAsia="仿宋" w:cs="宋体"/>
                <w:kern w:val="2"/>
                <w:sz w:val="21"/>
                <w:szCs w:val="21"/>
              </w:rPr>
              <w:t>6</w:t>
            </w:r>
            <w:r>
              <w:rPr>
                <w:rFonts w:hint="eastAsia" w:ascii="仿宋" w:hAnsi="仿宋" w:eastAsia="仿宋" w:cs="宋体"/>
                <w:kern w:val="2"/>
                <w:sz w:val="21"/>
                <w:szCs w:val="21"/>
              </w:rPr>
              <w:t>分；</w:t>
            </w:r>
          </w:p>
          <w:p>
            <w:pPr>
              <w:rPr>
                <w:rFonts w:ascii="仿宋" w:hAnsi="仿宋" w:eastAsia="仿宋" w:cs="宋体"/>
                <w:b/>
                <w:bCs/>
                <w:kern w:val="0"/>
                <w:szCs w:val="21"/>
              </w:rPr>
            </w:pPr>
            <w:r>
              <w:rPr>
                <w:rFonts w:hint="eastAsia" w:ascii="仿宋" w:hAnsi="仿宋" w:eastAsia="仿宋" w:cs="宋体"/>
                <w:b/>
                <w:bCs/>
                <w:kern w:val="0"/>
                <w:szCs w:val="21"/>
              </w:rPr>
              <w:t>（二）评分依据：</w:t>
            </w:r>
          </w:p>
          <w:p>
            <w:pPr>
              <w:rPr>
                <w:rFonts w:ascii="仿宋" w:hAnsi="仿宋" w:eastAsia="仿宋" w:cs="宋体"/>
                <w:kern w:val="0"/>
                <w:szCs w:val="21"/>
              </w:rPr>
            </w:pPr>
            <w:r>
              <w:rPr>
                <w:rFonts w:ascii="仿宋" w:hAnsi="仿宋" w:eastAsia="仿宋" w:cs="宋体"/>
                <w:kern w:val="0"/>
                <w:szCs w:val="21"/>
              </w:rPr>
              <w:t>1.要求提供合同关键页（关键信息包含不限于合同合作双方盖章页、合作时间页、合作内容页等）作为得分依据。</w:t>
            </w:r>
          </w:p>
          <w:p>
            <w:pPr>
              <w:rPr>
                <w:rFonts w:ascii="仿宋" w:hAnsi="仿宋" w:eastAsia="仿宋" w:cs="宋体"/>
                <w:kern w:val="0"/>
                <w:szCs w:val="21"/>
              </w:rPr>
            </w:pPr>
            <w:r>
              <w:rPr>
                <w:rFonts w:ascii="仿宋" w:hAnsi="仿宋" w:eastAsia="仿宋" w:cs="宋体"/>
                <w:kern w:val="0"/>
                <w:szCs w:val="21"/>
              </w:rPr>
              <w:t>2.通过合同关键</w:t>
            </w:r>
            <w:r>
              <w:rPr>
                <w:rFonts w:hint="eastAsia" w:ascii="仿宋" w:hAnsi="仿宋" w:eastAsia="仿宋" w:cs="宋体"/>
                <w:kern w:val="0"/>
                <w:szCs w:val="21"/>
              </w:rPr>
              <w:t>页相关证明材料无法判断是否得分的，还须同时提供能证明得分的其它证明资料。</w:t>
            </w:r>
          </w:p>
          <w:p>
            <w:pPr>
              <w:rPr>
                <w:rFonts w:ascii="仿宋" w:hAnsi="仿宋" w:eastAsia="仿宋" w:cs="宋体"/>
                <w:szCs w:val="21"/>
              </w:rPr>
            </w:pPr>
            <w:r>
              <w:rPr>
                <w:rFonts w:ascii="仿宋" w:hAnsi="仿宋" w:eastAsia="仿宋" w:cs="宋体"/>
                <w:kern w:val="0"/>
                <w:szCs w:val="21"/>
              </w:rPr>
              <w:t>3.以上资料均要求提供复印件加盖投标人公章，原件备查。评分中出现无证明资料或专家无法凭所提供资料判断是否得分的情况，一律作不得分处理。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5" w:type="dxa"/>
            <w:shd w:val="clear" w:color="auto" w:fill="auto"/>
          </w:tcPr>
          <w:p>
            <w:pPr>
              <w:widowControl/>
              <w:jc w:val="left"/>
              <w:rPr>
                <w:rFonts w:ascii="仿宋" w:hAnsi="仿宋" w:eastAsia="仿宋" w:cs="仿宋_GB2312"/>
                <w:color w:val="000000"/>
                <w:sz w:val="24"/>
              </w:rPr>
            </w:pPr>
          </w:p>
        </w:tc>
        <w:tc>
          <w:tcPr>
            <w:tcW w:w="731" w:type="dxa"/>
            <w:shd w:val="clear" w:color="auto" w:fill="auto"/>
            <w:vAlign w:val="center"/>
          </w:tcPr>
          <w:p>
            <w:pPr>
              <w:jc w:val="center"/>
              <w:rPr>
                <w:rFonts w:ascii="仿宋" w:hAnsi="仿宋" w:eastAsia="仿宋" w:cs="宋体"/>
                <w:szCs w:val="21"/>
              </w:rPr>
            </w:pPr>
            <w:r>
              <w:rPr>
                <w:rFonts w:ascii="仿宋" w:hAnsi="仿宋" w:eastAsia="仿宋" w:cs="宋体"/>
                <w:szCs w:val="21"/>
              </w:rPr>
              <w:t>3</w:t>
            </w:r>
          </w:p>
        </w:tc>
        <w:tc>
          <w:tcPr>
            <w:tcW w:w="1130" w:type="dxa"/>
            <w:shd w:val="clear" w:color="auto" w:fill="auto"/>
            <w:vAlign w:val="center"/>
          </w:tcPr>
          <w:p>
            <w:pPr>
              <w:jc w:val="center"/>
              <w:rPr>
                <w:rFonts w:ascii="仿宋" w:hAnsi="仿宋" w:eastAsia="仿宋" w:cs="宋体"/>
                <w:szCs w:val="21"/>
              </w:rPr>
            </w:pPr>
            <w:r>
              <w:rPr>
                <w:rFonts w:hint="eastAsia" w:ascii="仿宋" w:hAnsi="仿宋" w:eastAsia="仿宋"/>
                <w:szCs w:val="21"/>
              </w:rPr>
              <w:t>拟安排的项目负责人情况</w:t>
            </w:r>
            <w:r>
              <w:rPr>
                <w:rFonts w:ascii="仿宋" w:hAnsi="仿宋" w:eastAsia="仿宋"/>
                <w:szCs w:val="21"/>
              </w:rPr>
              <w:t>（仅限1人）</w:t>
            </w:r>
          </w:p>
        </w:tc>
        <w:tc>
          <w:tcPr>
            <w:tcW w:w="795" w:type="dxa"/>
            <w:shd w:val="clear" w:color="auto" w:fill="auto"/>
            <w:vAlign w:val="center"/>
          </w:tcPr>
          <w:p>
            <w:pPr>
              <w:jc w:val="center"/>
              <w:rPr>
                <w:rFonts w:ascii="仿宋" w:hAnsi="仿宋" w:eastAsia="仿宋" w:cs="宋体"/>
                <w:szCs w:val="21"/>
              </w:rPr>
            </w:pPr>
            <w:r>
              <w:rPr>
                <w:rFonts w:hint="eastAsia" w:ascii="仿宋" w:hAnsi="仿宋" w:eastAsia="仿宋" w:cs="宋体"/>
                <w:szCs w:val="21"/>
              </w:rPr>
              <w:t>5</w:t>
            </w:r>
          </w:p>
        </w:tc>
        <w:tc>
          <w:tcPr>
            <w:tcW w:w="6418" w:type="dxa"/>
            <w:gridSpan w:val="2"/>
            <w:shd w:val="clear" w:color="auto" w:fill="auto"/>
          </w:tcPr>
          <w:p>
            <w:pPr>
              <w:pStyle w:val="6"/>
              <w:tabs>
                <w:tab w:val="left" w:pos="4680"/>
              </w:tabs>
              <w:ind w:firstLine="0" w:firstLineChars="0"/>
              <w:rPr>
                <w:rFonts w:ascii="仿宋" w:hAnsi="仿宋" w:eastAsia="仿宋" w:cs="宋体"/>
                <w:b/>
                <w:szCs w:val="21"/>
              </w:rPr>
            </w:pPr>
            <w:r>
              <w:rPr>
                <w:rFonts w:hint="eastAsia" w:ascii="仿宋" w:hAnsi="仿宋" w:eastAsia="仿宋" w:cs="宋体"/>
                <w:b/>
                <w:bCs/>
              </w:rPr>
              <w:t>（一）评分内容：</w:t>
            </w:r>
            <w:r>
              <w:rPr>
                <w:rFonts w:hint="eastAsia" w:ascii="仿宋" w:hAnsi="仿宋" w:eastAsia="仿宋" w:cs="宋体"/>
              </w:rPr>
              <w:t xml:space="preserve"> </w:t>
            </w:r>
          </w:p>
          <w:p>
            <w:pPr>
              <w:pStyle w:val="6"/>
              <w:tabs>
                <w:tab w:val="left" w:pos="4680"/>
              </w:tabs>
              <w:ind w:firstLine="0" w:firstLineChars="0"/>
              <w:rPr>
                <w:rFonts w:ascii="仿宋" w:hAnsi="仿宋" w:eastAsia="仿宋" w:cs="宋体"/>
              </w:rPr>
            </w:pPr>
            <w:r>
              <w:rPr>
                <w:rFonts w:hint="eastAsia" w:ascii="仿宋" w:hAnsi="仿宋" w:eastAsia="仿宋" w:cs="宋体"/>
              </w:rPr>
              <w:t>供应商指定的项目负责人，具有正高级国土高级工程师职称，得</w:t>
            </w:r>
            <w:r>
              <w:rPr>
                <w:rFonts w:ascii="仿宋" w:hAnsi="仿宋" w:eastAsia="仿宋" w:cs="宋体"/>
              </w:rPr>
              <w:t>5分</w:t>
            </w:r>
            <w:r>
              <w:rPr>
                <w:rFonts w:hint="eastAsia" w:ascii="仿宋" w:hAnsi="仿宋" w:eastAsia="仿宋" w:cs="宋体"/>
              </w:rPr>
              <w:t>；</w:t>
            </w:r>
            <w:r>
              <w:rPr>
                <w:rFonts w:ascii="仿宋" w:hAnsi="仿宋" w:eastAsia="仿宋" w:cs="宋体"/>
              </w:rPr>
              <w:t>具有副高</w:t>
            </w:r>
            <w:r>
              <w:rPr>
                <w:rFonts w:hint="eastAsia" w:ascii="仿宋" w:hAnsi="仿宋" w:eastAsia="仿宋" w:cs="宋体"/>
              </w:rPr>
              <w:t>级国土</w:t>
            </w:r>
            <w:r>
              <w:rPr>
                <w:rFonts w:ascii="仿宋" w:hAnsi="仿宋" w:eastAsia="仿宋" w:cs="宋体"/>
              </w:rPr>
              <w:t>高级工程师，得2分</w:t>
            </w:r>
            <w:r>
              <w:rPr>
                <w:rFonts w:hint="eastAsia" w:ascii="仿宋" w:hAnsi="仿宋" w:eastAsia="仿宋" w:cs="宋体"/>
              </w:rPr>
              <w:t>；</w:t>
            </w:r>
            <w:r>
              <w:rPr>
                <w:rFonts w:ascii="仿宋" w:hAnsi="仿宋" w:eastAsia="仿宋" w:cs="宋体"/>
              </w:rPr>
              <w:t>否则0分。</w:t>
            </w:r>
            <w:r>
              <w:rPr>
                <w:rFonts w:ascii="仿宋" w:hAnsi="仿宋" w:eastAsia="仿宋" w:cs="宋体"/>
                <w:szCs w:val="21"/>
              </w:rPr>
              <w:t>本部分最高不超过</w:t>
            </w:r>
            <w:r>
              <w:rPr>
                <w:rFonts w:ascii="仿宋" w:hAnsi="仿宋" w:eastAsia="仿宋" w:cs="宋体"/>
              </w:rPr>
              <w:t>5</w:t>
            </w:r>
            <w:r>
              <w:rPr>
                <w:rFonts w:hint="eastAsia" w:ascii="仿宋" w:hAnsi="仿宋" w:eastAsia="仿宋" w:cs="宋体"/>
              </w:rPr>
              <w:t>分。</w:t>
            </w:r>
          </w:p>
          <w:p>
            <w:pPr>
              <w:pStyle w:val="6"/>
              <w:tabs>
                <w:tab w:val="left" w:pos="4680"/>
              </w:tabs>
              <w:ind w:firstLine="0" w:firstLineChars="0"/>
              <w:rPr>
                <w:rFonts w:ascii="仿宋" w:hAnsi="仿宋" w:eastAsia="仿宋" w:cs="宋体"/>
                <w:b/>
                <w:szCs w:val="21"/>
              </w:rPr>
            </w:pPr>
            <w:r>
              <w:rPr>
                <w:rFonts w:hint="eastAsia" w:ascii="仿宋" w:hAnsi="仿宋" w:eastAsia="仿宋" w:cs="宋体"/>
                <w:b/>
                <w:bCs/>
              </w:rPr>
              <w:t>（二）评分依据：</w:t>
            </w:r>
          </w:p>
          <w:p>
            <w:pPr>
              <w:pStyle w:val="6"/>
              <w:tabs>
                <w:tab w:val="left" w:pos="4680"/>
              </w:tabs>
              <w:ind w:firstLine="0" w:firstLineChars="0"/>
              <w:rPr>
                <w:rFonts w:ascii="仿宋" w:hAnsi="仿宋" w:eastAsia="仿宋" w:cs="宋体"/>
                <w:szCs w:val="21"/>
              </w:rPr>
            </w:pPr>
            <w:r>
              <w:rPr>
                <w:rFonts w:hint="eastAsia" w:ascii="仿宋" w:hAnsi="仿宋" w:eastAsia="仿宋" w:cs="宋体"/>
                <w:szCs w:val="21"/>
              </w:rPr>
              <w:t>需附上有关证明文件，包括近三个月任意一个月（</w:t>
            </w:r>
            <w:r>
              <w:rPr>
                <w:rFonts w:hint="eastAsia" w:ascii="仿宋" w:hAnsi="仿宋" w:eastAsia="仿宋" w:cs="宋体"/>
                <w:kern w:val="0"/>
                <w:szCs w:val="21"/>
              </w:rPr>
              <w:t>2023年</w:t>
            </w:r>
            <w:r>
              <w:rPr>
                <w:rFonts w:hint="eastAsia" w:ascii="仿宋" w:hAnsi="仿宋" w:eastAsia="仿宋" w:cs="宋体"/>
                <w:kern w:val="0"/>
                <w:szCs w:val="21"/>
                <w:lang w:val="en-US" w:eastAsia="zh-CN"/>
              </w:rPr>
              <w:t>12</w:t>
            </w:r>
            <w:r>
              <w:rPr>
                <w:rFonts w:hint="eastAsia" w:ascii="仿宋" w:hAnsi="仿宋" w:eastAsia="仿宋" w:cs="宋体"/>
                <w:kern w:val="0"/>
                <w:szCs w:val="21"/>
              </w:rPr>
              <w:t>月-202</w:t>
            </w:r>
            <w:r>
              <w:rPr>
                <w:rFonts w:hint="eastAsia" w:ascii="仿宋" w:hAnsi="仿宋" w:eastAsia="仿宋" w:cs="宋体"/>
                <w:kern w:val="0"/>
                <w:szCs w:val="21"/>
                <w:lang w:val="en-US" w:eastAsia="zh-CN"/>
              </w:rPr>
              <w:t>4</w:t>
            </w:r>
            <w:r>
              <w:rPr>
                <w:rFonts w:hint="eastAsia" w:ascii="仿宋" w:hAnsi="仿宋" w:eastAsia="仿宋" w:cs="宋体"/>
                <w:kern w:val="0"/>
                <w:szCs w:val="21"/>
              </w:rPr>
              <w:t>年</w:t>
            </w:r>
            <w:r>
              <w:rPr>
                <w:rFonts w:hint="eastAsia" w:ascii="仿宋" w:hAnsi="仿宋" w:eastAsia="仿宋" w:cs="宋体"/>
                <w:kern w:val="0"/>
                <w:szCs w:val="21"/>
                <w:lang w:val="en-US" w:eastAsia="zh-CN"/>
              </w:rPr>
              <w:t>2</w:t>
            </w:r>
            <w:r>
              <w:rPr>
                <w:rFonts w:hint="eastAsia" w:ascii="仿宋" w:hAnsi="仿宋" w:eastAsia="仿宋" w:cs="宋体"/>
                <w:kern w:val="0"/>
                <w:szCs w:val="21"/>
              </w:rPr>
              <w:t>月</w:t>
            </w:r>
            <w:r>
              <w:rPr>
                <w:rFonts w:hint="eastAsia" w:ascii="仿宋" w:hAnsi="仿宋" w:eastAsia="仿宋" w:cs="宋体"/>
                <w:szCs w:val="21"/>
              </w:rPr>
              <w:t>，如供应商为新成立单位且成立时间不足一个月的，可提供加盖公章的情况说明或者证明材料亦视为符合。）社保清单、职称资格证书复印件、获奖证明文件复印件加盖投标人公章。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5" w:type="dxa"/>
            <w:shd w:val="clear" w:color="auto" w:fill="auto"/>
          </w:tcPr>
          <w:p>
            <w:pPr>
              <w:widowControl/>
              <w:jc w:val="left"/>
              <w:rPr>
                <w:rFonts w:ascii="仿宋" w:hAnsi="仿宋" w:eastAsia="仿宋" w:cs="仿宋_GB2312"/>
                <w:color w:val="000000"/>
                <w:sz w:val="24"/>
              </w:rPr>
            </w:pPr>
          </w:p>
        </w:tc>
        <w:tc>
          <w:tcPr>
            <w:tcW w:w="731" w:type="dxa"/>
            <w:shd w:val="clear" w:color="auto" w:fill="auto"/>
            <w:vAlign w:val="center"/>
          </w:tcPr>
          <w:p>
            <w:pPr>
              <w:jc w:val="center"/>
              <w:rPr>
                <w:rFonts w:ascii="仿宋" w:hAnsi="仿宋" w:eastAsia="仿宋" w:cs="宋体"/>
                <w:b/>
                <w:bCs/>
                <w:szCs w:val="21"/>
              </w:rPr>
            </w:pPr>
            <w:r>
              <w:rPr>
                <w:rFonts w:ascii="仿宋" w:hAnsi="仿宋" w:eastAsia="仿宋" w:cs="宋体"/>
                <w:szCs w:val="21"/>
              </w:rPr>
              <w:t>4</w:t>
            </w:r>
          </w:p>
        </w:tc>
        <w:tc>
          <w:tcPr>
            <w:tcW w:w="1130" w:type="dxa"/>
            <w:shd w:val="clear" w:color="auto" w:fill="auto"/>
            <w:vAlign w:val="center"/>
          </w:tcPr>
          <w:p>
            <w:pPr>
              <w:jc w:val="center"/>
              <w:rPr>
                <w:rFonts w:ascii="仿宋" w:hAnsi="仿宋" w:eastAsia="仿宋"/>
              </w:rPr>
            </w:pPr>
            <w:r>
              <w:rPr>
                <w:rFonts w:hint="eastAsia" w:ascii="仿宋" w:hAnsi="仿宋" w:eastAsia="仿宋"/>
                <w:szCs w:val="21"/>
              </w:rPr>
              <w:t>拟安排的项目主要团队成员（主要技术人员）情况（项目负责人除外）</w:t>
            </w:r>
          </w:p>
        </w:tc>
        <w:tc>
          <w:tcPr>
            <w:tcW w:w="795" w:type="dxa"/>
            <w:shd w:val="clear" w:color="auto" w:fill="auto"/>
            <w:vAlign w:val="center"/>
          </w:tcPr>
          <w:p>
            <w:pPr>
              <w:jc w:val="center"/>
              <w:rPr>
                <w:rFonts w:ascii="仿宋" w:hAnsi="仿宋" w:eastAsia="仿宋"/>
              </w:rPr>
            </w:pPr>
            <w:r>
              <w:rPr>
                <w:rFonts w:ascii="仿宋" w:hAnsi="仿宋" w:eastAsia="仿宋"/>
              </w:rPr>
              <w:t>2</w:t>
            </w:r>
            <w:r>
              <w:rPr>
                <w:rFonts w:hint="eastAsia" w:ascii="仿宋" w:hAnsi="仿宋" w:eastAsia="仿宋"/>
              </w:rPr>
              <w:t>0</w:t>
            </w:r>
          </w:p>
        </w:tc>
        <w:tc>
          <w:tcPr>
            <w:tcW w:w="6418" w:type="dxa"/>
            <w:gridSpan w:val="2"/>
            <w:shd w:val="clear" w:color="auto" w:fill="auto"/>
          </w:tcPr>
          <w:p>
            <w:pPr>
              <w:pStyle w:val="6"/>
              <w:tabs>
                <w:tab w:val="left" w:pos="4680"/>
              </w:tabs>
              <w:ind w:firstLine="0" w:firstLineChars="0"/>
              <w:rPr>
                <w:rFonts w:ascii="仿宋" w:hAnsi="仿宋" w:eastAsia="仿宋" w:cs="宋体"/>
                <w:b/>
                <w:szCs w:val="21"/>
              </w:rPr>
            </w:pPr>
            <w:r>
              <w:rPr>
                <w:rFonts w:hint="eastAsia" w:ascii="仿宋" w:hAnsi="仿宋" w:eastAsia="仿宋" w:cs="宋体"/>
                <w:b/>
                <w:bCs/>
              </w:rPr>
              <w:t>（一）</w:t>
            </w:r>
            <w:r>
              <w:rPr>
                <w:rFonts w:hint="eastAsia" w:ascii="仿宋" w:hAnsi="仿宋" w:eastAsia="仿宋" w:cs="宋体"/>
                <w:b/>
              </w:rPr>
              <w:t>评分内容：</w:t>
            </w:r>
          </w:p>
          <w:p>
            <w:pPr>
              <w:pStyle w:val="6"/>
              <w:tabs>
                <w:tab w:val="left" w:pos="4680"/>
              </w:tabs>
              <w:ind w:firstLine="0" w:firstLineChars="0"/>
              <w:rPr>
                <w:rFonts w:ascii="仿宋" w:hAnsi="仿宋" w:eastAsia="仿宋" w:cs="宋体"/>
              </w:rPr>
            </w:pPr>
            <w:r>
              <w:rPr>
                <w:rFonts w:hint="eastAsia" w:ascii="仿宋" w:hAnsi="仿宋" w:eastAsia="仿宋" w:cs="宋体"/>
              </w:rPr>
              <w:t>团队成员不少于</w:t>
            </w:r>
            <w:r>
              <w:rPr>
                <w:rFonts w:ascii="仿宋" w:hAnsi="仿宋" w:eastAsia="仿宋" w:cs="宋体"/>
              </w:rPr>
              <w:t>10人，应具备本科或以上学历</w:t>
            </w:r>
            <w:r>
              <w:rPr>
                <w:rFonts w:hint="eastAsia" w:ascii="仿宋" w:hAnsi="仿宋" w:eastAsia="仿宋" w:cs="宋体"/>
              </w:rPr>
              <w:t>。</w:t>
            </w:r>
          </w:p>
          <w:p>
            <w:pPr>
              <w:rPr>
                <w:rFonts w:ascii="仿宋" w:hAnsi="仿宋" w:eastAsia="仿宋" w:cs="宋体"/>
                <w:kern w:val="0"/>
              </w:rPr>
            </w:pPr>
            <w:r>
              <w:rPr>
                <w:rFonts w:hint="eastAsia" w:ascii="仿宋" w:hAnsi="仿宋" w:eastAsia="仿宋" w:cs="宋体"/>
                <w:kern w:val="0"/>
                <w:szCs w:val="21"/>
              </w:rPr>
              <w:t>1</w:t>
            </w:r>
            <w:r>
              <w:rPr>
                <w:rFonts w:ascii="仿宋" w:hAnsi="仿宋" w:eastAsia="仿宋" w:cs="宋体"/>
                <w:kern w:val="0"/>
                <w:szCs w:val="21"/>
              </w:rPr>
              <w:t>.</w:t>
            </w:r>
            <w:r>
              <w:rPr>
                <w:rFonts w:hint="eastAsia" w:ascii="仿宋" w:hAnsi="仿宋" w:eastAsia="仿宋" w:cs="宋体"/>
                <w:kern w:val="0"/>
                <w:szCs w:val="21"/>
              </w:rPr>
              <w:t>团队成员职称</w:t>
            </w:r>
          </w:p>
          <w:p>
            <w:pPr>
              <w:rPr>
                <w:rFonts w:ascii="仿宋" w:hAnsi="仿宋" w:eastAsia="仿宋" w:cs="宋体"/>
                <w:kern w:val="0"/>
              </w:rPr>
            </w:pPr>
            <w:r>
              <w:rPr>
                <w:rFonts w:hint="eastAsia" w:ascii="仿宋" w:hAnsi="仿宋" w:eastAsia="仿宋" w:cs="宋体"/>
                <w:kern w:val="0"/>
                <w:szCs w:val="21"/>
              </w:rPr>
              <w:t>①团队成员具有副高级国土高级工程师及以上级别的职称，每名得</w:t>
            </w:r>
            <w:r>
              <w:rPr>
                <w:rFonts w:ascii="仿宋" w:hAnsi="仿宋" w:eastAsia="仿宋" w:cs="宋体"/>
                <w:kern w:val="0"/>
                <w:szCs w:val="21"/>
              </w:rPr>
              <w:t>1.5分，本部分最高不超过6</w:t>
            </w:r>
            <w:r>
              <w:rPr>
                <w:rFonts w:hint="eastAsia" w:ascii="仿宋" w:hAnsi="仿宋" w:eastAsia="仿宋" w:cs="宋体"/>
                <w:kern w:val="0"/>
                <w:szCs w:val="21"/>
              </w:rPr>
              <w:t>分；</w:t>
            </w:r>
          </w:p>
          <w:p>
            <w:pPr>
              <w:rPr>
                <w:rFonts w:ascii="仿宋" w:hAnsi="仿宋" w:eastAsia="仿宋" w:cs="宋体"/>
                <w:kern w:val="0"/>
              </w:rPr>
            </w:pPr>
            <w:r>
              <w:rPr>
                <w:rFonts w:hint="eastAsia" w:ascii="仿宋" w:hAnsi="仿宋" w:eastAsia="仿宋" w:cs="宋体"/>
                <w:kern w:val="0"/>
                <w:szCs w:val="21"/>
              </w:rPr>
              <w:t>②团队成员具有副高级规划高级工程师及以上级别的职称，每名得</w:t>
            </w:r>
            <w:r>
              <w:rPr>
                <w:rFonts w:ascii="仿宋" w:hAnsi="仿宋" w:eastAsia="仿宋" w:cs="宋体"/>
                <w:kern w:val="0"/>
                <w:szCs w:val="21"/>
              </w:rPr>
              <w:t>1分，本部分最高不超过4分；</w:t>
            </w:r>
          </w:p>
          <w:p>
            <w:pPr>
              <w:rPr>
                <w:rFonts w:ascii="仿宋" w:hAnsi="仿宋" w:eastAsia="仿宋" w:cs="宋体"/>
                <w:kern w:val="0"/>
                <w:szCs w:val="21"/>
              </w:rPr>
            </w:pPr>
            <w:r>
              <w:rPr>
                <w:rFonts w:hint="eastAsia" w:ascii="仿宋" w:hAnsi="仿宋" w:eastAsia="仿宋" w:cs="宋体"/>
                <w:kern w:val="0"/>
                <w:szCs w:val="21"/>
              </w:rPr>
              <w:t>③团队成员具有国土或规划以及相关专业中级职称（如国土、规划、土地资源管理、地图学与地理信息系统等)之一，每名得</w:t>
            </w:r>
            <w:r>
              <w:rPr>
                <w:rFonts w:ascii="仿宋" w:hAnsi="仿宋" w:eastAsia="仿宋" w:cs="宋体"/>
                <w:kern w:val="0"/>
                <w:szCs w:val="21"/>
              </w:rPr>
              <w:t>1分，团队内不同成员具有同一类型职称的不重复计分，本部分最高不超过4</w:t>
            </w:r>
            <w:r>
              <w:rPr>
                <w:rFonts w:hint="eastAsia" w:ascii="仿宋" w:hAnsi="仿宋" w:eastAsia="仿宋" w:cs="宋体"/>
                <w:kern w:val="0"/>
                <w:szCs w:val="21"/>
              </w:rPr>
              <w:t>分。</w:t>
            </w:r>
          </w:p>
          <w:p>
            <w:pPr>
              <w:pStyle w:val="2"/>
              <w:spacing w:after="0"/>
              <w:rPr>
                <w:rFonts w:ascii="仿宋" w:hAnsi="仿宋" w:eastAsia="仿宋" w:cs="宋体"/>
              </w:rPr>
            </w:pPr>
            <w:r>
              <w:rPr>
                <w:rFonts w:ascii="仿宋" w:hAnsi="仿宋" w:eastAsia="仿宋" w:cs="宋体"/>
                <w:szCs w:val="21"/>
              </w:rPr>
              <w:t>团队内</w:t>
            </w:r>
            <w:r>
              <w:rPr>
                <w:rFonts w:hint="eastAsia" w:ascii="仿宋" w:hAnsi="仿宋" w:eastAsia="仿宋" w:cs="宋体"/>
              </w:rPr>
              <w:t>同一成员满足多种职称条件的仅得一次分数，按最优得分，不可重复得分。本项总分最高不超过</w:t>
            </w:r>
            <w:r>
              <w:rPr>
                <w:rFonts w:ascii="仿宋" w:hAnsi="仿宋" w:eastAsia="仿宋" w:cs="宋体"/>
              </w:rPr>
              <w:t>14</w:t>
            </w:r>
            <w:r>
              <w:rPr>
                <w:rFonts w:hint="eastAsia" w:ascii="仿宋" w:hAnsi="仿宋" w:eastAsia="仿宋" w:cs="宋体"/>
              </w:rPr>
              <w:t>分</w:t>
            </w:r>
          </w:p>
          <w:p>
            <w:pPr>
              <w:rPr>
                <w:rFonts w:ascii="仿宋" w:hAnsi="仿宋" w:eastAsia="仿宋" w:cs="宋体"/>
                <w:kern w:val="0"/>
              </w:rPr>
            </w:pPr>
            <w:r>
              <w:rPr>
                <w:rFonts w:hint="eastAsia" w:ascii="仿宋" w:hAnsi="仿宋" w:eastAsia="仿宋" w:cs="宋体"/>
                <w:kern w:val="0"/>
                <w:szCs w:val="21"/>
              </w:rPr>
              <w:t>2</w:t>
            </w:r>
            <w:r>
              <w:rPr>
                <w:rFonts w:ascii="仿宋" w:hAnsi="仿宋" w:eastAsia="仿宋" w:cs="宋体"/>
                <w:kern w:val="0"/>
                <w:szCs w:val="21"/>
              </w:rPr>
              <w:t>.</w:t>
            </w:r>
            <w:r>
              <w:rPr>
                <w:rFonts w:hint="eastAsia" w:ascii="仿宋" w:hAnsi="仿宋" w:eastAsia="仿宋" w:cs="宋体"/>
                <w:kern w:val="0"/>
                <w:szCs w:val="21"/>
              </w:rPr>
              <w:t>团队成员专业</w:t>
            </w:r>
          </w:p>
          <w:p>
            <w:pPr>
              <w:rPr>
                <w:rFonts w:ascii="仿宋" w:hAnsi="仿宋" w:eastAsia="仿宋" w:cs="宋体"/>
                <w:kern w:val="0"/>
              </w:rPr>
            </w:pPr>
            <w:r>
              <w:rPr>
                <w:rFonts w:hint="eastAsia" w:ascii="仿宋" w:hAnsi="仿宋" w:eastAsia="仿宋" w:cs="宋体"/>
                <w:kern w:val="0"/>
                <w:szCs w:val="21"/>
              </w:rPr>
              <w:t>①团队成员拥有土地资源管理专业硕士及以上学历的得</w:t>
            </w:r>
            <w:r>
              <w:rPr>
                <w:rFonts w:ascii="仿宋" w:hAnsi="仿宋" w:eastAsia="仿宋" w:cs="宋体"/>
                <w:kern w:val="0"/>
                <w:szCs w:val="21"/>
              </w:rPr>
              <w:t>2分，具有本科学历的得1分，本部分最高不超过2分；</w:t>
            </w:r>
          </w:p>
          <w:p>
            <w:pPr>
              <w:rPr>
                <w:rFonts w:ascii="仿宋" w:hAnsi="仿宋" w:eastAsia="仿宋" w:cs="宋体"/>
                <w:kern w:val="0"/>
              </w:rPr>
            </w:pPr>
            <w:r>
              <w:rPr>
                <w:rFonts w:hint="eastAsia" w:ascii="仿宋" w:hAnsi="仿宋" w:eastAsia="仿宋" w:cs="宋体"/>
                <w:kern w:val="0"/>
                <w:szCs w:val="21"/>
              </w:rPr>
              <w:t>②团队成员拥有地理信息系统专业硕士及以上学历的得</w:t>
            </w:r>
            <w:r>
              <w:rPr>
                <w:rFonts w:ascii="仿宋" w:hAnsi="仿宋" w:eastAsia="仿宋" w:cs="宋体"/>
                <w:kern w:val="0"/>
                <w:szCs w:val="21"/>
              </w:rPr>
              <w:t>2分，具有本科学历的得1分，本部分最高不超过2分；</w:t>
            </w:r>
          </w:p>
          <w:p>
            <w:pPr>
              <w:rPr>
                <w:rFonts w:ascii="仿宋" w:hAnsi="仿宋" w:eastAsia="仿宋" w:cs="宋体"/>
                <w:kern w:val="0"/>
              </w:rPr>
            </w:pPr>
            <w:r>
              <w:rPr>
                <w:rFonts w:hint="eastAsia" w:ascii="仿宋" w:hAnsi="仿宋" w:eastAsia="仿宋" w:cs="宋体"/>
                <w:kern w:val="0"/>
                <w:szCs w:val="21"/>
              </w:rPr>
              <w:t>③团队成员拥有人文地理学专业硕士及以上学历的得</w:t>
            </w:r>
            <w:r>
              <w:rPr>
                <w:rFonts w:ascii="仿宋" w:hAnsi="仿宋" w:eastAsia="仿宋" w:cs="宋体"/>
                <w:kern w:val="0"/>
                <w:szCs w:val="21"/>
              </w:rPr>
              <w:t>2分，具有本科学历的得1分，本部分最高不超过2分；</w:t>
            </w:r>
          </w:p>
          <w:p>
            <w:pPr>
              <w:jc w:val="left"/>
              <w:rPr>
                <w:rFonts w:ascii="仿宋" w:hAnsi="仿宋" w:eastAsia="仿宋" w:cs="宋体"/>
                <w:kern w:val="0"/>
                <w:szCs w:val="21"/>
              </w:rPr>
            </w:pPr>
            <w:r>
              <w:rPr>
                <w:rFonts w:hint="eastAsia" w:ascii="仿宋" w:hAnsi="仿宋" w:eastAsia="仿宋" w:cs="宋体"/>
                <w:kern w:val="0"/>
              </w:rPr>
              <w:t>同一专业具有多个满足条件的成员不重复计分，同一成员按照最高获得的学历证书计分，本项总分最高不超过</w:t>
            </w:r>
            <w:r>
              <w:rPr>
                <w:rFonts w:ascii="仿宋" w:hAnsi="仿宋" w:eastAsia="仿宋" w:cs="宋体"/>
                <w:kern w:val="0"/>
              </w:rPr>
              <w:t>6</w:t>
            </w:r>
            <w:r>
              <w:rPr>
                <w:rFonts w:hint="eastAsia" w:ascii="仿宋" w:hAnsi="仿宋" w:eastAsia="仿宋" w:cs="宋体"/>
                <w:kern w:val="0"/>
              </w:rPr>
              <w:t>分。</w:t>
            </w:r>
          </w:p>
          <w:p>
            <w:pPr>
              <w:jc w:val="left"/>
              <w:rPr>
                <w:rFonts w:ascii="仿宋" w:hAnsi="仿宋" w:eastAsia="仿宋" w:cs="宋体"/>
                <w:b/>
                <w:bCs/>
                <w:kern w:val="0"/>
                <w:szCs w:val="21"/>
              </w:rPr>
            </w:pPr>
            <w:r>
              <w:rPr>
                <w:rFonts w:hint="eastAsia" w:ascii="仿宋" w:hAnsi="仿宋" w:eastAsia="仿宋" w:cs="宋体"/>
                <w:b/>
                <w:bCs/>
                <w:kern w:val="0"/>
                <w:szCs w:val="21"/>
              </w:rPr>
              <w:t>（二）评分依据：</w:t>
            </w:r>
          </w:p>
          <w:p>
            <w:pPr>
              <w:rPr>
                <w:rFonts w:ascii="仿宋" w:hAnsi="仿宋" w:eastAsia="仿宋" w:cs="宋体"/>
                <w:kern w:val="0"/>
                <w:szCs w:val="21"/>
              </w:rPr>
            </w:pPr>
            <w:r>
              <w:rPr>
                <w:rFonts w:hint="eastAsia" w:ascii="仿宋" w:hAnsi="仿宋" w:eastAsia="仿宋" w:cs="宋体"/>
                <w:kern w:val="0"/>
                <w:szCs w:val="21"/>
              </w:rPr>
              <w:t>提供项目组成员近三个月任意一个月（2023年</w:t>
            </w:r>
            <w:r>
              <w:rPr>
                <w:rFonts w:hint="eastAsia" w:ascii="仿宋" w:hAnsi="仿宋" w:eastAsia="仿宋" w:cs="宋体"/>
                <w:kern w:val="0"/>
                <w:szCs w:val="21"/>
                <w:lang w:val="en-US" w:eastAsia="zh-CN"/>
              </w:rPr>
              <w:t>12</w:t>
            </w:r>
            <w:r>
              <w:rPr>
                <w:rFonts w:hint="eastAsia" w:ascii="仿宋" w:hAnsi="仿宋" w:eastAsia="仿宋" w:cs="宋体"/>
                <w:kern w:val="0"/>
                <w:szCs w:val="21"/>
              </w:rPr>
              <w:t>月-202</w:t>
            </w:r>
            <w:r>
              <w:rPr>
                <w:rFonts w:hint="eastAsia" w:ascii="仿宋" w:hAnsi="仿宋" w:eastAsia="仿宋" w:cs="宋体"/>
                <w:kern w:val="0"/>
                <w:szCs w:val="21"/>
                <w:lang w:val="en-US" w:eastAsia="zh-CN"/>
              </w:rPr>
              <w:t>4</w:t>
            </w:r>
            <w:r>
              <w:rPr>
                <w:rFonts w:hint="eastAsia" w:ascii="仿宋" w:hAnsi="仿宋" w:eastAsia="仿宋" w:cs="宋体"/>
                <w:kern w:val="0"/>
                <w:szCs w:val="21"/>
              </w:rPr>
              <w:t>年</w:t>
            </w:r>
            <w:r>
              <w:rPr>
                <w:rFonts w:hint="eastAsia" w:ascii="仿宋" w:hAnsi="仿宋" w:eastAsia="仿宋" w:cs="宋体"/>
                <w:kern w:val="0"/>
                <w:szCs w:val="21"/>
                <w:lang w:val="en-US" w:eastAsia="zh-CN"/>
              </w:rPr>
              <w:t>2</w:t>
            </w:r>
            <w:r>
              <w:rPr>
                <w:rFonts w:hint="eastAsia" w:ascii="仿宋" w:hAnsi="仿宋" w:eastAsia="仿宋" w:cs="宋体"/>
                <w:kern w:val="0"/>
                <w:szCs w:val="21"/>
              </w:rPr>
              <w:t>月，如供应商为新成立单位且成立时间不足一个月的，可提供加盖公章的情况说明或者证明材料亦视为符合。）社保清单、职称证书、毕业证书复印件加盖投标人公章，否则不得分。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5" w:type="dxa"/>
            <w:shd w:val="clear" w:color="auto" w:fill="auto"/>
          </w:tcPr>
          <w:p>
            <w:pPr>
              <w:widowControl/>
              <w:jc w:val="left"/>
              <w:rPr>
                <w:rFonts w:ascii="仿宋" w:hAnsi="仿宋" w:eastAsia="仿宋" w:cs="仿宋_GB2312"/>
                <w:color w:val="000000"/>
                <w:sz w:val="24"/>
              </w:rPr>
            </w:pPr>
          </w:p>
        </w:tc>
        <w:tc>
          <w:tcPr>
            <w:tcW w:w="731" w:type="dxa"/>
            <w:shd w:val="clear" w:color="auto" w:fill="auto"/>
            <w:vAlign w:val="center"/>
          </w:tcPr>
          <w:p>
            <w:pPr>
              <w:jc w:val="center"/>
              <w:rPr>
                <w:rFonts w:ascii="仿宋" w:hAnsi="仿宋" w:eastAsia="仿宋" w:cs="宋体"/>
                <w:szCs w:val="21"/>
              </w:rPr>
            </w:pPr>
            <w:r>
              <w:rPr>
                <w:rFonts w:ascii="仿宋" w:hAnsi="仿宋" w:eastAsia="仿宋" w:cs="宋体"/>
                <w:szCs w:val="21"/>
              </w:rPr>
              <w:t>5</w:t>
            </w:r>
          </w:p>
        </w:tc>
        <w:tc>
          <w:tcPr>
            <w:tcW w:w="1130" w:type="dxa"/>
            <w:shd w:val="clear" w:color="auto" w:fill="auto"/>
            <w:vAlign w:val="center"/>
          </w:tcPr>
          <w:p>
            <w:pPr>
              <w:wordWrap w:val="0"/>
              <w:spacing w:after="60"/>
              <w:jc w:val="center"/>
              <w:rPr>
                <w:rFonts w:ascii="仿宋" w:hAnsi="仿宋" w:eastAsia="仿宋" w:cs="宋体"/>
                <w:szCs w:val="21"/>
              </w:rPr>
            </w:pPr>
            <w:r>
              <w:rPr>
                <w:rFonts w:hint="eastAsia" w:ascii="仿宋" w:hAnsi="仿宋" w:eastAsia="仿宋" w:cs="宋体"/>
                <w:szCs w:val="21"/>
              </w:rPr>
              <w:t>诚信评价</w:t>
            </w:r>
          </w:p>
        </w:tc>
        <w:tc>
          <w:tcPr>
            <w:tcW w:w="795" w:type="dxa"/>
            <w:shd w:val="clear" w:color="auto" w:fill="auto"/>
            <w:vAlign w:val="center"/>
          </w:tcPr>
          <w:p>
            <w:pPr>
              <w:wordWrap w:val="0"/>
              <w:spacing w:after="60"/>
              <w:jc w:val="center"/>
              <w:rPr>
                <w:rFonts w:ascii="仿宋" w:hAnsi="仿宋" w:eastAsia="仿宋" w:cs="宋体"/>
                <w:szCs w:val="21"/>
              </w:rPr>
            </w:pPr>
            <w:r>
              <w:rPr>
                <w:rFonts w:hint="eastAsia" w:ascii="仿宋" w:hAnsi="仿宋" w:eastAsia="仿宋" w:cs="宋体"/>
                <w:szCs w:val="21"/>
              </w:rPr>
              <w:t>5</w:t>
            </w:r>
          </w:p>
        </w:tc>
        <w:tc>
          <w:tcPr>
            <w:tcW w:w="6418" w:type="dxa"/>
            <w:gridSpan w:val="2"/>
            <w:shd w:val="clear" w:color="auto" w:fill="auto"/>
            <w:vAlign w:val="center"/>
          </w:tcPr>
          <w:p>
            <w:pPr>
              <w:rPr>
                <w:rFonts w:ascii="仿宋" w:hAnsi="仿宋" w:eastAsia="仿宋" w:cs="宋体"/>
                <w:szCs w:val="21"/>
              </w:rPr>
            </w:pPr>
            <w:r>
              <w:rPr>
                <w:rFonts w:hint="eastAsia" w:ascii="仿宋" w:hAnsi="仿宋" w:eastAsia="仿宋" w:cs="宋体"/>
                <w:szCs w:val="21"/>
              </w:rPr>
              <w:t>根据《深圳市财政局关于印发〈深圳市财政局政府采购供应商信用信息管理办法〉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供应商须提供《诚信承诺函》（格式自拟）作为证明材料，供应商须为诚信承诺函的真实性负责，若有虚假承诺，视同提供虚假资料，将依法承担相应法律责任。</w:t>
            </w:r>
          </w:p>
        </w:tc>
      </w:tr>
    </w:tbl>
    <w:p>
      <w:pPr>
        <w:spacing w:line="320" w:lineRule="exact"/>
        <w:jc w:val="left"/>
        <w:rPr>
          <w:rFonts w:ascii="华文楷体" w:hAnsi="华文楷体" w:eastAsia="华文楷体" w:cs="华文楷体"/>
          <w:b/>
          <w:bCs/>
          <w:sz w:val="18"/>
          <w:szCs w:val="18"/>
        </w:rPr>
      </w:pPr>
      <w:r>
        <w:rPr>
          <w:rFonts w:hint="eastAsia" w:ascii="仿宋_GB2312" w:hAnsi="仿宋_GB2312" w:eastAsia="仿宋_GB2312" w:cs="仿宋_GB2312"/>
          <w:sz w:val="24"/>
        </w:rPr>
        <w:t>注：</w:t>
      </w:r>
    </w:p>
    <w:p>
      <w:pPr>
        <w:spacing w:line="400" w:lineRule="exact"/>
        <w:ind w:firstLine="480" w:firstLineChars="200"/>
        <w:rPr>
          <w:rFonts w:ascii="仿宋" w:hAnsi="仿宋" w:eastAsia="仿宋" w:cs="仿宋"/>
          <w:sz w:val="24"/>
        </w:rPr>
      </w:pPr>
      <w:r>
        <w:rPr>
          <w:rFonts w:hint="eastAsia" w:ascii="仿宋" w:hAnsi="仿宋" w:eastAsia="仿宋" w:cs="仿宋"/>
          <w:sz w:val="24"/>
        </w:rPr>
        <w:t>1.每一项的得分均不能超过该项最高分值。</w:t>
      </w:r>
    </w:p>
    <w:p>
      <w:pPr>
        <w:spacing w:line="400" w:lineRule="exact"/>
        <w:ind w:firstLine="480" w:firstLineChars="200"/>
        <w:rPr>
          <w:rFonts w:ascii="仿宋" w:hAnsi="仿宋" w:eastAsia="仿宋" w:cs="仿宋"/>
          <w:sz w:val="24"/>
        </w:rPr>
      </w:pPr>
      <w:r>
        <w:rPr>
          <w:rFonts w:hint="eastAsia" w:ascii="仿宋" w:hAnsi="仿宋" w:eastAsia="仿宋" w:cs="仿宋"/>
          <w:sz w:val="24"/>
        </w:rPr>
        <w:t>2.缺项则该项为0分。</w:t>
      </w:r>
    </w:p>
    <w:p>
      <w:pPr>
        <w:spacing w:line="400" w:lineRule="exact"/>
        <w:ind w:firstLine="480" w:firstLineChars="200"/>
        <w:rPr>
          <w:rFonts w:ascii="仿宋" w:hAnsi="仿宋" w:eastAsia="仿宋" w:cs="仿宋"/>
          <w:sz w:val="24"/>
        </w:rPr>
      </w:pPr>
      <w:r>
        <w:rPr>
          <w:rFonts w:hint="eastAsia" w:ascii="仿宋" w:hAnsi="仿宋" w:eastAsia="仿宋" w:cs="仿宋"/>
          <w:sz w:val="24"/>
        </w:rPr>
        <w:t>3.投标报价、商务部分、技术部分为针对项目具体情况设置项目，累加满分为100分。</w:t>
      </w:r>
    </w:p>
    <w:p>
      <w:pPr>
        <w:spacing w:line="400" w:lineRule="exact"/>
        <w:ind w:firstLine="480" w:firstLineChars="200"/>
        <w:rPr>
          <w:rFonts w:ascii="仿宋" w:hAnsi="仿宋" w:eastAsia="仿宋" w:cs="仿宋"/>
          <w:sz w:val="24"/>
        </w:rPr>
      </w:pPr>
      <w:r>
        <w:rPr>
          <w:rFonts w:hint="eastAsia" w:ascii="仿宋" w:hAnsi="仿宋" w:eastAsia="仿宋" w:cs="仿宋"/>
          <w:sz w:val="24"/>
        </w:rPr>
        <w:t>4.综合以上</w:t>
      </w:r>
      <w:r>
        <w:rPr>
          <w:rFonts w:hint="eastAsia" w:ascii="仿宋" w:hAnsi="仿宋" w:eastAsia="仿宋" w:cs="仿宋"/>
          <w:snapToGrid w:val="0"/>
          <w:kern w:val="0"/>
          <w:sz w:val="24"/>
        </w:rPr>
        <w:t>分析比较，评审委员会将对各投标文件进行书面的量化评定，得分精确到小数点后两位。</w:t>
      </w:r>
    </w:p>
    <w:p>
      <w:pPr>
        <w:spacing w:line="360" w:lineRule="auto"/>
        <w:rPr>
          <w:rFonts w:ascii="宋体" w:hAnsi="宋体"/>
          <w:szCs w:val="21"/>
        </w:rPr>
      </w:pPr>
      <w:r>
        <w:rPr>
          <w:rFonts w:ascii="宋体" w:hAnsi="宋体"/>
          <w:szCs w:val="21"/>
        </w:rPr>
        <w:br w:type="page"/>
      </w:r>
    </w:p>
    <w:p>
      <w:pPr>
        <w:pStyle w:val="3"/>
        <w:spacing w:line="360" w:lineRule="auto"/>
        <w:jc w:val="center"/>
      </w:pPr>
      <w:bookmarkStart w:id="148" w:name="_Toc13035"/>
      <w:bookmarkStart w:id="149" w:name="_Toc11435"/>
      <w:bookmarkStart w:id="150" w:name="_Toc1346"/>
      <w:bookmarkStart w:id="151" w:name="_Toc1206"/>
      <w:bookmarkStart w:id="152" w:name="_Toc29564"/>
      <w:bookmarkStart w:id="153" w:name="_Toc3380"/>
      <w:bookmarkStart w:id="154" w:name="_Toc21806"/>
      <w:r>
        <w:rPr>
          <w:rFonts w:hint="eastAsia"/>
        </w:rPr>
        <w:t>第三章  招标项目需求</w:t>
      </w:r>
      <w:bookmarkEnd w:id="148"/>
      <w:bookmarkEnd w:id="149"/>
      <w:bookmarkEnd w:id="150"/>
      <w:bookmarkEnd w:id="151"/>
      <w:bookmarkEnd w:id="152"/>
      <w:bookmarkEnd w:id="153"/>
      <w:bookmarkEnd w:id="154"/>
    </w:p>
    <w:p>
      <w:pPr>
        <w:snapToGrid w:val="0"/>
        <w:spacing w:line="360" w:lineRule="auto"/>
        <w:rPr>
          <w:rFonts w:ascii="黑体" w:hAnsi="宋体" w:eastAsia="黑体" w:cs="宋体"/>
          <w:b/>
          <w:sz w:val="28"/>
          <w:szCs w:val="28"/>
        </w:rPr>
      </w:pPr>
      <w:r>
        <w:rPr>
          <w:rFonts w:hint="eastAsia" w:ascii="黑体" w:hAnsi="宋体" w:eastAsia="黑体" w:cs="宋体"/>
          <w:b/>
          <w:sz w:val="28"/>
          <w:szCs w:val="28"/>
        </w:rPr>
        <w:t>重点提示：</w:t>
      </w:r>
    </w:p>
    <w:p>
      <w:pPr>
        <w:spacing w:line="276" w:lineRule="auto"/>
        <w:ind w:firstLine="472" w:firstLineChars="196"/>
        <w:rPr>
          <w:rFonts w:ascii="仿宋" w:hAnsi="仿宋" w:eastAsia="仿宋" w:cs="仿宋"/>
          <w:b/>
          <w:sz w:val="24"/>
        </w:rPr>
      </w:pPr>
      <w:r>
        <w:rPr>
          <w:rFonts w:hint="eastAsia" w:ascii="仿宋" w:hAnsi="仿宋" w:eastAsia="仿宋" w:cs="仿宋"/>
          <w:b/>
          <w:sz w:val="24"/>
        </w:rPr>
        <w:t>1.招标文件澄清、质疑的说明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招标文件第二册第二章第9条“招标文件的澄清、质疑”的规定，任何要求对招标文件进行澄清或者对招标文件有限制性、倾向性条款提出质疑的投标人，均应于“招标公告”中所述答疑截止时间前在书面通知招标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bookmarkStart w:id="155" w:name="_Toc486922320"/>
      <w:bookmarkStart w:id="156" w:name="_Toc22754"/>
    </w:p>
    <w:bookmarkEnd w:id="155"/>
    <w:bookmarkEnd w:id="156"/>
    <w:p>
      <w:pPr>
        <w:spacing w:line="360" w:lineRule="auto"/>
        <w:ind w:firstLine="472" w:firstLineChars="196"/>
        <w:rPr>
          <w:rFonts w:ascii="仿宋" w:hAnsi="仿宋" w:eastAsia="仿宋" w:cs="仿宋"/>
          <w:b/>
          <w:sz w:val="24"/>
        </w:rPr>
      </w:pPr>
      <w:bookmarkStart w:id="157" w:name="合同协议书"/>
      <w:r>
        <w:rPr>
          <w:rFonts w:hint="eastAsia" w:ascii="仿宋" w:hAnsi="仿宋" w:eastAsia="仿宋" w:cs="仿宋"/>
          <w:b/>
          <w:sz w:val="24"/>
        </w:rPr>
        <w:t>2.关于特殊符号的说明</w:t>
      </w:r>
    </w:p>
    <w:p>
      <w:pPr>
        <w:spacing w:line="360" w:lineRule="auto"/>
        <w:ind w:firstLine="470" w:firstLineChars="196"/>
        <w:rPr>
          <w:rFonts w:ascii="仿宋" w:hAnsi="仿宋" w:eastAsia="仿宋" w:cs="仿宋"/>
          <w:sz w:val="24"/>
        </w:rPr>
      </w:pPr>
      <w:r>
        <w:rPr>
          <w:rFonts w:hint="eastAsia" w:ascii="仿宋" w:hAnsi="仿宋" w:eastAsia="仿宋" w:cs="仿宋"/>
          <w:sz w:val="24"/>
        </w:rPr>
        <w:t>2.1招标文件中标注“★”的条款均为不可偏离的实质性条款，投标文件对其中任意一条不满足的将作投标无效处理。</w:t>
      </w:r>
    </w:p>
    <w:p>
      <w:pPr>
        <w:spacing w:line="360" w:lineRule="auto"/>
        <w:ind w:firstLine="470" w:firstLineChars="196"/>
        <w:rPr>
          <w:rFonts w:ascii="仿宋" w:hAnsi="仿宋" w:eastAsia="仿宋" w:cs="仿宋"/>
          <w:b/>
          <w:sz w:val="24"/>
        </w:rPr>
      </w:pPr>
      <w:r>
        <w:rPr>
          <w:rFonts w:hint="eastAsia" w:ascii="仿宋" w:hAnsi="仿宋" w:eastAsia="仿宋" w:cs="仿宋"/>
          <w:sz w:val="24"/>
        </w:rPr>
        <w:t>2.2招标文件中标注“▲”的条款均为重要条款，仅作为综合评分时的重要依据</w:t>
      </w:r>
      <w:r>
        <w:rPr>
          <w:rFonts w:hint="eastAsia" w:ascii="仿宋" w:hAnsi="仿宋" w:eastAsia="仿宋" w:cs="仿宋"/>
          <w:b/>
          <w:sz w:val="24"/>
        </w:rPr>
        <w:t>。</w:t>
      </w:r>
    </w:p>
    <w:p>
      <w:pPr>
        <w:spacing w:line="360" w:lineRule="auto"/>
        <w:ind w:firstLine="472" w:firstLineChars="196"/>
        <w:rPr>
          <w:rFonts w:ascii="仿宋" w:hAnsi="仿宋" w:eastAsia="仿宋" w:cs="仿宋"/>
          <w:b/>
          <w:sz w:val="24"/>
        </w:rPr>
      </w:pPr>
      <w:r>
        <w:rPr>
          <w:rFonts w:hint="eastAsia" w:ascii="仿宋" w:hAnsi="仿宋" w:eastAsia="仿宋" w:cs="仿宋"/>
          <w:b/>
          <w:sz w:val="24"/>
        </w:rPr>
        <w:t>3.关于招标文件“申请人的资格要求第5点”的释义</w:t>
      </w:r>
    </w:p>
    <w:p>
      <w:pPr>
        <w:spacing w:line="360" w:lineRule="auto"/>
        <w:ind w:firstLine="470" w:firstLineChars="196"/>
        <w:rPr>
          <w:rFonts w:ascii="仿宋" w:hAnsi="仿宋" w:eastAsia="仿宋" w:cs="仿宋"/>
          <w:sz w:val="24"/>
        </w:rPr>
      </w:pPr>
      <w:r>
        <w:rPr>
          <w:rFonts w:hint="eastAsia" w:ascii="仿宋" w:hAnsi="仿宋" w:eastAsia="仿宋" w:cs="仿宋"/>
          <w:sz w:val="24"/>
        </w:rPr>
        <w:t>3.1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spacing w:line="360" w:lineRule="auto"/>
        <w:ind w:firstLine="470" w:firstLineChars="196"/>
        <w:rPr>
          <w:rFonts w:ascii="仿宋" w:hAnsi="仿宋" w:eastAsia="仿宋" w:cs="仿宋"/>
          <w:sz w:val="24"/>
        </w:rPr>
      </w:pPr>
      <w:r>
        <w:rPr>
          <w:rFonts w:hint="eastAsia" w:ascii="仿宋" w:hAnsi="仿宋" w:eastAsia="仿宋" w:cs="仿宋"/>
          <w:sz w:val="24"/>
        </w:rPr>
        <w:t>3.2在项目开评标过程中，采购人或采购代理机构将通过查看供应商投标文件、对比供应商股权信息等方式，认真核查同一项目中不同投标供应商之间，是否存在单位负责人为同一人或者存在直接控股、管理关系的情况。对疑似存在上述情形的供应商，将被要求在评标现场合理的时间内提供书面说明（必要时还需提交相关证明材料）。</w:t>
      </w:r>
    </w:p>
    <w:p>
      <w:pPr>
        <w:spacing w:line="360" w:lineRule="auto"/>
        <w:ind w:firstLine="470" w:firstLineChars="196"/>
        <w:rPr>
          <w:rFonts w:ascii="仿宋" w:hAnsi="仿宋" w:eastAsia="仿宋" w:cs="仿宋"/>
        </w:rPr>
      </w:pPr>
      <w:r>
        <w:rPr>
          <w:rFonts w:hint="eastAsia" w:ascii="仿宋" w:hAnsi="仿宋" w:eastAsia="仿宋" w:cs="仿宋"/>
          <w:sz w:val="24"/>
        </w:rPr>
        <w:t>3.3经核实，投标供应商确实存在《中华人民共和国政府采购法实施条例》第十八条第一款规定情形的，其投标将被依法认定为无效。</w:t>
      </w:r>
    </w:p>
    <w:p>
      <w:pPr>
        <w:pStyle w:val="4"/>
        <w:spacing w:before="0" w:after="0" w:line="400" w:lineRule="exact"/>
        <w:ind w:firstLine="643" w:firstLineChars="200"/>
        <w:rPr>
          <w:rFonts w:ascii="仿宋" w:hAnsi="仿宋" w:eastAsia="仿宋" w:cs="仿宋"/>
        </w:rPr>
      </w:pPr>
      <w:bookmarkStart w:id="158" w:name="_Toc30670"/>
      <w:bookmarkStart w:id="159" w:name="_Toc22330"/>
      <w:bookmarkStart w:id="160" w:name="_Toc6661"/>
      <w:bookmarkStart w:id="161" w:name="_Toc22870"/>
      <w:bookmarkStart w:id="162" w:name="_Hlk42676997"/>
      <w:r>
        <w:rPr>
          <w:rFonts w:hint="eastAsia" w:ascii="仿宋" w:hAnsi="仿宋" w:eastAsia="仿宋" w:cs="仿宋"/>
        </w:rPr>
        <w:br w:type="page"/>
      </w:r>
      <w:bookmarkStart w:id="163" w:name="_Toc30825"/>
      <w:bookmarkStart w:id="164" w:name="_Toc7126"/>
      <w:bookmarkStart w:id="165" w:name="_Toc32712"/>
      <w:bookmarkStart w:id="166" w:name="_Toc3409"/>
      <w:r>
        <w:rPr>
          <w:rFonts w:hint="eastAsia" w:ascii="仿宋" w:hAnsi="仿宋" w:eastAsia="仿宋" w:cs="仿宋"/>
        </w:rPr>
        <w:t>一、项目概况</w:t>
      </w:r>
      <w:bookmarkEnd w:id="163"/>
      <w:bookmarkEnd w:id="164"/>
      <w:bookmarkEnd w:id="165"/>
    </w:p>
    <w:bookmarkEnd w:id="158"/>
    <w:bookmarkEnd w:id="159"/>
    <w:bookmarkEnd w:id="160"/>
    <w:bookmarkEnd w:id="161"/>
    <w:bookmarkEnd w:id="166"/>
    <w:p>
      <w:pPr>
        <w:spacing w:line="400" w:lineRule="exact"/>
        <w:ind w:firstLine="480" w:firstLineChars="200"/>
        <w:jc w:val="left"/>
        <w:outlineLvl w:val="2"/>
        <w:rPr>
          <w:rFonts w:ascii="仿宋" w:hAnsi="仿宋" w:eastAsia="仿宋" w:cs="仿宋"/>
          <w:sz w:val="24"/>
        </w:rPr>
      </w:pPr>
      <w:bookmarkStart w:id="167" w:name="_Toc8911"/>
      <w:bookmarkStart w:id="168" w:name="_Toc18098"/>
      <w:bookmarkStart w:id="169" w:name="_Toc28923"/>
      <w:bookmarkStart w:id="170" w:name="_Toc13742"/>
      <w:bookmarkStart w:id="171" w:name="_Toc18812"/>
      <w:bookmarkStart w:id="172" w:name="_Toc21170"/>
      <w:bookmarkStart w:id="173" w:name="_Toc11194"/>
      <w:bookmarkStart w:id="174" w:name="_Toc26519"/>
      <w:r>
        <w:rPr>
          <w:rFonts w:hint="eastAsia" w:ascii="仿宋" w:hAnsi="仿宋" w:eastAsia="仿宋" w:cs="仿宋"/>
          <w:sz w:val="24"/>
        </w:rPr>
        <w:t>1.前海扩区，土地资源施行统一管理。</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2021年9月，深圳市委市政府印发了《关于推进全面深化前海深港现代服务业合作区改革开放的实施方案》的通知，明确要求对前海合作区实行产业布局和国土空间实施统一规划、统一管理。土地资源统一管理、产业项目一体实施、开发建设整体推进，系统优化深港合作布局。根据中共深圳市委机构编制委员会关于印发《前海深港现代服务业合作区权责分工清单（第一批）》的通知（深编[2022]19号），前海合作区的职能包括土地资产管理和土地供应和利用。对土地资源实施统一管理，需要对扩区后前海合作区城市整体的规划实施情况及用地需求进行深入分析，形成具有指导意义的分布指引及专项项目库为后续土地供应、项目落地和实施台账的安排和管理提供基础支撑。</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2.加强土地利用规划和计划管理，增强计划指导作用。</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根据《中华人民共和国土地管理法》、《土地利用年度计划管理办法》，为加强土地管理和调控，严格实施土地用途管制，合理控制建设用地总量，促进土地节约集约利用，国家对计划年度内新增建设用地量、农用地转用规模等进行严格管控。深圳市在《深圳市人民政府关于完善国有土地供应管理的若干意见》（深府规〔2018〕11号）中也明确提出了加强土地利用规划和计划管理，要求城市建设与土地利用实施计划一经审批下达，必须严格执行，进一步强调了土地供应计划对实际供地的指导作用和管制作用。根据《深圳市前海深港现代服务业合作区管理局暂行办法》第十七条“前海管理局在全市土地供应计划和土地整备计划范围内负责组织编制前海合作区年度土地供应计划、年度整备用地计划，按规定程序报市政府批准后组织实施”。开展2024年度供应计划编制对前海有序实施开发建设十分必要。</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3.优化土地资源配置，有序把控新增建设用地供应。</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前海合作区自成立以来，经过飞速发展和开发建设，未来可利用的土地及空间已经十分有限，同时，南山和宝安两区涉及前海扩区范围内土地的权属和现状情况均十分复杂。因此，在以上综合背景下，供应计划的指导性意义更为突出。亟需基于城市整体的规划实施情况及用地需求进行深入分析，梳理当前土地供应环节的问题，把控新增建设用地供应节奏，合理、有序、有节奏、有重点的安排前海土地资源供应，科学审慎制定2024年的土地供应计划，最终形成有指导意义的分布指引及专项项目库。</w:t>
      </w:r>
    </w:p>
    <w:bookmarkEnd w:id="167"/>
    <w:bookmarkEnd w:id="168"/>
    <w:p>
      <w:pPr>
        <w:spacing w:line="400" w:lineRule="exact"/>
        <w:ind w:firstLine="562" w:firstLineChars="200"/>
        <w:jc w:val="left"/>
        <w:outlineLvl w:val="2"/>
        <w:rPr>
          <w:rFonts w:ascii="仿宋" w:hAnsi="仿宋" w:eastAsia="仿宋" w:cs="仿宋"/>
          <w:b/>
          <w:sz w:val="28"/>
          <w:szCs w:val="28"/>
        </w:rPr>
      </w:pPr>
      <w:bookmarkStart w:id="175" w:name="_Toc23427"/>
      <w:bookmarkStart w:id="176" w:name="_Toc23475"/>
      <w:r>
        <w:rPr>
          <w:rFonts w:hint="eastAsia" w:ascii="仿宋" w:hAnsi="仿宋" w:eastAsia="仿宋" w:cs="仿宋"/>
          <w:b/>
          <w:sz w:val="28"/>
          <w:szCs w:val="28"/>
        </w:rPr>
        <w:t>二、</w:t>
      </w:r>
      <w:bookmarkEnd w:id="169"/>
      <w:bookmarkEnd w:id="170"/>
      <w:bookmarkEnd w:id="171"/>
      <w:bookmarkEnd w:id="172"/>
      <w:bookmarkEnd w:id="173"/>
      <w:r>
        <w:rPr>
          <w:rFonts w:hint="eastAsia" w:ascii="仿宋" w:hAnsi="仿宋" w:eastAsia="仿宋" w:cs="仿宋"/>
          <w:b/>
          <w:sz w:val="28"/>
          <w:szCs w:val="28"/>
        </w:rPr>
        <w:t>项目服务内容及服务要求</w:t>
      </w:r>
      <w:bookmarkEnd w:id="174"/>
      <w:bookmarkEnd w:id="175"/>
      <w:bookmarkEnd w:id="176"/>
    </w:p>
    <w:p>
      <w:pPr>
        <w:spacing w:line="400" w:lineRule="exact"/>
        <w:ind w:firstLine="480" w:firstLineChars="200"/>
        <w:jc w:val="left"/>
        <w:outlineLvl w:val="2"/>
        <w:rPr>
          <w:rFonts w:ascii="仿宋" w:hAnsi="仿宋" w:eastAsia="仿宋" w:cs="仿宋"/>
          <w:sz w:val="24"/>
        </w:rPr>
      </w:pPr>
      <w:bookmarkStart w:id="177" w:name="_Toc5292"/>
      <w:bookmarkStart w:id="178" w:name="_Toc18598"/>
      <w:bookmarkStart w:id="179" w:name="_Toc30578"/>
      <w:bookmarkStart w:id="180" w:name="_Toc22126"/>
      <w:bookmarkStart w:id="181" w:name="_Toc6732"/>
      <w:bookmarkStart w:id="182" w:name="_Toc23784"/>
      <w:bookmarkStart w:id="183" w:name="_Toc2579"/>
      <w:bookmarkStart w:id="184" w:name="_Toc11974"/>
      <w:r>
        <w:rPr>
          <w:rFonts w:hint="eastAsia" w:ascii="仿宋" w:hAnsi="仿宋" w:eastAsia="仿宋" w:cs="仿宋"/>
          <w:sz w:val="24"/>
        </w:rPr>
        <w:t>1.规划实施情况及用地需求调查。</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分析规划实施情况。立足于扩区后前海合作区土地资源统一管理的需要，以前海合作区土地管理工作的实际需求为基本导向，对前海总体规划、国土空间规划、产业规划及各类详细规划进行梳理分析。</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调查用地需求。统筹2024年度用地实际供应需求，结合前海合作区土地资源潜力空间情况，合理安排后续剩余增量建设用地，对各片区供应需求进行评估分析和筛查。</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结合规划实施情况和用地需求调查，对2024年土地供应实施进行评估分析，为合理有序供应前海土地资源释放提供基础支撑，为前海加快建设和创新发展提供土地空间资源保障。</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2.协助编制2024年度建设用地供应计划。</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开展实施回顾。详细分析上一年度土地供应实施情况，包括用地规模、用地功能、主要来源、空间分布、出让对象等方面，总结土地供应环节的现状问题。</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土地供应政策趋势和市场形势分析。结合最新的相关政策、规划，分析近年土地供应政策发展趋势和方向，结合最新土地供应情况，对土地供应市场形势进行分析和研判，为明确年度土地供应计划编制的总体思路提供决策依据和技术支持。</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为年度供应计划编制提供技术咨询意见。基于城市整体规划实施情况及用地需求的分析，并以相关政策和规划为指导，以新增土地和存量土地为抓手，借鉴国内外相近地区的先进经验，统筹协调2024年度居住用地、产业用地、民生用地、商服用地的空间布局和时序安排，为科学审慎编制2024年的土地供应计划提供政策和技术支持。</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3.协助编制建设用地供应分布指引文件。</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由于南山和宝安两区涉及前海扩区范围内土地的权属和现状情况十分复杂，且每年度土地利用情况发生变化较大，对后续供应计划的实施提出了更高的要求。为科学合理地指导各片区用地供应，以年度建设用地供应计划为指引，收集相关资料情况协助制定海洋新城及会展新城片区、机场及周边片区、蛇口及大小南山片区、宝中及大铲湾片区、三湾片区计划分布指引文件，梳理各片区土地现状利用情况及土地供应环节的问题，把控各片区新增建设用地供应节奏，有序、有重点的安排前海土地资源供应，推进2024年度建设用地供应计划目标的完成。</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4.构建重点项目专项项目库。</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内业清查。梳理范围内城市更新、土地整备、基础设施、公共配套、公共住房建设、土地出让、重点产业等重点项目的名称、位置、责任单位、建设内容、建设规模、进度、计划基本信息。</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外业调查。对重点项目开展现场实地踏勘和调研，调研了解相关信息，核实现状情况及开发建设情况等，形成重点项目分布图和基本信息情况表。</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重点项目数据建库。对内外业调查的数据进行整合，按空间数据库管理规范对数据进行拓扑分析、属性完善补充、制图表达等优化整理，按数据库结构进行系统的信息录入。1.规划实施情况及用地需求调查。</w:t>
      </w:r>
    </w:p>
    <w:p>
      <w:pPr>
        <w:spacing w:line="400" w:lineRule="exact"/>
        <w:ind w:firstLine="562" w:firstLineChars="200"/>
        <w:jc w:val="left"/>
        <w:outlineLvl w:val="2"/>
        <w:rPr>
          <w:rFonts w:ascii="仿宋" w:hAnsi="仿宋" w:eastAsia="仿宋" w:cs="仿宋"/>
          <w:b/>
          <w:sz w:val="28"/>
          <w:szCs w:val="28"/>
        </w:rPr>
      </w:pPr>
      <w:r>
        <w:rPr>
          <w:rFonts w:hint="eastAsia" w:ascii="仿宋" w:hAnsi="仿宋" w:eastAsia="仿宋" w:cs="仿宋"/>
          <w:b/>
          <w:sz w:val="28"/>
          <w:szCs w:val="28"/>
        </w:rPr>
        <w:t>三、商务要求</w:t>
      </w:r>
      <w:bookmarkEnd w:id="177"/>
      <w:bookmarkEnd w:id="178"/>
      <w:bookmarkEnd w:id="179"/>
      <w:bookmarkEnd w:id="180"/>
      <w:bookmarkEnd w:id="181"/>
      <w:bookmarkEnd w:id="182"/>
      <w:bookmarkEnd w:id="183"/>
      <w:bookmarkEnd w:id="184"/>
    </w:p>
    <w:bookmarkEnd w:id="162"/>
    <w:p>
      <w:pPr>
        <w:spacing w:line="400" w:lineRule="exact"/>
        <w:ind w:firstLine="482" w:firstLineChars="200"/>
        <w:rPr>
          <w:rFonts w:ascii="仿宋" w:hAnsi="仿宋" w:eastAsia="仿宋" w:cs="仿宋"/>
          <w:b/>
          <w:bCs/>
          <w:sz w:val="24"/>
          <w:szCs w:val="21"/>
        </w:rPr>
      </w:pPr>
      <w:r>
        <w:rPr>
          <w:rFonts w:hint="eastAsia" w:ascii="仿宋" w:hAnsi="仿宋" w:eastAsia="仿宋" w:cs="仿宋"/>
          <w:b/>
          <w:bCs/>
          <w:sz w:val="24"/>
          <w:szCs w:val="21"/>
        </w:rPr>
        <w:t>（一）项目服务期限</w:t>
      </w:r>
    </w:p>
    <w:p>
      <w:pPr>
        <w:spacing w:line="400" w:lineRule="exact"/>
        <w:ind w:firstLine="720" w:firstLineChars="300"/>
        <w:rPr>
          <w:rFonts w:ascii="仿宋" w:hAnsi="仿宋" w:eastAsia="仿宋" w:cs="仿宋"/>
          <w:sz w:val="24"/>
          <w:szCs w:val="21"/>
        </w:rPr>
      </w:pPr>
      <w:r>
        <w:rPr>
          <w:rFonts w:hint="eastAsia" w:ascii="仿宋" w:hAnsi="仿宋" w:eastAsia="仿宋" w:cs="仿宋"/>
          <w:sz w:val="24"/>
          <w:szCs w:val="21"/>
        </w:rPr>
        <w:t>招标服务期限为合同签订之日起</w:t>
      </w:r>
      <w:r>
        <w:rPr>
          <w:rFonts w:ascii="仿宋" w:hAnsi="仿宋" w:eastAsia="仿宋" w:cs="仿宋"/>
          <w:sz w:val="24"/>
          <w:szCs w:val="21"/>
          <w:highlight w:val="none"/>
        </w:rPr>
        <w:t>6</w:t>
      </w:r>
      <w:r>
        <w:rPr>
          <w:rFonts w:hint="eastAsia" w:ascii="仿宋" w:hAnsi="仿宋" w:eastAsia="仿宋" w:cs="仿宋"/>
          <w:sz w:val="24"/>
          <w:szCs w:val="21"/>
        </w:rPr>
        <w:t>个月。</w:t>
      </w:r>
    </w:p>
    <w:p>
      <w:pPr>
        <w:spacing w:line="400" w:lineRule="exact"/>
        <w:ind w:firstLine="720" w:firstLineChars="300"/>
        <w:rPr>
          <w:rFonts w:ascii="仿宋" w:hAnsi="仿宋" w:eastAsia="仿宋" w:cs="仿宋"/>
          <w:sz w:val="24"/>
          <w:szCs w:val="21"/>
        </w:rPr>
      </w:pPr>
      <w:r>
        <w:rPr>
          <w:rFonts w:hint="eastAsia" w:ascii="仿宋" w:hAnsi="仿宋" w:eastAsia="仿宋" w:cs="仿宋"/>
          <w:sz w:val="24"/>
          <w:szCs w:val="21"/>
        </w:rPr>
        <w:t>售后服务期限为项目成果通过验收之日起</w:t>
      </w:r>
      <w:r>
        <w:rPr>
          <w:rFonts w:ascii="仿宋" w:hAnsi="仿宋" w:eastAsia="仿宋" w:cs="仿宋"/>
          <w:sz w:val="24"/>
          <w:szCs w:val="21"/>
          <w:highlight w:val="none"/>
        </w:rPr>
        <w:t>6</w:t>
      </w:r>
      <w:r>
        <w:rPr>
          <w:rFonts w:hint="eastAsia" w:ascii="仿宋" w:hAnsi="仿宋" w:eastAsia="仿宋" w:cs="仿宋"/>
          <w:sz w:val="24"/>
          <w:szCs w:val="21"/>
        </w:rPr>
        <w:t>个月。</w:t>
      </w:r>
    </w:p>
    <w:p>
      <w:pPr>
        <w:numPr>
          <w:ilvl w:val="0"/>
          <w:numId w:val="1"/>
        </w:numPr>
        <w:spacing w:line="400" w:lineRule="exact"/>
        <w:ind w:firstLine="482" w:firstLineChars="200"/>
        <w:rPr>
          <w:rFonts w:ascii="仿宋" w:hAnsi="仿宋" w:eastAsia="仿宋" w:cs="仿宋"/>
          <w:b/>
          <w:bCs/>
          <w:sz w:val="24"/>
          <w:szCs w:val="21"/>
        </w:rPr>
      </w:pPr>
      <w:r>
        <w:rPr>
          <w:rFonts w:hint="eastAsia" w:ascii="仿宋" w:hAnsi="仿宋" w:eastAsia="仿宋" w:cs="仿宋"/>
          <w:b/>
          <w:bCs/>
          <w:sz w:val="24"/>
          <w:szCs w:val="21"/>
        </w:rPr>
        <w:t>付款要求及支付方式</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1.报价组成</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项目采购预算为人民币壹佰贰拾柒万元整（￥1,</w:t>
      </w:r>
      <w:r>
        <w:rPr>
          <w:rFonts w:ascii="仿宋" w:hAnsi="仿宋" w:eastAsia="仿宋" w:cs="仿宋"/>
          <w:sz w:val="24"/>
          <w:szCs w:val="21"/>
        </w:rPr>
        <w:t>016</w:t>
      </w:r>
      <w:r>
        <w:rPr>
          <w:rFonts w:hint="eastAsia" w:ascii="仿宋" w:hAnsi="仿宋" w:eastAsia="仿宋" w:cs="仿宋"/>
          <w:sz w:val="24"/>
          <w:szCs w:val="21"/>
        </w:rPr>
        <w:t>,000.00元），投标报价不应超过采购预算，投标报价包含投标人投标及项目履约过程一切费用。</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中标人合同费用应包括项目服务、成果报告编制等过程中的全部费用。在合同实施期间，除另签补充合同外，不接受中标人以任何理由、任何名目提出增加费用的要求。</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本项目报价包含：调查费用、研究费用、项目评审及成果制作费、后期服务费、专项费、管理费、税费等。</w:t>
      </w:r>
    </w:p>
    <w:p>
      <w:pPr>
        <w:pStyle w:val="19"/>
        <w:spacing w:before="0" w:beforeAutospacing="0" w:after="0" w:afterAutospacing="0" w:line="300" w:lineRule="auto"/>
        <w:ind w:firstLine="480" w:firstLineChars="200"/>
        <w:rPr>
          <w:rFonts w:ascii="仿宋" w:hAnsi="仿宋" w:eastAsia="仿宋"/>
          <w:kern w:val="2"/>
        </w:rPr>
      </w:pPr>
      <w:r>
        <w:rPr>
          <w:rFonts w:hint="eastAsia" w:ascii="仿宋" w:hAnsi="仿宋" w:eastAsia="仿宋"/>
          <w:kern w:val="2"/>
        </w:rPr>
        <w:t>2.支付方式</w:t>
      </w:r>
    </w:p>
    <w:p>
      <w:pPr>
        <w:spacing w:line="400" w:lineRule="exact"/>
        <w:ind w:firstLine="480" w:firstLineChars="200"/>
        <w:rPr>
          <w:rFonts w:ascii="仿宋" w:hAnsi="仿宋" w:eastAsia="仿宋" w:cs="仿宋"/>
          <w:sz w:val="24"/>
          <w:szCs w:val="21"/>
        </w:rPr>
      </w:pPr>
      <w:bookmarkStart w:id="185" w:name="_Hlk155370203"/>
      <w:r>
        <w:rPr>
          <w:rFonts w:hint="eastAsia" w:ascii="仿宋" w:hAnsi="仿宋" w:eastAsia="仿宋" w:cs="仿宋"/>
          <w:sz w:val="24"/>
          <w:szCs w:val="21"/>
        </w:rPr>
        <w:t>合同价款由采购人分三期付至中标人指定银行账户，支付比例为</w:t>
      </w:r>
      <w:r>
        <w:rPr>
          <w:rFonts w:ascii="仿宋" w:hAnsi="仿宋" w:eastAsia="仿宋" w:cs="仿宋"/>
          <w:sz w:val="24"/>
          <w:szCs w:val="21"/>
        </w:rPr>
        <w:t>3</w:t>
      </w:r>
      <w:r>
        <w:rPr>
          <w:rFonts w:hint="eastAsia" w:ascii="仿宋" w:hAnsi="仿宋" w:eastAsia="仿宋" w:cs="仿宋"/>
          <w:sz w:val="24"/>
          <w:szCs w:val="21"/>
        </w:rPr>
        <w:t>0%、</w:t>
      </w:r>
      <w:r>
        <w:rPr>
          <w:rFonts w:ascii="仿宋" w:hAnsi="仿宋" w:eastAsia="仿宋" w:cs="仿宋"/>
          <w:sz w:val="24"/>
          <w:szCs w:val="21"/>
        </w:rPr>
        <w:t>40</w:t>
      </w:r>
      <w:r>
        <w:rPr>
          <w:rFonts w:hint="eastAsia" w:ascii="仿宋" w:hAnsi="仿宋" w:eastAsia="仿宋" w:cs="仿宋"/>
          <w:sz w:val="24"/>
          <w:szCs w:val="21"/>
        </w:rPr>
        <w:t>%、</w:t>
      </w:r>
      <w:r>
        <w:rPr>
          <w:rFonts w:ascii="仿宋" w:hAnsi="仿宋" w:eastAsia="仿宋" w:cs="仿宋"/>
          <w:sz w:val="24"/>
          <w:szCs w:val="21"/>
        </w:rPr>
        <w:t>30</w:t>
      </w:r>
      <w:r>
        <w:rPr>
          <w:rFonts w:hint="eastAsia" w:ascii="仿宋" w:hAnsi="仿宋" w:eastAsia="仿宋" w:cs="仿宋"/>
          <w:sz w:val="24"/>
          <w:szCs w:val="21"/>
        </w:rPr>
        <w:t>%。</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第一期费用：自本合同签订之日起15个工作日内，根据中标人提出的付款申请，采购人向中标人支付本年期合同价款的</w:t>
      </w:r>
      <w:r>
        <w:rPr>
          <w:rFonts w:ascii="仿宋" w:hAnsi="仿宋" w:eastAsia="仿宋" w:cs="仿宋"/>
          <w:sz w:val="24"/>
          <w:szCs w:val="21"/>
        </w:rPr>
        <w:t>3</w:t>
      </w:r>
      <w:r>
        <w:rPr>
          <w:rFonts w:hint="eastAsia" w:ascii="仿宋" w:hAnsi="仿宋" w:eastAsia="仿宋" w:cs="仿宋"/>
          <w:sz w:val="24"/>
          <w:szCs w:val="21"/>
        </w:rPr>
        <w:t>0%。</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第二期费用：供应计划通过市政府审批后，根据中标人提出的付款申请，采购人向中标人支付合同总费用的</w:t>
      </w:r>
      <w:r>
        <w:rPr>
          <w:rFonts w:ascii="仿宋" w:hAnsi="仿宋" w:eastAsia="仿宋" w:cs="仿宋"/>
          <w:sz w:val="24"/>
          <w:szCs w:val="21"/>
        </w:rPr>
        <w:t>40</w:t>
      </w:r>
      <w:r>
        <w:rPr>
          <w:rFonts w:hint="eastAsia" w:ascii="仿宋" w:hAnsi="仿宋" w:eastAsia="仿宋" w:cs="仿宋"/>
          <w:sz w:val="24"/>
          <w:szCs w:val="21"/>
        </w:rPr>
        <w:t>%。</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第三期费用：中标人提交项目最终成果后，根据中标人提出的付款申请，采购人向中标人支付合同总费用的</w:t>
      </w:r>
      <w:r>
        <w:rPr>
          <w:rFonts w:ascii="仿宋" w:hAnsi="仿宋" w:eastAsia="仿宋" w:cs="仿宋"/>
          <w:sz w:val="24"/>
          <w:szCs w:val="21"/>
        </w:rPr>
        <w:t>30</w:t>
      </w:r>
      <w:r>
        <w:rPr>
          <w:rFonts w:hint="eastAsia" w:ascii="仿宋" w:hAnsi="仿宋" w:eastAsia="仿宋" w:cs="仿宋"/>
          <w:sz w:val="24"/>
          <w:szCs w:val="21"/>
        </w:rPr>
        <w:t>%。</w:t>
      </w:r>
      <w:bookmarkEnd w:id="185"/>
    </w:p>
    <w:p>
      <w:pPr>
        <w:spacing w:line="400" w:lineRule="exact"/>
        <w:ind w:firstLine="480" w:firstLineChars="200"/>
        <w:rPr>
          <w:rFonts w:ascii="仿宋" w:hAnsi="仿宋" w:eastAsia="仿宋" w:cs="仿宋"/>
          <w:sz w:val="24"/>
          <w:szCs w:val="21"/>
        </w:rPr>
      </w:pPr>
      <w:r>
        <w:rPr>
          <w:rFonts w:ascii="仿宋" w:hAnsi="仿宋" w:eastAsia="仿宋" w:cs="仿宋"/>
          <w:sz w:val="24"/>
          <w:szCs w:val="21"/>
        </w:rPr>
        <w:t>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r>
        <w:rPr>
          <w:rFonts w:hint="eastAsia" w:ascii="仿宋" w:hAnsi="仿宋" w:eastAsia="仿宋" w:cs="仿宋"/>
          <w:sz w:val="24"/>
          <w:szCs w:val="21"/>
        </w:rPr>
        <w:t>。</w:t>
      </w:r>
    </w:p>
    <w:p>
      <w:pPr>
        <w:spacing w:line="400" w:lineRule="exact"/>
        <w:ind w:firstLine="422" w:firstLineChars="200"/>
        <w:rPr>
          <w:rFonts w:ascii="仿宋" w:hAnsi="仿宋" w:eastAsia="仿宋" w:cs="仿宋"/>
          <w:b/>
          <w:bCs/>
          <w:sz w:val="24"/>
          <w:szCs w:val="21"/>
        </w:rPr>
      </w:pPr>
      <w:r>
        <w:rPr>
          <w:rFonts w:hint="eastAsia" w:ascii="宋体" w:hAnsi="宋体"/>
          <w:b/>
          <w:bCs/>
          <w:szCs w:val="21"/>
        </w:rPr>
        <w:t>（</w:t>
      </w:r>
      <w:r>
        <w:rPr>
          <w:rFonts w:hint="eastAsia" w:ascii="仿宋" w:hAnsi="仿宋" w:eastAsia="仿宋" w:cs="仿宋"/>
          <w:b/>
          <w:bCs/>
          <w:sz w:val="24"/>
          <w:szCs w:val="21"/>
        </w:rPr>
        <w:t>三）成果要求及验收方式</w:t>
      </w:r>
    </w:p>
    <w:p>
      <w:pPr>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1、最终成果构成如下（包括但不限于）：</w:t>
      </w:r>
    </w:p>
    <w:p>
      <w:pPr>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（1）前海合作区近期可供建设用地数据库；</w:t>
      </w:r>
    </w:p>
    <w:p>
      <w:pPr>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（2）前海合作区2024年度土地供应计划文本；</w:t>
      </w:r>
    </w:p>
    <w:p>
      <w:pPr>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（3）前海合作区2024年度土地供应分布指引文件；</w:t>
      </w:r>
    </w:p>
    <w:p>
      <w:pPr>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（4）前海合作区土地供应重点项目数据库。</w:t>
      </w:r>
    </w:p>
    <w:p>
      <w:pPr>
        <w:spacing w:line="400" w:lineRule="exact"/>
        <w:ind w:firstLine="480" w:firstLineChars="200"/>
        <w:jc w:val="left"/>
        <w:rPr>
          <w:rFonts w:hint="eastAsia" w:ascii="仿宋" w:hAnsi="仿宋" w:eastAsia="仿宋" w:cs="仿宋"/>
          <w:sz w:val="24"/>
          <w:szCs w:val="21"/>
        </w:rPr>
      </w:pPr>
      <w:r>
        <w:rPr>
          <w:rFonts w:hint="eastAsia" w:ascii="仿宋" w:hAnsi="仿宋" w:eastAsia="仿宋" w:cs="仿宋"/>
          <w:sz w:val="24"/>
          <w:szCs w:val="21"/>
        </w:rPr>
        <w:t>2、</w:t>
      </w:r>
      <w:bookmarkStart w:id="186" w:name="_Hlk155877537"/>
      <w:r>
        <w:rPr>
          <w:rFonts w:hint="eastAsia" w:ascii="仿宋" w:hAnsi="仿宋" w:eastAsia="仿宋" w:cs="仿宋"/>
          <w:sz w:val="24"/>
          <w:szCs w:val="21"/>
        </w:rPr>
        <w:t>最终成果验收合格的标志为：</w:t>
      </w:r>
    </w:p>
    <w:p>
      <w:pPr>
        <w:spacing w:line="400" w:lineRule="exact"/>
        <w:ind w:firstLine="480" w:firstLineChars="200"/>
        <w:jc w:val="left"/>
        <w:rPr>
          <w:rFonts w:hint="eastAsia" w:ascii="仿宋" w:hAnsi="仿宋" w:eastAsia="仿宋" w:cs="仿宋"/>
          <w:sz w:val="24"/>
          <w:szCs w:val="21"/>
        </w:rPr>
      </w:pPr>
      <w:r>
        <w:rPr>
          <w:rFonts w:hint="eastAsia" w:ascii="仿宋" w:hAnsi="仿宋" w:eastAsia="仿宋" w:cs="仿宋"/>
          <w:sz w:val="24"/>
          <w:szCs w:val="21"/>
          <w:lang w:eastAsia="zh-CN"/>
        </w:rPr>
        <w:t>（</w:t>
      </w:r>
      <w:r>
        <w:rPr>
          <w:rFonts w:hint="eastAsia" w:ascii="仿宋" w:hAnsi="仿宋" w:eastAsia="仿宋" w:cs="仿宋"/>
          <w:sz w:val="24"/>
          <w:szCs w:val="21"/>
          <w:lang w:val="en-US" w:eastAsia="zh-CN"/>
        </w:rPr>
        <w:t>1）</w:t>
      </w:r>
      <w:r>
        <w:rPr>
          <w:rFonts w:hint="eastAsia" w:ascii="仿宋" w:hAnsi="仿宋" w:eastAsia="仿宋" w:cs="仿宋"/>
          <w:sz w:val="24"/>
          <w:szCs w:val="21"/>
        </w:rPr>
        <w:t>前海合作区2024年度土地供应计划文本通过市政府审批。</w:t>
      </w:r>
    </w:p>
    <w:p>
      <w:pPr>
        <w:spacing w:line="400" w:lineRule="exact"/>
        <w:ind w:firstLine="480" w:firstLineChars="200"/>
        <w:jc w:val="left"/>
        <w:rPr>
          <w:rFonts w:hint="eastAsia" w:ascii="仿宋" w:hAnsi="仿宋" w:eastAsia="仿宋" w:cs="仿宋"/>
          <w:sz w:val="24"/>
          <w:szCs w:val="21"/>
        </w:rPr>
      </w:pPr>
      <w:r>
        <w:rPr>
          <w:rFonts w:hint="eastAsia" w:ascii="仿宋" w:hAnsi="仿宋" w:eastAsia="仿宋" w:cs="仿宋"/>
          <w:sz w:val="24"/>
          <w:szCs w:val="21"/>
          <w:lang w:eastAsia="zh-CN"/>
        </w:rPr>
        <w:t>（</w:t>
      </w:r>
      <w:r>
        <w:rPr>
          <w:rFonts w:hint="eastAsia" w:ascii="仿宋" w:hAnsi="仿宋" w:eastAsia="仿宋" w:cs="仿宋"/>
          <w:sz w:val="24"/>
          <w:szCs w:val="21"/>
          <w:lang w:val="en-US" w:eastAsia="zh-CN"/>
        </w:rPr>
        <w:t>2）</w:t>
      </w:r>
      <w:r>
        <w:rPr>
          <w:rFonts w:hint="eastAsia" w:ascii="仿宋" w:hAnsi="仿宋" w:eastAsia="仿宋" w:cs="仿宋"/>
          <w:sz w:val="24"/>
          <w:szCs w:val="21"/>
        </w:rPr>
        <w:t>履约评价</w:t>
      </w:r>
      <w:r>
        <w:rPr>
          <w:rFonts w:hint="eastAsia" w:ascii="仿宋" w:hAnsi="仿宋" w:eastAsia="仿宋" w:cs="仿宋"/>
          <w:sz w:val="24"/>
          <w:szCs w:val="21"/>
          <w:lang w:val="en-US" w:eastAsia="zh-CN"/>
        </w:rPr>
        <w:t>合格</w:t>
      </w:r>
      <w:r>
        <w:rPr>
          <w:rFonts w:hint="eastAsia" w:ascii="仿宋" w:hAnsi="仿宋" w:eastAsia="仿宋" w:cs="仿宋"/>
          <w:sz w:val="24"/>
          <w:szCs w:val="21"/>
        </w:rPr>
        <w:t>：项目主管处室在服务期满前1个月内组织对合同履约情况进行评价</w:t>
      </w:r>
      <w:r>
        <w:rPr>
          <w:rFonts w:hint="eastAsia" w:ascii="仿宋" w:hAnsi="仿宋" w:eastAsia="仿宋" w:cs="仿宋"/>
          <w:sz w:val="24"/>
          <w:szCs w:val="21"/>
          <w:lang w:val="en-US" w:eastAsia="zh-CN"/>
        </w:rPr>
        <w:t>合格</w:t>
      </w:r>
      <w:r>
        <w:rPr>
          <w:rFonts w:hint="eastAsia" w:ascii="仿宋" w:hAnsi="仿宋" w:eastAsia="仿宋" w:cs="仿宋"/>
          <w:sz w:val="24"/>
          <w:szCs w:val="21"/>
        </w:rPr>
        <w:t>。</w:t>
      </w:r>
    </w:p>
    <w:p>
      <w:pPr>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lang w:eastAsia="zh-CN"/>
        </w:rPr>
        <w:t>（</w:t>
      </w:r>
      <w:r>
        <w:rPr>
          <w:rFonts w:hint="eastAsia" w:ascii="仿宋" w:hAnsi="仿宋" w:eastAsia="仿宋" w:cs="仿宋"/>
          <w:sz w:val="24"/>
          <w:szCs w:val="21"/>
          <w:lang w:val="en-US" w:eastAsia="zh-CN"/>
        </w:rPr>
        <w:t>3）</w:t>
      </w:r>
      <w:r>
        <w:rPr>
          <w:rFonts w:hint="eastAsia" w:ascii="仿宋" w:hAnsi="仿宋" w:eastAsia="仿宋" w:cs="仿宋"/>
          <w:sz w:val="24"/>
          <w:szCs w:val="21"/>
        </w:rPr>
        <w:t>汇总提交所有成果并归档。</w:t>
      </w:r>
      <w:bookmarkEnd w:id="186"/>
    </w:p>
    <w:p>
      <w:pPr>
        <w:ind w:firstLine="420"/>
        <w:rPr>
          <w:rFonts w:ascii="仿宋" w:hAnsi="仿宋" w:eastAsia="仿宋" w:cs="仿宋"/>
          <w:sz w:val="24"/>
          <w:szCs w:val="21"/>
        </w:rPr>
      </w:pPr>
      <w:r>
        <w:rPr>
          <w:rFonts w:hint="eastAsia" w:ascii="仿宋" w:hAnsi="仿宋" w:eastAsia="仿宋" w:cs="仿宋"/>
          <w:sz w:val="24"/>
          <w:szCs w:val="21"/>
        </w:rPr>
        <w:t>3、进度安排：</w:t>
      </w:r>
    </w:p>
    <w:p>
      <w:pPr>
        <w:ind w:firstLine="420"/>
        <w:rPr>
          <w:rFonts w:ascii="仿宋" w:hAnsi="仿宋" w:eastAsia="仿宋" w:cs="仿宋"/>
          <w:sz w:val="24"/>
          <w:szCs w:val="21"/>
        </w:rPr>
      </w:pPr>
      <w:r>
        <w:rPr>
          <w:rFonts w:hint="eastAsia" w:ascii="仿宋" w:hAnsi="仿宋" w:eastAsia="仿宋" w:cs="仿宋"/>
          <w:sz w:val="24"/>
          <w:szCs w:val="21"/>
        </w:rPr>
        <w:t>第一阶段：收集资料,全面梳理前海合作区范围内规划及用地需求，对前海合作区范围用地进行潜力分析，形成潜力项目库以及2024年度供应计划文本初步成果。</w:t>
      </w:r>
    </w:p>
    <w:p>
      <w:pPr>
        <w:ind w:firstLine="420"/>
        <w:rPr>
          <w:rFonts w:ascii="仿宋" w:hAnsi="仿宋" w:eastAsia="仿宋" w:cs="仿宋"/>
          <w:sz w:val="24"/>
          <w:szCs w:val="21"/>
        </w:rPr>
      </w:pPr>
      <w:r>
        <w:rPr>
          <w:rFonts w:hint="eastAsia" w:ascii="仿宋" w:hAnsi="仿宋" w:eastAsia="仿宋" w:cs="仿宋"/>
          <w:sz w:val="24"/>
          <w:szCs w:val="21"/>
        </w:rPr>
        <w:t>第二阶段：征求相关部门意见，进一步修改完善，完成2024年度供应计划最终成果以及分布指引初步成果。</w:t>
      </w:r>
    </w:p>
    <w:p>
      <w:pPr>
        <w:ind w:firstLine="420"/>
        <w:rPr>
          <w:rFonts w:ascii="宋体" w:hAnsi="宋体"/>
          <w:sz w:val="28"/>
          <w:szCs w:val="28"/>
        </w:rPr>
      </w:pPr>
      <w:r>
        <w:rPr>
          <w:rFonts w:hint="eastAsia" w:ascii="仿宋" w:hAnsi="仿宋" w:eastAsia="仿宋" w:cs="仿宋"/>
          <w:sz w:val="24"/>
          <w:szCs w:val="21"/>
        </w:rPr>
        <w:t>第三阶段：完善分布指引，形成分布指引文件和项目库最终成果。同时，为建设用地后续供应提供指导及辅助工作。</w:t>
      </w:r>
    </w:p>
    <w:p>
      <w:pPr>
        <w:spacing w:line="400" w:lineRule="exact"/>
        <w:ind w:firstLine="482" w:firstLineChars="200"/>
        <w:jc w:val="left"/>
        <w:rPr>
          <w:rFonts w:ascii="仿宋" w:hAnsi="仿宋" w:eastAsia="仿宋" w:cs="仿宋"/>
          <w:b/>
          <w:bCs/>
          <w:sz w:val="24"/>
        </w:rPr>
      </w:pPr>
      <w:r>
        <w:rPr>
          <w:rFonts w:hint="eastAsia" w:ascii="仿宋" w:hAnsi="仿宋" w:eastAsia="仿宋" w:cs="仿宋"/>
          <w:b/>
          <w:bCs/>
          <w:sz w:val="24"/>
        </w:rPr>
        <w:t>（四）其他要求</w:t>
      </w:r>
    </w:p>
    <w:p>
      <w:pPr>
        <w:pStyle w:val="22"/>
        <w:ind w:left="0" w:leftChars="0" w:firstLineChars="0"/>
        <w:rPr>
          <w:rFonts w:ascii="仿宋" w:hAnsi="仿宋" w:eastAsia="仿宋" w:cs="仿宋"/>
          <w:sz w:val="24"/>
        </w:rPr>
      </w:pPr>
      <w:r>
        <w:rPr>
          <w:rFonts w:hint="eastAsia" w:ascii="仿宋" w:hAnsi="仿宋" w:eastAsia="仿宋" w:cs="仿宋"/>
          <w:sz w:val="24"/>
        </w:rPr>
        <w:t>1.项目总负责人：具有土地或规划相关专业高级及以上职称。</w:t>
      </w:r>
    </w:p>
    <w:p>
      <w:pPr>
        <w:pStyle w:val="22"/>
        <w:ind w:left="0" w:leftChars="0" w:firstLineChars="0"/>
        <w:rPr>
          <w:rFonts w:ascii="仿宋" w:hAnsi="仿宋" w:eastAsia="仿宋" w:cs="仿宋"/>
          <w:sz w:val="24"/>
        </w:rPr>
      </w:pPr>
      <w:r>
        <w:rPr>
          <w:rFonts w:hint="eastAsia" w:ascii="仿宋" w:hAnsi="仿宋" w:eastAsia="仿宋" w:cs="仿宋"/>
          <w:sz w:val="24"/>
        </w:rPr>
        <w:t>2.技术团队：由中标人组建技术团队，作为技术支撑和技术协调的主要力量。人员专业可包括土地资源管理、地理信息系统、城乡规划等。项目组人员未经采购单位批准不得撤换，否则视为中标单位违约。对不合格或违纪的咨询人员，采购人可要求中标人撤换，直至采购单位认可。</w:t>
      </w:r>
    </w:p>
    <w:p>
      <w:pPr>
        <w:ind w:firstLine="420"/>
        <w:rPr>
          <w:rFonts w:ascii="仿宋" w:hAnsi="仿宋" w:eastAsia="仿宋" w:cs="仿宋"/>
          <w:sz w:val="24"/>
          <w:szCs w:val="21"/>
        </w:rPr>
      </w:pPr>
      <w:r>
        <w:rPr>
          <w:rFonts w:hint="eastAsia" w:ascii="仿宋" w:hAnsi="仿宋" w:eastAsia="仿宋" w:cs="仿宋"/>
          <w:sz w:val="24"/>
        </w:rPr>
        <w:t>3.中标人项目负责人及团队成员必须常驻深圳开展工作，按工作要求配备足够的专业人员和支持人员，具有完善的人员组织管理体系，确保设计咨询工作顺利完成。</w:t>
      </w:r>
      <w:r>
        <w:rPr>
          <w:rFonts w:hint="eastAsia" w:ascii="仿宋" w:hAnsi="仿宋" w:eastAsia="仿宋" w:cs="仿宋"/>
          <w:sz w:val="24"/>
          <w:szCs w:val="21"/>
        </w:rPr>
        <w:t>中标人变更项目负责人的，应当在5个工作日内以书面形式通知采购人。未及时通知并影响本合同履行或造成损失的，应承担相应的责任。中标人变更通讯地址或者联系方式，应及时将变更后的地址、联系方式通知采购人，否则中标人应对此造成的一切后果承担责任。</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★（五）知识产权</w:t>
      </w:r>
    </w:p>
    <w:p>
      <w:pPr>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1.本项目全部阶段性成果和最终成果的所有权、知识产权以及与之相关的所有权利归采购方所有。</w:t>
      </w:r>
    </w:p>
    <w:p>
      <w:pPr>
        <w:pStyle w:val="2"/>
        <w:numPr>
          <w:ilvl w:val="255"/>
          <w:numId w:val="0"/>
        </w:numPr>
        <w:spacing w:after="0" w:line="400" w:lineRule="exact"/>
        <w:ind w:firstLine="480" w:firstLineChars="200"/>
        <w:rPr>
          <w:rFonts w:ascii="仿宋" w:hAnsi="仿宋" w:eastAsia="仿宋" w:cs="仿宋"/>
          <w:sz w:val="24"/>
        </w:rPr>
      </w:pPr>
      <w:r>
        <w:rPr>
          <w:rFonts w:hint="eastAsia" w:ascii="仿宋" w:hAnsi="仿宋" w:eastAsia="仿宋" w:cs="仿宋"/>
          <w:sz w:val="24"/>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pPr>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autoSpaceDE w:val="0"/>
        <w:autoSpaceDN w:val="0"/>
        <w:adjustRightInd w:val="0"/>
        <w:spacing w:line="400" w:lineRule="exact"/>
        <w:ind w:firstLine="480" w:firstLineChars="200"/>
        <w:jc w:val="left"/>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w:t>
      </w:r>
    </w:p>
    <w:p>
      <w:pPr>
        <w:pStyle w:val="2"/>
        <w:spacing w:line="400" w:lineRule="exact"/>
        <w:ind w:firstLine="480" w:firstLineChars="200"/>
      </w:pP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中标单位完成本合同项目的研究开发人员享有在有关成果文件上写明成果完成者的权利和与采购方共同获得有关荣誉证书、奖励的权利。</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★（六）违约责任</w:t>
      </w:r>
    </w:p>
    <w:p>
      <w:pPr>
        <w:pStyle w:val="1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1.因中标单位原因，未能按规定时间完成有关工作的，每延误一天，采购方自尚未支付的合同款项中扣除合同</w:t>
      </w:r>
      <w:r>
        <w:rPr>
          <w:rFonts w:ascii="仿宋" w:hAnsi="仿宋" w:eastAsia="仿宋" w:cs="仿宋"/>
          <w:sz w:val="24"/>
          <w:szCs w:val="24"/>
        </w:rPr>
        <w:t>服务总金额的5‰的逾期违约金</w:t>
      </w:r>
      <w:r>
        <w:rPr>
          <w:rFonts w:hint="eastAsia" w:ascii="仿宋" w:hAnsi="仿宋" w:eastAsia="仿宋" w:cs="仿宋"/>
          <w:sz w:val="24"/>
          <w:szCs w:val="24"/>
        </w:rPr>
        <w:t>。</w:t>
      </w:r>
    </w:p>
    <w:p>
      <w:pPr>
        <w:pStyle w:val="1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2.由于中标单位原因造成成果质量低劣，不能满足本合同要求时，应继续完善成果，其费用由中标单位承担。</w:t>
      </w:r>
    </w:p>
    <w:p>
      <w:pPr>
        <w:pStyle w:val="10"/>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3.如中标单位提供的服务或成果不符合质量要求，必须在采购方提出要求后7个日历日内无条件修改，其费用由中标单位承担。</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4.本</w:t>
      </w:r>
      <w:r>
        <w:rPr>
          <w:rFonts w:ascii="仿宋" w:hAnsi="仿宋" w:eastAsia="仿宋" w:cs="仿宋"/>
          <w:sz w:val="24"/>
        </w:rPr>
        <w:t>合同</w:t>
      </w:r>
      <w:r>
        <w:rPr>
          <w:rFonts w:hint="eastAsia" w:ascii="仿宋" w:hAnsi="仿宋" w:eastAsia="仿宋" w:cs="仿宋"/>
          <w:sz w:val="24"/>
        </w:rPr>
        <w:t>履行期间，发生下述情形时，采购方有权解除本</w:t>
      </w:r>
      <w:r>
        <w:rPr>
          <w:rFonts w:ascii="仿宋" w:hAnsi="仿宋" w:eastAsia="仿宋" w:cs="仿宋"/>
          <w:sz w:val="24"/>
        </w:rPr>
        <w:t>合同</w:t>
      </w:r>
      <w:r>
        <w:rPr>
          <w:rFonts w:hint="eastAsia" w:ascii="仿宋" w:hAnsi="仿宋" w:eastAsia="仿宋" w:cs="仿宋"/>
          <w:sz w:val="24"/>
        </w:rPr>
        <w:t>，</w:t>
      </w:r>
      <w:r>
        <w:rPr>
          <w:rFonts w:ascii="仿宋" w:hAnsi="仿宋" w:eastAsia="仿宋" w:cs="仿宋"/>
          <w:sz w:val="24"/>
        </w:rPr>
        <w:t>中标单位</w:t>
      </w:r>
      <w:r>
        <w:rPr>
          <w:rFonts w:hint="eastAsia" w:ascii="仿宋" w:hAnsi="仿宋" w:eastAsia="仿宋" w:cs="仿宋"/>
          <w:sz w:val="24"/>
        </w:rPr>
        <w:t>除应退还</w:t>
      </w:r>
      <w:r>
        <w:rPr>
          <w:rFonts w:ascii="仿宋" w:hAnsi="仿宋" w:eastAsia="仿宋" w:cs="仿宋"/>
          <w:sz w:val="24"/>
        </w:rPr>
        <w:t>采购方</w:t>
      </w:r>
      <w:r>
        <w:rPr>
          <w:rFonts w:hint="eastAsia" w:ascii="仿宋" w:hAnsi="仿宋" w:eastAsia="仿宋" w:cs="仿宋"/>
          <w:sz w:val="24"/>
        </w:rPr>
        <w:t>已支付的全部款项外,还应在合同解除通知发出之日起10日内向</w:t>
      </w:r>
      <w:r>
        <w:rPr>
          <w:rFonts w:ascii="仿宋" w:hAnsi="仿宋" w:eastAsia="仿宋" w:cs="仿宋"/>
          <w:sz w:val="24"/>
        </w:rPr>
        <w:t>采购方</w:t>
      </w:r>
      <w:r>
        <w:rPr>
          <w:rFonts w:hint="eastAsia" w:ascii="仿宋" w:hAnsi="仿宋" w:eastAsia="仿宋" w:cs="仿宋"/>
          <w:sz w:val="24"/>
        </w:rPr>
        <w:t>支付合同总价款20%的违约金。</w:t>
      </w:r>
      <w:r>
        <w:rPr>
          <w:rFonts w:ascii="仿宋" w:hAnsi="仿宋" w:eastAsia="仿宋" w:cs="仿宋"/>
          <w:sz w:val="24"/>
        </w:rPr>
        <w:t>中标单位</w:t>
      </w:r>
      <w:r>
        <w:rPr>
          <w:rFonts w:hint="eastAsia" w:ascii="仿宋" w:hAnsi="仿宋" w:eastAsia="仿宋" w:cs="仿宋"/>
          <w:sz w:val="24"/>
        </w:rPr>
        <w:t>应同时将已完成的项目成果移交给</w:t>
      </w:r>
      <w:r>
        <w:rPr>
          <w:rFonts w:ascii="仿宋" w:hAnsi="仿宋" w:eastAsia="仿宋" w:cs="仿宋"/>
          <w:sz w:val="24"/>
        </w:rPr>
        <w:t>采购方</w:t>
      </w:r>
      <w:r>
        <w:rPr>
          <w:rFonts w:hint="eastAsia" w:ascii="仿宋" w:hAnsi="仿宋" w:eastAsia="仿宋" w:cs="仿宋"/>
          <w:sz w:val="24"/>
        </w:rPr>
        <w:t>，并将全部有关资料退还</w:t>
      </w:r>
      <w:r>
        <w:rPr>
          <w:rFonts w:ascii="仿宋" w:hAnsi="仿宋" w:eastAsia="仿宋" w:cs="仿宋"/>
          <w:sz w:val="24"/>
        </w:rPr>
        <w:t>采购方</w:t>
      </w:r>
      <w:r>
        <w:rPr>
          <w:rFonts w:hint="eastAsia" w:ascii="仿宋" w:hAnsi="仿宋" w:eastAsia="仿宋" w:cs="仿宋"/>
          <w:sz w:val="24"/>
        </w:rPr>
        <w:t>：</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(1)因中标单位工作的错误或遗漏造成成果质量不符合本合同要求，且中标单位未按采购方要求采取及时有效的补救措施的；</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(2)中标单位未能按合同约定的日期(含协商延缓的日期)提交工作成果，延误时间超过30个工作日；或中标单位虽如期提交阶段性成果和最终成果，但最终成果连续二次未能通过评审验收的；</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(3)发现中标单位或中标单位工作人员出现全部或部分丧失履行委托服务能力的情况，采购方有权通知中标单位限期整改或更换工作人员，期限届满中标单位并未进行改善的；</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(4)中标单位明确表示或者以自己的行为表明不履行本</w:t>
      </w:r>
      <w:r>
        <w:rPr>
          <w:rFonts w:ascii="仿宋" w:hAnsi="仿宋" w:eastAsia="仿宋" w:cs="仿宋"/>
          <w:sz w:val="24"/>
        </w:rPr>
        <w:t>合同</w:t>
      </w:r>
      <w:r>
        <w:rPr>
          <w:rFonts w:hint="eastAsia" w:ascii="仿宋" w:hAnsi="仿宋" w:eastAsia="仿宋" w:cs="仿宋"/>
          <w:sz w:val="24"/>
        </w:rPr>
        <w:t>的。</w:t>
      </w:r>
    </w:p>
    <w:p>
      <w:pPr>
        <w:pStyle w:val="2"/>
        <w:spacing w:after="0" w:line="400" w:lineRule="exact"/>
        <w:ind w:firstLine="480" w:firstLineChars="200"/>
        <w:rPr>
          <w:rFonts w:ascii="仿宋" w:hAnsi="仿宋" w:eastAsia="仿宋" w:cs="仿宋"/>
          <w:kern w:val="2"/>
          <w:sz w:val="24"/>
        </w:rPr>
      </w:pPr>
      <w:r>
        <w:rPr>
          <w:rFonts w:hint="eastAsia" w:ascii="仿宋" w:hAnsi="仿宋" w:eastAsia="仿宋" w:cs="仿宋"/>
          <w:kern w:val="2"/>
          <w:sz w:val="24"/>
        </w:rPr>
        <w:t xml:space="preserve">5.除因审批流程及财政部门预算下达延误影响采购方支出进度外，如采购方未按照本合同约定的时间支付服务费，中标单位书面催告采购方并给予不少于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20%的违约金。 </w:t>
      </w:r>
    </w:p>
    <w:p>
      <w:pPr>
        <w:pStyle w:val="2"/>
        <w:spacing w:after="0" w:line="400" w:lineRule="exact"/>
        <w:ind w:firstLine="480" w:firstLineChars="200"/>
        <w:rPr>
          <w:rFonts w:ascii="仿宋" w:hAnsi="仿宋" w:eastAsia="仿宋" w:cs="仿宋"/>
          <w:kern w:val="2"/>
          <w:sz w:val="24"/>
        </w:rPr>
      </w:pPr>
      <w:r>
        <w:rPr>
          <w:rFonts w:hint="eastAsia" w:ascii="仿宋" w:hAnsi="仿宋" w:eastAsia="仿宋" w:cs="仿宋"/>
          <w:kern w:val="2"/>
          <w:sz w:val="24"/>
        </w:rPr>
        <w:t>6.上述违约责任各自独立且可累加。如本合同所约定的违约金无法弥补因违约行为所造成的损失，违约方应补偿上述不足部分的损失。</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★（七）保密条款</w:t>
      </w:r>
    </w:p>
    <w:p>
      <w:pPr>
        <w:spacing w:line="400" w:lineRule="exact"/>
        <w:ind w:firstLine="480" w:firstLineChars="200"/>
        <w:rPr>
          <w:rFonts w:ascii="仿宋" w:hAnsi="仿宋" w:eastAsia="仿宋" w:cs="仿宋"/>
          <w:sz w:val="24"/>
        </w:rPr>
      </w:pPr>
      <w:r>
        <w:rPr>
          <w:rFonts w:hint="eastAsia" w:ascii="仿宋" w:hAnsi="仿宋" w:eastAsia="仿宋" w:cs="仿宋"/>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400" w:lineRule="exact"/>
        <w:ind w:firstLine="480" w:firstLineChars="200"/>
        <w:rPr>
          <w:rFonts w:ascii="仿宋" w:hAnsi="仿宋" w:eastAsia="仿宋" w:cs="仿宋"/>
          <w:sz w:val="24"/>
        </w:rPr>
      </w:pPr>
      <w:r>
        <w:rPr>
          <w:rFonts w:hint="eastAsia" w:ascii="仿宋" w:hAnsi="仿宋" w:eastAsia="仿宋" w:cs="仿宋"/>
          <w:sz w:val="24"/>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400" w:lineRule="exact"/>
        <w:ind w:firstLine="480" w:firstLineChars="200"/>
        <w:rPr>
          <w:rFonts w:ascii="仿宋" w:hAnsi="仿宋" w:eastAsia="仿宋" w:cs="仿宋"/>
          <w:sz w:val="24"/>
        </w:rPr>
      </w:pPr>
      <w:r>
        <w:rPr>
          <w:rFonts w:hint="eastAsia" w:ascii="仿宋" w:hAnsi="仿宋" w:eastAsia="仿宋" w:cs="仿宋"/>
          <w:sz w:val="24"/>
        </w:rPr>
        <w:t>3.中标单位实施项目的程序应符合国家安全、保密的有关规定和标准。</w:t>
      </w:r>
    </w:p>
    <w:p>
      <w:pPr>
        <w:spacing w:line="400" w:lineRule="exact"/>
        <w:ind w:firstLine="480" w:firstLineChars="200"/>
        <w:rPr>
          <w:rFonts w:ascii="仿宋" w:hAnsi="仿宋" w:eastAsia="仿宋" w:cs="仿宋"/>
          <w:sz w:val="24"/>
        </w:rPr>
      </w:pPr>
      <w:r>
        <w:rPr>
          <w:rFonts w:hint="eastAsia" w:ascii="仿宋" w:hAnsi="仿宋" w:eastAsia="仿宋" w:cs="仿宋"/>
          <w:sz w:val="24"/>
        </w:rPr>
        <w:t>4.上述保密义务不适用以下情况：</w:t>
      </w:r>
    </w:p>
    <w:p>
      <w:pPr>
        <w:spacing w:line="400" w:lineRule="exact"/>
        <w:ind w:firstLine="480" w:firstLineChars="200"/>
        <w:rPr>
          <w:rFonts w:ascii="仿宋" w:hAnsi="仿宋" w:eastAsia="仿宋" w:cs="仿宋"/>
          <w:sz w:val="24"/>
        </w:rPr>
      </w:pPr>
      <w:r>
        <w:rPr>
          <w:rFonts w:hint="eastAsia" w:ascii="仿宋" w:hAnsi="仿宋" w:eastAsia="仿宋" w:cs="仿宋"/>
          <w:sz w:val="24"/>
        </w:rPr>
        <w:t>（1）获取的信息已被合法公开；</w:t>
      </w:r>
    </w:p>
    <w:p>
      <w:pPr>
        <w:spacing w:line="400" w:lineRule="exact"/>
        <w:ind w:firstLine="480" w:firstLineChars="200"/>
        <w:rPr>
          <w:rFonts w:ascii="仿宋" w:hAnsi="仿宋" w:eastAsia="仿宋" w:cs="仿宋"/>
          <w:sz w:val="24"/>
        </w:rPr>
      </w:pPr>
      <w:r>
        <w:rPr>
          <w:rFonts w:hint="eastAsia" w:ascii="仿宋" w:hAnsi="仿宋" w:eastAsia="仿宋" w:cs="仿宋"/>
          <w:sz w:val="24"/>
        </w:rPr>
        <w:t>（2）获得信息拥有方书面许可并在该许可范围内披露；</w:t>
      </w:r>
    </w:p>
    <w:p>
      <w:pPr>
        <w:spacing w:line="400" w:lineRule="exact"/>
        <w:ind w:firstLine="480" w:firstLineChars="200"/>
        <w:rPr>
          <w:rFonts w:ascii="仿宋" w:hAnsi="仿宋" w:eastAsia="仿宋" w:cs="仿宋"/>
          <w:sz w:val="24"/>
        </w:rPr>
      </w:pPr>
      <w:r>
        <w:rPr>
          <w:rFonts w:hint="eastAsia" w:ascii="仿宋" w:hAnsi="仿宋" w:eastAsia="仿宋" w:cs="仿宋"/>
          <w:sz w:val="24"/>
        </w:rPr>
        <w:t>（3）国家法律、法规规定的情形。</w:t>
      </w:r>
    </w:p>
    <w:p>
      <w:pPr>
        <w:spacing w:line="400" w:lineRule="exact"/>
        <w:ind w:firstLine="480" w:firstLineChars="200"/>
        <w:rPr>
          <w:rFonts w:ascii="仿宋" w:hAnsi="仿宋" w:eastAsia="仿宋" w:cs="仿宋"/>
          <w:sz w:val="24"/>
        </w:rPr>
      </w:pPr>
      <w:r>
        <w:rPr>
          <w:rFonts w:hint="eastAsia" w:ascii="仿宋" w:hAnsi="仿宋" w:eastAsia="仿宋" w:cs="仿宋"/>
          <w:sz w:val="24"/>
        </w:rPr>
        <w:t>5.如中标单位违反上述保密条款，采购方有权解除本合同，中标单位应在合同解除通知发出之日起10日内向采购方支付本合同服务费总金额20%的违约金，如果违约金无法弥补招标人损失，招标人保留要求中标单位赔偿全部损失的权利。</w:t>
      </w:r>
    </w:p>
    <w:p>
      <w:pPr>
        <w:autoSpaceDE w:val="0"/>
        <w:autoSpaceDN w:val="0"/>
        <w:adjustRightInd w:val="0"/>
        <w:spacing w:line="400" w:lineRule="exact"/>
        <w:ind w:firstLine="480" w:firstLineChars="200"/>
        <w:jc w:val="left"/>
        <w:rPr>
          <w:rFonts w:ascii="仿宋" w:hAnsi="仿宋" w:eastAsia="仿宋" w:cs="仿宋"/>
          <w:sz w:val="24"/>
        </w:rPr>
      </w:pPr>
      <w:r>
        <w:rPr>
          <w:rFonts w:hint="eastAsia" w:ascii="仿宋" w:hAnsi="仿宋" w:eastAsia="仿宋" w:cs="仿宋"/>
          <w:sz w:val="24"/>
        </w:rPr>
        <w:t>6.无论本项目其他条款是否有效，本保密条款始终约束双方。国家秘密的保密期限由国家有关部门确定，工作秘密的保密期限由招标人确定。</w:t>
      </w:r>
    </w:p>
    <w:p>
      <w:pPr>
        <w:rPr>
          <w:rFonts w:ascii="宋体" w:hAnsi="宋体"/>
          <w:szCs w:val="21"/>
        </w:rPr>
      </w:pPr>
      <w:r>
        <w:rPr>
          <w:rFonts w:ascii="宋体" w:hAnsi="宋体"/>
          <w:szCs w:val="21"/>
        </w:rPr>
        <w:br w:type="page"/>
      </w:r>
    </w:p>
    <w:p>
      <w:pPr>
        <w:pStyle w:val="3"/>
        <w:spacing w:line="415" w:lineRule="auto"/>
        <w:jc w:val="center"/>
        <w:rPr>
          <w:b w:val="0"/>
        </w:rPr>
      </w:pPr>
      <w:bookmarkStart w:id="187" w:name="_Toc30682"/>
      <w:bookmarkStart w:id="188" w:name="_Toc15485"/>
      <w:bookmarkStart w:id="189" w:name="_Toc19175"/>
      <w:bookmarkStart w:id="190" w:name="_Toc18839"/>
      <w:bookmarkStart w:id="191" w:name="_Toc19365"/>
      <w:bookmarkStart w:id="192" w:name="_Toc27292"/>
      <w:bookmarkStart w:id="193" w:name="_Toc31632"/>
      <w:r>
        <w:rPr>
          <w:rFonts w:hint="eastAsia"/>
        </w:rPr>
        <w:t>第四章  合同格式及合同条款</w:t>
      </w:r>
      <w:bookmarkEnd w:id="187"/>
      <w:bookmarkEnd w:id="188"/>
      <w:bookmarkEnd w:id="189"/>
      <w:bookmarkEnd w:id="190"/>
      <w:bookmarkEnd w:id="191"/>
      <w:bookmarkEnd w:id="192"/>
      <w:bookmarkEnd w:id="193"/>
    </w:p>
    <w:p>
      <w:pPr>
        <w:rPr>
          <w:rFonts w:ascii="仿宋" w:hAnsi="仿宋" w:eastAsia="仿宋" w:cs="仿宋"/>
          <w:sz w:val="24"/>
          <w:u w:val="single"/>
        </w:rPr>
      </w:pPr>
      <w:r>
        <w:rPr>
          <w:rFonts w:hint="eastAsia" w:ascii="仿宋" w:hAnsi="仿宋" w:eastAsia="仿宋" w:cs="仿宋"/>
          <w:sz w:val="24"/>
        </w:rPr>
        <w:t>甲方（采购单位）：</w:t>
      </w:r>
      <w:r>
        <w:rPr>
          <w:rFonts w:hint="eastAsia" w:ascii="仿宋" w:hAnsi="仿宋" w:eastAsia="仿宋" w:cs="仿宋"/>
          <w:sz w:val="24"/>
          <w:u w:val="single"/>
        </w:rPr>
        <w:t>深圳市前海深港现代服务业合作区管理局</w:t>
      </w:r>
    </w:p>
    <w:p>
      <w:pPr>
        <w:rPr>
          <w:rFonts w:ascii="仿宋" w:hAnsi="仿宋" w:eastAsia="仿宋" w:cs="仿宋"/>
          <w:sz w:val="24"/>
          <w:u w:val="single"/>
        </w:rPr>
      </w:pPr>
      <w:r>
        <w:rPr>
          <w:rFonts w:hint="eastAsia" w:ascii="仿宋" w:hAnsi="仿宋" w:eastAsia="仿宋" w:cs="仿宋"/>
          <w:sz w:val="24"/>
          <w:u w:val="single"/>
        </w:rPr>
        <w:t>法定代表人：</w:t>
      </w:r>
    </w:p>
    <w:p>
      <w:pPr>
        <w:rPr>
          <w:rFonts w:ascii="仿宋" w:hAnsi="仿宋" w:eastAsia="仿宋" w:cs="仿宋"/>
          <w:sz w:val="24"/>
        </w:rPr>
      </w:pPr>
      <w:r>
        <w:rPr>
          <w:rFonts w:hint="eastAsia" w:ascii="仿宋" w:hAnsi="仿宋" w:eastAsia="仿宋" w:cs="仿宋"/>
          <w:sz w:val="24"/>
          <w:u w:val="single"/>
        </w:rPr>
        <w:t>地址：</w:t>
      </w:r>
    </w:p>
    <w:p>
      <w:pPr>
        <w:rPr>
          <w:rFonts w:ascii="仿宋" w:hAnsi="仿宋" w:eastAsia="仿宋" w:cs="仿宋"/>
          <w:sz w:val="24"/>
          <w:u w:val="single"/>
        </w:rPr>
      </w:pPr>
      <w:r>
        <w:rPr>
          <w:rFonts w:hint="eastAsia" w:ascii="仿宋" w:hAnsi="仿宋" w:eastAsia="仿宋" w:cs="仿宋"/>
          <w:sz w:val="24"/>
        </w:rPr>
        <w:t>乙方（服务单位）：</w:t>
      </w:r>
    </w:p>
    <w:p>
      <w:pPr>
        <w:rPr>
          <w:rFonts w:ascii="仿宋" w:hAnsi="仿宋" w:eastAsia="仿宋" w:cs="仿宋"/>
          <w:sz w:val="24"/>
          <w:u w:val="single"/>
        </w:rPr>
      </w:pPr>
      <w:r>
        <w:rPr>
          <w:rFonts w:hint="eastAsia" w:ascii="仿宋" w:hAnsi="仿宋" w:eastAsia="仿宋" w:cs="仿宋"/>
          <w:sz w:val="24"/>
          <w:u w:val="single"/>
        </w:rPr>
        <w:t>法定代表人：</w:t>
      </w:r>
    </w:p>
    <w:p>
      <w:pPr>
        <w:rPr>
          <w:rFonts w:ascii="仿宋" w:hAnsi="仿宋" w:eastAsia="仿宋" w:cs="仿宋"/>
          <w:sz w:val="24"/>
        </w:rPr>
      </w:pPr>
      <w:r>
        <w:rPr>
          <w:rFonts w:hint="eastAsia" w:ascii="仿宋" w:hAnsi="仿宋" w:eastAsia="仿宋" w:cs="仿宋"/>
          <w:sz w:val="24"/>
          <w:u w:val="single"/>
        </w:rPr>
        <w:t>地址：</w:t>
      </w:r>
    </w:p>
    <w:p>
      <w:pPr>
        <w:widowControl/>
        <w:jc w:val="left"/>
        <w:rPr>
          <w:rFonts w:ascii="仿宋" w:hAnsi="仿宋" w:eastAsia="仿宋" w:cs="仿宋"/>
          <w:sz w:val="24"/>
        </w:rPr>
      </w:pPr>
    </w:p>
    <w:p>
      <w:pPr>
        <w:snapToGrid w:val="0"/>
        <w:ind w:firstLine="480" w:firstLineChars="200"/>
        <w:rPr>
          <w:rFonts w:ascii="仿宋" w:hAnsi="仿宋" w:eastAsia="仿宋" w:cs="仿宋"/>
          <w:sz w:val="24"/>
        </w:rPr>
      </w:pPr>
      <w:r>
        <w:rPr>
          <w:rFonts w:hint="eastAsia" w:ascii="仿宋" w:hAnsi="仿宋" w:eastAsia="仿宋" w:cs="仿宋"/>
          <w:sz w:val="24"/>
        </w:rPr>
        <w:t>根据《中华人民共和国民法典》等法律、法规的相关规定和编号__________________招标项目的中标结果，甲、乙双方</w:t>
      </w:r>
      <w:r>
        <w:rPr>
          <w:rFonts w:ascii="仿宋" w:hAnsi="仿宋" w:eastAsia="仿宋" w:cs="仿宋"/>
          <w:sz w:val="24"/>
        </w:rPr>
        <w:t>经友好</w:t>
      </w:r>
      <w:r>
        <w:rPr>
          <w:rFonts w:hint="eastAsia" w:ascii="仿宋" w:hAnsi="仿宋" w:eastAsia="仿宋" w:cs="仿宋"/>
          <w:sz w:val="24"/>
        </w:rPr>
        <w:t>协商，就甲方委托乙方承担前海合作区土地供应2024年度分布指引及项目库构建</w:t>
      </w:r>
      <w:r>
        <w:rPr>
          <w:rFonts w:ascii="仿宋" w:hAnsi="仿宋" w:eastAsia="仿宋" w:cs="仿宋"/>
          <w:sz w:val="24"/>
        </w:rPr>
        <w:t>（以下简称本项目）</w:t>
      </w:r>
      <w:r>
        <w:rPr>
          <w:rFonts w:hint="eastAsia" w:ascii="仿宋" w:hAnsi="仿宋" w:eastAsia="仿宋" w:cs="仿宋"/>
          <w:sz w:val="24"/>
        </w:rPr>
        <w:t>，达成以下合同条款：</w:t>
      </w:r>
    </w:p>
    <w:p>
      <w:pPr>
        <w:numPr>
          <w:ilvl w:val="0"/>
          <w:numId w:val="2"/>
        </w:numPr>
        <w:rPr>
          <w:rFonts w:ascii="仿宋" w:hAnsi="仿宋" w:eastAsia="仿宋" w:cs="仿宋"/>
          <w:b/>
          <w:bCs/>
          <w:sz w:val="24"/>
        </w:rPr>
      </w:pPr>
      <w:bookmarkStart w:id="194" w:name="_Toc16131"/>
      <w:r>
        <w:rPr>
          <w:rFonts w:hint="eastAsia" w:ascii="仿宋" w:hAnsi="仿宋" w:eastAsia="仿宋" w:cs="仿宋"/>
          <w:b/>
          <w:bCs/>
          <w:sz w:val="24"/>
        </w:rPr>
        <w:t>服务内容</w:t>
      </w:r>
      <w:bookmarkEnd w:id="194"/>
    </w:p>
    <w:p>
      <w:pPr>
        <w:snapToGrid w:val="0"/>
        <w:ind w:firstLine="480" w:firstLineChars="200"/>
        <w:rPr>
          <w:rFonts w:ascii="仿宋" w:hAnsi="仿宋" w:eastAsia="仿宋" w:cs="仿宋"/>
          <w:sz w:val="24"/>
        </w:rPr>
      </w:pPr>
      <w:bookmarkStart w:id="195" w:name="_Toc16323"/>
      <w:bookmarkStart w:id="196" w:name="_Toc23107"/>
      <w:bookmarkStart w:id="197" w:name="_Toc23975"/>
      <w:r>
        <w:rPr>
          <w:rFonts w:hint="eastAsia" w:ascii="仿宋" w:hAnsi="仿宋" w:eastAsia="仿宋" w:cs="仿宋"/>
          <w:sz w:val="24"/>
        </w:rPr>
        <w:t>（一）主要工作内容</w:t>
      </w:r>
      <w:bookmarkEnd w:id="195"/>
      <w:bookmarkEnd w:id="196"/>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1.规划实施情况及用地需求调查。</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分析规划实施情况。立足于扩区后前海合作区土地资源统一管理的需要，以前海合作区土地管理工作的实际需求为基本导向，对前海总体规划、国土空间规划、产业规划及各类详细规划进行梳理分析。</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调查用地需求。统筹2024年度用地实际供应需求，结合前海合作区土地资源潜力空间情况，合理安排后续剩余增量建设用地，对各片区供应需求进行评估分析和筛查。</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结合规划实施情况和用地需求调查，对2024年土地供应实施进行评估分析，为合理有序供应前海土地资源释放提供基础支撑，为前海加快建设和创新发展提供土地空间资源保障。</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2.协助编制2024年度建设用地供应计划。</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开展实施回顾。详细分析上一年度土地供应实施情况，包括用地规模、用地功能、主要来源、空间分布、出让对象等方面，总结土地供应环节的现状问题。</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土地供应政策趋势和市场形势分析。结合最新的相关政策、规划，分析近年土地供应政策发展趋势和方向，结合最新土地供应情况，对土地供应市场形势进行分析和研判，为明确年度土地供应计划编制的总体思路提供决策依据和技术支持。</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为年度供应计划编制提供技术咨询意见。基于城市整体规划实施情况及用地需求的分析，并以相关政策和规划为指导，以新增土地和存量土地为抓手，借鉴国内外相近地区的先进经验，统筹协调2024年度居住用地、产业用地、民生用地、商服用地的空间布局和时序安排，为科学审慎编制2024年的土地供应计划提供政策和技术支持。</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3.协助编制建设用地供应分布指引文件。</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由于南山和宝安两区涉及前海扩区范围内土地的权属和现状情况十分复杂，且每年度土地利用情况发生变化较大，对后续供应计划的实施提出了更高的要求。为科学合理地指导各片区用地供应，以年度建设用地供应计划为指引，收集相关资料情况协助制定海洋新城及会展新城片区、机场及周边片区、蛇口及大小南山片区、宝中及大铲湾片区、三湾片区计划分布指引文件，梳理各片区土地现状利用情况及土地供应环节的问题，把控各片区新增建设用地供应节奏，有序、有重点的安排前海土地资源供应，推进2024年度建设用地供应计划目标的完成。</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4.构建重点项目专项项目库。</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内业清查。梳理范围内城市更新、土地整备、基础设施、公共配套、公共住房建设、土地出让、重点产业等重点项目的名称、位置、责任单位、建设内容、建设规模、进度、计划基本信息。</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外业调查。对重点项目开展现场实地踏勘和调研，调研了解相关信息，核实现状情况及开发建设情况等，形成重点项目分布图和基本信息情况表。</w:t>
      </w:r>
    </w:p>
    <w:p>
      <w:pPr>
        <w:spacing w:line="400" w:lineRule="exact"/>
        <w:ind w:firstLine="480" w:firstLineChars="200"/>
        <w:jc w:val="left"/>
        <w:outlineLvl w:val="2"/>
        <w:rPr>
          <w:rFonts w:ascii="仿宋" w:hAnsi="仿宋" w:eastAsia="仿宋" w:cs="仿宋"/>
          <w:sz w:val="24"/>
        </w:rPr>
      </w:pPr>
      <w:r>
        <w:rPr>
          <w:rFonts w:hint="eastAsia" w:ascii="仿宋" w:hAnsi="仿宋" w:eastAsia="仿宋" w:cs="仿宋"/>
          <w:sz w:val="24"/>
        </w:rPr>
        <w:t>重点项目数据建库。对内外业调查的数据进行整合，按空间数据库管理规范对数据进行拓扑分析、属性完善补充、制图表达等优化整理，按数据库结构进行系统的信息录入。1.规划实施情况及用地需求调查。</w:t>
      </w:r>
    </w:p>
    <w:p>
      <w:pPr>
        <w:numPr>
          <w:ilvl w:val="0"/>
          <w:numId w:val="2"/>
        </w:numPr>
        <w:rPr>
          <w:rFonts w:ascii="仿宋" w:hAnsi="仿宋" w:eastAsia="仿宋" w:cs="仿宋"/>
          <w:b/>
          <w:bCs/>
          <w:sz w:val="24"/>
        </w:rPr>
      </w:pPr>
      <w:r>
        <w:rPr>
          <w:rFonts w:hint="eastAsia" w:ascii="仿宋" w:hAnsi="仿宋" w:eastAsia="仿宋" w:cs="仿宋"/>
          <w:b/>
          <w:bCs/>
          <w:sz w:val="24"/>
        </w:rPr>
        <w:t>合同含税总价</w:t>
      </w:r>
      <w:bookmarkEnd w:id="197"/>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本项目合同含税总价为（大写）：_________________元（￥_______________元）人民币，总价包干。</w:t>
      </w:r>
    </w:p>
    <w:p>
      <w:pPr>
        <w:adjustRightInd w:val="0"/>
        <w:ind w:firstLine="480" w:firstLineChars="200"/>
        <w:rPr>
          <w:rFonts w:ascii="仿宋" w:hAnsi="仿宋" w:eastAsia="仿宋" w:cs="仿宋"/>
          <w:sz w:val="24"/>
        </w:rPr>
      </w:pPr>
      <w:r>
        <w:rPr>
          <w:rFonts w:hint="eastAsia" w:ascii="仿宋" w:hAnsi="仿宋" w:eastAsia="仿宋" w:cs="仿宋"/>
          <w:sz w:val="24"/>
        </w:rPr>
        <w:t>合同金额应包括调查费用、研究费用、项目评审及成果制作费、后期服务费、专项费、管理费、税费等。在合同实施期间，除另签补充合同外，甲方不接受乙方以任何理由、任何名目提出增加费用的要求。</w:t>
      </w:r>
    </w:p>
    <w:p>
      <w:pPr>
        <w:rPr>
          <w:rFonts w:ascii="仿宋" w:hAnsi="仿宋" w:eastAsia="仿宋" w:cs="仿宋"/>
          <w:b/>
          <w:bCs/>
          <w:sz w:val="24"/>
        </w:rPr>
      </w:pPr>
      <w:bookmarkStart w:id="198" w:name="_Toc30786"/>
      <w:r>
        <w:rPr>
          <w:rFonts w:hint="eastAsia" w:ascii="仿宋" w:hAnsi="仿宋" w:eastAsia="仿宋" w:cs="仿宋"/>
          <w:b/>
          <w:bCs/>
          <w:sz w:val="24"/>
        </w:rPr>
        <w:t>三、技术资料</w:t>
      </w:r>
      <w:bookmarkEnd w:id="198"/>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1.乙方应按本合同规定的时间向甲方提供有关技术资料。</w:t>
      </w:r>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3.合同履行完毕，未经甲方的书面同意，乙方不得保存在履行合同过程中所获得或接触到的任何内部数据资料。</w:t>
      </w:r>
    </w:p>
    <w:p>
      <w:pPr>
        <w:rPr>
          <w:rFonts w:ascii="仿宋" w:hAnsi="仿宋" w:eastAsia="仿宋" w:cs="仿宋"/>
          <w:b/>
          <w:bCs/>
          <w:sz w:val="24"/>
        </w:rPr>
      </w:pPr>
      <w:bookmarkStart w:id="199" w:name="_Toc9742"/>
      <w:r>
        <w:rPr>
          <w:rFonts w:hint="eastAsia" w:ascii="仿宋" w:hAnsi="仿宋" w:eastAsia="仿宋" w:cs="仿宋"/>
          <w:b/>
          <w:bCs/>
          <w:sz w:val="24"/>
        </w:rPr>
        <w:t>四、知识产权</w:t>
      </w:r>
      <w:bookmarkEnd w:id="199"/>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1.本项目全部阶段性成果和最终成果的所有权、知识产权以及与之相关的所有权利归甲方所有。</w:t>
      </w:r>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2.双方确定，甲方有权利用乙方按照本合同约定提供的成果，进行后续改进。由此产生的具有实质性或创造性技术进步特征的新的成果及其权利归属，全部由甲方享有。具体相关利益的分配办法如下：甲方100%。</w:t>
      </w:r>
    </w:p>
    <w:p>
      <w:pPr>
        <w:snapToGrid w:val="0"/>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.乙方所提交的全部阶段性成果和最终成果文件及任何数据、资料、软件等</w:t>
      </w:r>
      <w:r>
        <w:rPr>
          <w:rFonts w:ascii="仿宋" w:hAnsi="仿宋" w:eastAsia="仿宋" w:cs="仿宋"/>
          <w:kern w:val="0"/>
          <w:sz w:val="24"/>
        </w:rPr>
        <w:t>不得</w:t>
      </w:r>
      <w:r>
        <w:rPr>
          <w:rFonts w:hint="eastAsia" w:ascii="仿宋" w:hAnsi="仿宋" w:eastAsia="仿宋" w:cs="仿宋"/>
          <w:kern w:val="0"/>
          <w:sz w:val="24"/>
        </w:rPr>
        <w:t>侵犯任何第三方的知识产权或其他权利，由于该文件、数据、资料、软件</w:t>
      </w:r>
      <w:r>
        <w:rPr>
          <w:rFonts w:ascii="仿宋" w:hAnsi="仿宋" w:eastAsia="仿宋" w:cs="仿宋"/>
          <w:kern w:val="0"/>
          <w:sz w:val="24"/>
        </w:rPr>
        <w:t>侵权</w:t>
      </w:r>
      <w:r>
        <w:rPr>
          <w:rFonts w:hint="eastAsia" w:ascii="仿宋" w:hAnsi="仿宋" w:eastAsia="仿宋" w:cs="仿宋"/>
          <w:kern w:val="0"/>
          <w:sz w:val="24"/>
        </w:rPr>
        <w:t>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napToGrid w:val="0"/>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napToGrid w:val="0"/>
        <w:ind w:firstLine="480" w:firstLineChars="200"/>
        <w:rPr>
          <w:rFonts w:ascii="仿宋" w:hAnsi="仿宋" w:eastAsia="仿宋" w:cs="仿宋"/>
          <w:kern w:val="0"/>
          <w:sz w:val="24"/>
        </w:rPr>
      </w:pPr>
      <w:r>
        <w:rPr>
          <w:rFonts w:hint="eastAsia" w:ascii="仿宋" w:hAnsi="仿宋" w:eastAsia="仿宋" w:cs="仿宋"/>
          <w:kern w:val="0"/>
          <w:sz w:val="24"/>
        </w:rPr>
        <w:t>5</w:t>
      </w:r>
      <w:r>
        <w:rPr>
          <w:rFonts w:ascii="仿宋" w:hAnsi="仿宋" w:eastAsia="仿宋" w:cs="仿宋"/>
          <w:kern w:val="0"/>
          <w:sz w:val="24"/>
        </w:rPr>
        <w:t>.</w:t>
      </w:r>
      <w:r>
        <w:rPr>
          <w:rFonts w:hint="eastAsia" w:ascii="仿宋" w:hAnsi="仿宋" w:eastAsia="仿宋" w:cs="仿宋"/>
          <w:kern w:val="0"/>
          <w:sz w:val="24"/>
        </w:rPr>
        <w:t>乙方完成本合同项目的研究开发人员享有在有关成果文件上写明成果完成者的权利和与甲方共同获得有关荣誉证书、奖励的权利。</w:t>
      </w:r>
    </w:p>
    <w:p>
      <w:pPr>
        <w:rPr>
          <w:rFonts w:ascii="仿宋" w:hAnsi="仿宋" w:eastAsia="仿宋" w:cs="仿宋"/>
          <w:b/>
          <w:bCs/>
          <w:sz w:val="24"/>
        </w:rPr>
      </w:pPr>
      <w:bookmarkStart w:id="200" w:name="_Toc16452"/>
      <w:r>
        <w:rPr>
          <w:rFonts w:hint="eastAsia" w:ascii="仿宋" w:hAnsi="仿宋" w:eastAsia="仿宋" w:cs="仿宋"/>
          <w:b/>
          <w:bCs/>
          <w:sz w:val="24"/>
        </w:rPr>
        <w:t>五、甲方的权利与义务</w:t>
      </w:r>
      <w:bookmarkEnd w:id="200"/>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1.甲方的权利</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1.1甲方对</w:t>
      </w:r>
      <w:r>
        <w:rPr>
          <w:rFonts w:ascii="仿宋" w:hAnsi="仿宋" w:eastAsia="仿宋" w:cs="仿宋"/>
          <w:sz w:val="24"/>
          <w:szCs w:val="24"/>
        </w:rPr>
        <w:t>项目</w:t>
      </w:r>
      <w:r>
        <w:rPr>
          <w:rFonts w:hint="eastAsia" w:ascii="仿宋" w:hAnsi="仿宋" w:eastAsia="仿宋" w:cs="仿宋"/>
          <w:sz w:val="24"/>
          <w:szCs w:val="24"/>
        </w:rPr>
        <w:t>研究过程的决策、控制、实施等环节实行全面管理，协调和监督</w:t>
      </w:r>
      <w:r>
        <w:rPr>
          <w:rFonts w:ascii="仿宋" w:hAnsi="仿宋" w:eastAsia="仿宋" w:cs="仿宋"/>
          <w:sz w:val="24"/>
          <w:szCs w:val="24"/>
        </w:rPr>
        <w:t>项目</w:t>
      </w:r>
      <w:r>
        <w:rPr>
          <w:rFonts w:hint="eastAsia" w:ascii="仿宋" w:hAnsi="仿宋" w:eastAsia="仿宋" w:cs="仿宋"/>
          <w:sz w:val="24"/>
          <w:szCs w:val="24"/>
        </w:rPr>
        <w:t>工作开展，控制</w:t>
      </w:r>
      <w:r>
        <w:rPr>
          <w:rFonts w:ascii="仿宋" w:hAnsi="仿宋" w:eastAsia="仿宋" w:cs="仿宋"/>
          <w:sz w:val="24"/>
          <w:szCs w:val="24"/>
        </w:rPr>
        <w:t>项目</w:t>
      </w:r>
      <w:r>
        <w:rPr>
          <w:rFonts w:hint="eastAsia" w:ascii="仿宋" w:hAnsi="仿宋" w:eastAsia="仿宋" w:cs="仿宋"/>
          <w:sz w:val="24"/>
          <w:szCs w:val="24"/>
        </w:rPr>
        <w:t>工作过程，进行</w:t>
      </w:r>
      <w:r>
        <w:rPr>
          <w:rFonts w:ascii="仿宋" w:hAnsi="仿宋" w:eastAsia="仿宋" w:cs="仿宋"/>
          <w:sz w:val="24"/>
          <w:szCs w:val="24"/>
        </w:rPr>
        <w:t>项目</w:t>
      </w:r>
      <w:r>
        <w:rPr>
          <w:rFonts w:hint="eastAsia" w:ascii="仿宋" w:hAnsi="仿宋" w:eastAsia="仿宋" w:cs="仿宋"/>
          <w:sz w:val="24"/>
          <w:szCs w:val="24"/>
        </w:rPr>
        <w:t>成果验收。</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1.2检查乙方</w:t>
      </w:r>
      <w:r>
        <w:rPr>
          <w:rFonts w:ascii="仿宋" w:hAnsi="仿宋" w:eastAsia="仿宋" w:cs="仿宋"/>
          <w:sz w:val="24"/>
          <w:szCs w:val="24"/>
        </w:rPr>
        <w:t>项目</w:t>
      </w:r>
      <w:r>
        <w:rPr>
          <w:rFonts w:hint="eastAsia" w:ascii="仿宋" w:hAnsi="仿宋" w:eastAsia="仿宋" w:cs="仿宋"/>
          <w:sz w:val="24"/>
          <w:szCs w:val="24"/>
        </w:rPr>
        <w:t>人员到位情况，如因人力、能力不足致使</w:t>
      </w:r>
      <w:r>
        <w:rPr>
          <w:rFonts w:ascii="仿宋" w:hAnsi="仿宋" w:eastAsia="仿宋" w:cs="仿宋"/>
          <w:sz w:val="24"/>
          <w:szCs w:val="24"/>
        </w:rPr>
        <w:t>项目</w:t>
      </w:r>
      <w:r>
        <w:rPr>
          <w:rFonts w:hint="eastAsia" w:ascii="仿宋" w:hAnsi="仿宋" w:eastAsia="仿宋" w:cs="仿宋"/>
          <w:sz w:val="24"/>
          <w:szCs w:val="24"/>
        </w:rPr>
        <w:t>工作不能按计划完成时，可要求乙方增加或替换相应的技术人员，直至甲方认可，乙方不得拒绝。</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1.3甲方有权向乙方询问项目工作进展及相关情况，并要求乙方在指定时间内做出答复。</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1.4甲方有权对乙方提交的阶段性成果、最终成果等相关工作文件进行审核并提出修改意见。</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1.5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1.6甲方有权要求乙方全面履行合同。甲方不接受部分履行，如本合同项下部分成果文件未能按时交付则视为整体延误。</w:t>
      </w:r>
    </w:p>
    <w:p>
      <w:pPr>
        <w:pStyle w:val="10"/>
        <w:snapToGrid w:val="0"/>
        <w:ind w:firstLine="720" w:firstLineChars="300"/>
        <w:rPr>
          <w:rFonts w:ascii="仿宋" w:hAnsi="仿宋" w:eastAsia="仿宋" w:cs="仿宋"/>
          <w:sz w:val="24"/>
          <w:szCs w:val="24"/>
        </w:rPr>
      </w:pPr>
      <w:r>
        <w:rPr>
          <w:rFonts w:ascii="仿宋" w:hAnsi="仿宋" w:eastAsia="仿宋" w:cs="仿宋"/>
          <w:sz w:val="24"/>
          <w:szCs w:val="24"/>
        </w:rPr>
        <w:t>1.7如甲方确认乙方工作人员未按照本合同要求履行职责，甲方有权要求乙方限期更换人员，直至终止合同并要求乙方承担相应赔偿责任。</w:t>
      </w:r>
    </w:p>
    <w:p>
      <w:pPr>
        <w:pStyle w:val="10"/>
        <w:snapToGrid w:val="0"/>
        <w:ind w:firstLine="720" w:firstLineChars="300"/>
        <w:rPr>
          <w:rFonts w:ascii="仿宋" w:hAnsi="仿宋" w:eastAsia="仿宋" w:cs="仿宋"/>
          <w:sz w:val="24"/>
          <w:szCs w:val="24"/>
        </w:rPr>
      </w:pPr>
      <w:r>
        <w:rPr>
          <w:rFonts w:ascii="仿宋" w:hAnsi="仿宋" w:eastAsia="仿宋" w:cs="仿宋"/>
          <w:sz w:val="24"/>
          <w:szCs w:val="24"/>
        </w:rPr>
        <w:t>1.8甲方对乙方在委托权限范围内完成委托事项有指导、监督权利。</w:t>
      </w:r>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2.甲方的义务</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2.1甲方应将项目所需相关档案资料、信息数据等移交给乙方，并要求乙方签收甲方提供的材料清单。</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2.2甲方对乙方按照合同</w:t>
      </w:r>
      <w:r>
        <w:rPr>
          <w:rFonts w:ascii="仿宋" w:hAnsi="仿宋" w:eastAsia="仿宋" w:cs="仿宋"/>
          <w:sz w:val="24"/>
          <w:szCs w:val="24"/>
        </w:rPr>
        <w:t>约定</w:t>
      </w:r>
      <w:r>
        <w:rPr>
          <w:rFonts w:hint="eastAsia" w:ascii="仿宋" w:hAnsi="仿宋" w:eastAsia="仿宋" w:cs="仿宋"/>
          <w:sz w:val="24"/>
          <w:szCs w:val="24"/>
        </w:rPr>
        <w:t>所履行的服务提供必要的支持与协助。</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2.3根据合同约定的相关条款，按时支付乙方服务费用。</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2.4甲方指定项目联系人：</w:t>
      </w:r>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 xml:space="preserve">姓名： </w:t>
      </w:r>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联系方式：</w:t>
      </w:r>
    </w:p>
    <w:p>
      <w:pPr>
        <w:rPr>
          <w:rFonts w:ascii="仿宋" w:hAnsi="仿宋" w:eastAsia="仿宋" w:cs="仿宋"/>
          <w:b/>
          <w:bCs/>
          <w:sz w:val="24"/>
        </w:rPr>
      </w:pPr>
      <w:bookmarkStart w:id="201" w:name="_Toc29058"/>
      <w:r>
        <w:rPr>
          <w:rFonts w:hint="eastAsia" w:ascii="仿宋" w:hAnsi="仿宋" w:eastAsia="仿宋" w:cs="仿宋"/>
          <w:b/>
          <w:bCs/>
          <w:sz w:val="24"/>
        </w:rPr>
        <w:t>六、乙方的权利与义务</w:t>
      </w:r>
      <w:bookmarkEnd w:id="201"/>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1.乙方的权利</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1.1根据</w:t>
      </w:r>
      <w:r>
        <w:rPr>
          <w:rFonts w:ascii="仿宋" w:hAnsi="仿宋" w:eastAsia="仿宋" w:cs="仿宋"/>
          <w:sz w:val="24"/>
          <w:szCs w:val="24"/>
        </w:rPr>
        <w:t>项目</w:t>
      </w:r>
      <w:r>
        <w:rPr>
          <w:rFonts w:hint="eastAsia" w:ascii="仿宋" w:hAnsi="仿宋" w:eastAsia="仿宋" w:cs="仿宋"/>
          <w:sz w:val="24"/>
          <w:szCs w:val="24"/>
        </w:rPr>
        <w:t>工作的需要，可要求甲方提供或协助乙方收集相关资料。</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1.2参与本</w:t>
      </w:r>
      <w:r>
        <w:rPr>
          <w:rFonts w:ascii="仿宋" w:hAnsi="仿宋" w:eastAsia="仿宋" w:cs="仿宋"/>
          <w:sz w:val="24"/>
          <w:szCs w:val="24"/>
        </w:rPr>
        <w:t>项目</w:t>
      </w:r>
      <w:r>
        <w:rPr>
          <w:rFonts w:hint="eastAsia" w:ascii="仿宋" w:hAnsi="仿宋" w:eastAsia="仿宋" w:cs="仿宋"/>
          <w:sz w:val="24"/>
          <w:szCs w:val="24"/>
        </w:rPr>
        <w:t>服务相关的工作会议及技术会议（活动）。</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1.3根据合同约定收取相应的服务费。</w:t>
      </w:r>
    </w:p>
    <w:p>
      <w:pPr>
        <w:pStyle w:val="10"/>
        <w:snapToGrid w:val="0"/>
        <w:ind w:firstLine="720" w:firstLineChars="300"/>
        <w:rPr>
          <w:rFonts w:ascii="仿宋" w:hAnsi="仿宋" w:eastAsia="仿宋" w:cs="仿宋"/>
          <w:sz w:val="24"/>
          <w:szCs w:val="24"/>
        </w:rPr>
      </w:pPr>
      <w:r>
        <w:rPr>
          <w:rFonts w:hint="eastAsia" w:ascii="仿宋" w:hAnsi="仿宋" w:eastAsia="仿宋" w:cs="仿宋"/>
          <w:sz w:val="24"/>
          <w:szCs w:val="24"/>
        </w:rPr>
        <w:t>2.乙方的义务</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2.1乙方应按国家及深圳的有关法律法规、设计标准、技术规范以及本合同约定的工作内容、工作进度等要求提供</w:t>
      </w:r>
      <w:r>
        <w:rPr>
          <w:rFonts w:ascii="仿宋" w:hAnsi="仿宋" w:eastAsia="仿宋" w:cs="仿宋"/>
          <w:sz w:val="24"/>
          <w:szCs w:val="24"/>
        </w:rPr>
        <w:t>项目</w:t>
      </w:r>
      <w:r>
        <w:rPr>
          <w:rFonts w:hint="eastAsia" w:ascii="仿宋" w:hAnsi="仿宋" w:eastAsia="仿宋" w:cs="仿宋"/>
          <w:sz w:val="24"/>
          <w:szCs w:val="24"/>
        </w:rPr>
        <w:t>服务，并对其提交的研究意见负责。对于与本项目工作内容相关的其他相关项目，乙方应进行充分了解并做好协调与衔接工作。</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2.2对甲方提出的合理的额外服务，不应予以拒绝。</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2.3如乙方提供的</w:t>
      </w:r>
      <w:r>
        <w:rPr>
          <w:rFonts w:ascii="仿宋" w:hAnsi="仿宋" w:eastAsia="仿宋" w:cs="仿宋"/>
          <w:sz w:val="24"/>
          <w:szCs w:val="24"/>
        </w:rPr>
        <w:t>项目</w:t>
      </w:r>
      <w:r>
        <w:rPr>
          <w:rFonts w:hint="eastAsia" w:ascii="仿宋" w:hAnsi="仿宋" w:eastAsia="仿宋" w:cs="仿宋"/>
          <w:sz w:val="24"/>
          <w:szCs w:val="24"/>
        </w:rPr>
        <w:t>意见等成果文件不符合本合同要求，必须在甲方提出要求七个日历日内无条件修改，其费用由乙方自行承担。修改期间，甲方付款时间相应顺延。</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2.4乙方不得将本合同项下权利义务转让给任何第三方。</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2.5乙方对其工作人员在合同履行期间的一切行为负责，期间发生的一切安全事故责任、其</w:t>
      </w:r>
      <w:r>
        <w:rPr>
          <w:rFonts w:ascii="仿宋" w:hAnsi="仿宋" w:eastAsia="仿宋" w:cs="仿宋"/>
          <w:sz w:val="24"/>
          <w:szCs w:val="24"/>
        </w:rPr>
        <w:t>他</w:t>
      </w:r>
      <w:r>
        <w:rPr>
          <w:rFonts w:hint="eastAsia" w:ascii="仿宋" w:hAnsi="仿宋" w:eastAsia="仿宋" w:cs="仿宋"/>
          <w:sz w:val="24"/>
          <w:szCs w:val="24"/>
        </w:rPr>
        <w:t>人身损害</w:t>
      </w:r>
      <w:r>
        <w:rPr>
          <w:rFonts w:ascii="仿宋" w:hAnsi="仿宋" w:eastAsia="仿宋" w:cs="仿宋"/>
          <w:sz w:val="24"/>
          <w:szCs w:val="24"/>
        </w:rPr>
        <w:t>以外</w:t>
      </w:r>
      <w:r>
        <w:rPr>
          <w:rFonts w:hint="eastAsia" w:ascii="仿宋" w:hAnsi="仿宋" w:eastAsia="仿宋" w:cs="仿宋"/>
          <w:sz w:val="24"/>
          <w:szCs w:val="24"/>
        </w:rPr>
        <w:t>及因此发生的人身损害赔偿和其他费用由乙方自行承担，</w:t>
      </w:r>
      <w:r>
        <w:rPr>
          <w:rFonts w:ascii="仿宋" w:hAnsi="仿宋" w:eastAsia="仿宋" w:cs="仿宋"/>
          <w:sz w:val="24"/>
          <w:szCs w:val="24"/>
        </w:rPr>
        <w:t>概</w:t>
      </w:r>
      <w:r>
        <w:rPr>
          <w:rFonts w:hint="eastAsia" w:ascii="仿宋" w:hAnsi="仿宋" w:eastAsia="仿宋" w:cs="仿宋"/>
          <w:sz w:val="24"/>
          <w:szCs w:val="24"/>
        </w:rPr>
        <w:t>与甲方无关。若因此导致甲方支付赔偿及其他费用，乙方应全部偿还给甲方。</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2.6为保证项目成果的质量，乙方在合同履行期间，应按照服务内容要求成立专门的项目小组，并保障项目团队成员（含项目负责人）到位。项目负责人负责对项目实施全过程进行组织和指导，并承担课题研究的实质性工作。乙方应保证本合同的主要核心成员在项目实施期间全程参与项目实质性工作。如确需更换项目团队成员（含项目负责人），乙方应事先征得甲方的同意，且接替人员的职位、资历应与原定成员相当。</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2.7合同履行期间，乙方应按甲方的要求进行现场调研、中间成果汇报和沟通讨论、审查修改的全部工作和会议。乙方必须按本合同约定的内容、标准和期限完成项目工作，并按照甲方要求将完成委托事项的相关资料交给甲方。如甲方需对工作进度进行调整，甲方、乙方应共同协商解决。</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2.8乙方有维护甲方声誉的义务，乙方不能以甲方名义从事与本项目无关的任何事务。</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2.9本合同期满或提前解除、终止后，乙方应将甲方的档案资料、信息数据等交还甲方，并应销毁或删除所有备份。</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2.10乙方在完成本项目过程中，不得损害其他任何第三方的知识产权等合法权益，否则由此造成的相关责任应当由乙方自行承担，与甲方无关。</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2.11乙方应采取必要措施配合专家评审会及甲方验收人员的工作,对于评审验收过程中发现的问题，乙方应在发现问题之日起3天内进行改正，以符合甲方的需要。</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2.12乙方指定项目联系人：</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 xml:space="preserve">姓名： </w:t>
      </w:r>
    </w:p>
    <w:p>
      <w:pPr>
        <w:pStyle w:val="10"/>
        <w:snapToGrid w:val="0"/>
        <w:ind w:left="210" w:leftChars="100" w:firstLine="480" w:firstLineChars="200"/>
        <w:rPr>
          <w:rFonts w:ascii="仿宋" w:hAnsi="仿宋" w:eastAsia="仿宋" w:cs="仿宋"/>
          <w:sz w:val="24"/>
          <w:szCs w:val="24"/>
        </w:rPr>
      </w:pPr>
      <w:r>
        <w:rPr>
          <w:rFonts w:hint="eastAsia" w:ascii="仿宋" w:hAnsi="仿宋" w:eastAsia="仿宋" w:cs="仿宋"/>
          <w:sz w:val="24"/>
          <w:szCs w:val="24"/>
        </w:rPr>
        <w:t>联系方式：</w:t>
      </w:r>
    </w:p>
    <w:p>
      <w:pPr>
        <w:rPr>
          <w:rFonts w:ascii="仿宋" w:hAnsi="仿宋" w:eastAsia="仿宋" w:cs="仿宋"/>
          <w:b/>
          <w:bCs/>
          <w:sz w:val="24"/>
        </w:rPr>
      </w:pPr>
      <w:bookmarkStart w:id="202" w:name="_Toc24089"/>
      <w:r>
        <w:rPr>
          <w:rFonts w:hint="eastAsia" w:ascii="仿宋" w:hAnsi="仿宋" w:eastAsia="仿宋" w:cs="仿宋"/>
          <w:b/>
          <w:bCs/>
          <w:sz w:val="24"/>
        </w:rPr>
        <w:t>七、合同履行时间及履行地点</w:t>
      </w:r>
      <w:bookmarkEnd w:id="202"/>
    </w:p>
    <w:p>
      <w:pPr>
        <w:numPr>
          <w:ilvl w:val="255"/>
          <w:numId w:val="0"/>
        </w:numPr>
        <w:snapToGrid w:val="0"/>
        <w:ind w:firstLine="480" w:firstLineChars="200"/>
        <w:rPr>
          <w:rFonts w:ascii="仿宋" w:hAnsi="仿宋" w:eastAsia="仿宋" w:cs="仿宋"/>
          <w:sz w:val="24"/>
          <w:szCs w:val="21"/>
        </w:rPr>
      </w:pPr>
      <w:r>
        <w:rPr>
          <w:rFonts w:hint="eastAsia" w:ascii="仿宋" w:hAnsi="仿宋" w:eastAsia="仿宋" w:cs="仿宋"/>
          <w:kern w:val="0"/>
          <w:sz w:val="24"/>
        </w:rPr>
        <w:t>1.</w:t>
      </w:r>
      <w:r>
        <w:rPr>
          <w:rFonts w:hint="eastAsia" w:ascii="仿宋" w:hAnsi="仿宋" w:eastAsia="仿宋" w:cs="仿宋"/>
          <w:sz w:val="24"/>
        </w:rPr>
        <w:t>履行时间</w:t>
      </w:r>
      <w:r>
        <w:rPr>
          <w:rFonts w:hint="eastAsia" w:ascii="仿宋" w:hAnsi="仿宋" w:eastAsia="仿宋" w:cs="仿宋"/>
          <w:kern w:val="0"/>
          <w:sz w:val="24"/>
        </w:rPr>
        <w:t>：</w:t>
      </w:r>
      <w:r>
        <w:rPr>
          <w:rFonts w:hint="eastAsia" w:ascii="仿宋" w:hAnsi="仿宋" w:eastAsia="仿宋" w:cs="仿宋"/>
          <w:sz w:val="24"/>
          <w:szCs w:val="21"/>
        </w:rPr>
        <w:t>服务期限为合同签订之日起</w:t>
      </w:r>
      <w:r>
        <w:rPr>
          <w:rFonts w:ascii="仿宋" w:hAnsi="仿宋" w:eastAsia="仿宋" w:cs="仿宋"/>
          <w:sz w:val="24"/>
          <w:szCs w:val="21"/>
        </w:rPr>
        <w:t>6</w:t>
      </w:r>
      <w:r>
        <w:rPr>
          <w:rFonts w:hint="eastAsia" w:ascii="仿宋" w:hAnsi="仿宋" w:eastAsia="仿宋" w:cs="仿宋"/>
          <w:sz w:val="24"/>
          <w:szCs w:val="21"/>
        </w:rPr>
        <w:t>个月，售后服务期限为项目成果通过验收之日起6个月。</w:t>
      </w:r>
    </w:p>
    <w:p>
      <w:pPr>
        <w:numPr>
          <w:ilvl w:val="255"/>
          <w:numId w:val="0"/>
        </w:numPr>
        <w:snapToGrid w:val="0"/>
        <w:ind w:firstLine="480" w:firstLineChars="200"/>
        <w:rPr>
          <w:rFonts w:ascii="仿宋" w:hAnsi="仿宋" w:eastAsia="仿宋" w:cs="仿宋"/>
          <w:sz w:val="24"/>
        </w:rPr>
      </w:pPr>
      <w:r>
        <w:rPr>
          <w:rFonts w:hint="eastAsia" w:ascii="仿宋" w:hAnsi="仿宋" w:eastAsia="仿宋" w:cs="仿宋"/>
          <w:sz w:val="24"/>
        </w:rPr>
        <w:t>2.履行地点：深圳市前海合作区</w:t>
      </w:r>
    </w:p>
    <w:p>
      <w:pPr>
        <w:snapToGrid w:val="0"/>
        <w:rPr>
          <w:rFonts w:ascii="仿宋" w:hAnsi="仿宋" w:eastAsia="仿宋" w:cs="仿宋"/>
          <w:sz w:val="24"/>
        </w:rPr>
      </w:pPr>
      <w:bookmarkStart w:id="203" w:name="_Toc22413"/>
      <w:r>
        <w:rPr>
          <w:rFonts w:hint="eastAsia" w:ascii="仿宋" w:hAnsi="仿宋" w:eastAsia="仿宋" w:cs="仿宋"/>
          <w:b/>
          <w:bCs/>
          <w:sz w:val="24"/>
        </w:rPr>
        <w:t>八、成果要求及</w:t>
      </w:r>
      <w:bookmarkEnd w:id="203"/>
      <w:r>
        <w:rPr>
          <w:rFonts w:hint="eastAsia" w:ascii="仿宋" w:hAnsi="仿宋" w:eastAsia="仿宋" w:cs="仿宋"/>
          <w:b/>
          <w:bCs/>
          <w:sz w:val="24"/>
        </w:rPr>
        <w:t>进度安排</w:t>
      </w:r>
    </w:p>
    <w:p>
      <w:pPr>
        <w:ind w:firstLine="420"/>
        <w:rPr>
          <w:rFonts w:ascii="仿宋" w:hAnsi="仿宋" w:eastAsia="仿宋" w:cs="仿宋"/>
          <w:sz w:val="24"/>
          <w:szCs w:val="21"/>
        </w:rPr>
      </w:pPr>
      <w:bookmarkStart w:id="204" w:name="_Toc11509"/>
      <w:r>
        <w:rPr>
          <w:rFonts w:hint="eastAsia" w:ascii="仿宋" w:hAnsi="仿宋" w:eastAsia="仿宋" w:cs="仿宋"/>
          <w:sz w:val="24"/>
          <w:szCs w:val="21"/>
        </w:rPr>
        <w:t>1.成果内容要求</w:t>
      </w:r>
    </w:p>
    <w:p>
      <w:pPr>
        <w:ind w:firstLine="420"/>
        <w:rPr>
          <w:rFonts w:ascii="仿宋" w:hAnsi="仿宋" w:eastAsia="仿宋" w:cs="仿宋"/>
          <w:sz w:val="24"/>
          <w:szCs w:val="21"/>
        </w:rPr>
      </w:pPr>
      <w:r>
        <w:rPr>
          <w:rFonts w:hint="eastAsia" w:ascii="仿宋" w:hAnsi="仿宋" w:eastAsia="仿宋" w:cs="仿宋"/>
          <w:sz w:val="24"/>
          <w:szCs w:val="21"/>
        </w:rPr>
        <w:t>（1）前海合作区近期可供建设用地数据库；</w:t>
      </w:r>
    </w:p>
    <w:p>
      <w:pPr>
        <w:ind w:firstLine="420"/>
        <w:rPr>
          <w:rFonts w:ascii="仿宋" w:hAnsi="仿宋" w:eastAsia="仿宋" w:cs="仿宋"/>
          <w:sz w:val="24"/>
          <w:szCs w:val="21"/>
        </w:rPr>
      </w:pPr>
      <w:r>
        <w:rPr>
          <w:rFonts w:hint="eastAsia" w:ascii="仿宋" w:hAnsi="仿宋" w:eastAsia="仿宋" w:cs="仿宋"/>
          <w:sz w:val="24"/>
          <w:szCs w:val="21"/>
        </w:rPr>
        <w:t>（2）前海合作区2024年度土地供应计划文本；</w:t>
      </w:r>
    </w:p>
    <w:p>
      <w:pPr>
        <w:ind w:firstLine="420"/>
        <w:rPr>
          <w:rFonts w:ascii="仿宋" w:hAnsi="仿宋" w:eastAsia="仿宋" w:cs="仿宋"/>
          <w:sz w:val="24"/>
          <w:szCs w:val="21"/>
        </w:rPr>
      </w:pPr>
      <w:r>
        <w:rPr>
          <w:rFonts w:hint="eastAsia" w:ascii="仿宋" w:hAnsi="仿宋" w:eastAsia="仿宋" w:cs="仿宋"/>
          <w:sz w:val="24"/>
          <w:szCs w:val="21"/>
        </w:rPr>
        <w:t>（3）前海合作区2024年度土地供应分布指引文件；</w:t>
      </w:r>
    </w:p>
    <w:p>
      <w:pPr>
        <w:ind w:firstLine="420"/>
        <w:rPr>
          <w:rFonts w:ascii="仿宋" w:hAnsi="仿宋" w:eastAsia="仿宋" w:cs="仿宋"/>
          <w:sz w:val="24"/>
          <w:szCs w:val="21"/>
        </w:rPr>
      </w:pPr>
      <w:r>
        <w:rPr>
          <w:rFonts w:hint="eastAsia" w:ascii="仿宋" w:hAnsi="仿宋" w:eastAsia="仿宋" w:cs="仿宋"/>
          <w:sz w:val="24"/>
          <w:szCs w:val="21"/>
        </w:rPr>
        <w:t>（4）前海合作区土地供应重点项目数据库。</w:t>
      </w:r>
    </w:p>
    <w:p>
      <w:pPr>
        <w:ind w:firstLine="420"/>
        <w:rPr>
          <w:rFonts w:ascii="仿宋" w:hAnsi="仿宋" w:eastAsia="仿宋" w:cs="仿宋"/>
          <w:sz w:val="24"/>
          <w:szCs w:val="21"/>
        </w:rPr>
      </w:pPr>
      <w:r>
        <w:rPr>
          <w:rFonts w:hint="eastAsia" w:ascii="仿宋" w:hAnsi="仿宋" w:eastAsia="仿宋" w:cs="仿宋"/>
          <w:sz w:val="24"/>
          <w:szCs w:val="21"/>
        </w:rPr>
        <w:t>2.进度安排：</w:t>
      </w:r>
    </w:p>
    <w:p>
      <w:pPr>
        <w:ind w:firstLine="420"/>
        <w:rPr>
          <w:rFonts w:ascii="仿宋" w:hAnsi="仿宋" w:eastAsia="仿宋" w:cs="仿宋"/>
          <w:sz w:val="24"/>
          <w:szCs w:val="21"/>
        </w:rPr>
      </w:pPr>
      <w:bookmarkStart w:id="205" w:name="_Hlk117767726"/>
      <w:r>
        <w:rPr>
          <w:rFonts w:hint="eastAsia" w:ascii="仿宋" w:hAnsi="仿宋" w:eastAsia="仿宋" w:cs="仿宋"/>
          <w:sz w:val="24"/>
          <w:szCs w:val="21"/>
        </w:rPr>
        <w:t>第一阶段：收集资料,全面梳理前海合作区范围内规划及用地需求，对前海合作区范围用地进行潜力分析，形成潜力项目库以及2024年度供应计划文本初步成果。</w:t>
      </w:r>
    </w:p>
    <w:p>
      <w:pPr>
        <w:ind w:firstLine="420"/>
        <w:rPr>
          <w:rFonts w:ascii="仿宋" w:hAnsi="仿宋" w:eastAsia="仿宋" w:cs="仿宋"/>
          <w:sz w:val="24"/>
          <w:szCs w:val="21"/>
        </w:rPr>
      </w:pPr>
      <w:r>
        <w:rPr>
          <w:rFonts w:hint="eastAsia" w:ascii="仿宋" w:hAnsi="仿宋" w:eastAsia="仿宋" w:cs="仿宋"/>
          <w:sz w:val="24"/>
          <w:szCs w:val="21"/>
        </w:rPr>
        <w:t>第二阶段：征求相关部门意见，进一步修改完善，完成2024年度供应计划最终成果以及分布指引初步成果。</w:t>
      </w:r>
    </w:p>
    <w:p>
      <w:pPr>
        <w:ind w:firstLine="420"/>
        <w:rPr>
          <w:rFonts w:ascii="宋体" w:hAnsi="宋体"/>
          <w:sz w:val="28"/>
          <w:szCs w:val="28"/>
        </w:rPr>
      </w:pPr>
      <w:r>
        <w:rPr>
          <w:rFonts w:hint="eastAsia" w:ascii="仿宋" w:hAnsi="仿宋" w:eastAsia="仿宋" w:cs="仿宋"/>
          <w:sz w:val="24"/>
          <w:szCs w:val="21"/>
        </w:rPr>
        <w:t>第三阶段：完善分布指引，形成分布指引文件和项目库最终成果。同时，为建设用地后续供应提供指导及辅助工作。</w:t>
      </w:r>
    </w:p>
    <w:bookmarkEnd w:id="205"/>
    <w:p>
      <w:pPr>
        <w:ind w:firstLine="420"/>
        <w:rPr>
          <w:rFonts w:ascii="仿宋" w:hAnsi="仿宋" w:eastAsia="仿宋" w:cs="仿宋"/>
          <w:sz w:val="24"/>
          <w:szCs w:val="21"/>
        </w:rPr>
      </w:pPr>
      <w:r>
        <w:rPr>
          <w:rFonts w:hint="eastAsia" w:ascii="仿宋" w:hAnsi="仿宋" w:eastAsia="仿宋" w:cs="仿宋"/>
          <w:sz w:val="24"/>
          <w:szCs w:val="21"/>
        </w:rPr>
        <w:t>3</w:t>
      </w:r>
      <w:r>
        <w:rPr>
          <w:rFonts w:ascii="仿宋" w:hAnsi="仿宋" w:eastAsia="仿宋" w:cs="仿宋"/>
          <w:sz w:val="24"/>
          <w:szCs w:val="21"/>
        </w:rPr>
        <w:t>.</w:t>
      </w:r>
      <w:r>
        <w:rPr>
          <w:rFonts w:hint="eastAsia" w:ascii="仿宋" w:hAnsi="仿宋" w:eastAsia="仿宋" w:cs="仿宋"/>
          <w:sz w:val="24"/>
          <w:szCs w:val="21"/>
        </w:rPr>
        <w:t>最终成果验收合格的标志为：前海合作区</w:t>
      </w:r>
      <w:r>
        <w:rPr>
          <w:rFonts w:ascii="仿宋" w:hAnsi="仿宋" w:eastAsia="仿宋" w:cs="仿宋"/>
          <w:sz w:val="24"/>
          <w:szCs w:val="21"/>
        </w:rPr>
        <w:t>2024</w:t>
      </w:r>
      <w:r>
        <w:rPr>
          <w:rFonts w:hint="eastAsia" w:ascii="仿宋" w:hAnsi="仿宋" w:eastAsia="仿宋" w:cs="仿宋"/>
          <w:sz w:val="24"/>
          <w:szCs w:val="21"/>
        </w:rPr>
        <w:t>年度土地供应计划文本通过市政府审批，并汇总提交所有成果归档后。</w:t>
      </w:r>
    </w:p>
    <w:bookmarkEnd w:id="204"/>
    <w:p>
      <w:pPr>
        <w:numPr>
          <w:ilvl w:val="0"/>
          <w:numId w:val="3"/>
        </w:numPr>
        <w:rPr>
          <w:rFonts w:ascii="仿宋" w:hAnsi="仿宋" w:eastAsia="仿宋" w:cs="仿宋"/>
          <w:b/>
          <w:bCs/>
          <w:sz w:val="24"/>
        </w:rPr>
      </w:pPr>
      <w:r>
        <w:rPr>
          <w:rFonts w:hint="eastAsia" w:ascii="仿宋" w:hAnsi="仿宋" w:eastAsia="仿宋" w:cs="仿宋"/>
          <w:b/>
          <w:bCs/>
          <w:sz w:val="24"/>
        </w:rPr>
        <w:t>其他要求</w:t>
      </w:r>
    </w:p>
    <w:p>
      <w:pPr>
        <w:numPr>
          <w:ilvl w:val="0"/>
          <w:numId w:val="0"/>
        </w:numPr>
        <w:ind w:firstLine="420"/>
        <w:rPr>
          <w:rFonts w:ascii="仿宋" w:hAnsi="仿宋" w:eastAsia="仿宋" w:cs="仿宋"/>
          <w:sz w:val="24"/>
          <w:szCs w:val="21"/>
        </w:rPr>
      </w:pPr>
      <w:r>
        <w:rPr>
          <w:rFonts w:hint="eastAsia" w:ascii="仿宋" w:hAnsi="仿宋" w:eastAsia="仿宋" w:cs="仿宋"/>
          <w:sz w:val="24"/>
          <w:szCs w:val="21"/>
        </w:rPr>
        <w:t>1.项目总负责人：具有土地或规划相关专业高级及以上职称。</w:t>
      </w:r>
    </w:p>
    <w:p>
      <w:pPr>
        <w:numPr>
          <w:ilvl w:val="0"/>
          <w:numId w:val="0"/>
        </w:numPr>
        <w:ind w:firstLine="420"/>
        <w:rPr>
          <w:rFonts w:ascii="仿宋" w:hAnsi="仿宋" w:eastAsia="仿宋" w:cs="仿宋"/>
          <w:sz w:val="24"/>
          <w:szCs w:val="21"/>
        </w:rPr>
      </w:pPr>
      <w:r>
        <w:rPr>
          <w:rFonts w:hint="eastAsia" w:ascii="仿宋" w:hAnsi="仿宋" w:eastAsia="仿宋" w:cs="仿宋"/>
          <w:sz w:val="24"/>
          <w:szCs w:val="21"/>
        </w:rPr>
        <w:t>2.技术团队：由乙方组建技术团队，作为技术支撑和技术协调的主要力量。人员专业可包括土地资源管理、地理信息系统、城乡规划等。项目组人员未经甲方批准不得撤换，否则视为乙方违约。对不合格或违纪的咨询人员，甲方可要求乙方撤换，直至甲方认可。</w:t>
      </w:r>
    </w:p>
    <w:p>
      <w:pPr>
        <w:ind w:firstLine="420"/>
        <w:rPr>
          <w:rFonts w:ascii="仿宋" w:hAnsi="仿宋" w:eastAsia="仿宋" w:cs="仿宋"/>
          <w:sz w:val="24"/>
          <w:szCs w:val="21"/>
        </w:rPr>
      </w:pPr>
      <w:r>
        <w:rPr>
          <w:rFonts w:hint="eastAsia" w:ascii="仿宋" w:hAnsi="仿宋" w:eastAsia="仿宋" w:cs="仿宋"/>
          <w:sz w:val="24"/>
          <w:szCs w:val="21"/>
        </w:rPr>
        <w:t>3.乙方项目负责人及团队成员必须常驻深圳开展工作，按工作要求配备足够的专业人员和支持人员，具有完善的人员组织管理体系，确保设计咨询工作顺利完成。乙方变更项目负责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numPr>
          <w:ilvl w:val="0"/>
          <w:numId w:val="3"/>
        </w:numPr>
        <w:rPr>
          <w:rFonts w:ascii="仿宋" w:hAnsi="仿宋" w:eastAsia="仿宋" w:cs="仿宋"/>
          <w:b/>
          <w:bCs/>
          <w:sz w:val="24"/>
        </w:rPr>
      </w:pPr>
      <w:r>
        <w:rPr>
          <w:rFonts w:hint="eastAsia" w:ascii="仿宋" w:hAnsi="仿宋" w:eastAsia="仿宋" w:cs="仿宋"/>
          <w:b/>
          <w:bCs/>
          <w:sz w:val="24"/>
        </w:rPr>
        <w:t>费用支付</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1</w:t>
      </w:r>
      <w:r>
        <w:rPr>
          <w:rFonts w:ascii="仿宋" w:hAnsi="仿宋" w:eastAsia="仿宋" w:cs="仿宋"/>
          <w:sz w:val="24"/>
          <w:szCs w:val="21"/>
        </w:rPr>
        <w:t>.</w:t>
      </w:r>
      <w:r>
        <w:rPr>
          <w:rFonts w:hint="eastAsia" w:ascii="仿宋" w:hAnsi="仿宋" w:eastAsia="仿宋" w:cs="仿宋"/>
          <w:sz w:val="24"/>
          <w:szCs w:val="21"/>
        </w:rPr>
        <w:t>合同价款由甲方分三期付至乙方指定银行账户，支付比例为</w:t>
      </w:r>
      <w:r>
        <w:rPr>
          <w:rFonts w:ascii="仿宋" w:hAnsi="仿宋" w:eastAsia="仿宋" w:cs="仿宋"/>
          <w:sz w:val="24"/>
          <w:szCs w:val="21"/>
        </w:rPr>
        <w:t>3</w:t>
      </w:r>
      <w:r>
        <w:rPr>
          <w:rFonts w:hint="eastAsia" w:ascii="仿宋" w:hAnsi="仿宋" w:eastAsia="仿宋" w:cs="仿宋"/>
          <w:sz w:val="24"/>
          <w:szCs w:val="21"/>
        </w:rPr>
        <w:t>0%、</w:t>
      </w:r>
      <w:r>
        <w:rPr>
          <w:rFonts w:ascii="仿宋" w:hAnsi="仿宋" w:eastAsia="仿宋" w:cs="仿宋"/>
          <w:sz w:val="24"/>
          <w:szCs w:val="21"/>
        </w:rPr>
        <w:t>40</w:t>
      </w:r>
      <w:r>
        <w:rPr>
          <w:rFonts w:hint="eastAsia" w:ascii="仿宋" w:hAnsi="仿宋" w:eastAsia="仿宋" w:cs="仿宋"/>
          <w:sz w:val="24"/>
          <w:szCs w:val="21"/>
        </w:rPr>
        <w:t>%、</w:t>
      </w:r>
      <w:r>
        <w:rPr>
          <w:rFonts w:ascii="仿宋" w:hAnsi="仿宋" w:eastAsia="仿宋" w:cs="仿宋"/>
          <w:sz w:val="24"/>
          <w:szCs w:val="21"/>
        </w:rPr>
        <w:t>30</w:t>
      </w:r>
      <w:r>
        <w:rPr>
          <w:rFonts w:hint="eastAsia" w:ascii="仿宋" w:hAnsi="仿宋" w:eastAsia="仿宋" w:cs="仿宋"/>
          <w:sz w:val="24"/>
          <w:szCs w:val="21"/>
        </w:rPr>
        <w:t>%。</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第一期费用：自本合同签订之日起15个工作日内，根据乙方提出的付款申请，甲方向乙方支付本年期合同价款的</w:t>
      </w:r>
      <w:r>
        <w:rPr>
          <w:rFonts w:ascii="仿宋" w:hAnsi="仿宋" w:eastAsia="仿宋" w:cs="仿宋"/>
          <w:sz w:val="24"/>
          <w:szCs w:val="21"/>
        </w:rPr>
        <w:t>3</w:t>
      </w:r>
      <w:r>
        <w:rPr>
          <w:rFonts w:hint="eastAsia" w:ascii="仿宋" w:hAnsi="仿宋" w:eastAsia="仿宋" w:cs="仿宋"/>
          <w:sz w:val="24"/>
          <w:szCs w:val="21"/>
        </w:rPr>
        <w:t>0%。即人民币</w:t>
      </w:r>
      <w:r>
        <w:rPr>
          <w:rFonts w:ascii="仿宋" w:hAnsi="仿宋" w:eastAsia="仿宋" w:cs="仿宋"/>
          <w:sz w:val="24"/>
          <w:szCs w:val="21"/>
        </w:rPr>
        <w:t xml:space="preserve"> </w:t>
      </w:r>
      <w:r>
        <w:rPr>
          <w:rFonts w:hint="eastAsia" w:ascii="仿宋" w:hAnsi="仿宋" w:eastAsia="仿宋" w:cs="仿宋"/>
          <w:sz w:val="24"/>
          <w:szCs w:val="21"/>
        </w:rPr>
        <w:t xml:space="preserve"> 元整（</w:t>
      </w:r>
      <w:r>
        <w:rPr>
          <w:rFonts w:hint="eastAsia" w:ascii="Calibri" w:hAnsi="Calibri" w:eastAsia="仿宋" w:cs="Calibri"/>
          <w:sz w:val="24"/>
          <w:szCs w:val="21"/>
        </w:rPr>
        <w:t>¥</w:t>
      </w:r>
      <w:r>
        <w:rPr>
          <w:rFonts w:ascii="仿宋" w:hAnsi="仿宋" w:eastAsia="仿宋" w:cs="仿宋"/>
          <w:sz w:val="24"/>
          <w:szCs w:val="21"/>
        </w:rPr>
        <w:t xml:space="preserve">  </w:t>
      </w:r>
      <w:r>
        <w:rPr>
          <w:rFonts w:hint="eastAsia" w:ascii="仿宋" w:hAnsi="仿宋" w:eastAsia="仿宋" w:cs="仿宋"/>
          <w:sz w:val="24"/>
          <w:szCs w:val="21"/>
        </w:rPr>
        <w:t>元）；</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第二期费用：供应计划通过市政府审批后，根据乙方提出的付款申请，甲方向乙方支付合同总费用的</w:t>
      </w:r>
      <w:r>
        <w:rPr>
          <w:rFonts w:ascii="仿宋" w:hAnsi="仿宋" w:eastAsia="仿宋" w:cs="仿宋"/>
          <w:sz w:val="24"/>
          <w:szCs w:val="21"/>
        </w:rPr>
        <w:t>40</w:t>
      </w:r>
      <w:r>
        <w:rPr>
          <w:rFonts w:hint="eastAsia" w:ascii="仿宋" w:hAnsi="仿宋" w:eastAsia="仿宋" w:cs="仿宋"/>
          <w:sz w:val="24"/>
          <w:szCs w:val="21"/>
        </w:rPr>
        <w:t>%。即人民币</w:t>
      </w:r>
      <w:r>
        <w:rPr>
          <w:rFonts w:ascii="仿宋" w:hAnsi="仿宋" w:eastAsia="仿宋" w:cs="仿宋"/>
          <w:sz w:val="24"/>
          <w:szCs w:val="21"/>
        </w:rPr>
        <w:t xml:space="preserve"> </w:t>
      </w:r>
      <w:r>
        <w:rPr>
          <w:rFonts w:hint="eastAsia" w:ascii="仿宋" w:hAnsi="仿宋" w:eastAsia="仿宋" w:cs="仿宋"/>
          <w:sz w:val="24"/>
          <w:szCs w:val="21"/>
        </w:rPr>
        <w:t xml:space="preserve"> 元整（</w:t>
      </w:r>
      <w:r>
        <w:rPr>
          <w:rFonts w:hint="eastAsia" w:ascii="Calibri" w:hAnsi="Calibri" w:eastAsia="仿宋" w:cs="Calibri"/>
          <w:sz w:val="24"/>
          <w:szCs w:val="21"/>
        </w:rPr>
        <w:t>¥</w:t>
      </w:r>
      <w:r>
        <w:rPr>
          <w:rFonts w:ascii="仿宋" w:hAnsi="仿宋" w:eastAsia="仿宋" w:cs="仿宋"/>
          <w:sz w:val="24"/>
          <w:szCs w:val="21"/>
        </w:rPr>
        <w:t xml:space="preserve">  </w:t>
      </w:r>
      <w:r>
        <w:rPr>
          <w:rFonts w:hint="eastAsia" w:ascii="仿宋" w:hAnsi="仿宋" w:eastAsia="仿宋" w:cs="仿宋"/>
          <w:sz w:val="24"/>
          <w:szCs w:val="21"/>
        </w:rPr>
        <w:t>元）；</w:t>
      </w:r>
    </w:p>
    <w:p>
      <w:pPr>
        <w:spacing w:line="400" w:lineRule="exact"/>
        <w:ind w:firstLine="480" w:firstLineChars="200"/>
        <w:rPr>
          <w:rFonts w:ascii="仿宋" w:hAnsi="仿宋" w:eastAsia="仿宋" w:cs="仿宋"/>
          <w:sz w:val="24"/>
          <w:szCs w:val="21"/>
        </w:rPr>
      </w:pPr>
      <w:r>
        <w:rPr>
          <w:rFonts w:hint="eastAsia" w:ascii="仿宋" w:hAnsi="仿宋" w:eastAsia="仿宋" w:cs="仿宋"/>
          <w:sz w:val="24"/>
          <w:szCs w:val="21"/>
        </w:rPr>
        <w:t>第三期费用：乙方提交项目最终成果后，根据乙方提出的付款申请，甲方向乙方支付合同总费用的</w:t>
      </w:r>
      <w:r>
        <w:rPr>
          <w:rFonts w:ascii="仿宋" w:hAnsi="仿宋" w:eastAsia="仿宋" w:cs="仿宋"/>
          <w:sz w:val="24"/>
          <w:szCs w:val="21"/>
        </w:rPr>
        <w:t>30</w:t>
      </w:r>
      <w:r>
        <w:rPr>
          <w:rFonts w:hint="eastAsia" w:ascii="仿宋" w:hAnsi="仿宋" w:eastAsia="仿宋" w:cs="仿宋"/>
          <w:sz w:val="24"/>
          <w:szCs w:val="21"/>
        </w:rPr>
        <w:t>%。即人民币</w:t>
      </w:r>
      <w:r>
        <w:rPr>
          <w:rFonts w:ascii="仿宋" w:hAnsi="仿宋" w:eastAsia="仿宋" w:cs="仿宋"/>
          <w:sz w:val="24"/>
          <w:szCs w:val="21"/>
        </w:rPr>
        <w:t xml:space="preserve"> </w:t>
      </w:r>
      <w:r>
        <w:rPr>
          <w:rFonts w:hint="eastAsia" w:ascii="仿宋" w:hAnsi="仿宋" w:eastAsia="仿宋" w:cs="仿宋"/>
          <w:sz w:val="24"/>
          <w:szCs w:val="21"/>
        </w:rPr>
        <w:t xml:space="preserve"> 元整（</w:t>
      </w:r>
      <w:r>
        <w:rPr>
          <w:rFonts w:hint="eastAsia" w:ascii="Calibri" w:hAnsi="Calibri" w:eastAsia="仿宋" w:cs="Calibri"/>
          <w:sz w:val="24"/>
          <w:szCs w:val="21"/>
        </w:rPr>
        <w:t>¥</w:t>
      </w:r>
      <w:r>
        <w:rPr>
          <w:rFonts w:ascii="仿宋" w:hAnsi="仿宋" w:eastAsia="仿宋" w:cs="仿宋"/>
          <w:sz w:val="24"/>
          <w:szCs w:val="21"/>
        </w:rPr>
        <w:t xml:space="preserve">  </w:t>
      </w:r>
      <w:r>
        <w:rPr>
          <w:rFonts w:hint="eastAsia" w:ascii="仿宋" w:hAnsi="仿宋" w:eastAsia="仿宋" w:cs="仿宋"/>
          <w:sz w:val="24"/>
          <w:szCs w:val="21"/>
        </w:rPr>
        <w:t>元）；</w:t>
      </w:r>
    </w:p>
    <w:p>
      <w:pPr>
        <w:widowControl/>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上述每期款项均在满足付款条件，且甲方收到乙方开具的载明相应金额的合格发票后15个工作日内付至乙方指定银行账户。如未及时收到发票，则甲方相应付款时间顺延。因甲方付款审批影响支付进度，请乙方予以谅解，并不得就此向甲方索赔。</w:t>
      </w:r>
    </w:p>
    <w:p>
      <w:pPr>
        <w:widowControl w:val="0"/>
        <w:spacing w:line="400" w:lineRule="exact"/>
        <w:ind w:firstLine="480" w:firstLineChars="200"/>
        <w:jc w:val="both"/>
        <w:rPr>
          <w:rFonts w:ascii="仿宋" w:hAnsi="仿宋" w:eastAsia="仿宋" w:cs="仿宋"/>
          <w:sz w:val="24"/>
          <w:szCs w:val="21"/>
          <w:lang w:val="zh-CN"/>
        </w:rPr>
      </w:pPr>
      <w:r>
        <w:rPr>
          <w:rFonts w:hint="eastAsia" w:ascii="仿宋" w:hAnsi="仿宋" w:eastAsia="仿宋" w:cs="仿宋"/>
          <w:sz w:val="24"/>
          <w:szCs w:val="21"/>
        </w:rPr>
        <w:t>2.</w:t>
      </w:r>
      <w:r>
        <w:rPr>
          <w:rFonts w:hint="eastAsia" w:ascii="仿宋" w:hAnsi="仿宋" w:eastAsia="仿宋" w:cs="仿宋"/>
          <w:sz w:val="24"/>
          <w:szCs w:val="21"/>
          <w:lang w:val="zh-CN"/>
        </w:rPr>
        <w:t>本合同执行中相关的一切税费均由乙方负担。</w:t>
      </w:r>
    </w:p>
    <w:p>
      <w:pPr>
        <w:widowControl/>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3.合同价款由甲方分期付至乙方指定银行账户</w:t>
      </w:r>
    </w:p>
    <w:p>
      <w:pPr>
        <w:widowControl/>
        <w:spacing w:line="400" w:lineRule="exact"/>
        <w:ind w:firstLine="480" w:firstLineChars="200"/>
        <w:jc w:val="left"/>
        <w:rPr>
          <w:rFonts w:ascii="仿宋" w:hAnsi="仿宋" w:eastAsia="仿宋" w:cs="仿宋"/>
          <w:sz w:val="24"/>
          <w:szCs w:val="21"/>
          <w:lang w:val="zh-CN"/>
        </w:rPr>
      </w:pPr>
      <w:r>
        <w:rPr>
          <w:rFonts w:hint="eastAsia" w:ascii="仿宋" w:hAnsi="仿宋" w:eastAsia="仿宋" w:cs="仿宋"/>
          <w:sz w:val="24"/>
          <w:szCs w:val="21"/>
        </w:rPr>
        <w:t>乙方银行账户信息：</w:t>
      </w:r>
    </w:p>
    <w:p>
      <w:pPr>
        <w:widowControl/>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 xml:space="preserve">开户银行：       </w:t>
      </w:r>
    </w:p>
    <w:p>
      <w:pPr>
        <w:widowControl/>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 xml:space="preserve">户名：       </w:t>
      </w:r>
    </w:p>
    <w:p>
      <w:pPr>
        <w:widowControl/>
        <w:spacing w:line="40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 xml:space="preserve">账号： </w:t>
      </w:r>
    </w:p>
    <w:p>
      <w:pPr>
        <w:pStyle w:val="2"/>
        <w:ind w:firstLine="480" w:firstLineChars="200"/>
      </w:pPr>
      <w:r>
        <w:rPr>
          <w:rFonts w:hint="eastAsia" w:ascii="仿宋" w:hAnsi="仿宋" w:eastAsia="仿宋" w:cs="仿宋"/>
          <w:kern w:val="2"/>
          <w:sz w:val="24"/>
          <w:szCs w:val="21"/>
        </w:rPr>
        <w:t>乙方应确保所提供的银行账号信息准确无误。如账号发生错误、变更等情况，应当提前10日以书面形式通知甲方，否则，由此而引起的一切责任均由乙方自行承担。</w:t>
      </w:r>
    </w:p>
    <w:p>
      <w:pPr>
        <w:rPr>
          <w:rFonts w:ascii="仿宋" w:hAnsi="仿宋" w:eastAsia="仿宋" w:cs="仿宋"/>
          <w:b/>
          <w:bCs/>
          <w:sz w:val="24"/>
        </w:rPr>
      </w:pPr>
      <w:r>
        <w:rPr>
          <w:rFonts w:hint="eastAsia" w:ascii="仿宋" w:hAnsi="仿宋" w:eastAsia="仿宋" w:cs="仿宋"/>
          <w:b/>
          <w:bCs/>
          <w:sz w:val="24"/>
        </w:rPr>
        <w:t>十一、合同提前终止</w:t>
      </w:r>
    </w:p>
    <w:p>
      <w:pPr>
        <w:snapToGrid w:val="0"/>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甲、乙双方不得擅自变更、中止或者终止本合同。如本合同继续履行将损害国家利益和社会公共利益的，双方当事人应当变更、中止或者终止本合同。有过错的一方应当承担赔偿责任，双方都有过错的，各自承担相应的责任。</w:t>
      </w:r>
    </w:p>
    <w:p>
      <w:pPr>
        <w:snapToGrid w:val="0"/>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napToGrid w:val="0"/>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.有下列情形之一的，本合同自甲方向乙方发出书面通知之日起终止：</w:t>
      </w:r>
    </w:p>
    <w:p>
      <w:pPr>
        <w:snapToGrid w:val="0"/>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甲方的职能发生转变，不再具有委托职能。</w:t>
      </w:r>
    </w:p>
    <w:p>
      <w:pPr>
        <w:snapToGrid w:val="0"/>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本合同签订时适用的法律法规或政策发生变化，且对本合同的继续履行造成重大影响。</w:t>
      </w:r>
    </w:p>
    <w:p>
      <w:pPr>
        <w:snapToGrid w:val="0"/>
        <w:ind w:firstLine="480" w:firstLineChars="200"/>
        <w:rPr>
          <w:rFonts w:ascii="仿宋" w:hAnsi="仿宋" w:eastAsia="仿宋" w:cs="仿宋"/>
          <w:sz w:val="24"/>
        </w:rPr>
      </w:pPr>
      <w:r>
        <w:rPr>
          <w:rFonts w:hint="eastAsia" w:ascii="仿宋" w:hAnsi="仿宋" w:eastAsia="仿宋" w:cs="仿宋"/>
          <w:sz w:val="24"/>
        </w:rPr>
        <w:t>发生以上情形，甲方已向乙方支付的款项不退还，尚未支付的款项不再支付，同时乙方应向甲方提交在合同终止日前完成的所有项目文件和相关资料。</w:t>
      </w:r>
    </w:p>
    <w:p>
      <w:pPr>
        <w:snapToGrid w:val="0"/>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.如发生不可抗力或其他超出合同双方控制的事件，致使一方无法履行合同，本合同解除。</w:t>
      </w:r>
    </w:p>
    <w:p>
      <w:pPr>
        <w:snapToGrid w:val="0"/>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napToGrid w:val="0"/>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发生不可抗力，甲乙双方承担各自的损失。由于其中一方迟延履行合同义务后发生不可抗力的，其违约责任不能免除。</w:t>
      </w:r>
    </w:p>
    <w:p>
      <w:pPr>
        <w:snapToGrid w:val="0"/>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 xml:space="preserve">不可抗力事件导致一方无法履行合同义务或继续履行已无意义，由双方协商终止本合同并进行清算，甲方应按照乙方已完成的工作量支付款项，同时乙方应向甲方提交在合同终止日前完成的所有项目文件和相关资料 </w:t>
      </w:r>
    </w:p>
    <w:p>
      <w:pPr>
        <w:rPr>
          <w:rFonts w:ascii="仿宋" w:hAnsi="仿宋" w:eastAsia="仿宋" w:cs="仿宋"/>
          <w:b/>
          <w:bCs/>
          <w:sz w:val="24"/>
        </w:rPr>
      </w:pPr>
      <w:bookmarkStart w:id="206" w:name="_Toc10529"/>
      <w:r>
        <w:rPr>
          <w:rFonts w:hint="eastAsia" w:ascii="仿宋" w:hAnsi="仿宋" w:eastAsia="仿宋" w:cs="仿宋"/>
          <w:b/>
          <w:bCs/>
          <w:sz w:val="24"/>
        </w:rPr>
        <w:t>十二、争议解决</w:t>
      </w:r>
      <w:bookmarkEnd w:id="206"/>
    </w:p>
    <w:p>
      <w:pPr>
        <w:numPr>
          <w:ilvl w:val="255"/>
          <w:numId w:val="0"/>
        </w:numPr>
        <w:snapToGrid w:val="0"/>
        <w:ind w:firstLine="480" w:firstLineChars="200"/>
        <w:rPr>
          <w:rFonts w:ascii="仿宋" w:hAnsi="仿宋" w:eastAsia="仿宋" w:cs="仿宋"/>
          <w:sz w:val="24"/>
        </w:rPr>
      </w:pPr>
      <w:r>
        <w:rPr>
          <w:rFonts w:ascii="仿宋" w:hAnsi="仿宋" w:eastAsia="仿宋" w:cs="仿宋"/>
          <w:sz w:val="24"/>
        </w:rPr>
        <w:t>因本合同的履行发生的或与本合同有关的争议或纠纷</w:t>
      </w:r>
      <w:r>
        <w:rPr>
          <w:rFonts w:hint="eastAsia" w:ascii="仿宋" w:hAnsi="仿宋" w:eastAsia="仿宋" w:cs="仿宋"/>
          <w:sz w:val="24"/>
        </w:rPr>
        <w:t>，任一方有权向深圳前海合作区人民法院提起诉讼。</w:t>
      </w:r>
    </w:p>
    <w:p>
      <w:pPr>
        <w:rPr>
          <w:rFonts w:ascii="仿宋" w:hAnsi="仿宋" w:eastAsia="仿宋" w:cs="仿宋"/>
          <w:b/>
          <w:bCs/>
          <w:sz w:val="24"/>
        </w:rPr>
      </w:pPr>
      <w:bookmarkStart w:id="207" w:name="_Toc14951"/>
      <w:r>
        <w:rPr>
          <w:rFonts w:hint="eastAsia" w:ascii="仿宋" w:hAnsi="仿宋" w:eastAsia="仿宋" w:cs="仿宋"/>
          <w:b/>
          <w:bCs/>
          <w:sz w:val="24"/>
        </w:rPr>
        <w:t>十三、违约责任</w:t>
      </w:r>
      <w:bookmarkEnd w:id="207"/>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1.因乙方原因，未能按规定时间完成有关工作的，每延误一天，甲方自尚未支付的合同款项中扣除合同</w:t>
      </w:r>
      <w:r>
        <w:rPr>
          <w:rFonts w:ascii="仿宋" w:hAnsi="仿宋" w:eastAsia="仿宋" w:cs="仿宋"/>
          <w:sz w:val="24"/>
          <w:szCs w:val="24"/>
        </w:rPr>
        <w:t>服务总金额的</w:t>
      </w:r>
      <w:r>
        <w:rPr>
          <w:rFonts w:hint="eastAsia" w:ascii="仿宋" w:hAnsi="仿宋" w:eastAsia="仿宋" w:cs="仿宋"/>
          <w:sz w:val="24"/>
          <w:szCs w:val="24"/>
        </w:rPr>
        <w:t>5</w:t>
      </w:r>
      <w:r>
        <w:rPr>
          <w:rFonts w:ascii="仿宋" w:hAnsi="仿宋" w:eastAsia="仿宋" w:cs="仿宋"/>
          <w:sz w:val="24"/>
          <w:szCs w:val="24"/>
        </w:rPr>
        <w:t>‰的逾期违约金</w:t>
      </w:r>
      <w:r>
        <w:rPr>
          <w:rFonts w:hint="eastAsia" w:ascii="仿宋" w:hAnsi="仿宋" w:eastAsia="仿宋" w:cs="仿宋"/>
          <w:sz w:val="24"/>
          <w:szCs w:val="24"/>
        </w:rPr>
        <w:t>。</w:t>
      </w:r>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2.由于乙方原因造成成果质量低劣，不能满足本合同要求时，应继续完善成果，其费用由乙方承担。</w:t>
      </w:r>
    </w:p>
    <w:p>
      <w:pPr>
        <w:pStyle w:val="10"/>
        <w:snapToGrid w:val="0"/>
        <w:ind w:firstLine="480" w:firstLineChars="200"/>
        <w:rPr>
          <w:rFonts w:ascii="仿宋" w:hAnsi="仿宋" w:eastAsia="仿宋" w:cs="仿宋"/>
          <w:sz w:val="24"/>
          <w:szCs w:val="24"/>
        </w:rPr>
      </w:pPr>
      <w:r>
        <w:rPr>
          <w:rFonts w:hint="eastAsia" w:ascii="仿宋" w:hAnsi="仿宋" w:eastAsia="仿宋" w:cs="仿宋"/>
          <w:sz w:val="24"/>
          <w:szCs w:val="24"/>
        </w:rPr>
        <w:t>3.如乙方提供的服务或成果不符合质量要求，必须在甲方提出要求后7个日历日无条件修改，其费用由乙方承担。</w:t>
      </w:r>
    </w:p>
    <w:p>
      <w:pPr>
        <w:snapToGrid w:val="0"/>
        <w:ind w:firstLine="480" w:firstLineChars="200"/>
        <w:rPr>
          <w:rFonts w:ascii="仿宋" w:hAnsi="仿宋" w:eastAsia="仿宋" w:cs="仿宋"/>
          <w:sz w:val="24"/>
        </w:rPr>
      </w:pPr>
      <w:r>
        <w:rPr>
          <w:rFonts w:hint="eastAsia" w:ascii="仿宋" w:hAnsi="仿宋" w:eastAsia="仿宋" w:cs="仿宋"/>
          <w:sz w:val="24"/>
        </w:rPr>
        <w:t>4.本</w:t>
      </w:r>
      <w:r>
        <w:rPr>
          <w:rFonts w:ascii="仿宋" w:hAnsi="仿宋" w:eastAsia="仿宋" w:cs="仿宋"/>
          <w:sz w:val="24"/>
        </w:rPr>
        <w:t>合同</w:t>
      </w:r>
      <w:r>
        <w:rPr>
          <w:rFonts w:hint="eastAsia" w:ascii="仿宋" w:hAnsi="仿宋" w:eastAsia="仿宋" w:cs="仿宋"/>
          <w:sz w:val="24"/>
        </w:rPr>
        <w:t>履行期间，发生下述情形时，甲方有权解除本</w:t>
      </w:r>
      <w:r>
        <w:rPr>
          <w:rFonts w:ascii="仿宋" w:hAnsi="仿宋" w:eastAsia="仿宋" w:cs="仿宋"/>
          <w:sz w:val="24"/>
        </w:rPr>
        <w:t>合同</w:t>
      </w:r>
      <w:r>
        <w:rPr>
          <w:rFonts w:hint="eastAsia" w:ascii="仿宋" w:hAnsi="仿宋" w:eastAsia="仿宋" w:cs="仿宋"/>
          <w:sz w:val="24"/>
        </w:rPr>
        <w:t>，乙方除应退还甲方已支付的全部款项外,还应在合同解除通知发出之日起10日内向甲方支付合同总价款20%的违约金。乙方应同时将已完成的项目成果移交给甲方，并将全部有关资料退还甲方：</w:t>
      </w:r>
    </w:p>
    <w:p>
      <w:pPr>
        <w:snapToGrid w:val="0"/>
        <w:ind w:firstLine="480" w:firstLineChars="200"/>
        <w:rPr>
          <w:rFonts w:ascii="仿宋" w:hAnsi="仿宋" w:eastAsia="仿宋" w:cs="仿宋"/>
          <w:sz w:val="24"/>
        </w:rPr>
      </w:pPr>
      <w:r>
        <w:rPr>
          <w:rFonts w:hint="eastAsia" w:ascii="仿宋" w:hAnsi="仿宋" w:eastAsia="仿宋" w:cs="仿宋"/>
          <w:sz w:val="24"/>
        </w:rPr>
        <w:t>4.1因中标单位工作的错误或遗漏造成成果质量不符合本合同要求，且中标单位未按采购方要求采取及时有效的补救措施的；</w:t>
      </w:r>
    </w:p>
    <w:p>
      <w:pPr>
        <w:snapToGrid w:val="0"/>
        <w:ind w:firstLine="480" w:firstLineChars="200"/>
        <w:rPr>
          <w:rFonts w:ascii="仿宋" w:hAnsi="仿宋" w:eastAsia="仿宋" w:cs="仿宋"/>
          <w:sz w:val="24"/>
        </w:rPr>
      </w:pPr>
      <w:r>
        <w:rPr>
          <w:rFonts w:hint="eastAsia" w:ascii="仿宋" w:hAnsi="仿宋" w:eastAsia="仿宋" w:cs="仿宋"/>
          <w:sz w:val="24"/>
        </w:rPr>
        <w:t>4.2中标单位未能按合同约定的日期(含协商延缓的日期)提交工作成果，延误时间超过30个工作日；或中标单位虽如期提交阶段性成果和最终成果，但最终成果连续二次未能通过评审验收的；</w:t>
      </w:r>
    </w:p>
    <w:p>
      <w:pPr>
        <w:snapToGrid w:val="0"/>
        <w:ind w:firstLine="480" w:firstLineChars="200"/>
        <w:rPr>
          <w:rFonts w:ascii="仿宋" w:hAnsi="仿宋" w:eastAsia="仿宋" w:cs="仿宋"/>
          <w:sz w:val="24"/>
        </w:rPr>
      </w:pPr>
      <w:r>
        <w:rPr>
          <w:rFonts w:hint="eastAsia" w:ascii="仿宋" w:hAnsi="仿宋" w:eastAsia="仿宋" w:cs="仿宋"/>
          <w:sz w:val="24"/>
        </w:rPr>
        <w:t>4.3发现中标单位或中标单位工作人员出现全部或部分丧失履行委托服务能力的情况，采购方有权通知中标单位限期整改或更换工作人员，期限届满中标单位并未进行改善的；</w:t>
      </w:r>
    </w:p>
    <w:p>
      <w:pPr>
        <w:snapToGrid w:val="0"/>
        <w:ind w:firstLine="480" w:firstLineChars="200"/>
        <w:rPr>
          <w:rFonts w:ascii="仿宋" w:hAnsi="仿宋" w:eastAsia="仿宋" w:cs="仿宋"/>
          <w:sz w:val="24"/>
        </w:rPr>
      </w:pPr>
      <w:r>
        <w:rPr>
          <w:rFonts w:hint="eastAsia" w:ascii="仿宋" w:hAnsi="仿宋" w:eastAsia="仿宋" w:cs="仿宋"/>
          <w:sz w:val="24"/>
        </w:rPr>
        <w:t>4.4乙方明确表示或者以自己的行为表明不履行本</w:t>
      </w:r>
      <w:r>
        <w:rPr>
          <w:rFonts w:ascii="仿宋" w:hAnsi="仿宋" w:eastAsia="仿宋" w:cs="仿宋"/>
          <w:sz w:val="24"/>
        </w:rPr>
        <w:t>合同</w:t>
      </w:r>
      <w:r>
        <w:rPr>
          <w:rFonts w:hint="eastAsia" w:ascii="仿宋" w:hAnsi="仿宋" w:eastAsia="仿宋" w:cs="仿宋"/>
          <w:sz w:val="24"/>
        </w:rPr>
        <w:t>的。</w:t>
      </w:r>
    </w:p>
    <w:p>
      <w:pPr>
        <w:pStyle w:val="2"/>
        <w:ind w:firstLine="480" w:firstLineChars="200"/>
        <w:rPr>
          <w:rFonts w:ascii="仿宋" w:hAnsi="仿宋" w:eastAsia="仿宋" w:cs="仿宋"/>
          <w:sz w:val="24"/>
        </w:rPr>
      </w:pPr>
      <w:r>
        <w:rPr>
          <w:rFonts w:hint="eastAsia" w:ascii="仿宋" w:hAnsi="仿宋" w:eastAsia="仿宋" w:cs="仿宋"/>
          <w:sz w:val="24"/>
        </w:rPr>
        <w:t>5.除因审批流程及财政部门预算下达延误影响甲方支出进度外，如甲方未按照本合同约定的时间支付服务费，乙方书面催告甲方并给予不少于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20%的违约金。</w:t>
      </w:r>
    </w:p>
    <w:p>
      <w:pPr>
        <w:snapToGrid w:val="0"/>
        <w:ind w:firstLine="480" w:firstLineChars="200"/>
        <w:rPr>
          <w:rFonts w:ascii="仿宋" w:hAnsi="仿宋" w:eastAsia="仿宋" w:cs="仿宋"/>
          <w:sz w:val="24"/>
        </w:rPr>
      </w:pPr>
      <w:r>
        <w:rPr>
          <w:rFonts w:hint="eastAsia" w:ascii="仿宋" w:hAnsi="仿宋" w:eastAsia="仿宋" w:cs="仿宋"/>
          <w:sz w:val="24"/>
        </w:rPr>
        <w:t>6.上述违约责任各自独立且可累加。如本合同所约定的违约金无法弥补因违约行为所造成的损失，违约方应补偿上述不足部分的损失。</w:t>
      </w:r>
    </w:p>
    <w:p>
      <w:pPr>
        <w:snapToGrid w:val="0"/>
        <w:ind w:firstLine="480"/>
        <w:rPr>
          <w:rFonts w:ascii="仿宋" w:hAnsi="仿宋" w:eastAsia="仿宋" w:cs="仿宋"/>
          <w:sz w:val="24"/>
        </w:rPr>
      </w:pPr>
      <w:r>
        <w:rPr>
          <w:rFonts w:hint="eastAsia" w:ascii="仿宋" w:hAnsi="仿宋" w:eastAsia="仿宋" w:cs="仿宋"/>
          <w:sz w:val="24"/>
        </w:rPr>
        <w:t>7.未经甲方书面在先同意，乙方擅自将本合同项目与任何第三方合作，或将本合同标的的全部或部分擅自转包或分包给任何第三方，且未按采购方的要求终止与第三方的协议的；</w:t>
      </w:r>
    </w:p>
    <w:p>
      <w:pPr>
        <w:snapToGrid w:val="0"/>
        <w:ind w:firstLine="480"/>
        <w:rPr>
          <w:rFonts w:ascii="仿宋" w:hAnsi="仿宋" w:eastAsia="仿宋" w:cs="仿宋"/>
          <w:sz w:val="24"/>
        </w:rPr>
      </w:pPr>
      <w:r>
        <w:rPr>
          <w:rFonts w:hint="eastAsia" w:ascii="仿宋" w:hAnsi="仿宋" w:eastAsia="仿宋" w:cs="仿宋"/>
          <w:sz w:val="24"/>
        </w:rPr>
        <w:t>8.乙方项目负责人未承担本合同项目实质性工作，或未经采购方书面在先同意，中标单位擅自更换项目负责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napToGrid w:val="0"/>
        <w:ind w:firstLine="480" w:firstLineChars="0"/>
        <w:rPr>
          <w:rFonts w:ascii="仿宋" w:hAnsi="仿宋" w:eastAsia="仿宋" w:cs="仿宋"/>
          <w:sz w:val="24"/>
        </w:rPr>
      </w:pPr>
      <w:r>
        <w:rPr>
          <w:rFonts w:hint="eastAsia" w:ascii="仿宋" w:hAnsi="仿宋" w:eastAsia="仿宋" w:cs="仿宋"/>
          <w:sz w:val="24"/>
        </w:rPr>
        <w:t>9.甲方和乙方单位其他的违约责任依据《中华人民共和国民法典》确定。</w:t>
      </w:r>
    </w:p>
    <w:p>
      <w:pPr>
        <w:rPr>
          <w:rFonts w:ascii="仿宋" w:hAnsi="仿宋" w:eastAsia="仿宋" w:cs="仿宋"/>
          <w:b/>
          <w:bCs/>
          <w:sz w:val="24"/>
        </w:rPr>
      </w:pPr>
      <w:bookmarkStart w:id="208" w:name="_Toc17510"/>
      <w:r>
        <w:rPr>
          <w:rFonts w:hint="eastAsia" w:ascii="仿宋" w:hAnsi="仿宋" w:eastAsia="仿宋" w:cs="仿宋"/>
          <w:b/>
          <w:bCs/>
          <w:sz w:val="24"/>
        </w:rPr>
        <w:t>十四、保密条款</w:t>
      </w:r>
      <w:bookmarkEnd w:id="208"/>
    </w:p>
    <w:p>
      <w:pPr>
        <w:ind w:firstLine="480" w:firstLineChars="200"/>
        <w:rPr>
          <w:rFonts w:ascii="仿宋" w:hAnsi="仿宋" w:eastAsia="仿宋" w:cs="仿宋"/>
          <w:sz w:val="24"/>
        </w:rPr>
      </w:pPr>
      <w:r>
        <w:rPr>
          <w:rFonts w:hint="eastAsia" w:ascii="仿宋" w:hAnsi="仿宋" w:eastAsia="仿宋" w:cs="仿宋"/>
          <w:sz w:val="24"/>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ind w:firstLine="480" w:firstLineChars="200"/>
        <w:rPr>
          <w:rFonts w:ascii="仿宋" w:hAnsi="仿宋" w:eastAsia="仿宋" w:cs="仿宋"/>
          <w:sz w:val="24"/>
        </w:rPr>
      </w:pPr>
      <w:r>
        <w:rPr>
          <w:rFonts w:hint="eastAsia" w:ascii="仿宋" w:hAnsi="仿宋" w:eastAsia="仿宋" w:cs="仿宋"/>
          <w:sz w:val="24"/>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ind w:firstLine="480" w:firstLineChars="200"/>
        <w:rPr>
          <w:rFonts w:ascii="仿宋" w:hAnsi="仿宋" w:eastAsia="仿宋" w:cs="仿宋"/>
          <w:sz w:val="24"/>
        </w:rPr>
      </w:pPr>
      <w:r>
        <w:rPr>
          <w:rFonts w:hint="eastAsia" w:ascii="仿宋" w:hAnsi="仿宋" w:eastAsia="仿宋" w:cs="仿宋"/>
          <w:sz w:val="24"/>
        </w:rPr>
        <w:t>（三）乙方实施项目的程序应符合国家安全、保密的有关规定和标准。</w:t>
      </w:r>
    </w:p>
    <w:p>
      <w:pPr>
        <w:ind w:firstLine="480" w:firstLineChars="200"/>
        <w:rPr>
          <w:rFonts w:ascii="仿宋" w:hAnsi="仿宋" w:eastAsia="仿宋" w:cs="仿宋"/>
          <w:sz w:val="24"/>
        </w:rPr>
      </w:pPr>
      <w:r>
        <w:rPr>
          <w:rFonts w:hint="eastAsia" w:ascii="仿宋" w:hAnsi="仿宋" w:eastAsia="仿宋" w:cs="仿宋"/>
          <w:sz w:val="24"/>
        </w:rPr>
        <w:t>（四）上述保密义务不适用以下情况：</w:t>
      </w:r>
    </w:p>
    <w:p>
      <w:pPr>
        <w:ind w:firstLine="480" w:firstLineChars="200"/>
        <w:rPr>
          <w:rFonts w:ascii="仿宋" w:hAnsi="仿宋" w:eastAsia="仿宋" w:cs="仿宋"/>
          <w:sz w:val="24"/>
        </w:rPr>
      </w:pPr>
      <w:r>
        <w:rPr>
          <w:rFonts w:hint="eastAsia" w:ascii="仿宋" w:hAnsi="仿宋" w:eastAsia="仿宋" w:cs="仿宋"/>
          <w:sz w:val="24"/>
        </w:rPr>
        <w:t>1.获取的信息已被合法公开；</w:t>
      </w:r>
    </w:p>
    <w:p>
      <w:pPr>
        <w:ind w:firstLine="480" w:firstLineChars="200"/>
        <w:rPr>
          <w:rFonts w:ascii="仿宋" w:hAnsi="仿宋" w:eastAsia="仿宋" w:cs="仿宋"/>
          <w:sz w:val="24"/>
        </w:rPr>
      </w:pPr>
      <w:r>
        <w:rPr>
          <w:rFonts w:hint="eastAsia" w:ascii="仿宋" w:hAnsi="仿宋" w:eastAsia="仿宋" w:cs="仿宋"/>
          <w:sz w:val="24"/>
        </w:rPr>
        <w:t>2.获得信息拥有方书面许可并在该许可范围内披露；</w:t>
      </w:r>
    </w:p>
    <w:p>
      <w:pPr>
        <w:ind w:firstLine="480" w:firstLineChars="200"/>
        <w:rPr>
          <w:rFonts w:ascii="仿宋" w:hAnsi="仿宋" w:eastAsia="仿宋" w:cs="仿宋"/>
          <w:sz w:val="24"/>
        </w:rPr>
      </w:pPr>
      <w:r>
        <w:rPr>
          <w:rFonts w:hint="eastAsia" w:ascii="仿宋" w:hAnsi="仿宋" w:eastAsia="仿宋" w:cs="仿宋"/>
          <w:sz w:val="24"/>
        </w:rPr>
        <w:t>3.国家法律、法规规定的情形。</w:t>
      </w:r>
    </w:p>
    <w:p>
      <w:pPr>
        <w:ind w:firstLine="480" w:firstLineChars="200"/>
        <w:rPr>
          <w:rFonts w:ascii="仿宋" w:hAnsi="仿宋" w:eastAsia="仿宋" w:cs="仿宋"/>
          <w:sz w:val="24"/>
        </w:rPr>
      </w:pPr>
      <w:r>
        <w:rPr>
          <w:rFonts w:hint="eastAsia" w:ascii="仿宋" w:hAnsi="仿宋" w:eastAsia="仿宋" w:cs="仿宋"/>
          <w:sz w:val="24"/>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napToGrid w:val="0"/>
        <w:ind w:firstLine="480" w:firstLineChars="200"/>
        <w:rPr>
          <w:rFonts w:ascii="仿宋" w:hAnsi="仿宋" w:eastAsia="仿宋" w:cs="仿宋"/>
          <w:sz w:val="24"/>
        </w:rPr>
      </w:pPr>
      <w:r>
        <w:rPr>
          <w:rFonts w:hint="eastAsia" w:ascii="仿宋" w:hAnsi="仿宋" w:eastAsia="仿宋" w:cs="仿宋"/>
          <w:sz w:val="24"/>
        </w:rPr>
        <w:t>（六）无论本合同或本合同其他条款是否有效，本保密条款始终约束双方。国家秘密的保密期限由国家有关部门确定，工作秘密的保密期限由甲方确定。</w:t>
      </w:r>
    </w:p>
    <w:p>
      <w:pPr>
        <w:rPr>
          <w:rFonts w:ascii="仿宋" w:hAnsi="仿宋" w:eastAsia="仿宋" w:cs="仿宋"/>
          <w:b/>
          <w:bCs/>
          <w:sz w:val="24"/>
        </w:rPr>
      </w:pPr>
      <w:bookmarkStart w:id="209" w:name="_Toc16227"/>
      <w:r>
        <w:rPr>
          <w:rFonts w:hint="eastAsia" w:ascii="仿宋" w:hAnsi="仿宋" w:eastAsia="仿宋" w:cs="仿宋"/>
          <w:b/>
          <w:bCs/>
          <w:sz w:val="24"/>
        </w:rPr>
        <w:t>十五、其他</w:t>
      </w:r>
      <w:bookmarkEnd w:id="209"/>
    </w:p>
    <w:p>
      <w:pPr>
        <w:snapToGrid w:val="0"/>
        <w:ind w:firstLine="480" w:firstLineChars="200"/>
        <w:rPr>
          <w:rFonts w:ascii="仿宋" w:hAnsi="仿宋" w:eastAsia="仿宋" w:cs="仿宋"/>
          <w:sz w:val="24"/>
        </w:rPr>
      </w:pPr>
      <w:r>
        <w:rPr>
          <w:rFonts w:hint="eastAsia" w:ascii="仿宋" w:hAnsi="仿宋" w:eastAsia="仿宋" w:cs="仿宋"/>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napToGrid w:val="0"/>
        <w:ind w:firstLine="480" w:firstLineChars="200"/>
        <w:rPr>
          <w:rFonts w:ascii="仿宋" w:hAnsi="仿宋" w:eastAsia="仿宋" w:cs="仿宋"/>
          <w:sz w:val="24"/>
        </w:rPr>
      </w:pPr>
      <w:r>
        <w:rPr>
          <w:rFonts w:hint="eastAsia" w:ascii="仿宋" w:hAnsi="仿宋" w:eastAsia="仿宋" w:cs="仿宋"/>
          <w:sz w:val="24"/>
        </w:rPr>
        <w:t>（1）合同书及补充协议；</w:t>
      </w:r>
    </w:p>
    <w:p>
      <w:pPr>
        <w:snapToGrid w:val="0"/>
        <w:ind w:firstLine="480" w:firstLineChars="200"/>
        <w:rPr>
          <w:rFonts w:ascii="仿宋" w:hAnsi="仿宋" w:eastAsia="仿宋" w:cs="仿宋"/>
          <w:sz w:val="24"/>
        </w:rPr>
      </w:pPr>
      <w:r>
        <w:rPr>
          <w:rFonts w:hint="eastAsia" w:ascii="仿宋" w:hAnsi="仿宋" w:eastAsia="仿宋" w:cs="仿宋"/>
          <w:sz w:val="24"/>
        </w:rPr>
        <w:t>（2）中标通知书；</w:t>
      </w:r>
    </w:p>
    <w:p>
      <w:pPr>
        <w:snapToGrid w:val="0"/>
        <w:ind w:firstLine="480" w:firstLineChars="200"/>
        <w:rPr>
          <w:rFonts w:ascii="仿宋" w:hAnsi="仿宋" w:eastAsia="仿宋" w:cs="仿宋"/>
          <w:sz w:val="24"/>
        </w:rPr>
      </w:pPr>
      <w:r>
        <w:rPr>
          <w:rFonts w:hint="eastAsia" w:ascii="仿宋" w:hAnsi="仿宋" w:eastAsia="仿宋" w:cs="仿宋"/>
          <w:sz w:val="24"/>
        </w:rPr>
        <w:t>（3）招标文件（编号：QHCG23053）及其澄清、补正公告；</w:t>
      </w:r>
    </w:p>
    <w:p>
      <w:pPr>
        <w:snapToGrid w:val="0"/>
        <w:ind w:firstLine="480" w:firstLineChars="200"/>
        <w:rPr>
          <w:rFonts w:ascii="仿宋" w:hAnsi="仿宋" w:eastAsia="仿宋" w:cs="仿宋"/>
          <w:sz w:val="24"/>
        </w:rPr>
      </w:pPr>
      <w:r>
        <w:rPr>
          <w:rFonts w:hint="eastAsia" w:ascii="仿宋" w:hAnsi="仿宋" w:eastAsia="仿宋" w:cs="仿宋"/>
          <w:sz w:val="24"/>
        </w:rPr>
        <w:t>（4）投标书。</w:t>
      </w:r>
    </w:p>
    <w:p>
      <w:pPr>
        <w:snapToGrid w:val="0"/>
        <w:ind w:firstLine="480" w:firstLineChars="200"/>
        <w:rPr>
          <w:rFonts w:ascii="仿宋" w:hAnsi="仿宋" w:eastAsia="仿宋" w:cs="仿宋"/>
          <w:sz w:val="24"/>
        </w:rPr>
      </w:pPr>
      <w:r>
        <w:rPr>
          <w:rFonts w:hint="eastAsia" w:ascii="仿宋" w:hAnsi="仿宋" w:eastAsia="仿宋" w:cs="仿宋"/>
          <w:sz w:val="24"/>
        </w:rPr>
        <w:t>2.本合同替代此前双方所有关于本合同事项的口头或书面的纪要、备忘录、合同、协议。</w:t>
      </w:r>
    </w:p>
    <w:p>
      <w:pPr>
        <w:snapToGrid w:val="0"/>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.本合同附件（如有）为合同不可分割的组成部分，与本合同一并加盖骑缝章后具有同等法律效力。若附件与合同正文有任何冲突，以合同正文为准。</w:t>
      </w:r>
    </w:p>
    <w:p>
      <w:pPr>
        <w:snapToGrid w:val="0"/>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.本合同各条标题仅为提示之用，应以条文内容确定各方的权利义务。</w:t>
      </w:r>
    </w:p>
    <w:p>
      <w:pPr>
        <w:snapToGrid w:val="0"/>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.本合同未尽事宜，由双方协商签订补充协议进行约定。补充协议应以书面形式作成，经双方法定代表人或其授权代表签字、盖章后与本合同具有同等法律效力。</w:t>
      </w:r>
    </w:p>
    <w:p>
      <w:pPr>
        <w:snapToGrid w:val="0"/>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.本合同约定的权利和义务不因合同双方发生收购、兼并、重组、分立而发生变化。如果发生上述情形，则本合同约定的权利和义务随之转移至收购、兼并、重组或分立后成立的单位。</w:t>
      </w:r>
    </w:p>
    <w:p>
      <w:pPr>
        <w:snapToGrid w:val="0"/>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.如果本合同的任何条款在任何时候变成不合法、无效或不可强制执行而不从根本上影响本合同的效力时，本合同的其他条款不受影响。</w:t>
      </w:r>
    </w:p>
    <w:p>
      <w:pPr>
        <w:snapToGrid w:val="0"/>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.本合同的任何内容不应被视为或解释为双方之间具有合资、合伙、代理关系。</w:t>
      </w:r>
    </w:p>
    <w:p>
      <w:pPr>
        <w:snapToGrid w:val="0"/>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.任何一方未经另一方同意不得向任何第三方透露本合同的签订及其内容。甲方向其关联公司透露前述内容的，不受此限。</w:t>
      </w:r>
    </w:p>
    <w:p>
      <w:pPr>
        <w:snapToGrid w:val="0"/>
        <w:ind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napToGrid w:val="0"/>
        <w:ind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.本合同自双方盖章之日起生效，有效期至系统运营维护期期满之日止。</w:t>
      </w:r>
    </w:p>
    <w:p>
      <w:pPr>
        <w:snapToGrid w:val="0"/>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.本合同一式四份正本，甲方与乙方各执两份，均具同等法律效力。（以下无正文）</w:t>
      </w:r>
    </w:p>
    <w:p>
      <w:pPr>
        <w:snapToGrid w:val="0"/>
        <w:ind w:firstLine="480" w:firstLineChars="200"/>
        <w:rPr>
          <w:rFonts w:ascii="仿宋" w:hAnsi="仿宋" w:eastAsia="仿宋" w:cs="仿宋"/>
          <w:sz w:val="24"/>
        </w:rPr>
      </w:pPr>
    </w:p>
    <w:p>
      <w:pPr>
        <w:pStyle w:val="10"/>
        <w:snapToGrid w:val="0"/>
        <w:ind w:firstLine="480" w:firstLineChars="200"/>
        <w:rPr>
          <w:rFonts w:ascii="仿宋" w:hAnsi="仿宋" w:eastAsia="仿宋" w:cs="仿宋"/>
          <w:sz w:val="24"/>
        </w:rPr>
      </w:pPr>
      <w:r>
        <w:rPr>
          <w:rFonts w:hint="eastAsia" w:ascii="仿宋" w:hAnsi="仿宋" w:eastAsia="仿宋" w:cs="仿宋"/>
          <w:sz w:val="24"/>
          <w:szCs w:val="24"/>
        </w:rPr>
        <w:t>附件：</w:t>
      </w:r>
      <w:r>
        <w:rPr>
          <w:rFonts w:ascii="仿宋" w:hAnsi="仿宋" w:eastAsia="仿宋" w:cs="仿宋"/>
          <w:sz w:val="24"/>
        </w:rPr>
        <w:t>1.</w:t>
      </w:r>
      <w:r>
        <w:rPr>
          <w:rFonts w:hint="eastAsia" w:ascii="仿宋" w:hAnsi="仿宋" w:eastAsia="仿宋" w:cs="仿宋"/>
          <w:sz w:val="24"/>
        </w:rPr>
        <w:t>服务团队名单</w:t>
      </w:r>
    </w:p>
    <w:p>
      <w:pPr>
        <w:snapToGrid w:val="0"/>
        <w:ind w:firstLine="1200" w:firstLineChars="5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中标通知书</w:t>
      </w:r>
    </w:p>
    <w:p>
      <w:pPr>
        <w:pStyle w:val="10"/>
        <w:snapToGrid w:val="0"/>
        <w:ind w:firstLine="480" w:firstLineChars="200"/>
        <w:rPr>
          <w:rFonts w:ascii="仿宋" w:hAnsi="仿宋" w:eastAsia="仿宋" w:cs="仿宋"/>
          <w:sz w:val="24"/>
          <w:szCs w:val="24"/>
        </w:rPr>
      </w:pPr>
    </w:p>
    <w:p>
      <w:pPr>
        <w:snapToGrid w:val="0"/>
        <w:ind w:firstLine="200"/>
        <w:rPr>
          <w:rFonts w:ascii="仿宋" w:hAnsi="仿宋" w:eastAsia="仿宋" w:cs="仿宋"/>
          <w:sz w:val="24"/>
        </w:rPr>
      </w:pPr>
      <w:r>
        <w:rPr>
          <w:rFonts w:hint="eastAsia" w:ascii="仿宋" w:hAnsi="仿宋" w:eastAsia="仿宋" w:cs="仿宋"/>
          <w:sz w:val="24"/>
        </w:rPr>
        <w:t xml:space="preserve">    甲方：                                    乙方：</w:t>
      </w:r>
    </w:p>
    <w:p>
      <w:pPr>
        <w:snapToGrid w:val="0"/>
        <w:ind w:firstLine="200"/>
        <w:rPr>
          <w:rFonts w:ascii="仿宋" w:hAnsi="仿宋" w:eastAsia="仿宋" w:cs="仿宋"/>
          <w:sz w:val="24"/>
        </w:rPr>
      </w:pPr>
      <w:r>
        <w:rPr>
          <w:rFonts w:hint="eastAsia" w:ascii="仿宋" w:hAnsi="仿宋" w:eastAsia="仿宋" w:cs="仿宋"/>
          <w:sz w:val="24"/>
        </w:rPr>
        <w:t xml:space="preserve">    地址：                                    地址：</w:t>
      </w:r>
    </w:p>
    <w:p>
      <w:pPr>
        <w:snapToGrid w:val="0"/>
        <w:ind w:firstLine="200"/>
        <w:rPr>
          <w:rFonts w:ascii="仿宋" w:hAnsi="仿宋" w:eastAsia="仿宋" w:cs="仿宋"/>
          <w:sz w:val="24"/>
        </w:rPr>
      </w:pPr>
      <w:r>
        <w:rPr>
          <w:rFonts w:hint="eastAsia" w:ascii="仿宋" w:hAnsi="仿宋" w:eastAsia="仿宋" w:cs="仿宋"/>
          <w:sz w:val="24"/>
        </w:rPr>
        <w:t xml:space="preserve">    法定代表人：                              法定代表人：</w:t>
      </w:r>
    </w:p>
    <w:p>
      <w:pPr>
        <w:snapToGrid w:val="0"/>
        <w:ind w:firstLine="200"/>
        <w:rPr>
          <w:rFonts w:ascii="仿宋" w:hAnsi="仿宋" w:eastAsia="仿宋" w:cs="仿宋"/>
          <w:sz w:val="24"/>
        </w:rPr>
      </w:pPr>
      <w:r>
        <w:rPr>
          <w:rFonts w:hint="eastAsia" w:ascii="仿宋" w:hAnsi="仿宋" w:eastAsia="仿宋" w:cs="仿宋"/>
          <w:sz w:val="24"/>
        </w:rPr>
        <w:t xml:space="preserve">    委托代理人：                              委托代理人：</w:t>
      </w:r>
    </w:p>
    <w:p>
      <w:pPr>
        <w:snapToGrid w:val="0"/>
        <w:ind w:firstLine="200"/>
        <w:rPr>
          <w:rFonts w:ascii="仿宋" w:hAnsi="仿宋" w:eastAsia="仿宋" w:cs="仿宋"/>
          <w:sz w:val="24"/>
        </w:rPr>
      </w:pPr>
      <w:r>
        <w:rPr>
          <w:rFonts w:hint="eastAsia" w:ascii="仿宋" w:hAnsi="仿宋" w:eastAsia="仿宋" w:cs="仿宋"/>
          <w:sz w:val="24"/>
        </w:rPr>
        <w:t xml:space="preserve">    电话：                                    电话：</w:t>
      </w:r>
    </w:p>
    <w:p>
      <w:pPr>
        <w:snapToGrid w:val="0"/>
        <w:ind w:firstLine="200"/>
        <w:rPr>
          <w:rFonts w:ascii="仿宋" w:hAnsi="仿宋" w:eastAsia="仿宋" w:cs="仿宋"/>
          <w:sz w:val="24"/>
        </w:rPr>
      </w:pPr>
      <w:r>
        <w:rPr>
          <w:rFonts w:hint="eastAsia" w:ascii="仿宋" w:hAnsi="仿宋" w:eastAsia="仿宋" w:cs="仿宋"/>
          <w:sz w:val="24"/>
        </w:rPr>
        <w:t xml:space="preserve">    开户银行：                                开户银行：</w:t>
      </w:r>
    </w:p>
    <w:p>
      <w:pPr>
        <w:snapToGrid w:val="0"/>
        <w:ind w:firstLine="200"/>
        <w:rPr>
          <w:rFonts w:ascii="仿宋" w:hAnsi="仿宋" w:eastAsia="仿宋" w:cs="仿宋"/>
          <w:sz w:val="24"/>
        </w:rPr>
      </w:pPr>
      <w:r>
        <w:rPr>
          <w:rFonts w:hint="eastAsia" w:ascii="仿宋" w:hAnsi="仿宋" w:eastAsia="仿宋" w:cs="仿宋"/>
          <w:sz w:val="24"/>
        </w:rPr>
        <w:t xml:space="preserve">    账号：                                    账号：</w:t>
      </w:r>
    </w:p>
    <w:p>
      <w:pPr>
        <w:ind w:firstLine="720" w:firstLineChars="300"/>
        <w:rPr>
          <w:rFonts w:ascii="仿宋" w:hAnsi="仿宋" w:eastAsia="仿宋" w:cs="仿宋"/>
          <w:sz w:val="24"/>
        </w:rPr>
      </w:pPr>
      <w:r>
        <w:rPr>
          <w:rFonts w:hint="eastAsia" w:ascii="仿宋" w:hAnsi="仿宋" w:eastAsia="仿宋" w:cs="仿宋"/>
          <w:sz w:val="24"/>
        </w:rPr>
        <w:t>签约地址：                              签约时间：     年   月   日</w:t>
      </w:r>
    </w:p>
    <w:p>
      <w:pPr>
        <w:pStyle w:val="2"/>
      </w:pPr>
    </w:p>
    <w:p>
      <w:pPr>
        <w:pStyle w:val="2"/>
      </w:pPr>
    </w:p>
    <w:p>
      <w:pPr>
        <w:pStyle w:val="2"/>
      </w:pPr>
    </w:p>
    <w:p>
      <w:r>
        <w:rPr>
          <w:rFonts w:hint="eastAsia"/>
        </w:rPr>
        <w:br w:type="page"/>
      </w:r>
    </w:p>
    <w:p>
      <w:pPr>
        <w:pStyle w:val="2"/>
        <w:rPr>
          <w:b/>
          <w:bCs/>
        </w:rPr>
      </w:pPr>
      <w:r>
        <w:rPr>
          <w:rFonts w:hint="eastAsia"/>
          <w:b/>
          <w:bCs/>
        </w:rPr>
        <w:t>附件1：服务团队名单</w:t>
      </w:r>
    </w:p>
    <w:p>
      <w:pPr>
        <w:jc w:val="center"/>
        <w:rPr>
          <w:b/>
          <w:bCs/>
        </w:rPr>
      </w:pPr>
      <w:r>
        <w:rPr>
          <w:rFonts w:hint="eastAsia"/>
          <w:b/>
          <w:bCs/>
        </w:rPr>
        <w:t>服务团队名单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650"/>
        <w:gridCol w:w="1481"/>
        <w:gridCol w:w="264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jc w:val="center"/>
              <w:rPr>
                <w:b/>
                <w:bCs/>
              </w:rPr>
            </w:pPr>
            <w:r>
              <w:rPr>
                <w:rFonts w:hint="eastAsia"/>
                <w:b/>
                <w:bCs/>
              </w:rPr>
              <w:t>序号</w:t>
            </w:r>
          </w:p>
        </w:tc>
        <w:tc>
          <w:tcPr>
            <w:tcW w:w="1650" w:type="dxa"/>
          </w:tcPr>
          <w:p>
            <w:pPr>
              <w:pStyle w:val="2"/>
              <w:jc w:val="center"/>
              <w:rPr>
                <w:b/>
                <w:bCs/>
              </w:rPr>
            </w:pPr>
            <w:r>
              <w:rPr>
                <w:rFonts w:hint="eastAsia"/>
                <w:b/>
                <w:bCs/>
              </w:rPr>
              <w:t>姓名</w:t>
            </w:r>
          </w:p>
        </w:tc>
        <w:tc>
          <w:tcPr>
            <w:tcW w:w="1481" w:type="dxa"/>
          </w:tcPr>
          <w:p>
            <w:pPr>
              <w:pStyle w:val="2"/>
              <w:jc w:val="center"/>
              <w:rPr>
                <w:b/>
                <w:bCs/>
              </w:rPr>
            </w:pPr>
            <w:r>
              <w:rPr>
                <w:rFonts w:hint="eastAsia"/>
                <w:b/>
                <w:bCs/>
              </w:rPr>
              <w:t>岗位</w:t>
            </w:r>
          </w:p>
        </w:tc>
        <w:tc>
          <w:tcPr>
            <w:tcW w:w="2645" w:type="dxa"/>
          </w:tcPr>
          <w:p>
            <w:pPr>
              <w:pStyle w:val="2"/>
              <w:jc w:val="center"/>
              <w:rPr>
                <w:b/>
                <w:bCs/>
              </w:rPr>
            </w:pPr>
            <w:r>
              <w:rPr>
                <w:rFonts w:hint="eastAsia"/>
                <w:b/>
                <w:bCs/>
              </w:rPr>
              <w:t>联系方式</w:t>
            </w:r>
          </w:p>
        </w:tc>
        <w:tc>
          <w:tcPr>
            <w:tcW w:w="1704" w:type="dxa"/>
          </w:tcPr>
          <w:p>
            <w:pPr>
              <w:pStyle w:val="2"/>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pPr>
          </w:p>
        </w:tc>
        <w:tc>
          <w:tcPr>
            <w:tcW w:w="1650" w:type="dxa"/>
          </w:tcPr>
          <w:p>
            <w:pPr>
              <w:pStyle w:val="2"/>
            </w:pPr>
          </w:p>
        </w:tc>
        <w:tc>
          <w:tcPr>
            <w:tcW w:w="1481" w:type="dxa"/>
          </w:tcPr>
          <w:p>
            <w:pPr>
              <w:pStyle w:val="2"/>
            </w:pPr>
          </w:p>
        </w:tc>
        <w:tc>
          <w:tcPr>
            <w:tcW w:w="2645" w:type="dxa"/>
          </w:tcPr>
          <w:p>
            <w:pPr>
              <w:pStyle w:val="2"/>
            </w:pPr>
          </w:p>
        </w:tc>
        <w:tc>
          <w:tcPr>
            <w:tcW w:w="1704"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pPr>
          </w:p>
        </w:tc>
        <w:tc>
          <w:tcPr>
            <w:tcW w:w="1650" w:type="dxa"/>
          </w:tcPr>
          <w:p>
            <w:pPr>
              <w:pStyle w:val="2"/>
            </w:pPr>
          </w:p>
        </w:tc>
        <w:tc>
          <w:tcPr>
            <w:tcW w:w="1481" w:type="dxa"/>
          </w:tcPr>
          <w:p>
            <w:pPr>
              <w:pStyle w:val="2"/>
            </w:pPr>
          </w:p>
        </w:tc>
        <w:tc>
          <w:tcPr>
            <w:tcW w:w="2645" w:type="dxa"/>
          </w:tcPr>
          <w:p>
            <w:pPr>
              <w:pStyle w:val="2"/>
            </w:pPr>
          </w:p>
        </w:tc>
        <w:tc>
          <w:tcPr>
            <w:tcW w:w="1704"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pPr>
          </w:p>
        </w:tc>
        <w:tc>
          <w:tcPr>
            <w:tcW w:w="1650" w:type="dxa"/>
          </w:tcPr>
          <w:p>
            <w:pPr>
              <w:pStyle w:val="2"/>
            </w:pPr>
          </w:p>
        </w:tc>
        <w:tc>
          <w:tcPr>
            <w:tcW w:w="1481" w:type="dxa"/>
          </w:tcPr>
          <w:p>
            <w:pPr>
              <w:pStyle w:val="2"/>
            </w:pPr>
          </w:p>
        </w:tc>
        <w:tc>
          <w:tcPr>
            <w:tcW w:w="2645" w:type="dxa"/>
          </w:tcPr>
          <w:p>
            <w:pPr>
              <w:pStyle w:val="2"/>
            </w:pPr>
          </w:p>
        </w:tc>
        <w:tc>
          <w:tcPr>
            <w:tcW w:w="1704"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pPr>
          </w:p>
        </w:tc>
        <w:tc>
          <w:tcPr>
            <w:tcW w:w="1650" w:type="dxa"/>
          </w:tcPr>
          <w:p>
            <w:pPr>
              <w:pStyle w:val="2"/>
            </w:pPr>
          </w:p>
        </w:tc>
        <w:tc>
          <w:tcPr>
            <w:tcW w:w="1481" w:type="dxa"/>
          </w:tcPr>
          <w:p>
            <w:pPr>
              <w:pStyle w:val="2"/>
            </w:pPr>
          </w:p>
        </w:tc>
        <w:tc>
          <w:tcPr>
            <w:tcW w:w="2645" w:type="dxa"/>
          </w:tcPr>
          <w:p>
            <w:pPr>
              <w:pStyle w:val="2"/>
            </w:pPr>
          </w:p>
        </w:tc>
        <w:tc>
          <w:tcPr>
            <w:tcW w:w="1704"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pPr>
          </w:p>
        </w:tc>
        <w:tc>
          <w:tcPr>
            <w:tcW w:w="1650" w:type="dxa"/>
          </w:tcPr>
          <w:p>
            <w:pPr>
              <w:pStyle w:val="2"/>
            </w:pPr>
          </w:p>
        </w:tc>
        <w:tc>
          <w:tcPr>
            <w:tcW w:w="1481" w:type="dxa"/>
          </w:tcPr>
          <w:p>
            <w:pPr>
              <w:pStyle w:val="2"/>
            </w:pPr>
          </w:p>
        </w:tc>
        <w:tc>
          <w:tcPr>
            <w:tcW w:w="2645" w:type="dxa"/>
          </w:tcPr>
          <w:p>
            <w:pPr>
              <w:pStyle w:val="2"/>
            </w:pPr>
          </w:p>
        </w:tc>
        <w:tc>
          <w:tcPr>
            <w:tcW w:w="1704" w:type="dxa"/>
          </w:tcPr>
          <w:p>
            <w:pPr>
              <w:pStyle w:val="2"/>
            </w:pPr>
          </w:p>
        </w:tc>
      </w:tr>
    </w:tbl>
    <w:p>
      <w:pPr>
        <w:ind w:firstLine="480" w:firstLineChars="200"/>
        <w:jc w:val="left"/>
        <w:rPr>
          <w:rFonts w:ascii="仿宋" w:hAnsi="仿宋" w:eastAsia="仿宋" w:cs="仿宋"/>
          <w:sz w:val="24"/>
        </w:rPr>
      </w:pPr>
    </w:p>
    <w:p>
      <w:pPr>
        <w:ind w:firstLine="720" w:firstLineChars="300"/>
        <w:rPr>
          <w:rFonts w:ascii="仿宋" w:hAnsi="仿宋" w:eastAsia="仿宋" w:cs="仿宋"/>
          <w:sz w:val="24"/>
        </w:rPr>
      </w:pPr>
    </w:p>
    <w:p>
      <w:pPr>
        <w:spacing w:line="360" w:lineRule="auto"/>
        <w:rPr>
          <w:rFonts w:ascii="宋体" w:hAnsi="宋体" w:cs="Arial"/>
          <w:bCs/>
          <w:sz w:val="24"/>
          <w:szCs w:val="21"/>
        </w:rPr>
      </w:pPr>
      <w:r>
        <w:rPr>
          <w:rFonts w:hint="eastAsia" w:ascii="宋体" w:hAnsi="宋体"/>
          <w:b/>
          <w:bCs/>
          <w:szCs w:val="21"/>
        </w:rPr>
        <w:t>注：本合同样本仅供参考，具体条款内容采购人和中标人按前海管理局合同样本签订。实际合同样本不改变本招标文件的实质条件。</w:t>
      </w:r>
    </w:p>
    <w:p>
      <w:pPr>
        <w:jc w:val="center"/>
        <w:rPr>
          <w:rFonts w:ascii="宋体" w:hAnsi="宋体"/>
          <w:kern w:val="0"/>
          <w:szCs w:val="21"/>
        </w:rPr>
      </w:pPr>
    </w:p>
    <w:p>
      <w:bookmarkStart w:id="210" w:name="_Toc15948"/>
      <w:bookmarkStart w:id="211" w:name="_Toc30595"/>
      <w:bookmarkStart w:id="212" w:name="_Toc29343"/>
      <w:bookmarkStart w:id="213" w:name="_Toc25627"/>
      <w:bookmarkStart w:id="214" w:name="_Toc31306"/>
      <w:r>
        <w:rPr>
          <w:rFonts w:hint="eastAsia"/>
        </w:rPr>
        <w:br w:type="page"/>
      </w:r>
    </w:p>
    <w:p>
      <w:pPr>
        <w:pStyle w:val="3"/>
        <w:jc w:val="center"/>
      </w:pPr>
      <w:bookmarkStart w:id="215" w:name="_Toc14908"/>
      <w:bookmarkStart w:id="216" w:name="_Toc11373"/>
      <w:r>
        <w:rPr>
          <w:rFonts w:hint="eastAsia"/>
        </w:rPr>
        <w:t>第五章  投标文件的格式、附件</w:t>
      </w:r>
      <w:bookmarkEnd w:id="210"/>
      <w:bookmarkEnd w:id="211"/>
      <w:bookmarkEnd w:id="212"/>
      <w:bookmarkEnd w:id="213"/>
      <w:bookmarkEnd w:id="214"/>
      <w:bookmarkEnd w:id="215"/>
      <w:bookmarkEnd w:id="216"/>
    </w:p>
    <w:p>
      <w:pPr>
        <w:spacing w:line="360" w:lineRule="auto"/>
        <w:ind w:firstLine="480" w:firstLineChars="200"/>
        <w:rPr>
          <w:rFonts w:ascii="仿宋" w:hAnsi="仿宋" w:eastAsia="仿宋" w:cs="仿宋"/>
          <w:bCs/>
          <w:sz w:val="24"/>
        </w:rPr>
      </w:pPr>
      <w:r>
        <w:rPr>
          <w:rFonts w:hint="eastAsia" w:ascii="仿宋" w:hAnsi="仿宋" w:eastAsia="仿宋" w:cs="仿宋"/>
          <w:bCs/>
          <w:sz w:val="24"/>
        </w:rPr>
        <w:t>特别提醒：投标人在编辑投标文件时，在投标文件目录中属于本节点内容的必须在本节点中填写，填写到其他节点或附件的将可能导致投标无效，一切后果由供应商自行承担。</w:t>
      </w:r>
    </w:p>
    <w:p>
      <w:pPr>
        <w:jc w:val="center"/>
        <w:outlineLvl w:val="1"/>
        <w:rPr>
          <w:b/>
          <w:sz w:val="32"/>
          <w:szCs w:val="32"/>
        </w:rPr>
      </w:pPr>
      <w:r>
        <w:rPr>
          <w:rFonts w:ascii="宋体" w:hAnsi="宋体" w:cs="Arial"/>
          <w:sz w:val="24"/>
        </w:rPr>
        <w:br w:type="page"/>
      </w:r>
      <w:bookmarkStart w:id="217" w:name="_Toc1855"/>
      <w:bookmarkStart w:id="218" w:name="_Toc31899"/>
      <w:bookmarkStart w:id="219" w:name="_Toc29518"/>
      <w:bookmarkStart w:id="220" w:name="_Toc22746"/>
      <w:bookmarkStart w:id="221" w:name="_Toc3847"/>
      <w:bookmarkStart w:id="222" w:name="_Toc18517"/>
      <w:bookmarkStart w:id="223" w:name="_Toc8391"/>
      <w:r>
        <w:rPr>
          <w:rFonts w:hint="eastAsia"/>
          <w:b/>
          <w:sz w:val="32"/>
          <w:szCs w:val="32"/>
        </w:rPr>
        <w:t>密封袋封条格式</w:t>
      </w:r>
      <w:bookmarkEnd w:id="217"/>
      <w:bookmarkEnd w:id="218"/>
      <w:bookmarkEnd w:id="219"/>
      <w:bookmarkEnd w:id="220"/>
      <w:bookmarkEnd w:id="221"/>
      <w:bookmarkEnd w:id="222"/>
      <w:bookmarkEnd w:id="223"/>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outlineLvl w:val="1"/>
        <w:rPr>
          <w:rFonts w:ascii="宋体" w:hAnsi="宋体" w:cs="Arial"/>
          <w:b/>
          <w:bCs/>
          <w:sz w:val="52"/>
          <w:szCs w:val="52"/>
        </w:rPr>
      </w:pPr>
      <w:bookmarkStart w:id="224" w:name="_Toc19578"/>
      <w:bookmarkStart w:id="225" w:name="_Toc4055"/>
      <w:bookmarkStart w:id="226" w:name="_Toc27680"/>
      <w:bookmarkStart w:id="227" w:name="_Toc21527"/>
      <w:bookmarkStart w:id="228" w:name="_Toc28831"/>
      <w:bookmarkStart w:id="229" w:name="_Toc23630"/>
      <w:bookmarkStart w:id="230" w:name="_Toc26915"/>
      <w:r>
        <w:rPr>
          <w:rFonts w:hint="eastAsia" w:ascii="宋体" w:hAnsi="宋体" w:cs="Arial"/>
          <w:b/>
          <w:bCs/>
          <w:sz w:val="52"/>
          <w:szCs w:val="52"/>
        </w:rPr>
        <w:t>投标文件/开标一览表</w:t>
      </w:r>
      <w:bookmarkEnd w:id="224"/>
      <w:bookmarkEnd w:id="225"/>
      <w:bookmarkEnd w:id="226"/>
      <w:bookmarkEnd w:id="227"/>
      <w:bookmarkEnd w:id="228"/>
      <w:bookmarkEnd w:id="229"/>
      <w:bookmarkEnd w:id="230"/>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left"/>
        <w:rPr>
          <w:rFonts w:ascii="宋体" w:hAnsi="宋体" w:cs="Arial"/>
          <w:b/>
          <w:bCs/>
          <w:sz w:val="28"/>
          <w:szCs w:val="28"/>
        </w:rPr>
      </w:pPr>
      <w:r>
        <w:rPr>
          <w:rFonts w:hint="eastAsia" w:ascii="宋体" w:hAnsi="宋体" w:cs="Arial"/>
          <w:b/>
          <w:bCs/>
          <w:sz w:val="28"/>
          <w:szCs w:val="28"/>
        </w:rPr>
        <w:t>项目名称：</w:t>
      </w:r>
    </w:p>
    <w:p>
      <w:pPr>
        <w:spacing w:line="360" w:lineRule="auto"/>
        <w:jc w:val="left"/>
        <w:rPr>
          <w:rFonts w:ascii="宋体" w:hAnsi="宋体" w:cs="Arial"/>
          <w:b/>
          <w:bCs/>
          <w:sz w:val="28"/>
          <w:szCs w:val="28"/>
        </w:rPr>
      </w:pPr>
      <w:r>
        <w:rPr>
          <w:rFonts w:hint="eastAsia" w:ascii="宋体" w:hAnsi="宋体" w:cs="Arial"/>
          <w:b/>
          <w:bCs/>
          <w:sz w:val="28"/>
          <w:szCs w:val="28"/>
        </w:rPr>
        <w:t>项目编号：</w:t>
      </w:r>
    </w:p>
    <w:p>
      <w:pPr>
        <w:spacing w:line="360" w:lineRule="auto"/>
        <w:jc w:val="left"/>
        <w:rPr>
          <w:rFonts w:ascii="宋体" w:hAns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 xml:space="preserve">                                   （加盖公章）</w:t>
      </w:r>
    </w:p>
    <w:p>
      <w:pPr>
        <w:spacing w:line="360" w:lineRule="auto"/>
        <w:jc w:val="left"/>
        <w:rPr>
          <w:rFonts w:ascii="宋体" w:hAnsi="宋体" w:cs="Arial"/>
          <w:b/>
          <w:bCs/>
          <w:sz w:val="28"/>
          <w:szCs w:val="28"/>
        </w:rPr>
      </w:pPr>
      <w:r>
        <w:rPr>
          <w:rFonts w:hint="eastAsia" w:ascii="宋体" w:hAnsi="宋体" w:cs="Arial"/>
          <w:b/>
          <w:bCs/>
          <w:sz w:val="28"/>
          <w:szCs w:val="28"/>
        </w:rPr>
        <w:t>单位地址：</w:t>
      </w:r>
    </w:p>
    <w:p>
      <w:pPr>
        <w:spacing w:line="360" w:lineRule="auto"/>
        <w:jc w:val="left"/>
        <w:rPr>
          <w:rFonts w:ascii="宋体" w:hAnsi="宋体" w:cs="Arial"/>
          <w:b/>
          <w:bCs/>
          <w:sz w:val="28"/>
          <w:szCs w:val="28"/>
          <w:u w:val="single"/>
        </w:rPr>
      </w:pPr>
      <w:r>
        <w:rPr>
          <w:rFonts w:hint="eastAsia" w:ascii="宋体" w:hAnsi="宋体" w:cs="Arial"/>
          <w:b/>
          <w:bCs/>
          <w:sz w:val="28"/>
          <w:szCs w:val="28"/>
        </w:rPr>
        <w:t>法定代表人/被授权人：</w:t>
      </w:r>
    </w:p>
    <w:p>
      <w:pPr>
        <w:spacing w:line="360" w:lineRule="auto"/>
        <w:jc w:val="left"/>
        <w:rPr>
          <w:rFonts w:ascii="宋体" w:hAnsi="宋体" w:cs="Arial"/>
          <w:b/>
          <w:bCs/>
          <w:sz w:val="28"/>
          <w:szCs w:val="28"/>
        </w:rPr>
      </w:pPr>
      <w:r>
        <w:rPr>
          <w:rFonts w:hint="eastAsia" w:ascii="宋体" w:hAnsi="宋体" w:cs="Arial"/>
          <w:b/>
          <w:bCs/>
          <w:sz w:val="28"/>
          <w:szCs w:val="28"/>
        </w:rPr>
        <w:t>联系电话：</w:t>
      </w:r>
    </w:p>
    <w:p>
      <w:pPr>
        <w:spacing w:line="360" w:lineRule="auto"/>
        <w:jc w:val="center"/>
        <w:rPr>
          <w:rFonts w:ascii="宋体" w:hAnsi="宋体" w:cs="Arial"/>
          <w:b/>
          <w:bCs/>
          <w:sz w:val="28"/>
          <w:szCs w:val="28"/>
        </w:rPr>
      </w:pPr>
      <w:r>
        <w:rPr>
          <w:rFonts w:hint="eastAsia" w:ascii="宋体" w:hAnsi="宋体" w:cs="Arial"/>
          <w:b/>
          <w:bCs/>
          <w:sz w:val="28"/>
          <w:szCs w:val="28"/>
        </w:rPr>
        <w:t>【      年   月   日  时  分之前不得启封】</w:t>
      </w:r>
    </w:p>
    <w:p>
      <w:pPr>
        <w:spacing w:line="360" w:lineRule="auto"/>
        <w:rPr>
          <w:rFonts w:ascii="宋体" w:hAnsi="宋体" w:cs="Arial"/>
          <w:bCs/>
          <w:sz w:val="28"/>
          <w:szCs w:val="28"/>
        </w:rPr>
      </w:pPr>
    </w:p>
    <w:p>
      <w:pPr>
        <w:spacing w:line="360" w:lineRule="auto"/>
        <w:rPr>
          <w:rFonts w:ascii="宋体" w:hAnsi="宋体" w:cs="Arial"/>
          <w:bCs/>
          <w:sz w:val="28"/>
          <w:szCs w:val="28"/>
        </w:rPr>
      </w:pPr>
      <w:r>
        <w:rPr>
          <w:rFonts w:hint="eastAsia" w:ascii="宋体" w:hAnsi="宋体" w:cs="Arial"/>
          <w:bCs/>
          <w:sz w:val="28"/>
          <w:szCs w:val="28"/>
        </w:rPr>
        <w:t>备注：本封条应粘贴在投标文件/开标一览表的密封袋封面。</w:t>
      </w:r>
    </w:p>
    <w:p>
      <w:pPr>
        <w:pStyle w:val="4"/>
        <w:spacing w:before="120" w:after="120"/>
        <w:jc w:val="center"/>
        <w:rPr>
          <w:rFonts w:ascii="黑体" w:eastAsia="黑体"/>
          <w:sz w:val="28"/>
          <w:szCs w:val="28"/>
        </w:rPr>
      </w:pPr>
      <w:bookmarkStart w:id="231" w:name="_Toc405"/>
      <w:bookmarkStart w:id="232" w:name="_Toc11955"/>
      <w:bookmarkStart w:id="233" w:name="_Toc26603"/>
      <w:bookmarkStart w:id="234" w:name="_Toc32089"/>
      <w:bookmarkStart w:id="235" w:name="_Toc11010"/>
    </w:p>
    <w:p>
      <w:pPr>
        <w:pStyle w:val="4"/>
        <w:spacing w:before="120" w:after="120"/>
        <w:jc w:val="center"/>
        <w:rPr>
          <w:rFonts w:ascii="黑体" w:eastAsia="黑体"/>
          <w:sz w:val="28"/>
          <w:szCs w:val="28"/>
        </w:rPr>
      </w:pPr>
      <w:bookmarkStart w:id="236" w:name="_Toc24310"/>
      <w:bookmarkStart w:id="237" w:name="_Toc19549"/>
      <w:r>
        <w:rPr>
          <w:rFonts w:hint="eastAsia" w:ascii="黑体" w:eastAsia="黑体"/>
          <w:sz w:val="28"/>
          <w:szCs w:val="28"/>
        </w:rPr>
        <w:t>开标一览表</w:t>
      </w:r>
      <w:bookmarkEnd w:id="231"/>
      <w:bookmarkEnd w:id="232"/>
      <w:bookmarkEnd w:id="233"/>
      <w:bookmarkEnd w:id="234"/>
      <w:bookmarkEnd w:id="235"/>
      <w:bookmarkEnd w:id="236"/>
      <w:bookmarkEnd w:id="237"/>
    </w:p>
    <w:p>
      <w:pPr>
        <w:jc w:val="right"/>
        <w:rPr>
          <w:rFonts w:ascii="仿宋" w:hAnsi="仿宋" w:eastAsia="仿宋" w:cs="仿宋"/>
          <w:bCs/>
          <w:snapToGrid w:val="0"/>
          <w:kern w:val="0"/>
        </w:rPr>
      </w:pPr>
      <w:r>
        <w:rPr>
          <w:rFonts w:hint="eastAsia" w:ascii="仿宋" w:hAnsi="仿宋" w:eastAsia="仿宋" w:cs="仿宋"/>
          <w:bCs/>
          <w:snapToGrid w:val="0"/>
          <w:kern w:val="0"/>
        </w:rPr>
        <w:t>单位：人民币元</w:t>
      </w:r>
    </w:p>
    <w:tbl>
      <w:tblPr>
        <w:tblStyle w:val="23"/>
        <w:tblW w:w="499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4107"/>
        <w:gridCol w:w="2792"/>
        <w:gridCol w:w="14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790" w:type="pct"/>
            <w:tcBorders>
              <w:top w:val="double" w:color="auto" w:sz="4" w:space="0"/>
              <w:bottom w:val="single" w:color="auto" w:sz="4" w:space="0"/>
            </w:tcBorders>
            <w:vAlign w:val="center"/>
          </w:tcPr>
          <w:p>
            <w:pPr>
              <w:jc w:val="center"/>
              <w:rPr>
                <w:rFonts w:ascii="仿宋" w:hAnsi="仿宋" w:eastAsia="仿宋" w:cs="仿宋"/>
                <w:bCs/>
                <w:sz w:val="24"/>
              </w:rPr>
            </w:pPr>
            <w:r>
              <w:rPr>
                <w:rFonts w:hint="eastAsia" w:ascii="仿宋" w:hAnsi="仿宋" w:eastAsia="仿宋" w:cs="仿宋"/>
                <w:bCs/>
                <w:sz w:val="24"/>
              </w:rPr>
              <w:t>项目编号</w:t>
            </w:r>
          </w:p>
        </w:tc>
        <w:tc>
          <w:tcPr>
            <w:tcW w:w="2061" w:type="pct"/>
            <w:tcBorders>
              <w:top w:val="double" w:color="auto" w:sz="4" w:space="0"/>
              <w:bottom w:val="single" w:color="auto" w:sz="4" w:space="0"/>
            </w:tcBorders>
            <w:vAlign w:val="center"/>
          </w:tcPr>
          <w:p>
            <w:pPr>
              <w:jc w:val="center"/>
              <w:rPr>
                <w:rFonts w:ascii="仿宋" w:hAnsi="仿宋" w:eastAsia="仿宋" w:cs="仿宋"/>
                <w:snapToGrid w:val="0"/>
                <w:kern w:val="0"/>
                <w:sz w:val="24"/>
                <w:szCs w:val="32"/>
              </w:rPr>
            </w:pPr>
            <w:r>
              <w:rPr>
                <w:rFonts w:hint="eastAsia" w:ascii="仿宋" w:hAnsi="仿宋" w:eastAsia="仿宋" w:cs="仿宋"/>
                <w:snapToGrid w:val="0"/>
                <w:kern w:val="0"/>
                <w:sz w:val="24"/>
                <w:szCs w:val="32"/>
              </w:rPr>
              <w:t>项目名称</w:t>
            </w:r>
          </w:p>
        </w:tc>
        <w:tc>
          <w:tcPr>
            <w:tcW w:w="1401" w:type="pct"/>
            <w:tcBorders>
              <w:top w:val="double" w:color="auto" w:sz="4" w:space="0"/>
              <w:bottom w:val="single" w:color="auto" w:sz="4" w:space="0"/>
            </w:tcBorders>
            <w:vAlign w:val="center"/>
          </w:tcPr>
          <w:p>
            <w:pPr>
              <w:jc w:val="center"/>
              <w:rPr>
                <w:rFonts w:ascii="仿宋" w:hAnsi="仿宋" w:eastAsia="仿宋" w:cs="仿宋"/>
                <w:snapToGrid w:val="0"/>
                <w:kern w:val="0"/>
                <w:sz w:val="24"/>
                <w:szCs w:val="32"/>
              </w:rPr>
            </w:pPr>
            <w:r>
              <w:rPr>
                <w:rFonts w:hint="eastAsia" w:ascii="仿宋" w:hAnsi="仿宋" w:eastAsia="仿宋" w:cs="仿宋"/>
                <w:snapToGrid w:val="0"/>
                <w:kern w:val="0"/>
                <w:sz w:val="24"/>
                <w:szCs w:val="32"/>
              </w:rPr>
              <w:t>投标总价</w:t>
            </w:r>
          </w:p>
        </w:tc>
        <w:tc>
          <w:tcPr>
            <w:tcW w:w="746" w:type="pct"/>
            <w:tcBorders>
              <w:top w:val="double" w:color="auto" w:sz="4" w:space="0"/>
              <w:bottom w:val="single" w:color="auto" w:sz="4" w:space="0"/>
            </w:tcBorders>
            <w:vAlign w:val="center"/>
          </w:tcPr>
          <w:p>
            <w:pPr>
              <w:jc w:val="center"/>
              <w:rPr>
                <w:rFonts w:ascii="仿宋" w:hAnsi="仿宋" w:eastAsia="仿宋" w:cs="仿宋"/>
                <w:snapToGrid w:val="0"/>
                <w:kern w:val="0"/>
                <w:sz w:val="24"/>
                <w:szCs w:val="32"/>
              </w:rPr>
            </w:pPr>
            <w:r>
              <w:rPr>
                <w:rFonts w:hint="eastAsia" w:ascii="仿宋" w:hAnsi="仿宋" w:eastAsia="仿宋" w:cs="仿宋"/>
                <w:snapToGrid w:val="0"/>
                <w:kern w:val="0"/>
                <w:sz w:val="24"/>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90" w:type="pct"/>
            <w:tcBorders>
              <w:top w:val="single" w:color="auto" w:sz="4" w:space="0"/>
            </w:tcBorders>
            <w:vAlign w:val="center"/>
          </w:tcPr>
          <w:p>
            <w:pPr>
              <w:widowControl/>
              <w:jc w:val="left"/>
              <w:rPr>
                <w:rFonts w:ascii="仿宋" w:hAnsi="仿宋" w:eastAsia="仿宋" w:cs="仿宋"/>
                <w:bCs/>
                <w:sz w:val="24"/>
                <w:lang w:bidi="ar"/>
              </w:rPr>
            </w:pPr>
          </w:p>
          <w:p>
            <w:pPr>
              <w:widowControl/>
              <w:jc w:val="left"/>
              <w:rPr>
                <w:rFonts w:ascii="仿宋" w:hAnsi="仿宋" w:eastAsia="仿宋" w:cs="仿宋"/>
                <w:bCs/>
                <w:sz w:val="24"/>
                <w:lang w:bidi="ar"/>
              </w:rPr>
            </w:pPr>
            <w:r>
              <w:rPr>
                <w:rFonts w:hint="eastAsia" w:ascii="仿宋" w:hAnsi="仿宋" w:eastAsia="仿宋" w:cs="仿宋"/>
                <w:bCs/>
                <w:sz w:val="24"/>
                <w:lang w:bidi="ar"/>
              </w:rPr>
              <w:t xml:space="preserve"> </w:t>
            </w:r>
          </w:p>
        </w:tc>
        <w:tc>
          <w:tcPr>
            <w:tcW w:w="2061" w:type="pct"/>
            <w:tcBorders>
              <w:top w:val="single" w:color="auto" w:sz="4" w:space="0"/>
            </w:tcBorders>
            <w:vAlign w:val="center"/>
          </w:tcPr>
          <w:p>
            <w:pPr>
              <w:rPr>
                <w:rFonts w:ascii="仿宋" w:hAnsi="仿宋" w:eastAsia="仿宋" w:cs="仿宋"/>
                <w:snapToGrid w:val="0"/>
                <w:kern w:val="0"/>
                <w:sz w:val="24"/>
                <w:szCs w:val="32"/>
                <w:u w:val="single"/>
              </w:rPr>
            </w:pPr>
            <w:r>
              <w:rPr>
                <w:rFonts w:hint="eastAsia" w:ascii="仿宋" w:hAnsi="仿宋" w:eastAsia="仿宋" w:cs="仿宋"/>
                <w:snapToGrid w:val="0"/>
                <w:kern w:val="0"/>
                <w:sz w:val="24"/>
                <w:szCs w:val="32"/>
              </w:rPr>
              <w:t>前海合作区土地供应2024年度分布指引及项目库构建</w:t>
            </w:r>
          </w:p>
        </w:tc>
        <w:tc>
          <w:tcPr>
            <w:tcW w:w="1401" w:type="pct"/>
            <w:tcBorders>
              <w:top w:val="single" w:color="auto" w:sz="4" w:space="0"/>
            </w:tcBorders>
            <w:vAlign w:val="center"/>
          </w:tcPr>
          <w:p>
            <w:pPr>
              <w:rPr>
                <w:rFonts w:ascii="仿宋" w:hAnsi="仿宋" w:eastAsia="仿宋" w:cs="仿宋"/>
                <w:kern w:val="0"/>
                <w:sz w:val="24"/>
              </w:rPr>
            </w:pPr>
            <w:r>
              <w:rPr>
                <w:rFonts w:hint="eastAsia" w:ascii="仿宋" w:hAnsi="仿宋" w:eastAsia="仿宋" w:cs="仿宋"/>
                <w:kern w:val="0"/>
                <w:sz w:val="24"/>
              </w:rPr>
              <w:t>大写：</w:t>
            </w:r>
          </w:p>
          <w:p>
            <w:pPr>
              <w:rPr>
                <w:rFonts w:ascii="仿宋" w:hAnsi="仿宋" w:eastAsia="仿宋" w:cs="仿宋"/>
                <w:kern w:val="0"/>
                <w:sz w:val="24"/>
              </w:rPr>
            </w:pPr>
            <w:r>
              <w:rPr>
                <w:rFonts w:hint="eastAsia" w:ascii="仿宋" w:hAnsi="仿宋" w:eastAsia="仿宋" w:cs="仿宋"/>
                <w:kern w:val="0"/>
                <w:sz w:val="24"/>
              </w:rPr>
              <w:t>小写：</w:t>
            </w:r>
          </w:p>
        </w:tc>
        <w:tc>
          <w:tcPr>
            <w:tcW w:w="746" w:type="pct"/>
            <w:tcBorders>
              <w:top w:val="single" w:color="auto" w:sz="4" w:space="0"/>
            </w:tcBorders>
            <w:vAlign w:val="center"/>
          </w:tcPr>
          <w:p>
            <w:pPr>
              <w:jc w:val="center"/>
              <w:rPr>
                <w:rFonts w:ascii="仿宋" w:hAnsi="仿宋" w:eastAsia="仿宋" w:cs="仿宋"/>
                <w:snapToGrid w:val="0"/>
                <w:kern w:val="0"/>
                <w:sz w:val="24"/>
                <w:szCs w:val="32"/>
              </w:rPr>
            </w:pPr>
          </w:p>
        </w:tc>
      </w:tr>
    </w:tbl>
    <w:p>
      <w:pPr>
        <w:ind w:firstLine="420"/>
        <w:rPr>
          <w:rFonts w:ascii="仿宋" w:hAnsi="仿宋" w:eastAsia="仿宋" w:cs="仿宋"/>
          <w:snapToGrid w:val="0"/>
          <w:kern w:val="0"/>
        </w:rPr>
      </w:pPr>
      <w:r>
        <w:rPr>
          <w:rFonts w:hint="eastAsia" w:ascii="仿宋" w:hAnsi="仿宋" w:eastAsia="仿宋" w:cs="仿宋"/>
          <w:snapToGrid w:val="0"/>
          <w:kern w:val="0"/>
        </w:rPr>
        <w:t>注：</w:t>
      </w:r>
    </w:p>
    <w:p>
      <w:pPr>
        <w:ind w:firstLine="420" w:firstLineChars="200"/>
        <w:rPr>
          <w:rFonts w:ascii="仿宋" w:hAnsi="仿宋" w:eastAsia="仿宋" w:cs="仿宋"/>
          <w:snapToGrid w:val="0"/>
          <w:kern w:val="0"/>
        </w:rPr>
      </w:pPr>
      <w:r>
        <w:rPr>
          <w:rFonts w:hint="eastAsia" w:ascii="仿宋" w:hAnsi="仿宋" w:eastAsia="仿宋" w:cs="仿宋"/>
          <w:snapToGrid w:val="0"/>
          <w:kern w:val="0"/>
        </w:rPr>
        <w:t>1.价格应按“招标文件”中规定的货币单位填写。</w:t>
      </w:r>
    </w:p>
    <w:p>
      <w:pPr>
        <w:ind w:firstLine="420" w:firstLineChars="200"/>
        <w:rPr>
          <w:rFonts w:ascii="仿宋" w:hAnsi="仿宋" w:eastAsia="仿宋" w:cs="仿宋"/>
        </w:rPr>
      </w:pPr>
      <w:r>
        <w:rPr>
          <w:rFonts w:hint="eastAsia" w:ascii="仿宋" w:hAnsi="仿宋" w:eastAsia="仿宋" w:cs="仿宋"/>
          <w:snapToGrid w:val="0"/>
          <w:kern w:val="0"/>
        </w:rPr>
        <w:t>2.投标人如果需要对报价或其他内容加以说明，可在备注栏填写。</w:t>
      </w:r>
    </w:p>
    <w:p>
      <w:pPr>
        <w:ind w:firstLine="422" w:firstLineChars="200"/>
        <w:rPr>
          <w:rFonts w:ascii="仿宋" w:hAnsi="仿宋" w:eastAsia="仿宋" w:cs="仿宋"/>
          <w:b/>
          <w:snapToGrid w:val="0"/>
          <w:kern w:val="0"/>
        </w:rPr>
      </w:pPr>
      <w:r>
        <w:rPr>
          <w:rFonts w:hint="eastAsia" w:ascii="仿宋" w:hAnsi="仿宋" w:eastAsia="仿宋" w:cs="仿宋"/>
          <w:b/>
          <w:snapToGrid w:val="0"/>
          <w:kern w:val="0"/>
        </w:rPr>
        <w:t>3.《开标一览表》作为开标时唱标的依据，除按格式要求放入投标文件中外，还应另行单独密封提交一份，在封口密封处加盖公章（或密封封口处粘贴封条并加盖投标单位公章），并在信封上标明“开标一览表”字样。</w:t>
      </w:r>
    </w:p>
    <w:p>
      <w:pPr>
        <w:ind w:firstLine="422" w:firstLineChars="200"/>
        <w:rPr>
          <w:rFonts w:ascii="仿宋" w:hAnsi="仿宋" w:eastAsia="仿宋" w:cs="仿宋"/>
          <w:b/>
          <w:snapToGrid w:val="0"/>
          <w:kern w:val="0"/>
        </w:rPr>
      </w:pPr>
      <w:r>
        <w:rPr>
          <w:rFonts w:hint="eastAsia" w:ascii="仿宋" w:hAnsi="仿宋" w:eastAsia="仿宋" w:cs="仿宋"/>
          <w:b/>
          <w:snapToGrid w:val="0"/>
          <w:kern w:val="0"/>
        </w:rPr>
        <w:t>4.《开标一览表》未按招标文件规定签字、盖章、密封的，将导致废标。</w:t>
      </w:r>
    </w:p>
    <w:p>
      <w:pPr>
        <w:snapToGrid w:val="0"/>
        <w:ind w:firstLine="420" w:firstLineChars="200"/>
        <w:rPr>
          <w:rFonts w:ascii="仿宋" w:hAnsi="仿宋" w:eastAsia="仿宋" w:cs="仿宋"/>
          <w:szCs w:val="21"/>
        </w:rPr>
      </w:pPr>
      <w:r>
        <w:rPr>
          <w:rFonts w:hint="eastAsia" w:ascii="仿宋" w:hAnsi="仿宋" w:eastAsia="仿宋" w:cs="仿宋"/>
        </w:rPr>
        <w:t>5.</w:t>
      </w:r>
      <w:r>
        <w:rPr>
          <w:rFonts w:hint="eastAsia" w:ascii="仿宋" w:hAnsi="仿宋" w:eastAsia="仿宋" w:cs="仿宋"/>
          <w:szCs w:val="21"/>
        </w:rPr>
        <w:t>若开标一览表中大写金额和小写金额不一致的，以大写金额为准。</w:t>
      </w:r>
    </w:p>
    <w:p>
      <w:pPr>
        <w:ind w:firstLine="420"/>
        <w:jc w:val="left"/>
        <w:rPr>
          <w:rFonts w:ascii="仿宋" w:hAnsi="仿宋" w:eastAsia="仿宋" w:cs="仿宋"/>
        </w:rPr>
      </w:pPr>
    </w:p>
    <w:p>
      <w:pPr>
        <w:ind w:firstLine="420"/>
        <w:jc w:val="left"/>
        <w:rPr>
          <w:rFonts w:ascii="仿宋" w:hAnsi="仿宋" w:eastAsia="仿宋" w:cs="仿宋"/>
        </w:rPr>
      </w:pPr>
    </w:p>
    <w:p>
      <w:pPr>
        <w:ind w:firstLine="3150" w:firstLineChars="1500"/>
        <w:jc w:val="left"/>
        <w:rPr>
          <w:rFonts w:ascii="仿宋" w:hAnsi="仿宋" w:eastAsia="仿宋" w:cs="仿宋"/>
        </w:rPr>
      </w:pPr>
      <w:r>
        <w:rPr>
          <w:rFonts w:hint="eastAsia" w:ascii="仿宋" w:hAnsi="仿宋" w:eastAsia="仿宋" w:cs="仿宋"/>
        </w:rPr>
        <w:t>法定代表人或其授权委托人（</w:t>
      </w:r>
      <w:r>
        <w:rPr>
          <w:rFonts w:hint="eastAsia" w:ascii="仿宋" w:hAnsi="仿宋" w:eastAsia="仿宋" w:cs="仿宋"/>
          <w:b/>
        </w:rPr>
        <w:t>签名或盖私章</w:t>
      </w:r>
      <w:r>
        <w:rPr>
          <w:rFonts w:hint="eastAsia" w:ascii="仿宋" w:hAnsi="仿宋" w:eastAsia="仿宋" w:cs="仿宋"/>
        </w:rPr>
        <w:t>）：</w:t>
      </w:r>
    </w:p>
    <w:p>
      <w:pPr>
        <w:jc w:val="left"/>
        <w:rPr>
          <w:rFonts w:ascii="仿宋" w:hAnsi="仿宋" w:eastAsia="仿宋" w:cs="仿宋"/>
        </w:rPr>
      </w:pPr>
    </w:p>
    <w:p>
      <w:pPr>
        <w:ind w:firstLine="3150" w:firstLineChars="1500"/>
        <w:jc w:val="left"/>
        <w:rPr>
          <w:rFonts w:ascii="仿宋" w:hAnsi="仿宋" w:eastAsia="仿宋" w:cs="仿宋"/>
        </w:rPr>
      </w:pPr>
      <w:r>
        <w:rPr>
          <w:rFonts w:hint="eastAsia" w:ascii="仿宋" w:hAnsi="仿宋" w:eastAsia="仿宋" w:cs="仿宋"/>
        </w:rPr>
        <w:t>投标单位（</w:t>
      </w:r>
      <w:r>
        <w:rPr>
          <w:rFonts w:hint="eastAsia" w:ascii="仿宋" w:hAnsi="仿宋" w:eastAsia="仿宋" w:cs="仿宋"/>
          <w:b/>
        </w:rPr>
        <w:t>盖公章</w:t>
      </w:r>
      <w:r>
        <w:rPr>
          <w:rFonts w:hint="eastAsia" w:ascii="仿宋" w:hAnsi="仿宋" w:eastAsia="仿宋" w:cs="仿宋"/>
        </w:rPr>
        <w:t>）：</w:t>
      </w:r>
    </w:p>
    <w:p>
      <w:pPr>
        <w:jc w:val="left"/>
        <w:rPr>
          <w:rFonts w:ascii="仿宋" w:hAnsi="仿宋" w:eastAsia="仿宋" w:cs="仿宋"/>
        </w:rPr>
      </w:pPr>
    </w:p>
    <w:p>
      <w:pPr>
        <w:jc w:val="right"/>
        <w:rPr>
          <w:rFonts w:ascii="仿宋" w:hAnsi="仿宋" w:eastAsia="仿宋" w:cs="仿宋"/>
        </w:rPr>
      </w:pPr>
      <w:r>
        <w:rPr>
          <w:rFonts w:hint="eastAsia" w:ascii="仿宋" w:hAnsi="仿宋" w:eastAsia="仿宋" w:cs="仿宋"/>
        </w:rPr>
        <w:t>日期：    年  月  日</w:t>
      </w:r>
    </w:p>
    <w:p>
      <w:pPr>
        <w:jc w:val="center"/>
        <w:rPr>
          <w:rFonts w:ascii="黑体" w:hAnsi="宋体" w:eastAsia="黑体"/>
          <w:bCs/>
          <w:sz w:val="36"/>
          <w:szCs w:val="36"/>
        </w:rPr>
      </w:pPr>
      <w:r>
        <w:rPr>
          <w:rFonts w:ascii="宋体" w:hAnsi="宋体"/>
          <w:bCs/>
          <w:sz w:val="24"/>
        </w:rPr>
        <w:br w:type="page"/>
      </w:r>
      <w:r>
        <w:rPr>
          <w:rFonts w:hint="eastAsia" w:ascii="黑体" w:eastAsia="黑体"/>
          <w:sz w:val="36"/>
          <w:szCs w:val="36"/>
        </w:rPr>
        <w:t>目  录</w:t>
      </w:r>
    </w:p>
    <w:p>
      <w:pPr>
        <w:spacing w:line="400" w:lineRule="exact"/>
        <w:rPr>
          <w:rFonts w:ascii="仿宋" w:hAnsi="仿宋" w:eastAsia="仿宋" w:cs="仿宋"/>
          <w:bCs/>
          <w:snapToGrid w:val="0"/>
          <w:kern w:val="0"/>
          <w:sz w:val="28"/>
        </w:rPr>
      </w:pP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一、评标指引表</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二、投标函及承诺函</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三、法定代表人资格证明书</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四、法定代表人授权书</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五、分项报价清单表</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六、供应商情况介绍</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七、投标人同类项目业绩情况</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八、项目团队情况</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九、实施方案</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十、服务条款偏离表</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十一、商务条款偏离表</w:t>
      </w:r>
    </w:p>
    <w:p>
      <w:pPr>
        <w:spacing w:line="400" w:lineRule="exact"/>
        <w:rPr>
          <w:rFonts w:ascii="仿宋" w:hAnsi="仿宋" w:eastAsia="仿宋" w:cs="仿宋"/>
          <w:bCs/>
          <w:snapToGrid w:val="0"/>
          <w:kern w:val="0"/>
          <w:sz w:val="28"/>
        </w:rPr>
      </w:pPr>
      <w:r>
        <w:rPr>
          <w:rFonts w:hint="eastAsia" w:ascii="仿宋" w:hAnsi="仿宋" w:eastAsia="仿宋" w:cs="仿宋"/>
          <w:bCs/>
          <w:snapToGrid w:val="0"/>
          <w:kern w:val="0"/>
          <w:sz w:val="28"/>
        </w:rPr>
        <w:t>十二、招标文件要求的其他内容及投标人认为需要加以说明其他内容</w:t>
      </w:r>
    </w:p>
    <w:p>
      <w:pPr>
        <w:rPr>
          <w:rFonts w:ascii="黑体" w:eastAsia="黑体"/>
          <w:sz w:val="28"/>
          <w:szCs w:val="28"/>
        </w:rPr>
      </w:pPr>
      <w:bookmarkStart w:id="238" w:name="_Toc3113"/>
      <w:bookmarkStart w:id="239" w:name="_Toc13725"/>
      <w:bookmarkStart w:id="240" w:name="_Toc23583"/>
      <w:bookmarkStart w:id="241" w:name="_Toc22090"/>
      <w:bookmarkStart w:id="242" w:name="_Toc20194"/>
      <w:r>
        <w:rPr>
          <w:rFonts w:hint="eastAsia" w:ascii="黑体" w:eastAsia="黑体"/>
          <w:sz w:val="28"/>
          <w:szCs w:val="28"/>
        </w:rPr>
        <w:br w:type="page"/>
      </w:r>
    </w:p>
    <w:p>
      <w:pPr>
        <w:pStyle w:val="4"/>
        <w:spacing w:before="120" w:after="120"/>
        <w:jc w:val="center"/>
        <w:rPr>
          <w:rFonts w:ascii="黑体" w:eastAsia="黑体"/>
          <w:sz w:val="28"/>
          <w:szCs w:val="28"/>
        </w:rPr>
      </w:pPr>
      <w:bookmarkStart w:id="243" w:name="_Toc28460"/>
      <w:bookmarkStart w:id="244" w:name="_Toc18204"/>
      <w:r>
        <w:rPr>
          <w:rFonts w:hint="eastAsia" w:ascii="黑体" w:eastAsia="黑体"/>
          <w:sz w:val="28"/>
          <w:szCs w:val="28"/>
        </w:rPr>
        <w:t>一、评标指引表</w:t>
      </w:r>
      <w:bookmarkEnd w:id="238"/>
      <w:bookmarkEnd w:id="239"/>
      <w:bookmarkEnd w:id="240"/>
      <w:bookmarkEnd w:id="241"/>
      <w:bookmarkEnd w:id="242"/>
      <w:bookmarkEnd w:id="243"/>
      <w:bookmarkEnd w:id="244"/>
    </w:p>
    <w:p>
      <w:pPr>
        <w:jc w:val="center"/>
        <w:rPr>
          <w:rFonts w:ascii="宋体" w:hAnsi="宋体"/>
          <w:b/>
          <w:szCs w:val="21"/>
        </w:rPr>
      </w:pPr>
      <w:r>
        <w:rPr>
          <w:rFonts w:hint="eastAsia" w:ascii="宋体" w:hAnsi="宋体"/>
          <w:b/>
          <w:szCs w:val="21"/>
        </w:rPr>
        <w:t>（置于投标文件的首页）</w:t>
      </w:r>
    </w:p>
    <w:p>
      <w:pPr>
        <w:ind w:firstLine="480" w:firstLineChars="200"/>
        <w:rPr>
          <w:rFonts w:ascii="仿宋" w:hAnsi="仿宋" w:eastAsia="仿宋" w:cs="仿宋"/>
          <w:sz w:val="24"/>
        </w:rPr>
      </w:pPr>
      <w:r>
        <w:rPr>
          <w:rFonts w:hint="eastAsia" w:ascii="仿宋" w:hAnsi="仿宋" w:eastAsia="仿宋" w:cs="仿宋"/>
          <w:sz w:val="24"/>
        </w:rPr>
        <w:t>为方便参与该项目的评委专家的评标，快速找到评标事项与该项目投标文件所对应的位置，请投标人参照下表格式，编制本项目评标指引表。</w:t>
      </w:r>
    </w:p>
    <w:p>
      <w:pPr>
        <w:jc w:val="center"/>
        <w:rPr>
          <w:rFonts w:ascii="仿宋" w:hAnsi="仿宋" w:eastAsia="仿宋" w:cs="仿宋"/>
          <w:b/>
          <w:sz w:val="24"/>
        </w:rPr>
      </w:pPr>
      <w:r>
        <w:rPr>
          <w:rFonts w:hint="eastAsia" w:ascii="仿宋" w:hAnsi="仿宋" w:eastAsia="仿宋" w:cs="仿宋"/>
          <w:b/>
          <w:sz w:val="24"/>
        </w:rPr>
        <w:t>项目评标指引表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13"/>
        <w:gridCol w:w="3440"/>
        <w:gridCol w:w="1451"/>
        <w:gridCol w:w="807"/>
        <w:gridCol w:w="50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522" w:type="dxa"/>
            <w:gridSpan w:val="7"/>
          </w:tcPr>
          <w:p>
            <w:pPr>
              <w:jc w:val="center"/>
              <w:rPr>
                <w:rFonts w:ascii="仿宋" w:hAnsi="仿宋" w:eastAsia="仿宋" w:cs="仿宋"/>
                <w:b/>
                <w:sz w:val="24"/>
              </w:rPr>
            </w:pPr>
            <w:r>
              <w:rPr>
                <w:rFonts w:hint="eastAsia" w:ascii="仿宋" w:hAnsi="仿宋" w:eastAsia="仿宋" w:cs="仿宋"/>
                <w:b/>
                <w:sz w:val="24"/>
              </w:rPr>
              <w:t>一、资格性检查指引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tcPr>
          <w:p>
            <w:pPr>
              <w:jc w:val="center"/>
              <w:rPr>
                <w:rFonts w:ascii="仿宋" w:hAnsi="仿宋" w:eastAsia="仿宋" w:cs="仿宋"/>
                <w:b/>
                <w:sz w:val="24"/>
              </w:rPr>
            </w:pPr>
            <w:r>
              <w:rPr>
                <w:rFonts w:hint="eastAsia" w:ascii="仿宋" w:hAnsi="仿宋" w:eastAsia="仿宋" w:cs="仿宋"/>
                <w:b/>
                <w:sz w:val="24"/>
              </w:rPr>
              <w:t>序号</w:t>
            </w:r>
          </w:p>
        </w:tc>
        <w:tc>
          <w:tcPr>
            <w:tcW w:w="3753" w:type="dxa"/>
            <w:gridSpan w:val="2"/>
            <w:vAlign w:val="center"/>
          </w:tcPr>
          <w:p>
            <w:pPr>
              <w:jc w:val="center"/>
              <w:rPr>
                <w:rFonts w:ascii="仿宋" w:hAnsi="仿宋" w:eastAsia="仿宋" w:cs="仿宋"/>
                <w:b/>
                <w:sz w:val="24"/>
              </w:rPr>
            </w:pPr>
            <w:r>
              <w:rPr>
                <w:rFonts w:hint="eastAsia" w:ascii="仿宋" w:hAnsi="仿宋" w:eastAsia="仿宋" w:cs="仿宋"/>
                <w:b/>
                <w:sz w:val="24"/>
              </w:rPr>
              <w:t>资格性检查项目</w:t>
            </w:r>
          </w:p>
        </w:tc>
        <w:tc>
          <w:tcPr>
            <w:tcW w:w="2758" w:type="dxa"/>
            <w:gridSpan w:val="3"/>
            <w:vAlign w:val="center"/>
          </w:tcPr>
          <w:p>
            <w:pPr>
              <w:jc w:val="center"/>
              <w:rPr>
                <w:rFonts w:ascii="仿宋" w:hAnsi="仿宋" w:eastAsia="仿宋" w:cs="仿宋"/>
                <w:b/>
                <w:sz w:val="24"/>
              </w:rPr>
            </w:pPr>
            <w:r>
              <w:rPr>
                <w:rFonts w:hint="eastAsia" w:ascii="仿宋" w:hAnsi="仿宋" w:eastAsia="仿宋" w:cs="仿宋"/>
                <w:b/>
                <w:sz w:val="24"/>
              </w:rPr>
              <w:t>证明文件</w:t>
            </w:r>
          </w:p>
        </w:tc>
        <w:tc>
          <w:tcPr>
            <w:tcW w:w="1251" w:type="dxa"/>
            <w:vAlign w:val="center"/>
          </w:tcPr>
          <w:p>
            <w:pPr>
              <w:jc w:val="center"/>
              <w:rPr>
                <w:rFonts w:ascii="仿宋" w:hAnsi="仿宋" w:eastAsia="仿宋" w:cs="仿宋"/>
                <w:b/>
                <w:sz w:val="24"/>
              </w:rPr>
            </w:pPr>
            <w:r>
              <w:rPr>
                <w:rFonts w:hint="eastAsia" w:ascii="仿宋" w:hAnsi="仿宋" w:eastAsia="仿宋" w:cs="仿宋"/>
                <w:b/>
                <w:sz w:val="24"/>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60" w:type="dxa"/>
            <w:vMerge w:val="restart"/>
            <w:vAlign w:val="center"/>
          </w:tcPr>
          <w:p>
            <w:pPr>
              <w:jc w:val="center"/>
              <w:rPr>
                <w:rFonts w:ascii="仿宋" w:hAnsi="仿宋" w:eastAsia="仿宋" w:cs="仿宋"/>
                <w:sz w:val="24"/>
              </w:rPr>
            </w:pPr>
            <w:r>
              <w:rPr>
                <w:rFonts w:hint="eastAsia" w:ascii="仿宋" w:hAnsi="仿宋" w:eastAsia="仿宋" w:cs="仿宋"/>
                <w:sz w:val="24"/>
              </w:rPr>
              <w:t>1</w:t>
            </w:r>
          </w:p>
        </w:tc>
        <w:tc>
          <w:tcPr>
            <w:tcW w:w="3753" w:type="dxa"/>
            <w:gridSpan w:val="2"/>
            <w:vMerge w:val="restart"/>
            <w:vAlign w:val="center"/>
          </w:tcPr>
          <w:p>
            <w:pPr>
              <w:jc w:val="left"/>
              <w:rPr>
                <w:rFonts w:ascii="仿宋" w:hAnsi="仿宋" w:eastAsia="仿宋" w:cs="仿宋"/>
                <w:sz w:val="24"/>
              </w:rPr>
            </w:pPr>
            <w:r>
              <w:rPr>
                <w:rFonts w:hint="eastAsia" w:ascii="仿宋" w:hAnsi="仿宋" w:eastAsia="仿宋" w:cs="仿宋"/>
                <w:sz w:val="24"/>
              </w:rPr>
              <w:t>投标人不具备招标资质要求，或未提交相应资格证明材料的。</w:t>
            </w:r>
          </w:p>
        </w:tc>
        <w:tc>
          <w:tcPr>
            <w:tcW w:w="2758" w:type="dxa"/>
            <w:gridSpan w:val="3"/>
            <w:vAlign w:val="center"/>
          </w:tcPr>
          <w:p>
            <w:pPr>
              <w:jc w:val="left"/>
              <w:rPr>
                <w:rFonts w:ascii="仿宋" w:hAnsi="仿宋" w:eastAsia="仿宋" w:cs="仿宋"/>
                <w:sz w:val="24"/>
              </w:rPr>
            </w:pPr>
            <w:r>
              <w:rPr>
                <w:rFonts w:hint="eastAsia" w:ascii="仿宋" w:hAnsi="仿宋" w:eastAsia="仿宋" w:cs="仿宋"/>
                <w:sz w:val="24"/>
              </w:rPr>
              <w:t>营业执照</w:t>
            </w:r>
          </w:p>
        </w:tc>
        <w:tc>
          <w:tcPr>
            <w:tcW w:w="1251" w:type="dxa"/>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60" w:type="dxa"/>
            <w:vMerge w:val="continue"/>
            <w:vAlign w:val="center"/>
          </w:tcPr>
          <w:p>
            <w:pPr>
              <w:jc w:val="center"/>
              <w:rPr>
                <w:rFonts w:ascii="仿宋" w:hAnsi="仿宋" w:eastAsia="仿宋" w:cs="仿宋"/>
                <w:sz w:val="24"/>
              </w:rPr>
            </w:pPr>
          </w:p>
        </w:tc>
        <w:tc>
          <w:tcPr>
            <w:tcW w:w="3753" w:type="dxa"/>
            <w:gridSpan w:val="2"/>
            <w:vMerge w:val="continue"/>
            <w:vAlign w:val="center"/>
          </w:tcPr>
          <w:p>
            <w:pPr>
              <w:jc w:val="left"/>
              <w:rPr>
                <w:rFonts w:ascii="仿宋" w:hAnsi="仿宋" w:eastAsia="仿宋" w:cs="仿宋"/>
                <w:sz w:val="24"/>
              </w:rPr>
            </w:pPr>
          </w:p>
        </w:tc>
        <w:tc>
          <w:tcPr>
            <w:tcW w:w="2758" w:type="dxa"/>
            <w:gridSpan w:val="3"/>
            <w:vAlign w:val="center"/>
          </w:tcPr>
          <w:p>
            <w:pPr>
              <w:jc w:val="left"/>
              <w:rPr>
                <w:rFonts w:ascii="仿宋" w:hAnsi="仿宋" w:eastAsia="仿宋" w:cs="仿宋"/>
                <w:sz w:val="24"/>
              </w:rPr>
            </w:pPr>
            <w:r>
              <w:rPr>
                <w:rFonts w:hint="eastAsia" w:ascii="仿宋" w:hAnsi="仿宋" w:eastAsia="仿宋" w:cs="仿宋"/>
                <w:sz w:val="24"/>
              </w:rPr>
              <w:t>…</w:t>
            </w:r>
          </w:p>
        </w:tc>
        <w:tc>
          <w:tcPr>
            <w:tcW w:w="1251" w:type="dxa"/>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60" w:type="dxa"/>
            <w:vMerge w:val="continue"/>
            <w:vAlign w:val="center"/>
          </w:tcPr>
          <w:p>
            <w:pPr>
              <w:jc w:val="center"/>
              <w:rPr>
                <w:rFonts w:ascii="仿宋" w:hAnsi="仿宋" w:eastAsia="仿宋" w:cs="仿宋"/>
                <w:sz w:val="24"/>
              </w:rPr>
            </w:pPr>
          </w:p>
        </w:tc>
        <w:tc>
          <w:tcPr>
            <w:tcW w:w="3753" w:type="dxa"/>
            <w:gridSpan w:val="2"/>
            <w:vMerge w:val="continue"/>
            <w:vAlign w:val="center"/>
          </w:tcPr>
          <w:p>
            <w:pPr>
              <w:jc w:val="left"/>
              <w:rPr>
                <w:rFonts w:ascii="仿宋" w:hAnsi="仿宋" w:eastAsia="仿宋" w:cs="仿宋"/>
                <w:sz w:val="24"/>
              </w:rPr>
            </w:pPr>
          </w:p>
        </w:tc>
        <w:tc>
          <w:tcPr>
            <w:tcW w:w="2758" w:type="dxa"/>
            <w:gridSpan w:val="3"/>
            <w:vAlign w:val="center"/>
          </w:tcPr>
          <w:p>
            <w:pPr>
              <w:jc w:val="left"/>
              <w:rPr>
                <w:rFonts w:ascii="仿宋" w:hAnsi="仿宋" w:eastAsia="仿宋" w:cs="仿宋"/>
                <w:sz w:val="24"/>
              </w:rPr>
            </w:pPr>
          </w:p>
        </w:tc>
        <w:tc>
          <w:tcPr>
            <w:tcW w:w="1251" w:type="dxa"/>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2</w:t>
            </w:r>
          </w:p>
        </w:tc>
        <w:tc>
          <w:tcPr>
            <w:tcW w:w="3753" w:type="dxa"/>
            <w:gridSpan w:val="2"/>
            <w:vAlign w:val="center"/>
          </w:tcPr>
          <w:p>
            <w:pPr>
              <w:jc w:val="left"/>
              <w:rPr>
                <w:rFonts w:ascii="仿宋" w:hAnsi="仿宋" w:eastAsia="仿宋" w:cs="仿宋"/>
                <w:sz w:val="24"/>
              </w:rPr>
            </w:pPr>
            <w:r>
              <w:rPr>
                <w:rFonts w:hint="eastAsia" w:ascii="仿宋" w:hAnsi="仿宋" w:eastAsia="仿宋" w:cs="仿宋"/>
                <w:sz w:val="24"/>
              </w:rPr>
              <w:t>投标人未按招标公告要求完成投标报名的</w:t>
            </w:r>
          </w:p>
        </w:tc>
        <w:tc>
          <w:tcPr>
            <w:tcW w:w="2758" w:type="dxa"/>
            <w:gridSpan w:val="3"/>
            <w:vAlign w:val="center"/>
          </w:tcPr>
          <w:p>
            <w:pPr>
              <w:jc w:val="left"/>
              <w:rPr>
                <w:rFonts w:ascii="仿宋" w:hAnsi="仿宋" w:eastAsia="仿宋" w:cs="仿宋"/>
                <w:sz w:val="24"/>
              </w:rPr>
            </w:pPr>
            <w:r>
              <w:rPr>
                <w:rFonts w:hint="eastAsia" w:ascii="仿宋" w:hAnsi="仿宋" w:eastAsia="仿宋" w:cs="仿宋"/>
                <w:sz w:val="24"/>
              </w:rPr>
              <w:t>无需提供证明材料，由政府采购代理机构核查</w:t>
            </w:r>
          </w:p>
        </w:tc>
        <w:tc>
          <w:tcPr>
            <w:tcW w:w="125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522" w:type="dxa"/>
            <w:gridSpan w:val="7"/>
          </w:tcPr>
          <w:p>
            <w:pPr>
              <w:jc w:val="center"/>
              <w:rPr>
                <w:rFonts w:ascii="仿宋" w:hAnsi="仿宋" w:eastAsia="仿宋" w:cs="仿宋"/>
                <w:b/>
                <w:sz w:val="24"/>
              </w:rPr>
            </w:pPr>
            <w:r>
              <w:rPr>
                <w:rFonts w:hint="eastAsia" w:ascii="仿宋" w:hAnsi="仿宋" w:eastAsia="仿宋" w:cs="仿宋"/>
                <w:b/>
                <w:sz w:val="24"/>
              </w:rPr>
              <w:t>二、符合性检查指引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tcPr>
          <w:p>
            <w:pPr>
              <w:jc w:val="center"/>
              <w:rPr>
                <w:rFonts w:ascii="仿宋" w:hAnsi="仿宋" w:eastAsia="仿宋" w:cs="仿宋"/>
                <w:b/>
                <w:sz w:val="24"/>
              </w:rPr>
            </w:pPr>
            <w:r>
              <w:rPr>
                <w:rFonts w:hint="eastAsia" w:ascii="仿宋" w:hAnsi="仿宋" w:eastAsia="仿宋" w:cs="仿宋"/>
                <w:b/>
                <w:sz w:val="24"/>
              </w:rPr>
              <w:t>序号</w:t>
            </w:r>
          </w:p>
        </w:tc>
        <w:tc>
          <w:tcPr>
            <w:tcW w:w="6011" w:type="dxa"/>
            <w:gridSpan w:val="4"/>
            <w:vAlign w:val="center"/>
          </w:tcPr>
          <w:p>
            <w:pPr>
              <w:jc w:val="center"/>
              <w:rPr>
                <w:rFonts w:ascii="仿宋" w:hAnsi="仿宋" w:eastAsia="仿宋" w:cs="仿宋"/>
                <w:b/>
                <w:sz w:val="24"/>
              </w:rPr>
            </w:pPr>
            <w:r>
              <w:rPr>
                <w:rFonts w:hint="eastAsia" w:ascii="仿宋" w:hAnsi="仿宋" w:eastAsia="仿宋" w:cs="仿宋"/>
                <w:b/>
                <w:sz w:val="24"/>
              </w:rPr>
              <w:t>符合性检查项目</w:t>
            </w:r>
          </w:p>
        </w:tc>
        <w:tc>
          <w:tcPr>
            <w:tcW w:w="1751" w:type="dxa"/>
            <w:gridSpan w:val="2"/>
            <w:vAlign w:val="center"/>
          </w:tcPr>
          <w:p>
            <w:pPr>
              <w:jc w:val="center"/>
              <w:rPr>
                <w:rFonts w:ascii="仿宋" w:hAnsi="仿宋" w:eastAsia="仿宋" w:cs="仿宋"/>
                <w:b/>
                <w:sz w:val="24"/>
              </w:rPr>
            </w:pPr>
            <w:r>
              <w:rPr>
                <w:rFonts w:hint="eastAsia" w:ascii="仿宋" w:hAnsi="仿宋" w:eastAsia="仿宋" w:cs="仿宋"/>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1</w:t>
            </w:r>
          </w:p>
        </w:tc>
        <w:tc>
          <w:tcPr>
            <w:tcW w:w="6011" w:type="dxa"/>
            <w:gridSpan w:val="4"/>
            <w:vAlign w:val="center"/>
          </w:tcPr>
          <w:p>
            <w:pPr>
              <w:rPr>
                <w:rFonts w:ascii="仿宋" w:hAnsi="仿宋" w:eastAsia="仿宋" w:cs="仿宋"/>
                <w:sz w:val="24"/>
              </w:rPr>
            </w:pPr>
            <w:r>
              <w:rPr>
                <w:rFonts w:hint="eastAsia" w:ascii="仿宋" w:hAnsi="仿宋" w:eastAsia="仿宋" w:cs="仿宋"/>
                <w:sz w:val="24"/>
                <w:szCs w:val="32"/>
              </w:rPr>
              <w:t>将一个包中的内容拆开投标</w:t>
            </w:r>
          </w:p>
        </w:tc>
        <w:tc>
          <w:tcPr>
            <w:tcW w:w="1751" w:type="dxa"/>
            <w:gridSpan w:val="2"/>
            <w:vAlign w:val="center"/>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2</w:t>
            </w:r>
          </w:p>
        </w:tc>
        <w:tc>
          <w:tcPr>
            <w:tcW w:w="6011" w:type="dxa"/>
            <w:gridSpan w:val="4"/>
            <w:vAlign w:val="center"/>
          </w:tcPr>
          <w:p>
            <w:pPr>
              <w:rPr>
                <w:rFonts w:ascii="仿宋" w:hAnsi="仿宋" w:eastAsia="仿宋" w:cs="仿宋"/>
                <w:sz w:val="24"/>
              </w:rPr>
            </w:pPr>
            <w:r>
              <w:rPr>
                <w:rFonts w:hint="eastAsia" w:ascii="仿宋" w:hAnsi="仿宋" w:eastAsia="仿宋" w:cs="仿宋"/>
                <w:sz w:val="24"/>
                <w:szCs w:val="32"/>
              </w:rPr>
              <w:t>投标文件及开标一览表未按规定密封、签字、盖章</w:t>
            </w:r>
          </w:p>
        </w:tc>
        <w:tc>
          <w:tcPr>
            <w:tcW w:w="1751" w:type="dxa"/>
            <w:gridSpan w:val="2"/>
            <w:vAlign w:val="center"/>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3</w:t>
            </w:r>
          </w:p>
        </w:tc>
        <w:tc>
          <w:tcPr>
            <w:tcW w:w="6011" w:type="dxa"/>
            <w:gridSpan w:val="4"/>
            <w:vAlign w:val="center"/>
          </w:tcPr>
          <w:p>
            <w:pPr>
              <w:rPr>
                <w:rFonts w:ascii="仿宋" w:hAnsi="仿宋" w:eastAsia="仿宋" w:cs="仿宋"/>
                <w:sz w:val="24"/>
              </w:rPr>
            </w:pPr>
            <w:r>
              <w:rPr>
                <w:rFonts w:hint="eastAsia" w:ascii="仿宋" w:hAnsi="仿宋" w:eastAsia="仿宋" w:cs="仿宋"/>
                <w:sz w:val="24"/>
                <w:szCs w:val="32"/>
              </w:rPr>
              <w:t>招标文件未规定允许有替代方案时，对同一项目投标时，同时提供两套或两套以上的投标方案</w:t>
            </w:r>
          </w:p>
        </w:tc>
        <w:tc>
          <w:tcPr>
            <w:tcW w:w="1751" w:type="dxa"/>
            <w:gridSpan w:val="2"/>
            <w:vAlign w:val="center"/>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4</w:t>
            </w:r>
          </w:p>
        </w:tc>
        <w:tc>
          <w:tcPr>
            <w:tcW w:w="6011" w:type="dxa"/>
            <w:gridSpan w:val="4"/>
            <w:vAlign w:val="center"/>
          </w:tcPr>
          <w:p>
            <w:pPr>
              <w:rPr>
                <w:rFonts w:ascii="仿宋" w:hAnsi="仿宋" w:eastAsia="仿宋" w:cs="仿宋"/>
                <w:sz w:val="24"/>
              </w:rPr>
            </w:pPr>
            <w:r>
              <w:rPr>
                <w:rFonts w:hint="eastAsia" w:ascii="仿宋" w:hAnsi="仿宋" w:eastAsia="仿宋" w:cs="仿宋"/>
                <w:sz w:val="24"/>
              </w:rPr>
              <w:t>分项报价或投标总价高于预算金额（最高投标限价）的</w:t>
            </w:r>
          </w:p>
        </w:tc>
        <w:tc>
          <w:tcPr>
            <w:tcW w:w="1751" w:type="dxa"/>
            <w:gridSpan w:val="2"/>
            <w:vAlign w:val="center"/>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5</w:t>
            </w:r>
          </w:p>
        </w:tc>
        <w:tc>
          <w:tcPr>
            <w:tcW w:w="6011" w:type="dxa"/>
            <w:gridSpan w:val="4"/>
            <w:vAlign w:val="center"/>
          </w:tcPr>
          <w:p>
            <w:pPr>
              <w:rPr>
                <w:rFonts w:ascii="仿宋" w:hAnsi="仿宋" w:eastAsia="仿宋" w:cs="仿宋"/>
                <w:sz w:val="24"/>
              </w:rPr>
            </w:pPr>
            <w:r>
              <w:rPr>
                <w:rFonts w:hint="eastAsia" w:ascii="仿宋" w:hAnsi="仿宋" w:eastAsia="仿宋" w:cs="仿宋"/>
                <w:sz w:val="24"/>
                <w:szCs w:val="32"/>
              </w:rPr>
              <w:t>同一项目出现两个及以上报价，按规定又无法确定哪个是有效报价</w:t>
            </w:r>
          </w:p>
        </w:tc>
        <w:tc>
          <w:tcPr>
            <w:tcW w:w="1751" w:type="dxa"/>
            <w:gridSpan w:val="2"/>
            <w:vAlign w:val="center"/>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6</w:t>
            </w:r>
          </w:p>
        </w:tc>
        <w:tc>
          <w:tcPr>
            <w:tcW w:w="6011" w:type="dxa"/>
            <w:gridSpan w:val="4"/>
            <w:vAlign w:val="center"/>
          </w:tcPr>
          <w:p>
            <w:pPr>
              <w:rPr>
                <w:rFonts w:ascii="仿宋" w:hAnsi="仿宋" w:eastAsia="仿宋" w:cs="仿宋"/>
                <w:sz w:val="24"/>
              </w:rPr>
            </w:pPr>
            <w:r>
              <w:rPr>
                <w:rFonts w:hint="eastAsia" w:ascii="仿宋" w:hAnsi="仿宋" w:eastAsia="仿宋" w:cs="仿宋"/>
                <w:sz w:val="24"/>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c>
          <w:tcPr>
            <w:tcW w:w="1751" w:type="dxa"/>
            <w:gridSpan w:val="2"/>
            <w:vAlign w:val="center"/>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7</w:t>
            </w:r>
          </w:p>
        </w:tc>
        <w:tc>
          <w:tcPr>
            <w:tcW w:w="6011" w:type="dxa"/>
            <w:gridSpan w:val="4"/>
            <w:vAlign w:val="center"/>
          </w:tcPr>
          <w:p>
            <w:pPr>
              <w:rPr>
                <w:rFonts w:ascii="仿宋" w:hAnsi="仿宋" w:eastAsia="仿宋" w:cs="仿宋"/>
                <w:sz w:val="24"/>
              </w:rPr>
            </w:pPr>
            <w:r>
              <w:rPr>
                <w:rFonts w:hint="eastAsia" w:ascii="仿宋" w:hAnsi="仿宋" w:eastAsia="仿宋" w:cs="仿宋"/>
                <w:sz w:val="24"/>
                <w:szCs w:val="32"/>
              </w:rPr>
              <w:t>投标文件载明的招标项目完成或服务期限不满足招标文件规定的</w:t>
            </w:r>
          </w:p>
        </w:tc>
        <w:tc>
          <w:tcPr>
            <w:tcW w:w="1751" w:type="dxa"/>
            <w:gridSpan w:val="2"/>
            <w:vAlign w:val="center"/>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8</w:t>
            </w:r>
          </w:p>
        </w:tc>
        <w:tc>
          <w:tcPr>
            <w:tcW w:w="6011" w:type="dxa"/>
            <w:gridSpan w:val="4"/>
            <w:vAlign w:val="center"/>
          </w:tcPr>
          <w:p>
            <w:pPr>
              <w:rPr>
                <w:rFonts w:ascii="仿宋" w:hAnsi="仿宋" w:eastAsia="仿宋" w:cs="仿宋"/>
                <w:sz w:val="24"/>
              </w:rPr>
            </w:pPr>
            <w:r>
              <w:rPr>
                <w:rFonts w:hint="eastAsia" w:ascii="仿宋" w:hAnsi="仿宋" w:eastAsia="仿宋" w:cs="仿宋"/>
                <w:sz w:val="24"/>
                <w:szCs w:val="32"/>
              </w:rPr>
              <w:t>所投货物、工程、服务在质量、技术、方案等方面没有实质性满足招标文件要求</w:t>
            </w:r>
          </w:p>
        </w:tc>
        <w:tc>
          <w:tcPr>
            <w:tcW w:w="1751" w:type="dxa"/>
            <w:gridSpan w:val="2"/>
            <w:vAlign w:val="center"/>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9</w:t>
            </w:r>
          </w:p>
        </w:tc>
        <w:tc>
          <w:tcPr>
            <w:tcW w:w="6011" w:type="dxa"/>
            <w:gridSpan w:val="4"/>
            <w:vAlign w:val="center"/>
          </w:tcPr>
          <w:p>
            <w:pPr>
              <w:rPr>
                <w:rFonts w:ascii="仿宋" w:hAnsi="仿宋" w:eastAsia="仿宋" w:cs="仿宋"/>
                <w:sz w:val="24"/>
              </w:rPr>
            </w:pPr>
            <w:r>
              <w:rPr>
                <w:rFonts w:hint="eastAsia" w:ascii="仿宋" w:hAnsi="仿宋" w:eastAsia="仿宋" w:cs="仿宋"/>
                <w:sz w:val="24"/>
                <w:szCs w:val="32"/>
              </w:rPr>
              <w:t>未按招标文件附件所提供的样式和要求完整填写投标文件或投标文件组成部分不符合</w:t>
            </w:r>
            <w:r>
              <w:rPr>
                <w:rFonts w:hint="eastAsia" w:ascii="仿宋" w:hAnsi="仿宋" w:eastAsia="仿宋" w:cs="仿宋"/>
                <w:sz w:val="24"/>
              </w:rPr>
              <w:t>通用条款第18.1款规定的</w:t>
            </w:r>
          </w:p>
        </w:tc>
        <w:tc>
          <w:tcPr>
            <w:tcW w:w="1751" w:type="dxa"/>
            <w:gridSpan w:val="2"/>
            <w:vAlign w:val="center"/>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10</w:t>
            </w:r>
          </w:p>
        </w:tc>
        <w:tc>
          <w:tcPr>
            <w:tcW w:w="6011" w:type="dxa"/>
            <w:gridSpan w:val="4"/>
            <w:vAlign w:val="center"/>
          </w:tcPr>
          <w:p>
            <w:pPr>
              <w:rPr>
                <w:rFonts w:ascii="仿宋" w:hAnsi="仿宋" w:eastAsia="仿宋" w:cs="仿宋"/>
                <w:sz w:val="24"/>
              </w:rPr>
            </w:pPr>
            <w:r>
              <w:rPr>
                <w:rFonts w:hint="eastAsia" w:ascii="仿宋" w:hAnsi="仿宋" w:eastAsia="仿宋" w:cs="仿宋"/>
                <w:sz w:val="24"/>
              </w:rPr>
              <w:t>对招标文件中带★号条款的响应存在负偏离的</w:t>
            </w:r>
          </w:p>
        </w:tc>
        <w:tc>
          <w:tcPr>
            <w:tcW w:w="1751" w:type="dxa"/>
            <w:gridSpan w:val="2"/>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11</w:t>
            </w:r>
          </w:p>
        </w:tc>
        <w:tc>
          <w:tcPr>
            <w:tcW w:w="6011" w:type="dxa"/>
            <w:gridSpan w:val="4"/>
            <w:vAlign w:val="center"/>
          </w:tcPr>
          <w:p>
            <w:pPr>
              <w:rPr>
                <w:rFonts w:ascii="仿宋" w:hAnsi="仿宋" w:eastAsia="仿宋" w:cs="仿宋"/>
                <w:sz w:val="24"/>
              </w:rPr>
            </w:pPr>
            <w:r>
              <w:rPr>
                <w:rFonts w:hint="eastAsia" w:ascii="仿宋" w:hAnsi="仿宋" w:eastAsia="仿宋" w:cs="仿宋"/>
                <w:sz w:val="24"/>
                <w:szCs w:val="32"/>
              </w:rPr>
              <w:t>未按招标文件要求填写《服务条款偏离表》或《商务条款偏离表》</w:t>
            </w:r>
          </w:p>
        </w:tc>
        <w:tc>
          <w:tcPr>
            <w:tcW w:w="1751" w:type="dxa"/>
            <w:gridSpan w:val="2"/>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0" w:type="dxa"/>
            <w:vAlign w:val="center"/>
          </w:tcPr>
          <w:p>
            <w:pPr>
              <w:jc w:val="center"/>
              <w:rPr>
                <w:rFonts w:ascii="仿宋" w:hAnsi="仿宋" w:eastAsia="仿宋" w:cs="仿宋"/>
                <w:sz w:val="24"/>
              </w:rPr>
            </w:pPr>
            <w:r>
              <w:rPr>
                <w:rFonts w:hint="eastAsia" w:ascii="仿宋" w:hAnsi="仿宋" w:eastAsia="仿宋" w:cs="仿宋"/>
                <w:sz w:val="24"/>
              </w:rPr>
              <w:t>12</w:t>
            </w:r>
          </w:p>
        </w:tc>
        <w:tc>
          <w:tcPr>
            <w:tcW w:w="6011" w:type="dxa"/>
            <w:gridSpan w:val="4"/>
            <w:vAlign w:val="center"/>
          </w:tcPr>
          <w:p>
            <w:pPr>
              <w:rPr>
                <w:rFonts w:ascii="仿宋" w:hAnsi="仿宋" w:eastAsia="仿宋" w:cs="仿宋"/>
                <w:sz w:val="24"/>
              </w:rPr>
            </w:pPr>
            <w:r>
              <w:rPr>
                <w:rFonts w:hint="eastAsia" w:ascii="仿宋" w:hAnsi="仿宋" w:eastAsia="仿宋" w:cs="仿宋"/>
                <w:sz w:val="24"/>
                <w:szCs w:val="32"/>
              </w:rPr>
              <w:t>投标报价有严重缺漏项目</w:t>
            </w:r>
          </w:p>
        </w:tc>
        <w:tc>
          <w:tcPr>
            <w:tcW w:w="1751" w:type="dxa"/>
            <w:gridSpan w:val="2"/>
          </w:tcPr>
          <w:p>
            <w:pPr>
              <w:jc w:val="center"/>
              <w:rPr>
                <w:rFonts w:ascii="仿宋" w:hAnsi="仿宋" w:eastAsia="仿宋" w:cs="仿宋"/>
                <w:sz w:val="24"/>
              </w:rPr>
            </w:pPr>
            <w:r>
              <w:rPr>
                <w:rFonts w:hint="eastAsia" w:ascii="仿宋" w:hAnsi="仿宋" w:eastAsia="仿宋" w:cs="仿宋"/>
                <w:sz w:val="24"/>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522" w:type="dxa"/>
            <w:gridSpan w:val="7"/>
          </w:tcPr>
          <w:p>
            <w:pPr>
              <w:jc w:val="center"/>
              <w:rPr>
                <w:rFonts w:ascii="仿宋" w:hAnsi="仿宋" w:eastAsia="仿宋" w:cs="仿宋"/>
                <w:b/>
                <w:sz w:val="24"/>
              </w:rPr>
            </w:pPr>
            <w:r>
              <w:rPr>
                <w:rFonts w:hint="eastAsia" w:ascii="仿宋" w:hAnsi="仿宋" w:eastAsia="仿宋" w:cs="仿宋"/>
                <w:b/>
                <w:sz w:val="24"/>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73" w:type="dxa"/>
            <w:gridSpan w:val="2"/>
          </w:tcPr>
          <w:p>
            <w:pPr>
              <w:jc w:val="center"/>
              <w:rPr>
                <w:rFonts w:ascii="仿宋" w:hAnsi="仿宋" w:eastAsia="仿宋" w:cs="仿宋"/>
                <w:b/>
                <w:sz w:val="24"/>
              </w:rPr>
            </w:pPr>
            <w:r>
              <w:rPr>
                <w:rFonts w:hint="eastAsia" w:ascii="仿宋" w:hAnsi="仿宋" w:eastAsia="仿宋" w:cs="仿宋"/>
                <w:b/>
                <w:sz w:val="24"/>
              </w:rPr>
              <w:t>评分类别</w:t>
            </w:r>
          </w:p>
        </w:tc>
        <w:tc>
          <w:tcPr>
            <w:tcW w:w="4891" w:type="dxa"/>
            <w:gridSpan w:val="2"/>
            <w:vAlign w:val="center"/>
          </w:tcPr>
          <w:p>
            <w:pPr>
              <w:jc w:val="center"/>
              <w:rPr>
                <w:rFonts w:ascii="仿宋" w:hAnsi="仿宋" w:eastAsia="仿宋" w:cs="仿宋"/>
                <w:b/>
                <w:sz w:val="24"/>
              </w:rPr>
            </w:pPr>
            <w:r>
              <w:rPr>
                <w:rFonts w:hint="eastAsia" w:ascii="仿宋" w:hAnsi="仿宋" w:eastAsia="仿宋" w:cs="仿宋"/>
                <w:b/>
                <w:sz w:val="24"/>
              </w:rPr>
              <w:t>评分项目</w:t>
            </w:r>
          </w:p>
        </w:tc>
        <w:tc>
          <w:tcPr>
            <w:tcW w:w="1307" w:type="dxa"/>
            <w:gridSpan w:val="2"/>
            <w:vAlign w:val="center"/>
          </w:tcPr>
          <w:p>
            <w:pPr>
              <w:jc w:val="center"/>
              <w:rPr>
                <w:rFonts w:ascii="仿宋" w:hAnsi="仿宋" w:eastAsia="仿宋" w:cs="仿宋"/>
                <w:b/>
                <w:sz w:val="24"/>
              </w:rPr>
            </w:pPr>
            <w:r>
              <w:rPr>
                <w:rFonts w:hint="eastAsia" w:ascii="仿宋" w:hAnsi="仿宋" w:eastAsia="仿宋" w:cs="仿宋"/>
                <w:b/>
                <w:sz w:val="24"/>
              </w:rPr>
              <w:t>对应章节</w:t>
            </w:r>
          </w:p>
        </w:tc>
        <w:tc>
          <w:tcPr>
            <w:tcW w:w="1251" w:type="dxa"/>
            <w:vAlign w:val="center"/>
          </w:tcPr>
          <w:p>
            <w:pPr>
              <w:jc w:val="center"/>
              <w:rPr>
                <w:rFonts w:ascii="仿宋" w:hAnsi="仿宋" w:eastAsia="仿宋" w:cs="仿宋"/>
                <w:b/>
                <w:sz w:val="24"/>
              </w:rPr>
            </w:pPr>
            <w:r>
              <w:rPr>
                <w:rFonts w:hint="eastAsia" w:ascii="仿宋" w:hAnsi="仿宋" w:eastAsia="仿宋" w:cs="仿宋"/>
                <w:b/>
                <w:sz w:val="24"/>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73" w:type="dxa"/>
            <w:gridSpan w:val="2"/>
            <w:vMerge w:val="restart"/>
            <w:vAlign w:val="center"/>
          </w:tcPr>
          <w:p>
            <w:pPr>
              <w:jc w:val="center"/>
              <w:rPr>
                <w:rFonts w:ascii="仿宋" w:hAnsi="仿宋" w:eastAsia="仿宋" w:cs="仿宋"/>
                <w:b/>
                <w:sz w:val="24"/>
              </w:rPr>
            </w:pPr>
            <w:r>
              <w:rPr>
                <w:rFonts w:hint="eastAsia" w:ascii="仿宋" w:hAnsi="仿宋" w:eastAsia="仿宋" w:cs="仿宋"/>
                <w:b/>
                <w:sz w:val="24"/>
              </w:rPr>
              <w:t>技术部分</w:t>
            </w:r>
          </w:p>
        </w:tc>
        <w:tc>
          <w:tcPr>
            <w:tcW w:w="4891" w:type="dxa"/>
            <w:gridSpan w:val="2"/>
            <w:vAlign w:val="center"/>
          </w:tcPr>
          <w:p>
            <w:pPr>
              <w:widowControl/>
              <w:jc w:val="center"/>
              <w:textAlignment w:val="center"/>
              <w:rPr>
                <w:rFonts w:ascii="仿宋" w:hAnsi="仿宋" w:eastAsia="仿宋" w:cs="仿宋"/>
                <w:sz w:val="24"/>
              </w:rPr>
            </w:pPr>
            <w:r>
              <w:rPr>
                <w:rFonts w:hint="eastAsia" w:ascii="仿宋" w:hAnsi="仿宋" w:eastAsia="仿宋" w:cs="仿宋"/>
                <w:szCs w:val="21"/>
              </w:rPr>
              <w:t>（请根据评标信息内容调整）</w:t>
            </w: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kern w:val="0"/>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73" w:type="dxa"/>
            <w:gridSpan w:val="2"/>
            <w:vMerge w:val="restart"/>
            <w:vAlign w:val="center"/>
          </w:tcPr>
          <w:p>
            <w:pPr>
              <w:jc w:val="center"/>
              <w:rPr>
                <w:rFonts w:ascii="仿宋" w:hAnsi="仿宋" w:eastAsia="仿宋" w:cs="仿宋"/>
                <w:b/>
                <w:sz w:val="24"/>
              </w:rPr>
            </w:pPr>
            <w:r>
              <w:rPr>
                <w:rFonts w:hint="eastAsia" w:ascii="仿宋" w:hAnsi="仿宋" w:eastAsia="仿宋" w:cs="仿宋"/>
                <w:b/>
                <w:sz w:val="24"/>
              </w:rPr>
              <w:t>商务部分</w:t>
            </w:r>
          </w:p>
        </w:tc>
        <w:tc>
          <w:tcPr>
            <w:tcW w:w="4891" w:type="dxa"/>
            <w:gridSpan w:val="2"/>
            <w:vAlign w:val="center"/>
          </w:tcPr>
          <w:p>
            <w:pPr>
              <w:widowControl/>
              <w:jc w:val="left"/>
              <w:textAlignment w:val="center"/>
              <w:rPr>
                <w:rFonts w:ascii="仿宋" w:hAnsi="仿宋" w:eastAsia="仿宋" w:cs="仿宋"/>
                <w:b/>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b/>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b/>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b/>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b/>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b/>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73" w:type="dxa"/>
            <w:gridSpan w:val="2"/>
            <w:vMerge w:val="continue"/>
            <w:vAlign w:val="center"/>
          </w:tcPr>
          <w:p>
            <w:pPr>
              <w:jc w:val="center"/>
              <w:rPr>
                <w:rFonts w:ascii="仿宋" w:hAnsi="仿宋" w:eastAsia="仿宋" w:cs="仿宋"/>
                <w:b/>
                <w:sz w:val="24"/>
              </w:rPr>
            </w:pPr>
          </w:p>
        </w:tc>
        <w:tc>
          <w:tcPr>
            <w:tcW w:w="4891" w:type="dxa"/>
            <w:gridSpan w:val="2"/>
            <w:vAlign w:val="center"/>
          </w:tcPr>
          <w:p>
            <w:pPr>
              <w:widowControl/>
              <w:jc w:val="left"/>
              <w:textAlignment w:val="center"/>
              <w:rPr>
                <w:rFonts w:ascii="仿宋" w:hAnsi="仿宋" w:eastAsia="仿宋" w:cs="仿宋"/>
                <w:b/>
                <w:sz w:val="24"/>
              </w:rPr>
            </w:pPr>
          </w:p>
        </w:tc>
        <w:tc>
          <w:tcPr>
            <w:tcW w:w="1307" w:type="dxa"/>
            <w:gridSpan w:val="2"/>
          </w:tcPr>
          <w:p>
            <w:pPr>
              <w:jc w:val="center"/>
              <w:rPr>
                <w:rFonts w:ascii="仿宋" w:hAnsi="仿宋" w:eastAsia="仿宋" w:cs="仿宋"/>
                <w:b/>
                <w:sz w:val="24"/>
              </w:rPr>
            </w:pPr>
          </w:p>
        </w:tc>
        <w:tc>
          <w:tcPr>
            <w:tcW w:w="1251" w:type="dxa"/>
          </w:tcPr>
          <w:p>
            <w:pPr>
              <w:jc w:val="center"/>
              <w:rPr>
                <w:rFonts w:ascii="仿宋" w:hAnsi="仿宋" w:eastAsia="仿宋" w:cs="仿宋"/>
                <w:b/>
                <w:sz w:val="24"/>
              </w:rPr>
            </w:pPr>
          </w:p>
        </w:tc>
      </w:tr>
    </w:tbl>
    <w:p>
      <w:pPr>
        <w:rPr>
          <w:rFonts w:ascii="仿宋" w:hAnsi="仿宋" w:eastAsia="仿宋" w:cs="仿宋"/>
          <w:szCs w:val="21"/>
        </w:rPr>
      </w:pPr>
      <w:r>
        <w:rPr>
          <w:rFonts w:hint="eastAsia" w:ascii="仿宋" w:hAnsi="仿宋" w:eastAsia="仿宋" w:cs="仿宋"/>
          <w:sz w:val="24"/>
        </w:rPr>
        <w:t>注：对于“</w:t>
      </w:r>
      <w:r>
        <w:rPr>
          <w:rFonts w:hint="eastAsia" w:ascii="仿宋" w:hAnsi="仿宋" w:eastAsia="仿宋" w:cs="仿宋"/>
          <w:b/>
          <w:sz w:val="24"/>
        </w:rPr>
        <w:t>综合评分指引”</w:t>
      </w:r>
      <w:r>
        <w:rPr>
          <w:rFonts w:hint="eastAsia" w:ascii="仿宋" w:hAnsi="仿宋" w:eastAsia="仿宋" w:cs="仿宋"/>
          <w:sz w:val="24"/>
        </w:rPr>
        <w:t>请投标人按照第一册第二章的</w:t>
      </w:r>
      <w:r>
        <w:rPr>
          <w:rFonts w:hint="eastAsia" w:ascii="仿宋" w:hAnsi="仿宋" w:eastAsia="仿宋" w:cs="仿宋"/>
          <w:b/>
          <w:sz w:val="24"/>
        </w:rPr>
        <w:t>《评标信息》</w:t>
      </w:r>
      <w:r>
        <w:rPr>
          <w:rFonts w:hint="eastAsia" w:ascii="仿宋" w:hAnsi="仿宋" w:eastAsia="仿宋" w:cs="仿宋"/>
          <w:sz w:val="24"/>
        </w:rPr>
        <w:t>的评分要求，根据各评分项目以</w:t>
      </w:r>
      <w:r>
        <w:rPr>
          <w:rFonts w:hint="eastAsia" w:ascii="仿宋" w:hAnsi="仿宋" w:eastAsia="仿宋" w:cs="仿宋"/>
          <w:b/>
          <w:sz w:val="24"/>
        </w:rPr>
        <w:t>自上而下</w:t>
      </w:r>
      <w:r>
        <w:rPr>
          <w:rFonts w:hint="eastAsia" w:ascii="仿宋" w:hAnsi="仿宋" w:eastAsia="仿宋" w:cs="仿宋"/>
          <w:sz w:val="24"/>
        </w:rPr>
        <w:t>的顺序编制。因项目次序混乱而影响评标效率及评标结果者，投标人自负其责。</w:t>
      </w:r>
    </w:p>
    <w:p>
      <w:pPr>
        <w:rPr>
          <w:rFonts w:ascii="黑体" w:eastAsia="黑体"/>
          <w:sz w:val="28"/>
          <w:szCs w:val="28"/>
        </w:rPr>
      </w:pPr>
      <w:bookmarkStart w:id="245" w:name="_Toc9133"/>
      <w:r>
        <w:rPr>
          <w:rFonts w:hint="eastAsia" w:ascii="黑体" w:eastAsia="黑体"/>
          <w:sz w:val="28"/>
          <w:szCs w:val="28"/>
        </w:rPr>
        <w:br w:type="page"/>
      </w:r>
    </w:p>
    <w:p>
      <w:pPr>
        <w:pStyle w:val="4"/>
        <w:spacing w:before="120" w:after="120"/>
        <w:jc w:val="center"/>
      </w:pPr>
      <w:bookmarkStart w:id="246" w:name="_Toc17646"/>
      <w:bookmarkStart w:id="247" w:name="_Toc15791"/>
      <w:bookmarkStart w:id="248" w:name="_Toc1944"/>
      <w:bookmarkStart w:id="249" w:name="_Toc15436"/>
      <w:bookmarkStart w:id="250" w:name="_Toc542"/>
      <w:bookmarkStart w:id="251" w:name="_Toc24787"/>
      <w:r>
        <w:rPr>
          <w:rFonts w:hint="eastAsia" w:ascii="黑体" w:eastAsia="黑体"/>
          <w:sz w:val="28"/>
          <w:szCs w:val="28"/>
        </w:rPr>
        <w:t>二、投标函及承诺函</w:t>
      </w:r>
      <w:bookmarkEnd w:id="245"/>
      <w:bookmarkEnd w:id="246"/>
      <w:bookmarkEnd w:id="247"/>
      <w:bookmarkEnd w:id="248"/>
      <w:bookmarkEnd w:id="249"/>
      <w:bookmarkEnd w:id="250"/>
      <w:bookmarkEnd w:id="251"/>
    </w:p>
    <w:p>
      <w:pPr>
        <w:pStyle w:val="5"/>
        <w:jc w:val="center"/>
      </w:pPr>
      <w:r>
        <w:rPr>
          <w:rFonts w:hint="eastAsia"/>
        </w:rPr>
        <w:t>（一）投标函</w:t>
      </w:r>
    </w:p>
    <w:p>
      <w:pPr>
        <w:rPr>
          <w:rFonts w:ascii="宋体" w:hAnsi="宋体"/>
          <w:szCs w:val="21"/>
        </w:rPr>
      </w:pPr>
    </w:p>
    <w:p>
      <w:pPr>
        <w:rPr>
          <w:rFonts w:ascii="仿宋" w:hAnsi="仿宋" w:eastAsia="仿宋" w:cs="仿宋"/>
          <w:sz w:val="24"/>
        </w:rPr>
      </w:pPr>
      <w:r>
        <w:rPr>
          <w:rFonts w:hint="eastAsia" w:ascii="仿宋" w:hAnsi="仿宋" w:eastAsia="仿宋" w:cs="仿宋"/>
          <w:sz w:val="24"/>
        </w:rPr>
        <w:t>致友和保险经纪有限公司：</w:t>
      </w:r>
    </w:p>
    <w:p>
      <w:pPr>
        <w:ind w:firstLine="480" w:firstLineChars="200"/>
        <w:rPr>
          <w:rFonts w:ascii="仿宋" w:hAnsi="仿宋" w:eastAsia="仿宋" w:cs="仿宋"/>
          <w:sz w:val="24"/>
        </w:rPr>
      </w:pPr>
      <w:r>
        <w:rPr>
          <w:rFonts w:hint="eastAsia" w:ascii="仿宋" w:hAnsi="仿宋" w:eastAsia="仿宋" w:cs="仿宋"/>
          <w:sz w:val="24"/>
        </w:rPr>
        <w:t>根据贵方发布的</w:t>
      </w:r>
      <w:r>
        <w:rPr>
          <w:rFonts w:hint="eastAsia" w:ascii="仿宋" w:hAnsi="仿宋" w:eastAsia="仿宋" w:cs="仿宋"/>
          <w:sz w:val="24"/>
          <w:u w:val="single"/>
        </w:rPr>
        <w:t xml:space="preserve">                     （项目名称）</w:t>
      </w:r>
      <w:r>
        <w:rPr>
          <w:rFonts w:hint="eastAsia" w:ascii="仿宋" w:hAnsi="仿宋" w:eastAsia="仿宋" w:cs="仿宋"/>
          <w:sz w:val="24"/>
        </w:rPr>
        <w:t>的招标公告</w:t>
      </w:r>
      <w:r>
        <w:rPr>
          <w:rFonts w:hint="eastAsia" w:ascii="仿宋" w:hAnsi="仿宋" w:eastAsia="仿宋" w:cs="仿宋"/>
          <w:sz w:val="24"/>
          <w:u w:val="single"/>
        </w:rPr>
        <w:t>（项目编号为      ）</w:t>
      </w:r>
      <w:r>
        <w:rPr>
          <w:rFonts w:hint="eastAsia" w:ascii="仿宋" w:hAnsi="仿宋" w:eastAsia="仿宋" w:cs="仿宋"/>
          <w:sz w:val="24"/>
        </w:rPr>
        <w:t>，本人经我方法定代表人授权正式代表投标人（投标人的名称     ），提交下述投标文件正本1份，副本5份。</w:t>
      </w:r>
    </w:p>
    <w:p>
      <w:pPr>
        <w:rPr>
          <w:rFonts w:ascii="仿宋" w:hAnsi="仿宋" w:eastAsia="仿宋" w:cs="仿宋"/>
          <w:sz w:val="24"/>
        </w:rPr>
      </w:pPr>
      <w:r>
        <w:rPr>
          <w:rFonts w:hint="eastAsia" w:ascii="仿宋" w:hAnsi="仿宋" w:eastAsia="仿宋" w:cs="仿宋"/>
          <w:sz w:val="24"/>
        </w:rPr>
        <w:t xml:space="preserve">    据此函，本人代表投标方保证，所提供的全部资料是真实的。本人承诺：</w:t>
      </w:r>
    </w:p>
    <w:p>
      <w:pPr>
        <w:ind w:firstLine="480" w:firstLineChars="200"/>
        <w:rPr>
          <w:rFonts w:ascii="仿宋" w:hAnsi="仿宋" w:eastAsia="仿宋" w:cs="仿宋"/>
          <w:sz w:val="24"/>
        </w:rPr>
      </w:pPr>
      <w:r>
        <w:rPr>
          <w:rFonts w:hint="eastAsia" w:ascii="仿宋" w:hAnsi="仿宋" w:eastAsia="仿宋" w:cs="仿宋"/>
          <w:sz w:val="24"/>
        </w:rPr>
        <w:t>（1）我方愿以开标一览表中的投标报价并按招标文件要求承包上述项目并修补其任何缺陷；</w:t>
      </w:r>
    </w:p>
    <w:p>
      <w:pPr>
        <w:ind w:firstLine="480" w:firstLineChars="200"/>
        <w:rPr>
          <w:rFonts w:ascii="仿宋" w:hAnsi="仿宋" w:eastAsia="仿宋" w:cs="仿宋"/>
          <w:sz w:val="24"/>
        </w:rPr>
      </w:pPr>
      <w:r>
        <w:rPr>
          <w:rFonts w:hint="eastAsia" w:ascii="仿宋" w:hAnsi="仿宋" w:eastAsia="仿宋" w:cs="仿宋"/>
          <w:sz w:val="24"/>
        </w:rPr>
        <w:t>（2）我们承担根据招标文件的规定，完成合同的责任和义务。</w:t>
      </w:r>
    </w:p>
    <w:p>
      <w:pPr>
        <w:ind w:firstLine="480" w:firstLineChars="200"/>
        <w:rPr>
          <w:rFonts w:ascii="仿宋" w:hAnsi="仿宋" w:eastAsia="仿宋" w:cs="仿宋"/>
          <w:sz w:val="24"/>
        </w:rPr>
      </w:pPr>
      <w:r>
        <w:rPr>
          <w:rFonts w:hint="eastAsia" w:ascii="仿宋" w:hAnsi="仿宋" w:eastAsia="仿宋" w:cs="仿宋"/>
          <w:sz w:val="24"/>
        </w:rPr>
        <w:t>（3）我们已详细审核了全部招标文件，包括招标文件修改书（如果有的话），参考资料及有关附件，我们完全理解并同意放弃对这方面有不清楚或误解的问题的权利。</w:t>
      </w:r>
    </w:p>
    <w:p>
      <w:pPr>
        <w:ind w:firstLine="480" w:firstLineChars="200"/>
        <w:rPr>
          <w:rFonts w:ascii="仿宋" w:hAnsi="仿宋" w:eastAsia="仿宋" w:cs="仿宋"/>
          <w:sz w:val="24"/>
        </w:rPr>
      </w:pPr>
      <w:r>
        <w:rPr>
          <w:rFonts w:hint="eastAsia" w:ascii="仿宋" w:hAnsi="仿宋" w:eastAsia="仿宋" w:cs="仿宋"/>
          <w:sz w:val="24"/>
        </w:rPr>
        <w:t>（4）我们同意在第二册第20条规定的开标日期起遵循本投标文件，并在第二册第15条规定的投标有效期满之前均具有约束力，并有可能中标。</w:t>
      </w:r>
    </w:p>
    <w:p>
      <w:pPr>
        <w:ind w:firstLine="480" w:firstLineChars="200"/>
        <w:rPr>
          <w:rFonts w:ascii="仿宋" w:hAnsi="仿宋" w:eastAsia="仿宋" w:cs="仿宋"/>
          <w:sz w:val="24"/>
        </w:rPr>
      </w:pPr>
      <w:r>
        <w:rPr>
          <w:rFonts w:hint="eastAsia" w:ascii="仿宋" w:hAnsi="仿宋" w:eastAsia="仿宋" w:cs="仿宋"/>
          <w:sz w:val="24"/>
        </w:rPr>
        <w:t>（5）如果在开标后规定的投标有效期内撤回投标或在中标后放弃中标，我们的投标保证金将被贵方没收。</w:t>
      </w:r>
    </w:p>
    <w:p>
      <w:pPr>
        <w:ind w:firstLine="480" w:firstLineChars="200"/>
        <w:rPr>
          <w:rFonts w:ascii="仿宋" w:hAnsi="仿宋" w:eastAsia="仿宋" w:cs="仿宋"/>
          <w:sz w:val="24"/>
        </w:rPr>
      </w:pPr>
      <w:r>
        <w:rPr>
          <w:rFonts w:hint="eastAsia" w:ascii="仿宋" w:hAnsi="仿宋" w:eastAsia="仿宋" w:cs="仿宋"/>
          <w:sz w:val="24"/>
        </w:rPr>
        <w:t>（6）同意向贵方提供贵方可能要求的与本投标有关的任何证据或资料。</w:t>
      </w:r>
    </w:p>
    <w:p>
      <w:pPr>
        <w:ind w:firstLine="480" w:firstLineChars="200"/>
        <w:rPr>
          <w:rFonts w:ascii="仿宋" w:hAnsi="仿宋" w:eastAsia="仿宋" w:cs="仿宋"/>
          <w:sz w:val="24"/>
        </w:rPr>
      </w:pPr>
      <w:r>
        <w:rPr>
          <w:rFonts w:hint="eastAsia" w:ascii="仿宋" w:hAnsi="仿宋" w:eastAsia="仿宋" w:cs="仿宋"/>
          <w:sz w:val="24"/>
        </w:rPr>
        <w:t>（7）我们完全理解贵方不一定要接受最低报价的投标或收到的任何投标。</w:t>
      </w:r>
    </w:p>
    <w:p>
      <w:pPr>
        <w:ind w:firstLine="480" w:firstLineChars="200"/>
        <w:rPr>
          <w:rFonts w:ascii="仿宋" w:hAnsi="仿宋" w:eastAsia="仿宋" w:cs="仿宋"/>
          <w:sz w:val="24"/>
        </w:rPr>
      </w:pPr>
      <w:r>
        <w:rPr>
          <w:rFonts w:hint="eastAsia" w:ascii="仿宋" w:hAnsi="仿宋" w:eastAsia="仿宋" w:cs="仿宋"/>
          <w:sz w:val="24"/>
        </w:rPr>
        <w:t>（8）我方为本投标和中标后的合同实施要付给招标代理机构的招标代理服务费如下：</w:t>
      </w:r>
    </w:p>
    <w:p>
      <w:pPr>
        <w:ind w:firstLine="480" w:firstLineChars="200"/>
        <w:rPr>
          <w:rFonts w:ascii="仿宋" w:hAnsi="仿宋" w:eastAsia="仿宋" w:cs="仿宋"/>
          <w:sz w:val="24"/>
        </w:rPr>
      </w:pPr>
      <w:r>
        <w:rPr>
          <w:rFonts w:hint="eastAsia" w:ascii="仿宋" w:hAnsi="仿宋" w:eastAsia="仿宋" w:cs="仿宋"/>
          <w:sz w:val="24"/>
        </w:rPr>
        <w:t>招标代理机构的名称：友和保险经纪有限公司</w:t>
      </w:r>
    </w:p>
    <w:p>
      <w:pPr>
        <w:ind w:firstLine="480" w:firstLineChars="200"/>
        <w:rPr>
          <w:rFonts w:ascii="仿宋" w:hAnsi="仿宋" w:eastAsia="仿宋" w:cs="仿宋"/>
          <w:sz w:val="24"/>
        </w:rPr>
      </w:pPr>
      <w:r>
        <w:rPr>
          <w:rFonts w:hint="eastAsia" w:ascii="仿宋" w:hAnsi="仿宋" w:eastAsia="仿宋" w:cs="仿宋"/>
          <w:sz w:val="24"/>
        </w:rPr>
        <w:t>招标代理服务费：按第二册第40条“招标代理服务费”标准支付。</w:t>
      </w:r>
    </w:p>
    <w:p>
      <w:pPr>
        <w:ind w:firstLine="480" w:firstLineChars="200"/>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与本投标有关的正式通信方式：</w:t>
      </w:r>
    </w:p>
    <w:p>
      <w:pPr>
        <w:ind w:firstLine="480" w:firstLineChars="200"/>
        <w:rPr>
          <w:rFonts w:ascii="仿宋" w:hAnsi="仿宋" w:eastAsia="仿宋" w:cs="仿宋"/>
          <w:sz w:val="24"/>
          <w:u w:val="single"/>
        </w:rPr>
      </w:pPr>
      <w:r>
        <w:rPr>
          <w:rFonts w:hint="eastAsia" w:ascii="仿宋" w:hAnsi="仿宋" w:eastAsia="仿宋" w:cs="仿宋"/>
          <w:sz w:val="24"/>
        </w:rPr>
        <w:t>地址：                                           邮政编码：</w:t>
      </w:r>
    </w:p>
    <w:p>
      <w:pPr>
        <w:ind w:firstLine="480" w:firstLineChars="200"/>
        <w:rPr>
          <w:rFonts w:ascii="仿宋" w:hAnsi="仿宋" w:eastAsia="仿宋" w:cs="仿宋"/>
          <w:sz w:val="24"/>
          <w:u w:val="single"/>
        </w:rPr>
      </w:pPr>
      <w:r>
        <w:rPr>
          <w:rFonts w:hint="eastAsia" w:ascii="仿宋" w:hAnsi="仿宋" w:eastAsia="仿宋" w:cs="仿宋"/>
          <w:sz w:val="24"/>
        </w:rPr>
        <w:t>电话、手机、传真或电传：</w:t>
      </w:r>
    </w:p>
    <w:p>
      <w:pPr>
        <w:ind w:firstLine="5800" w:firstLineChars="2417"/>
        <w:rPr>
          <w:rFonts w:ascii="仿宋" w:hAnsi="仿宋" w:eastAsia="仿宋" w:cs="仿宋"/>
          <w:sz w:val="24"/>
        </w:rPr>
      </w:pPr>
    </w:p>
    <w:p>
      <w:pPr>
        <w:ind w:firstLine="5800" w:firstLineChars="2417"/>
        <w:rPr>
          <w:rFonts w:ascii="仿宋" w:hAnsi="仿宋" w:eastAsia="仿宋" w:cs="仿宋"/>
          <w:sz w:val="24"/>
        </w:rPr>
      </w:pPr>
    </w:p>
    <w:p>
      <w:pPr>
        <w:ind w:firstLine="5800" w:firstLineChars="2417"/>
        <w:rPr>
          <w:rFonts w:ascii="仿宋" w:hAnsi="仿宋" w:eastAsia="仿宋" w:cs="仿宋"/>
          <w:sz w:val="24"/>
        </w:rPr>
      </w:pPr>
    </w:p>
    <w:p>
      <w:pPr>
        <w:ind w:firstLine="3600" w:firstLineChars="1500"/>
        <w:jc w:val="left"/>
        <w:rPr>
          <w:rFonts w:ascii="仿宋" w:hAnsi="仿宋" w:eastAsia="仿宋" w:cs="仿宋"/>
          <w:sz w:val="24"/>
        </w:rPr>
      </w:pPr>
      <w:r>
        <w:rPr>
          <w:rFonts w:hint="eastAsia" w:ascii="仿宋" w:hAnsi="仿宋" w:eastAsia="仿宋" w:cs="仿宋"/>
          <w:sz w:val="24"/>
        </w:rPr>
        <w:t>法定代表人或其授权委托人（</w:t>
      </w:r>
      <w:r>
        <w:rPr>
          <w:rFonts w:hint="eastAsia" w:ascii="仿宋" w:hAnsi="仿宋" w:eastAsia="仿宋" w:cs="仿宋"/>
          <w:b/>
          <w:sz w:val="24"/>
        </w:rPr>
        <w:t>签名或盖私章</w:t>
      </w:r>
      <w:r>
        <w:rPr>
          <w:rFonts w:hint="eastAsia" w:ascii="仿宋" w:hAnsi="仿宋" w:eastAsia="仿宋" w:cs="仿宋"/>
          <w:sz w:val="24"/>
        </w:rPr>
        <w:t>）：</w:t>
      </w:r>
    </w:p>
    <w:p>
      <w:pPr>
        <w:jc w:val="left"/>
        <w:rPr>
          <w:rFonts w:ascii="仿宋" w:hAnsi="仿宋" w:eastAsia="仿宋" w:cs="仿宋"/>
          <w:sz w:val="24"/>
        </w:rPr>
      </w:pPr>
    </w:p>
    <w:p>
      <w:pPr>
        <w:ind w:firstLine="3600" w:firstLineChars="1500"/>
        <w:jc w:val="lef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b/>
          <w:sz w:val="24"/>
        </w:rPr>
        <w:t>盖公章</w:t>
      </w:r>
      <w:r>
        <w:rPr>
          <w:rFonts w:hint="eastAsia" w:ascii="仿宋" w:hAnsi="仿宋" w:eastAsia="仿宋" w:cs="仿宋"/>
          <w:sz w:val="24"/>
        </w:rPr>
        <w:t>）：</w:t>
      </w:r>
    </w:p>
    <w:p>
      <w:pPr>
        <w:jc w:val="left"/>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p>
    <w:p>
      <w:pPr>
        <w:pStyle w:val="5"/>
        <w:jc w:val="center"/>
      </w:pPr>
      <w:r>
        <w:br w:type="page"/>
      </w:r>
      <w:r>
        <w:rPr>
          <w:rFonts w:hint="eastAsia"/>
        </w:rPr>
        <w:t>（二）政府采购投标及履约承诺函</w:t>
      </w:r>
    </w:p>
    <w:p>
      <w:pPr>
        <w:ind w:firstLine="480" w:firstLineChars="200"/>
        <w:rPr>
          <w:rFonts w:ascii="仿宋" w:hAnsi="仿宋" w:eastAsia="仿宋" w:cs="仿宋"/>
          <w:sz w:val="24"/>
        </w:rPr>
      </w:pPr>
      <w:r>
        <w:rPr>
          <w:rFonts w:hint="eastAsia" w:ascii="仿宋" w:hAnsi="仿宋" w:eastAsia="仿宋" w:cs="仿宋"/>
          <w:sz w:val="24"/>
        </w:rPr>
        <w:t>致友和保险经纪有限公司：</w:t>
      </w:r>
    </w:p>
    <w:p>
      <w:pPr>
        <w:ind w:firstLine="480" w:firstLineChars="200"/>
        <w:rPr>
          <w:rFonts w:ascii="仿宋" w:hAnsi="仿宋" w:eastAsia="仿宋" w:cs="仿宋"/>
          <w:sz w:val="24"/>
        </w:rPr>
      </w:pPr>
      <w:r>
        <w:rPr>
          <w:rFonts w:hint="eastAsia" w:ascii="仿宋" w:hAnsi="仿宋" w:eastAsia="仿宋" w:cs="仿宋"/>
          <w:sz w:val="24"/>
        </w:rPr>
        <w:t>我公司承诺：</w:t>
      </w:r>
    </w:p>
    <w:p>
      <w:pPr>
        <w:ind w:firstLine="480" w:firstLineChars="200"/>
        <w:rPr>
          <w:rFonts w:ascii="仿宋" w:hAnsi="仿宋" w:eastAsia="仿宋" w:cs="仿宋"/>
          <w:sz w:val="24"/>
        </w:rPr>
      </w:pPr>
      <w:r>
        <w:rPr>
          <w:rFonts w:hint="eastAsia" w:ascii="仿宋" w:hAnsi="仿宋" w:eastAsia="仿宋" w:cs="仿宋"/>
          <w:sz w:val="24"/>
        </w:rPr>
        <w:t>1.我公司已完全理解该项目招标公告所列明的全部条件，亦保证我公司完全符合本项目的投标条件。</w:t>
      </w:r>
    </w:p>
    <w:p>
      <w:pPr>
        <w:ind w:firstLine="480" w:firstLineChars="200"/>
        <w:rPr>
          <w:rFonts w:ascii="仿宋" w:hAnsi="仿宋" w:eastAsia="仿宋" w:cs="仿宋"/>
          <w:sz w:val="24"/>
        </w:rPr>
      </w:pPr>
      <w:r>
        <w:rPr>
          <w:rFonts w:hint="eastAsia" w:ascii="仿宋" w:hAnsi="仿宋" w:eastAsia="仿宋" w:cs="仿宋"/>
          <w:sz w:val="24"/>
        </w:rPr>
        <w:t>2.我公司严格按照贵方提供的标书样本填写和提交相关内容，保证所提交的投标资料全部真实有效，并愿意向贵方及采购人提供任何与本项目有关的数据、情况和技术资料。</w:t>
      </w:r>
    </w:p>
    <w:p>
      <w:pPr>
        <w:ind w:firstLine="480" w:firstLineChars="200"/>
        <w:rPr>
          <w:rFonts w:ascii="仿宋" w:hAnsi="仿宋" w:eastAsia="仿宋" w:cs="仿宋"/>
          <w:sz w:val="24"/>
        </w:rPr>
      </w:pPr>
      <w:r>
        <w:rPr>
          <w:rFonts w:hint="eastAsia" w:ascii="仿宋" w:hAnsi="仿宋" w:eastAsia="仿宋" w:cs="仿宋"/>
          <w:sz w:val="24"/>
        </w:rPr>
        <w:t>3.我公司对本招标项目所提供的货物、工程或服务未侵犯知识产权。我公司已清楚，提供虚假承诺或者被有关单位确认为侵犯知识产权的，三年内不得参加政府采购活动。</w:t>
      </w:r>
    </w:p>
    <w:p>
      <w:pPr>
        <w:ind w:firstLine="480" w:firstLineChars="200"/>
        <w:rPr>
          <w:rFonts w:ascii="仿宋" w:hAnsi="仿宋" w:eastAsia="仿宋" w:cs="仿宋"/>
          <w:sz w:val="24"/>
        </w:rPr>
      </w:pPr>
      <w:r>
        <w:rPr>
          <w:rFonts w:hint="eastAsia" w:ascii="仿宋" w:hAnsi="仿宋" w:eastAsia="仿宋" w:cs="仿宋"/>
          <w:sz w:val="24"/>
        </w:rPr>
        <w:t>4.我公司参与本项目投标前三年内，在经营活动中没有重大违法记录。</w:t>
      </w:r>
    </w:p>
    <w:p>
      <w:pPr>
        <w:ind w:firstLine="480" w:firstLineChars="200"/>
        <w:rPr>
          <w:rFonts w:ascii="仿宋" w:hAnsi="仿宋" w:eastAsia="仿宋" w:cs="仿宋"/>
          <w:sz w:val="24"/>
        </w:rPr>
      </w:pPr>
      <w:r>
        <w:rPr>
          <w:rFonts w:hint="eastAsia" w:ascii="仿宋" w:hAnsi="仿宋" w:eastAsia="仿宋" w:cs="仿宋"/>
          <w:sz w:val="24"/>
        </w:rPr>
        <w:t>5.我公司参与本项目政府采购活动时不存在被有关部门禁止参与政府采购活动且在有效期内的情况。</w:t>
      </w:r>
    </w:p>
    <w:p>
      <w:pPr>
        <w:ind w:firstLine="480" w:firstLineChars="200"/>
        <w:rPr>
          <w:rFonts w:ascii="仿宋" w:hAnsi="仿宋" w:eastAsia="仿宋" w:cs="仿宋"/>
          <w:sz w:val="24"/>
        </w:rPr>
      </w:pPr>
      <w:r>
        <w:rPr>
          <w:rFonts w:hint="eastAsia" w:ascii="仿宋" w:hAnsi="仿宋" w:eastAsia="仿宋" w:cs="仿宋"/>
          <w:sz w:val="24"/>
        </w:rPr>
        <w:t>6.我公司具备《中华人民共和国政府采购法》第二十二条第一款的条件。</w:t>
      </w:r>
    </w:p>
    <w:p>
      <w:pPr>
        <w:ind w:firstLine="480" w:firstLineChars="200"/>
        <w:rPr>
          <w:rFonts w:ascii="仿宋" w:hAnsi="仿宋" w:eastAsia="仿宋" w:cs="仿宋"/>
          <w:sz w:val="24"/>
        </w:rPr>
      </w:pPr>
      <w:r>
        <w:rPr>
          <w:rFonts w:hint="eastAsia" w:ascii="仿宋" w:hAnsi="仿宋" w:eastAsia="仿宋" w:cs="仿宋"/>
          <w:sz w:val="24"/>
        </w:rPr>
        <w:t>7.我公司未被列入失信被执行人、重大税收违法案件失信主体、政府采购严重违法失信行为记录名单。</w:t>
      </w:r>
    </w:p>
    <w:p>
      <w:pPr>
        <w:ind w:firstLine="480" w:firstLineChars="200"/>
        <w:rPr>
          <w:rFonts w:ascii="仿宋" w:hAnsi="仿宋" w:eastAsia="仿宋" w:cs="仿宋"/>
          <w:sz w:val="24"/>
        </w:rPr>
      </w:pPr>
      <w:r>
        <w:rPr>
          <w:rFonts w:hint="eastAsia" w:ascii="仿宋" w:hAnsi="仿宋" w:eastAsia="仿宋" w:cs="仿宋"/>
          <w:sz w:val="24"/>
        </w:rPr>
        <w:t>8.我公司参与该项目投标，严格遵守政府采购相关法律，不造假，不围标、串标、陪标。我公司已清楚，如违反上述要求，投标将作无效处理，被列入不良记录名单并在网上曝光，同时将被提请政府采购主管部门给予一定年限内禁止参与政府采购活动或其他处罚。</w:t>
      </w:r>
    </w:p>
    <w:p>
      <w:pPr>
        <w:ind w:firstLine="480" w:firstLineChars="200"/>
        <w:rPr>
          <w:rFonts w:ascii="仿宋" w:hAnsi="仿宋" w:eastAsia="仿宋" w:cs="仿宋"/>
          <w:sz w:val="24"/>
        </w:rPr>
      </w:pPr>
      <w:r>
        <w:rPr>
          <w:rFonts w:hint="eastAsia" w:ascii="仿宋" w:hAnsi="仿宋" w:eastAsia="仿宋" w:cs="仿宋"/>
          <w:sz w:val="24"/>
        </w:rPr>
        <w:t>9.我公司如果中标，做到守信，不偷工减料，依照本项目招标文件需求内容、签署的采购合同及本公司在投标中所作的一切承诺履约。我公司对本项目的报价负责，中标后将严格按照本项目招标文件需求、签署的采购合同及我公司在投标中所作的全部承诺履行。</w:t>
      </w:r>
    </w:p>
    <w:p>
      <w:pPr>
        <w:ind w:firstLine="480" w:firstLineChars="200"/>
        <w:rPr>
          <w:rFonts w:ascii="仿宋" w:hAnsi="仿宋" w:eastAsia="仿宋" w:cs="仿宋"/>
          <w:sz w:val="24"/>
        </w:rPr>
      </w:pPr>
      <w:r>
        <w:rPr>
          <w:rFonts w:hint="eastAsia" w:ascii="仿宋" w:hAnsi="仿宋" w:eastAsia="仿宋" w:cs="仿宋"/>
          <w:sz w:val="24"/>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ind w:firstLine="480" w:firstLineChars="200"/>
        <w:rPr>
          <w:rFonts w:ascii="仿宋" w:hAnsi="仿宋" w:eastAsia="仿宋" w:cs="仿宋"/>
          <w:sz w:val="24"/>
        </w:rPr>
      </w:pPr>
      <w:r>
        <w:rPr>
          <w:rFonts w:hint="eastAsia" w:ascii="仿宋" w:hAnsi="仿宋" w:eastAsia="仿宋" w:cs="仿宋"/>
          <w:sz w:val="24"/>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ind w:firstLine="480" w:firstLineChars="200"/>
        <w:rPr>
          <w:rFonts w:ascii="仿宋" w:hAnsi="仿宋" w:eastAsia="仿宋" w:cs="仿宋"/>
          <w:sz w:val="24"/>
        </w:rPr>
      </w:pPr>
      <w:r>
        <w:rPr>
          <w:rFonts w:hint="eastAsia" w:ascii="仿宋" w:hAnsi="仿宋" w:eastAsia="仿宋" w:cs="仿宋"/>
          <w:sz w:val="24"/>
        </w:rPr>
        <w:t>11.我公司承诺不以联合体投标，不选用口产品参与投标,中标后项目不转包，未经采购人同意不进行分包。</w:t>
      </w:r>
    </w:p>
    <w:p>
      <w:pPr>
        <w:ind w:firstLine="480" w:firstLineChars="200"/>
        <w:rPr>
          <w:rFonts w:ascii="仿宋" w:hAnsi="仿宋" w:eastAsia="仿宋" w:cs="仿宋"/>
          <w:sz w:val="24"/>
        </w:rPr>
      </w:pPr>
      <w:r>
        <w:rPr>
          <w:rFonts w:hint="eastAsia" w:ascii="仿宋" w:hAnsi="仿宋" w:eastAsia="仿宋" w:cs="仿宋"/>
          <w:sz w:val="24"/>
        </w:rPr>
        <w:t>12.我公司不存在单位法定代表人（负责人）为同一人或者存在直接控股、管理关系的不同供应商，同时参加本项目投标之情形；我公司未为本项目提供过整体设计、规范编制或者项目管理、监理、检测等服务。</w:t>
      </w:r>
    </w:p>
    <w:p>
      <w:pPr>
        <w:ind w:firstLine="480" w:firstLineChars="200"/>
        <w:rPr>
          <w:rFonts w:ascii="仿宋" w:hAnsi="仿宋" w:eastAsia="仿宋" w:cs="仿宋"/>
          <w:sz w:val="24"/>
        </w:rPr>
      </w:pPr>
      <w:r>
        <w:rPr>
          <w:rFonts w:hint="eastAsia" w:ascii="仿宋" w:hAnsi="仿宋" w:eastAsia="仿宋" w:cs="仿宋"/>
          <w:sz w:val="24"/>
        </w:rPr>
        <w:t>以上承诺，如有违反，愿依照国家相关法律法规处理，并承担由此给采购人带来的损失。</w:t>
      </w:r>
    </w:p>
    <w:p>
      <w:pPr>
        <w:ind w:firstLine="4320" w:firstLineChars="1800"/>
        <w:rPr>
          <w:rFonts w:ascii="仿宋" w:hAnsi="仿宋" w:eastAsia="仿宋" w:cs="仿宋"/>
          <w:sz w:val="24"/>
        </w:rPr>
      </w:pPr>
      <w:r>
        <w:rPr>
          <w:rFonts w:hint="eastAsia" w:ascii="仿宋" w:hAnsi="仿宋" w:eastAsia="仿宋" w:cs="仿宋"/>
          <w:sz w:val="24"/>
        </w:rPr>
        <w:t>法定代表人或其授权委托人（签名）：</w:t>
      </w:r>
    </w:p>
    <w:p>
      <w:pPr>
        <w:ind w:firstLine="4320" w:firstLineChars="1800"/>
        <w:rPr>
          <w:rFonts w:ascii="仿宋" w:hAnsi="仿宋" w:eastAsia="仿宋" w:cs="仿宋"/>
          <w:sz w:val="24"/>
        </w:rPr>
      </w:pPr>
      <w:r>
        <w:rPr>
          <w:rFonts w:hint="eastAsia" w:ascii="仿宋" w:hAnsi="仿宋" w:eastAsia="仿宋" w:cs="仿宋"/>
          <w:sz w:val="24"/>
        </w:rPr>
        <w:t>投标单位（盖公章）：</w:t>
      </w:r>
    </w:p>
    <w:p>
      <w:pPr>
        <w:rPr>
          <w:rFonts w:ascii="仿宋" w:hAnsi="仿宋" w:eastAsia="仿宋" w:cs="仿宋"/>
          <w:sz w:val="24"/>
        </w:rPr>
      </w:pPr>
    </w:p>
    <w:p>
      <w:pPr>
        <w:rPr>
          <w:rFonts w:ascii="Arial" w:hAnsi="Arial" w:eastAsia="黑体"/>
          <w:b/>
          <w:bCs/>
          <w:kern w:val="0"/>
          <w:sz w:val="28"/>
          <w:szCs w:val="28"/>
        </w:rPr>
      </w:pPr>
      <w:r>
        <w:rPr>
          <w:rFonts w:hint="eastAsia" w:ascii="Arial" w:hAnsi="Arial" w:eastAsia="黑体"/>
          <w:b/>
          <w:bCs/>
          <w:kern w:val="0"/>
          <w:sz w:val="28"/>
          <w:szCs w:val="28"/>
        </w:rPr>
        <w:br w:type="page"/>
      </w:r>
    </w:p>
    <w:p>
      <w:pPr>
        <w:spacing w:line="240" w:lineRule="atLeast"/>
        <w:jc w:val="center"/>
        <w:outlineLvl w:val="3"/>
        <w:rPr>
          <w:rFonts w:ascii="Arial" w:hAnsi="Arial" w:eastAsia="黑体"/>
          <w:b/>
          <w:bCs/>
          <w:kern w:val="0"/>
          <w:sz w:val="28"/>
          <w:szCs w:val="28"/>
        </w:rPr>
      </w:pPr>
      <w:r>
        <w:rPr>
          <w:rFonts w:hint="eastAsia" w:ascii="Arial" w:hAnsi="Arial" w:eastAsia="黑体"/>
          <w:b/>
          <w:bCs/>
          <w:kern w:val="0"/>
          <w:sz w:val="28"/>
          <w:szCs w:val="28"/>
        </w:rPr>
        <w:t>（三）诚信承诺函</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kern w:val="0"/>
          <w:sz w:val="24"/>
        </w:rPr>
        <w:t>友和保险经纪有限公司：</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我公司承诺近三年在采购招标投标活动中，不存在以下情形：</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（一）被纪检监察部门立案调查，违法违规事实成立的；</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（二）未按本条例规定签订、履行采购合同，造成严重后果的；</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（三）隐瞒真实情况，提供虚假资料的；</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（四）以非法手段排斥其他供应商参与竞争的；</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（五）与其他采购参加人串通投标的；</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 xml:space="preserve">（六）在采购活动中应当回避而未回避的； </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 xml:space="preserve">（七）恶意投诉的； </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 xml:space="preserve">（八）向采购项目相关人行贿或者提供其他不当利益的； </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（九）阻碍、抗拒主管部门监督检查的；</w:t>
      </w:r>
    </w:p>
    <w:p>
      <w:pPr>
        <w:pStyle w:val="31"/>
        <w:tabs>
          <w:tab w:val="left" w:pos="567"/>
        </w:tabs>
        <w:spacing w:line="360" w:lineRule="auto"/>
        <w:ind w:left="420"/>
        <w:rPr>
          <w:rFonts w:ascii="仿宋" w:hAnsi="仿宋" w:eastAsia="仿宋" w:cs="仿宋"/>
          <w:b w:val="0"/>
          <w:szCs w:val="24"/>
        </w:rPr>
      </w:pPr>
      <w:r>
        <w:rPr>
          <w:rFonts w:hint="eastAsia" w:ascii="仿宋" w:hAnsi="仿宋" w:eastAsia="仿宋" w:cs="仿宋"/>
          <w:b w:val="0"/>
          <w:szCs w:val="24"/>
        </w:rPr>
        <w:t>（十）履约检查不合格或者评价为差的；</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（十一）主管部门认定的其他情形。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特此承诺。</w:t>
      </w:r>
    </w:p>
    <w:p>
      <w:pPr>
        <w:spacing w:line="360" w:lineRule="auto"/>
        <w:jc w:val="right"/>
        <w:rPr>
          <w:rFonts w:ascii="仿宋" w:hAnsi="仿宋" w:eastAsia="仿宋" w:cs="仿宋"/>
          <w:sz w:val="24"/>
        </w:rPr>
      </w:pPr>
    </w:p>
    <w:p>
      <w:pPr>
        <w:ind w:firstLine="3600" w:firstLineChars="1500"/>
        <w:jc w:val="left"/>
        <w:rPr>
          <w:rFonts w:ascii="仿宋" w:hAnsi="仿宋" w:eastAsia="仿宋" w:cs="仿宋"/>
          <w:sz w:val="24"/>
        </w:rPr>
      </w:pPr>
      <w:r>
        <w:rPr>
          <w:rFonts w:hint="eastAsia" w:ascii="仿宋" w:hAnsi="仿宋" w:eastAsia="仿宋" w:cs="仿宋"/>
          <w:sz w:val="24"/>
        </w:rPr>
        <w:t>法定代表人或其授权委托人（</w:t>
      </w:r>
      <w:r>
        <w:rPr>
          <w:rFonts w:hint="eastAsia" w:ascii="仿宋" w:hAnsi="仿宋" w:eastAsia="仿宋" w:cs="仿宋"/>
          <w:b/>
          <w:sz w:val="24"/>
        </w:rPr>
        <w:t>签名或盖私章</w:t>
      </w:r>
      <w:r>
        <w:rPr>
          <w:rFonts w:hint="eastAsia" w:ascii="仿宋" w:hAnsi="仿宋" w:eastAsia="仿宋" w:cs="仿宋"/>
          <w:sz w:val="24"/>
        </w:rPr>
        <w:t>）：</w:t>
      </w:r>
    </w:p>
    <w:p>
      <w:pPr>
        <w:jc w:val="left"/>
        <w:rPr>
          <w:rFonts w:ascii="仿宋" w:hAnsi="仿宋" w:eastAsia="仿宋" w:cs="仿宋"/>
          <w:sz w:val="24"/>
        </w:rPr>
      </w:pPr>
    </w:p>
    <w:p>
      <w:pPr>
        <w:ind w:firstLine="3600" w:firstLineChars="1500"/>
        <w:jc w:val="lef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b/>
          <w:sz w:val="24"/>
        </w:rPr>
        <w:t>盖公章</w:t>
      </w:r>
      <w:r>
        <w:rPr>
          <w:rFonts w:hint="eastAsia" w:ascii="仿宋" w:hAnsi="仿宋" w:eastAsia="仿宋" w:cs="仿宋"/>
          <w:sz w:val="24"/>
        </w:rPr>
        <w:t>）：</w:t>
      </w:r>
    </w:p>
    <w:p>
      <w:pPr>
        <w:jc w:val="left"/>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日期：    年  月  日</w:t>
      </w:r>
    </w:p>
    <w:p>
      <w:pPr>
        <w:pStyle w:val="2"/>
      </w:pPr>
    </w:p>
    <w:p>
      <w:pPr>
        <w:spacing w:line="240" w:lineRule="atLeast"/>
        <w:jc w:val="center"/>
        <w:outlineLvl w:val="3"/>
        <w:rPr>
          <w:rFonts w:ascii="Arial" w:hAnsi="Arial" w:eastAsia="黑体"/>
          <w:b/>
          <w:bCs/>
          <w:kern w:val="0"/>
          <w:sz w:val="28"/>
          <w:szCs w:val="28"/>
        </w:rPr>
      </w:pPr>
      <w:r>
        <w:rPr>
          <w:rFonts w:hint="eastAsia" w:ascii="Arial" w:hAnsi="Arial" w:eastAsia="黑体"/>
          <w:b/>
          <w:bCs/>
          <w:kern w:val="0"/>
          <w:sz w:val="28"/>
          <w:szCs w:val="28"/>
        </w:rPr>
        <w:t>（四）中小企业声明函及残疾人福利性单位声明函</w:t>
      </w:r>
    </w:p>
    <w:p>
      <w:pPr>
        <w:spacing w:line="240" w:lineRule="atLeast"/>
        <w:rPr>
          <w:rFonts w:ascii="仿宋" w:hAnsi="仿宋" w:eastAsia="仿宋" w:cs="仿宋"/>
          <w:szCs w:val="21"/>
        </w:rPr>
      </w:pPr>
      <w:r>
        <w:rPr>
          <w:rFonts w:hint="eastAsia" w:ascii="仿宋" w:hAnsi="仿宋" w:eastAsia="仿宋" w:cs="仿宋"/>
          <w:szCs w:val="21"/>
        </w:rPr>
        <w:t>（或省级以上监狱管理局、戒毒管理局（含新疆生产建设兵团）出具的属于监狱企业的证明文件）</w:t>
      </w:r>
    </w:p>
    <w:p>
      <w:pPr>
        <w:spacing w:line="240" w:lineRule="atLeast"/>
        <w:rPr>
          <w:rFonts w:ascii="仿宋" w:hAnsi="仿宋" w:eastAsia="仿宋" w:cs="仿宋"/>
          <w:szCs w:val="21"/>
        </w:rPr>
      </w:pPr>
      <w:r>
        <w:rPr>
          <w:rFonts w:hint="eastAsia" w:ascii="仿宋" w:hAnsi="仿宋" w:eastAsia="仿宋" w:cs="仿宋"/>
          <w:szCs w:val="21"/>
        </w:rPr>
        <w:t>（如投标人不属于上述企业，此项填“无”。）</w:t>
      </w:r>
    </w:p>
    <w:p>
      <w:pPr>
        <w:jc w:val="center"/>
        <w:rPr>
          <w:rFonts w:ascii="仿宋" w:hAnsi="仿宋" w:eastAsia="仿宋" w:cs="仿宋"/>
          <w:b/>
          <w:szCs w:val="21"/>
        </w:rPr>
      </w:pPr>
      <w:r>
        <w:rPr>
          <w:rFonts w:hint="eastAsia" w:ascii="仿宋" w:hAnsi="仿宋" w:eastAsia="仿宋" w:cs="仿宋"/>
          <w:b/>
          <w:szCs w:val="21"/>
        </w:rPr>
        <w:t>（1）中小企业声明函(服务）</w:t>
      </w:r>
    </w:p>
    <w:p>
      <w:pPr>
        <w:spacing w:line="260" w:lineRule="auto"/>
        <w:ind w:firstLine="420" w:firstLineChars="200"/>
        <w:jc w:val="left"/>
        <w:rPr>
          <w:rFonts w:ascii="仿宋" w:hAnsi="仿宋" w:eastAsia="仿宋" w:cs="仿宋"/>
          <w:szCs w:val="21"/>
        </w:rPr>
      </w:pPr>
      <w:r>
        <w:rPr>
          <w:rFonts w:hint="eastAsia" w:ascii="仿宋" w:hAnsi="仿宋" w:eastAsia="仿宋" w:cs="仿宋"/>
          <w:szCs w:val="21"/>
        </w:rPr>
        <w:t>本公司郑重声明，根据《政府采购促进中小企业发展管理办法》（财库﹝2020﹞46 号）的规定，本公司参加</w:t>
      </w:r>
      <w:r>
        <w:rPr>
          <w:rFonts w:hint="eastAsia" w:ascii="仿宋" w:hAnsi="仿宋" w:eastAsia="仿宋" w:cs="仿宋"/>
          <w:szCs w:val="21"/>
          <w:u w:val="single"/>
        </w:rPr>
        <w:t xml:space="preserve">   深圳市前海深港现代服务业合作区管理局   </w:t>
      </w:r>
      <w:r>
        <w:rPr>
          <w:rFonts w:hint="eastAsia" w:ascii="仿宋" w:hAnsi="仿宋" w:eastAsia="仿宋" w:cs="仿宋"/>
          <w:szCs w:val="21"/>
        </w:rPr>
        <w:t xml:space="preserve">的 </w:t>
      </w:r>
      <w:r>
        <w:rPr>
          <w:rFonts w:hint="eastAsia" w:ascii="仿宋" w:hAnsi="仿宋" w:eastAsia="仿宋" w:cs="仿宋"/>
          <w:szCs w:val="21"/>
          <w:u w:val="single"/>
        </w:rPr>
        <w:t>前海合作区土地供应2024年度分布指引及项目库构建</w:t>
      </w:r>
      <w:r>
        <w:rPr>
          <w:rFonts w:hint="eastAsia" w:ascii="仿宋" w:hAnsi="仿宋" w:eastAsia="仿宋" w:cs="仿宋"/>
          <w:szCs w:val="21"/>
        </w:rPr>
        <w:t>采购活动，服务全部由符合政策要求的中小企业承接。本企业的具体情况如下：</w:t>
      </w:r>
    </w:p>
    <w:p>
      <w:pPr>
        <w:spacing w:line="260" w:lineRule="auto"/>
        <w:ind w:firstLine="420" w:firstLineChars="200"/>
        <w:rPr>
          <w:rFonts w:ascii="仿宋" w:hAnsi="仿宋" w:eastAsia="仿宋" w:cs="仿宋"/>
          <w:szCs w:val="21"/>
        </w:rPr>
      </w:pPr>
      <w:r>
        <w:rPr>
          <w:rFonts w:hint="eastAsia" w:ascii="仿宋" w:hAnsi="仿宋" w:eastAsia="仿宋" w:cs="仿宋"/>
          <w:szCs w:val="21"/>
          <w:u w:val="single"/>
        </w:rPr>
        <w:t xml:space="preserve">1. 前海合作区土地供应2024年度分布指引及项目库构建   </w:t>
      </w:r>
      <w:r>
        <w:rPr>
          <w:rFonts w:hint="eastAsia" w:ascii="仿宋" w:hAnsi="仿宋" w:eastAsia="仿宋" w:cs="仿宋"/>
          <w:szCs w:val="21"/>
        </w:rPr>
        <w:t>，属于</w:t>
      </w:r>
      <w:r>
        <w:rPr>
          <w:rFonts w:hint="eastAsia" w:ascii="仿宋" w:hAnsi="仿宋" w:eastAsia="仿宋" w:cs="仿宋"/>
          <w:szCs w:val="21"/>
          <w:u w:val="single"/>
        </w:rPr>
        <w:t xml:space="preserve">  其他未列明行业   </w:t>
      </w:r>
      <w:r>
        <w:rPr>
          <w:rFonts w:hint="eastAsia" w:ascii="仿宋" w:hAnsi="仿宋" w:eastAsia="仿宋" w:cs="仿宋"/>
          <w:szCs w:val="21"/>
        </w:rPr>
        <w:t>； 承建（承接）企业为</w:t>
      </w:r>
      <w:r>
        <w:rPr>
          <w:rFonts w:hint="eastAsia" w:ascii="仿宋" w:hAnsi="仿宋" w:eastAsia="仿宋" w:cs="仿宋"/>
          <w:szCs w:val="21"/>
          <w:u w:val="single"/>
        </w:rPr>
        <w:t xml:space="preserve">  （企业名称）  </w:t>
      </w:r>
      <w:r>
        <w:rPr>
          <w:rFonts w:hint="eastAsia" w:ascii="仿宋" w:hAnsi="仿宋" w:eastAsia="仿宋" w:cs="仿宋"/>
          <w:szCs w:val="21"/>
        </w:rPr>
        <w:t>，从业人员人，营业收入为 万元，资产总额为 万元，属于</w:t>
      </w:r>
      <w:r>
        <w:rPr>
          <w:rFonts w:hint="eastAsia" w:ascii="仿宋" w:hAnsi="仿宋" w:eastAsia="仿宋" w:cs="仿宋"/>
          <w:szCs w:val="21"/>
          <w:u w:val="single"/>
        </w:rPr>
        <w:t xml:space="preserve">   （中型企业、 小型企业、微型企业）  </w:t>
      </w:r>
      <w:r>
        <w:rPr>
          <w:rFonts w:hint="eastAsia" w:ascii="仿宋" w:hAnsi="仿宋" w:eastAsia="仿宋" w:cs="仿宋"/>
          <w:szCs w:val="21"/>
        </w:rPr>
        <w:t xml:space="preserve">； </w:t>
      </w:r>
    </w:p>
    <w:p>
      <w:pPr>
        <w:spacing w:line="260" w:lineRule="auto"/>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 xml:space="preserve">    （标的名称）     </w:t>
      </w:r>
      <w:r>
        <w:rPr>
          <w:rFonts w:hint="eastAsia" w:ascii="仿宋" w:hAnsi="仿宋" w:eastAsia="仿宋" w:cs="仿宋"/>
          <w:szCs w:val="21"/>
        </w:rPr>
        <w:t>，属于</w:t>
      </w:r>
      <w:r>
        <w:rPr>
          <w:rFonts w:hint="eastAsia" w:ascii="仿宋" w:hAnsi="仿宋" w:eastAsia="仿宋" w:cs="仿宋"/>
          <w:szCs w:val="21"/>
          <w:u w:val="single"/>
        </w:rPr>
        <w:t xml:space="preserve">  （采购文件中明确的所属行业）   </w:t>
      </w:r>
      <w:r>
        <w:rPr>
          <w:rFonts w:hint="eastAsia" w:ascii="仿宋" w:hAnsi="仿宋" w:eastAsia="仿宋" w:cs="仿宋"/>
          <w:szCs w:val="21"/>
        </w:rPr>
        <w:t>； 承建（承接）企业为</w:t>
      </w:r>
      <w:r>
        <w:rPr>
          <w:rFonts w:hint="eastAsia" w:ascii="仿宋" w:hAnsi="仿宋" w:eastAsia="仿宋" w:cs="仿宋"/>
          <w:szCs w:val="21"/>
          <w:u w:val="single"/>
        </w:rPr>
        <w:t xml:space="preserve">  （企业名称）  </w:t>
      </w:r>
      <w:r>
        <w:rPr>
          <w:rFonts w:hint="eastAsia" w:ascii="仿宋" w:hAnsi="仿宋" w:eastAsia="仿宋" w:cs="仿宋"/>
          <w:szCs w:val="21"/>
        </w:rPr>
        <w:t>，从业人员人，营业收入为 万元，资产总额为 万元，属于</w:t>
      </w:r>
      <w:r>
        <w:rPr>
          <w:rFonts w:hint="eastAsia" w:ascii="仿宋" w:hAnsi="仿宋" w:eastAsia="仿宋" w:cs="仿宋"/>
          <w:szCs w:val="21"/>
          <w:u w:val="single"/>
        </w:rPr>
        <w:t xml:space="preserve">   （中型企业、 小型企业、微型企业）  </w:t>
      </w:r>
      <w:r>
        <w:rPr>
          <w:rFonts w:hint="eastAsia" w:ascii="仿宋" w:hAnsi="仿宋" w:eastAsia="仿宋" w:cs="仿宋"/>
          <w:szCs w:val="21"/>
        </w:rPr>
        <w:t xml:space="preserve">； </w:t>
      </w:r>
    </w:p>
    <w:p>
      <w:pPr>
        <w:spacing w:line="260" w:lineRule="auto"/>
        <w:ind w:firstLine="420" w:firstLineChars="200"/>
        <w:rPr>
          <w:rFonts w:ascii="仿宋" w:hAnsi="仿宋" w:eastAsia="仿宋" w:cs="仿宋"/>
          <w:szCs w:val="21"/>
        </w:rPr>
      </w:pPr>
      <w:r>
        <w:rPr>
          <w:rFonts w:hint="eastAsia" w:ascii="仿宋" w:hAnsi="仿宋" w:eastAsia="仿宋" w:cs="仿宋"/>
          <w:szCs w:val="21"/>
        </w:rPr>
        <w:t xml:space="preserve">…… </w:t>
      </w:r>
    </w:p>
    <w:p>
      <w:pPr>
        <w:ind w:firstLine="420" w:firstLineChars="200"/>
        <w:rPr>
          <w:rFonts w:ascii="仿宋" w:hAnsi="仿宋" w:eastAsia="仿宋" w:cs="仿宋"/>
          <w:szCs w:val="21"/>
        </w:rPr>
      </w:pPr>
      <w:r>
        <w:rPr>
          <w:rFonts w:hint="eastAsia" w:ascii="仿宋" w:hAnsi="仿宋" w:eastAsia="仿宋" w:cs="仿宋"/>
          <w:szCs w:val="21"/>
        </w:rPr>
        <w:t xml:space="preserve">以上企业，不属于大企业的分支机构，不存在控股股东为大企业的情形，也不存在与大企业的负责人为同一人的情形。 </w:t>
      </w:r>
    </w:p>
    <w:p>
      <w:pPr>
        <w:ind w:firstLine="420" w:firstLineChars="200"/>
        <w:rPr>
          <w:rFonts w:ascii="仿宋" w:hAnsi="仿宋" w:eastAsia="仿宋" w:cs="仿宋"/>
          <w:szCs w:val="21"/>
        </w:rPr>
      </w:pPr>
      <w:r>
        <w:rPr>
          <w:rFonts w:hint="eastAsia" w:ascii="仿宋" w:hAnsi="仿宋" w:eastAsia="仿宋" w:cs="仿宋"/>
          <w:szCs w:val="21"/>
        </w:rPr>
        <w:t>本公司已知悉《政府采购促进中小企业发展管理办法》（财库〔2020〕46 号）、《中小企业划型标准规定》（工信部联企〔2011〕300 号）、《统计上大中小微型企业划分办法（2017）》等 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pPr>
        <w:ind w:firstLine="420" w:firstLineChars="200"/>
        <w:rPr>
          <w:rFonts w:ascii="仿宋" w:hAnsi="仿宋" w:eastAsia="仿宋" w:cs="仿宋"/>
          <w:szCs w:val="21"/>
        </w:rPr>
      </w:pPr>
      <w:r>
        <w:rPr>
          <w:rFonts w:hint="eastAsia" w:ascii="仿宋" w:hAnsi="仿宋" w:eastAsia="仿宋" w:cs="仿宋"/>
          <w:szCs w:val="21"/>
        </w:rPr>
        <w:t xml:space="preserve"> 企业名称：</w:t>
      </w:r>
    </w:p>
    <w:p>
      <w:pPr>
        <w:ind w:firstLine="420" w:firstLineChars="200"/>
        <w:rPr>
          <w:rFonts w:ascii="仿宋" w:hAnsi="仿宋" w:eastAsia="仿宋" w:cs="仿宋"/>
          <w:szCs w:val="21"/>
        </w:rPr>
      </w:pPr>
      <w:r>
        <w:rPr>
          <w:rFonts w:hint="eastAsia" w:ascii="仿宋" w:hAnsi="仿宋" w:eastAsia="仿宋" w:cs="仿宋"/>
          <w:szCs w:val="21"/>
        </w:rPr>
        <w:t>日   期：</w:t>
      </w:r>
    </w:p>
    <w:p>
      <w:pPr>
        <w:rPr>
          <w:rFonts w:ascii="仿宋" w:hAnsi="仿宋" w:eastAsia="仿宋" w:cs="仿宋"/>
          <w:b/>
          <w:bCs/>
          <w:szCs w:val="21"/>
        </w:rPr>
      </w:pPr>
    </w:p>
    <w:p>
      <w:pPr>
        <w:jc w:val="center"/>
        <w:rPr>
          <w:rFonts w:ascii="仿宋" w:hAnsi="仿宋" w:eastAsia="仿宋" w:cs="仿宋"/>
          <w:b/>
          <w:szCs w:val="21"/>
        </w:rPr>
      </w:pPr>
      <w:r>
        <w:rPr>
          <w:rFonts w:hint="eastAsia" w:ascii="仿宋" w:hAnsi="仿宋" w:eastAsia="仿宋" w:cs="仿宋"/>
          <w:b/>
          <w:szCs w:val="21"/>
        </w:rPr>
        <w:t>（2）残疾人福利性单位声明函（仅限残疾人福利性单位）</w:t>
      </w:r>
    </w:p>
    <w:p>
      <w:pPr>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ascii="仿宋" w:hAnsi="仿宋" w:eastAsia="仿宋" w:cs="仿宋"/>
          <w:szCs w:val="21"/>
        </w:rPr>
      </w:pPr>
      <w:r>
        <w:rPr>
          <w:rFonts w:hint="eastAsia" w:ascii="仿宋" w:hAnsi="仿宋" w:eastAsia="仿宋" w:cs="仿宋"/>
          <w:szCs w:val="21"/>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pPr>
        <w:wordWrap w:val="0"/>
        <w:ind w:right="420"/>
        <w:rPr>
          <w:rFonts w:ascii="仿宋" w:hAnsi="仿宋" w:eastAsia="仿宋" w:cs="仿宋"/>
          <w:szCs w:val="21"/>
        </w:rPr>
      </w:pPr>
    </w:p>
    <w:p>
      <w:pPr>
        <w:ind w:firstLine="420" w:firstLineChars="200"/>
        <w:jc w:val="right"/>
        <w:rPr>
          <w:rFonts w:ascii="仿宋" w:hAnsi="仿宋" w:eastAsia="仿宋" w:cs="仿宋"/>
          <w:szCs w:val="21"/>
        </w:rPr>
      </w:pPr>
    </w:p>
    <w:p>
      <w:pPr>
        <w:jc w:val="center"/>
        <w:rPr>
          <w:rFonts w:ascii="仿宋" w:hAnsi="仿宋" w:eastAsia="仿宋" w:cs="仿宋"/>
          <w:b/>
          <w:szCs w:val="21"/>
        </w:rPr>
      </w:pPr>
      <w:r>
        <w:rPr>
          <w:rFonts w:hint="eastAsia" w:ascii="仿宋" w:hAnsi="仿宋" w:eastAsia="仿宋" w:cs="仿宋"/>
          <w:b/>
          <w:szCs w:val="21"/>
        </w:rPr>
        <w:t>（3）省级以上监狱管理局、戒毒管理局（含新疆生产建设兵团）出具的属于监狱企业的证明文件（样表）</w:t>
      </w:r>
    </w:p>
    <w:p>
      <w:pPr>
        <w:jc w:val="center"/>
        <w:rPr>
          <w:rFonts w:ascii="仿宋" w:hAnsi="仿宋" w:eastAsia="仿宋" w:cs="仿宋"/>
          <w:b/>
          <w:szCs w:val="21"/>
        </w:rPr>
      </w:pPr>
    </w:p>
    <w:p>
      <w:pPr>
        <w:ind w:firstLine="420" w:firstLineChars="200"/>
        <w:rPr>
          <w:rFonts w:ascii="仿宋" w:hAnsi="仿宋" w:eastAsia="仿宋" w:cs="仿宋"/>
          <w:szCs w:val="21"/>
        </w:rPr>
      </w:pPr>
      <w:r>
        <w:rPr>
          <w:rFonts w:hint="eastAsia" w:ascii="仿宋" w:hAnsi="仿宋" w:eastAsia="仿宋" w:cs="仿宋"/>
          <w:szCs w:val="21"/>
        </w:rPr>
        <w:t>本单位郑重声明，根据《财政部司法部关于政府采购支持监狱企业发展有关问题的通知》（财库〔2014〕68号）的规定，本单位为符合条件的监狱企业，且本单位参加</w:t>
      </w:r>
      <w:r>
        <w:rPr>
          <w:rFonts w:hint="eastAsia" w:ascii="仿宋" w:hAnsi="仿宋" w:eastAsia="仿宋" w:cs="仿宋"/>
          <w:szCs w:val="21"/>
          <w:u w:val="single"/>
        </w:rPr>
        <w:t>_</w:t>
      </w:r>
      <w:r>
        <w:rPr>
          <w:rFonts w:hint="eastAsia" w:ascii="仿宋" w:hAnsi="仿宋" w:eastAsia="仿宋" w:cs="仿宋"/>
          <w:szCs w:val="21"/>
        </w:rPr>
        <w:t>（采购单位名称）</w:t>
      </w:r>
      <w:r>
        <w:rPr>
          <w:rFonts w:hint="eastAsia" w:ascii="仿宋" w:hAnsi="仿宋" w:eastAsia="仿宋" w:cs="仿宋"/>
          <w:szCs w:val="21"/>
          <w:u w:val="single"/>
        </w:rPr>
        <w:t>_</w:t>
      </w:r>
      <w:r>
        <w:rPr>
          <w:rFonts w:hint="eastAsia" w:ascii="仿宋" w:hAnsi="仿宋" w:eastAsia="仿宋" w:cs="仿宋"/>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pPr>
        <w:ind w:firstLine="420" w:firstLineChars="200"/>
        <w:rPr>
          <w:rFonts w:ascii="仿宋" w:hAnsi="仿宋" w:eastAsia="仿宋" w:cs="仿宋"/>
          <w:szCs w:val="21"/>
        </w:rPr>
      </w:pPr>
      <w:r>
        <w:rPr>
          <w:rFonts w:hint="eastAsia" w:ascii="仿宋" w:hAnsi="仿宋" w:eastAsia="仿宋" w:cs="仿宋"/>
          <w:szCs w:val="21"/>
        </w:rPr>
        <w:t>附：省级以上监狱管理局、戒毒管理局（含新疆生产建设兵团）出具的监狱企业证明文件。</w:t>
      </w: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wordWrap w:val="0"/>
        <w:ind w:right="315" w:firstLine="420" w:firstLineChars="200"/>
        <w:jc w:val="right"/>
        <w:rPr>
          <w:rFonts w:ascii="仿宋" w:hAnsi="仿宋" w:eastAsia="仿宋" w:cs="仿宋"/>
          <w:szCs w:val="21"/>
        </w:rPr>
      </w:pPr>
      <w:r>
        <w:rPr>
          <w:rFonts w:hint="eastAsia" w:ascii="仿宋" w:hAnsi="仿宋" w:eastAsia="仿宋" w:cs="仿宋"/>
          <w:szCs w:val="21"/>
        </w:rPr>
        <w:t>投标人</w:t>
      </w:r>
      <w:r>
        <w:rPr>
          <w:rFonts w:hint="eastAsia" w:ascii="仿宋" w:hAnsi="仿宋" w:eastAsia="仿宋" w:cs="仿宋"/>
          <w:b/>
          <w:szCs w:val="21"/>
        </w:rPr>
        <w:t>（</w:t>
      </w:r>
      <w:r>
        <w:rPr>
          <w:rFonts w:hint="eastAsia" w:ascii="仿宋" w:hAnsi="仿宋" w:eastAsia="仿宋" w:cs="仿宋"/>
          <w:b/>
          <w:bCs/>
          <w:szCs w:val="21"/>
        </w:rPr>
        <w:t>盖投标人公章</w:t>
      </w:r>
      <w:r>
        <w:rPr>
          <w:rFonts w:hint="eastAsia" w:ascii="仿宋" w:hAnsi="仿宋" w:eastAsia="仿宋" w:cs="仿宋"/>
          <w:b/>
          <w:szCs w:val="21"/>
        </w:rPr>
        <w:t>）：</w:t>
      </w:r>
    </w:p>
    <w:p>
      <w:pPr>
        <w:wordWrap w:val="0"/>
        <w:ind w:right="420"/>
        <w:rPr>
          <w:rFonts w:ascii="仿宋" w:hAnsi="仿宋" w:eastAsia="仿宋" w:cs="仿宋"/>
          <w:szCs w:val="21"/>
        </w:rPr>
      </w:pPr>
      <w:r>
        <w:rPr>
          <w:rFonts w:hint="eastAsia" w:ascii="仿宋" w:hAnsi="仿宋" w:eastAsia="仿宋" w:cs="仿宋"/>
          <w:szCs w:val="21"/>
        </w:rPr>
        <w:t xml:space="preserve">                                             日期: </w:t>
      </w:r>
    </w:p>
    <w:p>
      <w:pPr>
        <w:widowControl/>
        <w:jc w:val="center"/>
        <w:outlineLvl w:val="3"/>
        <w:rPr>
          <w:rFonts w:ascii="仿宋" w:hAnsi="仿宋" w:eastAsia="仿宋" w:cs="仿宋"/>
          <w:sz w:val="24"/>
        </w:rPr>
      </w:pPr>
      <w:bookmarkStart w:id="252" w:name="_Toc28004"/>
      <w:bookmarkStart w:id="253" w:name="_Toc32111"/>
      <w:bookmarkStart w:id="254" w:name="_Toc25982"/>
      <w:bookmarkStart w:id="255" w:name="_Toc956"/>
      <w:bookmarkStart w:id="256" w:name="_Toc17201"/>
      <w:r>
        <w:rPr>
          <w:rFonts w:hint="eastAsia" w:ascii="黑体" w:eastAsia="黑体"/>
          <w:sz w:val="28"/>
          <w:szCs w:val="28"/>
        </w:rPr>
        <w:br w:type="page"/>
      </w:r>
      <w:r>
        <w:rPr>
          <w:rFonts w:hint="eastAsia" w:ascii="仿宋" w:hAnsi="仿宋" w:eastAsia="仿宋" w:cs="仿宋"/>
          <w:sz w:val="24"/>
        </w:rPr>
        <w:t>（五）政府采购违法行为风险知悉确认书</w:t>
      </w:r>
    </w:p>
    <w:p>
      <w:pPr>
        <w:widowControl/>
        <w:jc w:val="left"/>
        <w:rPr>
          <w:rFonts w:ascii="仿宋" w:hAnsi="仿宋" w:eastAsia="仿宋" w:cs="仿宋"/>
          <w:kern w:val="0"/>
          <w:sz w:val="24"/>
        </w:rPr>
      </w:pP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致：友和保险经纪有限公司</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本公司在投标前已充分知悉以下情形为参与政府采购活动时的重大风险事项，并承诺已对下述风险提示事项重点排查，做到严谨、诚信、依法依规参与政府采购活动。</w:t>
      </w:r>
    </w:p>
    <w:p>
      <w:pPr>
        <w:widowControl/>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一、本公司已充分知悉“隐瞒真实情况，提供虚假资料”的法定情形，相关情形包括但不限于：</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（一）通过转让或者租借等方式从其他单位获取资格或者资质证书投标的。</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（二）由其他单位或者其他单位负责人在投标供应商编制的投标文件上加盖印章或者签字的。</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（三）项目负责人或者主要技术人员不是本单位人员的。</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（四）投标保证金不是从投标供应商基本账户转出的。</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（五）其他隐瞒真实情况、提供虚假资料的行为。 </w:t>
      </w:r>
    </w:p>
    <w:p>
      <w:pPr>
        <w:widowControl/>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二、本公司已充分知悉“与其他采购参加人串通投标”的法定情形，相关情形包括但不限于：</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（一）投标供应商之间相互约定给予未中标的供应商利益补偿。</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（二）不同投标供应商的法定代表人、主要经营负责人、项目投标授权代表人、项目负责人、主要技术人员为同一人、属同一单位或者在同一单位缴纳社会保险。</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（三）不同投标供应商的投标文件由同一单位或者同一人编制，或者由同一人分阶段参与编制的。</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（四）不同投标供应商的投标文件或部分投标文件相互混装。</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（五）不同投标供应商的投标文件内容存在非正常一致。</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（六）由同一单位工作人员为两家以上（含两家）供应商进行同一项投标活动的。</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（七）不同投标人的投标报价呈规律性差异。</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（八）不同投标人的投标保证金从同一单位或者个人的账户转出。</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（九）主管部门依照法律、法规认定的其他情形。 </w:t>
      </w:r>
    </w:p>
    <w:p>
      <w:pPr>
        <w:widowControl/>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三、本公司已充分知悉下列情形所对应的法律风险，并在投标前已对相关风险事项进行排查。</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（一）对于从其他主体获取的投标资料，供应商应审慎核查，确保投标资料的真实性。如主管部门查实投标文件中存在虚假资 料的，无论相关资料是否由第三方或本公司员工提供，均不影响 主管部门对供应商存在“隐瞒真实情况，提供虚假资料”违法行 为的认定。</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（三）对于涉及安全生产、特种作业、抢险救灾、防疫等政府采购项目，供应商实施提供虚假资料、串通投标等违法行为的，主管部门将依法从严处理。</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（四）供应商应严格规范项目授权代表、员工参与招标投标的行为，加强对投标文件的审核。项目授权代表、员工编制、上传投标文件等行为违反政府采购法律法规或招标文件要求的，投 标供应商应当依法承担相应法律责任。</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（五）供应商对投标电子密钥负有妥善保管、及时变更和续期等主体责任。供应商使用电子密钥在深圳政府采购网站进行的 活动，均具有法律效力，须承担相应的法律后果。供应商擅自将 投标密钥出借他人使用所造成的法律后果，由供应商自行承担。</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（六）单位负责人为同一人或者存在直接控股、管理关系的不同供应商，不得参加同一合同项下的政府采购活动。相关情形如查实，依法作投标无效处理；涉嫌串通投标等违法行为的，主 管部门将依法调查处理。</w:t>
      </w:r>
    </w:p>
    <w:p>
      <w:pPr>
        <w:widowControl/>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四、本公司已充分知悉政府采购违法、违规行为的法律后果。</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经查实，若投标供应商存在政府采购违法、违规行为，主管部门将依据《深圳经济特区政府采购条例》第五十七条的规定，处以一至三年内禁止参与本市政府采购，并由主管部门记入供应商诚 信档案，处采购金额千分之十以上千分之二十以下罚款；情节严重的，取消参与本市政府采购资格，处采购金额千分之二十以上千分之三十以下罚款，并由市场监管部门依法吊销营业执照。 以下文字请投标供应商抄写并确认：“本公司已仔细阅读《政府采购违法行为风险知悉确认书》，充分知悉违法行为的法律后果，并承诺将严谨、诚信、依法依规参与政府采购活动”。</w:t>
      </w:r>
    </w:p>
    <w:p>
      <w:pPr>
        <w:widowControl/>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注：该风险知悉确认书用于对供应商违法行为的警示，不作为供应商资格性审查及符合性审查条件。</w:t>
      </w:r>
    </w:p>
    <w:p>
      <w:pPr>
        <w:widowControl/>
        <w:jc w:val="left"/>
        <w:rPr>
          <w:rFonts w:ascii="仿宋" w:hAnsi="仿宋" w:eastAsia="仿宋" w:cs="仿宋"/>
          <w:kern w:val="0"/>
          <w:sz w:val="24"/>
        </w:rPr>
      </w:pPr>
    </w:p>
    <w:p>
      <w:pPr>
        <w:autoSpaceDE w:val="0"/>
        <w:autoSpaceDN w:val="0"/>
        <w:adjustRightInd w:val="0"/>
        <w:jc w:val="left"/>
        <w:rPr>
          <w:rFonts w:ascii="仿宋" w:hAnsi="仿宋" w:eastAsia="仿宋" w:cs="仿宋"/>
          <w:kern w:val="0"/>
          <w:sz w:val="24"/>
        </w:rPr>
      </w:pPr>
    </w:p>
    <w:p>
      <w:pPr>
        <w:autoSpaceDE w:val="0"/>
        <w:autoSpaceDN w:val="0"/>
        <w:adjustRightInd w:val="0"/>
        <w:jc w:val="left"/>
        <w:rPr>
          <w:rFonts w:ascii="仿宋" w:hAnsi="仿宋" w:eastAsia="仿宋" w:cs="仿宋"/>
          <w:kern w:val="0"/>
          <w:sz w:val="24"/>
        </w:rPr>
      </w:pPr>
    </w:p>
    <w:p>
      <w:pPr>
        <w:autoSpaceDE w:val="0"/>
        <w:autoSpaceDN w:val="0"/>
        <w:adjustRightInd w:val="0"/>
        <w:jc w:val="left"/>
        <w:rPr>
          <w:rFonts w:ascii="仿宋" w:hAnsi="仿宋" w:eastAsia="仿宋" w:cs="仿宋"/>
          <w:kern w:val="0"/>
          <w:sz w:val="24"/>
        </w:rPr>
      </w:pPr>
    </w:p>
    <w:p>
      <w:pPr>
        <w:widowControl/>
        <w:jc w:val="left"/>
        <w:rPr>
          <w:rFonts w:ascii="仿宋" w:hAnsi="仿宋" w:eastAsia="仿宋" w:cs="仿宋"/>
          <w:kern w:val="0"/>
          <w:sz w:val="24"/>
        </w:rPr>
      </w:pPr>
    </w:p>
    <w:p>
      <w:pPr>
        <w:widowControl/>
        <w:spacing w:line="360" w:lineRule="auto"/>
        <w:ind w:firstLine="3600" w:firstLineChars="1500"/>
        <w:jc w:val="left"/>
        <w:rPr>
          <w:rFonts w:ascii="仿宋" w:hAnsi="仿宋" w:eastAsia="仿宋" w:cs="仿宋"/>
          <w:kern w:val="0"/>
          <w:sz w:val="24"/>
        </w:rPr>
      </w:pPr>
      <w:r>
        <w:rPr>
          <w:rFonts w:hint="eastAsia" w:ascii="仿宋" w:hAnsi="仿宋" w:eastAsia="仿宋" w:cs="仿宋"/>
          <w:kern w:val="0"/>
          <w:sz w:val="24"/>
        </w:rPr>
        <w:t xml:space="preserve">负责人/投标授权代表签名： </w:t>
      </w:r>
    </w:p>
    <w:p>
      <w:pPr>
        <w:widowControl/>
        <w:spacing w:line="360" w:lineRule="auto"/>
        <w:ind w:firstLine="3600" w:firstLineChars="1500"/>
        <w:jc w:val="left"/>
        <w:rPr>
          <w:rFonts w:ascii="仿宋" w:hAnsi="仿宋" w:eastAsia="仿宋" w:cs="仿宋"/>
          <w:kern w:val="0"/>
          <w:sz w:val="24"/>
        </w:rPr>
      </w:pPr>
      <w:r>
        <w:rPr>
          <w:rFonts w:hint="eastAsia" w:ascii="仿宋" w:hAnsi="仿宋" w:eastAsia="仿宋" w:cs="仿宋"/>
          <w:kern w:val="0"/>
          <w:sz w:val="24"/>
        </w:rPr>
        <w:t>知悉人（公章）：</w:t>
      </w:r>
    </w:p>
    <w:p>
      <w:pPr>
        <w:widowControl/>
        <w:spacing w:line="360" w:lineRule="auto"/>
        <w:ind w:firstLine="3600" w:firstLineChars="1500"/>
        <w:jc w:val="left"/>
        <w:rPr>
          <w:rFonts w:ascii="仿宋" w:hAnsi="仿宋" w:eastAsia="仿宋" w:cs="仿宋"/>
          <w:sz w:val="24"/>
        </w:rPr>
        <w:sectPr>
          <w:footerReference r:id="rId8" w:type="first"/>
          <w:footerReference r:id="rId7" w:type="default"/>
          <w:pgSz w:w="11906" w:h="16838"/>
          <w:pgMar w:top="1440" w:right="1080" w:bottom="1440" w:left="1080" w:header="851" w:footer="992" w:gutter="0"/>
          <w:pgNumType w:start="1"/>
          <w:cols w:space="720" w:num="1"/>
          <w:docGrid w:type="lines" w:linePitch="312" w:charSpace="0"/>
        </w:sectPr>
      </w:pPr>
      <w:r>
        <w:rPr>
          <w:rFonts w:hint="eastAsia" w:ascii="仿宋" w:hAnsi="仿宋" w:eastAsia="仿宋" w:cs="仿宋"/>
          <w:kern w:val="0"/>
          <w:sz w:val="24"/>
        </w:rPr>
        <w:t>日期：</w:t>
      </w:r>
    </w:p>
    <w:p>
      <w:pPr>
        <w:rPr>
          <w:rFonts w:ascii="黑体" w:eastAsia="黑体"/>
          <w:sz w:val="28"/>
          <w:szCs w:val="28"/>
        </w:rPr>
      </w:pPr>
    </w:p>
    <w:p>
      <w:pPr>
        <w:pStyle w:val="4"/>
        <w:numPr>
          <w:ilvl w:val="255"/>
          <w:numId w:val="0"/>
        </w:numPr>
        <w:jc w:val="center"/>
      </w:pPr>
      <w:bookmarkStart w:id="257" w:name="_Toc5158"/>
      <w:bookmarkStart w:id="258" w:name="_Toc15782"/>
      <w:r>
        <w:rPr>
          <w:rFonts w:hint="eastAsia" w:ascii="黑体" w:eastAsia="黑体"/>
          <w:sz w:val="28"/>
          <w:szCs w:val="28"/>
        </w:rPr>
        <w:t>三、法定代表人资格证明书</w:t>
      </w:r>
      <w:bookmarkEnd w:id="252"/>
      <w:bookmarkEnd w:id="253"/>
      <w:bookmarkEnd w:id="254"/>
      <w:bookmarkEnd w:id="255"/>
      <w:bookmarkEnd w:id="256"/>
      <w:bookmarkEnd w:id="257"/>
      <w:bookmarkEnd w:id="258"/>
    </w:p>
    <w:p>
      <w:pPr>
        <w:rPr>
          <w:rFonts w:ascii="宋体" w:cs="Arial"/>
          <w:bCs/>
          <w:sz w:val="24"/>
        </w:rPr>
      </w:pPr>
    </w:p>
    <w:p>
      <w:pPr>
        <w:rPr>
          <w:rFonts w:ascii="仿宋" w:hAnsi="仿宋" w:eastAsia="仿宋" w:cs="仿宋"/>
          <w:bCs/>
          <w:sz w:val="24"/>
        </w:rPr>
      </w:pPr>
      <w:r>
        <w:rPr>
          <w:rFonts w:hint="eastAsia" w:ascii="仿宋" w:hAnsi="仿宋" w:eastAsia="仿宋" w:cs="仿宋"/>
          <w:bCs/>
          <w:sz w:val="24"/>
        </w:rPr>
        <w:t>致友和保险经纪有限公司：</w:t>
      </w:r>
    </w:p>
    <w:p>
      <w:pPr>
        <w:spacing w:line="480" w:lineRule="exact"/>
        <w:rPr>
          <w:rFonts w:ascii="仿宋" w:hAnsi="仿宋" w:eastAsia="仿宋" w:cs="仿宋"/>
          <w:sz w:val="24"/>
        </w:rPr>
      </w:pPr>
    </w:p>
    <w:p>
      <w:pPr>
        <w:ind w:firstLine="240" w:firstLineChars="1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softHyphen/>
      </w:r>
      <w:r>
        <w:rPr>
          <w:rFonts w:hint="eastAsia" w:ascii="仿宋" w:hAnsi="仿宋" w:eastAsia="仿宋" w:cs="仿宋"/>
          <w:sz w:val="24"/>
          <w:u w:val="single"/>
        </w:rPr>
        <w:softHyphen/>
      </w:r>
      <w:r>
        <w:rPr>
          <w:rFonts w:hint="eastAsia" w:ascii="仿宋" w:hAnsi="仿宋" w:eastAsia="仿宋" w:cs="仿宋"/>
          <w:sz w:val="24"/>
          <w:u w:val="single"/>
        </w:rPr>
        <w:softHyphen/>
      </w:r>
      <w:r>
        <w:rPr>
          <w:rFonts w:hint="eastAsia" w:ascii="仿宋" w:hAnsi="仿宋" w:eastAsia="仿宋" w:cs="仿宋"/>
          <w:sz w:val="24"/>
          <w:u w:val="single"/>
        </w:rPr>
        <w:softHyphen/>
      </w:r>
      <w:r>
        <w:rPr>
          <w:rFonts w:hint="eastAsia" w:ascii="仿宋" w:hAnsi="仿宋" w:eastAsia="仿宋" w:cs="仿宋"/>
          <w:sz w:val="24"/>
          <w:u w:val="single"/>
        </w:rPr>
        <w:softHyphen/>
      </w:r>
    </w:p>
    <w:p>
      <w:pPr>
        <w:ind w:firstLine="240" w:firstLineChars="100"/>
        <w:rPr>
          <w:rFonts w:ascii="仿宋" w:hAnsi="仿宋" w:eastAsia="仿宋" w:cs="仿宋"/>
          <w:sz w:val="24"/>
        </w:rPr>
      </w:pPr>
      <w:r>
        <w:rPr>
          <w:rFonts w:hint="eastAsia" w:ascii="仿宋" w:hAnsi="仿宋" w:eastAsia="仿宋" w:cs="仿宋"/>
          <w:sz w:val="24"/>
        </w:rPr>
        <w:t>地    址：</w:t>
      </w:r>
    </w:p>
    <w:p>
      <w:pPr>
        <w:ind w:firstLine="240" w:firstLineChars="100"/>
        <w:rPr>
          <w:rFonts w:ascii="仿宋" w:hAnsi="仿宋" w:eastAsia="仿宋" w:cs="仿宋"/>
          <w:sz w:val="24"/>
        </w:rPr>
      </w:pPr>
      <w:r>
        <w:rPr>
          <w:rFonts w:hint="eastAsia" w:ascii="仿宋" w:hAnsi="仿宋" w:eastAsia="仿宋" w:cs="仿宋"/>
          <w:sz w:val="24"/>
        </w:rPr>
        <w:t>姓    名：   性别： 年龄：</w:t>
      </w:r>
    </w:p>
    <w:p>
      <w:pPr>
        <w:ind w:firstLine="240" w:firstLineChars="100"/>
        <w:rPr>
          <w:rFonts w:ascii="仿宋" w:hAnsi="仿宋" w:eastAsia="仿宋" w:cs="仿宋"/>
          <w:sz w:val="24"/>
        </w:rPr>
      </w:pPr>
      <w:r>
        <w:rPr>
          <w:rFonts w:hint="eastAsia" w:ascii="仿宋" w:hAnsi="仿宋" w:eastAsia="仿宋" w:cs="仿宋"/>
          <w:sz w:val="24"/>
        </w:rPr>
        <w:t>身份证号码： 职务：</w:t>
      </w:r>
    </w:p>
    <w:p>
      <w:pPr>
        <w:ind w:firstLine="240" w:firstLineChars="100"/>
        <w:rPr>
          <w:rFonts w:ascii="仿宋" w:hAnsi="仿宋" w:eastAsia="仿宋" w:cs="仿宋"/>
          <w:sz w:val="24"/>
        </w:rPr>
      </w:pPr>
      <w:r>
        <w:rPr>
          <w:rFonts w:hint="eastAsia" w:ascii="仿宋" w:hAnsi="仿宋" w:eastAsia="仿宋" w:cs="仿宋"/>
          <w:sz w:val="24"/>
        </w:rPr>
        <w:t>我系的法定代表人。本证明书用于（公司名称）签署（项目编号）项目的投标文件、进行合同投标、签署合同和处理与之有关的一切事务。</w:t>
      </w:r>
    </w:p>
    <w:p>
      <w:pPr>
        <w:ind w:firstLine="240" w:firstLineChars="100"/>
        <w:rPr>
          <w:rFonts w:ascii="仿宋" w:hAnsi="仿宋" w:eastAsia="仿宋" w:cs="仿宋"/>
          <w:sz w:val="24"/>
        </w:rPr>
      </w:pPr>
      <w:r>
        <w:rPr>
          <w:rFonts w:hint="eastAsia" w:ascii="仿宋" w:hAnsi="仿宋" w:eastAsia="仿宋" w:cs="仿宋"/>
          <w:sz w:val="24"/>
        </w:rPr>
        <w:t>特此证明。</w:t>
      </w:r>
    </w:p>
    <w:p>
      <w:pPr>
        <w:ind w:firstLine="240" w:firstLineChars="100"/>
        <w:rPr>
          <w:rFonts w:ascii="仿宋" w:hAnsi="仿宋" w:eastAsia="仿宋" w:cs="仿宋"/>
          <w:sz w:val="24"/>
        </w:rPr>
      </w:pPr>
      <w:r>
        <w:rPr>
          <w:rFonts w:hint="eastAsia" w:ascii="仿宋" w:hAnsi="仿宋" w:eastAsia="仿宋" w:cs="仿宋"/>
          <w:sz w:val="24"/>
        </w:rPr>
        <w:t>日  期：年月  日</w:t>
      </w:r>
    </w:p>
    <w:p>
      <w:pPr>
        <w:ind w:firstLine="240" w:firstLineChars="100"/>
        <w:rPr>
          <w:rFonts w:ascii="仿宋" w:hAnsi="仿宋" w:eastAsia="仿宋" w:cs="仿宋"/>
          <w:sz w:val="24"/>
        </w:rPr>
      </w:pPr>
      <w:r>
        <w:rPr>
          <w:rFonts w:hint="eastAsia" w:ascii="仿宋" w:hAnsi="仿宋" w:eastAsia="仿宋" w:cs="仿宋"/>
          <w:sz w:val="24"/>
        </w:rPr>
        <w:t>注：法定代表人为企业事业单位、国家机关、社会团体的主要行政负责人。</w:t>
      </w:r>
    </w:p>
    <w:p>
      <w:pPr>
        <w:snapToGrid w:val="0"/>
        <w:ind w:firstLine="4080" w:firstLineChars="1700"/>
        <w:rPr>
          <w:rFonts w:ascii="仿宋" w:hAnsi="仿宋" w:eastAsia="仿宋" w:cs="仿宋"/>
          <w:bCs/>
          <w:sz w:val="24"/>
        </w:rPr>
      </w:pPr>
    </w:p>
    <w:p>
      <w:pPr>
        <w:snapToGrid w:val="0"/>
        <w:jc w:val="center"/>
        <w:rPr>
          <w:rFonts w:ascii="仿宋" w:hAnsi="仿宋" w:eastAsia="仿宋" w:cs="仿宋"/>
          <w:bCs/>
          <w:sz w:val="24"/>
        </w:rPr>
      </w:pPr>
    </w:p>
    <w:p>
      <w:pPr>
        <w:spacing w:line="360" w:lineRule="auto"/>
        <w:rPr>
          <w:rFonts w:ascii="仿宋" w:hAnsi="仿宋" w:eastAsia="仿宋" w:cs="仿宋"/>
          <w:bCs/>
          <w:sz w:val="24"/>
        </w:rPr>
      </w:pPr>
      <w: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3" name="文本框 186"/>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 w:val="24"/>
                              </w:rPr>
                            </w:pPr>
                          </w:p>
                          <w:p>
                            <w:pPr>
                              <w:widowControl/>
                              <w:jc w:val="left"/>
                            </w:pPr>
                          </w:p>
                          <w:p>
                            <w:pPr>
                              <w:jc w:val="center"/>
                            </w:pPr>
                            <w:r>
                              <w:rPr>
                                <w:rFonts w:hint="eastAsia" w:ascii="宋体" w:hAnsi="宋体" w:cs="Arial"/>
                                <w:bCs/>
                                <w:sz w:val="24"/>
                              </w:rPr>
                              <w:t>法定代表人身份证</w:t>
                            </w:r>
                            <w:r>
                              <w:rPr>
                                <w:rFonts w:hint="eastAsia"/>
                              </w:rPr>
                              <w:t>正面</w:t>
                            </w:r>
                          </w:p>
                        </w:txbxContent>
                      </wps:txbx>
                      <wps:bodyPr wrap="square" anchor="t" anchorCtr="0" upright="1"/>
                    </wps:wsp>
                  </a:graphicData>
                </a:graphic>
              </wp:anchor>
            </w:drawing>
          </mc:Choice>
          <mc:Fallback>
            <w:pict>
              <v:shape id="文本框 186" o:spid="_x0000_s1026" o:spt="202" type="#_x0000_t202" style="position:absolute;left:0pt;margin-left:0.15pt;margin-top:8.65pt;height:151.25pt;width:222.9pt;z-index:251662336;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VMnmr1QAAAAcBAAAPAAAAAAAAAAEAIAAAACIAAABkcnMvZG93bnJldi54bWxQSwECFAAUAAAA&#10;CACHTuJAuYpbbyoCAABuBAAADgAAAAAAAAABACAAAAAkAQAAZHJzL2Uyb0RvYy54bWxQSwUGAAAA&#10;AAYABgBZAQAAwAUAAAAA&#10;">
                <v:fill on="t" focussize="0,0"/>
                <v:stroke color="#000000" joinstyle="miter"/>
                <v:imagedata o:title=""/>
                <o:lock v:ext="edit" aspectratio="f"/>
                <v:textbox>
                  <w:txbxContent>
                    <w:p>
                      <w:pPr>
                        <w:widowControl/>
                        <w:jc w:val="left"/>
                        <w:rPr>
                          <w:rFonts w:ascii="宋体" w:hAnsi="宋体" w:cs="宋体"/>
                          <w:kern w:val="0"/>
                          <w:sz w:val="24"/>
                        </w:rPr>
                      </w:pPr>
                    </w:p>
                    <w:p>
                      <w:pPr>
                        <w:widowControl/>
                        <w:jc w:val="left"/>
                      </w:pPr>
                    </w:p>
                    <w:p>
                      <w:pPr>
                        <w:jc w:val="center"/>
                      </w:pPr>
                      <w:r>
                        <w:rPr>
                          <w:rFonts w:hint="eastAsia" w:ascii="宋体" w:hAnsi="宋体" w:cs="Arial"/>
                          <w:bCs/>
                          <w:sz w:val="24"/>
                        </w:rPr>
                        <w:t>法定代表人身份证</w:t>
                      </w:r>
                      <w:r>
                        <w:rPr>
                          <w:rFonts w:hint="eastAsia"/>
                        </w:rPr>
                        <w:t>正面</w:t>
                      </w:r>
                    </w:p>
                  </w:txbxContent>
                </v:textbox>
              </v:shape>
            </w:pict>
          </mc:Fallback>
        </mc:AlternateContent>
      </w:r>
    </w:p>
    <w:p>
      <w:pPr>
        <w:spacing w:line="360" w:lineRule="auto"/>
        <w:rPr>
          <w:rFonts w:ascii="仿宋" w:hAnsi="仿宋" w:eastAsia="仿宋" w:cs="仿宋"/>
          <w:bCs/>
          <w:sz w:val="24"/>
        </w:rPr>
      </w:pPr>
    </w:p>
    <w:p>
      <w:pPr>
        <w:spacing w:line="360" w:lineRule="auto"/>
        <w:rPr>
          <w:rFonts w:ascii="仿宋" w:hAnsi="仿宋" w:eastAsia="仿宋" w:cs="仿宋"/>
          <w:bCs/>
          <w:sz w:val="24"/>
        </w:rPr>
      </w:pPr>
    </w:p>
    <w:p>
      <w:pPr>
        <w:spacing w:line="360" w:lineRule="auto"/>
        <w:rPr>
          <w:rFonts w:ascii="仿宋" w:hAnsi="仿宋" w:eastAsia="仿宋" w:cs="仿宋"/>
          <w:bCs/>
          <w:sz w:val="24"/>
        </w:rPr>
      </w:pPr>
    </w:p>
    <w:p>
      <w:pPr>
        <w:rPr>
          <w:rFonts w:ascii="仿宋" w:hAnsi="仿宋" w:eastAsia="仿宋" w:cs="仿宋"/>
          <w:sz w:val="24"/>
        </w:rPr>
      </w:pPr>
    </w:p>
    <w:p>
      <w:pPr>
        <w:rPr>
          <w:rFonts w:ascii="仿宋" w:hAnsi="仿宋" w:eastAsia="仿宋" w:cs="仿宋"/>
          <w:sz w:val="24"/>
        </w:rPr>
      </w:pPr>
    </w:p>
    <w:p>
      <w:pPr>
        <w:spacing w:after="60"/>
        <w:rPr>
          <w:rFonts w:ascii="仿宋" w:hAnsi="仿宋" w:eastAsia="仿宋" w:cs="仿宋"/>
          <w:sz w:val="24"/>
        </w:rPr>
      </w:pPr>
    </w:p>
    <w:p>
      <w:pPr>
        <w:rPr>
          <w:rFonts w:ascii="仿宋" w:hAnsi="仿宋" w:eastAsia="仿宋" w:cs="仿宋"/>
          <w:sz w:val="24"/>
        </w:rPr>
      </w:pPr>
    </w:p>
    <w:p>
      <w:pPr>
        <w:jc w:val="center"/>
        <w:rPr>
          <w:rFonts w:ascii="仿宋" w:hAnsi="仿宋" w:eastAsia="仿宋" w:cs="仿宋"/>
          <w:b/>
          <w:bCs/>
          <w:sz w:val="24"/>
        </w:rPr>
      </w:pPr>
      <w:r>
        <mc:AlternateContent>
          <mc:Choice Requires="wps">
            <w:drawing>
              <wp:anchor distT="0" distB="0" distL="114300" distR="114300" simplePos="0" relativeHeight="251663360"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4" name="文本框 14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 w:val="24"/>
                              </w:rPr>
                            </w:pPr>
                          </w:p>
                          <w:p>
                            <w:pPr>
                              <w:widowControl/>
                              <w:jc w:val="left"/>
                            </w:pPr>
                          </w:p>
                          <w:p>
                            <w:pPr>
                              <w:jc w:val="center"/>
                            </w:pPr>
                            <w:r>
                              <w:rPr>
                                <w:rFonts w:hint="eastAsia" w:ascii="宋体" w:hAnsi="宋体" w:cs="Arial"/>
                                <w:bCs/>
                                <w:sz w:val="24"/>
                              </w:rPr>
                              <w:t>法定代表人身份证</w:t>
                            </w:r>
                            <w:r>
                              <w:rPr>
                                <w:rFonts w:hint="eastAsia"/>
                              </w:rPr>
                              <w:t>反面</w:t>
                            </w:r>
                          </w:p>
                        </w:txbxContent>
                      </wps:txbx>
                      <wps:bodyPr wrap="square" anchor="t" anchorCtr="0" upright="1"/>
                    </wps:wsp>
                  </a:graphicData>
                </a:graphic>
              </wp:anchor>
            </w:drawing>
          </mc:Choice>
          <mc:Fallback>
            <w:pict>
              <v:shape id="文本框 142" o:spid="_x0000_s1026" o:spt="202" type="#_x0000_t202" style="position:absolute;left:0pt;margin-left:236.2pt;margin-top:-150.35pt;height:151.25pt;width:219.1pt;z-index:251663360;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k4gaXZAAAACgEAAA8AAAAAAAAAAQAgAAAAIgAAAGRycy9kb3ducmV2LnhtbFBLAQIU&#10;ABQAAAAIAIdO4kA8gZHUKwIAAG4EAAAOAAAAAAAAAAEAIAAAACgBAABkcnMvZTJvRG9jLnhtbFBL&#10;BQYAAAAABgAGAFkBAADFBQAAAAA=&#10;">
                <v:fill on="t" focussize="0,0"/>
                <v:stroke color="#000000" joinstyle="miter"/>
                <v:imagedata o:title=""/>
                <o:lock v:ext="edit" aspectratio="f"/>
                <v:textbox>
                  <w:txbxContent>
                    <w:p>
                      <w:pPr>
                        <w:widowControl/>
                        <w:jc w:val="left"/>
                        <w:rPr>
                          <w:rFonts w:ascii="宋体" w:hAnsi="宋体" w:cs="宋体"/>
                          <w:kern w:val="0"/>
                          <w:sz w:val="24"/>
                        </w:rPr>
                      </w:pPr>
                    </w:p>
                    <w:p>
                      <w:pPr>
                        <w:widowControl/>
                        <w:jc w:val="left"/>
                      </w:pPr>
                    </w:p>
                    <w:p>
                      <w:pPr>
                        <w:jc w:val="center"/>
                      </w:pPr>
                      <w:r>
                        <w:rPr>
                          <w:rFonts w:hint="eastAsia" w:ascii="宋体" w:hAnsi="宋体" w:cs="Arial"/>
                          <w:bCs/>
                          <w:sz w:val="24"/>
                        </w:rPr>
                        <w:t>法定代表人身份证</w:t>
                      </w:r>
                      <w:r>
                        <w:rPr>
                          <w:rFonts w:hint="eastAsia"/>
                        </w:rPr>
                        <w:t>反面</w:t>
                      </w:r>
                    </w:p>
                  </w:txbxContent>
                </v:textbox>
              </v:shape>
            </w:pict>
          </mc:Fallback>
        </mc:AlternateContent>
      </w:r>
    </w:p>
    <w:p>
      <w:pPr>
        <w:snapToGrid w:val="0"/>
        <w:ind w:left="840" w:hanging="840" w:hangingChars="350"/>
        <w:rPr>
          <w:rFonts w:ascii="仿宋" w:hAnsi="仿宋" w:eastAsia="仿宋" w:cs="仿宋"/>
          <w:bCs/>
          <w:sz w:val="24"/>
        </w:rPr>
      </w:pPr>
      <w:r>
        <w:rPr>
          <w:rFonts w:hint="eastAsia" w:ascii="仿宋" w:hAnsi="仿宋" w:eastAsia="仿宋" w:cs="仿宋"/>
          <w:bCs/>
          <w:sz w:val="24"/>
        </w:rPr>
        <w:t>说明：</w:t>
      </w:r>
    </w:p>
    <w:p>
      <w:pPr>
        <w:snapToGrid w:val="0"/>
        <w:ind w:firstLine="480" w:firstLineChars="200"/>
        <w:rPr>
          <w:rFonts w:ascii="仿宋" w:hAnsi="仿宋" w:eastAsia="仿宋" w:cs="仿宋"/>
          <w:bCs/>
          <w:sz w:val="24"/>
        </w:rPr>
      </w:pPr>
      <w:r>
        <w:rPr>
          <w:rFonts w:hint="eastAsia" w:ascii="仿宋" w:hAnsi="仿宋" w:eastAsia="仿宋" w:cs="仿宋"/>
          <w:bCs/>
          <w:sz w:val="24"/>
        </w:rPr>
        <w:t>1.本证明书要求投标人提供</w:t>
      </w:r>
      <w:r>
        <w:rPr>
          <w:rFonts w:hint="eastAsia" w:ascii="仿宋" w:hAnsi="仿宋" w:eastAsia="仿宋" w:cs="仿宋"/>
          <w:b/>
          <w:bCs/>
          <w:sz w:val="24"/>
        </w:rPr>
        <w:t>加盖公章</w:t>
      </w:r>
      <w:r>
        <w:rPr>
          <w:rFonts w:hint="eastAsia" w:ascii="仿宋" w:hAnsi="仿宋" w:eastAsia="仿宋" w:cs="仿宋"/>
          <w:bCs/>
          <w:sz w:val="24"/>
        </w:rPr>
        <w:t>后的原件方为有效；</w:t>
      </w:r>
    </w:p>
    <w:p>
      <w:pPr>
        <w:snapToGrid w:val="0"/>
        <w:ind w:firstLine="480" w:firstLineChars="200"/>
        <w:rPr>
          <w:rFonts w:ascii="仿宋" w:hAnsi="仿宋" w:eastAsia="仿宋" w:cs="仿宋"/>
          <w:bCs/>
          <w:sz w:val="24"/>
        </w:rPr>
      </w:pPr>
      <w:r>
        <w:rPr>
          <w:rFonts w:hint="eastAsia" w:ascii="仿宋" w:hAnsi="仿宋" w:eastAsia="仿宋" w:cs="仿宋"/>
          <w:bCs/>
          <w:sz w:val="24"/>
        </w:rPr>
        <w:t>2.须提供法定代表人的身份证复印件。</w:t>
      </w:r>
    </w:p>
    <w:p>
      <w:pPr>
        <w:pStyle w:val="4"/>
        <w:spacing w:before="120" w:after="120"/>
        <w:jc w:val="center"/>
        <w:rPr>
          <w:rFonts w:ascii="宋体"/>
          <w:b w:val="0"/>
          <w:sz w:val="28"/>
        </w:rPr>
      </w:pPr>
      <w:r>
        <w:br w:type="page"/>
      </w:r>
      <w:bookmarkStart w:id="259" w:name="_Toc20370"/>
      <w:bookmarkStart w:id="260" w:name="_Toc9195"/>
      <w:bookmarkStart w:id="261" w:name="_Toc20235"/>
      <w:bookmarkStart w:id="262" w:name="_Toc29120"/>
      <w:bookmarkStart w:id="263" w:name="_Toc114"/>
      <w:bookmarkStart w:id="264" w:name="_Toc10291"/>
      <w:bookmarkStart w:id="265" w:name="_Toc3890"/>
      <w:r>
        <w:rPr>
          <w:rFonts w:hint="eastAsia" w:ascii="黑体" w:eastAsia="黑体"/>
          <w:sz w:val="28"/>
          <w:szCs w:val="28"/>
        </w:rPr>
        <w:t>四、法定代表人授权书</w:t>
      </w:r>
      <w:bookmarkEnd w:id="259"/>
      <w:bookmarkEnd w:id="260"/>
      <w:bookmarkEnd w:id="261"/>
      <w:bookmarkEnd w:id="262"/>
      <w:bookmarkEnd w:id="263"/>
      <w:bookmarkEnd w:id="264"/>
      <w:bookmarkEnd w:id="265"/>
    </w:p>
    <w:p>
      <w:pPr>
        <w:rPr>
          <w:rFonts w:ascii="宋体" w:cs="Arial"/>
          <w:bCs/>
          <w:sz w:val="24"/>
        </w:rPr>
      </w:pPr>
    </w:p>
    <w:p>
      <w:pPr>
        <w:rPr>
          <w:rFonts w:ascii="宋体" w:cs="Arial"/>
          <w:bCs/>
          <w:sz w:val="24"/>
        </w:rPr>
      </w:pPr>
    </w:p>
    <w:p>
      <w:pPr>
        <w:rPr>
          <w:rFonts w:ascii="仿宋" w:hAnsi="仿宋" w:eastAsia="仿宋" w:cs="仿宋"/>
          <w:bCs/>
          <w:sz w:val="24"/>
        </w:rPr>
      </w:pPr>
      <w:r>
        <w:rPr>
          <w:rFonts w:hint="eastAsia" w:ascii="仿宋" w:hAnsi="仿宋" w:eastAsia="仿宋" w:cs="仿宋"/>
          <w:bCs/>
          <w:sz w:val="24"/>
        </w:rPr>
        <w:t>致友和保险经纪有限公司：</w:t>
      </w:r>
    </w:p>
    <w:p>
      <w:pPr>
        <w:rPr>
          <w:rFonts w:ascii="仿宋" w:hAnsi="仿宋" w:eastAsia="仿宋" w:cs="仿宋"/>
          <w:bCs/>
          <w:sz w:val="24"/>
        </w:rPr>
      </w:pPr>
    </w:p>
    <w:p>
      <w:pPr>
        <w:ind w:firstLine="240" w:firstLineChars="100"/>
        <w:rPr>
          <w:rFonts w:ascii="仿宋" w:hAnsi="仿宋" w:eastAsia="仿宋" w:cs="仿宋"/>
          <w:sz w:val="24"/>
        </w:rPr>
      </w:pPr>
      <w:r>
        <w:rPr>
          <w:rFonts w:hint="eastAsia" w:ascii="仿宋" w:hAnsi="仿宋" w:eastAsia="仿宋" w:cs="仿宋"/>
          <w:sz w:val="24"/>
        </w:rPr>
        <w:t>本授权委托书声明：我 （姓名）系（投标人名称）的法定代表人，现授权委托 （单位名称）的 （姓名）为我公司签署本项目已递交的投标文件的法定代表人的授权委托代理人，代理人全权代表我所签署的本项目已递交的投标文件内容我均承认。</w:t>
      </w:r>
    </w:p>
    <w:p>
      <w:pPr>
        <w:spacing w:line="360" w:lineRule="auto"/>
        <w:ind w:firstLine="240" w:firstLineChars="100"/>
        <w:rPr>
          <w:rFonts w:ascii="仿宋" w:hAnsi="仿宋" w:eastAsia="仿宋" w:cs="仿宋"/>
          <w:sz w:val="24"/>
        </w:rPr>
      </w:pPr>
      <w:r>
        <w:rPr>
          <w:rFonts w:hint="eastAsia" w:ascii="仿宋" w:hAnsi="仿宋" w:eastAsia="仿宋" w:cs="仿宋"/>
          <w:sz w:val="24"/>
        </w:rPr>
        <w:t>法定代表人的签字（或盖私章）：</w:t>
      </w:r>
    </w:p>
    <w:p>
      <w:pPr>
        <w:spacing w:line="360" w:lineRule="auto"/>
        <w:ind w:firstLine="240" w:firstLineChars="100"/>
        <w:rPr>
          <w:rFonts w:ascii="仿宋" w:hAnsi="仿宋" w:eastAsia="仿宋" w:cs="仿宋"/>
          <w:sz w:val="24"/>
        </w:rPr>
      </w:pPr>
      <w:r>
        <w:rPr>
          <w:rFonts w:hint="eastAsia" w:ascii="仿宋" w:hAnsi="仿宋" w:eastAsia="仿宋" w:cs="仿宋"/>
          <w:sz w:val="24"/>
        </w:rPr>
        <w:t>被授权人签字（或盖私章）：</w:t>
      </w:r>
    </w:p>
    <w:p>
      <w:pPr>
        <w:ind w:firstLine="240" w:firstLineChars="100"/>
        <w:jc w:val="left"/>
        <w:rPr>
          <w:rFonts w:ascii="仿宋" w:hAnsi="仿宋" w:eastAsia="仿宋" w:cs="仿宋"/>
          <w:sz w:val="24"/>
        </w:rPr>
      </w:pPr>
      <w:r>
        <w:rPr>
          <w:rFonts w:hint="eastAsia" w:ascii="仿宋" w:hAnsi="仿宋" w:eastAsia="仿宋" w:cs="仿宋"/>
          <w:sz w:val="24"/>
        </w:rPr>
        <w:t>投标单位（盖公章）：</w:t>
      </w:r>
    </w:p>
    <w:p>
      <w:pPr>
        <w:spacing w:line="360" w:lineRule="auto"/>
        <w:ind w:firstLine="240" w:firstLineChars="100"/>
        <w:rPr>
          <w:rFonts w:ascii="仿宋" w:hAnsi="仿宋" w:eastAsia="仿宋" w:cs="仿宋"/>
          <w:sz w:val="24"/>
        </w:rPr>
      </w:pPr>
      <w:r>
        <w:rPr>
          <w:rFonts w:hint="eastAsia" w:ascii="仿宋" w:hAnsi="仿宋" w:eastAsia="仿宋" w:cs="仿宋"/>
          <w:sz w:val="24"/>
        </w:rPr>
        <w:t>代理人无转委托权，特此委托。</w:t>
      </w:r>
    </w:p>
    <w:p>
      <w:pPr>
        <w:spacing w:line="360" w:lineRule="auto"/>
        <w:ind w:firstLine="240" w:firstLineChars="100"/>
        <w:rPr>
          <w:rFonts w:ascii="仿宋" w:hAnsi="仿宋" w:eastAsia="仿宋" w:cs="仿宋"/>
          <w:sz w:val="24"/>
        </w:rPr>
      </w:pPr>
    </w:p>
    <w:p>
      <w:pPr>
        <w:ind w:firstLine="240" w:firstLineChars="100"/>
        <w:rPr>
          <w:rFonts w:ascii="仿宋" w:hAnsi="仿宋" w:eastAsia="仿宋" w:cs="仿宋"/>
          <w:sz w:val="24"/>
        </w:rPr>
      </w:pPr>
      <w:r>
        <w:rPr>
          <w:rFonts w:hint="eastAsia" w:ascii="仿宋" w:hAnsi="仿宋" w:eastAsia="仿宋" w:cs="仿宋"/>
          <w:sz w:val="24"/>
        </w:rPr>
        <w:t>代理人： 性别：年龄：</w:t>
      </w:r>
    </w:p>
    <w:p>
      <w:pPr>
        <w:ind w:firstLine="240" w:firstLineChars="100"/>
        <w:rPr>
          <w:rFonts w:ascii="仿宋" w:hAnsi="仿宋" w:eastAsia="仿宋" w:cs="仿宋"/>
          <w:sz w:val="24"/>
        </w:rPr>
      </w:pPr>
      <w:r>
        <w:rPr>
          <w:rFonts w:hint="eastAsia" w:ascii="仿宋" w:hAnsi="仿宋" w:eastAsia="仿宋" w:cs="仿宋"/>
          <w:sz w:val="24"/>
        </w:rPr>
        <w:t>联系电话： 手机：</w:t>
      </w:r>
    </w:p>
    <w:p>
      <w:pPr>
        <w:ind w:firstLine="240" w:firstLineChars="100"/>
        <w:rPr>
          <w:rFonts w:ascii="仿宋" w:hAnsi="仿宋" w:eastAsia="仿宋" w:cs="仿宋"/>
          <w:sz w:val="24"/>
          <w:u w:val="single"/>
        </w:rPr>
      </w:pPr>
      <w:r>
        <w:rPr>
          <w:rFonts w:hint="eastAsia" w:ascii="仿宋" w:hAnsi="仿宋" w:eastAsia="仿宋" w:cs="仿宋"/>
          <w:sz w:val="24"/>
        </w:rPr>
        <w:t>身份证号码： 职务：</w:t>
      </w:r>
    </w:p>
    <w:p>
      <w:pPr>
        <w:ind w:firstLine="240" w:firstLineChars="100"/>
        <w:rPr>
          <w:rFonts w:ascii="仿宋" w:hAnsi="仿宋" w:eastAsia="仿宋" w:cs="仿宋"/>
          <w:sz w:val="24"/>
        </w:rPr>
      </w:pPr>
      <w:r>
        <w:rPr>
          <w:rFonts w:hint="eastAsia" w:ascii="仿宋" w:hAnsi="仿宋" w:eastAsia="仿宋" w:cs="仿宋"/>
          <w:sz w:val="24"/>
        </w:rPr>
        <w:t>投标人：</w:t>
      </w:r>
    </w:p>
    <w:p>
      <w:pPr>
        <w:ind w:firstLine="240" w:firstLineChars="100"/>
        <w:rPr>
          <w:rFonts w:ascii="仿宋" w:hAnsi="仿宋" w:eastAsia="仿宋" w:cs="仿宋"/>
          <w:sz w:val="24"/>
        </w:rPr>
      </w:pPr>
      <w:r>
        <w:rPr>
          <w:rFonts w:hint="eastAsia" w:ascii="仿宋" w:hAnsi="仿宋" w:eastAsia="仿宋" w:cs="仿宋"/>
          <w:sz w:val="24"/>
        </w:rPr>
        <w:t>法定代表人：</w:t>
      </w:r>
    </w:p>
    <w:p>
      <w:pPr>
        <w:ind w:firstLine="240" w:firstLineChars="100"/>
        <w:rPr>
          <w:rFonts w:ascii="仿宋" w:hAnsi="仿宋" w:eastAsia="仿宋" w:cs="仿宋"/>
          <w:kern w:val="0"/>
          <w:sz w:val="24"/>
        </w:rPr>
      </w:pPr>
      <w:r>
        <w:rPr>
          <w:rFonts w:hint="eastAsia" w:ascii="仿宋" w:hAnsi="仿宋" w:eastAsia="仿宋" w:cs="仿宋"/>
          <w:sz w:val="24"/>
        </w:rPr>
        <w:t>授权委托日期： 年 月日</w:t>
      </w:r>
    </w:p>
    <w:p>
      <w:pPr>
        <w:rPr>
          <w:rFonts w:ascii="仿宋" w:hAnsi="仿宋" w:eastAsia="仿宋" w:cs="仿宋"/>
          <w:bCs/>
          <w:sz w:val="24"/>
        </w:rPr>
      </w:pPr>
    </w:p>
    <w:p>
      <w:pPr>
        <w:spacing w:line="360" w:lineRule="auto"/>
        <w:rPr>
          <w:rFonts w:ascii="仿宋" w:hAnsi="仿宋" w:eastAsia="仿宋" w:cs="仿宋"/>
          <w:bCs/>
          <w:sz w:val="24"/>
        </w:rPr>
      </w:pPr>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1" name="文本框 186"/>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 w:val="24"/>
                              </w:rPr>
                            </w:pPr>
                          </w:p>
                          <w:p>
                            <w:pPr>
                              <w:widowControl/>
                              <w:jc w:val="left"/>
                            </w:pPr>
                          </w:p>
                          <w:p>
                            <w:pPr>
                              <w:jc w:val="center"/>
                            </w:pPr>
                            <w:r>
                              <w:rPr>
                                <w:rFonts w:hint="eastAsia" w:ascii="宋体" w:hAnsi="宋体" w:cs="宋体"/>
                                <w:szCs w:val="21"/>
                              </w:rPr>
                              <w:t>被授权人</w:t>
                            </w:r>
                            <w:r>
                              <w:rPr>
                                <w:rFonts w:hint="eastAsia" w:ascii="宋体" w:hAnsi="宋体" w:cs="Arial"/>
                                <w:bCs/>
                                <w:sz w:val="24"/>
                              </w:rPr>
                              <w:t>身份证</w:t>
                            </w:r>
                            <w:r>
                              <w:rPr>
                                <w:rFonts w:hint="eastAsia"/>
                              </w:rPr>
                              <w:t>正面</w:t>
                            </w:r>
                          </w:p>
                        </w:txbxContent>
                      </wps:txbx>
                      <wps:bodyPr wrap="square" anchor="t" anchorCtr="0" upright="1"/>
                    </wps:wsp>
                  </a:graphicData>
                </a:graphic>
              </wp:anchor>
            </w:drawing>
          </mc:Choice>
          <mc:Fallback>
            <w:pict>
              <v:shape id="文本框 186" o:spid="_x0000_s1026" o:spt="202" type="#_x0000_t202" style="position:absolute;left:0pt;margin-left:0.15pt;margin-top:8.65pt;height:151.25pt;width:222.9pt;z-index:251660288;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UyeavVAAAABwEAAA8AAAAAAAAAAQAgAAAAIgAAAGRycy9kb3ducmV2LnhtbFBLAQIUABQAAAAI&#10;AIdO4kAdat84KQIAAG4EAAAOAAAAAAAAAAEAIAAAACQBAABkcnMvZTJvRG9jLnhtbFBLBQYAAAAA&#10;BgAGAFkBAAC/BQAAAAA=&#10;">
                <v:fill on="t" focussize="0,0"/>
                <v:stroke color="#000000" joinstyle="miter"/>
                <v:imagedata o:title=""/>
                <o:lock v:ext="edit" aspectratio="f"/>
                <v:textbox>
                  <w:txbxContent>
                    <w:p>
                      <w:pPr>
                        <w:widowControl/>
                        <w:jc w:val="left"/>
                        <w:rPr>
                          <w:rFonts w:ascii="宋体" w:hAnsi="宋体" w:cs="宋体"/>
                          <w:kern w:val="0"/>
                          <w:sz w:val="24"/>
                        </w:rPr>
                      </w:pPr>
                    </w:p>
                    <w:p>
                      <w:pPr>
                        <w:widowControl/>
                        <w:jc w:val="left"/>
                      </w:pPr>
                    </w:p>
                    <w:p>
                      <w:pPr>
                        <w:jc w:val="center"/>
                      </w:pPr>
                      <w:r>
                        <w:rPr>
                          <w:rFonts w:hint="eastAsia" w:ascii="宋体" w:hAnsi="宋体" w:cs="宋体"/>
                          <w:szCs w:val="21"/>
                        </w:rPr>
                        <w:t>被授权人</w:t>
                      </w:r>
                      <w:r>
                        <w:rPr>
                          <w:rFonts w:hint="eastAsia" w:ascii="宋体" w:hAnsi="宋体" w:cs="Arial"/>
                          <w:bCs/>
                          <w:sz w:val="24"/>
                        </w:rPr>
                        <w:t>身份证</w:t>
                      </w:r>
                      <w:r>
                        <w:rPr>
                          <w:rFonts w:hint="eastAsia"/>
                        </w:rPr>
                        <w:t>正面</w:t>
                      </w:r>
                    </w:p>
                  </w:txbxContent>
                </v:textbox>
              </v:shape>
            </w:pict>
          </mc:Fallback>
        </mc:AlternateContent>
      </w:r>
    </w:p>
    <w:p>
      <w:pPr>
        <w:spacing w:line="360" w:lineRule="auto"/>
        <w:rPr>
          <w:rFonts w:ascii="仿宋" w:hAnsi="仿宋" w:eastAsia="仿宋" w:cs="仿宋"/>
          <w:bCs/>
          <w:sz w:val="24"/>
        </w:rPr>
      </w:pPr>
    </w:p>
    <w:p>
      <w:pPr>
        <w:spacing w:line="360" w:lineRule="auto"/>
        <w:rPr>
          <w:rFonts w:ascii="仿宋" w:hAnsi="仿宋" w:eastAsia="仿宋" w:cs="仿宋"/>
          <w:bCs/>
          <w:sz w:val="24"/>
        </w:rPr>
      </w:pPr>
    </w:p>
    <w:p>
      <w:pPr>
        <w:spacing w:line="360" w:lineRule="auto"/>
        <w:rPr>
          <w:rFonts w:ascii="仿宋" w:hAnsi="仿宋" w:eastAsia="仿宋" w:cs="仿宋"/>
          <w:bCs/>
          <w:sz w:val="24"/>
        </w:rPr>
      </w:pPr>
    </w:p>
    <w:p>
      <w:pPr>
        <w:rPr>
          <w:rFonts w:ascii="仿宋" w:hAnsi="仿宋" w:eastAsia="仿宋" w:cs="仿宋"/>
          <w:sz w:val="24"/>
        </w:rPr>
      </w:pPr>
    </w:p>
    <w:p>
      <w:pPr>
        <w:rPr>
          <w:rFonts w:ascii="仿宋" w:hAnsi="仿宋" w:eastAsia="仿宋" w:cs="仿宋"/>
          <w:sz w:val="24"/>
        </w:rPr>
      </w:pPr>
    </w:p>
    <w:p>
      <w:pPr>
        <w:spacing w:after="60"/>
        <w:rPr>
          <w:rFonts w:ascii="仿宋" w:hAnsi="仿宋" w:eastAsia="仿宋" w:cs="仿宋"/>
          <w:sz w:val="24"/>
        </w:rPr>
      </w:pPr>
    </w:p>
    <w:p>
      <w:pPr>
        <w:rPr>
          <w:rFonts w:ascii="仿宋" w:hAnsi="仿宋" w:eastAsia="仿宋" w:cs="仿宋"/>
          <w:sz w:val="24"/>
        </w:rPr>
      </w:pPr>
    </w:p>
    <w:p>
      <w:pPr>
        <w:jc w:val="center"/>
        <w:rPr>
          <w:rFonts w:ascii="仿宋" w:hAnsi="仿宋" w:eastAsia="仿宋" w:cs="仿宋"/>
          <w:b/>
          <w:bCs/>
          <w:sz w:val="24"/>
        </w:rPr>
      </w:pPr>
      <w:r>
        <mc:AlternateContent>
          <mc:Choice Requires="wps">
            <w:drawing>
              <wp:anchor distT="0" distB="0" distL="114300" distR="114300" simplePos="0" relativeHeight="251661312"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2" name="文本框 14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 w:val="24"/>
                              </w:rPr>
                            </w:pPr>
                          </w:p>
                          <w:p>
                            <w:pPr>
                              <w:widowControl/>
                              <w:jc w:val="left"/>
                            </w:pPr>
                          </w:p>
                          <w:p>
                            <w:pPr>
                              <w:jc w:val="center"/>
                            </w:pPr>
                            <w:r>
                              <w:rPr>
                                <w:rFonts w:hint="eastAsia" w:ascii="宋体" w:hAnsi="宋体" w:cs="宋体"/>
                                <w:szCs w:val="21"/>
                              </w:rPr>
                              <w:t>被授权人</w:t>
                            </w:r>
                            <w:r>
                              <w:rPr>
                                <w:rFonts w:hint="eastAsia" w:ascii="宋体" w:hAnsi="宋体" w:cs="Arial"/>
                                <w:bCs/>
                                <w:sz w:val="24"/>
                              </w:rPr>
                              <w:t>身份证</w:t>
                            </w:r>
                            <w:r>
                              <w:rPr>
                                <w:rFonts w:hint="eastAsia"/>
                              </w:rPr>
                              <w:t>反面</w:t>
                            </w:r>
                          </w:p>
                        </w:txbxContent>
                      </wps:txbx>
                      <wps:bodyPr wrap="square" anchor="t" anchorCtr="0" upright="1"/>
                    </wps:wsp>
                  </a:graphicData>
                </a:graphic>
              </wp:anchor>
            </w:drawing>
          </mc:Choice>
          <mc:Fallback>
            <w:pict>
              <v:shape id="文本框 142" o:spid="_x0000_s1026" o:spt="202" type="#_x0000_t202" style="position:absolute;left:0pt;margin-left:236.2pt;margin-top:-150.35pt;height:151.25pt;width:219.1pt;z-index:251661312;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TiBpdkAAAAKAQAADwAAAAAAAAABACAAAAAiAAAAZHJzL2Rvd25yZXYueG1sUEsBAhQA&#10;FAAAAAgAh07iQNCgHCwqAgAAbgQAAA4AAAAAAAAAAQAgAAAAKAEAAGRycy9lMm9Eb2MueG1sUEsF&#10;BgAAAAAGAAYAWQEAAMQFAAAAAA==&#10;">
                <v:fill on="t" focussize="0,0"/>
                <v:stroke color="#000000" joinstyle="miter"/>
                <v:imagedata o:title=""/>
                <o:lock v:ext="edit" aspectratio="f"/>
                <v:textbox>
                  <w:txbxContent>
                    <w:p>
                      <w:pPr>
                        <w:widowControl/>
                        <w:jc w:val="left"/>
                        <w:rPr>
                          <w:rFonts w:ascii="宋体" w:hAnsi="宋体" w:cs="宋体"/>
                          <w:kern w:val="0"/>
                          <w:sz w:val="24"/>
                        </w:rPr>
                      </w:pPr>
                    </w:p>
                    <w:p>
                      <w:pPr>
                        <w:widowControl/>
                        <w:jc w:val="left"/>
                      </w:pPr>
                    </w:p>
                    <w:p>
                      <w:pPr>
                        <w:jc w:val="center"/>
                      </w:pPr>
                      <w:r>
                        <w:rPr>
                          <w:rFonts w:hint="eastAsia" w:ascii="宋体" w:hAnsi="宋体" w:cs="宋体"/>
                          <w:szCs w:val="21"/>
                        </w:rPr>
                        <w:t>被授权人</w:t>
                      </w:r>
                      <w:r>
                        <w:rPr>
                          <w:rFonts w:hint="eastAsia" w:ascii="宋体" w:hAnsi="宋体" w:cs="Arial"/>
                          <w:bCs/>
                          <w:sz w:val="24"/>
                        </w:rPr>
                        <w:t>身份证</w:t>
                      </w:r>
                      <w:r>
                        <w:rPr>
                          <w:rFonts w:hint="eastAsia"/>
                        </w:rPr>
                        <w:t>反面</w:t>
                      </w:r>
                    </w:p>
                  </w:txbxContent>
                </v:textbox>
              </v:shape>
            </w:pict>
          </mc:Fallback>
        </mc:AlternateContent>
      </w:r>
    </w:p>
    <w:p>
      <w:pPr>
        <w:rPr>
          <w:rFonts w:ascii="仿宋" w:hAnsi="仿宋" w:eastAsia="仿宋" w:cs="仿宋"/>
          <w:bCs/>
          <w:sz w:val="24"/>
        </w:rPr>
      </w:pPr>
    </w:p>
    <w:p>
      <w:pPr>
        <w:rPr>
          <w:rFonts w:ascii="仿宋" w:hAnsi="仿宋" w:eastAsia="仿宋" w:cs="仿宋"/>
          <w:bCs/>
          <w:sz w:val="24"/>
        </w:rPr>
      </w:pPr>
      <w:r>
        <w:rPr>
          <w:rFonts w:hint="eastAsia" w:ascii="仿宋" w:hAnsi="仿宋" w:eastAsia="仿宋" w:cs="仿宋"/>
          <w:bCs/>
          <w:sz w:val="24"/>
        </w:rPr>
        <w:t>说明：</w:t>
      </w:r>
    </w:p>
    <w:p>
      <w:pPr>
        <w:ind w:firstLine="480" w:firstLineChars="200"/>
        <w:rPr>
          <w:rFonts w:ascii="仿宋" w:hAnsi="仿宋" w:eastAsia="仿宋" w:cs="仿宋"/>
          <w:bCs/>
          <w:sz w:val="24"/>
        </w:rPr>
      </w:pPr>
      <w:r>
        <w:rPr>
          <w:rFonts w:hint="eastAsia" w:ascii="仿宋" w:hAnsi="仿宋" w:eastAsia="仿宋" w:cs="仿宋"/>
          <w:bCs/>
          <w:sz w:val="24"/>
        </w:rPr>
        <w:t>1.本授权委托书要求投标人提供有</w:t>
      </w:r>
      <w:r>
        <w:rPr>
          <w:rFonts w:hint="eastAsia" w:ascii="仿宋" w:hAnsi="仿宋" w:eastAsia="仿宋" w:cs="仿宋"/>
          <w:b/>
          <w:bCs/>
          <w:sz w:val="24"/>
        </w:rPr>
        <w:t>被授权人签字、法定代表人的签字（或盖私章）和加盖公章</w:t>
      </w:r>
      <w:r>
        <w:rPr>
          <w:rFonts w:hint="eastAsia" w:ascii="仿宋" w:hAnsi="仿宋" w:eastAsia="仿宋" w:cs="仿宋"/>
          <w:bCs/>
          <w:sz w:val="24"/>
        </w:rPr>
        <w:t>后的原件方为有效；</w:t>
      </w:r>
    </w:p>
    <w:p>
      <w:pPr>
        <w:ind w:firstLine="480" w:firstLineChars="200"/>
        <w:rPr>
          <w:rFonts w:ascii="仿宋" w:hAnsi="仿宋" w:eastAsia="仿宋" w:cs="仿宋"/>
          <w:bCs/>
          <w:sz w:val="24"/>
        </w:rPr>
      </w:pPr>
      <w:r>
        <w:rPr>
          <w:rFonts w:hint="eastAsia" w:ascii="仿宋" w:hAnsi="仿宋" w:eastAsia="仿宋" w:cs="仿宋"/>
          <w:bCs/>
          <w:sz w:val="24"/>
        </w:rPr>
        <w:t>2.提供被授权人的身份证复印件。</w:t>
      </w:r>
    </w:p>
    <w:p>
      <w:pPr>
        <w:pStyle w:val="4"/>
        <w:spacing w:before="120" w:after="120"/>
        <w:jc w:val="center"/>
        <w:rPr>
          <w:rFonts w:ascii="黑体" w:eastAsia="黑体"/>
          <w:sz w:val="28"/>
          <w:szCs w:val="28"/>
        </w:rPr>
      </w:pPr>
      <w:r>
        <w:br w:type="page"/>
      </w:r>
      <w:bookmarkStart w:id="266" w:name="_Toc23993"/>
      <w:bookmarkStart w:id="267" w:name="_Toc17790"/>
      <w:bookmarkStart w:id="268" w:name="_Toc8296"/>
      <w:bookmarkStart w:id="269" w:name="_Toc13830"/>
      <w:bookmarkStart w:id="270" w:name="_Toc785"/>
      <w:bookmarkStart w:id="271" w:name="_Toc17264"/>
      <w:bookmarkStart w:id="272" w:name="_Toc2182"/>
      <w:r>
        <w:rPr>
          <w:rFonts w:hint="eastAsia" w:ascii="黑体" w:eastAsia="黑体"/>
          <w:sz w:val="28"/>
          <w:szCs w:val="28"/>
        </w:rPr>
        <w:t>五、</w:t>
      </w:r>
      <w:bookmarkEnd w:id="266"/>
      <w:bookmarkEnd w:id="267"/>
      <w:bookmarkStart w:id="273" w:name="_Toc30465"/>
      <w:bookmarkStart w:id="274" w:name="_Toc18575"/>
      <w:r>
        <w:rPr>
          <w:rFonts w:hint="eastAsia" w:ascii="黑体" w:eastAsia="黑体"/>
          <w:sz w:val="28"/>
          <w:szCs w:val="28"/>
        </w:rPr>
        <w:t>分项报价清单表</w:t>
      </w:r>
      <w:bookmarkEnd w:id="268"/>
      <w:bookmarkEnd w:id="269"/>
      <w:bookmarkEnd w:id="270"/>
      <w:bookmarkEnd w:id="271"/>
      <w:bookmarkEnd w:id="272"/>
      <w:bookmarkEnd w:id="273"/>
      <w:bookmarkEnd w:id="274"/>
    </w:p>
    <w:p>
      <w:pPr>
        <w:rPr>
          <w:rFonts w:ascii="仿宋" w:hAnsi="仿宋" w:eastAsia="仿宋" w:cs="仿宋"/>
          <w:szCs w:val="21"/>
        </w:rPr>
      </w:pPr>
      <w:r>
        <w:rPr>
          <w:rFonts w:hint="eastAsia" w:ascii="仿宋" w:hAnsi="仿宋" w:eastAsia="仿宋" w:cs="仿宋"/>
          <w:szCs w:val="21"/>
        </w:rPr>
        <w:t xml:space="preserve">项目名称： </w:t>
      </w:r>
    </w:p>
    <w:p>
      <w:pPr>
        <w:rPr>
          <w:rFonts w:ascii="仿宋" w:hAnsi="仿宋" w:eastAsia="仿宋" w:cs="仿宋"/>
          <w:szCs w:val="21"/>
        </w:rPr>
      </w:pPr>
      <w:r>
        <w:rPr>
          <w:rFonts w:hint="eastAsia" w:ascii="仿宋" w:hAnsi="仿宋" w:eastAsia="仿宋" w:cs="仿宋"/>
          <w:szCs w:val="21"/>
        </w:rPr>
        <w:t>项目编号：</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序号</w:t>
            </w:r>
          </w:p>
        </w:tc>
        <w:tc>
          <w:tcPr>
            <w:tcW w:w="2212" w:type="dxa"/>
            <w:vAlign w:val="center"/>
          </w:tcPr>
          <w:p>
            <w:pPr>
              <w:rPr>
                <w:rFonts w:ascii="仿宋" w:hAnsi="仿宋" w:eastAsia="仿宋" w:cs="仿宋"/>
                <w:szCs w:val="21"/>
              </w:rPr>
            </w:pPr>
            <w:r>
              <w:rPr>
                <w:rFonts w:hint="eastAsia" w:ascii="仿宋" w:hAnsi="仿宋" w:eastAsia="仿宋" w:cs="仿宋"/>
                <w:szCs w:val="21"/>
              </w:rPr>
              <w:t>项目名称、内容</w:t>
            </w:r>
          </w:p>
        </w:tc>
        <w:tc>
          <w:tcPr>
            <w:tcW w:w="720" w:type="dxa"/>
            <w:vAlign w:val="center"/>
          </w:tcPr>
          <w:p>
            <w:pPr>
              <w:rPr>
                <w:rFonts w:ascii="仿宋" w:hAnsi="仿宋" w:eastAsia="仿宋" w:cs="仿宋"/>
                <w:szCs w:val="21"/>
              </w:rPr>
            </w:pPr>
            <w:r>
              <w:rPr>
                <w:rFonts w:hint="eastAsia" w:ascii="仿宋" w:hAnsi="仿宋" w:eastAsia="仿宋" w:cs="仿宋"/>
                <w:szCs w:val="21"/>
              </w:rPr>
              <w:t>单位</w:t>
            </w:r>
          </w:p>
        </w:tc>
        <w:tc>
          <w:tcPr>
            <w:tcW w:w="1800" w:type="dxa"/>
            <w:vAlign w:val="center"/>
          </w:tcPr>
          <w:p>
            <w:pPr>
              <w:rPr>
                <w:rFonts w:ascii="仿宋" w:hAnsi="仿宋" w:eastAsia="仿宋" w:cs="仿宋"/>
                <w:szCs w:val="21"/>
              </w:rPr>
            </w:pPr>
            <w:r>
              <w:rPr>
                <w:rFonts w:hint="eastAsia" w:ascii="仿宋" w:hAnsi="仿宋" w:eastAsia="仿宋" w:cs="仿宋"/>
                <w:szCs w:val="21"/>
              </w:rPr>
              <w:t>数量（工作量）</w:t>
            </w:r>
          </w:p>
        </w:tc>
        <w:tc>
          <w:tcPr>
            <w:tcW w:w="1620" w:type="dxa"/>
            <w:vAlign w:val="center"/>
          </w:tcPr>
          <w:p>
            <w:pPr>
              <w:rPr>
                <w:rFonts w:ascii="仿宋" w:hAnsi="仿宋" w:eastAsia="仿宋" w:cs="仿宋"/>
                <w:szCs w:val="21"/>
              </w:rPr>
            </w:pPr>
            <w:r>
              <w:rPr>
                <w:rFonts w:hint="eastAsia" w:ascii="仿宋" w:hAnsi="仿宋" w:eastAsia="仿宋" w:cs="仿宋"/>
                <w:szCs w:val="21"/>
              </w:rPr>
              <w:t>单价</w:t>
            </w:r>
          </w:p>
        </w:tc>
        <w:tc>
          <w:tcPr>
            <w:tcW w:w="1620" w:type="dxa"/>
            <w:vAlign w:val="center"/>
          </w:tcPr>
          <w:p>
            <w:pPr>
              <w:rPr>
                <w:rFonts w:ascii="仿宋" w:hAnsi="仿宋" w:eastAsia="仿宋" w:cs="仿宋"/>
                <w:szCs w:val="21"/>
              </w:rPr>
            </w:pPr>
            <w:r>
              <w:rPr>
                <w:rFonts w:hint="eastAsia" w:ascii="仿宋" w:hAnsi="仿宋" w:eastAsia="仿宋"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1</w:t>
            </w:r>
          </w:p>
        </w:tc>
        <w:tc>
          <w:tcPr>
            <w:tcW w:w="2212" w:type="dxa"/>
            <w:vAlign w:val="center"/>
          </w:tcPr>
          <w:p>
            <w:pPr>
              <w:rPr>
                <w:rFonts w:ascii="仿宋" w:hAnsi="仿宋" w:eastAsia="仿宋" w:cs="仿宋"/>
                <w:szCs w:val="21"/>
              </w:rPr>
            </w:pP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2</w:t>
            </w:r>
          </w:p>
        </w:tc>
        <w:tc>
          <w:tcPr>
            <w:tcW w:w="2212" w:type="dxa"/>
            <w:vAlign w:val="center"/>
          </w:tcPr>
          <w:p>
            <w:pPr>
              <w:rPr>
                <w:rFonts w:ascii="仿宋" w:hAnsi="仿宋" w:eastAsia="仿宋" w:cs="仿宋"/>
                <w:szCs w:val="21"/>
              </w:rPr>
            </w:pP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3</w:t>
            </w:r>
          </w:p>
        </w:tc>
        <w:tc>
          <w:tcPr>
            <w:tcW w:w="2212" w:type="dxa"/>
            <w:vAlign w:val="center"/>
          </w:tcPr>
          <w:p>
            <w:pPr>
              <w:rPr>
                <w:rFonts w:ascii="仿宋" w:hAnsi="仿宋" w:eastAsia="仿宋" w:cs="仿宋"/>
                <w:szCs w:val="21"/>
              </w:rPr>
            </w:pP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4</w:t>
            </w:r>
          </w:p>
        </w:tc>
        <w:tc>
          <w:tcPr>
            <w:tcW w:w="2212" w:type="dxa"/>
            <w:vAlign w:val="center"/>
          </w:tcPr>
          <w:p>
            <w:pPr>
              <w:rPr>
                <w:rFonts w:ascii="仿宋" w:hAnsi="仿宋" w:eastAsia="仿宋" w:cs="仿宋"/>
                <w:szCs w:val="21"/>
              </w:rPr>
            </w:pP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5</w:t>
            </w:r>
          </w:p>
        </w:tc>
        <w:tc>
          <w:tcPr>
            <w:tcW w:w="2212" w:type="dxa"/>
            <w:vAlign w:val="center"/>
          </w:tcPr>
          <w:p>
            <w:pPr>
              <w:rPr>
                <w:rFonts w:ascii="仿宋" w:hAnsi="仿宋" w:eastAsia="仿宋" w:cs="仿宋"/>
                <w:szCs w:val="21"/>
              </w:rPr>
            </w:pP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6</w:t>
            </w:r>
          </w:p>
        </w:tc>
        <w:tc>
          <w:tcPr>
            <w:tcW w:w="2212" w:type="dxa"/>
            <w:vAlign w:val="center"/>
          </w:tcPr>
          <w:p>
            <w:pPr>
              <w:rPr>
                <w:rFonts w:ascii="仿宋" w:hAnsi="仿宋" w:eastAsia="仿宋" w:cs="仿宋"/>
                <w:szCs w:val="21"/>
              </w:rPr>
            </w:pP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7</w:t>
            </w:r>
          </w:p>
        </w:tc>
        <w:tc>
          <w:tcPr>
            <w:tcW w:w="2212" w:type="dxa"/>
            <w:vAlign w:val="center"/>
          </w:tcPr>
          <w:p>
            <w:pPr>
              <w:rPr>
                <w:rFonts w:ascii="仿宋" w:hAnsi="仿宋" w:eastAsia="仿宋" w:cs="仿宋"/>
                <w:szCs w:val="21"/>
              </w:rPr>
            </w:pP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8</w:t>
            </w:r>
          </w:p>
        </w:tc>
        <w:tc>
          <w:tcPr>
            <w:tcW w:w="2212" w:type="dxa"/>
            <w:vAlign w:val="center"/>
          </w:tcPr>
          <w:p>
            <w:pPr>
              <w:rPr>
                <w:rFonts w:ascii="仿宋" w:hAnsi="仿宋" w:eastAsia="仿宋" w:cs="仿宋"/>
                <w:szCs w:val="21"/>
              </w:rPr>
            </w:pP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9</w:t>
            </w:r>
          </w:p>
        </w:tc>
        <w:tc>
          <w:tcPr>
            <w:tcW w:w="2212" w:type="dxa"/>
            <w:vAlign w:val="center"/>
          </w:tcPr>
          <w:p>
            <w:pPr>
              <w:rPr>
                <w:rFonts w:ascii="仿宋" w:hAnsi="仿宋" w:eastAsia="仿宋" w:cs="仿宋"/>
                <w:szCs w:val="21"/>
              </w:rPr>
            </w:pP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rPr>
                <w:rFonts w:ascii="仿宋" w:hAnsi="仿宋" w:eastAsia="仿宋" w:cs="仿宋"/>
                <w:szCs w:val="21"/>
              </w:rPr>
            </w:pPr>
            <w:r>
              <w:rPr>
                <w:rFonts w:hint="eastAsia" w:ascii="仿宋" w:hAnsi="仿宋" w:eastAsia="仿宋" w:cs="仿宋"/>
                <w:szCs w:val="21"/>
              </w:rPr>
              <w:t>…</w:t>
            </w:r>
          </w:p>
        </w:tc>
        <w:tc>
          <w:tcPr>
            <w:tcW w:w="2212" w:type="dxa"/>
            <w:vAlign w:val="center"/>
          </w:tcPr>
          <w:p>
            <w:pPr>
              <w:rPr>
                <w:rFonts w:ascii="仿宋" w:hAnsi="仿宋" w:eastAsia="仿宋" w:cs="仿宋"/>
                <w:szCs w:val="21"/>
              </w:rPr>
            </w:pPr>
            <w:r>
              <w:rPr>
                <w:rFonts w:hint="eastAsia" w:ascii="仿宋" w:hAnsi="仿宋" w:eastAsia="仿宋" w:cs="仿宋"/>
                <w:szCs w:val="21"/>
              </w:rPr>
              <w:t>…</w:t>
            </w:r>
          </w:p>
        </w:tc>
        <w:tc>
          <w:tcPr>
            <w:tcW w:w="720" w:type="dxa"/>
            <w:vAlign w:val="center"/>
          </w:tcPr>
          <w:p>
            <w:pPr>
              <w:rPr>
                <w:rFonts w:ascii="仿宋" w:hAnsi="仿宋" w:eastAsia="仿宋" w:cs="仿宋"/>
                <w:szCs w:val="21"/>
              </w:rPr>
            </w:pPr>
          </w:p>
        </w:tc>
        <w:tc>
          <w:tcPr>
            <w:tcW w:w="180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c>
          <w:tcPr>
            <w:tcW w:w="1620"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rPr>
                <w:rFonts w:ascii="仿宋" w:hAnsi="仿宋" w:eastAsia="仿宋" w:cs="仿宋"/>
                <w:szCs w:val="21"/>
              </w:rPr>
            </w:pPr>
            <w:r>
              <w:rPr>
                <w:rFonts w:hint="eastAsia" w:ascii="仿宋" w:hAnsi="仿宋" w:eastAsia="仿宋" w:cs="仿宋"/>
                <w:szCs w:val="21"/>
              </w:rPr>
              <w:t>报价合计</w:t>
            </w:r>
          </w:p>
        </w:tc>
      </w:tr>
    </w:tbl>
    <w:p>
      <w:pPr>
        <w:rPr>
          <w:rFonts w:ascii="仿宋" w:hAnsi="仿宋" w:eastAsia="仿宋" w:cs="仿宋"/>
          <w:b/>
          <w:bCs/>
          <w:sz w:val="20"/>
          <w:szCs w:val="20"/>
        </w:rPr>
      </w:pPr>
    </w:p>
    <w:p>
      <w:pPr>
        <w:rPr>
          <w:rFonts w:ascii="仿宋" w:hAnsi="仿宋" w:eastAsia="仿宋" w:cs="仿宋"/>
          <w:b/>
          <w:bCs/>
          <w:sz w:val="20"/>
          <w:szCs w:val="20"/>
        </w:rPr>
      </w:pPr>
      <w:r>
        <w:rPr>
          <w:rFonts w:hint="eastAsia" w:ascii="仿宋" w:hAnsi="仿宋" w:eastAsia="仿宋" w:cs="仿宋"/>
          <w:b/>
          <w:bCs/>
          <w:sz w:val="20"/>
          <w:szCs w:val="20"/>
        </w:rPr>
        <w:t>注：</w:t>
      </w:r>
    </w:p>
    <w:p>
      <w:pPr>
        <w:widowControl/>
        <w:tabs>
          <w:tab w:val="left" w:pos="424"/>
        </w:tabs>
        <w:jc w:val="left"/>
        <w:rPr>
          <w:rFonts w:ascii="仿宋" w:hAnsi="仿宋" w:eastAsia="仿宋" w:cs="仿宋"/>
          <w:b/>
          <w:sz w:val="20"/>
          <w:szCs w:val="20"/>
        </w:rPr>
      </w:pPr>
      <w:r>
        <w:rPr>
          <w:rFonts w:hint="eastAsia" w:ascii="仿宋" w:hAnsi="仿宋" w:eastAsia="仿宋" w:cs="仿宋"/>
          <w:b/>
          <w:sz w:val="20"/>
          <w:szCs w:val="20"/>
        </w:rPr>
        <w:t>1.本表格仅为指导性范本，供应商应根据项目具体情况对各分项内容进行调整提供详细分项报价。</w:t>
      </w:r>
    </w:p>
    <w:p>
      <w:pPr>
        <w:widowControl/>
        <w:tabs>
          <w:tab w:val="left" w:pos="424"/>
        </w:tabs>
        <w:jc w:val="left"/>
        <w:rPr>
          <w:rFonts w:ascii="仿宋" w:hAnsi="仿宋" w:eastAsia="仿宋" w:cs="仿宋"/>
          <w:b/>
          <w:sz w:val="20"/>
          <w:szCs w:val="20"/>
        </w:rPr>
      </w:pPr>
      <w:r>
        <w:rPr>
          <w:rFonts w:hint="eastAsia" w:ascii="仿宋" w:hAnsi="仿宋" w:eastAsia="仿宋" w:cs="仿宋"/>
          <w:b/>
          <w:sz w:val="20"/>
          <w:szCs w:val="20"/>
        </w:rPr>
        <w:t>2.分项报价的汇总价等于“开标一览表”中的报价总价。</w:t>
      </w:r>
    </w:p>
    <w:p>
      <w:pPr>
        <w:widowControl/>
        <w:jc w:val="left"/>
        <w:rPr>
          <w:rFonts w:ascii="仿宋" w:hAnsi="仿宋" w:eastAsia="仿宋" w:cs="仿宋"/>
          <w:b/>
          <w:sz w:val="20"/>
          <w:szCs w:val="20"/>
        </w:rPr>
      </w:pPr>
      <w:r>
        <w:rPr>
          <w:rFonts w:hint="eastAsia" w:ascii="仿宋" w:hAnsi="仿宋" w:eastAsia="仿宋" w:cs="仿宋"/>
          <w:b/>
          <w:bCs/>
          <w:sz w:val="20"/>
          <w:szCs w:val="20"/>
        </w:rPr>
        <w:t>3.</w:t>
      </w:r>
      <w:r>
        <w:rPr>
          <w:rFonts w:hint="eastAsia" w:ascii="仿宋" w:hAnsi="仿宋" w:eastAsia="仿宋" w:cs="仿宋"/>
          <w:b/>
          <w:sz w:val="20"/>
          <w:szCs w:val="20"/>
        </w:rPr>
        <w:t>如果以上内容无法满足投标人对报价描述，可自行添加包含在价格因素内的一切内容，但不提供详细分项报价将视为没有实质性响应招标文件。</w:t>
      </w:r>
    </w:p>
    <w:p>
      <w:pPr>
        <w:spacing w:line="360" w:lineRule="auto"/>
        <w:ind w:firstLine="4410" w:firstLineChars="2100"/>
        <w:rPr>
          <w:rFonts w:ascii="仿宋" w:hAnsi="仿宋" w:eastAsia="仿宋" w:cs="仿宋"/>
          <w:szCs w:val="21"/>
        </w:rPr>
      </w:pPr>
      <w:r>
        <w:rPr>
          <w:rFonts w:hint="eastAsia" w:ascii="仿宋" w:hAnsi="仿宋" w:eastAsia="仿宋" w:cs="仿宋"/>
          <w:szCs w:val="21"/>
        </w:rPr>
        <w:t>（公司名称）</w:t>
      </w:r>
    </w:p>
    <w:p>
      <w:pPr>
        <w:spacing w:line="360" w:lineRule="auto"/>
        <w:ind w:firstLine="3780" w:firstLineChars="1800"/>
        <w:rPr>
          <w:rFonts w:ascii="仿宋" w:hAnsi="仿宋" w:eastAsia="仿宋" w:cs="仿宋"/>
          <w:szCs w:val="21"/>
          <w:u w:val="single"/>
        </w:rPr>
      </w:pPr>
      <w:r>
        <w:rPr>
          <w:rFonts w:hint="eastAsia" w:ascii="仿宋" w:hAnsi="仿宋" w:eastAsia="仿宋" w:cs="仿宋"/>
          <w:szCs w:val="21"/>
        </w:rPr>
        <w:t>法定代表人或授权委托人(</w:t>
      </w:r>
      <w:r>
        <w:rPr>
          <w:rFonts w:hint="eastAsia" w:ascii="仿宋" w:hAnsi="仿宋" w:eastAsia="仿宋" w:cs="仿宋"/>
          <w:b/>
        </w:rPr>
        <w:t>签名或盖私章</w:t>
      </w:r>
      <w:r>
        <w:rPr>
          <w:rFonts w:hint="eastAsia" w:ascii="仿宋" w:hAnsi="仿宋" w:eastAsia="仿宋" w:cs="仿宋"/>
          <w:szCs w:val="21"/>
        </w:rPr>
        <w:t>)：</w:t>
      </w:r>
    </w:p>
    <w:p>
      <w:pPr>
        <w:spacing w:line="360" w:lineRule="auto"/>
        <w:ind w:firstLine="4830" w:firstLineChars="2300"/>
        <w:rPr>
          <w:rFonts w:ascii="仿宋" w:hAnsi="仿宋" w:eastAsia="仿宋" w:cs="仿宋"/>
        </w:rPr>
      </w:pPr>
      <w:r>
        <w:rPr>
          <w:rFonts w:hint="eastAsia" w:ascii="仿宋" w:hAnsi="仿宋" w:eastAsia="仿宋" w:cs="仿宋"/>
        </w:rPr>
        <w:t xml:space="preserve">日期：      年    月  </w:t>
      </w:r>
    </w:p>
    <w:p>
      <w:pPr>
        <w:rPr>
          <w:rFonts w:ascii="黑体" w:eastAsia="黑体"/>
          <w:sz w:val="28"/>
          <w:szCs w:val="28"/>
        </w:rPr>
      </w:pPr>
      <w:bookmarkStart w:id="275" w:name="_Toc31359"/>
      <w:bookmarkStart w:id="276" w:name="_Toc11986"/>
      <w:bookmarkStart w:id="277" w:name="_Toc26677"/>
      <w:bookmarkStart w:id="278" w:name="_Toc13681"/>
      <w:bookmarkStart w:id="279" w:name="_Toc6384"/>
      <w:r>
        <w:rPr>
          <w:rFonts w:hint="eastAsia" w:ascii="黑体" w:eastAsia="黑体"/>
          <w:sz w:val="28"/>
          <w:szCs w:val="28"/>
        </w:rPr>
        <w:br w:type="page"/>
      </w:r>
    </w:p>
    <w:p>
      <w:pPr>
        <w:pStyle w:val="4"/>
        <w:spacing w:before="120" w:after="120"/>
        <w:jc w:val="center"/>
        <w:rPr>
          <w:rFonts w:ascii="黑体" w:eastAsia="黑体"/>
          <w:sz w:val="28"/>
          <w:szCs w:val="28"/>
        </w:rPr>
      </w:pPr>
      <w:bookmarkStart w:id="280" w:name="_Toc22119"/>
      <w:bookmarkStart w:id="281" w:name="_Toc13859"/>
      <w:r>
        <w:rPr>
          <w:rFonts w:hint="eastAsia" w:ascii="黑体" w:eastAsia="黑体"/>
          <w:sz w:val="28"/>
          <w:szCs w:val="28"/>
        </w:rPr>
        <w:t>六、供应商情况介绍</w:t>
      </w:r>
      <w:bookmarkEnd w:id="275"/>
      <w:bookmarkEnd w:id="276"/>
      <w:bookmarkEnd w:id="277"/>
      <w:bookmarkEnd w:id="278"/>
      <w:bookmarkEnd w:id="279"/>
      <w:bookmarkEnd w:id="280"/>
      <w:bookmarkEnd w:id="281"/>
    </w:p>
    <w:p>
      <w:pPr>
        <w:spacing w:line="360" w:lineRule="auto"/>
        <w:rPr>
          <w:rFonts w:ascii="仿宋" w:hAnsi="仿宋" w:eastAsia="仿宋" w:cs="仿宋"/>
          <w:b/>
          <w:szCs w:val="21"/>
        </w:rPr>
      </w:pPr>
      <w:r>
        <w:rPr>
          <w:rFonts w:hint="eastAsia" w:ascii="仿宋" w:hAnsi="仿宋" w:eastAsia="仿宋" w:cs="仿宋"/>
          <w:b/>
          <w:szCs w:val="21"/>
        </w:rPr>
        <w:t>（一）供应商一览表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2898" w:type="dxa"/>
            <w:vAlign w:val="center"/>
          </w:tcPr>
          <w:p>
            <w:pPr>
              <w:jc w:val="center"/>
              <w:rPr>
                <w:rFonts w:ascii="仿宋" w:hAnsi="仿宋" w:eastAsia="仿宋" w:cs="仿宋"/>
                <w:szCs w:val="21"/>
              </w:rPr>
            </w:pPr>
            <w:r>
              <w:rPr>
                <w:rFonts w:hint="eastAsia" w:ascii="仿宋" w:hAnsi="仿宋" w:eastAsia="仿宋" w:cs="仿宋"/>
                <w:szCs w:val="21"/>
              </w:rPr>
              <w:t>项  目</w:t>
            </w:r>
          </w:p>
        </w:tc>
        <w:tc>
          <w:tcPr>
            <w:tcW w:w="4316" w:type="dxa"/>
            <w:vAlign w:val="center"/>
          </w:tcPr>
          <w:p>
            <w:pPr>
              <w:jc w:val="center"/>
              <w:rPr>
                <w:rFonts w:ascii="仿宋" w:hAnsi="仿宋" w:eastAsia="仿宋" w:cs="仿宋"/>
                <w:szCs w:val="21"/>
              </w:rPr>
            </w:pPr>
            <w:r>
              <w:rPr>
                <w:rFonts w:hint="eastAsia" w:ascii="仿宋" w:hAnsi="仿宋" w:eastAsia="仿宋" w:cs="仿宋"/>
                <w:szCs w:val="21"/>
              </w:rPr>
              <w:t>内容及说明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vAlign w:val="center"/>
          </w:tcPr>
          <w:p>
            <w:pPr>
              <w:jc w:val="center"/>
              <w:rPr>
                <w:rFonts w:ascii="仿宋" w:hAnsi="仿宋" w:eastAsia="仿宋" w:cs="仿宋"/>
                <w:szCs w:val="21"/>
              </w:rPr>
            </w:pPr>
            <w:r>
              <w:rPr>
                <w:rFonts w:hint="eastAsia" w:ascii="仿宋" w:hAnsi="仿宋" w:eastAsia="仿宋" w:cs="仿宋"/>
                <w:szCs w:val="21"/>
              </w:rPr>
              <w:t>一</w:t>
            </w:r>
          </w:p>
        </w:tc>
        <w:tc>
          <w:tcPr>
            <w:tcW w:w="2898" w:type="dxa"/>
            <w:vAlign w:val="center"/>
          </w:tcPr>
          <w:p>
            <w:pPr>
              <w:jc w:val="left"/>
              <w:rPr>
                <w:rFonts w:ascii="仿宋" w:hAnsi="仿宋" w:eastAsia="仿宋" w:cs="仿宋"/>
                <w:szCs w:val="21"/>
              </w:rPr>
            </w:pPr>
            <w:r>
              <w:rPr>
                <w:rFonts w:hint="eastAsia" w:ascii="仿宋" w:hAnsi="仿宋" w:eastAsia="仿宋" w:cs="仿宋"/>
                <w:szCs w:val="21"/>
              </w:rPr>
              <w:t>营业执照/事业单位法人证书或其他证明材料</w:t>
            </w:r>
          </w:p>
        </w:tc>
        <w:tc>
          <w:tcPr>
            <w:tcW w:w="4316"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1.注册年度及注册编号</w:t>
            </w:r>
          </w:p>
        </w:tc>
        <w:tc>
          <w:tcPr>
            <w:tcW w:w="4316"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2.注册资金（万元）：</w:t>
            </w:r>
          </w:p>
        </w:tc>
        <w:tc>
          <w:tcPr>
            <w:tcW w:w="4316"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3.经营场所：</w:t>
            </w:r>
          </w:p>
        </w:tc>
        <w:tc>
          <w:tcPr>
            <w:tcW w:w="4316"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4.有效期：</w:t>
            </w:r>
          </w:p>
        </w:tc>
        <w:tc>
          <w:tcPr>
            <w:tcW w:w="4316"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vAlign w:val="center"/>
          </w:tcPr>
          <w:p>
            <w:pPr>
              <w:jc w:val="center"/>
              <w:rPr>
                <w:rFonts w:ascii="仿宋" w:hAnsi="仿宋" w:eastAsia="仿宋" w:cs="仿宋"/>
                <w:szCs w:val="21"/>
              </w:rPr>
            </w:pPr>
            <w:r>
              <w:rPr>
                <w:rFonts w:hint="eastAsia" w:ascii="仿宋" w:hAnsi="仿宋" w:eastAsia="仿宋" w:cs="仿宋"/>
                <w:szCs w:val="21"/>
              </w:rPr>
              <w:t>二</w:t>
            </w:r>
          </w:p>
        </w:tc>
        <w:tc>
          <w:tcPr>
            <w:tcW w:w="2898" w:type="dxa"/>
            <w:vAlign w:val="center"/>
          </w:tcPr>
          <w:p>
            <w:pPr>
              <w:jc w:val="left"/>
              <w:rPr>
                <w:rFonts w:ascii="仿宋" w:hAnsi="仿宋" w:eastAsia="仿宋" w:cs="仿宋"/>
                <w:szCs w:val="21"/>
              </w:rPr>
            </w:pPr>
            <w:r>
              <w:rPr>
                <w:rFonts w:hint="eastAsia" w:ascii="仿宋" w:hAnsi="仿宋" w:eastAsia="仿宋" w:cs="仿宋"/>
                <w:szCs w:val="21"/>
              </w:rPr>
              <w:t>其他资格（质）证书</w:t>
            </w:r>
          </w:p>
        </w:tc>
        <w:tc>
          <w:tcPr>
            <w:tcW w:w="4316" w:type="dxa"/>
            <w:vAlign w:val="center"/>
          </w:tcPr>
          <w:p>
            <w:pPr>
              <w:jc w:val="center"/>
              <w:rPr>
                <w:rFonts w:ascii="仿宋" w:hAnsi="仿宋" w:eastAsia="仿宋" w:cs="仿宋"/>
                <w:szCs w:val="21"/>
              </w:rPr>
            </w:pPr>
            <w:r>
              <w:rPr>
                <w:rFonts w:hint="eastAsia" w:ascii="仿宋" w:hAnsi="仿宋" w:eastAsia="仿宋" w:cs="仿宋"/>
                <w:szCs w:val="21"/>
              </w:rPr>
              <w:t>（可按表格格式扩展）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1.证书名称</w:t>
            </w:r>
          </w:p>
        </w:tc>
        <w:tc>
          <w:tcPr>
            <w:tcW w:w="4316"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2.批准单位</w:t>
            </w:r>
          </w:p>
        </w:tc>
        <w:tc>
          <w:tcPr>
            <w:tcW w:w="4316"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3.等级</w:t>
            </w:r>
          </w:p>
        </w:tc>
        <w:tc>
          <w:tcPr>
            <w:tcW w:w="4316"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4.批准时间及编号</w:t>
            </w:r>
          </w:p>
        </w:tc>
        <w:tc>
          <w:tcPr>
            <w:tcW w:w="4316"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5.有效期</w:t>
            </w:r>
          </w:p>
        </w:tc>
        <w:tc>
          <w:tcPr>
            <w:tcW w:w="4316"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rFonts w:ascii="仿宋" w:hAnsi="仿宋" w:eastAsia="仿宋" w:cs="仿宋"/>
                <w:szCs w:val="21"/>
              </w:rPr>
            </w:pPr>
            <w:r>
              <w:rPr>
                <w:rFonts w:hint="eastAsia" w:ascii="仿宋" w:hAnsi="仿宋" w:eastAsia="仿宋" w:cs="仿宋"/>
                <w:szCs w:val="21"/>
              </w:rPr>
              <w:t>三</w:t>
            </w:r>
          </w:p>
        </w:tc>
        <w:tc>
          <w:tcPr>
            <w:tcW w:w="2898" w:type="dxa"/>
            <w:vAlign w:val="center"/>
          </w:tcPr>
          <w:p>
            <w:pPr>
              <w:jc w:val="left"/>
              <w:rPr>
                <w:rFonts w:ascii="仿宋" w:hAnsi="仿宋" w:eastAsia="仿宋" w:cs="仿宋"/>
                <w:szCs w:val="21"/>
              </w:rPr>
            </w:pPr>
            <w:r>
              <w:rPr>
                <w:rFonts w:hint="eastAsia" w:ascii="仿宋" w:hAnsi="仿宋" w:eastAsia="仿宋" w:cs="仿宋"/>
                <w:szCs w:val="21"/>
              </w:rPr>
              <w:t>其他</w:t>
            </w:r>
          </w:p>
        </w:tc>
        <w:tc>
          <w:tcPr>
            <w:tcW w:w="4316" w:type="dxa"/>
            <w:vAlign w:val="center"/>
          </w:tcPr>
          <w:p>
            <w:pPr>
              <w:jc w:val="center"/>
              <w:rPr>
                <w:rFonts w:ascii="仿宋" w:hAnsi="仿宋" w:eastAsia="仿宋" w:cs="仿宋"/>
                <w:szCs w:val="21"/>
              </w:rPr>
            </w:pPr>
            <w:r>
              <w:rPr>
                <w:rFonts w:hint="eastAsia" w:ascii="仿宋" w:hAnsi="仿宋" w:eastAsia="仿宋" w:cs="仿宋"/>
                <w:szCs w:val="21"/>
              </w:rPr>
              <w:t>投标人认为需补充的其他说明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rFonts w:ascii="仿宋" w:hAnsi="仿宋" w:eastAsia="仿宋" w:cs="仿宋"/>
                <w:szCs w:val="21"/>
              </w:rPr>
            </w:pPr>
          </w:p>
        </w:tc>
        <w:tc>
          <w:tcPr>
            <w:tcW w:w="2898" w:type="dxa"/>
            <w:vAlign w:val="center"/>
          </w:tcPr>
          <w:p>
            <w:pPr>
              <w:jc w:val="left"/>
              <w:rPr>
                <w:rFonts w:ascii="仿宋" w:hAnsi="仿宋" w:eastAsia="仿宋" w:cs="仿宋"/>
                <w:szCs w:val="21"/>
              </w:rPr>
            </w:pPr>
            <w:r>
              <w:rPr>
                <w:rFonts w:hint="eastAsia" w:ascii="仿宋" w:hAnsi="仿宋" w:eastAsia="仿宋" w:cs="仿宋"/>
                <w:szCs w:val="21"/>
              </w:rPr>
              <w:t>1.……</w:t>
            </w:r>
          </w:p>
        </w:tc>
        <w:tc>
          <w:tcPr>
            <w:tcW w:w="4316" w:type="dxa"/>
            <w:vAlign w:val="center"/>
          </w:tcPr>
          <w:p>
            <w:pPr>
              <w:jc w:val="left"/>
              <w:rPr>
                <w:rFonts w:ascii="仿宋" w:hAnsi="仿宋" w:eastAsia="仿宋" w:cs="仿宋"/>
                <w:szCs w:val="21"/>
              </w:rPr>
            </w:pPr>
          </w:p>
        </w:tc>
      </w:tr>
    </w:tbl>
    <w:p>
      <w:pPr>
        <w:snapToGrid w:val="0"/>
        <w:rPr>
          <w:rFonts w:ascii="仿宋" w:hAnsi="仿宋" w:eastAsia="仿宋" w:cs="仿宋"/>
          <w:b/>
          <w:szCs w:val="21"/>
        </w:rPr>
      </w:pPr>
      <w:r>
        <w:rPr>
          <w:rFonts w:hint="eastAsia" w:ascii="仿宋" w:hAnsi="仿宋" w:eastAsia="仿宋" w:cs="仿宋"/>
          <w:b/>
          <w:szCs w:val="21"/>
        </w:rPr>
        <w:tab/>
      </w:r>
      <w:r>
        <w:rPr>
          <w:rFonts w:hint="eastAsia" w:ascii="仿宋" w:hAnsi="仿宋" w:eastAsia="仿宋" w:cs="仿宋"/>
          <w:b/>
          <w:szCs w:val="21"/>
        </w:rPr>
        <w:t>注：在按要求填写好此表格后，各投标单位可以用其他的方式，就公司整体情况作出详细的介绍（可以提供相应文字、照片等）。</w:t>
      </w:r>
    </w:p>
    <w:p>
      <w:pPr>
        <w:snapToGrid w:val="0"/>
        <w:rPr>
          <w:rFonts w:ascii="仿宋" w:hAnsi="仿宋" w:eastAsia="仿宋" w:cs="仿宋"/>
          <w:bCs/>
          <w:szCs w:val="21"/>
        </w:rPr>
      </w:pPr>
    </w:p>
    <w:p>
      <w:pPr>
        <w:snapToGrid w:val="0"/>
        <w:rPr>
          <w:rFonts w:ascii="仿宋" w:hAnsi="仿宋" w:eastAsia="仿宋" w:cs="仿宋"/>
          <w:b/>
          <w:szCs w:val="21"/>
        </w:rPr>
      </w:pPr>
      <w:r>
        <w:rPr>
          <w:rFonts w:hint="eastAsia" w:ascii="仿宋" w:hAnsi="仿宋" w:eastAsia="仿宋" w:cs="仿宋"/>
          <w:b/>
          <w:szCs w:val="21"/>
        </w:rPr>
        <w:t>（二）供应商资格证明文件</w:t>
      </w:r>
    </w:p>
    <w:p>
      <w:pPr>
        <w:snapToGrid w:val="0"/>
        <w:ind w:firstLine="420" w:firstLineChars="200"/>
        <w:rPr>
          <w:rFonts w:ascii="仿宋" w:hAnsi="仿宋" w:eastAsia="仿宋" w:cs="仿宋"/>
          <w:bCs/>
          <w:szCs w:val="21"/>
        </w:rPr>
      </w:pPr>
      <w:r>
        <w:rPr>
          <w:rFonts w:hint="eastAsia" w:ascii="仿宋" w:hAnsi="仿宋" w:eastAsia="仿宋" w:cs="仿宋"/>
          <w:bCs/>
          <w:szCs w:val="21"/>
        </w:rPr>
        <w:t>1.投标人资格要求的证明文件：</w:t>
      </w:r>
    </w:p>
    <w:p>
      <w:pPr>
        <w:snapToGrid w:val="0"/>
        <w:ind w:firstLine="420" w:firstLineChars="200"/>
        <w:rPr>
          <w:rFonts w:ascii="仿宋" w:hAnsi="仿宋" w:eastAsia="仿宋" w:cs="仿宋"/>
          <w:bCs/>
          <w:szCs w:val="21"/>
        </w:rPr>
      </w:pPr>
      <w:r>
        <w:rPr>
          <w:rFonts w:hint="eastAsia" w:ascii="仿宋" w:hAnsi="仿宋" w:eastAsia="仿宋" w:cs="仿宋"/>
          <w:bCs/>
          <w:szCs w:val="21"/>
        </w:rPr>
        <w:t>（1）营业执照复印件；</w:t>
      </w:r>
    </w:p>
    <w:p>
      <w:pPr>
        <w:snapToGrid w:val="0"/>
        <w:ind w:firstLine="420" w:firstLineChars="200"/>
        <w:rPr>
          <w:rFonts w:ascii="仿宋" w:hAnsi="仿宋" w:eastAsia="仿宋" w:cs="仿宋"/>
          <w:bCs/>
          <w:szCs w:val="21"/>
        </w:rPr>
      </w:pPr>
      <w:r>
        <w:rPr>
          <w:rFonts w:hint="eastAsia" w:ascii="仿宋" w:hAnsi="仿宋" w:eastAsia="仿宋" w:cs="仿宋"/>
          <w:bCs/>
          <w:szCs w:val="21"/>
        </w:rPr>
        <w:t>（2）提供招标公告中关于投标人资格要求的相关资格证明文件复印件。</w:t>
      </w:r>
    </w:p>
    <w:p>
      <w:pPr>
        <w:snapToGrid w:val="0"/>
        <w:ind w:firstLine="420" w:firstLineChars="200"/>
      </w:pPr>
      <w:r>
        <w:rPr>
          <w:rFonts w:hint="eastAsia" w:ascii="仿宋" w:hAnsi="仿宋" w:eastAsia="仿宋" w:cs="仿宋"/>
          <w:bCs/>
          <w:szCs w:val="21"/>
        </w:rPr>
        <w:t>2.其他需提供的证明文件或材料</w:t>
      </w:r>
    </w:p>
    <w:p>
      <w:pPr>
        <w:pStyle w:val="2"/>
      </w:pPr>
    </w:p>
    <w:p>
      <w:pPr>
        <w:snapToGrid w:val="0"/>
        <w:rPr>
          <w:rFonts w:ascii="仿宋" w:hAnsi="仿宋" w:eastAsia="仿宋" w:cs="仿宋"/>
          <w:b/>
          <w:szCs w:val="21"/>
        </w:rPr>
      </w:pPr>
      <w:r>
        <w:rPr>
          <w:rFonts w:hint="eastAsia" w:ascii="仿宋" w:hAnsi="仿宋" w:eastAsia="仿宋" w:cs="仿宋"/>
          <w:b/>
          <w:szCs w:val="21"/>
        </w:rPr>
        <w:t>（三）评分表商务部分相关证明材料</w:t>
      </w:r>
    </w:p>
    <w:p>
      <w:pPr>
        <w:ind w:firstLine="420" w:firstLineChars="200"/>
        <w:jc w:val="left"/>
        <w:rPr>
          <w:rFonts w:ascii="仿宋" w:hAnsi="仿宋" w:eastAsia="仿宋" w:cs="仿宋"/>
          <w:bCs/>
          <w:szCs w:val="21"/>
        </w:rPr>
      </w:pPr>
      <w:r>
        <w:rPr>
          <w:rFonts w:hint="eastAsia" w:ascii="仿宋" w:hAnsi="仿宋" w:eastAsia="仿宋" w:cs="仿宋"/>
        </w:rPr>
        <w:t>1.</w:t>
      </w:r>
      <w:r>
        <w:rPr>
          <w:rFonts w:hint="eastAsia" w:ascii="仿宋" w:hAnsi="仿宋" w:eastAsia="仿宋" w:cs="仿宋"/>
          <w:bCs/>
          <w:szCs w:val="21"/>
        </w:rPr>
        <w:t>投标人资质情况</w:t>
      </w:r>
    </w:p>
    <w:p>
      <w:pPr>
        <w:ind w:firstLine="420" w:firstLineChars="200"/>
        <w:jc w:val="left"/>
        <w:rPr>
          <w:rFonts w:ascii="仿宋" w:hAnsi="仿宋" w:eastAsia="仿宋" w:cs="仿宋"/>
        </w:rPr>
      </w:pPr>
      <w:r>
        <w:rPr>
          <w:rFonts w:hint="eastAsia" w:ascii="仿宋" w:hAnsi="仿宋" w:eastAsia="仿宋" w:cs="仿宋"/>
        </w:rPr>
        <w:t xml:space="preserve"> </w:t>
      </w:r>
    </w:p>
    <w:p>
      <w:pPr>
        <w:ind w:firstLine="420" w:firstLineChars="200"/>
        <w:jc w:val="left"/>
        <w:rPr>
          <w:rFonts w:ascii="仿宋" w:hAnsi="仿宋" w:eastAsia="仿宋" w:cs="仿宋"/>
        </w:rPr>
      </w:pPr>
      <w:r>
        <w:rPr>
          <w:rFonts w:hint="eastAsia" w:ascii="仿宋" w:hAnsi="仿宋" w:eastAsia="仿宋" w:cs="仿宋"/>
        </w:rPr>
        <w:t>2.投标人同类项目业绩情况</w:t>
      </w:r>
    </w:p>
    <w:p>
      <w:pPr>
        <w:ind w:firstLine="420" w:firstLineChars="200"/>
        <w:rPr>
          <w:rFonts w:ascii="仿宋" w:hAnsi="仿宋" w:eastAsia="仿宋" w:cs="仿宋"/>
        </w:rPr>
      </w:pPr>
    </w:p>
    <w:p>
      <w:pPr>
        <w:ind w:firstLine="420" w:firstLineChars="200"/>
        <w:rPr>
          <w:rFonts w:ascii="仿宋" w:hAnsi="仿宋" w:eastAsia="仿宋" w:cs="仿宋"/>
        </w:rPr>
      </w:pPr>
      <w:r>
        <w:rPr>
          <w:rFonts w:hint="eastAsia" w:ascii="仿宋" w:hAnsi="仿宋" w:eastAsia="仿宋" w:cs="仿宋"/>
        </w:rPr>
        <w:t>3.</w:t>
      </w:r>
      <w:r>
        <w:rPr>
          <w:rFonts w:hint="eastAsia" w:ascii="仿宋" w:hAnsi="仿宋" w:eastAsia="仿宋" w:cs="仿宋"/>
          <w:szCs w:val="21"/>
        </w:rPr>
        <w:t>拟安排的项目负责人情况（仅限1人）</w:t>
      </w:r>
    </w:p>
    <w:p>
      <w:pPr>
        <w:ind w:firstLine="420" w:firstLineChars="200"/>
        <w:rPr>
          <w:rFonts w:ascii="仿宋" w:hAnsi="仿宋" w:eastAsia="仿宋" w:cs="仿宋"/>
        </w:rPr>
      </w:pPr>
      <w:r>
        <w:rPr>
          <w:rFonts w:hint="eastAsia" w:ascii="仿宋" w:hAnsi="仿宋" w:eastAsia="仿宋" w:cs="仿宋"/>
        </w:rPr>
        <w:t xml:space="preserve"> </w:t>
      </w:r>
    </w:p>
    <w:p>
      <w:pPr>
        <w:ind w:firstLine="420" w:firstLineChars="200"/>
        <w:rPr>
          <w:rFonts w:ascii="仿宋" w:hAnsi="仿宋" w:eastAsia="仿宋" w:cs="仿宋"/>
        </w:rPr>
      </w:pPr>
      <w:r>
        <w:rPr>
          <w:rFonts w:hint="eastAsia" w:ascii="仿宋" w:hAnsi="仿宋" w:eastAsia="仿宋" w:cs="仿宋"/>
        </w:rPr>
        <w:t>4.</w:t>
      </w:r>
      <w:r>
        <w:rPr>
          <w:rFonts w:hint="eastAsia" w:ascii="仿宋" w:hAnsi="仿宋" w:eastAsia="仿宋" w:cs="仿宋"/>
          <w:szCs w:val="21"/>
        </w:rPr>
        <w:t>拟安排的项目主要团队成员（主要技术人员）情况（项目负责人除外）</w:t>
      </w:r>
    </w:p>
    <w:p>
      <w:pPr>
        <w:ind w:firstLine="420" w:firstLineChars="200"/>
        <w:rPr>
          <w:rFonts w:ascii="仿宋" w:hAnsi="仿宋" w:eastAsia="仿宋" w:cs="仿宋"/>
        </w:rPr>
      </w:pPr>
    </w:p>
    <w:p>
      <w:pPr>
        <w:ind w:firstLine="420" w:firstLineChars="200"/>
        <w:rPr>
          <w:rFonts w:ascii="仿宋" w:hAnsi="仿宋" w:eastAsia="仿宋" w:cs="仿宋"/>
        </w:rPr>
      </w:pPr>
      <w:r>
        <w:rPr>
          <w:rFonts w:hint="eastAsia" w:ascii="仿宋" w:hAnsi="仿宋" w:eastAsia="仿宋" w:cs="仿宋"/>
        </w:rPr>
        <w:t>5</w:t>
      </w:r>
      <w:r>
        <w:rPr>
          <w:rFonts w:ascii="仿宋" w:hAnsi="仿宋" w:eastAsia="仿宋" w:cs="仿宋"/>
        </w:rPr>
        <w:t>.</w:t>
      </w:r>
      <w:r>
        <w:rPr>
          <w:rFonts w:hint="eastAsia" w:ascii="仿宋" w:hAnsi="仿宋" w:eastAsia="仿宋" w:cs="仿宋"/>
        </w:rPr>
        <w:t>诚信评价</w:t>
      </w:r>
    </w:p>
    <w:p>
      <w:pPr>
        <w:ind w:firstLine="420" w:firstLineChars="200"/>
        <w:rPr>
          <w:rFonts w:ascii="仿宋" w:hAnsi="仿宋" w:eastAsia="仿宋" w:cs="仿宋"/>
        </w:rPr>
      </w:pPr>
    </w:p>
    <w:p>
      <w:pPr>
        <w:ind w:firstLine="420" w:firstLineChars="200"/>
        <w:rPr>
          <w:rFonts w:ascii="仿宋" w:hAnsi="仿宋" w:eastAsia="仿宋" w:cs="仿宋"/>
        </w:rPr>
      </w:pPr>
      <w:r>
        <w:rPr>
          <w:rFonts w:ascii="仿宋" w:hAnsi="仿宋" w:eastAsia="仿宋" w:cs="仿宋"/>
        </w:rPr>
        <w:t xml:space="preserve">6. </w:t>
      </w:r>
      <w:r>
        <w:rPr>
          <w:rFonts w:hint="eastAsia" w:ascii="仿宋" w:hAnsi="仿宋" w:eastAsia="仿宋" w:cs="宋体"/>
          <w:szCs w:val="21"/>
        </w:rPr>
        <w:t>投标人认为其他可以提供的证明材料</w:t>
      </w:r>
    </w:p>
    <w:p>
      <w:pPr>
        <w:spacing w:before="120" w:after="120"/>
        <w:jc w:val="center"/>
      </w:pPr>
      <w:bookmarkStart w:id="282" w:name="_Toc29888"/>
      <w:bookmarkStart w:id="283" w:name="_Toc46854818"/>
      <w:bookmarkStart w:id="284" w:name="_Toc43892425"/>
      <w:bookmarkStart w:id="285" w:name="_Toc49331748"/>
      <w:bookmarkStart w:id="286" w:name="_Toc43713607"/>
      <w:bookmarkStart w:id="287" w:name="_Toc24554"/>
      <w:bookmarkStart w:id="288" w:name="_Toc10297"/>
      <w:bookmarkStart w:id="289" w:name="_Toc31547"/>
      <w:bookmarkStart w:id="290" w:name="_Toc1431"/>
      <w:bookmarkStart w:id="291" w:name="_Toc30106"/>
      <w:r>
        <w:br w:type="page"/>
      </w:r>
    </w:p>
    <w:p>
      <w:pPr>
        <w:jc w:val="center"/>
        <w:outlineLvl w:val="2"/>
        <w:rPr>
          <w:rFonts w:ascii="黑体" w:eastAsia="黑体"/>
          <w:b/>
          <w:bCs/>
          <w:kern w:val="0"/>
          <w:sz w:val="28"/>
          <w:szCs w:val="28"/>
        </w:rPr>
      </w:pPr>
      <w:bookmarkStart w:id="292" w:name="_Toc24670"/>
      <w:bookmarkStart w:id="293" w:name="_Toc18446"/>
      <w:r>
        <w:rPr>
          <w:rFonts w:hint="eastAsia" w:ascii="黑体" w:eastAsia="黑体"/>
          <w:b/>
          <w:bCs/>
          <w:kern w:val="0"/>
          <w:sz w:val="28"/>
          <w:szCs w:val="28"/>
        </w:rPr>
        <w:t>七、投标人同类项目业绩情况</w:t>
      </w:r>
      <w:bookmarkEnd w:id="292"/>
      <w:bookmarkEnd w:id="293"/>
    </w:p>
    <w:p>
      <w:pPr>
        <w:spacing w:after="60"/>
        <w:jc w:val="center"/>
        <w:rPr>
          <w:rFonts w:ascii="仿宋" w:hAnsi="仿宋" w:eastAsia="仿宋" w:cs="仿宋"/>
        </w:rPr>
      </w:pPr>
    </w:p>
    <w:p>
      <w:pPr>
        <w:spacing w:after="60"/>
        <w:jc w:val="center"/>
        <w:rPr>
          <w:rFonts w:ascii="仿宋" w:hAnsi="仿宋" w:eastAsia="仿宋" w:cs="仿宋"/>
          <w:sz w:val="24"/>
          <w:szCs w:val="32"/>
        </w:rPr>
      </w:pPr>
      <w:r>
        <w:rPr>
          <w:rFonts w:hint="eastAsia" w:ascii="仿宋" w:hAnsi="仿宋" w:eastAsia="仿宋" w:cs="仿宋"/>
          <w:sz w:val="24"/>
          <w:szCs w:val="32"/>
        </w:rPr>
        <w:t>同类项目业绩清单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357"/>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jc w:val="center"/>
              <w:rPr>
                <w:rFonts w:ascii="仿宋" w:hAnsi="仿宋" w:eastAsia="仿宋" w:cs="仿宋"/>
              </w:rPr>
            </w:pPr>
            <w:r>
              <w:rPr>
                <w:rFonts w:hint="eastAsia" w:ascii="仿宋" w:hAnsi="仿宋" w:eastAsia="仿宋" w:cs="仿宋"/>
              </w:rPr>
              <w:t>序号</w:t>
            </w:r>
          </w:p>
        </w:tc>
        <w:tc>
          <w:tcPr>
            <w:tcW w:w="2357" w:type="dxa"/>
          </w:tcPr>
          <w:p>
            <w:pPr>
              <w:jc w:val="center"/>
              <w:rPr>
                <w:rFonts w:ascii="仿宋" w:hAnsi="仿宋" w:eastAsia="仿宋" w:cs="仿宋"/>
              </w:rPr>
            </w:pPr>
            <w:r>
              <w:rPr>
                <w:rFonts w:hint="eastAsia" w:ascii="仿宋" w:hAnsi="仿宋" w:eastAsia="仿宋" w:cs="仿宋"/>
              </w:rPr>
              <w:t>合作甲方</w:t>
            </w:r>
          </w:p>
        </w:tc>
        <w:tc>
          <w:tcPr>
            <w:tcW w:w="1812" w:type="dxa"/>
          </w:tcPr>
          <w:p>
            <w:pPr>
              <w:jc w:val="center"/>
              <w:rPr>
                <w:rFonts w:ascii="仿宋" w:hAnsi="仿宋" w:eastAsia="仿宋" w:cs="仿宋"/>
              </w:rPr>
            </w:pPr>
            <w:r>
              <w:rPr>
                <w:rFonts w:hint="eastAsia" w:ascii="仿宋" w:hAnsi="仿宋" w:eastAsia="仿宋" w:cs="仿宋"/>
              </w:rPr>
              <w:t>同类项目名称</w:t>
            </w:r>
          </w:p>
        </w:tc>
        <w:tc>
          <w:tcPr>
            <w:tcW w:w="1812" w:type="dxa"/>
          </w:tcPr>
          <w:p>
            <w:pPr>
              <w:jc w:val="center"/>
              <w:rPr>
                <w:rFonts w:ascii="仿宋" w:hAnsi="仿宋" w:eastAsia="仿宋" w:cs="仿宋"/>
              </w:rPr>
            </w:pPr>
            <w:r>
              <w:rPr>
                <w:rFonts w:hint="eastAsia" w:ascii="仿宋" w:hAnsi="仿宋" w:eastAsia="仿宋" w:cs="仿宋"/>
              </w:rPr>
              <w:t>服务时间</w:t>
            </w:r>
          </w:p>
        </w:tc>
        <w:tc>
          <w:tcPr>
            <w:tcW w:w="1812" w:type="dxa"/>
          </w:tcPr>
          <w:p>
            <w:pPr>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ascii="仿宋" w:hAnsi="仿宋" w:eastAsia="仿宋" w:cs="仿宋"/>
              </w:rPr>
            </w:pPr>
          </w:p>
        </w:tc>
        <w:tc>
          <w:tcPr>
            <w:tcW w:w="2357" w:type="dxa"/>
          </w:tcPr>
          <w:p>
            <w:pPr>
              <w:rPr>
                <w:rFonts w:ascii="仿宋" w:hAnsi="仿宋" w:eastAsia="仿宋" w:cs="仿宋"/>
              </w:rPr>
            </w:pPr>
          </w:p>
        </w:tc>
        <w:tc>
          <w:tcPr>
            <w:tcW w:w="1812" w:type="dxa"/>
          </w:tcPr>
          <w:p>
            <w:pPr>
              <w:rPr>
                <w:rFonts w:ascii="仿宋" w:hAnsi="仿宋" w:eastAsia="仿宋" w:cs="仿宋"/>
              </w:rPr>
            </w:pPr>
          </w:p>
        </w:tc>
        <w:tc>
          <w:tcPr>
            <w:tcW w:w="1812" w:type="dxa"/>
          </w:tcPr>
          <w:p>
            <w:pPr>
              <w:rPr>
                <w:rFonts w:ascii="仿宋" w:hAnsi="仿宋" w:eastAsia="仿宋" w:cs="仿宋"/>
              </w:rPr>
            </w:pPr>
          </w:p>
        </w:tc>
        <w:tc>
          <w:tcPr>
            <w:tcW w:w="181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ascii="仿宋" w:hAnsi="仿宋" w:eastAsia="仿宋" w:cs="仿宋"/>
              </w:rPr>
            </w:pPr>
          </w:p>
        </w:tc>
        <w:tc>
          <w:tcPr>
            <w:tcW w:w="2357" w:type="dxa"/>
          </w:tcPr>
          <w:p>
            <w:pPr>
              <w:rPr>
                <w:rFonts w:ascii="仿宋" w:hAnsi="仿宋" w:eastAsia="仿宋" w:cs="仿宋"/>
              </w:rPr>
            </w:pPr>
          </w:p>
        </w:tc>
        <w:tc>
          <w:tcPr>
            <w:tcW w:w="1812" w:type="dxa"/>
          </w:tcPr>
          <w:p>
            <w:pPr>
              <w:rPr>
                <w:rFonts w:ascii="仿宋" w:hAnsi="仿宋" w:eastAsia="仿宋" w:cs="仿宋"/>
              </w:rPr>
            </w:pPr>
          </w:p>
        </w:tc>
        <w:tc>
          <w:tcPr>
            <w:tcW w:w="1812" w:type="dxa"/>
          </w:tcPr>
          <w:p>
            <w:pPr>
              <w:rPr>
                <w:rFonts w:ascii="仿宋" w:hAnsi="仿宋" w:eastAsia="仿宋" w:cs="仿宋"/>
              </w:rPr>
            </w:pPr>
          </w:p>
        </w:tc>
        <w:tc>
          <w:tcPr>
            <w:tcW w:w="181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ascii="仿宋" w:hAnsi="仿宋" w:eastAsia="仿宋" w:cs="仿宋"/>
              </w:rPr>
            </w:pPr>
          </w:p>
        </w:tc>
        <w:tc>
          <w:tcPr>
            <w:tcW w:w="2357" w:type="dxa"/>
          </w:tcPr>
          <w:p>
            <w:pPr>
              <w:rPr>
                <w:rFonts w:ascii="仿宋" w:hAnsi="仿宋" w:eastAsia="仿宋" w:cs="仿宋"/>
              </w:rPr>
            </w:pPr>
          </w:p>
        </w:tc>
        <w:tc>
          <w:tcPr>
            <w:tcW w:w="1812" w:type="dxa"/>
          </w:tcPr>
          <w:p>
            <w:pPr>
              <w:rPr>
                <w:rFonts w:ascii="仿宋" w:hAnsi="仿宋" w:eastAsia="仿宋" w:cs="仿宋"/>
              </w:rPr>
            </w:pPr>
          </w:p>
        </w:tc>
        <w:tc>
          <w:tcPr>
            <w:tcW w:w="1812" w:type="dxa"/>
          </w:tcPr>
          <w:p>
            <w:pPr>
              <w:rPr>
                <w:rFonts w:ascii="仿宋" w:hAnsi="仿宋" w:eastAsia="仿宋" w:cs="仿宋"/>
              </w:rPr>
            </w:pPr>
          </w:p>
        </w:tc>
        <w:tc>
          <w:tcPr>
            <w:tcW w:w="1812" w:type="dxa"/>
          </w:tcPr>
          <w:p>
            <w:pPr>
              <w:rPr>
                <w:rFonts w:ascii="仿宋" w:hAnsi="仿宋" w:eastAsia="仿宋" w:cs="仿宋"/>
              </w:rPr>
            </w:pPr>
          </w:p>
        </w:tc>
      </w:tr>
    </w:tbl>
    <w:p>
      <w:pPr>
        <w:ind w:firstLine="420" w:firstLineChars="200"/>
        <w:jc w:val="left"/>
        <w:rPr>
          <w:rFonts w:ascii="仿宋" w:hAnsi="仿宋" w:eastAsia="仿宋" w:cs="仿宋"/>
        </w:rPr>
      </w:pPr>
      <w:r>
        <w:rPr>
          <w:rFonts w:hint="eastAsia" w:ascii="仿宋" w:hAnsi="仿宋" w:eastAsia="仿宋" w:cs="仿宋"/>
        </w:rPr>
        <w:t>注：填写上述表格，并按评分表要求同时提供合同关键信息。</w:t>
      </w:r>
    </w:p>
    <w:p>
      <w:pPr>
        <w:rPr>
          <w:rFonts w:ascii="黑体" w:eastAsia="黑体"/>
          <w:sz w:val="28"/>
          <w:szCs w:val="28"/>
        </w:rPr>
      </w:pPr>
    </w:p>
    <w:p>
      <w:pPr>
        <w:rPr>
          <w:rFonts w:ascii="黑体" w:eastAsia="黑体"/>
          <w:sz w:val="28"/>
          <w:szCs w:val="28"/>
        </w:rPr>
      </w:pPr>
      <w:r>
        <w:rPr>
          <w:rFonts w:hint="eastAsia" w:ascii="黑体" w:eastAsia="黑体"/>
          <w:sz w:val="28"/>
          <w:szCs w:val="28"/>
        </w:rPr>
        <w:br w:type="page"/>
      </w:r>
    </w:p>
    <w:p>
      <w:pPr>
        <w:jc w:val="center"/>
        <w:outlineLvl w:val="2"/>
        <w:rPr>
          <w:rFonts w:ascii="黑体" w:eastAsia="黑体"/>
          <w:b/>
          <w:bCs/>
          <w:kern w:val="0"/>
          <w:sz w:val="28"/>
          <w:szCs w:val="28"/>
        </w:rPr>
      </w:pPr>
      <w:bookmarkStart w:id="294" w:name="_Toc29595"/>
      <w:bookmarkStart w:id="295" w:name="_Toc15658"/>
      <w:r>
        <w:rPr>
          <w:rFonts w:hint="eastAsia" w:ascii="黑体" w:eastAsia="黑体"/>
          <w:b/>
          <w:bCs/>
          <w:kern w:val="0"/>
          <w:sz w:val="28"/>
          <w:szCs w:val="28"/>
        </w:rPr>
        <w:t>八、项目团队情况</w:t>
      </w:r>
      <w:bookmarkEnd w:id="294"/>
      <w:bookmarkEnd w:id="295"/>
    </w:p>
    <w:p>
      <w:pPr>
        <w:ind w:firstLine="420" w:firstLineChars="200"/>
        <w:rPr>
          <w:rFonts w:ascii="仿宋" w:hAnsi="仿宋" w:eastAsia="仿宋" w:cs="仿宋"/>
        </w:rPr>
      </w:pPr>
    </w:p>
    <w:p>
      <w:pPr>
        <w:snapToGrid w:val="0"/>
        <w:rPr>
          <w:rFonts w:ascii="仿宋" w:hAnsi="仿宋" w:eastAsia="仿宋" w:cs="仿宋"/>
          <w:b/>
          <w:szCs w:val="21"/>
        </w:rPr>
      </w:pPr>
      <w:r>
        <w:rPr>
          <w:rFonts w:hint="eastAsia" w:ascii="仿宋" w:hAnsi="仿宋" w:eastAsia="仿宋" w:cs="仿宋"/>
          <w:b/>
          <w:szCs w:val="21"/>
        </w:rPr>
        <w:t>（一）拟安排的项目负责人情况（仅限一人）</w:t>
      </w:r>
    </w:p>
    <w:p>
      <w:pPr>
        <w:spacing w:after="60"/>
        <w:jc w:val="center"/>
        <w:rPr>
          <w:rFonts w:ascii="仿宋" w:hAnsi="仿宋" w:eastAsia="仿宋" w:cs="仿宋"/>
        </w:rPr>
      </w:pPr>
    </w:p>
    <w:p>
      <w:pPr>
        <w:spacing w:after="60"/>
        <w:jc w:val="center"/>
        <w:rPr>
          <w:rFonts w:ascii="仿宋" w:hAnsi="仿宋" w:eastAsia="仿宋" w:cs="仿宋"/>
          <w:bCs/>
          <w:sz w:val="24"/>
        </w:rPr>
      </w:pPr>
      <w:r>
        <w:rPr>
          <w:rFonts w:hint="eastAsia" w:ascii="仿宋" w:hAnsi="仿宋" w:eastAsia="仿宋" w:cs="仿宋"/>
        </w:rPr>
        <w:t>项目负责人简历表</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60"/>
        <w:gridCol w:w="720"/>
        <w:gridCol w:w="1063"/>
        <w:gridCol w:w="197"/>
        <w:gridCol w:w="1080"/>
        <w:gridCol w:w="214"/>
        <w:gridCol w:w="1548"/>
        <w:gridCol w:w="218"/>
        <w:gridCol w:w="720"/>
        <w:gridCol w:w="180"/>
        <w:gridCol w:w="46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姓名</w:t>
            </w:r>
          </w:p>
        </w:tc>
        <w:tc>
          <w:tcPr>
            <w:tcW w:w="2340" w:type="dxa"/>
            <w:gridSpan w:val="4"/>
            <w:vAlign w:val="center"/>
          </w:tcPr>
          <w:p>
            <w:pPr>
              <w:spacing w:before="20" w:after="20"/>
              <w:jc w:val="center"/>
              <w:rPr>
                <w:rFonts w:ascii="仿宋" w:hAnsi="仿宋" w:eastAsia="仿宋" w:cs="仿宋"/>
                <w:sz w:val="20"/>
                <w:szCs w:val="20"/>
              </w:rPr>
            </w:pPr>
          </w:p>
        </w:tc>
        <w:tc>
          <w:tcPr>
            <w:tcW w:w="1080" w:type="dxa"/>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性别</w:t>
            </w:r>
          </w:p>
        </w:tc>
        <w:tc>
          <w:tcPr>
            <w:tcW w:w="1762" w:type="dxa"/>
            <w:gridSpan w:val="2"/>
            <w:vAlign w:val="center"/>
          </w:tcPr>
          <w:p>
            <w:pPr>
              <w:spacing w:before="20" w:after="20"/>
              <w:jc w:val="center"/>
              <w:rPr>
                <w:rFonts w:ascii="仿宋" w:hAnsi="仿宋" w:eastAsia="仿宋" w:cs="仿宋"/>
                <w:sz w:val="20"/>
                <w:szCs w:val="20"/>
              </w:rPr>
            </w:pPr>
          </w:p>
        </w:tc>
        <w:tc>
          <w:tcPr>
            <w:tcW w:w="1118" w:type="dxa"/>
            <w:gridSpan w:val="3"/>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年龄</w:t>
            </w:r>
          </w:p>
        </w:tc>
        <w:tc>
          <w:tcPr>
            <w:tcW w:w="1548" w:type="dxa"/>
            <w:gridSpan w:val="2"/>
            <w:vAlign w:val="center"/>
          </w:tcPr>
          <w:p>
            <w:pPr>
              <w:spacing w:before="20" w:after="20"/>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职务</w:t>
            </w:r>
          </w:p>
        </w:tc>
        <w:tc>
          <w:tcPr>
            <w:tcW w:w="2340" w:type="dxa"/>
            <w:gridSpan w:val="4"/>
            <w:vAlign w:val="center"/>
          </w:tcPr>
          <w:p>
            <w:pPr>
              <w:spacing w:before="20" w:after="20"/>
              <w:jc w:val="center"/>
              <w:rPr>
                <w:rFonts w:ascii="仿宋" w:hAnsi="仿宋" w:eastAsia="仿宋" w:cs="仿宋"/>
                <w:sz w:val="20"/>
                <w:szCs w:val="20"/>
              </w:rPr>
            </w:pPr>
          </w:p>
        </w:tc>
        <w:tc>
          <w:tcPr>
            <w:tcW w:w="1080" w:type="dxa"/>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职称</w:t>
            </w:r>
          </w:p>
        </w:tc>
        <w:tc>
          <w:tcPr>
            <w:tcW w:w="1762" w:type="dxa"/>
            <w:gridSpan w:val="2"/>
            <w:vAlign w:val="center"/>
          </w:tcPr>
          <w:p>
            <w:pPr>
              <w:spacing w:before="20" w:after="20"/>
              <w:jc w:val="center"/>
              <w:rPr>
                <w:rFonts w:ascii="仿宋" w:hAnsi="仿宋" w:eastAsia="仿宋" w:cs="仿宋"/>
                <w:sz w:val="20"/>
                <w:szCs w:val="20"/>
              </w:rPr>
            </w:pPr>
          </w:p>
        </w:tc>
        <w:tc>
          <w:tcPr>
            <w:tcW w:w="1118" w:type="dxa"/>
            <w:gridSpan w:val="3"/>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学历</w:t>
            </w:r>
          </w:p>
        </w:tc>
        <w:tc>
          <w:tcPr>
            <w:tcW w:w="1548" w:type="dxa"/>
            <w:gridSpan w:val="2"/>
            <w:vAlign w:val="center"/>
          </w:tcPr>
          <w:p>
            <w:pPr>
              <w:spacing w:before="20" w:after="20"/>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2" w:type="dxa"/>
            <w:gridSpan w:val="3"/>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参加工作时间</w:t>
            </w:r>
          </w:p>
        </w:tc>
        <w:tc>
          <w:tcPr>
            <w:tcW w:w="2554" w:type="dxa"/>
            <w:gridSpan w:val="4"/>
            <w:vAlign w:val="center"/>
          </w:tcPr>
          <w:p>
            <w:pPr>
              <w:spacing w:before="20" w:after="20"/>
              <w:jc w:val="center"/>
              <w:rPr>
                <w:rFonts w:ascii="仿宋" w:hAnsi="仿宋" w:eastAsia="仿宋" w:cs="仿宋"/>
                <w:sz w:val="20"/>
                <w:szCs w:val="20"/>
              </w:rPr>
            </w:pPr>
          </w:p>
        </w:tc>
        <w:tc>
          <w:tcPr>
            <w:tcW w:w="2486" w:type="dxa"/>
            <w:gridSpan w:val="3"/>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从事项目经理/项目负责人年限</w:t>
            </w:r>
          </w:p>
        </w:tc>
        <w:tc>
          <w:tcPr>
            <w:tcW w:w="1728" w:type="dxa"/>
            <w:gridSpan w:val="3"/>
            <w:vAlign w:val="center"/>
          </w:tcPr>
          <w:p>
            <w:pPr>
              <w:spacing w:before="20" w:after="20"/>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2" w:type="dxa"/>
            <w:gridSpan w:val="5"/>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资格证书编号</w:t>
            </w:r>
          </w:p>
        </w:tc>
        <w:tc>
          <w:tcPr>
            <w:tcW w:w="5508" w:type="dxa"/>
            <w:gridSpan w:val="8"/>
            <w:vAlign w:val="center"/>
          </w:tcPr>
          <w:p>
            <w:pPr>
              <w:spacing w:before="20" w:after="20"/>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13"/>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单位</w:t>
            </w:r>
          </w:p>
        </w:tc>
        <w:tc>
          <w:tcPr>
            <w:tcW w:w="1783" w:type="dxa"/>
            <w:gridSpan w:val="2"/>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项目名称</w:t>
            </w:r>
          </w:p>
        </w:tc>
        <w:tc>
          <w:tcPr>
            <w:tcW w:w="1491" w:type="dxa"/>
            <w:gridSpan w:val="3"/>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规模/级别</w:t>
            </w:r>
          </w:p>
        </w:tc>
        <w:tc>
          <w:tcPr>
            <w:tcW w:w="1766" w:type="dxa"/>
            <w:gridSpan w:val="2"/>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项目开始和完成期</w:t>
            </w:r>
          </w:p>
        </w:tc>
        <w:tc>
          <w:tcPr>
            <w:tcW w:w="1368" w:type="dxa"/>
            <w:gridSpan w:val="3"/>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状态（在建或已完）</w:t>
            </w:r>
          </w:p>
        </w:tc>
        <w:tc>
          <w:tcPr>
            <w:tcW w:w="1080" w:type="dxa"/>
            <w:vAlign w:val="center"/>
          </w:tcPr>
          <w:p>
            <w:pPr>
              <w:spacing w:before="20" w:after="20"/>
              <w:jc w:val="center"/>
              <w:rPr>
                <w:rFonts w:ascii="仿宋" w:hAnsi="仿宋" w:eastAsia="仿宋" w:cs="仿宋"/>
                <w:sz w:val="20"/>
                <w:szCs w:val="20"/>
              </w:rPr>
            </w:pPr>
            <w:r>
              <w:rPr>
                <w:rFonts w:hint="eastAsia" w:ascii="仿宋" w:hAnsi="仿宋" w:eastAsia="仿宋" w:cs="仿宋"/>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仿宋" w:hAnsi="仿宋" w:eastAsia="仿宋" w:cs="仿宋"/>
                <w:sz w:val="20"/>
                <w:szCs w:val="20"/>
              </w:rPr>
            </w:pPr>
          </w:p>
        </w:tc>
        <w:tc>
          <w:tcPr>
            <w:tcW w:w="1783" w:type="dxa"/>
            <w:gridSpan w:val="2"/>
            <w:vAlign w:val="center"/>
          </w:tcPr>
          <w:p>
            <w:pPr>
              <w:spacing w:before="20" w:after="20"/>
              <w:jc w:val="center"/>
              <w:rPr>
                <w:rFonts w:ascii="仿宋" w:hAnsi="仿宋" w:eastAsia="仿宋" w:cs="仿宋"/>
                <w:sz w:val="20"/>
                <w:szCs w:val="20"/>
              </w:rPr>
            </w:pPr>
          </w:p>
        </w:tc>
        <w:tc>
          <w:tcPr>
            <w:tcW w:w="1491" w:type="dxa"/>
            <w:gridSpan w:val="3"/>
            <w:vAlign w:val="center"/>
          </w:tcPr>
          <w:p>
            <w:pPr>
              <w:spacing w:before="20" w:after="20"/>
              <w:jc w:val="center"/>
              <w:rPr>
                <w:rFonts w:ascii="仿宋" w:hAnsi="仿宋" w:eastAsia="仿宋" w:cs="仿宋"/>
                <w:sz w:val="20"/>
                <w:szCs w:val="20"/>
              </w:rPr>
            </w:pPr>
          </w:p>
        </w:tc>
        <w:tc>
          <w:tcPr>
            <w:tcW w:w="1766" w:type="dxa"/>
            <w:gridSpan w:val="2"/>
            <w:vAlign w:val="center"/>
          </w:tcPr>
          <w:p>
            <w:pPr>
              <w:spacing w:before="20" w:after="20"/>
              <w:jc w:val="center"/>
              <w:rPr>
                <w:rFonts w:ascii="仿宋" w:hAnsi="仿宋" w:eastAsia="仿宋" w:cs="仿宋"/>
                <w:sz w:val="20"/>
                <w:szCs w:val="20"/>
              </w:rPr>
            </w:pPr>
          </w:p>
        </w:tc>
        <w:tc>
          <w:tcPr>
            <w:tcW w:w="1368" w:type="dxa"/>
            <w:gridSpan w:val="3"/>
            <w:vAlign w:val="center"/>
          </w:tcPr>
          <w:p>
            <w:pPr>
              <w:spacing w:before="20" w:after="20"/>
              <w:jc w:val="center"/>
              <w:rPr>
                <w:rFonts w:ascii="仿宋" w:hAnsi="仿宋" w:eastAsia="仿宋" w:cs="仿宋"/>
                <w:sz w:val="20"/>
                <w:szCs w:val="20"/>
              </w:rPr>
            </w:pPr>
          </w:p>
        </w:tc>
        <w:tc>
          <w:tcPr>
            <w:tcW w:w="1080" w:type="dxa"/>
            <w:vAlign w:val="center"/>
          </w:tcPr>
          <w:p>
            <w:pPr>
              <w:spacing w:before="20" w:after="20"/>
              <w:jc w:val="center"/>
              <w:rPr>
                <w:rFonts w:ascii="仿宋" w:hAnsi="仿宋" w:eastAsia="仿宋" w:cs="仿宋"/>
                <w:sz w:val="20"/>
                <w:szCs w:val="20"/>
              </w:rPr>
            </w:pPr>
          </w:p>
        </w:tc>
      </w:tr>
    </w:tbl>
    <w:p>
      <w:pPr>
        <w:ind w:firstLine="420" w:firstLineChars="200"/>
        <w:jc w:val="left"/>
        <w:rPr>
          <w:rFonts w:ascii="仿宋" w:hAnsi="仿宋" w:eastAsia="仿宋" w:cs="仿宋"/>
        </w:rPr>
      </w:pPr>
      <w:r>
        <w:rPr>
          <w:rFonts w:hint="eastAsia" w:ascii="仿宋" w:hAnsi="仿宋" w:eastAsia="仿宋" w:cs="仿宋"/>
        </w:rPr>
        <w:t>注：填写上述表格，并按评分表要求提供投标人相关证明资料。</w:t>
      </w:r>
    </w:p>
    <w:p>
      <w:pPr>
        <w:ind w:firstLine="420" w:firstLineChars="200"/>
        <w:rPr>
          <w:rFonts w:ascii="仿宋" w:hAnsi="仿宋" w:eastAsia="仿宋" w:cs="仿宋"/>
        </w:rPr>
      </w:pPr>
    </w:p>
    <w:p>
      <w:pPr>
        <w:ind w:firstLine="420" w:firstLineChars="200"/>
        <w:rPr>
          <w:rFonts w:ascii="仿宋" w:hAnsi="仿宋" w:eastAsia="仿宋" w:cs="仿宋"/>
        </w:rPr>
      </w:pPr>
    </w:p>
    <w:p>
      <w:pPr>
        <w:snapToGrid w:val="0"/>
        <w:rPr>
          <w:rFonts w:ascii="仿宋" w:hAnsi="仿宋" w:eastAsia="仿宋" w:cs="仿宋"/>
          <w:b/>
          <w:szCs w:val="21"/>
        </w:rPr>
      </w:pPr>
      <w:r>
        <w:rPr>
          <w:rFonts w:hint="eastAsia" w:ascii="仿宋" w:hAnsi="仿宋" w:eastAsia="仿宋" w:cs="仿宋"/>
          <w:b/>
          <w:szCs w:val="21"/>
        </w:rPr>
        <w:t>（二）拟安排的项目主要团队成员情况（项目负责人除外）</w:t>
      </w:r>
    </w:p>
    <w:p>
      <w:pPr>
        <w:spacing w:after="60"/>
        <w:jc w:val="center"/>
        <w:rPr>
          <w:rFonts w:ascii="仿宋" w:hAnsi="仿宋" w:eastAsia="仿宋" w:cs="仿宋"/>
        </w:rPr>
      </w:pPr>
    </w:p>
    <w:p>
      <w:pPr>
        <w:spacing w:after="60"/>
        <w:jc w:val="center"/>
        <w:rPr>
          <w:rFonts w:ascii="仿宋" w:hAnsi="仿宋" w:eastAsia="仿宋" w:cs="仿宋"/>
          <w:bCs/>
          <w:sz w:val="24"/>
        </w:rPr>
      </w:pPr>
      <w:r>
        <w:rPr>
          <w:rFonts w:hint="eastAsia" w:ascii="仿宋" w:hAnsi="仿宋" w:eastAsia="仿宋" w:cs="仿宋"/>
        </w:rPr>
        <w:t>拟派团队成员清单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4"/>
        <w:gridCol w:w="1294"/>
        <w:gridCol w:w="1015"/>
        <w:gridCol w:w="1095"/>
        <w:gridCol w:w="177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rPr>
                <w:rFonts w:ascii="仿宋" w:hAnsi="仿宋" w:eastAsia="仿宋" w:cs="仿宋"/>
              </w:rPr>
            </w:pPr>
            <w:r>
              <w:rPr>
                <w:rFonts w:hint="eastAsia" w:ascii="仿宋" w:hAnsi="仿宋" w:eastAsia="仿宋" w:cs="仿宋"/>
              </w:rPr>
              <w:t>序号</w:t>
            </w:r>
          </w:p>
        </w:tc>
        <w:tc>
          <w:tcPr>
            <w:tcW w:w="1294" w:type="dxa"/>
          </w:tcPr>
          <w:p>
            <w:pPr>
              <w:rPr>
                <w:rFonts w:ascii="仿宋" w:hAnsi="仿宋" w:eastAsia="仿宋" w:cs="仿宋"/>
              </w:rPr>
            </w:pPr>
            <w:r>
              <w:rPr>
                <w:rFonts w:hint="eastAsia" w:ascii="仿宋" w:hAnsi="仿宋" w:eastAsia="仿宋" w:cs="仿宋"/>
              </w:rPr>
              <w:t>姓名</w:t>
            </w:r>
          </w:p>
        </w:tc>
        <w:tc>
          <w:tcPr>
            <w:tcW w:w="1294" w:type="dxa"/>
          </w:tcPr>
          <w:p>
            <w:pPr>
              <w:rPr>
                <w:rFonts w:ascii="仿宋" w:hAnsi="仿宋" w:eastAsia="仿宋" w:cs="仿宋"/>
              </w:rPr>
            </w:pPr>
            <w:r>
              <w:rPr>
                <w:rFonts w:hint="eastAsia" w:ascii="仿宋" w:hAnsi="仿宋" w:eastAsia="仿宋" w:cs="仿宋"/>
              </w:rPr>
              <w:t>岗位</w:t>
            </w:r>
          </w:p>
        </w:tc>
        <w:tc>
          <w:tcPr>
            <w:tcW w:w="1015" w:type="dxa"/>
          </w:tcPr>
          <w:p>
            <w:pPr>
              <w:rPr>
                <w:rFonts w:ascii="仿宋" w:hAnsi="仿宋" w:eastAsia="仿宋" w:cs="仿宋"/>
              </w:rPr>
            </w:pPr>
            <w:r>
              <w:rPr>
                <w:rFonts w:hint="eastAsia" w:ascii="仿宋" w:hAnsi="仿宋" w:eastAsia="仿宋" w:cs="仿宋"/>
              </w:rPr>
              <w:t>职务</w:t>
            </w:r>
          </w:p>
        </w:tc>
        <w:tc>
          <w:tcPr>
            <w:tcW w:w="1095" w:type="dxa"/>
          </w:tcPr>
          <w:p>
            <w:pPr>
              <w:rPr>
                <w:rFonts w:ascii="仿宋" w:hAnsi="仿宋" w:eastAsia="仿宋" w:cs="仿宋"/>
              </w:rPr>
            </w:pPr>
            <w:r>
              <w:rPr>
                <w:rFonts w:hint="eastAsia" w:ascii="仿宋" w:hAnsi="仿宋" w:eastAsia="仿宋" w:cs="仿宋"/>
              </w:rPr>
              <w:t>学历</w:t>
            </w:r>
          </w:p>
        </w:tc>
        <w:tc>
          <w:tcPr>
            <w:tcW w:w="1772" w:type="dxa"/>
          </w:tcPr>
          <w:p>
            <w:pPr>
              <w:rPr>
                <w:rFonts w:ascii="仿宋" w:hAnsi="仿宋" w:eastAsia="仿宋" w:cs="仿宋"/>
              </w:rPr>
            </w:pPr>
            <w:r>
              <w:rPr>
                <w:rFonts w:hint="eastAsia" w:ascii="仿宋" w:hAnsi="仿宋" w:eastAsia="仿宋" w:cs="仿宋"/>
              </w:rPr>
              <w:t>资质证书情况</w:t>
            </w:r>
          </w:p>
        </w:tc>
        <w:tc>
          <w:tcPr>
            <w:tcW w:w="1294" w:type="dxa"/>
          </w:tcPr>
          <w:p>
            <w:pP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rPr>
                <w:rFonts w:ascii="仿宋" w:hAnsi="仿宋" w:eastAsia="仿宋" w:cs="仿宋"/>
              </w:rPr>
            </w:pPr>
          </w:p>
        </w:tc>
        <w:tc>
          <w:tcPr>
            <w:tcW w:w="1294" w:type="dxa"/>
          </w:tcPr>
          <w:p>
            <w:pPr>
              <w:rPr>
                <w:rFonts w:ascii="仿宋" w:hAnsi="仿宋" w:eastAsia="仿宋" w:cs="仿宋"/>
              </w:rPr>
            </w:pPr>
          </w:p>
        </w:tc>
        <w:tc>
          <w:tcPr>
            <w:tcW w:w="1294" w:type="dxa"/>
          </w:tcPr>
          <w:p>
            <w:pPr>
              <w:rPr>
                <w:rFonts w:ascii="仿宋" w:hAnsi="仿宋" w:eastAsia="仿宋" w:cs="仿宋"/>
              </w:rPr>
            </w:pPr>
          </w:p>
        </w:tc>
        <w:tc>
          <w:tcPr>
            <w:tcW w:w="1015" w:type="dxa"/>
          </w:tcPr>
          <w:p>
            <w:pPr>
              <w:rPr>
                <w:rFonts w:ascii="仿宋" w:hAnsi="仿宋" w:eastAsia="仿宋" w:cs="仿宋"/>
              </w:rPr>
            </w:pPr>
          </w:p>
        </w:tc>
        <w:tc>
          <w:tcPr>
            <w:tcW w:w="1095" w:type="dxa"/>
          </w:tcPr>
          <w:p>
            <w:pPr>
              <w:rPr>
                <w:rFonts w:ascii="仿宋" w:hAnsi="仿宋" w:eastAsia="仿宋" w:cs="仿宋"/>
              </w:rPr>
            </w:pPr>
          </w:p>
        </w:tc>
        <w:tc>
          <w:tcPr>
            <w:tcW w:w="1772" w:type="dxa"/>
          </w:tcPr>
          <w:p>
            <w:pPr>
              <w:rPr>
                <w:rFonts w:ascii="仿宋" w:hAnsi="仿宋" w:eastAsia="仿宋" w:cs="仿宋"/>
              </w:rPr>
            </w:pPr>
          </w:p>
        </w:tc>
        <w:tc>
          <w:tcPr>
            <w:tcW w:w="1294"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rPr>
                <w:rFonts w:ascii="仿宋" w:hAnsi="仿宋" w:eastAsia="仿宋" w:cs="仿宋"/>
              </w:rPr>
            </w:pPr>
          </w:p>
        </w:tc>
        <w:tc>
          <w:tcPr>
            <w:tcW w:w="1294" w:type="dxa"/>
          </w:tcPr>
          <w:p>
            <w:pPr>
              <w:rPr>
                <w:rFonts w:ascii="仿宋" w:hAnsi="仿宋" w:eastAsia="仿宋" w:cs="仿宋"/>
              </w:rPr>
            </w:pPr>
          </w:p>
        </w:tc>
        <w:tc>
          <w:tcPr>
            <w:tcW w:w="1294" w:type="dxa"/>
          </w:tcPr>
          <w:p>
            <w:pPr>
              <w:rPr>
                <w:rFonts w:ascii="仿宋" w:hAnsi="仿宋" w:eastAsia="仿宋" w:cs="仿宋"/>
              </w:rPr>
            </w:pPr>
          </w:p>
        </w:tc>
        <w:tc>
          <w:tcPr>
            <w:tcW w:w="1015" w:type="dxa"/>
          </w:tcPr>
          <w:p>
            <w:pPr>
              <w:rPr>
                <w:rFonts w:ascii="仿宋" w:hAnsi="仿宋" w:eastAsia="仿宋" w:cs="仿宋"/>
              </w:rPr>
            </w:pPr>
          </w:p>
        </w:tc>
        <w:tc>
          <w:tcPr>
            <w:tcW w:w="1095" w:type="dxa"/>
          </w:tcPr>
          <w:p>
            <w:pPr>
              <w:rPr>
                <w:rFonts w:ascii="仿宋" w:hAnsi="仿宋" w:eastAsia="仿宋" w:cs="仿宋"/>
              </w:rPr>
            </w:pPr>
          </w:p>
        </w:tc>
        <w:tc>
          <w:tcPr>
            <w:tcW w:w="1772" w:type="dxa"/>
          </w:tcPr>
          <w:p>
            <w:pPr>
              <w:rPr>
                <w:rFonts w:ascii="仿宋" w:hAnsi="仿宋" w:eastAsia="仿宋" w:cs="仿宋"/>
              </w:rPr>
            </w:pPr>
          </w:p>
        </w:tc>
        <w:tc>
          <w:tcPr>
            <w:tcW w:w="1294"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rPr>
                <w:rFonts w:ascii="仿宋" w:hAnsi="仿宋" w:eastAsia="仿宋" w:cs="仿宋"/>
              </w:rPr>
            </w:pPr>
          </w:p>
        </w:tc>
        <w:tc>
          <w:tcPr>
            <w:tcW w:w="1294" w:type="dxa"/>
          </w:tcPr>
          <w:p>
            <w:pPr>
              <w:rPr>
                <w:rFonts w:ascii="仿宋" w:hAnsi="仿宋" w:eastAsia="仿宋" w:cs="仿宋"/>
              </w:rPr>
            </w:pPr>
          </w:p>
        </w:tc>
        <w:tc>
          <w:tcPr>
            <w:tcW w:w="1294" w:type="dxa"/>
          </w:tcPr>
          <w:p>
            <w:pPr>
              <w:rPr>
                <w:rFonts w:ascii="仿宋" w:hAnsi="仿宋" w:eastAsia="仿宋" w:cs="仿宋"/>
              </w:rPr>
            </w:pPr>
          </w:p>
        </w:tc>
        <w:tc>
          <w:tcPr>
            <w:tcW w:w="1015" w:type="dxa"/>
          </w:tcPr>
          <w:p>
            <w:pPr>
              <w:rPr>
                <w:rFonts w:ascii="仿宋" w:hAnsi="仿宋" w:eastAsia="仿宋" w:cs="仿宋"/>
              </w:rPr>
            </w:pPr>
          </w:p>
        </w:tc>
        <w:tc>
          <w:tcPr>
            <w:tcW w:w="1095" w:type="dxa"/>
          </w:tcPr>
          <w:p>
            <w:pPr>
              <w:rPr>
                <w:rFonts w:ascii="仿宋" w:hAnsi="仿宋" w:eastAsia="仿宋" w:cs="仿宋"/>
              </w:rPr>
            </w:pPr>
          </w:p>
        </w:tc>
        <w:tc>
          <w:tcPr>
            <w:tcW w:w="1772" w:type="dxa"/>
          </w:tcPr>
          <w:p>
            <w:pPr>
              <w:rPr>
                <w:rFonts w:ascii="仿宋" w:hAnsi="仿宋" w:eastAsia="仿宋" w:cs="仿宋"/>
              </w:rPr>
            </w:pPr>
          </w:p>
        </w:tc>
        <w:tc>
          <w:tcPr>
            <w:tcW w:w="1294" w:type="dxa"/>
          </w:tcPr>
          <w:p>
            <w:pPr>
              <w:rPr>
                <w:rFonts w:ascii="仿宋" w:hAnsi="仿宋" w:eastAsia="仿宋" w:cs="仿宋"/>
              </w:rPr>
            </w:pPr>
          </w:p>
        </w:tc>
      </w:tr>
    </w:tbl>
    <w:p>
      <w:pPr>
        <w:ind w:firstLine="420" w:firstLineChars="200"/>
        <w:jc w:val="left"/>
        <w:rPr>
          <w:rFonts w:ascii="仿宋" w:hAnsi="仿宋" w:eastAsia="仿宋" w:cs="仿宋"/>
        </w:rPr>
      </w:pPr>
      <w:r>
        <w:rPr>
          <w:rFonts w:hint="eastAsia" w:ascii="仿宋" w:hAnsi="仿宋" w:eastAsia="仿宋" w:cs="仿宋"/>
        </w:rPr>
        <w:t>注：填写上述表格，并按评分表要求提供投标人相关证明资料。</w:t>
      </w:r>
    </w:p>
    <w:p>
      <w:pPr>
        <w:rPr>
          <w:rFonts w:ascii="黑体" w:eastAsia="黑体"/>
          <w:sz w:val="28"/>
          <w:szCs w:val="28"/>
        </w:rPr>
      </w:pPr>
      <w:r>
        <w:rPr>
          <w:rFonts w:hint="eastAsia" w:ascii="黑体" w:eastAsia="黑体"/>
          <w:sz w:val="28"/>
          <w:szCs w:val="28"/>
        </w:rPr>
        <w:br w:type="page"/>
      </w:r>
    </w:p>
    <w:p>
      <w:pPr>
        <w:pStyle w:val="4"/>
        <w:spacing w:before="120" w:after="120"/>
        <w:jc w:val="center"/>
        <w:rPr>
          <w:rFonts w:ascii="仿宋" w:hAnsi="仿宋" w:eastAsia="仿宋" w:cs="仿宋"/>
          <w:sz w:val="28"/>
          <w:szCs w:val="28"/>
        </w:rPr>
      </w:pPr>
      <w:bookmarkStart w:id="296" w:name="_Toc12461"/>
      <w:bookmarkStart w:id="297" w:name="_Toc3885"/>
      <w:r>
        <w:rPr>
          <w:rFonts w:hint="eastAsia" w:ascii="黑体" w:eastAsia="黑体"/>
          <w:sz w:val="28"/>
          <w:szCs w:val="28"/>
        </w:rPr>
        <w:t>九、实施方案</w:t>
      </w:r>
      <w:bookmarkEnd w:id="296"/>
      <w:bookmarkEnd w:id="297"/>
    </w:p>
    <w:p>
      <w:pPr>
        <w:rPr>
          <w:rFonts w:ascii="仿宋" w:hAnsi="仿宋" w:eastAsia="仿宋" w:cs="仿宋"/>
        </w:rPr>
      </w:pPr>
      <w:r>
        <w:rPr>
          <w:rFonts w:hint="eastAsia" w:ascii="仿宋" w:hAnsi="仿宋" w:eastAsia="仿宋" w:cs="仿宋"/>
          <w:b/>
          <w:bCs/>
          <w:sz w:val="22"/>
          <w:szCs w:val="28"/>
        </w:rPr>
        <w:t>（一）</w:t>
      </w:r>
      <w:r>
        <w:rPr>
          <w:rFonts w:hint="eastAsia" w:ascii="仿宋" w:hAnsi="仿宋" w:eastAsia="仿宋" w:cs="仿宋"/>
          <w:szCs w:val="21"/>
        </w:rPr>
        <w:t>实施方案（工作措施、工作方法、工作手段、工作流程）</w:t>
      </w:r>
    </w:p>
    <w:p>
      <w:pPr>
        <w:jc w:val="left"/>
        <w:rPr>
          <w:rFonts w:ascii="仿宋" w:hAnsi="仿宋" w:eastAsia="仿宋" w:cs="仿宋"/>
        </w:rPr>
      </w:pPr>
      <w:r>
        <w:rPr>
          <w:rFonts w:hint="eastAsia" w:ascii="仿宋" w:hAnsi="仿宋" w:eastAsia="仿宋" w:cs="仿宋"/>
        </w:rPr>
        <w:t>注：此处由投标人根据评分表要求内容及自身情况拟写。</w:t>
      </w:r>
    </w:p>
    <w:p>
      <w:pPr>
        <w:rPr>
          <w:rFonts w:ascii="仿宋" w:hAnsi="仿宋" w:eastAsia="仿宋" w:cs="仿宋"/>
        </w:rPr>
      </w:pPr>
    </w:p>
    <w:p>
      <w:pPr>
        <w:rPr>
          <w:rFonts w:ascii="仿宋" w:hAnsi="仿宋" w:eastAsia="仿宋" w:cs="仿宋"/>
          <w:b/>
          <w:bCs/>
          <w:sz w:val="22"/>
          <w:szCs w:val="28"/>
        </w:rPr>
      </w:pPr>
      <w:r>
        <w:rPr>
          <w:rFonts w:hint="eastAsia" w:ascii="仿宋" w:hAnsi="仿宋" w:eastAsia="仿宋" w:cs="仿宋"/>
          <w:b/>
          <w:bCs/>
          <w:sz w:val="22"/>
          <w:szCs w:val="28"/>
        </w:rPr>
        <w:t>（二）</w:t>
      </w:r>
      <w:r>
        <w:rPr>
          <w:rFonts w:hint="eastAsia" w:ascii="仿宋" w:hAnsi="仿宋" w:eastAsia="仿宋" w:cs="仿宋"/>
          <w:szCs w:val="21"/>
        </w:rPr>
        <w:t>项目重点难点分析、应对措施及相关的合理化建议</w:t>
      </w:r>
    </w:p>
    <w:p>
      <w:pPr>
        <w:jc w:val="left"/>
        <w:rPr>
          <w:rFonts w:ascii="仿宋" w:hAnsi="仿宋" w:eastAsia="仿宋" w:cs="仿宋"/>
        </w:rPr>
      </w:pPr>
      <w:r>
        <w:rPr>
          <w:rFonts w:hint="eastAsia" w:ascii="仿宋" w:hAnsi="仿宋" w:eastAsia="仿宋" w:cs="仿宋"/>
        </w:rPr>
        <w:t>注：此处由投标人根据评分表要求内容及自身情况拟写。</w:t>
      </w:r>
    </w:p>
    <w:p>
      <w:pPr>
        <w:rPr>
          <w:rFonts w:ascii="仿宋" w:hAnsi="仿宋" w:eastAsia="仿宋" w:cs="仿宋"/>
        </w:rPr>
      </w:pPr>
    </w:p>
    <w:p>
      <w:pPr>
        <w:rPr>
          <w:rFonts w:ascii="仿宋" w:hAnsi="仿宋" w:eastAsia="仿宋" w:cs="仿宋"/>
          <w:b/>
          <w:bCs/>
          <w:sz w:val="22"/>
          <w:szCs w:val="28"/>
        </w:rPr>
      </w:pPr>
      <w:r>
        <w:rPr>
          <w:rFonts w:hint="eastAsia" w:ascii="仿宋" w:hAnsi="仿宋" w:eastAsia="仿宋" w:cs="仿宋"/>
          <w:b/>
          <w:bCs/>
          <w:sz w:val="22"/>
          <w:szCs w:val="28"/>
        </w:rPr>
        <w:t>（三）</w:t>
      </w:r>
      <w:r>
        <w:rPr>
          <w:rFonts w:hint="eastAsia" w:ascii="仿宋" w:hAnsi="仿宋" w:eastAsia="仿宋" w:cs="仿宋"/>
          <w:szCs w:val="21"/>
        </w:rPr>
        <w:t>质量（完成时间、安全、环保）保障措施及方案</w:t>
      </w:r>
    </w:p>
    <w:p>
      <w:pPr>
        <w:jc w:val="left"/>
        <w:rPr>
          <w:rFonts w:ascii="仿宋" w:hAnsi="仿宋" w:eastAsia="仿宋" w:cs="仿宋"/>
        </w:rPr>
      </w:pPr>
      <w:r>
        <w:rPr>
          <w:rFonts w:hint="eastAsia" w:ascii="仿宋" w:hAnsi="仿宋" w:eastAsia="仿宋" w:cs="仿宋"/>
        </w:rPr>
        <w:t>注：此处由投标人根据评分表要求内容及自身情况拟写。</w:t>
      </w:r>
    </w:p>
    <w:p>
      <w:pPr>
        <w:rPr>
          <w:rFonts w:ascii="仿宋" w:hAnsi="仿宋" w:eastAsia="仿宋" w:cs="仿宋"/>
        </w:rPr>
      </w:pPr>
    </w:p>
    <w:p>
      <w:pPr>
        <w:jc w:val="left"/>
        <w:rPr>
          <w:rFonts w:ascii="仿宋" w:hAnsi="仿宋" w:eastAsia="仿宋" w:cs="仿宋"/>
          <w:szCs w:val="21"/>
        </w:rPr>
      </w:pPr>
      <w:r>
        <w:rPr>
          <w:rFonts w:hint="eastAsia" w:ascii="仿宋" w:hAnsi="仿宋" w:eastAsia="仿宋" w:cs="仿宋"/>
          <w:b/>
          <w:bCs/>
          <w:sz w:val="22"/>
          <w:szCs w:val="28"/>
        </w:rPr>
        <w:t>（四）</w:t>
      </w:r>
      <w:r>
        <w:rPr>
          <w:rFonts w:hint="eastAsia" w:ascii="仿宋" w:hAnsi="仿宋" w:eastAsia="仿宋" w:cs="仿宋"/>
          <w:szCs w:val="21"/>
        </w:rPr>
        <w:t>项目完成（服务期满）后的服务承诺</w:t>
      </w:r>
    </w:p>
    <w:p>
      <w:pPr>
        <w:rPr>
          <w:rFonts w:ascii="仿宋" w:hAnsi="仿宋" w:eastAsia="仿宋" w:cs="仿宋"/>
        </w:rPr>
      </w:pPr>
      <w:r>
        <w:rPr>
          <w:rFonts w:hint="eastAsia" w:ascii="仿宋" w:hAnsi="仿宋" w:eastAsia="仿宋" w:cs="仿宋"/>
        </w:rPr>
        <w:t>注：此处由投标人根据评分表要求的承诺内容及自身情况拟写。</w:t>
      </w:r>
    </w:p>
    <w:p>
      <w:pPr>
        <w:spacing w:before="120" w:after="120"/>
        <w:jc w:val="center"/>
      </w:pPr>
      <w:r>
        <w:rPr>
          <w:rFonts w:ascii="宋体" w:hAnsi="宋体"/>
          <w:b/>
          <w:bCs/>
          <w:sz w:val="24"/>
        </w:rPr>
        <w:br w:type="page"/>
      </w:r>
    </w:p>
    <w:p>
      <w:pPr>
        <w:spacing w:before="120" w:after="120"/>
        <w:jc w:val="center"/>
        <w:outlineLvl w:val="2"/>
        <w:rPr>
          <w:rFonts w:ascii="黑体" w:eastAsia="黑体"/>
          <w:b/>
          <w:bCs/>
          <w:kern w:val="0"/>
          <w:sz w:val="28"/>
          <w:szCs w:val="28"/>
        </w:rPr>
      </w:pPr>
      <w:bookmarkStart w:id="298" w:name="_Toc17036"/>
      <w:bookmarkStart w:id="299" w:name="_Toc9042"/>
      <w:r>
        <w:rPr>
          <w:rFonts w:hint="eastAsia" w:ascii="黑体" w:eastAsia="黑体"/>
          <w:b/>
          <w:bCs/>
          <w:kern w:val="0"/>
          <w:sz w:val="28"/>
          <w:szCs w:val="28"/>
        </w:rPr>
        <w:t>十、</w:t>
      </w:r>
      <w:bookmarkEnd w:id="282"/>
      <w:bookmarkEnd w:id="283"/>
      <w:bookmarkEnd w:id="284"/>
      <w:bookmarkEnd w:id="285"/>
      <w:bookmarkEnd w:id="286"/>
      <w:r>
        <w:rPr>
          <w:rFonts w:hint="eastAsia" w:ascii="黑体" w:eastAsia="黑体"/>
          <w:b/>
          <w:bCs/>
          <w:kern w:val="0"/>
          <w:sz w:val="28"/>
          <w:szCs w:val="28"/>
        </w:rPr>
        <w:t>服务条款偏离表</w:t>
      </w:r>
      <w:bookmarkEnd w:id="287"/>
      <w:bookmarkEnd w:id="288"/>
      <w:bookmarkEnd w:id="289"/>
      <w:bookmarkEnd w:id="290"/>
      <w:bookmarkEnd w:id="291"/>
      <w:bookmarkEnd w:id="298"/>
      <w:bookmarkEnd w:id="299"/>
    </w:p>
    <w:p>
      <w:pPr>
        <w:spacing w:line="360" w:lineRule="auto"/>
        <w:rPr>
          <w:rFonts w:ascii="仿宋" w:hAnsi="仿宋" w:eastAsia="仿宋" w:cs="仿宋"/>
          <w:bCs/>
          <w:szCs w:val="21"/>
        </w:rPr>
      </w:pPr>
      <w:r>
        <w:rPr>
          <w:rFonts w:hint="eastAsia" w:ascii="仿宋" w:hAnsi="仿宋" w:eastAsia="仿宋" w:cs="仿宋"/>
          <w:bCs/>
          <w:szCs w:val="21"/>
        </w:rPr>
        <w:t>投标人名称：                               项目编号：</w:t>
      </w:r>
    </w:p>
    <w:tbl>
      <w:tblPr>
        <w:tblStyle w:val="23"/>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93"/>
        <w:gridCol w:w="1009"/>
        <w:gridCol w:w="120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7"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序号</w:t>
            </w:r>
          </w:p>
        </w:tc>
        <w:tc>
          <w:tcPr>
            <w:tcW w:w="4793"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招标服务要求</w:t>
            </w:r>
          </w:p>
        </w:tc>
        <w:tc>
          <w:tcPr>
            <w:tcW w:w="1009"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投标服务响应</w:t>
            </w:r>
          </w:p>
        </w:tc>
        <w:tc>
          <w:tcPr>
            <w:tcW w:w="1200"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偏离情况</w:t>
            </w:r>
          </w:p>
        </w:tc>
        <w:tc>
          <w:tcPr>
            <w:tcW w:w="723"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tcPr>
          <w:p>
            <w:pPr>
              <w:jc w:val="center"/>
              <w:rPr>
                <w:rFonts w:ascii="仿宋" w:hAnsi="仿宋" w:eastAsia="仿宋" w:cs="仿宋"/>
                <w:bCs/>
                <w:szCs w:val="21"/>
              </w:rPr>
            </w:pPr>
          </w:p>
        </w:tc>
        <w:tc>
          <w:tcPr>
            <w:tcW w:w="4793" w:type="dxa"/>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二、项目服务内容及服务要求</w:t>
            </w:r>
          </w:p>
          <w:p>
            <w:pPr>
              <w:widowControl/>
              <w:jc w:val="left"/>
              <w:rPr>
                <w:rFonts w:hint="eastAsia" w:ascii="仿宋" w:hAnsi="仿宋" w:eastAsia="仿宋" w:cs="仿宋"/>
                <w:kern w:val="0"/>
                <w:szCs w:val="21"/>
              </w:rPr>
            </w:pPr>
            <w:r>
              <w:rPr>
                <w:rFonts w:hint="eastAsia" w:ascii="仿宋" w:hAnsi="仿宋" w:eastAsia="仿宋" w:cs="仿宋"/>
                <w:kern w:val="0"/>
                <w:szCs w:val="21"/>
              </w:rPr>
              <w:t>1.规划实施情况及用地需求调查。</w:t>
            </w:r>
          </w:p>
          <w:p>
            <w:pPr>
              <w:widowControl/>
              <w:jc w:val="left"/>
              <w:rPr>
                <w:rFonts w:hint="eastAsia" w:ascii="仿宋" w:hAnsi="仿宋" w:eastAsia="仿宋" w:cs="仿宋"/>
                <w:kern w:val="0"/>
                <w:szCs w:val="21"/>
              </w:rPr>
            </w:pPr>
            <w:r>
              <w:rPr>
                <w:rFonts w:hint="eastAsia" w:ascii="仿宋" w:hAnsi="仿宋" w:eastAsia="仿宋" w:cs="仿宋"/>
                <w:kern w:val="0"/>
                <w:szCs w:val="21"/>
              </w:rPr>
              <w:t>分析规划实施情况。立足于扩区后前海合作区土地资源统一管理的需要，以前海合作区土地管理工作的实际需求为基本导向，对前海总体规划、国土空间规划、产业规划及各类详细规划进行梳理分析。</w:t>
            </w:r>
          </w:p>
          <w:p>
            <w:pPr>
              <w:widowControl/>
              <w:jc w:val="left"/>
              <w:rPr>
                <w:rFonts w:hint="eastAsia" w:ascii="仿宋" w:hAnsi="仿宋" w:eastAsia="仿宋" w:cs="仿宋"/>
                <w:kern w:val="0"/>
                <w:szCs w:val="21"/>
              </w:rPr>
            </w:pPr>
            <w:r>
              <w:rPr>
                <w:rFonts w:hint="eastAsia" w:ascii="仿宋" w:hAnsi="仿宋" w:eastAsia="仿宋" w:cs="仿宋"/>
                <w:kern w:val="0"/>
                <w:szCs w:val="21"/>
              </w:rPr>
              <w:t>调查用地需求。统筹2024年度用地实际供应需求，结合前海合作区土地资源潜力空间情况，合理安排后续剩余增量建设用地，对各片区供应需求进行评估分析和筛查。</w:t>
            </w:r>
          </w:p>
          <w:p>
            <w:pPr>
              <w:widowControl/>
              <w:jc w:val="left"/>
              <w:rPr>
                <w:rFonts w:hint="eastAsia" w:ascii="仿宋" w:hAnsi="仿宋" w:eastAsia="仿宋" w:cs="仿宋"/>
                <w:kern w:val="0"/>
                <w:szCs w:val="21"/>
              </w:rPr>
            </w:pPr>
            <w:r>
              <w:rPr>
                <w:rFonts w:hint="eastAsia" w:ascii="仿宋" w:hAnsi="仿宋" w:eastAsia="仿宋" w:cs="仿宋"/>
                <w:kern w:val="0"/>
                <w:szCs w:val="21"/>
              </w:rPr>
              <w:t>结合规划实施情况和用地需求调查，对2024年土地供应实施进行评估分析，为合理有序供应前海土地资源释放提供基础支撑，为前海加快建设和创新发展提供土地空间资源保障。</w:t>
            </w:r>
          </w:p>
          <w:p>
            <w:pPr>
              <w:widowControl/>
              <w:jc w:val="left"/>
              <w:rPr>
                <w:rFonts w:hint="eastAsia" w:ascii="仿宋" w:hAnsi="仿宋" w:eastAsia="仿宋" w:cs="仿宋"/>
                <w:kern w:val="0"/>
                <w:szCs w:val="21"/>
              </w:rPr>
            </w:pPr>
            <w:r>
              <w:rPr>
                <w:rFonts w:hint="eastAsia" w:ascii="仿宋" w:hAnsi="仿宋" w:eastAsia="仿宋" w:cs="仿宋"/>
                <w:kern w:val="0"/>
                <w:szCs w:val="21"/>
              </w:rPr>
              <w:t>2.协助编制2024年度建设用地供应计划。</w:t>
            </w:r>
          </w:p>
          <w:p>
            <w:pPr>
              <w:widowControl/>
              <w:jc w:val="left"/>
              <w:rPr>
                <w:rFonts w:hint="eastAsia" w:ascii="仿宋" w:hAnsi="仿宋" w:eastAsia="仿宋" w:cs="仿宋"/>
                <w:kern w:val="0"/>
                <w:szCs w:val="21"/>
              </w:rPr>
            </w:pPr>
            <w:r>
              <w:rPr>
                <w:rFonts w:hint="eastAsia" w:ascii="仿宋" w:hAnsi="仿宋" w:eastAsia="仿宋" w:cs="仿宋"/>
                <w:kern w:val="0"/>
                <w:szCs w:val="21"/>
              </w:rPr>
              <w:t>开展实施回顾。详细分析上一年度土地供应实施情况，包括用地规模、用地功能、主要来源、空间分布、出让对象等方面，总结土地供应环节的现状问题。</w:t>
            </w:r>
          </w:p>
          <w:p>
            <w:pPr>
              <w:widowControl/>
              <w:jc w:val="left"/>
              <w:rPr>
                <w:rFonts w:hint="eastAsia" w:ascii="仿宋" w:hAnsi="仿宋" w:eastAsia="仿宋" w:cs="仿宋"/>
                <w:kern w:val="0"/>
                <w:szCs w:val="21"/>
              </w:rPr>
            </w:pPr>
            <w:r>
              <w:rPr>
                <w:rFonts w:hint="eastAsia" w:ascii="仿宋" w:hAnsi="仿宋" w:eastAsia="仿宋" w:cs="仿宋"/>
                <w:kern w:val="0"/>
                <w:szCs w:val="21"/>
              </w:rPr>
              <w:t>土地供应政策趋势和市场形势分析。结合最新的相关政策、规划，分析近年土地供应政策发展趋势和方向，结合最新土地供应情况，对土地供应市场形势进行分析和研判，为明确年度土地供应计划编制的总体思路提供决策依据和技术支持。</w:t>
            </w:r>
          </w:p>
          <w:p>
            <w:pPr>
              <w:widowControl/>
              <w:jc w:val="left"/>
              <w:rPr>
                <w:rFonts w:hint="eastAsia" w:ascii="仿宋" w:hAnsi="仿宋" w:eastAsia="仿宋" w:cs="仿宋"/>
                <w:kern w:val="0"/>
                <w:szCs w:val="21"/>
              </w:rPr>
            </w:pPr>
            <w:r>
              <w:rPr>
                <w:rFonts w:hint="eastAsia" w:ascii="仿宋" w:hAnsi="仿宋" w:eastAsia="仿宋" w:cs="仿宋"/>
                <w:kern w:val="0"/>
                <w:szCs w:val="21"/>
              </w:rPr>
              <w:t>为年度供应计划编制提供技术咨询意见。基于城市整体规划实施情况及用地需求的分析，并以相关政策和规划为指导，以新增土地和存量土地为抓手，借鉴国内外相近地区的先进经验，统筹协调2024年度居住用地、产业用地、民生用地、商服用地的空间布局和时序安排，为科学审慎编制2024年的土地供应计划提供政策和技术支持。</w:t>
            </w:r>
          </w:p>
          <w:p>
            <w:pPr>
              <w:widowControl/>
              <w:jc w:val="left"/>
              <w:rPr>
                <w:rFonts w:hint="eastAsia" w:ascii="仿宋" w:hAnsi="仿宋" w:eastAsia="仿宋" w:cs="仿宋"/>
                <w:kern w:val="0"/>
                <w:szCs w:val="21"/>
              </w:rPr>
            </w:pPr>
            <w:r>
              <w:rPr>
                <w:rFonts w:hint="eastAsia" w:ascii="仿宋" w:hAnsi="仿宋" w:eastAsia="仿宋" w:cs="仿宋"/>
                <w:kern w:val="0"/>
                <w:szCs w:val="21"/>
              </w:rPr>
              <w:t>3.协助编制建设用地供应分布指引文件。</w:t>
            </w:r>
          </w:p>
          <w:p>
            <w:pPr>
              <w:widowControl/>
              <w:jc w:val="left"/>
              <w:rPr>
                <w:rFonts w:hint="eastAsia" w:ascii="仿宋" w:hAnsi="仿宋" w:eastAsia="仿宋" w:cs="仿宋"/>
                <w:kern w:val="0"/>
                <w:szCs w:val="21"/>
              </w:rPr>
            </w:pPr>
            <w:r>
              <w:rPr>
                <w:rFonts w:hint="eastAsia" w:ascii="仿宋" w:hAnsi="仿宋" w:eastAsia="仿宋" w:cs="仿宋"/>
                <w:kern w:val="0"/>
                <w:szCs w:val="21"/>
              </w:rPr>
              <w:t>由于南山和宝安两区涉及前海扩区范围内土地的权属和现状情况十分复杂，且每年度土地利用情况发生变化较大，对后续供应计划的实施提出了更高的要求。为科学合理地指导各片区用地供应，以年度建设用地供应计划为指引，收集相关资料情况协助制定海洋新城及会展新城片区、机场及周边片区、蛇口及大小南山片区、宝中及大铲湾片区、三湾片区计划分布指引文件，梳理各片区土地现状利用情况及土地供应环节的问题，把控各片区新增建设用地供应节奏，有序、有重点的安排前海土地资源供应，推进2024年度建设用地供应计划目标的完成。</w:t>
            </w:r>
          </w:p>
          <w:p>
            <w:pPr>
              <w:widowControl/>
              <w:jc w:val="left"/>
              <w:rPr>
                <w:rFonts w:hint="eastAsia" w:ascii="仿宋" w:hAnsi="仿宋" w:eastAsia="仿宋" w:cs="仿宋"/>
                <w:kern w:val="0"/>
                <w:szCs w:val="21"/>
              </w:rPr>
            </w:pPr>
            <w:r>
              <w:rPr>
                <w:rFonts w:hint="eastAsia" w:ascii="仿宋" w:hAnsi="仿宋" w:eastAsia="仿宋" w:cs="仿宋"/>
                <w:kern w:val="0"/>
                <w:szCs w:val="21"/>
              </w:rPr>
              <w:t>4.构建重点项目专项项目库。</w:t>
            </w:r>
          </w:p>
          <w:p>
            <w:pPr>
              <w:widowControl/>
              <w:jc w:val="left"/>
              <w:rPr>
                <w:rFonts w:hint="eastAsia" w:ascii="仿宋" w:hAnsi="仿宋" w:eastAsia="仿宋" w:cs="仿宋"/>
                <w:kern w:val="0"/>
                <w:szCs w:val="21"/>
              </w:rPr>
            </w:pPr>
            <w:r>
              <w:rPr>
                <w:rFonts w:hint="eastAsia" w:ascii="仿宋" w:hAnsi="仿宋" w:eastAsia="仿宋" w:cs="仿宋"/>
                <w:kern w:val="0"/>
                <w:szCs w:val="21"/>
              </w:rPr>
              <w:t>内业清查。梳理范围内城市更新、土地整备、基础设施、公共配套、公共住房建设、土地出让、重点产业等重点项目的名称、位置、责任单位、建设内容、建设规模、进度、计划基本信息。</w:t>
            </w:r>
          </w:p>
          <w:p>
            <w:pPr>
              <w:widowControl/>
              <w:jc w:val="left"/>
              <w:rPr>
                <w:rFonts w:hint="eastAsia" w:ascii="仿宋" w:hAnsi="仿宋" w:eastAsia="仿宋" w:cs="仿宋"/>
                <w:kern w:val="0"/>
                <w:szCs w:val="21"/>
              </w:rPr>
            </w:pPr>
            <w:r>
              <w:rPr>
                <w:rFonts w:hint="eastAsia" w:ascii="仿宋" w:hAnsi="仿宋" w:eastAsia="仿宋" w:cs="仿宋"/>
                <w:kern w:val="0"/>
                <w:szCs w:val="21"/>
              </w:rPr>
              <w:t>外业调查。对重点项目开展现场实地踏勘和调研，调研了解相关信息，核实现状情况及开发建设情况等，形成重点项目分布图和基本信息情况表。</w:t>
            </w:r>
          </w:p>
          <w:p>
            <w:pPr>
              <w:widowControl/>
              <w:jc w:val="left"/>
              <w:rPr>
                <w:rFonts w:ascii="仿宋" w:hAnsi="仿宋" w:eastAsia="仿宋" w:cs="仿宋"/>
                <w:kern w:val="0"/>
                <w:szCs w:val="21"/>
              </w:rPr>
            </w:pPr>
            <w:r>
              <w:rPr>
                <w:rFonts w:hint="eastAsia" w:ascii="仿宋" w:hAnsi="仿宋" w:eastAsia="仿宋" w:cs="仿宋"/>
                <w:kern w:val="0"/>
                <w:szCs w:val="21"/>
              </w:rPr>
              <w:t>重点项目数据建库。对内外业调查的数据进行整合，按空间数据库管理规范对数据进行拓扑分析、属性完善补充、制图表达等优化整理，按数据库结构进行系统的信息录入。1.规划实施情况及用地需求调查。</w:t>
            </w:r>
          </w:p>
        </w:tc>
        <w:tc>
          <w:tcPr>
            <w:tcW w:w="1009" w:type="dxa"/>
          </w:tcPr>
          <w:p>
            <w:pPr>
              <w:spacing w:line="400" w:lineRule="exact"/>
              <w:jc w:val="center"/>
              <w:rPr>
                <w:rFonts w:ascii="仿宋" w:hAnsi="仿宋" w:eastAsia="仿宋" w:cs="仿宋"/>
                <w:bCs/>
                <w:szCs w:val="21"/>
              </w:rPr>
            </w:pPr>
          </w:p>
        </w:tc>
        <w:tc>
          <w:tcPr>
            <w:tcW w:w="1200" w:type="dxa"/>
          </w:tcPr>
          <w:p>
            <w:pPr>
              <w:jc w:val="center"/>
              <w:rPr>
                <w:rFonts w:ascii="仿宋" w:hAnsi="仿宋" w:eastAsia="仿宋" w:cs="仿宋"/>
                <w:bCs/>
                <w:szCs w:val="21"/>
              </w:rPr>
            </w:pPr>
          </w:p>
        </w:tc>
        <w:tc>
          <w:tcPr>
            <w:tcW w:w="723" w:type="dxa"/>
          </w:tcPr>
          <w:p>
            <w:pPr>
              <w:jc w:val="center"/>
              <w:rPr>
                <w:rFonts w:ascii="仿宋" w:hAnsi="仿宋" w:eastAsia="仿宋" w:cs="仿宋"/>
                <w:bCs/>
                <w:szCs w:val="21"/>
              </w:rPr>
            </w:pPr>
          </w:p>
        </w:tc>
      </w:tr>
    </w:tbl>
    <w:p>
      <w:pPr>
        <w:rPr>
          <w:rFonts w:ascii="仿宋" w:hAnsi="仿宋" w:eastAsia="仿宋" w:cs="仿宋"/>
          <w:bCs/>
          <w:szCs w:val="21"/>
        </w:rPr>
      </w:pPr>
      <w:r>
        <w:rPr>
          <w:rFonts w:hint="eastAsia" w:ascii="仿宋" w:hAnsi="仿宋" w:eastAsia="仿宋" w:cs="仿宋"/>
          <w:bCs/>
          <w:szCs w:val="21"/>
        </w:rPr>
        <w:t>备注：</w:t>
      </w:r>
    </w:p>
    <w:p>
      <w:pPr>
        <w:ind w:firstLine="420" w:firstLineChars="200"/>
        <w:rPr>
          <w:rFonts w:ascii="仿宋" w:hAnsi="仿宋" w:eastAsia="仿宋" w:cs="仿宋"/>
          <w:bCs/>
          <w:szCs w:val="21"/>
        </w:rPr>
      </w:pPr>
      <w:r>
        <w:rPr>
          <w:rFonts w:hint="eastAsia" w:ascii="仿宋" w:hAnsi="仿宋" w:eastAsia="仿宋" w:cs="仿宋"/>
          <w:bCs/>
          <w:szCs w:val="21"/>
        </w:rPr>
        <w:t>1.“招标服务要求”一栏应填写招标文件第一册第三章“二、项目服务内容及服务要求”的全部的主要内容；</w:t>
      </w:r>
    </w:p>
    <w:p>
      <w:pPr>
        <w:ind w:firstLine="420" w:firstLineChars="200"/>
        <w:rPr>
          <w:rFonts w:ascii="仿宋" w:hAnsi="仿宋" w:eastAsia="仿宋" w:cs="仿宋"/>
          <w:bCs/>
          <w:szCs w:val="21"/>
        </w:rPr>
      </w:pPr>
      <w:r>
        <w:rPr>
          <w:rFonts w:hint="eastAsia" w:ascii="仿宋" w:hAnsi="仿宋" w:eastAsia="仿宋" w:cs="仿宋"/>
          <w:bCs/>
          <w:szCs w:val="21"/>
        </w:rPr>
        <w:t>2.“投标服务响应”一栏投标人根据自身情况填写对“服务要求”的响应；并列明响应的具体内容。</w:t>
      </w:r>
    </w:p>
    <w:p>
      <w:pPr>
        <w:ind w:firstLine="420" w:firstLineChars="200"/>
        <w:rPr>
          <w:rFonts w:ascii="仿宋" w:hAnsi="仿宋" w:eastAsia="仿宋" w:cs="仿宋"/>
          <w:bCs/>
          <w:szCs w:val="21"/>
        </w:rPr>
      </w:pPr>
      <w:r>
        <w:rPr>
          <w:rFonts w:hint="eastAsia" w:ascii="仿宋" w:hAnsi="仿宋" w:eastAsia="仿宋" w:cs="仿宋"/>
          <w:bCs/>
          <w:szCs w:val="21"/>
        </w:rPr>
        <w:t>3.“偏离情况”一栏填写如实填写“正偏离”、“负偏离”或“无偏离”，其中：“正偏离”表示“投标响应优于招标服务要求”，“负偏离”表示“投标响应不满足招标服务要求”，“无偏离”表示“投标响应与招标服务要求一致”。“投标服务响应”对比“招标服务要求”存在响应不全（包括未响应整项招标服务要求或者未响应一项招标服务要求的部分内容），均视为“负偏离”。</w:t>
      </w:r>
    </w:p>
    <w:p>
      <w:pPr>
        <w:spacing w:line="360" w:lineRule="auto"/>
        <w:ind w:firstLine="643" w:firstLineChars="200"/>
        <w:jc w:val="center"/>
        <w:rPr>
          <w:b/>
          <w:bCs/>
          <w:sz w:val="32"/>
          <w:szCs w:val="32"/>
        </w:rPr>
      </w:pPr>
    </w:p>
    <w:p>
      <w:pPr>
        <w:pStyle w:val="4"/>
        <w:spacing w:before="120" w:after="120"/>
        <w:jc w:val="center"/>
        <w:rPr>
          <w:rFonts w:ascii="宋体" w:hAnsi="宋体" w:cs="Arial"/>
          <w:bCs w:val="0"/>
          <w:szCs w:val="21"/>
        </w:rPr>
      </w:pPr>
      <w:r>
        <w:rPr>
          <w:b w:val="0"/>
          <w:bCs w:val="0"/>
        </w:rPr>
        <w:br w:type="page"/>
      </w:r>
      <w:bookmarkStart w:id="300" w:name="_Toc17500"/>
      <w:bookmarkStart w:id="301" w:name="_Toc30423"/>
      <w:bookmarkStart w:id="302" w:name="_Toc21189"/>
      <w:bookmarkStart w:id="303" w:name="_Toc4025"/>
      <w:bookmarkStart w:id="304" w:name="_Toc7367"/>
      <w:bookmarkStart w:id="305" w:name="_Toc32255"/>
      <w:bookmarkStart w:id="306" w:name="_Toc17371"/>
      <w:r>
        <w:rPr>
          <w:rFonts w:hint="eastAsia" w:ascii="黑体" w:eastAsia="黑体"/>
          <w:sz w:val="28"/>
          <w:szCs w:val="28"/>
        </w:rPr>
        <w:t>十一、商务条款偏离表</w:t>
      </w:r>
      <w:bookmarkEnd w:id="300"/>
      <w:bookmarkEnd w:id="301"/>
      <w:bookmarkEnd w:id="302"/>
      <w:bookmarkEnd w:id="303"/>
      <w:bookmarkEnd w:id="304"/>
      <w:bookmarkEnd w:id="305"/>
      <w:bookmarkEnd w:id="306"/>
    </w:p>
    <w:p>
      <w:pPr>
        <w:spacing w:line="360" w:lineRule="auto"/>
        <w:rPr>
          <w:rFonts w:ascii="仿宋" w:hAnsi="仿宋" w:eastAsia="仿宋" w:cs="仿宋"/>
          <w:bCs/>
          <w:szCs w:val="21"/>
        </w:rPr>
      </w:pPr>
      <w:r>
        <w:rPr>
          <w:rFonts w:hint="eastAsia" w:ascii="仿宋" w:hAnsi="仿宋" w:eastAsia="仿宋" w:cs="仿宋"/>
          <w:bCs/>
          <w:szCs w:val="21"/>
        </w:rPr>
        <w:t>投标人名称：                                    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244"/>
        <w:gridCol w:w="1276"/>
        <w:gridCol w:w="851"/>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仿宋" w:hAnsi="仿宋" w:eastAsia="仿宋" w:cs="仿宋"/>
                <w:bCs/>
                <w:szCs w:val="21"/>
              </w:rPr>
            </w:pPr>
            <w:r>
              <w:rPr>
                <w:rFonts w:hint="eastAsia" w:ascii="仿宋" w:hAnsi="仿宋" w:eastAsia="仿宋" w:cs="仿宋"/>
                <w:bCs/>
                <w:szCs w:val="21"/>
              </w:rPr>
              <w:t>序号</w:t>
            </w:r>
          </w:p>
        </w:tc>
        <w:tc>
          <w:tcPr>
            <w:tcW w:w="5244" w:type="dxa"/>
            <w:vAlign w:val="center"/>
          </w:tcPr>
          <w:p>
            <w:pPr>
              <w:jc w:val="center"/>
              <w:rPr>
                <w:rFonts w:ascii="仿宋" w:hAnsi="仿宋" w:eastAsia="仿宋" w:cs="仿宋"/>
                <w:bCs/>
                <w:szCs w:val="21"/>
              </w:rPr>
            </w:pPr>
            <w:r>
              <w:rPr>
                <w:rFonts w:hint="eastAsia" w:ascii="仿宋" w:hAnsi="仿宋" w:eastAsia="仿宋" w:cs="仿宋"/>
                <w:bCs/>
                <w:szCs w:val="21"/>
              </w:rPr>
              <w:t>招标商务条款</w:t>
            </w:r>
          </w:p>
        </w:tc>
        <w:tc>
          <w:tcPr>
            <w:tcW w:w="1276" w:type="dxa"/>
            <w:vAlign w:val="center"/>
          </w:tcPr>
          <w:p>
            <w:pPr>
              <w:jc w:val="center"/>
              <w:rPr>
                <w:rFonts w:ascii="仿宋" w:hAnsi="仿宋" w:eastAsia="仿宋" w:cs="仿宋"/>
                <w:bCs/>
                <w:szCs w:val="21"/>
              </w:rPr>
            </w:pPr>
            <w:r>
              <w:rPr>
                <w:rFonts w:hint="eastAsia" w:ascii="仿宋" w:hAnsi="仿宋" w:eastAsia="仿宋" w:cs="仿宋"/>
                <w:bCs/>
                <w:szCs w:val="21"/>
              </w:rPr>
              <w:t>投标商务条款</w:t>
            </w:r>
          </w:p>
        </w:tc>
        <w:tc>
          <w:tcPr>
            <w:tcW w:w="851" w:type="dxa"/>
            <w:vAlign w:val="center"/>
          </w:tcPr>
          <w:p>
            <w:pPr>
              <w:jc w:val="center"/>
              <w:rPr>
                <w:rFonts w:ascii="仿宋" w:hAnsi="仿宋" w:eastAsia="仿宋" w:cs="仿宋"/>
                <w:bCs/>
                <w:szCs w:val="21"/>
              </w:rPr>
            </w:pPr>
            <w:r>
              <w:rPr>
                <w:rFonts w:hint="eastAsia" w:ascii="仿宋" w:hAnsi="仿宋" w:eastAsia="仿宋" w:cs="仿宋"/>
                <w:bCs/>
                <w:szCs w:val="21"/>
              </w:rPr>
              <w:t>偏离情况</w:t>
            </w:r>
          </w:p>
        </w:tc>
        <w:tc>
          <w:tcPr>
            <w:tcW w:w="617" w:type="dxa"/>
            <w:vAlign w:val="center"/>
          </w:tcPr>
          <w:p>
            <w:pPr>
              <w:jc w:val="center"/>
              <w:rPr>
                <w:rFonts w:ascii="仿宋" w:hAnsi="仿宋" w:eastAsia="仿宋" w:cs="仿宋"/>
                <w:bCs/>
                <w:szCs w:val="21"/>
              </w:rPr>
            </w:pPr>
            <w:r>
              <w:rPr>
                <w:rFonts w:hint="eastAsia" w:ascii="仿宋" w:hAnsi="仿宋" w:eastAsia="仿宋" w:cs="仿宋"/>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center"/>
              <w:rPr>
                <w:rFonts w:ascii="仿宋" w:hAnsi="仿宋" w:eastAsia="仿宋" w:cs="仿宋"/>
                <w:bCs/>
                <w:szCs w:val="21"/>
              </w:rPr>
            </w:pPr>
            <w:r>
              <w:rPr>
                <w:rFonts w:hint="eastAsia" w:ascii="仿宋" w:hAnsi="仿宋" w:eastAsia="仿宋" w:cs="仿宋"/>
                <w:bCs/>
                <w:szCs w:val="21"/>
              </w:rPr>
              <w:t>1</w:t>
            </w:r>
          </w:p>
        </w:tc>
        <w:tc>
          <w:tcPr>
            <w:tcW w:w="5244" w:type="dxa"/>
          </w:tcPr>
          <w:p>
            <w:pPr>
              <w:rPr>
                <w:rFonts w:hint="eastAsia" w:ascii="仿宋" w:hAnsi="仿宋" w:eastAsia="仿宋" w:cs="仿宋"/>
                <w:szCs w:val="21"/>
              </w:rPr>
            </w:pPr>
            <w:r>
              <w:rPr>
                <w:rFonts w:hint="eastAsia" w:ascii="仿宋" w:hAnsi="仿宋" w:eastAsia="仿宋" w:cs="仿宋"/>
                <w:szCs w:val="21"/>
              </w:rPr>
              <w:t>（一）项目服务期限</w:t>
            </w:r>
          </w:p>
          <w:p>
            <w:pPr>
              <w:rPr>
                <w:rFonts w:hint="eastAsia" w:ascii="仿宋" w:hAnsi="仿宋" w:eastAsia="仿宋" w:cs="仿宋"/>
                <w:szCs w:val="21"/>
              </w:rPr>
            </w:pPr>
            <w:r>
              <w:rPr>
                <w:rFonts w:hint="eastAsia" w:ascii="仿宋" w:hAnsi="仿宋" w:eastAsia="仿宋" w:cs="仿宋"/>
                <w:szCs w:val="21"/>
              </w:rPr>
              <w:t>招标服务期限为合同签订之日起6个月。</w:t>
            </w:r>
          </w:p>
          <w:p>
            <w:pPr>
              <w:rPr>
                <w:rFonts w:hint="eastAsia" w:ascii="仿宋" w:hAnsi="仿宋" w:eastAsia="仿宋" w:cs="仿宋"/>
                <w:szCs w:val="21"/>
              </w:rPr>
            </w:pPr>
            <w:r>
              <w:rPr>
                <w:rFonts w:hint="eastAsia" w:ascii="仿宋" w:hAnsi="仿宋" w:eastAsia="仿宋" w:cs="仿宋"/>
                <w:szCs w:val="21"/>
              </w:rPr>
              <w:t>售后服务期限为项目成果通过验收之日起6个月。</w:t>
            </w:r>
          </w:p>
          <w:p>
            <w:pPr>
              <w:rPr>
                <w:rFonts w:hint="eastAsia" w:ascii="仿宋" w:hAnsi="仿宋" w:eastAsia="仿宋" w:cs="仿宋"/>
                <w:szCs w:val="21"/>
              </w:rPr>
            </w:pPr>
            <w:r>
              <w:rPr>
                <w:rFonts w:hint="eastAsia" w:ascii="仿宋" w:hAnsi="仿宋" w:eastAsia="仿宋" w:cs="仿宋"/>
                <w:szCs w:val="21"/>
              </w:rPr>
              <w:t>（二）付款要求及支付方式</w:t>
            </w:r>
          </w:p>
          <w:p>
            <w:pPr>
              <w:rPr>
                <w:rFonts w:hint="eastAsia" w:ascii="仿宋" w:hAnsi="仿宋" w:eastAsia="仿宋" w:cs="仿宋"/>
                <w:szCs w:val="21"/>
              </w:rPr>
            </w:pPr>
            <w:r>
              <w:rPr>
                <w:rFonts w:hint="eastAsia" w:ascii="仿宋" w:hAnsi="仿宋" w:eastAsia="仿宋" w:cs="仿宋"/>
                <w:szCs w:val="21"/>
              </w:rPr>
              <w:t>1.报价组成</w:t>
            </w:r>
          </w:p>
          <w:p>
            <w:pPr>
              <w:rPr>
                <w:rFonts w:hint="eastAsia" w:ascii="仿宋" w:hAnsi="仿宋" w:eastAsia="仿宋" w:cs="仿宋"/>
                <w:szCs w:val="21"/>
              </w:rPr>
            </w:pPr>
            <w:r>
              <w:rPr>
                <w:rFonts w:hint="eastAsia" w:ascii="仿宋" w:hAnsi="仿宋" w:eastAsia="仿宋" w:cs="仿宋"/>
                <w:szCs w:val="21"/>
              </w:rPr>
              <w:t>项目采购预算为人民币壹佰贰拾柒万元整（￥1,016,000.00元），投标报价不应超过采购预算，投标报价包含投标人投标及项目履约过程一切费用。</w:t>
            </w:r>
          </w:p>
          <w:p>
            <w:pPr>
              <w:rPr>
                <w:rFonts w:hint="eastAsia" w:ascii="仿宋" w:hAnsi="仿宋" w:eastAsia="仿宋" w:cs="仿宋"/>
                <w:szCs w:val="21"/>
              </w:rPr>
            </w:pPr>
            <w:r>
              <w:rPr>
                <w:rFonts w:hint="eastAsia" w:ascii="仿宋" w:hAnsi="仿宋" w:eastAsia="仿宋" w:cs="仿宋"/>
                <w:szCs w:val="21"/>
              </w:rPr>
              <w:t>中标人合同费用应包括项目服务、成果报告编制等过程中的全部费用。在合同实施期间，除另签补充合同外，不接受中标人以任何理由、任何名目提出增加费用的要求。</w:t>
            </w:r>
          </w:p>
          <w:p>
            <w:pPr>
              <w:rPr>
                <w:rFonts w:hint="eastAsia" w:ascii="仿宋" w:hAnsi="仿宋" w:eastAsia="仿宋" w:cs="仿宋"/>
                <w:szCs w:val="21"/>
              </w:rPr>
            </w:pPr>
            <w:r>
              <w:rPr>
                <w:rFonts w:hint="eastAsia" w:ascii="仿宋" w:hAnsi="仿宋" w:eastAsia="仿宋" w:cs="仿宋"/>
                <w:szCs w:val="21"/>
              </w:rPr>
              <w:t>本项目报价包含：调查费用、研究费用、项目评审及成果制作费、后期服务费、专项费、管理费、税费等。</w:t>
            </w:r>
          </w:p>
          <w:p>
            <w:pPr>
              <w:rPr>
                <w:rFonts w:hint="eastAsia" w:ascii="仿宋" w:hAnsi="仿宋" w:eastAsia="仿宋" w:cs="仿宋"/>
                <w:szCs w:val="21"/>
              </w:rPr>
            </w:pPr>
            <w:r>
              <w:rPr>
                <w:rFonts w:hint="eastAsia" w:ascii="仿宋" w:hAnsi="仿宋" w:eastAsia="仿宋" w:cs="仿宋"/>
                <w:szCs w:val="21"/>
              </w:rPr>
              <w:t>2.支付方式</w:t>
            </w:r>
          </w:p>
          <w:p>
            <w:pPr>
              <w:rPr>
                <w:rFonts w:hint="eastAsia" w:ascii="仿宋" w:hAnsi="仿宋" w:eastAsia="仿宋" w:cs="仿宋"/>
                <w:szCs w:val="21"/>
              </w:rPr>
            </w:pPr>
            <w:r>
              <w:rPr>
                <w:rFonts w:hint="eastAsia" w:ascii="仿宋" w:hAnsi="仿宋" w:eastAsia="仿宋" w:cs="仿宋"/>
                <w:szCs w:val="21"/>
              </w:rPr>
              <w:t>合同价款由采购人分三期付至中标人指定银行账户，支付比例为30%、40%、30%。</w:t>
            </w:r>
          </w:p>
          <w:p>
            <w:pPr>
              <w:rPr>
                <w:rFonts w:hint="eastAsia" w:ascii="仿宋" w:hAnsi="仿宋" w:eastAsia="仿宋" w:cs="仿宋"/>
                <w:szCs w:val="21"/>
              </w:rPr>
            </w:pPr>
            <w:r>
              <w:rPr>
                <w:rFonts w:hint="eastAsia" w:ascii="仿宋" w:hAnsi="仿宋" w:eastAsia="仿宋" w:cs="仿宋"/>
                <w:szCs w:val="21"/>
              </w:rPr>
              <w:t>第一期费用：自本合同签订之日起15个工作日内，根据中标人提出的付款申请，采购人向中标人支付本年期合同价款的30%。</w:t>
            </w:r>
          </w:p>
          <w:p>
            <w:pPr>
              <w:rPr>
                <w:rFonts w:hint="eastAsia" w:ascii="仿宋" w:hAnsi="仿宋" w:eastAsia="仿宋" w:cs="仿宋"/>
                <w:szCs w:val="21"/>
              </w:rPr>
            </w:pPr>
            <w:r>
              <w:rPr>
                <w:rFonts w:hint="eastAsia" w:ascii="仿宋" w:hAnsi="仿宋" w:eastAsia="仿宋" w:cs="仿宋"/>
                <w:szCs w:val="21"/>
              </w:rPr>
              <w:t>第二期费用：供应计划通过市政府审批后，根据中标人提出的付款申请，采购人向中标人支付合同总费用的40%。</w:t>
            </w:r>
          </w:p>
          <w:p>
            <w:pPr>
              <w:rPr>
                <w:rFonts w:hint="eastAsia" w:ascii="仿宋" w:hAnsi="仿宋" w:eastAsia="仿宋" w:cs="仿宋"/>
                <w:szCs w:val="21"/>
              </w:rPr>
            </w:pPr>
            <w:r>
              <w:rPr>
                <w:rFonts w:hint="eastAsia" w:ascii="仿宋" w:hAnsi="仿宋" w:eastAsia="仿宋" w:cs="仿宋"/>
                <w:szCs w:val="21"/>
              </w:rPr>
              <w:t>第三期费用：中标人提交项目最终成果后，根据中标人提出的付款申请，采购人向中标人支付合同总费用的30%。</w:t>
            </w:r>
          </w:p>
          <w:p>
            <w:pPr>
              <w:rPr>
                <w:rFonts w:hint="eastAsia" w:ascii="仿宋" w:hAnsi="仿宋" w:eastAsia="仿宋" w:cs="仿宋"/>
                <w:szCs w:val="21"/>
              </w:rPr>
            </w:pPr>
            <w:r>
              <w:rPr>
                <w:rFonts w:hint="eastAsia" w:ascii="仿宋" w:hAnsi="仿宋" w:eastAsia="仿宋" w:cs="仿宋"/>
                <w:szCs w:val="21"/>
              </w:rPr>
              <w:t>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rPr>
                <w:rFonts w:hint="eastAsia" w:ascii="仿宋" w:hAnsi="仿宋" w:eastAsia="仿宋" w:cs="仿宋"/>
                <w:szCs w:val="21"/>
              </w:rPr>
            </w:pPr>
            <w:r>
              <w:rPr>
                <w:rFonts w:hint="eastAsia" w:ascii="仿宋" w:hAnsi="仿宋" w:eastAsia="仿宋" w:cs="仿宋"/>
                <w:szCs w:val="21"/>
              </w:rPr>
              <w:t>（三）成果要求及验收方式</w:t>
            </w:r>
          </w:p>
          <w:p>
            <w:pPr>
              <w:rPr>
                <w:rFonts w:hint="eastAsia" w:ascii="仿宋" w:hAnsi="仿宋" w:eastAsia="仿宋" w:cs="仿宋"/>
                <w:szCs w:val="21"/>
              </w:rPr>
            </w:pPr>
            <w:r>
              <w:rPr>
                <w:rFonts w:hint="eastAsia" w:ascii="仿宋" w:hAnsi="仿宋" w:eastAsia="仿宋" w:cs="仿宋"/>
                <w:szCs w:val="21"/>
              </w:rPr>
              <w:t>1、最终成果构成如下（包括但不限于）：</w:t>
            </w:r>
          </w:p>
          <w:p>
            <w:pPr>
              <w:rPr>
                <w:rFonts w:hint="eastAsia" w:ascii="仿宋" w:hAnsi="仿宋" w:eastAsia="仿宋" w:cs="仿宋"/>
                <w:szCs w:val="21"/>
              </w:rPr>
            </w:pPr>
            <w:r>
              <w:rPr>
                <w:rFonts w:hint="eastAsia" w:ascii="仿宋" w:hAnsi="仿宋" w:eastAsia="仿宋" w:cs="仿宋"/>
                <w:szCs w:val="21"/>
              </w:rPr>
              <w:t>（1）前海合作区近期可供建设用地数据库；</w:t>
            </w:r>
          </w:p>
          <w:p>
            <w:pPr>
              <w:rPr>
                <w:rFonts w:hint="eastAsia" w:ascii="仿宋" w:hAnsi="仿宋" w:eastAsia="仿宋" w:cs="仿宋"/>
                <w:szCs w:val="21"/>
              </w:rPr>
            </w:pPr>
            <w:r>
              <w:rPr>
                <w:rFonts w:hint="eastAsia" w:ascii="仿宋" w:hAnsi="仿宋" w:eastAsia="仿宋" w:cs="仿宋"/>
                <w:szCs w:val="21"/>
              </w:rPr>
              <w:t>（2）前海合作区2024年度土地供应计划文本；</w:t>
            </w:r>
          </w:p>
          <w:p>
            <w:pPr>
              <w:rPr>
                <w:rFonts w:hint="eastAsia" w:ascii="仿宋" w:hAnsi="仿宋" w:eastAsia="仿宋" w:cs="仿宋"/>
                <w:szCs w:val="21"/>
              </w:rPr>
            </w:pPr>
            <w:r>
              <w:rPr>
                <w:rFonts w:hint="eastAsia" w:ascii="仿宋" w:hAnsi="仿宋" w:eastAsia="仿宋" w:cs="仿宋"/>
                <w:szCs w:val="21"/>
              </w:rPr>
              <w:t>（3）前海合作区2024年度土地供应分布指引文件；</w:t>
            </w:r>
          </w:p>
          <w:p>
            <w:pPr>
              <w:rPr>
                <w:rFonts w:hint="eastAsia" w:ascii="仿宋" w:hAnsi="仿宋" w:eastAsia="仿宋" w:cs="仿宋"/>
                <w:szCs w:val="21"/>
              </w:rPr>
            </w:pPr>
            <w:r>
              <w:rPr>
                <w:rFonts w:hint="eastAsia" w:ascii="仿宋" w:hAnsi="仿宋" w:eastAsia="仿宋" w:cs="仿宋"/>
                <w:szCs w:val="21"/>
              </w:rPr>
              <w:t>（4）前海合作区土地供应重点项目数据库。</w:t>
            </w:r>
          </w:p>
          <w:p>
            <w:pPr>
              <w:rPr>
                <w:rFonts w:hint="eastAsia" w:ascii="仿宋" w:hAnsi="仿宋" w:eastAsia="仿宋" w:cs="仿宋"/>
                <w:szCs w:val="21"/>
              </w:rPr>
            </w:pPr>
            <w:r>
              <w:rPr>
                <w:rFonts w:hint="eastAsia" w:ascii="仿宋" w:hAnsi="仿宋" w:eastAsia="仿宋" w:cs="仿宋"/>
                <w:szCs w:val="21"/>
              </w:rPr>
              <w:t>2、最终成果验收合格的标志为：</w:t>
            </w:r>
          </w:p>
          <w:p>
            <w:pPr>
              <w:rPr>
                <w:rFonts w:hint="eastAsia" w:ascii="仿宋" w:hAnsi="仿宋" w:eastAsia="仿宋" w:cs="仿宋"/>
                <w:szCs w:val="21"/>
              </w:rPr>
            </w:pPr>
            <w:r>
              <w:rPr>
                <w:rFonts w:hint="eastAsia" w:ascii="仿宋" w:hAnsi="仿宋" w:eastAsia="仿宋" w:cs="仿宋"/>
                <w:szCs w:val="21"/>
              </w:rPr>
              <w:t>（1）前海合作区2024年度土地供应计划文本通过市政府审批。</w:t>
            </w:r>
          </w:p>
          <w:p>
            <w:pPr>
              <w:rPr>
                <w:rFonts w:hint="eastAsia" w:ascii="仿宋" w:hAnsi="仿宋" w:eastAsia="仿宋" w:cs="仿宋"/>
                <w:szCs w:val="21"/>
              </w:rPr>
            </w:pPr>
            <w:r>
              <w:rPr>
                <w:rFonts w:hint="eastAsia" w:ascii="仿宋" w:hAnsi="仿宋" w:eastAsia="仿宋" w:cs="仿宋"/>
                <w:szCs w:val="21"/>
              </w:rPr>
              <w:t>（2）履约评价合格：项目主管处室在服务期满前1个月内组织对合同履约情况进行评价合格。</w:t>
            </w:r>
          </w:p>
          <w:p>
            <w:pPr>
              <w:rPr>
                <w:rFonts w:hint="eastAsia" w:ascii="仿宋" w:hAnsi="仿宋" w:eastAsia="仿宋" w:cs="仿宋"/>
                <w:szCs w:val="21"/>
              </w:rPr>
            </w:pPr>
            <w:r>
              <w:rPr>
                <w:rFonts w:hint="eastAsia" w:ascii="仿宋" w:hAnsi="仿宋" w:eastAsia="仿宋" w:cs="仿宋"/>
                <w:szCs w:val="21"/>
              </w:rPr>
              <w:t>（3）汇总提交所有成果并归档。</w:t>
            </w:r>
          </w:p>
          <w:p>
            <w:pPr>
              <w:rPr>
                <w:rFonts w:hint="eastAsia" w:ascii="仿宋" w:hAnsi="仿宋" w:eastAsia="仿宋" w:cs="仿宋"/>
                <w:szCs w:val="21"/>
              </w:rPr>
            </w:pPr>
            <w:r>
              <w:rPr>
                <w:rFonts w:hint="eastAsia" w:ascii="仿宋" w:hAnsi="仿宋" w:eastAsia="仿宋" w:cs="仿宋"/>
                <w:szCs w:val="21"/>
              </w:rPr>
              <w:t>3、进度安排：</w:t>
            </w:r>
          </w:p>
          <w:p>
            <w:pPr>
              <w:rPr>
                <w:rFonts w:hint="eastAsia" w:ascii="仿宋" w:hAnsi="仿宋" w:eastAsia="仿宋" w:cs="仿宋"/>
                <w:szCs w:val="21"/>
              </w:rPr>
            </w:pPr>
            <w:r>
              <w:rPr>
                <w:rFonts w:hint="eastAsia" w:ascii="仿宋" w:hAnsi="仿宋" w:eastAsia="仿宋" w:cs="仿宋"/>
                <w:szCs w:val="21"/>
              </w:rPr>
              <w:t>第一阶段：收集资料,全面梳理前海合作区范围内规划及用地需求，对前海合作区范围用地进行潜力分析，形成潜力项目库以及2024年度供应计划文本初步成果。</w:t>
            </w:r>
          </w:p>
          <w:p>
            <w:pPr>
              <w:rPr>
                <w:rFonts w:hint="eastAsia" w:ascii="仿宋" w:hAnsi="仿宋" w:eastAsia="仿宋" w:cs="仿宋"/>
                <w:szCs w:val="21"/>
              </w:rPr>
            </w:pPr>
            <w:r>
              <w:rPr>
                <w:rFonts w:hint="eastAsia" w:ascii="仿宋" w:hAnsi="仿宋" w:eastAsia="仿宋" w:cs="仿宋"/>
                <w:szCs w:val="21"/>
              </w:rPr>
              <w:t>第二阶段：征求相关部门意见，进一步修改完善，完成2024年度供应计划最终成果以及分布指引初步成果。</w:t>
            </w:r>
          </w:p>
          <w:p>
            <w:pPr>
              <w:rPr>
                <w:rFonts w:hint="eastAsia" w:ascii="仿宋" w:hAnsi="仿宋" w:eastAsia="仿宋" w:cs="仿宋"/>
                <w:szCs w:val="21"/>
              </w:rPr>
            </w:pPr>
            <w:r>
              <w:rPr>
                <w:rFonts w:hint="eastAsia" w:ascii="仿宋" w:hAnsi="仿宋" w:eastAsia="仿宋" w:cs="仿宋"/>
                <w:szCs w:val="21"/>
              </w:rPr>
              <w:t>第三阶段：完善分布指引，形成分布指引文件和项目库最终成果。同时，为建设用地后续供应提供指导及辅助工作。</w:t>
            </w:r>
          </w:p>
          <w:p>
            <w:pPr>
              <w:rPr>
                <w:rFonts w:hint="eastAsia" w:ascii="仿宋" w:hAnsi="仿宋" w:eastAsia="仿宋" w:cs="仿宋"/>
                <w:szCs w:val="21"/>
              </w:rPr>
            </w:pPr>
            <w:r>
              <w:rPr>
                <w:rFonts w:hint="eastAsia" w:ascii="仿宋" w:hAnsi="仿宋" w:eastAsia="仿宋" w:cs="仿宋"/>
                <w:szCs w:val="21"/>
              </w:rPr>
              <w:t>（四）其他要求</w:t>
            </w:r>
          </w:p>
          <w:p>
            <w:pPr>
              <w:rPr>
                <w:rFonts w:hint="eastAsia" w:ascii="仿宋" w:hAnsi="仿宋" w:eastAsia="仿宋" w:cs="仿宋"/>
                <w:szCs w:val="21"/>
              </w:rPr>
            </w:pPr>
            <w:r>
              <w:rPr>
                <w:rFonts w:hint="eastAsia" w:ascii="仿宋" w:hAnsi="仿宋" w:eastAsia="仿宋" w:cs="仿宋"/>
                <w:szCs w:val="21"/>
              </w:rPr>
              <w:t>1.项目总负责人：具有土地或规划相关专业高级及以上职称。</w:t>
            </w:r>
          </w:p>
          <w:p>
            <w:pPr>
              <w:rPr>
                <w:rFonts w:hint="eastAsia" w:ascii="仿宋" w:hAnsi="仿宋" w:eastAsia="仿宋" w:cs="仿宋"/>
                <w:szCs w:val="21"/>
              </w:rPr>
            </w:pPr>
            <w:r>
              <w:rPr>
                <w:rFonts w:hint="eastAsia" w:ascii="仿宋" w:hAnsi="仿宋" w:eastAsia="仿宋" w:cs="仿宋"/>
                <w:szCs w:val="21"/>
              </w:rPr>
              <w:t>2.技术团队：由中标人组建技术团队，作为技术支撑和技术协调的主要力量。人员专业可包括土地资源管理、地理信息系统、城乡规划等。项目组人员未经采购单位批准不得撤换，否则视为中标单位违约。对不合格或违纪的咨询人员，采购人可要求中标人撤换，直至采购单位认可。</w:t>
            </w:r>
          </w:p>
          <w:p>
            <w:pPr>
              <w:rPr>
                <w:rFonts w:hint="eastAsia" w:ascii="仿宋" w:hAnsi="仿宋" w:eastAsia="仿宋" w:cs="仿宋"/>
                <w:szCs w:val="21"/>
              </w:rPr>
            </w:pPr>
            <w:r>
              <w:rPr>
                <w:rFonts w:hint="eastAsia" w:ascii="仿宋" w:hAnsi="仿宋" w:eastAsia="仿宋" w:cs="仿宋"/>
                <w:szCs w:val="21"/>
              </w:rPr>
              <w:t>3.中标人项目负责人及团队成员必须常驻深圳开展工作，按工作要求配备足够的专业人员和支持人员，具有完善的人员组织管理体系，确保设计咨询工作顺利完成。中标人变更项目负责人的，应当在5个工作日内以书面形式通知采购人。未及时通知并影响本合同履行或造成损失的，应承担相应的责任。中标人变更通讯地址或者联系方式，应及时将变更后的地址、联系方式通知采购人，否则中标人应对此造成的一切后果承担责任。</w:t>
            </w:r>
          </w:p>
          <w:p>
            <w:pPr>
              <w:rPr>
                <w:rFonts w:hint="eastAsia" w:ascii="仿宋" w:hAnsi="仿宋" w:eastAsia="仿宋" w:cs="仿宋"/>
                <w:szCs w:val="21"/>
              </w:rPr>
            </w:pPr>
            <w:r>
              <w:rPr>
                <w:rFonts w:hint="eastAsia" w:ascii="仿宋" w:hAnsi="仿宋" w:eastAsia="仿宋" w:cs="仿宋"/>
                <w:szCs w:val="21"/>
              </w:rPr>
              <w:t>★（五）知识产权</w:t>
            </w:r>
          </w:p>
          <w:p>
            <w:pPr>
              <w:rPr>
                <w:rFonts w:hint="eastAsia" w:ascii="仿宋" w:hAnsi="仿宋" w:eastAsia="仿宋" w:cs="仿宋"/>
                <w:szCs w:val="21"/>
              </w:rPr>
            </w:pPr>
            <w:r>
              <w:rPr>
                <w:rFonts w:hint="eastAsia" w:ascii="仿宋" w:hAnsi="仿宋" w:eastAsia="仿宋" w:cs="仿宋"/>
                <w:szCs w:val="21"/>
              </w:rPr>
              <w:t>1.本项目全部阶段性成果和最终成果的所有权、知识产权以及与之相关的所有权利归采购方所有。</w:t>
            </w:r>
          </w:p>
          <w:p>
            <w:pPr>
              <w:rPr>
                <w:rFonts w:hint="eastAsia" w:ascii="仿宋" w:hAnsi="仿宋" w:eastAsia="仿宋" w:cs="仿宋"/>
                <w:szCs w:val="21"/>
              </w:rPr>
            </w:pPr>
            <w:r>
              <w:rPr>
                <w:rFonts w:hint="eastAsia" w:ascii="仿宋" w:hAnsi="仿宋" w:eastAsia="仿宋" w:cs="仿宋"/>
                <w:szCs w:val="21"/>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pPr>
              <w:rPr>
                <w:rFonts w:hint="eastAsia" w:ascii="仿宋" w:hAnsi="仿宋" w:eastAsia="仿宋" w:cs="仿宋"/>
                <w:szCs w:val="21"/>
              </w:rPr>
            </w:pPr>
            <w:r>
              <w:rPr>
                <w:rFonts w:hint="eastAsia" w:ascii="仿宋" w:hAnsi="仿宋" w:eastAsia="仿宋" w:cs="仿宋"/>
                <w:szCs w:val="21"/>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rPr>
                <w:rFonts w:hint="eastAsia" w:ascii="仿宋" w:hAnsi="仿宋" w:eastAsia="仿宋" w:cs="仿宋"/>
                <w:szCs w:val="21"/>
              </w:rPr>
            </w:pPr>
            <w:r>
              <w:rPr>
                <w:rFonts w:hint="eastAsia" w:ascii="仿宋" w:hAnsi="仿宋" w:eastAsia="仿宋" w:cs="仿宋"/>
                <w:szCs w:val="21"/>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w:t>
            </w:r>
          </w:p>
          <w:p>
            <w:pPr>
              <w:rPr>
                <w:rFonts w:hint="eastAsia" w:ascii="仿宋" w:hAnsi="仿宋" w:eastAsia="仿宋" w:cs="仿宋"/>
                <w:szCs w:val="21"/>
              </w:rPr>
            </w:pPr>
            <w:r>
              <w:rPr>
                <w:rFonts w:hint="eastAsia" w:ascii="仿宋" w:hAnsi="仿宋" w:eastAsia="仿宋" w:cs="仿宋"/>
                <w:szCs w:val="21"/>
              </w:rPr>
              <w:t>5.中标单位完成本合同项目的研究开发人员享有在有关成果文件上写明成果完成者的权利和与采购方共同获得有关荣誉证书、奖励的权利。</w:t>
            </w:r>
          </w:p>
          <w:p>
            <w:pPr>
              <w:rPr>
                <w:rFonts w:hint="eastAsia" w:ascii="仿宋" w:hAnsi="仿宋" w:eastAsia="仿宋" w:cs="仿宋"/>
                <w:szCs w:val="21"/>
              </w:rPr>
            </w:pPr>
            <w:r>
              <w:rPr>
                <w:rFonts w:hint="eastAsia" w:ascii="仿宋" w:hAnsi="仿宋" w:eastAsia="仿宋" w:cs="仿宋"/>
                <w:szCs w:val="21"/>
              </w:rPr>
              <w:t>★（六）违约责任</w:t>
            </w:r>
          </w:p>
          <w:p>
            <w:pPr>
              <w:rPr>
                <w:rFonts w:hint="eastAsia" w:ascii="仿宋" w:hAnsi="仿宋" w:eastAsia="仿宋" w:cs="仿宋"/>
                <w:szCs w:val="21"/>
              </w:rPr>
            </w:pPr>
            <w:r>
              <w:rPr>
                <w:rFonts w:hint="eastAsia" w:ascii="仿宋" w:hAnsi="仿宋" w:eastAsia="仿宋" w:cs="仿宋"/>
                <w:szCs w:val="21"/>
              </w:rPr>
              <w:t>1.因中标单位原因，未能按规定时间完成有关工作的，每延误一天，采购方自尚未支付的合同款项中扣除合同服务总金额的5‰的逾期违约金。</w:t>
            </w:r>
          </w:p>
          <w:p>
            <w:pPr>
              <w:rPr>
                <w:rFonts w:hint="eastAsia" w:ascii="仿宋" w:hAnsi="仿宋" w:eastAsia="仿宋" w:cs="仿宋"/>
                <w:szCs w:val="21"/>
              </w:rPr>
            </w:pPr>
            <w:r>
              <w:rPr>
                <w:rFonts w:hint="eastAsia" w:ascii="仿宋" w:hAnsi="仿宋" w:eastAsia="仿宋" w:cs="仿宋"/>
                <w:szCs w:val="21"/>
              </w:rPr>
              <w:t>2.由于中标单位原因造成成果质量低劣，不能满足本合同要求时，应继续完善成果，其费用由中标单位承担。</w:t>
            </w:r>
          </w:p>
          <w:p>
            <w:pPr>
              <w:rPr>
                <w:rFonts w:hint="eastAsia" w:ascii="仿宋" w:hAnsi="仿宋" w:eastAsia="仿宋" w:cs="仿宋"/>
                <w:szCs w:val="21"/>
              </w:rPr>
            </w:pPr>
            <w:r>
              <w:rPr>
                <w:rFonts w:hint="eastAsia" w:ascii="仿宋" w:hAnsi="仿宋" w:eastAsia="仿宋" w:cs="仿宋"/>
                <w:szCs w:val="21"/>
              </w:rPr>
              <w:t>3.如中标单位提供的服务或成果不符合质量要求，必须在采购方提出要求后7个日历日内无条件修改，其费用由中标单位承担。</w:t>
            </w:r>
          </w:p>
          <w:p>
            <w:pPr>
              <w:rPr>
                <w:rFonts w:hint="eastAsia" w:ascii="仿宋" w:hAnsi="仿宋" w:eastAsia="仿宋" w:cs="仿宋"/>
                <w:szCs w:val="21"/>
              </w:rPr>
            </w:pPr>
            <w:r>
              <w:rPr>
                <w:rFonts w:hint="eastAsia" w:ascii="仿宋" w:hAnsi="仿宋" w:eastAsia="仿宋" w:cs="仿宋"/>
                <w:szCs w:val="21"/>
              </w:rPr>
              <w:t>4.本合同履行期间，发生下述情形时，采购方有权解除本合同，中标单位除应退还采购方已支付的全部款项外,还应在合同解除通知发出之日起10日内向采购方支付合同总价款20%的违约金。中标单位应同时将已完成的项目成果移交给采购方，并将全部有关资料退还采购方：</w:t>
            </w:r>
          </w:p>
          <w:p>
            <w:pPr>
              <w:rPr>
                <w:rFonts w:hint="eastAsia" w:ascii="仿宋" w:hAnsi="仿宋" w:eastAsia="仿宋" w:cs="仿宋"/>
                <w:szCs w:val="21"/>
              </w:rPr>
            </w:pPr>
            <w:r>
              <w:rPr>
                <w:rFonts w:hint="eastAsia" w:ascii="仿宋" w:hAnsi="仿宋" w:eastAsia="仿宋" w:cs="仿宋"/>
                <w:szCs w:val="21"/>
              </w:rPr>
              <w:t>(1)因中标单位工作的错误或遗漏造成成果质量不符合本合同要求，且中标单位未按采购方要求采取及时有效的补救措施的；</w:t>
            </w:r>
          </w:p>
          <w:p>
            <w:pPr>
              <w:rPr>
                <w:rFonts w:hint="eastAsia" w:ascii="仿宋" w:hAnsi="仿宋" w:eastAsia="仿宋" w:cs="仿宋"/>
                <w:szCs w:val="21"/>
              </w:rPr>
            </w:pPr>
            <w:r>
              <w:rPr>
                <w:rFonts w:hint="eastAsia" w:ascii="仿宋" w:hAnsi="仿宋" w:eastAsia="仿宋" w:cs="仿宋"/>
                <w:szCs w:val="21"/>
              </w:rPr>
              <w:t>(2)中标单位未能按合同约定的日期(含协商延缓的日期)提交工作成果，延误时间超过30个工作日；或中标单位虽如期提交阶段性成果和最终成果，但最终成果连续二次未能通过评审验收的；</w:t>
            </w:r>
          </w:p>
          <w:p>
            <w:pPr>
              <w:rPr>
                <w:rFonts w:hint="eastAsia" w:ascii="仿宋" w:hAnsi="仿宋" w:eastAsia="仿宋" w:cs="仿宋"/>
                <w:szCs w:val="21"/>
              </w:rPr>
            </w:pPr>
            <w:r>
              <w:rPr>
                <w:rFonts w:hint="eastAsia" w:ascii="仿宋" w:hAnsi="仿宋" w:eastAsia="仿宋" w:cs="仿宋"/>
                <w:szCs w:val="21"/>
              </w:rPr>
              <w:t>(3)发现中标单位或中标单位工作人员出现全部或部分丧失履行委托服务能力的情况，采购方有权通知中标单位限期整改或更换工作人员，期限届满中标单位并未进行改善的；</w:t>
            </w:r>
          </w:p>
          <w:p>
            <w:pPr>
              <w:rPr>
                <w:rFonts w:hint="eastAsia" w:ascii="仿宋" w:hAnsi="仿宋" w:eastAsia="仿宋" w:cs="仿宋"/>
                <w:szCs w:val="21"/>
              </w:rPr>
            </w:pPr>
            <w:r>
              <w:rPr>
                <w:rFonts w:hint="eastAsia" w:ascii="仿宋" w:hAnsi="仿宋" w:eastAsia="仿宋" w:cs="仿宋"/>
                <w:szCs w:val="21"/>
              </w:rPr>
              <w:t>(4)中标单位明确表示或者以自己的行为表明不履行本合同的。</w:t>
            </w:r>
          </w:p>
          <w:p>
            <w:pPr>
              <w:rPr>
                <w:rFonts w:hint="eastAsia" w:ascii="仿宋" w:hAnsi="仿宋" w:eastAsia="仿宋" w:cs="仿宋"/>
                <w:szCs w:val="21"/>
              </w:rPr>
            </w:pPr>
            <w:r>
              <w:rPr>
                <w:rFonts w:hint="eastAsia" w:ascii="仿宋" w:hAnsi="仿宋" w:eastAsia="仿宋" w:cs="仿宋"/>
                <w:szCs w:val="21"/>
              </w:rPr>
              <w:t xml:space="preserve">5.除因审批流程及财政部门预算下达延误影响采购方支出进度外，如采购方未按照本合同约定的时间支付服务费，中标单位书面催告采购方并给予不少于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20%的违约金。 </w:t>
            </w:r>
          </w:p>
          <w:p>
            <w:pPr>
              <w:rPr>
                <w:rFonts w:hint="eastAsia" w:ascii="仿宋" w:hAnsi="仿宋" w:eastAsia="仿宋" w:cs="仿宋"/>
                <w:szCs w:val="21"/>
              </w:rPr>
            </w:pPr>
            <w:r>
              <w:rPr>
                <w:rFonts w:hint="eastAsia" w:ascii="仿宋" w:hAnsi="仿宋" w:eastAsia="仿宋" w:cs="仿宋"/>
                <w:szCs w:val="21"/>
              </w:rPr>
              <w:t>6.上述违约责任各自独立且可累加。如本合同所约定的违约金无法弥补因违约行为所造成的损失，违约方应补偿上述不足部分的损失。</w:t>
            </w:r>
          </w:p>
          <w:p>
            <w:pPr>
              <w:rPr>
                <w:rFonts w:hint="eastAsia" w:ascii="仿宋" w:hAnsi="仿宋" w:eastAsia="仿宋" w:cs="仿宋"/>
                <w:szCs w:val="21"/>
              </w:rPr>
            </w:pPr>
            <w:r>
              <w:rPr>
                <w:rFonts w:hint="eastAsia" w:ascii="仿宋" w:hAnsi="仿宋" w:eastAsia="仿宋" w:cs="仿宋"/>
                <w:szCs w:val="21"/>
              </w:rPr>
              <w:t>★（七）保密条款</w:t>
            </w:r>
          </w:p>
          <w:p>
            <w:pPr>
              <w:rPr>
                <w:rFonts w:hint="eastAsia" w:ascii="仿宋" w:hAnsi="仿宋" w:eastAsia="仿宋" w:cs="仿宋"/>
                <w:szCs w:val="21"/>
              </w:rPr>
            </w:pPr>
            <w:r>
              <w:rPr>
                <w:rFonts w:hint="eastAsia" w:ascii="仿宋" w:hAnsi="仿宋" w:eastAsia="仿宋" w:cs="仿宋"/>
                <w:szCs w:val="21"/>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rPr>
                <w:rFonts w:hint="eastAsia" w:ascii="仿宋" w:hAnsi="仿宋" w:eastAsia="仿宋" w:cs="仿宋"/>
                <w:szCs w:val="21"/>
              </w:rPr>
            </w:pPr>
            <w:r>
              <w:rPr>
                <w:rFonts w:hint="eastAsia" w:ascii="仿宋" w:hAnsi="仿宋" w:eastAsia="仿宋" w:cs="仿宋"/>
                <w:szCs w:val="21"/>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rPr>
                <w:rFonts w:hint="eastAsia" w:ascii="仿宋" w:hAnsi="仿宋" w:eastAsia="仿宋" w:cs="仿宋"/>
                <w:szCs w:val="21"/>
              </w:rPr>
            </w:pPr>
            <w:r>
              <w:rPr>
                <w:rFonts w:hint="eastAsia" w:ascii="仿宋" w:hAnsi="仿宋" w:eastAsia="仿宋" w:cs="仿宋"/>
                <w:szCs w:val="21"/>
              </w:rPr>
              <w:t>3.中标单位实施项目的程序应符合国家安全、保密的有关规定和标准。</w:t>
            </w:r>
          </w:p>
          <w:p>
            <w:pPr>
              <w:rPr>
                <w:rFonts w:hint="eastAsia" w:ascii="仿宋" w:hAnsi="仿宋" w:eastAsia="仿宋" w:cs="仿宋"/>
                <w:szCs w:val="21"/>
              </w:rPr>
            </w:pPr>
            <w:r>
              <w:rPr>
                <w:rFonts w:hint="eastAsia" w:ascii="仿宋" w:hAnsi="仿宋" w:eastAsia="仿宋" w:cs="仿宋"/>
                <w:szCs w:val="21"/>
              </w:rPr>
              <w:t>4.上述保密义务不适用以下情况：</w:t>
            </w:r>
          </w:p>
          <w:p>
            <w:pPr>
              <w:rPr>
                <w:rFonts w:hint="eastAsia" w:ascii="仿宋" w:hAnsi="仿宋" w:eastAsia="仿宋" w:cs="仿宋"/>
                <w:szCs w:val="21"/>
              </w:rPr>
            </w:pPr>
            <w:r>
              <w:rPr>
                <w:rFonts w:hint="eastAsia" w:ascii="仿宋" w:hAnsi="仿宋" w:eastAsia="仿宋" w:cs="仿宋"/>
                <w:szCs w:val="21"/>
              </w:rPr>
              <w:t>（1）获取的信息已被合法公开；</w:t>
            </w:r>
          </w:p>
          <w:p>
            <w:pPr>
              <w:rPr>
                <w:rFonts w:hint="eastAsia" w:ascii="仿宋" w:hAnsi="仿宋" w:eastAsia="仿宋" w:cs="仿宋"/>
                <w:szCs w:val="21"/>
              </w:rPr>
            </w:pPr>
            <w:r>
              <w:rPr>
                <w:rFonts w:hint="eastAsia" w:ascii="仿宋" w:hAnsi="仿宋" w:eastAsia="仿宋" w:cs="仿宋"/>
                <w:szCs w:val="21"/>
              </w:rPr>
              <w:t>（2）获得信息拥有方书面许可并在该许可范围内披露；</w:t>
            </w:r>
          </w:p>
          <w:p>
            <w:pPr>
              <w:rPr>
                <w:rFonts w:hint="eastAsia" w:ascii="仿宋" w:hAnsi="仿宋" w:eastAsia="仿宋" w:cs="仿宋"/>
                <w:szCs w:val="21"/>
              </w:rPr>
            </w:pPr>
            <w:r>
              <w:rPr>
                <w:rFonts w:hint="eastAsia" w:ascii="仿宋" w:hAnsi="仿宋" w:eastAsia="仿宋" w:cs="仿宋"/>
                <w:szCs w:val="21"/>
              </w:rPr>
              <w:t>（3）国家法律、法规规定的情形。</w:t>
            </w:r>
          </w:p>
          <w:p>
            <w:pPr>
              <w:rPr>
                <w:rFonts w:hint="eastAsia" w:ascii="仿宋" w:hAnsi="仿宋" w:eastAsia="仿宋" w:cs="仿宋"/>
                <w:szCs w:val="21"/>
              </w:rPr>
            </w:pPr>
            <w:r>
              <w:rPr>
                <w:rFonts w:hint="eastAsia" w:ascii="仿宋" w:hAnsi="仿宋" w:eastAsia="仿宋" w:cs="仿宋"/>
                <w:szCs w:val="21"/>
              </w:rPr>
              <w:t>5.如中标单位违反上述保密条款，采购方有权解除本合同，中标单位应在合同解除通知发出之日起10日内向采购方支付本合同服务费总金额20%的违约金，如果违约金无法弥补招标人损失，招标人保留要求中标单位赔偿全部损失的权利。</w:t>
            </w:r>
          </w:p>
          <w:p>
            <w:pPr>
              <w:rPr>
                <w:rFonts w:ascii="仿宋" w:hAnsi="仿宋" w:eastAsia="仿宋" w:cs="仿宋"/>
                <w:szCs w:val="21"/>
              </w:rPr>
            </w:pPr>
            <w:r>
              <w:rPr>
                <w:rFonts w:hint="eastAsia" w:ascii="仿宋" w:hAnsi="仿宋" w:eastAsia="仿宋" w:cs="仿宋"/>
                <w:szCs w:val="21"/>
              </w:rPr>
              <w:t>6.无论本项目其他条款是否有效，本保密条款始终约束双方。国家秘密的保密期限由国家有关部门确定，工作秘密的保密期限由招标人确定。</w:t>
            </w:r>
          </w:p>
        </w:tc>
        <w:tc>
          <w:tcPr>
            <w:tcW w:w="1276" w:type="dxa"/>
          </w:tcPr>
          <w:p>
            <w:pPr>
              <w:spacing w:line="400" w:lineRule="exact"/>
              <w:jc w:val="center"/>
              <w:rPr>
                <w:rFonts w:ascii="仿宋" w:hAnsi="仿宋" w:eastAsia="仿宋" w:cs="仿宋"/>
                <w:bCs/>
                <w:szCs w:val="21"/>
              </w:rPr>
            </w:pPr>
          </w:p>
        </w:tc>
        <w:tc>
          <w:tcPr>
            <w:tcW w:w="851" w:type="dxa"/>
          </w:tcPr>
          <w:p>
            <w:pPr>
              <w:rPr>
                <w:rFonts w:ascii="仿宋" w:hAnsi="仿宋" w:eastAsia="仿宋" w:cs="仿宋"/>
                <w:bCs/>
                <w:szCs w:val="21"/>
              </w:rPr>
            </w:pPr>
          </w:p>
        </w:tc>
        <w:tc>
          <w:tcPr>
            <w:tcW w:w="617" w:type="dxa"/>
          </w:tcPr>
          <w:p>
            <w:pPr>
              <w:rPr>
                <w:rFonts w:ascii="仿宋" w:hAnsi="仿宋" w:eastAsia="仿宋" w:cs="仿宋"/>
                <w:bCs/>
                <w:szCs w:val="21"/>
              </w:rPr>
            </w:pPr>
          </w:p>
        </w:tc>
      </w:tr>
    </w:tbl>
    <w:p>
      <w:pPr>
        <w:ind w:firstLine="420" w:firstLineChars="200"/>
        <w:rPr>
          <w:rFonts w:ascii="仿宋" w:hAnsi="仿宋" w:eastAsia="仿宋" w:cs="仿宋"/>
          <w:bCs/>
          <w:szCs w:val="21"/>
        </w:rPr>
      </w:pPr>
      <w:r>
        <w:rPr>
          <w:rFonts w:hint="eastAsia" w:ascii="仿宋" w:hAnsi="仿宋" w:eastAsia="仿宋" w:cs="仿宋"/>
          <w:bCs/>
          <w:szCs w:val="21"/>
        </w:rPr>
        <w:t>备注：</w:t>
      </w:r>
    </w:p>
    <w:p>
      <w:pPr>
        <w:ind w:firstLine="420" w:firstLineChars="200"/>
        <w:rPr>
          <w:rFonts w:ascii="仿宋" w:hAnsi="仿宋" w:eastAsia="仿宋" w:cs="仿宋"/>
          <w:bCs/>
          <w:szCs w:val="21"/>
        </w:rPr>
      </w:pPr>
      <w:r>
        <w:rPr>
          <w:rFonts w:hint="eastAsia" w:ascii="仿宋" w:hAnsi="仿宋" w:eastAsia="仿宋" w:cs="仿宋"/>
          <w:bCs/>
          <w:szCs w:val="21"/>
        </w:rPr>
        <w:t>1.“招标商务条款”一栏应填写招标文件第一册第三章“三、商务要求”的内容；</w:t>
      </w:r>
    </w:p>
    <w:p>
      <w:pPr>
        <w:ind w:firstLine="420" w:firstLineChars="200"/>
        <w:rPr>
          <w:rFonts w:ascii="仿宋" w:hAnsi="仿宋" w:eastAsia="仿宋" w:cs="仿宋"/>
          <w:bCs/>
          <w:szCs w:val="21"/>
        </w:rPr>
      </w:pPr>
      <w:r>
        <w:rPr>
          <w:rFonts w:hint="eastAsia" w:ascii="仿宋" w:hAnsi="仿宋" w:eastAsia="仿宋" w:cs="仿宋"/>
          <w:bCs/>
          <w:szCs w:val="21"/>
        </w:rPr>
        <w:t>2.“投标商务条款” 一栏投标人根据自身情况填写对“商务要求”的响应；并列明响应的具体内容。</w:t>
      </w:r>
    </w:p>
    <w:p>
      <w:pPr>
        <w:ind w:firstLine="420" w:firstLineChars="200"/>
        <w:rPr>
          <w:rFonts w:ascii="仿宋" w:hAnsi="仿宋" w:eastAsia="仿宋" w:cs="仿宋"/>
          <w:bCs/>
          <w:szCs w:val="21"/>
        </w:rPr>
      </w:pPr>
      <w:r>
        <w:rPr>
          <w:rFonts w:hint="eastAsia" w:ascii="仿宋" w:hAnsi="仿宋" w:eastAsia="仿宋" w:cs="仿宋"/>
          <w:bCs/>
          <w:szCs w:val="21"/>
        </w:rPr>
        <w:t>3.“偏离情况”一栏填写如实填写“正偏离”、“负偏离”或“无偏离”，其中：“正偏离”表示“投标响应优于招标商务条款”，“负偏离”表示“投标响应不满足招标商务条款”，“无偏离”表示“投标响应与招标商务条款一致”。“投标商务条款”对比“招标商务条款”存在响应不全（包括未响应整项招标商务条款或者未响应一项招标商务条款的部分内容），均视为“负偏离”。</w:t>
      </w:r>
    </w:p>
    <w:p>
      <w:pPr>
        <w:ind w:firstLine="420" w:firstLineChars="200"/>
        <w:rPr>
          <w:rFonts w:ascii="仿宋" w:hAnsi="仿宋" w:eastAsia="仿宋" w:cs="仿宋"/>
        </w:rPr>
      </w:pPr>
      <w:r>
        <w:rPr>
          <w:rFonts w:hint="eastAsia" w:ascii="仿宋" w:hAnsi="仿宋" w:eastAsia="仿宋" w:cs="仿宋"/>
        </w:rPr>
        <w:t>4.招标文件中标注“★”的条款均为不可偏离的实质性条款，投标文件对其中任意一条不满足的将作投标无效处理。</w:t>
      </w:r>
    </w:p>
    <w:p>
      <w:pPr>
        <w:ind w:firstLine="630" w:firstLineChars="300"/>
        <w:rPr>
          <w:rFonts w:ascii="宋体" w:hAnsi="宋体" w:cs="Arial"/>
          <w:bCs/>
          <w:szCs w:val="21"/>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
      <w:pPr>
        <w:spacing w:before="120" w:after="120"/>
        <w:jc w:val="center"/>
      </w:pPr>
      <w:r>
        <w:rPr>
          <w:rFonts w:ascii="黑体" w:eastAsia="黑体"/>
          <w:sz w:val="28"/>
          <w:szCs w:val="28"/>
        </w:rPr>
        <w:br w:type="page"/>
      </w:r>
      <w:bookmarkEnd w:id="157"/>
    </w:p>
    <w:p>
      <w:pPr>
        <w:pStyle w:val="4"/>
        <w:spacing w:before="120" w:after="120"/>
        <w:jc w:val="center"/>
        <w:rPr>
          <w:rFonts w:ascii="黑体" w:eastAsia="黑体"/>
          <w:sz w:val="28"/>
          <w:szCs w:val="28"/>
        </w:rPr>
      </w:pPr>
      <w:bookmarkStart w:id="307" w:name="_Toc20171"/>
      <w:bookmarkStart w:id="308" w:name="_Toc14271"/>
      <w:bookmarkStart w:id="309" w:name="_Toc8337"/>
      <w:bookmarkStart w:id="310" w:name="_Toc23448"/>
      <w:bookmarkStart w:id="311" w:name="_Toc7737"/>
      <w:bookmarkStart w:id="312" w:name="_Toc15505"/>
      <w:bookmarkStart w:id="313" w:name="_Toc8564"/>
      <w:r>
        <w:rPr>
          <w:rFonts w:hint="eastAsia" w:ascii="黑体" w:eastAsia="黑体"/>
          <w:sz w:val="28"/>
          <w:szCs w:val="28"/>
        </w:rPr>
        <w:t>十二、招标文件要求的其他内容及投标人认为需要加以说明其他内容</w:t>
      </w:r>
      <w:bookmarkEnd w:id="307"/>
      <w:bookmarkEnd w:id="308"/>
      <w:bookmarkEnd w:id="309"/>
      <w:bookmarkEnd w:id="310"/>
      <w:bookmarkEnd w:id="311"/>
      <w:bookmarkEnd w:id="312"/>
      <w:bookmarkEnd w:id="313"/>
    </w:p>
    <w:p>
      <w:r>
        <w:br w:type="page"/>
      </w:r>
    </w:p>
    <w:p/>
    <w:p/>
    <w:p/>
    <w:p/>
    <w:p/>
    <w:p/>
    <w:p/>
    <w:p/>
    <w:p/>
    <w:p/>
    <w:p/>
    <w:p/>
    <w:p/>
    <w:p>
      <w:pPr>
        <w:pStyle w:val="17"/>
        <w:tabs>
          <w:tab w:val="right" w:leader="dot" w:pos="8296"/>
        </w:tabs>
        <w:ind w:right="500"/>
        <w:jc w:val="center"/>
        <w:outlineLvl w:val="0"/>
        <w:rPr>
          <w:rFonts w:eastAsia="黑体"/>
          <w:b w:val="0"/>
          <w:sz w:val="44"/>
        </w:rPr>
      </w:pPr>
      <w:bookmarkStart w:id="314" w:name="_Toc1719"/>
      <w:bookmarkStart w:id="315" w:name="_Toc418"/>
      <w:bookmarkStart w:id="316" w:name="_Toc1217"/>
      <w:bookmarkStart w:id="317" w:name="_Toc8192"/>
      <w:bookmarkStart w:id="318" w:name="_Toc14884"/>
      <w:bookmarkStart w:id="319" w:name="_Toc2385"/>
      <w:bookmarkStart w:id="320" w:name="_Toc7819"/>
      <w:r>
        <w:rPr>
          <w:rFonts w:ascii="Times New Roman" w:hAnsi="Times New Roman" w:eastAsia="黑体"/>
          <w:b w:val="0"/>
          <w:sz w:val="44"/>
          <w:szCs w:val="24"/>
        </w:rPr>
        <w:t>第</w:t>
      </w:r>
      <w:r>
        <w:rPr>
          <w:rFonts w:hint="eastAsia" w:ascii="Times New Roman" w:hAnsi="Times New Roman" w:eastAsia="黑体"/>
          <w:b w:val="0"/>
          <w:sz w:val="44"/>
          <w:szCs w:val="24"/>
        </w:rPr>
        <w:t>二</w:t>
      </w:r>
      <w:r>
        <w:rPr>
          <w:rFonts w:ascii="Times New Roman" w:hAnsi="Times New Roman" w:eastAsia="黑体"/>
          <w:b w:val="0"/>
          <w:sz w:val="44"/>
          <w:szCs w:val="24"/>
        </w:rPr>
        <w:t>册</w:t>
      </w:r>
      <w:r>
        <w:rPr>
          <w:rFonts w:hint="eastAsia" w:ascii="Times New Roman" w:hAnsi="Times New Roman" w:eastAsia="黑体"/>
          <w:b w:val="0"/>
          <w:sz w:val="44"/>
          <w:szCs w:val="24"/>
        </w:rPr>
        <w:t xml:space="preserve">  通用条款</w:t>
      </w:r>
      <w:bookmarkEnd w:id="314"/>
      <w:bookmarkEnd w:id="315"/>
      <w:bookmarkEnd w:id="316"/>
      <w:bookmarkEnd w:id="317"/>
      <w:bookmarkEnd w:id="318"/>
      <w:bookmarkEnd w:id="319"/>
      <w:bookmarkEnd w:id="320"/>
    </w:p>
    <w:p>
      <w:pPr>
        <w:jc w:val="center"/>
        <w:outlineLvl w:val="1"/>
        <w:rPr>
          <w:rFonts w:ascii="黑体" w:hAnsi="黑体" w:eastAsia="黑体"/>
          <w:sz w:val="32"/>
          <w:szCs w:val="32"/>
        </w:rPr>
      </w:pPr>
      <w:r>
        <w:rPr>
          <w:rFonts w:ascii="黑体" w:hAnsi="黑体" w:eastAsia="黑体"/>
          <w:sz w:val="32"/>
          <w:szCs w:val="32"/>
        </w:rPr>
        <w:br w:type="page"/>
      </w:r>
      <w:bookmarkStart w:id="321" w:name="_Toc17642"/>
      <w:bookmarkStart w:id="322" w:name="_Toc31096"/>
      <w:bookmarkStart w:id="323" w:name="_Toc20144"/>
      <w:bookmarkStart w:id="324" w:name="_Toc23314"/>
      <w:bookmarkStart w:id="325" w:name="_Toc22001"/>
      <w:bookmarkStart w:id="326" w:name="_Toc5090"/>
      <w:bookmarkStart w:id="327" w:name="_Toc6220"/>
      <w:r>
        <w:rPr>
          <w:rFonts w:hint="eastAsia" w:ascii="黑体" w:hAnsi="黑体" w:eastAsia="黑体"/>
          <w:sz w:val="32"/>
          <w:szCs w:val="32"/>
        </w:rPr>
        <w:t>第一章  总则</w:t>
      </w:r>
      <w:bookmarkEnd w:id="321"/>
      <w:bookmarkEnd w:id="322"/>
      <w:bookmarkEnd w:id="323"/>
      <w:bookmarkEnd w:id="324"/>
      <w:bookmarkEnd w:id="325"/>
      <w:bookmarkEnd w:id="326"/>
      <w:bookmarkEnd w:id="327"/>
    </w:p>
    <w:p>
      <w:pPr>
        <w:spacing w:line="360" w:lineRule="auto"/>
        <w:rPr>
          <w:rFonts w:ascii="黑体" w:hAnsi="黑体" w:eastAsia="黑体" w:cs="黑体"/>
          <w:sz w:val="24"/>
        </w:rPr>
      </w:pPr>
      <w:bookmarkStart w:id="328" w:name="_Toc3619"/>
      <w:bookmarkStart w:id="329" w:name="_Toc2218"/>
      <w:bookmarkStart w:id="330" w:name="_Toc9387"/>
      <w:r>
        <w:rPr>
          <w:rFonts w:hint="eastAsia" w:ascii="黑体" w:hAnsi="黑体" w:eastAsia="黑体" w:cs="黑体"/>
          <w:sz w:val="24"/>
        </w:rPr>
        <w:t>1．招标说明</w:t>
      </w:r>
      <w:bookmarkEnd w:id="328"/>
      <w:bookmarkEnd w:id="329"/>
      <w:bookmarkEnd w:id="330"/>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本项目根据</w:t>
      </w:r>
      <w:r>
        <w:rPr>
          <w:rFonts w:hint="eastAsia" w:ascii="仿宋" w:hAnsi="仿宋" w:eastAsia="仿宋" w:cs="仿宋"/>
          <w:kern w:val="0"/>
          <w:sz w:val="22"/>
          <w:szCs w:val="22"/>
        </w:rPr>
        <w:t>《深圳经济特区政府采购条例》《深圳经济特区政府采购条例实施细则》</w:t>
      </w:r>
      <w:r>
        <w:rPr>
          <w:rFonts w:hint="eastAsia" w:ascii="仿宋" w:hAnsi="仿宋" w:eastAsia="仿宋" w:cs="仿宋"/>
          <w:sz w:val="22"/>
          <w:szCs w:val="22"/>
        </w:rPr>
        <w:t>的规定，并参考有关法规、政策、规章、规定，通过公开招标择优选定供应商。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本招标文件适用于服务采购项目。</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本招标文件的解释权归属友和保险经纪有限公司。</w:t>
      </w:r>
    </w:p>
    <w:p>
      <w:pPr>
        <w:spacing w:line="360" w:lineRule="auto"/>
        <w:rPr>
          <w:rFonts w:ascii="黑体" w:hAnsi="黑体" w:eastAsia="黑体" w:cs="黑体"/>
          <w:sz w:val="24"/>
        </w:rPr>
      </w:pPr>
      <w:bookmarkStart w:id="331" w:name="_Toc13338"/>
      <w:bookmarkStart w:id="332" w:name="_Toc27296"/>
      <w:bookmarkStart w:id="333" w:name="_Toc2553"/>
      <w:r>
        <w:rPr>
          <w:rFonts w:hint="eastAsia" w:ascii="黑体" w:hAnsi="黑体" w:eastAsia="黑体" w:cs="黑体"/>
          <w:sz w:val="24"/>
        </w:rPr>
        <w:t>2．定义</w:t>
      </w:r>
      <w:bookmarkEnd w:id="331"/>
      <w:bookmarkEnd w:id="332"/>
      <w:bookmarkEnd w:id="333"/>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招标文件中下列术语应解释为：</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2.1 “招标机构”，系</w:t>
      </w:r>
      <w:r>
        <w:rPr>
          <w:rFonts w:hint="eastAsia" w:ascii="仿宋" w:hAnsi="仿宋" w:eastAsia="仿宋" w:cs="仿宋"/>
          <w:spacing w:val="8"/>
          <w:sz w:val="22"/>
          <w:szCs w:val="28"/>
        </w:rPr>
        <w:t>指根据采购人的委托，代理招标事宜的机构，在此特指拥有采购代理资格的</w:t>
      </w:r>
      <w:r>
        <w:rPr>
          <w:rFonts w:hint="eastAsia" w:ascii="仿宋" w:hAnsi="仿宋" w:eastAsia="仿宋" w:cs="仿宋"/>
          <w:b/>
          <w:spacing w:val="8"/>
          <w:sz w:val="22"/>
          <w:szCs w:val="28"/>
        </w:rPr>
        <w:t>友和保险经纪有限公司</w:t>
      </w:r>
      <w:r>
        <w:rPr>
          <w:rFonts w:hint="eastAsia" w:ascii="仿宋" w:hAnsi="仿宋" w:eastAsia="仿宋" w:cs="仿宋"/>
          <w:spacing w:val="8"/>
          <w:sz w:val="22"/>
          <w:szCs w:val="28"/>
        </w:rPr>
        <w:t>。</w:t>
      </w:r>
    </w:p>
    <w:p>
      <w:pPr>
        <w:snapToGrid w:val="0"/>
        <w:spacing w:line="360" w:lineRule="auto"/>
        <w:ind w:firstLine="431" w:firstLineChars="196"/>
        <w:rPr>
          <w:rFonts w:ascii="仿宋" w:hAnsi="仿宋" w:eastAsia="仿宋" w:cs="仿宋"/>
          <w:bCs/>
          <w:sz w:val="22"/>
          <w:szCs w:val="22"/>
        </w:rPr>
      </w:pPr>
      <w:r>
        <w:rPr>
          <w:rFonts w:hint="eastAsia" w:ascii="仿宋" w:hAnsi="仿宋" w:eastAsia="仿宋" w:cs="仿宋"/>
          <w:sz w:val="22"/>
          <w:szCs w:val="22"/>
        </w:rPr>
        <w:t>2.2 “采购人”、“采购方”：系指</w:t>
      </w:r>
      <w:r>
        <w:rPr>
          <w:rFonts w:hint="eastAsia" w:ascii="仿宋" w:hAnsi="仿宋" w:eastAsia="仿宋" w:cs="仿宋"/>
          <w:bCs/>
          <w:sz w:val="22"/>
          <w:szCs w:val="22"/>
        </w:rPr>
        <w:t>深圳市前海深港现代服务业合作区管理局</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2.3 “投标人”、“投标方”，即供应商，是指愿意按照招标文件要求向采购人提供服务的法人、其他组织或者自然人。</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2.4 “评审委员会”是依据《深圳经济特区政府采购条例》有关规定组建的专门负责本项目评标工作的临时性机构。</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2.5 “日期”指公历日。</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2.6 “合同”指由本次招标所产生的合同或合约文件。</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2.7 “纸质投标文件”指根据本招标文件模板的要求规范填写，打印输出并盖有单位公章的投标文件原件。</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2.8 “现场投标”指在规定时间内直接向招标机构（友和保险经纪有限公司）提交纸质投标文件。</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2.9 招标文件中的标题或题名仅起引导作用，而不应视为对招标文件内容的理解和解释。</w:t>
      </w:r>
    </w:p>
    <w:p>
      <w:pPr>
        <w:snapToGrid w:val="0"/>
        <w:spacing w:line="360" w:lineRule="auto"/>
        <w:ind w:firstLine="431" w:firstLineChars="196"/>
        <w:jc w:val="left"/>
        <w:rPr>
          <w:rFonts w:ascii="仿宋" w:hAnsi="仿宋" w:eastAsia="仿宋" w:cs="仿宋"/>
          <w:sz w:val="22"/>
          <w:szCs w:val="22"/>
        </w:rPr>
      </w:pPr>
      <w:r>
        <w:rPr>
          <w:rFonts w:hint="eastAsia" w:ascii="仿宋" w:hAnsi="仿宋" w:eastAsia="仿宋" w:cs="仿宋"/>
          <w:sz w:val="22"/>
          <w:szCs w:val="22"/>
        </w:rPr>
        <w:t>2.10 “项目名称”指本次招标的项目“前海合作区土地供应2024年度分布指引及项目库构建”。</w:t>
      </w:r>
    </w:p>
    <w:p>
      <w:pPr>
        <w:spacing w:line="360" w:lineRule="auto"/>
        <w:rPr>
          <w:rFonts w:ascii="黑体" w:hAnsi="黑体" w:eastAsia="黑体" w:cs="黑体"/>
          <w:sz w:val="24"/>
        </w:rPr>
      </w:pPr>
      <w:bookmarkStart w:id="334" w:name="_Toc220"/>
      <w:bookmarkStart w:id="335" w:name="_Toc6298"/>
      <w:bookmarkStart w:id="336" w:name="_Toc12017"/>
      <w:r>
        <w:rPr>
          <w:rFonts w:hint="eastAsia" w:ascii="黑体" w:hAnsi="黑体" w:eastAsia="黑体" w:cs="黑体"/>
          <w:sz w:val="24"/>
        </w:rPr>
        <w:t>3．投标人的资质要求</w:t>
      </w:r>
      <w:bookmarkEnd w:id="334"/>
      <w:bookmarkEnd w:id="335"/>
      <w:bookmarkEnd w:id="336"/>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3.1 参加招标活动投标人应当具备条件：</w:t>
      </w:r>
      <w:r>
        <w:rPr>
          <w:rFonts w:hint="eastAsia" w:ascii="仿宋" w:hAnsi="仿宋" w:eastAsia="仿宋" w:cs="仿宋"/>
          <w:b/>
          <w:bCs/>
          <w:sz w:val="22"/>
          <w:szCs w:val="22"/>
        </w:rPr>
        <w:t>见招标公告有关资质要求。</w:t>
      </w:r>
    </w:p>
    <w:p>
      <w:pPr>
        <w:spacing w:line="360" w:lineRule="auto"/>
        <w:rPr>
          <w:rFonts w:ascii="黑体" w:hAnsi="黑体" w:eastAsia="黑体" w:cs="黑体"/>
          <w:sz w:val="24"/>
        </w:rPr>
      </w:pPr>
      <w:bookmarkStart w:id="337" w:name="_Toc22312"/>
      <w:bookmarkStart w:id="338" w:name="_Toc3146"/>
      <w:bookmarkStart w:id="339" w:name="_Toc13118"/>
      <w:r>
        <w:rPr>
          <w:rFonts w:hint="eastAsia" w:ascii="黑体" w:hAnsi="黑体" w:eastAsia="黑体" w:cs="黑体"/>
          <w:sz w:val="24"/>
        </w:rPr>
        <w:t>4．联合体投标</w:t>
      </w:r>
      <w:bookmarkEnd w:id="337"/>
      <w:bookmarkEnd w:id="338"/>
      <w:bookmarkEnd w:id="339"/>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4.1 除非招标公告中允许投标人组成联合体投标，否则以下有关联合体投标的条款不予考虑。</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4.2 由两个或两个以上法人组成一个联合体以一个投标人的身份共同投标时，应符合以下原则：</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（1）投标联合体各方参加采购活动应当具备下列条件：</w:t>
      </w:r>
    </w:p>
    <w:p>
      <w:pPr>
        <w:spacing w:line="360" w:lineRule="auto"/>
        <w:ind w:firstLine="440" w:firstLineChars="200"/>
        <w:rPr>
          <w:rFonts w:ascii="仿宋" w:hAnsi="仿宋" w:eastAsia="仿宋" w:cs="仿宋"/>
          <w:sz w:val="22"/>
          <w:szCs w:val="28"/>
        </w:rPr>
      </w:pPr>
      <w:r>
        <w:rPr>
          <w:rFonts w:hint="eastAsia" w:ascii="仿宋" w:hAnsi="仿宋" w:eastAsia="仿宋" w:cs="仿宋"/>
          <w:sz w:val="22"/>
          <w:szCs w:val="28"/>
        </w:rPr>
        <w:t>① 具有独立承担民事责任的能力；</w:t>
      </w:r>
    </w:p>
    <w:p>
      <w:pPr>
        <w:spacing w:line="360" w:lineRule="auto"/>
        <w:ind w:firstLine="440" w:firstLineChars="200"/>
        <w:rPr>
          <w:rFonts w:ascii="仿宋" w:hAnsi="仿宋" w:eastAsia="仿宋" w:cs="仿宋"/>
          <w:sz w:val="22"/>
          <w:szCs w:val="28"/>
        </w:rPr>
      </w:pPr>
      <w:r>
        <w:rPr>
          <w:rFonts w:hint="eastAsia" w:ascii="仿宋" w:hAnsi="仿宋" w:eastAsia="仿宋" w:cs="仿宋"/>
          <w:sz w:val="22"/>
          <w:szCs w:val="28"/>
        </w:rPr>
        <w:t>② 有良好的商业信誉和健全的财务会计制度；</w:t>
      </w:r>
    </w:p>
    <w:p>
      <w:pPr>
        <w:spacing w:line="360" w:lineRule="auto"/>
        <w:ind w:firstLine="440" w:firstLineChars="200"/>
        <w:rPr>
          <w:rFonts w:ascii="仿宋" w:hAnsi="仿宋" w:eastAsia="仿宋" w:cs="仿宋"/>
          <w:sz w:val="22"/>
          <w:szCs w:val="28"/>
        </w:rPr>
      </w:pPr>
      <w:r>
        <w:rPr>
          <w:rFonts w:hint="eastAsia" w:ascii="仿宋" w:hAnsi="仿宋" w:eastAsia="仿宋" w:cs="仿宋"/>
          <w:sz w:val="22"/>
          <w:szCs w:val="28"/>
        </w:rPr>
        <w:t>③ 具有履行合同所必需的产品和专业技术能力；</w:t>
      </w:r>
    </w:p>
    <w:p>
      <w:pPr>
        <w:spacing w:line="360" w:lineRule="auto"/>
        <w:ind w:firstLine="440" w:firstLineChars="200"/>
        <w:rPr>
          <w:rFonts w:ascii="仿宋" w:hAnsi="仿宋" w:eastAsia="仿宋" w:cs="仿宋"/>
          <w:sz w:val="22"/>
          <w:szCs w:val="28"/>
        </w:rPr>
      </w:pPr>
      <w:r>
        <w:rPr>
          <w:rFonts w:hint="eastAsia" w:ascii="仿宋" w:hAnsi="仿宋" w:eastAsia="仿宋" w:cs="仿宋"/>
          <w:sz w:val="22"/>
          <w:szCs w:val="28"/>
        </w:rPr>
        <w:t>④ 有依法缴纳税收和社会保障资金的良好记录；</w:t>
      </w:r>
    </w:p>
    <w:p>
      <w:pPr>
        <w:spacing w:line="360" w:lineRule="auto"/>
        <w:ind w:firstLine="440" w:firstLineChars="200"/>
        <w:rPr>
          <w:rFonts w:ascii="仿宋" w:hAnsi="仿宋" w:eastAsia="仿宋" w:cs="仿宋"/>
          <w:sz w:val="22"/>
          <w:szCs w:val="28"/>
        </w:rPr>
      </w:pPr>
      <w:r>
        <w:rPr>
          <w:rFonts w:hint="eastAsia" w:ascii="仿宋" w:hAnsi="仿宋" w:eastAsia="仿宋" w:cs="仿宋"/>
          <w:sz w:val="22"/>
          <w:szCs w:val="28"/>
        </w:rPr>
        <w:t>⑤ 参加采购活动前三年内，在经营活动中没有重大违法记录；</w:t>
      </w:r>
    </w:p>
    <w:p>
      <w:pPr>
        <w:spacing w:line="360" w:lineRule="auto"/>
        <w:ind w:firstLine="440" w:firstLineChars="200"/>
        <w:rPr>
          <w:rFonts w:ascii="仿宋" w:hAnsi="仿宋" w:eastAsia="仿宋" w:cs="仿宋"/>
          <w:sz w:val="22"/>
          <w:szCs w:val="28"/>
        </w:rPr>
      </w:pPr>
      <w:r>
        <w:rPr>
          <w:rFonts w:hint="eastAsia" w:ascii="仿宋" w:hAnsi="仿宋" w:eastAsia="仿宋" w:cs="仿宋"/>
          <w:sz w:val="22"/>
          <w:szCs w:val="28"/>
        </w:rPr>
        <w:t>⑥ 法律、行政法规规定的其他条件。</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（2）对于招标公告中所要求投标人应具有的某一资质，若联合体各方均具有，则将以联合体各方中最低的资质等级作为联合体在这一资质条件上的资质等级；联合体各方的不同资质可优势互补。</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（3）投标人的投标文件及中标后签署的合同协议对联合体各方均具法律约束力；</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（4）联合体各方应当签订共同投标协议，明确约定各方拟承担的工作和责任，并将该共同投标协议随投标文件一并递交给招标机构；</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（5）联合体中标后，联合体各方应当共同与采购人签订合同，就中标项目向采购人承担连带责任；</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（6）联合体的各方应当共同推荐一联合体投标授权代表人，由联合体各方提交一份授权书，证明其有资格代表联合体各方签署投标文件，该授权书作为投标文件的组成部分一并提交给招标机构；</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（7）参加联合体的各方不得再以自己的名义单独投标，不得同时参加两个或两个以上的联合体投标、不得以分包商或其他形式参与投标，出现上述情况者，其投标和与此有关联合体、总包单位的投标将被拒绝；</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（8）除非另有规定或说明，本通用条款中“投标人”一词亦指联合体各方。</w:t>
      </w:r>
    </w:p>
    <w:p>
      <w:pPr>
        <w:spacing w:line="360" w:lineRule="auto"/>
        <w:rPr>
          <w:rFonts w:ascii="黑体" w:hAnsi="黑体" w:eastAsia="黑体" w:cs="黑体"/>
          <w:sz w:val="24"/>
        </w:rPr>
      </w:pPr>
      <w:bookmarkStart w:id="340" w:name="_Toc8340"/>
      <w:bookmarkStart w:id="341" w:name="_Toc29860"/>
      <w:bookmarkStart w:id="342" w:name="_Toc9148"/>
      <w:r>
        <w:rPr>
          <w:rFonts w:hint="eastAsia" w:ascii="黑体" w:hAnsi="黑体" w:eastAsia="黑体" w:cs="黑体"/>
          <w:sz w:val="24"/>
        </w:rPr>
        <w:t>5．投标费用</w:t>
      </w:r>
      <w:bookmarkEnd w:id="340"/>
      <w:bookmarkEnd w:id="341"/>
      <w:bookmarkEnd w:id="342"/>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不论投标结果如何，投标人应承担其编制投标文件与递交投标文件所涉及的一切费用。</w:t>
      </w:r>
    </w:p>
    <w:p>
      <w:pPr>
        <w:spacing w:line="360" w:lineRule="auto"/>
        <w:rPr>
          <w:rFonts w:ascii="黑体" w:hAnsi="黑体" w:eastAsia="黑体" w:cs="黑体"/>
          <w:sz w:val="24"/>
        </w:rPr>
      </w:pPr>
      <w:bookmarkStart w:id="343" w:name="_Toc3516"/>
      <w:bookmarkStart w:id="344" w:name="_Toc7446"/>
      <w:bookmarkStart w:id="345" w:name="_Toc5"/>
      <w:r>
        <w:rPr>
          <w:rFonts w:hint="eastAsia" w:ascii="黑体" w:hAnsi="黑体" w:eastAsia="黑体" w:cs="黑体"/>
          <w:sz w:val="24"/>
        </w:rPr>
        <w:t>6．踏勘现场</w:t>
      </w:r>
      <w:bookmarkEnd w:id="343"/>
      <w:bookmarkEnd w:id="344"/>
      <w:bookmarkEnd w:id="345"/>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6.1 如有需要，招标机构或采购人将组织投标人对项目现场及周围环境进行踏勘，以便投标人获取有关编制投标文件和签署合同所需的所有资料。踏勘现场所发生的费用由投标人自行承担，本项目投标人自行踏勘现场。</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6.2 未参与现场踏勘不作为否定投标人资格的理由。</w:t>
      </w:r>
    </w:p>
    <w:p>
      <w:pPr>
        <w:spacing w:line="360" w:lineRule="auto"/>
        <w:rPr>
          <w:rFonts w:ascii="黑体" w:hAnsi="黑体" w:eastAsia="黑体" w:cs="黑体"/>
          <w:sz w:val="24"/>
        </w:rPr>
      </w:pPr>
      <w:bookmarkStart w:id="346" w:name="_Toc12297"/>
      <w:bookmarkStart w:id="347" w:name="_Toc9508"/>
      <w:bookmarkStart w:id="348" w:name="_Toc13770"/>
      <w:r>
        <w:rPr>
          <w:rFonts w:hint="eastAsia" w:ascii="黑体" w:hAnsi="黑体" w:eastAsia="黑体" w:cs="黑体"/>
          <w:sz w:val="24"/>
        </w:rPr>
        <w:t>7．招标答疑</w:t>
      </w:r>
      <w:bookmarkEnd w:id="346"/>
      <w:bookmarkEnd w:id="347"/>
      <w:bookmarkEnd w:id="348"/>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 xml:space="preserve">7.1 </w:t>
      </w:r>
      <w:r>
        <w:rPr>
          <w:rFonts w:hint="eastAsia" w:ascii="仿宋" w:hAnsi="仿宋" w:eastAsia="仿宋" w:cs="仿宋"/>
          <w:sz w:val="22"/>
          <w:szCs w:val="22"/>
        </w:rPr>
        <w:t>任何要求对招标文件进行澄清或者对招标文件有限制性、倾向性条款提出质疑的投标人，均应于“招标公告”中所述答疑截止时间前在书面通知招标机构。招标机构对规定时间内收到的对招标文件的澄清或者质疑，视情况予以答复。具体答疑方式请见本招标文件第一册第一章之规定</w:t>
      </w:r>
      <w:r>
        <w:rPr>
          <w:rFonts w:hint="eastAsia" w:ascii="仿宋" w:hAnsi="仿宋" w:eastAsia="仿宋" w:cs="仿宋"/>
          <w:sz w:val="22"/>
          <w:szCs w:val="28"/>
        </w:rPr>
        <w:t>。</w:t>
      </w:r>
    </w:p>
    <w:p>
      <w:pPr>
        <w:snapToGrid w:val="0"/>
        <w:spacing w:line="360" w:lineRule="auto"/>
        <w:ind w:firstLine="431" w:firstLineChars="196"/>
        <w:rPr>
          <w:rFonts w:ascii="仿宋" w:hAnsi="仿宋" w:eastAsia="仿宋" w:cs="仿宋"/>
          <w:sz w:val="22"/>
          <w:szCs w:val="28"/>
        </w:rPr>
      </w:pPr>
    </w:p>
    <w:p>
      <w:pPr>
        <w:pStyle w:val="3"/>
        <w:spacing w:line="360" w:lineRule="auto"/>
        <w:jc w:val="center"/>
        <w:rPr>
          <w:rFonts w:ascii="黑体" w:hAnsi="黑体"/>
          <w:b w:val="0"/>
          <w:bCs w:val="0"/>
          <w:kern w:val="2"/>
        </w:rPr>
      </w:pPr>
      <w:bookmarkStart w:id="349" w:name="_Toc22318"/>
      <w:bookmarkStart w:id="350" w:name="_Toc21903"/>
      <w:bookmarkStart w:id="351" w:name="_Toc2251"/>
      <w:bookmarkStart w:id="352" w:name="_Toc15768"/>
      <w:bookmarkStart w:id="353" w:name="_Toc20274"/>
      <w:bookmarkStart w:id="354" w:name="_Toc26680"/>
      <w:bookmarkStart w:id="355" w:name="_Toc22892"/>
      <w:r>
        <w:rPr>
          <w:rFonts w:hint="eastAsia" w:ascii="黑体" w:hAnsi="黑体"/>
          <w:b w:val="0"/>
          <w:bCs w:val="0"/>
          <w:kern w:val="2"/>
        </w:rPr>
        <w:t>第二章  招标文件</w:t>
      </w:r>
      <w:bookmarkEnd w:id="349"/>
      <w:bookmarkEnd w:id="350"/>
      <w:bookmarkEnd w:id="351"/>
      <w:bookmarkEnd w:id="352"/>
      <w:bookmarkEnd w:id="353"/>
      <w:bookmarkEnd w:id="354"/>
      <w:bookmarkEnd w:id="355"/>
    </w:p>
    <w:p>
      <w:pPr>
        <w:spacing w:line="360" w:lineRule="auto"/>
        <w:rPr>
          <w:rFonts w:ascii="黑体" w:hAnsi="黑体" w:eastAsia="黑体" w:cs="黑体"/>
          <w:sz w:val="24"/>
        </w:rPr>
      </w:pPr>
      <w:r>
        <w:rPr>
          <w:rFonts w:hint="eastAsia" w:ascii="黑体" w:hAnsi="黑体" w:eastAsia="黑体" w:cs="黑体"/>
          <w:sz w:val="24"/>
        </w:rPr>
        <w:t>8．招标文件的组成</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8.1 招标文件除以下内容外，招标机构在招标期间发出的答疑文件和其他补充修改文件，均是招标文件的组成部分，对投标人起约束作用；</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招标文件包括下列内容：</w:t>
      </w:r>
    </w:p>
    <w:p>
      <w:pPr>
        <w:spacing w:line="360" w:lineRule="auto"/>
        <w:ind w:firstLine="442" w:firstLineChars="200"/>
        <w:rPr>
          <w:rFonts w:ascii="仿宋" w:hAnsi="仿宋" w:eastAsia="仿宋" w:cs="仿宋"/>
          <w:b/>
          <w:sz w:val="22"/>
          <w:szCs w:val="22"/>
        </w:rPr>
      </w:pPr>
      <w:r>
        <w:rPr>
          <w:rFonts w:hint="eastAsia" w:ascii="仿宋" w:hAnsi="仿宋" w:eastAsia="仿宋" w:cs="仿宋"/>
          <w:b/>
          <w:sz w:val="22"/>
          <w:szCs w:val="22"/>
        </w:rPr>
        <w:t>第一册  专用条款</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第一章 招标公告</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第二章 关键信息</w:t>
      </w:r>
    </w:p>
    <w:p>
      <w:pPr>
        <w:spacing w:line="360" w:lineRule="auto"/>
        <w:ind w:firstLine="1320" w:firstLineChars="600"/>
        <w:rPr>
          <w:rFonts w:ascii="仿宋" w:hAnsi="仿宋" w:eastAsia="仿宋" w:cs="仿宋"/>
          <w:sz w:val="22"/>
          <w:szCs w:val="22"/>
        </w:rPr>
      </w:pPr>
      <w:r>
        <w:rPr>
          <w:rFonts w:hint="eastAsia" w:ascii="仿宋" w:hAnsi="仿宋" w:eastAsia="仿宋" w:cs="仿宋"/>
          <w:sz w:val="22"/>
          <w:szCs w:val="22"/>
        </w:rPr>
        <w:t>表一、投标须知前附表</w:t>
      </w:r>
    </w:p>
    <w:p>
      <w:pPr>
        <w:spacing w:line="360" w:lineRule="auto"/>
        <w:ind w:firstLine="1320" w:firstLineChars="600"/>
        <w:rPr>
          <w:rFonts w:ascii="仿宋" w:hAnsi="仿宋" w:eastAsia="仿宋" w:cs="仿宋"/>
          <w:sz w:val="22"/>
          <w:szCs w:val="22"/>
        </w:rPr>
      </w:pPr>
      <w:r>
        <w:rPr>
          <w:rFonts w:hint="eastAsia" w:ascii="仿宋" w:hAnsi="仿宋" w:eastAsia="仿宋" w:cs="仿宋"/>
          <w:sz w:val="22"/>
          <w:szCs w:val="22"/>
        </w:rPr>
        <w:t>表二、投标文件初审表</w:t>
      </w:r>
    </w:p>
    <w:p>
      <w:pPr>
        <w:spacing w:line="360" w:lineRule="auto"/>
        <w:ind w:firstLine="1320" w:firstLineChars="600"/>
        <w:rPr>
          <w:rFonts w:ascii="仿宋" w:hAnsi="仿宋" w:eastAsia="仿宋" w:cs="仿宋"/>
          <w:sz w:val="22"/>
          <w:szCs w:val="22"/>
        </w:rPr>
      </w:pPr>
      <w:r>
        <w:rPr>
          <w:rFonts w:hint="eastAsia" w:ascii="仿宋" w:hAnsi="仿宋" w:eastAsia="仿宋" w:cs="仿宋"/>
          <w:sz w:val="22"/>
          <w:szCs w:val="22"/>
        </w:rPr>
        <w:t>表三、评标信息</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第三章 招标项目需求</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第四章 合同条款及格式</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第五章 投标文件的格式、附件</w:t>
      </w:r>
    </w:p>
    <w:p>
      <w:pPr>
        <w:spacing w:line="360" w:lineRule="auto"/>
        <w:ind w:firstLine="442" w:firstLineChars="200"/>
        <w:rPr>
          <w:rFonts w:ascii="仿宋" w:hAnsi="仿宋" w:eastAsia="仿宋" w:cs="仿宋"/>
          <w:b/>
          <w:sz w:val="22"/>
          <w:szCs w:val="22"/>
        </w:rPr>
      </w:pPr>
      <w:r>
        <w:rPr>
          <w:rFonts w:hint="eastAsia" w:ascii="仿宋" w:hAnsi="仿宋" w:eastAsia="仿宋" w:cs="仿宋"/>
          <w:b/>
          <w:sz w:val="22"/>
          <w:szCs w:val="22"/>
        </w:rPr>
        <w:t>第二次册  通用条款</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第一章 总则</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第二章 招标文件</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第三章 投标文件的编制</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第四章 投标文件的递交</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第五章 开标</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第六章 评标</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第七章 评审程序及评标方法</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第八章 公开招标失败的后续处理</w:t>
      </w:r>
    </w:p>
    <w:p>
      <w:pPr>
        <w:spacing w:line="360" w:lineRule="auto"/>
        <w:ind w:firstLine="880" w:firstLineChars="400"/>
        <w:rPr>
          <w:rFonts w:ascii="仿宋" w:hAnsi="仿宋" w:eastAsia="仿宋" w:cs="仿宋"/>
          <w:sz w:val="22"/>
          <w:szCs w:val="22"/>
        </w:rPr>
      </w:pPr>
      <w:r>
        <w:rPr>
          <w:rFonts w:hint="eastAsia" w:ascii="仿宋" w:hAnsi="仿宋" w:eastAsia="仿宋" w:cs="仿宋"/>
          <w:sz w:val="22"/>
          <w:szCs w:val="22"/>
        </w:rPr>
        <w:t>第九章 合同的授予</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8.2 招标活动信息发布及通告：采购人确认招标文件后，招标机构在投标截止前十日公布招标公告和招标文件，预算金额在一千万元以上的采购项目，在投标截止前十五日公布招标公告和招标文件；自评审结束之日起两个工作日内，招标机构将中标结果送交采购人确认中标供应商；招标机构在发出中标通知书之前，将中标结果通过采购指定网站进行公示三日；公示期满无异议或者异议不成立的，招标机构发出中标通知书。</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8.3 投标人获得招标文件后，应仔细检查招标文件的所有内容，如有残缺应在投标答疑截止时间之前向招标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 xml:space="preserve">8.4 </w:t>
      </w:r>
      <w:r>
        <w:rPr>
          <w:rFonts w:hint="eastAsia" w:ascii="仿宋" w:hAnsi="仿宋" w:eastAsia="仿宋" w:cs="仿宋"/>
          <w:sz w:val="22"/>
          <w:szCs w:val="28"/>
        </w:rPr>
        <w:t>任何人或任何组织向投标人提交的任何书面或口头资料，未经招标机构在网上发布或书面通知，均作无效处理，不得作为招标文件的组成部分。招标机构对投标人由此而做出的推论、理解和结论概不负责。</w:t>
      </w:r>
    </w:p>
    <w:p>
      <w:pPr>
        <w:spacing w:line="360" w:lineRule="auto"/>
        <w:rPr>
          <w:rFonts w:ascii="黑体" w:hAnsi="黑体" w:eastAsia="黑体" w:cs="黑体"/>
          <w:sz w:val="24"/>
        </w:rPr>
      </w:pPr>
      <w:r>
        <w:rPr>
          <w:rFonts w:hint="eastAsia" w:ascii="黑体" w:hAnsi="黑体" w:eastAsia="黑体" w:cs="黑体"/>
          <w:sz w:val="24"/>
        </w:rPr>
        <w:t>9．招标文件的澄清</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 xml:space="preserve">9.1 任何要求对招标文件进行澄清或者对招标文件有限制性、倾向性条款提出质疑的投标人，均应于“招标公告”中所述答疑截止时间前通知招标机构。招标机构对规定时间内收到的对招标文件的澄清或者质疑，视情况予以答复。具体答疑方式请见本招标文件第一册第一章之规定。  </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9.2 对于没有提出澄清或者质疑又参与了该项目投标的供应商将被视为完全认同该招标文件，投标截止期后不再受理针对招标文件的相关质疑、投诉。</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 xml:space="preserve">9.3 对招标文件中描述有歧义或前后不一致的地方，评审委员会有权进行评判，但对同一条款的评判应适用于每个投标人。 </w:t>
      </w:r>
    </w:p>
    <w:p>
      <w:pPr>
        <w:spacing w:line="360" w:lineRule="auto"/>
        <w:rPr>
          <w:rFonts w:ascii="黑体" w:hAnsi="黑体" w:eastAsia="黑体" w:cs="黑体"/>
          <w:sz w:val="24"/>
        </w:rPr>
      </w:pPr>
      <w:r>
        <w:rPr>
          <w:rFonts w:hint="eastAsia" w:ascii="黑体" w:hAnsi="黑体" w:eastAsia="黑体" w:cs="黑体"/>
          <w:sz w:val="24"/>
        </w:rPr>
        <w:t>10．招标文件的修改</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10.1 招标文件发出后，在投标截止日期前任何时候，确需要变更招标内容的，招标机构可主动地或在解答投标人提出的澄清问题时对招标文件进行修改；</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10.2 招标文件的修改采购指定网站以网上公告形式发布，并对投标人具有约束力，在项目开标前，投标人有义务上网查看，公告一经上网发布，即视为送达。</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10.3 招标文件、招标文件澄清（答疑）纪要、招标文件修改补充通知内容均以书面明确的内容为准。当招标文件、修改补充通知、澄清（答疑）纪要内容相互矛盾时，以最后发出的通知（或纪要）或修改文件为准；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10.4 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pPr>
        <w:snapToGrid w:val="0"/>
        <w:spacing w:line="360" w:lineRule="auto"/>
        <w:ind w:firstLine="431" w:firstLineChars="196"/>
        <w:rPr>
          <w:rFonts w:ascii="仿宋" w:hAnsi="仿宋" w:eastAsia="仿宋" w:cs="仿宋"/>
          <w:sz w:val="22"/>
          <w:szCs w:val="22"/>
        </w:rPr>
      </w:pPr>
    </w:p>
    <w:p>
      <w:pPr>
        <w:pStyle w:val="3"/>
        <w:spacing w:line="360" w:lineRule="auto"/>
        <w:jc w:val="center"/>
        <w:rPr>
          <w:rFonts w:ascii="黑体" w:hAnsi="黑体"/>
          <w:b w:val="0"/>
          <w:bCs w:val="0"/>
          <w:kern w:val="2"/>
        </w:rPr>
      </w:pPr>
      <w:bookmarkStart w:id="356" w:name="bt投标文件"/>
      <w:bookmarkEnd w:id="356"/>
      <w:bookmarkStart w:id="357" w:name="_Toc73521560"/>
      <w:bookmarkStart w:id="358" w:name="_Toc73517652"/>
      <w:bookmarkStart w:id="359" w:name="_Toc73518130"/>
      <w:bookmarkStart w:id="360" w:name="_Toc73521648"/>
      <w:bookmarkStart w:id="361" w:name="_Toc101074879"/>
      <w:bookmarkStart w:id="362" w:name="_Toc100052377"/>
      <w:bookmarkStart w:id="363" w:name="_Toc3938"/>
      <w:bookmarkStart w:id="364" w:name="_Toc10836"/>
      <w:bookmarkStart w:id="365" w:name="_Toc29050"/>
      <w:r>
        <w:rPr>
          <w:rFonts w:hint="eastAsia" w:ascii="黑体" w:hAnsi="黑体"/>
          <w:b w:val="0"/>
          <w:bCs w:val="0"/>
          <w:kern w:val="2"/>
        </w:rPr>
        <w:t>第三章  投标文件</w:t>
      </w:r>
      <w:bookmarkEnd w:id="357"/>
      <w:bookmarkEnd w:id="358"/>
      <w:bookmarkEnd w:id="359"/>
      <w:bookmarkEnd w:id="360"/>
      <w:bookmarkEnd w:id="361"/>
      <w:bookmarkEnd w:id="362"/>
      <w:r>
        <w:rPr>
          <w:rFonts w:hint="eastAsia" w:ascii="黑体" w:hAnsi="黑体"/>
          <w:b w:val="0"/>
          <w:bCs w:val="0"/>
          <w:kern w:val="2"/>
        </w:rPr>
        <w:t>的编制</w:t>
      </w:r>
      <w:bookmarkEnd w:id="363"/>
      <w:bookmarkEnd w:id="364"/>
      <w:bookmarkEnd w:id="365"/>
    </w:p>
    <w:p>
      <w:pPr>
        <w:spacing w:line="360" w:lineRule="auto"/>
        <w:rPr>
          <w:rFonts w:ascii="黑体" w:hAnsi="黑体" w:eastAsia="黑体" w:cs="黑体"/>
          <w:sz w:val="24"/>
        </w:rPr>
      </w:pPr>
      <w:bookmarkStart w:id="366" w:name="_Toc73521649"/>
      <w:bookmarkStart w:id="367" w:name="_Toc60631634"/>
      <w:bookmarkStart w:id="368" w:name="_Toc73517653"/>
      <w:bookmarkStart w:id="369" w:name="_Toc73521561"/>
      <w:bookmarkStart w:id="370" w:name="_Toc100052378"/>
      <w:bookmarkStart w:id="371" w:name="_Toc73518131"/>
      <w:bookmarkStart w:id="372" w:name="_Toc60560639"/>
      <w:r>
        <w:rPr>
          <w:rFonts w:hint="eastAsia" w:ascii="黑体" w:hAnsi="黑体" w:eastAsia="黑体" w:cs="黑体"/>
          <w:sz w:val="24"/>
        </w:rPr>
        <w:t>11．投标文件的语言及度量单位</w:t>
      </w:r>
      <w:bookmarkEnd w:id="366"/>
      <w:bookmarkEnd w:id="367"/>
      <w:bookmarkEnd w:id="368"/>
      <w:bookmarkEnd w:id="369"/>
      <w:bookmarkEnd w:id="370"/>
      <w:bookmarkEnd w:id="371"/>
      <w:bookmarkEnd w:id="372"/>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11.1 投标人与政府采购代理机构之间与投标有关的所有往来通知、函件和投标文件均用中文表述。投标人随投标文件提供的证明文件和资料可以为其他语言，但必须附中文译文，且应以中文为准；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11.2 除技术规范另有规定外，投标文件使用的度量单位，均采用中华人民共和国法定计量单位。</w:t>
      </w:r>
    </w:p>
    <w:p>
      <w:pPr>
        <w:spacing w:line="360" w:lineRule="auto"/>
        <w:rPr>
          <w:rFonts w:ascii="黑体" w:hAnsi="黑体" w:eastAsia="黑体" w:cs="黑体"/>
          <w:sz w:val="24"/>
        </w:rPr>
      </w:pPr>
      <w:bookmarkStart w:id="373" w:name="_Toc60631635"/>
      <w:bookmarkStart w:id="374" w:name="_Toc60560640"/>
      <w:bookmarkStart w:id="375" w:name="_Toc73517654"/>
      <w:bookmarkStart w:id="376" w:name="_Toc100052379"/>
      <w:bookmarkStart w:id="377" w:name="_Toc73521562"/>
      <w:bookmarkStart w:id="378" w:name="_Toc73521650"/>
      <w:bookmarkStart w:id="379" w:name="_Toc73518132"/>
      <w:r>
        <w:rPr>
          <w:rFonts w:hint="eastAsia" w:ascii="黑体" w:hAnsi="黑体" w:eastAsia="黑体" w:cs="黑体"/>
          <w:sz w:val="24"/>
        </w:rPr>
        <w:t>12．投标文件的组成</w:t>
      </w:r>
      <w:bookmarkEnd w:id="373"/>
      <w:bookmarkEnd w:id="374"/>
      <w:bookmarkEnd w:id="375"/>
      <w:bookmarkEnd w:id="376"/>
      <w:bookmarkEnd w:id="377"/>
      <w:bookmarkEnd w:id="378"/>
      <w:bookmarkEnd w:id="379"/>
    </w:p>
    <w:p>
      <w:pPr>
        <w:snapToGrid w:val="0"/>
        <w:spacing w:line="360" w:lineRule="auto"/>
        <w:ind w:firstLine="433" w:firstLineChars="196"/>
        <w:rPr>
          <w:rFonts w:ascii="仿宋" w:hAnsi="仿宋" w:eastAsia="仿宋" w:cs="仿宋"/>
          <w:b/>
          <w:sz w:val="22"/>
          <w:szCs w:val="22"/>
        </w:rPr>
      </w:pPr>
      <w:r>
        <w:rPr>
          <w:rFonts w:hint="eastAsia" w:ascii="仿宋" w:hAnsi="仿宋" w:eastAsia="仿宋" w:cs="仿宋"/>
          <w:b/>
          <w:sz w:val="22"/>
          <w:szCs w:val="22"/>
        </w:rPr>
        <w:t>（具体内容请详见第一册第五章的相关内容）</w:t>
      </w:r>
      <w:bookmarkStart w:id="380" w:name="投标文件的组成"/>
      <w:bookmarkStart w:id="381" w:name="_Toc73518133"/>
      <w:bookmarkStart w:id="382" w:name="_Toc73517655"/>
      <w:bookmarkStart w:id="383" w:name="_Toc60631636"/>
      <w:bookmarkStart w:id="384" w:name="_Toc73521563"/>
      <w:bookmarkStart w:id="385" w:name="_Toc73521651"/>
      <w:bookmarkStart w:id="386" w:name="_Toc60560641"/>
    </w:p>
    <w:bookmarkEnd w:id="380"/>
    <w:p>
      <w:pPr>
        <w:spacing w:line="360" w:lineRule="auto"/>
        <w:rPr>
          <w:rFonts w:ascii="黑体" w:hAnsi="黑体" w:eastAsia="黑体" w:cs="黑体"/>
          <w:sz w:val="24"/>
        </w:rPr>
      </w:pPr>
      <w:bookmarkStart w:id="387" w:name="_Toc100052380"/>
      <w:r>
        <w:rPr>
          <w:rFonts w:hint="eastAsia" w:ascii="黑体" w:hAnsi="黑体" w:eastAsia="黑体" w:cs="黑体"/>
          <w:sz w:val="24"/>
        </w:rPr>
        <w:t>13．投标文件格式</w:t>
      </w:r>
      <w:bookmarkEnd w:id="381"/>
      <w:bookmarkEnd w:id="382"/>
      <w:bookmarkEnd w:id="383"/>
      <w:bookmarkEnd w:id="384"/>
      <w:bookmarkEnd w:id="385"/>
      <w:bookmarkEnd w:id="386"/>
      <w:bookmarkEnd w:id="387"/>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13.1 投标文件包括本通用条款第12条中规定的内容。如招标文件提供了投标文件格式，则</w:t>
      </w:r>
      <w:r>
        <w:rPr>
          <w:rFonts w:hint="eastAsia" w:ascii="仿宋" w:hAnsi="仿宋" w:eastAsia="仿宋" w:cs="仿宋"/>
          <w:b/>
          <w:bCs/>
          <w:sz w:val="22"/>
          <w:szCs w:val="22"/>
        </w:rPr>
        <w:t>投标人提交的投标文件必须毫无例外地使用招标文件所提供的相应格式</w:t>
      </w:r>
      <w:r>
        <w:rPr>
          <w:rFonts w:hint="eastAsia" w:ascii="仿宋" w:hAnsi="仿宋" w:eastAsia="仿宋" w:cs="仿宋"/>
          <w:sz w:val="22"/>
          <w:szCs w:val="22"/>
        </w:rPr>
        <w:t>（表格可以按同样格式扩展）。</w:t>
      </w:r>
      <w:bookmarkStart w:id="388" w:name="_Toc73521565"/>
      <w:bookmarkStart w:id="389" w:name="_Toc60631638"/>
      <w:bookmarkStart w:id="390" w:name="_Toc73521653"/>
      <w:bookmarkStart w:id="391" w:name="_Toc73518135"/>
      <w:bookmarkStart w:id="392" w:name="_Toc73517657"/>
      <w:bookmarkStart w:id="393" w:name="_Toc60560643"/>
    </w:p>
    <w:p>
      <w:pPr>
        <w:spacing w:line="360" w:lineRule="auto"/>
        <w:rPr>
          <w:rFonts w:ascii="黑体" w:hAnsi="黑体" w:eastAsia="黑体" w:cs="黑体"/>
          <w:sz w:val="24"/>
        </w:rPr>
      </w:pPr>
      <w:bookmarkStart w:id="394" w:name="_Toc100052382"/>
      <w:r>
        <w:rPr>
          <w:rFonts w:hint="eastAsia" w:ascii="黑体" w:hAnsi="黑体" w:eastAsia="黑体" w:cs="黑体"/>
          <w:sz w:val="24"/>
        </w:rPr>
        <w:t>14．投标货币</w:t>
      </w:r>
      <w:bookmarkEnd w:id="388"/>
      <w:bookmarkEnd w:id="389"/>
      <w:bookmarkEnd w:id="390"/>
      <w:bookmarkEnd w:id="391"/>
      <w:bookmarkEnd w:id="392"/>
      <w:bookmarkEnd w:id="393"/>
      <w:bookmarkEnd w:id="394"/>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14.1 本项目的投标应以人民币计。</w:t>
      </w:r>
    </w:p>
    <w:p>
      <w:pPr>
        <w:spacing w:line="360" w:lineRule="auto"/>
        <w:rPr>
          <w:rFonts w:ascii="黑体" w:hAnsi="黑体" w:eastAsia="黑体" w:cs="黑体"/>
          <w:sz w:val="24"/>
        </w:rPr>
      </w:pPr>
      <w:bookmarkStart w:id="395" w:name="_Toc100052383"/>
      <w:bookmarkStart w:id="396" w:name="_Toc60631639"/>
      <w:bookmarkStart w:id="397" w:name="_Toc60560644"/>
      <w:bookmarkStart w:id="398" w:name="_Toc73521654"/>
      <w:bookmarkStart w:id="399" w:name="_Toc73518136"/>
      <w:bookmarkStart w:id="400" w:name="_Toc73521566"/>
      <w:bookmarkStart w:id="401" w:name="_Toc73517658"/>
      <w:r>
        <w:rPr>
          <w:rFonts w:hint="eastAsia" w:ascii="黑体" w:hAnsi="黑体" w:eastAsia="黑体" w:cs="黑体"/>
          <w:sz w:val="24"/>
        </w:rPr>
        <w:t>15．投标有效期</w:t>
      </w:r>
      <w:bookmarkEnd w:id="395"/>
      <w:bookmarkEnd w:id="396"/>
      <w:bookmarkEnd w:id="397"/>
      <w:bookmarkEnd w:id="398"/>
      <w:bookmarkEnd w:id="399"/>
      <w:bookmarkEnd w:id="400"/>
      <w:bookmarkEnd w:id="401"/>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15.1 投标有效期为从投标截止之日算起</w:t>
      </w:r>
      <w:r>
        <w:rPr>
          <w:rFonts w:hint="eastAsia" w:ascii="仿宋" w:hAnsi="仿宋" w:eastAsia="仿宋" w:cs="仿宋"/>
          <w:sz w:val="22"/>
          <w:szCs w:val="22"/>
          <w:u w:val="single"/>
        </w:rPr>
        <w:t>120</w:t>
      </w:r>
      <w:r>
        <w:rPr>
          <w:rFonts w:hint="eastAsia" w:ascii="仿宋" w:hAnsi="仿宋" w:eastAsia="仿宋" w:cs="仿宋"/>
          <w:sz w:val="22"/>
          <w:szCs w:val="22"/>
        </w:rPr>
        <w:t>个日历天，在此期限内，所有投标文件均保持有效；</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15.2 在特殊的情况下，政府采购代理机构在原定的投标有效期满之前，政府采购代理机构可以根据需要以书面形式向投标人提出延长投标有效期的要求，对此要求投标人须以书面形式予以答复，投标人可以拒绝政府采购代理机构此项要求，其投标在原投标有效期满后不再有效。同意延长投标有效期的投标人不能要求也不允许修改其投标文件；</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15.3 中标供应商的投标书有效期，截止于完成本招标文件规定的全部项目内容，并通过验收及保修结束。</w:t>
      </w:r>
    </w:p>
    <w:p>
      <w:pPr>
        <w:spacing w:line="360" w:lineRule="auto"/>
        <w:rPr>
          <w:rFonts w:ascii="黑体" w:hAnsi="黑体" w:eastAsia="黑体" w:cs="黑体"/>
          <w:sz w:val="24"/>
        </w:rPr>
      </w:pPr>
      <w:bookmarkStart w:id="402" w:name="_Toc60560646"/>
      <w:bookmarkStart w:id="403" w:name="_Toc100052385"/>
      <w:bookmarkStart w:id="404" w:name="_Toc73517660"/>
      <w:bookmarkStart w:id="405" w:name="_Toc73518138"/>
      <w:bookmarkStart w:id="406" w:name="_Toc60631641"/>
      <w:bookmarkStart w:id="407" w:name="_Toc73521656"/>
      <w:bookmarkStart w:id="408" w:name="_Toc73521568"/>
      <w:r>
        <w:rPr>
          <w:rFonts w:hint="eastAsia" w:ascii="黑体" w:hAnsi="黑体" w:eastAsia="黑体" w:cs="黑体"/>
          <w:sz w:val="24"/>
        </w:rPr>
        <w:t>16．投标人的替代方案</w:t>
      </w:r>
      <w:bookmarkEnd w:id="402"/>
      <w:bookmarkEnd w:id="403"/>
      <w:bookmarkEnd w:id="404"/>
      <w:bookmarkEnd w:id="405"/>
      <w:bookmarkEnd w:id="406"/>
      <w:bookmarkEnd w:id="407"/>
      <w:bookmarkEnd w:id="408"/>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16.1 投标人所提交的投标文件应完全满足招标文件（包括图纸和技术规范所示的基本技术设计）的要求。除非“投标须知前附表”中允许投标人提交替代方案，否则投标人有关替代方案的条款将不予考虑。</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16.2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p>
      <w:pPr>
        <w:spacing w:line="360" w:lineRule="auto"/>
        <w:rPr>
          <w:rFonts w:ascii="黑体" w:hAnsi="黑体" w:eastAsia="黑体" w:cs="黑体"/>
          <w:sz w:val="24"/>
        </w:rPr>
      </w:pPr>
      <w:bookmarkStart w:id="409" w:name="_Toc100052386"/>
      <w:bookmarkStart w:id="410" w:name="_Toc73521569"/>
      <w:bookmarkStart w:id="411" w:name="_Toc73518139"/>
      <w:bookmarkStart w:id="412" w:name="_Toc73517661"/>
      <w:bookmarkStart w:id="413" w:name="_Toc73521657"/>
      <w:r>
        <w:rPr>
          <w:rFonts w:hint="eastAsia" w:ascii="黑体" w:hAnsi="黑体" w:eastAsia="黑体" w:cs="黑体"/>
          <w:sz w:val="24"/>
        </w:rPr>
        <w:t>17．投标文件的制作要求</w:t>
      </w:r>
      <w:bookmarkEnd w:id="409"/>
      <w:bookmarkEnd w:id="410"/>
      <w:bookmarkEnd w:id="411"/>
      <w:bookmarkEnd w:id="412"/>
      <w:bookmarkEnd w:id="413"/>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17.1 投标人应当按《投标须知前附表》中规定的份数制作所投招标项目的纸质投标文件，用于现场投标。</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17.2 纸质投标文件须根据</w:t>
      </w:r>
      <w:r>
        <w:rPr>
          <w:rFonts w:hint="eastAsia" w:ascii="仿宋" w:hAnsi="仿宋" w:eastAsia="仿宋" w:cs="仿宋"/>
          <w:b/>
          <w:spacing w:val="8"/>
          <w:sz w:val="22"/>
          <w:szCs w:val="28"/>
        </w:rPr>
        <w:t>友和保险经纪有限公司</w:t>
      </w:r>
      <w:r>
        <w:rPr>
          <w:rFonts w:hint="eastAsia" w:ascii="仿宋" w:hAnsi="仿宋" w:eastAsia="仿宋" w:cs="仿宋"/>
          <w:sz w:val="22"/>
          <w:szCs w:val="22"/>
        </w:rPr>
        <w:t>编制的投标文件模板，按照其要求编制。</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17.3 投标人在利用投标文件模板编制投标文件时须注意：</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17.3.1 除模板中要求填写、添加的内容外，不得对其他文字内容做任何改动。如果因操作失误而改动的，以模板中的文字叙述为准。</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17.3.2 投标文件项目编号、包号应与招标文件项目编号、包号一致。</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17.3.3 必须完整、准确填写投标文件模板要求填写内容，不能填写如“*、\、[、&amp;、”等特殊字符。模板固定的格式内容和文字叙述，不得改变，如果因改变叙述而与模板的原叙述相冲突者，以模板的叙述为准。</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17.3.4 投标文件所提供的证明材料须清晰，若提供的证明材料不清晰，将可能以不利于投标人的判断进行处理。</w:t>
      </w:r>
    </w:p>
    <w:p>
      <w:pPr>
        <w:snapToGrid w:val="0"/>
        <w:spacing w:line="360" w:lineRule="auto"/>
        <w:ind w:firstLine="330" w:firstLineChars="150"/>
        <w:rPr>
          <w:rFonts w:ascii="仿宋" w:hAnsi="仿宋" w:eastAsia="仿宋" w:cs="仿宋"/>
          <w:sz w:val="22"/>
          <w:szCs w:val="22"/>
        </w:rPr>
      </w:pPr>
    </w:p>
    <w:p>
      <w:pPr>
        <w:pStyle w:val="3"/>
        <w:spacing w:line="360" w:lineRule="auto"/>
        <w:jc w:val="center"/>
        <w:rPr>
          <w:rFonts w:ascii="黑体" w:hAnsi="黑体"/>
          <w:b w:val="0"/>
          <w:bCs w:val="0"/>
          <w:kern w:val="2"/>
        </w:rPr>
      </w:pPr>
      <w:bookmarkStart w:id="414" w:name="_Toc73521570"/>
      <w:bookmarkStart w:id="415" w:name="_Toc73517662"/>
      <w:bookmarkStart w:id="416" w:name="_Toc73518140"/>
      <w:bookmarkStart w:id="417" w:name="_Toc100052387"/>
      <w:bookmarkStart w:id="418" w:name="_Toc101074880"/>
      <w:bookmarkStart w:id="419" w:name="_Toc73521658"/>
      <w:bookmarkStart w:id="420" w:name="_Toc13942"/>
      <w:bookmarkStart w:id="421" w:name="_Toc7839"/>
      <w:bookmarkStart w:id="422" w:name="_Toc27389"/>
      <w:r>
        <w:rPr>
          <w:rFonts w:hint="eastAsia" w:ascii="黑体" w:hAnsi="黑体"/>
          <w:b w:val="0"/>
          <w:bCs w:val="0"/>
          <w:kern w:val="2"/>
        </w:rPr>
        <w:t>第四章  投标文件</w:t>
      </w:r>
      <w:bookmarkEnd w:id="414"/>
      <w:bookmarkEnd w:id="415"/>
      <w:bookmarkEnd w:id="416"/>
      <w:bookmarkEnd w:id="417"/>
      <w:bookmarkEnd w:id="418"/>
      <w:bookmarkEnd w:id="419"/>
      <w:r>
        <w:rPr>
          <w:rFonts w:hint="eastAsia" w:ascii="黑体" w:hAnsi="黑体"/>
          <w:b w:val="0"/>
          <w:bCs w:val="0"/>
          <w:kern w:val="2"/>
        </w:rPr>
        <w:t>的递交</w:t>
      </w:r>
      <w:bookmarkEnd w:id="420"/>
      <w:bookmarkEnd w:id="421"/>
      <w:bookmarkEnd w:id="422"/>
    </w:p>
    <w:p>
      <w:pPr>
        <w:spacing w:line="360" w:lineRule="auto"/>
        <w:rPr>
          <w:rFonts w:ascii="黑体" w:hAnsi="黑体" w:eastAsia="黑体" w:cs="黑体"/>
          <w:sz w:val="24"/>
        </w:rPr>
      </w:pPr>
      <w:bookmarkStart w:id="423" w:name="_Toc60631644"/>
      <w:bookmarkStart w:id="424" w:name="_Toc100052388"/>
      <w:bookmarkStart w:id="425" w:name="_Toc60560649"/>
      <w:bookmarkStart w:id="426" w:name="_Toc73521659"/>
      <w:bookmarkStart w:id="427" w:name="_Toc73521571"/>
      <w:bookmarkStart w:id="428" w:name="_Toc73518141"/>
      <w:bookmarkStart w:id="429" w:name="_Toc73517663"/>
      <w:r>
        <w:rPr>
          <w:rFonts w:hint="eastAsia" w:ascii="黑体" w:hAnsi="黑体" w:eastAsia="黑体" w:cs="黑体"/>
          <w:sz w:val="24"/>
        </w:rPr>
        <w:t>18．投标文件的递交</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 xml:space="preserve">18.1 </w:t>
      </w:r>
      <w:r>
        <w:rPr>
          <w:rFonts w:hint="eastAsia" w:ascii="仿宋" w:hAnsi="仿宋" w:eastAsia="仿宋" w:cs="仿宋"/>
          <w:sz w:val="22"/>
          <w:szCs w:val="28"/>
        </w:rPr>
        <w:t>投标文件的装订和签署</w:t>
      </w:r>
      <w:r>
        <w:rPr>
          <w:rFonts w:hint="eastAsia" w:ascii="仿宋" w:hAnsi="仿宋" w:eastAsia="仿宋" w:cs="仿宋"/>
          <w:sz w:val="22"/>
          <w:szCs w:val="22"/>
        </w:rPr>
        <w:t>。</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18.1.1 投标文件由三部分组成，</w:t>
      </w:r>
      <w:r>
        <w:rPr>
          <w:rFonts w:hint="eastAsia" w:ascii="仿宋" w:hAnsi="仿宋" w:eastAsia="仿宋" w:cs="仿宋"/>
          <w:b/>
          <w:bCs/>
          <w:sz w:val="22"/>
          <w:szCs w:val="22"/>
        </w:rPr>
        <w:t>第一部分</w:t>
      </w:r>
      <w:r>
        <w:rPr>
          <w:rFonts w:hint="eastAsia" w:ascii="仿宋" w:hAnsi="仿宋" w:eastAsia="仿宋" w:cs="仿宋"/>
          <w:sz w:val="22"/>
          <w:szCs w:val="22"/>
        </w:rPr>
        <w:t>为一式六份装订成册的纸质投标文件，其中，</w:t>
      </w:r>
      <w:r>
        <w:rPr>
          <w:rFonts w:hint="eastAsia" w:ascii="仿宋" w:hAnsi="仿宋" w:eastAsia="仿宋" w:cs="仿宋"/>
          <w:b/>
          <w:bCs/>
          <w:sz w:val="22"/>
          <w:szCs w:val="22"/>
        </w:rPr>
        <w:t>正本</w:t>
      </w:r>
      <w:r>
        <w:rPr>
          <w:rFonts w:hint="eastAsia" w:ascii="仿宋" w:hAnsi="仿宋" w:eastAsia="仿宋" w:cs="仿宋"/>
          <w:b/>
          <w:bCs/>
          <w:sz w:val="22"/>
          <w:szCs w:val="22"/>
          <w:u w:val="single"/>
        </w:rPr>
        <w:t>一</w:t>
      </w:r>
      <w:r>
        <w:rPr>
          <w:rFonts w:hint="eastAsia" w:ascii="仿宋" w:hAnsi="仿宋" w:eastAsia="仿宋" w:cs="仿宋"/>
          <w:b/>
          <w:bCs/>
          <w:sz w:val="22"/>
          <w:szCs w:val="22"/>
        </w:rPr>
        <w:t>份、副本</w:t>
      </w:r>
      <w:r>
        <w:rPr>
          <w:rFonts w:hint="eastAsia" w:ascii="仿宋" w:hAnsi="仿宋" w:eastAsia="仿宋" w:cs="仿宋"/>
          <w:b/>
          <w:bCs/>
          <w:sz w:val="22"/>
          <w:szCs w:val="22"/>
          <w:u w:val="single"/>
        </w:rPr>
        <w:t>五</w:t>
      </w:r>
      <w:r>
        <w:rPr>
          <w:rFonts w:hint="eastAsia" w:ascii="仿宋" w:hAnsi="仿宋" w:eastAsia="仿宋" w:cs="仿宋"/>
          <w:b/>
          <w:bCs/>
          <w:sz w:val="22"/>
          <w:szCs w:val="22"/>
        </w:rPr>
        <w:t>份</w:t>
      </w:r>
      <w:r>
        <w:rPr>
          <w:rFonts w:hint="eastAsia" w:ascii="仿宋" w:hAnsi="仿宋" w:eastAsia="仿宋" w:cs="仿宋"/>
          <w:sz w:val="22"/>
          <w:szCs w:val="22"/>
        </w:rPr>
        <w:t>；</w:t>
      </w:r>
      <w:r>
        <w:rPr>
          <w:rFonts w:hint="eastAsia" w:ascii="仿宋" w:hAnsi="仿宋" w:eastAsia="仿宋" w:cs="仿宋"/>
          <w:b/>
          <w:bCs/>
          <w:sz w:val="22"/>
          <w:szCs w:val="22"/>
        </w:rPr>
        <w:t>第二部分</w:t>
      </w:r>
      <w:r>
        <w:rPr>
          <w:rFonts w:hint="eastAsia" w:ascii="仿宋" w:hAnsi="仿宋" w:eastAsia="仿宋" w:cs="仿宋"/>
          <w:sz w:val="22"/>
          <w:szCs w:val="22"/>
        </w:rPr>
        <w:t>为</w:t>
      </w:r>
      <w:r>
        <w:rPr>
          <w:rFonts w:hint="eastAsia" w:ascii="仿宋" w:hAnsi="仿宋" w:eastAsia="仿宋" w:cs="仿宋"/>
          <w:b/>
          <w:sz w:val="22"/>
          <w:szCs w:val="22"/>
        </w:rPr>
        <w:t>以光盘、U盘或硬盘等移动存储介质</w:t>
      </w:r>
      <w:r>
        <w:rPr>
          <w:rFonts w:hint="eastAsia" w:ascii="仿宋" w:hAnsi="仿宋" w:eastAsia="仿宋" w:cs="仿宋"/>
          <w:sz w:val="22"/>
          <w:szCs w:val="22"/>
        </w:rPr>
        <w:t>提交的一份加盖公章的PDF电子投标文件。电子投标文件内容应与纸质投标文件</w:t>
      </w:r>
      <w:r>
        <w:rPr>
          <w:rFonts w:hint="eastAsia" w:ascii="仿宋" w:hAnsi="仿宋" w:eastAsia="仿宋" w:cs="仿宋"/>
          <w:b/>
          <w:bCs/>
          <w:sz w:val="22"/>
          <w:szCs w:val="22"/>
        </w:rPr>
        <w:t>正本</w:t>
      </w:r>
      <w:r>
        <w:rPr>
          <w:rFonts w:hint="eastAsia" w:ascii="仿宋" w:hAnsi="仿宋" w:eastAsia="仿宋" w:cs="仿宋"/>
          <w:sz w:val="22"/>
          <w:szCs w:val="22"/>
        </w:rPr>
        <w:t>内容一致，如有差异以纸质投标文件</w:t>
      </w:r>
      <w:r>
        <w:rPr>
          <w:rFonts w:hint="eastAsia" w:ascii="仿宋" w:hAnsi="仿宋" w:eastAsia="仿宋" w:cs="仿宋"/>
          <w:b/>
          <w:bCs/>
          <w:sz w:val="22"/>
          <w:szCs w:val="22"/>
        </w:rPr>
        <w:t>正本</w:t>
      </w:r>
      <w:r>
        <w:rPr>
          <w:rFonts w:hint="eastAsia" w:ascii="仿宋" w:hAnsi="仿宋" w:eastAsia="仿宋" w:cs="仿宋"/>
          <w:sz w:val="22"/>
          <w:szCs w:val="22"/>
        </w:rPr>
        <w:t>为准；</w:t>
      </w:r>
      <w:r>
        <w:rPr>
          <w:rFonts w:hint="eastAsia" w:ascii="仿宋" w:hAnsi="仿宋" w:eastAsia="仿宋" w:cs="仿宋"/>
          <w:b/>
          <w:bCs/>
          <w:sz w:val="22"/>
          <w:szCs w:val="22"/>
        </w:rPr>
        <w:t>第三部分</w:t>
      </w:r>
      <w:r>
        <w:rPr>
          <w:rFonts w:hint="eastAsia" w:ascii="仿宋" w:hAnsi="仿宋" w:eastAsia="仿宋" w:cs="仿宋"/>
          <w:sz w:val="22"/>
          <w:szCs w:val="22"/>
        </w:rPr>
        <w:t xml:space="preserve">为开标时唱标用的《开标一览表》。该表内容应与投标文件中的《开标一览表》内容一致，如有差异以唱标用的《开标一览表》内容为准。表格应按招标文件要求签署并加盖公章。 </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18.2 投标文件的密封和标记</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18.2.1 投标人递交的投标文件应由两个单独的密封袋组成，一个密封袋装唱标用的《开标一览表》，一个密封袋装纸质投标文件及电子投标文件。</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18.2.2 《开标一览表》作为开标时唱标的依据，除按格式要求放入投标文件中外，还应另行单独密封提交一份，在封口密封处加盖公章（或密封封口处粘贴封条并加盖投标单位公章），并在信封上标明“开标一览表”字样。</w:t>
      </w:r>
    </w:p>
    <w:p>
      <w:pPr>
        <w:snapToGrid w:val="0"/>
        <w:spacing w:line="360" w:lineRule="auto"/>
        <w:ind w:firstLine="440" w:firstLineChars="200"/>
        <w:rPr>
          <w:rFonts w:ascii="仿宋" w:hAnsi="仿宋" w:eastAsia="仿宋" w:cs="仿宋"/>
          <w:sz w:val="22"/>
          <w:szCs w:val="22"/>
          <w:lang w:val="zh-CN"/>
        </w:rPr>
      </w:pPr>
      <w:r>
        <w:rPr>
          <w:rFonts w:hint="eastAsia" w:ascii="仿宋" w:hAnsi="仿宋" w:eastAsia="仿宋" w:cs="仿宋"/>
          <w:sz w:val="22"/>
          <w:szCs w:val="22"/>
        </w:rPr>
        <w:t>18.2.3 投标文件正本、所有的副本和电子投标文件应统一封装在一个信封中，信封密封封口处须加盖投标单位公章（或信封密封封口处粘贴封条并加盖投标单位公章）。</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18.2.4 密封包上注明按“投标须知前附表”所规定的开标时间（指招标公告中规定的开标时间）前不准启封的字样。</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18.3 投标文件的递交</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18.3.1 如投标文件由专人送交，投标方应将投标文件按第18.2款中的规定进行密封和标记后，按招标公告注明的地址送至招标机构。</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18.3.2 邮寄、电报、电话、传真形式的投标概不接受。</w:t>
      </w:r>
    </w:p>
    <w:p>
      <w:pPr>
        <w:snapToGrid w:val="0"/>
        <w:spacing w:line="360" w:lineRule="auto"/>
        <w:rPr>
          <w:rFonts w:ascii="仿宋" w:hAnsi="仿宋" w:eastAsia="仿宋" w:cs="仿宋"/>
          <w:sz w:val="22"/>
          <w:szCs w:val="22"/>
        </w:rPr>
      </w:pPr>
      <w:r>
        <w:rPr>
          <w:rFonts w:hint="eastAsia" w:ascii="仿宋" w:hAnsi="仿宋" w:eastAsia="仿宋" w:cs="仿宋"/>
          <w:sz w:val="22"/>
          <w:szCs w:val="22"/>
        </w:rPr>
        <w:t xml:space="preserve">    18.4 投标截止时间</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招标机构在招标公告规定的地址收到投标文件的时间不得迟于招标公告所规定的时间。</w:t>
      </w:r>
    </w:p>
    <w:p>
      <w:pPr>
        <w:snapToGrid w:val="0"/>
        <w:spacing w:line="360" w:lineRule="auto"/>
        <w:rPr>
          <w:rFonts w:ascii="仿宋" w:hAnsi="仿宋" w:eastAsia="仿宋" w:cs="仿宋"/>
          <w:sz w:val="22"/>
          <w:szCs w:val="22"/>
        </w:rPr>
      </w:pPr>
      <w:r>
        <w:rPr>
          <w:rFonts w:hint="eastAsia" w:ascii="仿宋" w:hAnsi="仿宋" w:eastAsia="仿宋" w:cs="仿宋"/>
          <w:sz w:val="22"/>
          <w:szCs w:val="22"/>
        </w:rPr>
        <w:t xml:space="preserve">    18.5 迟交的投标文件</w:t>
      </w:r>
    </w:p>
    <w:p>
      <w:pPr>
        <w:snapToGrid w:val="0"/>
        <w:spacing w:line="360" w:lineRule="auto"/>
        <w:rPr>
          <w:rFonts w:ascii="仿宋" w:hAnsi="仿宋" w:eastAsia="仿宋" w:cs="仿宋"/>
          <w:sz w:val="22"/>
          <w:szCs w:val="22"/>
        </w:rPr>
      </w:pPr>
      <w:r>
        <w:rPr>
          <w:rFonts w:hint="eastAsia" w:ascii="仿宋" w:hAnsi="仿宋" w:eastAsia="仿宋" w:cs="仿宋"/>
          <w:sz w:val="22"/>
          <w:szCs w:val="22"/>
        </w:rPr>
        <w:t xml:space="preserve">    按照本通用条款第18.4款规定，招标机构将拒绝并原封退回在其规定的投标截止期后收到的任何投标文件。</w:t>
      </w:r>
    </w:p>
    <w:p>
      <w:pPr>
        <w:spacing w:line="360" w:lineRule="auto"/>
        <w:rPr>
          <w:rFonts w:ascii="黑体" w:hAnsi="黑体" w:eastAsia="黑体" w:cs="黑体"/>
          <w:sz w:val="24"/>
        </w:rPr>
      </w:pPr>
      <w:r>
        <w:rPr>
          <w:rFonts w:hint="eastAsia" w:ascii="黑体" w:hAnsi="黑体" w:eastAsia="黑体" w:cs="黑体"/>
          <w:sz w:val="24"/>
        </w:rPr>
        <w:t>19．投标文件的修改和撤销</w:t>
      </w:r>
    </w:p>
    <w:bookmarkEnd w:id="423"/>
    <w:bookmarkEnd w:id="424"/>
    <w:bookmarkEnd w:id="425"/>
    <w:bookmarkEnd w:id="426"/>
    <w:bookmarkEnd w:id="427"/>
    <w:bookmarkEnd w:id="428"/>
    <w:bookmarkEnd w:id="429"/>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19.1 投标人在递交投标文件后，可以在规定的投标截止期之前修改或撤回其投标文件，但必须书面通知招标机构。</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19.2 投标人的修改或撤回通知书应参照本通用条款第18.2、18.3款规定编制、密封、标记和发送，并应在封套上加注“修改”或“撤回”字样。撤回的投标文件将原封退回投标人。</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19.3 在投标截止期之后，投标人不得对其投标文件做任何修改。</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19.4 在本通用条款第18.4款规定的投标截止期至本通用条款第15条规定的投标有效期期满之间的这段时间内，投标人不得撤回其投标。</w:t>
      </w:r>
    </w:p>
    <w:p>
      <w:pPr>
        <w:pStyle w:val="3"/>
        <w:spacing w:line="360" w:lineRule="auto"/>
        <w:jc w:val="center"/>
        <w:rPr>
          <w:rFonts w:ascii="黑体" w:hAnsi="黑体"/>
          <w:b w:val="0"/>
          <w:bCs w:val="0"/>
          <w:kern w:val="2"/>
        </w:rPr>
      </w:pPr>
      <w:bookmarkStart w:id="430" w:name="_Toc100052391"/>
      <w:bookmarkStart w:id="431" w:name="_Toc73518144"/>
      <w:bookmarkStart w:id="432" w:name="_Toc11042"/>
      <w:bookmarkStart w:id="433" w:name="_Toc101074881"/>
      <w:bookmarkStart w:id="434" w:name="_Toc73517666"/>
      <w:bookmarkStart w:id="435" w:name="_Toc73521574"/>
      <w:bookmarkStart w:id="436" w:name="_Toc73521662"/>
      <w:bookmarkStart w:id="437" w:name="_Toc15646"/>
      <w:bookmarkStart w:id="438" w:name="_Toc5599"/>
      <w:r>
        <w:rPr>
          <w:rFonts w:hint="eastAsia" w:ascii="黑体" w:hAnsi="黑体"/>
          <w:b w:val="0"/>
          <w:bCs w:val="0"/>
          <w:kern w:val="2"/>
        </w:rPr>
        <w:t>第五章  开标</w:t>
      </w:r>
      <w:bookmarkEnd w:id="430"/>
      <w:bookmarkEnd w:id="431"/>
      <w:bookmarkEnd w:id="432"/>
      <w:bookmarkEnd w:id="433"/>
      <w:bookmarkEnd w:id="434"/>
      <w:bookmarkEnd w:id="435"/>
      <w:bookmarkEnd w:id="436"/>
      <w:bookmarkEnd w:id="437"/>
      <w:bookmarkEnd w:id="438"/>
    </w:p>
    <w:p>
      <w:pPr>
        <w:spacing w:line="360" w:lineRule="auto"/>
        <w:rPr>
          <w:rFonts w:ascii="黑体" w:hAnsi="黑体" w:eastAsia="黑体" w:cs="黑体"/>
          <w:sz w:val="24"/>
        </w:rPr>
      </w:pPr>
      <w:bookmarkStart w:id="439" w:name="_Toc73518145"/>
      <w:bookmarkStart w:id="440" w:name="_Toc73517667"/>
      <w:bookmarkStart w:id="441" w:name="_Toc60631650"/>
      <w:bookmarkStart w:id="442" w:name="_Toc73521575"/>
      <w:bookmarkStart w:id="443" w:name="_Toc60560655"/>
      <w:bookmarkStart w:id="444" w:name="_Toc100052392"/>
      <w:bookmarkStart w:id="445" w:name="_Toc73521663"/>
      <w:r>
        <w:rPr>
          <w:rFonts w:hint="eastAsia" w:ascii="黑体" w:hAnsi="黑体" w:eastAsia="黑体" w:cs="黑体"/>
          <w:sz w:val="24"/>
        </w:rPr>
        <w:t>20．开标</w:t>
      </w:r>
      <w:bookmarkEnd w:id="439"/>
      <w:bookmarkEnd w:id="440"/>
      <w:bookmarkEnd w:id="441"/>
      <w:bookmarkEnd w:id="442"/>
      <w:bookmarkEnd w:id="443"/>
      <w:bookmarkEnd w:id="444"/>
      <w:bookmarkEnd w:id="445"/>
    </w:p>
    <w:p>
      <w:pPr>
        <w:snapToGrid w:val="0"/>
        <w:spacing w:line="360" w:lineRule="auto"/>
        <w:ind w:firstLine="431" w:firstLineChars="196"/>
        <w:rPr>
          <w:rFonts w:ascii="仿宋" w:hAnsi="仿宋" w:eastAsia="仿宋" w:cs="仿宋"/>
          <w:sz w:val="22"/>
          <w:szCs w:val="22"/>
        </w:rPr>
      </w:pPr>
      <w:bookmarkStart w:id="446" w:name="bt评标"/>
      <w:bookmarkEnd w:id="446"/>
      <w:bookmarkStart w:id="447" w:name="_Toc73518146"/>
      <w:bookmarkStart w:id="448" w:name="_Toc73521664"/>
      <w:bookmarkStart w:id="449" w:name="_Toc73521576"/>
      <w:bookmarkStart w:id="450" w:name="_Toc73517668"/>
      <w:bookmarkStart w:id="451" w:name="_Toc100052393"/>
      <w:bookmarkStart w:id="452" w:name="_Toc101074882"/>
      <w:r>
        <w:rPr>
          <w:rFonts w:hint="eastAsia" w:ascii="仿宋" w:hAnsi="仿宋" w:eastAsia="仿宋" w:cs="仿宋"/>
          <w:sz w:val="22"/>
          <w:szCs w:val="22"/>
        </w:rPr>
        <w:t>20.1 招标机构将按“招标公告”规定的时间和地点组织公开开标。投标人应委派代表参加，参加开标的代表应签名报到以证明出席。</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20.2 开标时，招标机构将当众宣读投标人名称、修改和撤回投标的通知、开标一览表（以招标文件规定的开标一览表内容为准）。投标文件中开标一览表内容与投标报价明细表内容不一致的，以开标一览表为准。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除了按照本通用条款第18条规定原封退回的投标之外，开标时将不得拒绝任何投标文件。</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20.3 按照本通用条款第19条规定，提交了可接受的“撤回”通知的投标将不予开封。</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20.4 无论如何在开标时没有启封和读出的投标文件在评标时将不予考虑。撤回的投标文件将原封退回投标人。</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20.5 招标机构将做开标记录，开标记录包括按本通用条款第20.2款的规定在开标时宣读的全部内容。</w:t>
      </w:r>
    </w:p>
    <w:p>
      <w:pPr>
        <w:snapToGrid w:val="0"/>
        <w:spacing w:line="360" w:lineRule="auto"/>
        <w:ind w:firstLine="440" w:firstLineChars="200"/>
        <w:rPr>
          <w:rFonts w:ascii="仿宋" w:hAnsi="仿宋" w:eastAsia="仿宋" w:cs="仿宋"/>
          <w:sz w:val="22"/>
          <w:szCs w:val="22"/>
        </w:rPr>
      </w:pPr>
    </w:p>
    <w:p>
      <w:pPr>
        <w:pStyle w:val="3"/>
        <w:spacing w:line="360" w:lineRule="auto"/>
        <w:jc w:val="center"/>
        <w:rPr>
          <w:rFonts w:ascii="黑体" w:hAnsi="黑体"/>
          <w:b w:val="0"/>
          <w:bCs w:val="0"/>
          <w:kern w:val="2"/>
        </w:rPr>
      </w:pPr>
      <w:bookmarkStart w:id="453" w:name="_Toc28651"/>
      <w:bookmarkStart w:id="454" w:name="_Toc17492"/>
      <w:bookmarkStart w:id="455" w:name="_Toc16303"/>
      <w:r>
        <w:rPr>
          <w:rFonts w:hint="eastAsia" w:ascii="黑体" w:hAnsi="黑体"/>
          <w:b w:val="0"/>
          <w:bCs w:val="0"/>
          <w:kern w:val="2"/>
        </w:rPr>
        <w:t>第六章</w:t>
      </w:r>
      <w:bookmarkEnd w:id="447"/>
      <w:bookmarkEnd w:id="448"/>
      <w:bookmarkEnd w:id="449"/>
      <w:bookmarkEnd w:id="450"/>
      <w:r>
        <w:rPr>
          <w:rFonts w:hint="eastAsia" w:ascii="黑体" w:hAnsi="黑体"/>
          <w:b w:val="0"/>
          <w:bCs w:val="0"/>
          <w:kern w:val="2"/>
        </w:rPr>
        <w:t xml:space="preserve">  评标</w:t>
      </w:r>
      <w:bookmarkEnd w:id="451"/>
      <w:bookmarkEnd w:id="452"/>
      <w:bookmarkEnd w:id="453"/>
      <w:bookmarkEnd w:id="454"/>
      <w:bookmarkEnd w:id="455"/>
    </w:p>
    <w:p>
      <w:pPr>
        <w:spacing w:line="360" w:lineRule="auto"/>
        <w:rPr>
          <w:rFonts w:ascii="黑体" w:hAnsi="黑体" w:eastAsia="黑体" w:cs="黑体"/>
          <w:sz w:val="24"/>
        </w:rPr>
      </w:pPr>
      <w:bookmarkStart w:id="456" w:name="bt评标会议"/>
      <w:bookmarkEnd w:id="456"/>
      <w:bookmarkStart w:id="457" w:name="_Toc100052394"/>
      <w:bookmarkStart w:id="458" w:name="_Toc73518147"/>
      <w:bookmarkStart w:id="459" w:name="_Toc73517669"/>
      <w:bookmarkStart w:id="460" w:name="_Toc73521665"/>
      <w:bookmarkStart w:id="461" w:name="_Toc73521577"/>
      <w:r>
        <w:rPr>
          <w:rFonts w:hint="eastAsia" w:ascii="黑体" w:hAnsi="黑体" w:eastAsia="黑体" w:cs="黑体"/>
          <w:sz w:val="24"/>
        </w:rPr>
        <w:t>21．评审会议</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21.1 开标会结束后召开评审会议，由评审委员会负责对投标文件进行评审并根据采购人的授权确定中标供应商和出具书面评审报告。</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21.2 评审委员会由评审专家组成，人数为五人或以上单数，评审专家由政府采购代理机构通过随机方式从深圳市政府采购专家库中选取。采购人可以派代表参加评审委员会，但采购人代表在评审委员会中所占比例不得超过三分之一。评审委员会成员应当严格遵守评标规则，按照法律、法规规定的评审办法和评审标准，公正地进行评审和履行职责。</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21.3 政府采购代理机构在投标截止日前组成评审委员会。采购人派代表参加评审委员会的，应在投标截止日前一日提交本单位签发的《评标授权书》给政府采购代理机构；采购人不派代表参加评审委员会的，应在投标截止日前一日提交《采购单位不派评委参与项目评标承诺书》给政府采购代理机构。</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21.4 评标、定标应当遵循公平、公正、科学、择优的原则。</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21.5 评审活动依法进行，任何单位和个人不得非法干预评审过程和结果。</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21.6 评审过程中不允许违背评审程序或采用招标文件未载明的评标方法或评审因素进行评标。</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21.7 开标后，直到授予中标供应商合同为止，凡属于对投标文件的审查、澄清、评价和比较的有关资料以及中标供应商的确定情况、与评标、定标有关的其他任何情况均严格保密。</w:t>
      </w:r>
    </w:p>
    <w:p>
      <w:pPr>
        <w:spacing w:line="360" w:lineRule="auto"/>
        <w:rPr>
          <w:rFonts w:ascii="黑体" w:hAnsi="黑体" w:eastAsia="黑体" w:cs="黑体"/>
          <w:sz w:val="24"/>
        </w:rPr>
      </w:pPr>
      <w:r>
        <w:rPr>
          <w:rFonts w:hint="eastAsia" w:ascii="黑体" w:hAnsi="黑体" w:eastAsia="黑体" w:cs="黑体"/>
          <w:sz w:val="24"/>
        </w:rPr>
        <w:t>22．向评审委员会提供的资料</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22.1 公开发布的招标文件，包括图纸、服务清单、答疑文件等。</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22.2 其他评标必须的资料。</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22.3 评审委员会应当认真研究招标文件，至少应了解熟悉以下内容：</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（1）招标的目的；</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（2）招标项目需求的范围和性质；</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（3）招标文件规定的投标人的资质、财政预算限额、商务条款；</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（4）招标文件规定的评审程序、评标方法和评审因素；</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（5）招标文件所列示的废标条件；</w:t>
      </w:r>
    </w:p>
    <w:p>
      <w:pPr>
        <w:spacing w:line="360" w:lineRule="auto"/>
        <w:rPr>
          <w:rFonts w:ascii="黑体" w:hAnsi="黑体" w:eastAsia="黑体" w:cs="黑体"/>
          <w:sz w:val="24"/>
        </w:rPr>
      </w:pPr>
      <w:r>
        <w:rPr>
          <w:rFonts w:hint="eastAsia" w:ascii="黑体" w:hAnsi="黑体" w:eastAsia="黑体" w:cs="黑体"/>
          <w:sz w:val="24"/>
        </w:rPr>
        <w:t>23．独立评审</w:t>
      </w:r>
    </w:p>
    <w:p>
      <w:pPr>
        <w:snapToGrid w:val="0"/>
        <w:spacing w:line="360" w:lineRule="auto"/>
        <w:ind w:firstLine="440" w:firstLineChars="200"/>
        <w:rPr>
          <w:rFonts w:ascii="仿宋" w:hAnsi="仿宋" w:eastAsia="仿宋" w:cs="仿宋"/>
          <w:bCs/>
          <w:sz w:val="22"/>
          <w:szCs w:val="28"/>
        </w:rPr>
      </w:pPr>
      <w:r>
        <w:rPr>
          <w:rFonts w:hint="eastAsia" w:ascii="仿宋" w:hAnsi="仿宋" w:eastAsia="仿宋" w:cs="仿宋"/>
          <w:sz w:val="22"/>
          <w:szCs w:val="22"/>
        </w:rPr>
        <w:t>23.1 评审委员会成员的评审活动应当独立进行，并应遵循投标文件初审、澄清有关问题、比较与评价、确定中标供应商、编写评审报告的工作程序</w:t>
      </w:r>
      <w:r>
        <w:rPr>
          <w:rFonts w:hint="eastAsia" w:ascii="仿宋" w:hAnsi="仿宋" w:eastAsia="仿宋" w:cs="仿宋"/>
          <w:bCs/>
          <w:sz w:val="22"/>
          <w:szCs w:val="28"/>
        </w:rPr>
        <w:t>。</w:t>
      </w:r>
      <w:bookmarkEnd w:id="457"/>
      <w:bookmarkEnd w:id="458"/>
      <w:bookmarkEnd w:id="459"/>
      <w:bookmarkEnd w:id="460"/>
      <w:bookmarkEnd w:id="461"/>
      <w:bookmarkStart w:id="462" w:name="bt评标过程的保密"/>
      <w:bookmarkEnd w:id="462"/>
      <w:bookmarkStart w:id="463" w:name="bt错误的修正"/>
      <w:bookmarkEnd w:id="463"/>
    </w:p>
    <w:p>
      <w:pPr>
        <w:snapToGrid w:val="0"/>
        <w:spacing w:line="360" w:lineRule="auto"/>
        <w:ind w:firstLine="440" w:firstLineChars="200"/>
        <w:rPr>
          <w:rFonts w:ascii="仿宋" w:hAnsi="仿宋" w:eastAsia="仿宋" w:cs="仿宋"/>
          <w:bCs/>
          <w:sz w:val="22"/>
          <w:szCs w:val="22"/>
        </w:rPr>
      </w:pPr>
    </w:p>
    <w:p>
      <w:pPr>
        <w:pStyle w:val="3"/>
        <w:spacing w:line="360" w:lineRule="auto"/>
        <w:jc w:val="center"/>
        <w:rPr>
          <w:rFonts w:ascii="黑体" w:hAnsi="黑体"/>
          <w:b w:val="0"/>
          <w:bCs w:val="0"/>
          <w:kern w:val="2"/>
        </w:rPr>
      </w:pPr>
      <w:bookmarkStart w:id="464" w:name="_Toc13388"/>
      <w:bookmarkStart w:id="465" w:name="_Toc101074883"/>
      <w:bookmarkStart w:id="466" w:name="_Toc100052397"/>
      <w:bookmarkStart w:id="467" w:name="_Toc11730"/>
      <w:bookmarkStart w:id="468" w:name="_Toc28233"/>
      <w:r>
        <w:rPr>
          <w:rFonts w:hint="eastAsia" w:ascii="黑体" w:hAnsi="黑体"/>
          <w:b w:val="0"/>
          <w:bCs w:val="0"/>
          <w:kern w:val="2"/>
        </w:rPr>
        <w:t>第七章  评审程序</w:t>
      </w:r>
      <w:bookmarkStart w:id="469" w:name="bt投标文件的审查"/>
      <w:bookmarkEnd w:id="469"/>
      <w:bookmarkStart w:id="470" w:name="_Toc73521667"/>
      <w:bookmarkStart w:id="471" w:name="_Toc73521579"/>
      <w:bookmarkStart w:id="472" w:name="_Toc73518149"/>
      <w:bookmarkStart w:id="473" w:name="_Toc73517671"/>
      <w:r>
        <w:rPr>
          <w:rFonts w:hint="eastAsia" w:ascii="黑体" w:hAnsi="黑体"/>
          <w:b w:val="0"/>
          <w:bCs w:val="0"/>
          <w:kern w:val="2"/>
        </w:rPr>
        <w:t>及评标方法</w:t>
      </w:r>
      <w:bookmarkEnd w:id="464"/>
      <w:bookmarkEnd w:id="465"/>
      <w:bookmarkEnd w:id="466"/>
      <w:bookmarkEnd w:id="467"/>
      <w:bookmarkEnd w:id="468"/>
    </w:p>
    <w:p>
      <w:pPr>
        <w:spacing w:line="360" w:lineRule="auto"/>
        <w:rPr>
          <w:rFonts w:ascii="黑体" w:hAnsi="黑体" w:eastAsia="黑体" w:cs="黑体"/>
          <w:sz w:val="24"/>
        </w:rPr>
      </w:pPr>
      <w:bookmarkStart w:id="474" w:name="_Toc100052398"/>
      <w:r>
        <w:rPr>
          <w:rFonts w:hint="eastAsia" w:ascii="黑体" w:hAnsi="黑体" w:eastAsia="黑体" w:cs="黑体"/>
          <w:sz w:val="24"/>
        </w:rPr>
        <w:t>24．投标文件初审</w:t>
      </w:r>
      <w:bookmarkEnd w:id="474"/>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24.1 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24.2 投标文件初审内容请详见招标文件第一册第二章《投标文件初审表》部分。投标人若有一条审查不通过则按废标处理。</w:t>
      </w:r>
    </w:p>
    <w:p>
      <w:pPr>
        <w:snapToGrid w:val="0"/>
        <w:spacing w:line="360" w:lineRule="auto"/>
        <w:ind w:firstLine="431" w:firstLineChars="196"/>
        <w:rPr>
          <w:rFonts w:ascii="仿宋" w:hAnsi="仿宋" w:eastAsia="仿宋" w:cs="仿宋"/>
          <w:b/>
          <w:bCs/>
          <w:sz w:val="22"/>
          <w:szCs w:val="22"/>
        </w:rPr>
      </w:pPr>
      <w:r>
        <w:rPr>
          <w:rFonts w:hint="eastAsia" w:ascii="仿宋" w:hAnsi="仿宋" w:eastAsia="仿宋" w:cs="仿宋"/>
          <w:sz w:val="22"/>
          <w:szCs w:val="28"/>
        </w:rPr>
        <w:t>24.3 对不属于投标文件初审表所列的其他情形，除法律法规另有规定外，不得作为废标的理由。</w:t>
      </w:r>
      <w:bookmarkEnd w:id="470"/>
      <w:bookmarkEnd w:id="471"/>
      <w:bookmarkEnd w:id="472"/>
      <w:bookmarkEnd w:id="473"/>
    </w:p>
    <w:p>
      <w:pPr>
        <w:spacing w:line="360" w:lineRule="auto"/>
        <w:rPr>
          <w:rFonts w:ascii="黑体" w:hAnsi="黑体" w:eastAsia="黑体" w:cs="黑体"/>
          <w:sz w:val="24"/>
        </w:rPr>
      </w:pPr>
      <w:bookmarkStart w:id="475" w:name="_Toc100052399"/>
      <w:r>
        <w:rPr>
          <w:rFonts w:hint="eastAsia" w:ascii="黑体" w:hAnsi="黑体" w:eastAsia="黑体" w:cs="黑体"/>
          <w:sz w:val="24"/>
        </w:rPr>
        <w:t>25．澄清有关问题</w:t>
      </w:r>
      <w:bookmarkEnd w:id="475"/>
    </w:p>
    <w:p>
      <w:pPr>
        <w:snapToGrid w:val="0"/>
        <w:spacing w:line="360" w:lineRule="auto"/>
        <w:ind w:firstLine="431" w:firstLineChars="196"/>
        <w:rPr>
          <w:rFonts w:ascii="仿宋" w:hAnsi="仿宋" w:eastAsia="仿宋" w:cs="仿宋"/>
          <w:sz w:val="22"/>
          <w:szCs w:val="22"/>
        </w:rPr>
      </w:pPr>
      <w:bookmarkStart w:id="476" w:name="bt投标文件的评估和比较"/>
      <w:bookmarkEnd w:id="476"/>
      <w:bookmarkStart w:id="477" w:name="bt废标"/>
      <w:bookmarkEnd w:id="477"/>
      <w:bookmarkStart w:id="478" w:name="bt投标文件的澄清"/>
      <w:bookmarkEnd w:id="478"/>
      <w:bookmarkStart w:id="479" w:name="_Toc73521671"/>
      <w:bookmarkStart w:id="480" w:name="_Toc73518153"/>
      <w:bookmarkStart w:id="481" w:name="_Toc73517675"/>
      <w:bookmarkStart w:id="482" w:name="_Toc73521583"/>
      <w:r>
        <w:rPr>
          <w:rFonts w:hint="eastAsia" w:ascii="仿宋" w:hAnsi="仿宋" w:eastAsia="仿宋" w:cs="仿宋"/>
          <w:sz w:val="22"/>
          <w:szCs w:val="22"/>
        </w:rPr>
        <w:t>25.1 为了有助于投标文件的审查、评价和比较，对投标文件含义不明确、同类问题表述不一致或者有明显文字和计算错误的内容，评审委员会可以用书面形式(应当由评审委员会全体成员签字)要求投标供应商作出必要的澄清、说明或者纠正。投标人的澄清、说明或者补正应当用采用书面形式（由其授权的代表签字），并不得超出投标文件的范围或者改变投标文件的实质性的内容。根据本通用条款第26条，凡属于评审委员会在评审中发现的算术错误进行核实的修改不在此列。</w:t>
      </w:r>
    </w:p>
    <w:p>
      <w:pPr>
        <w:spacing w:line="360" w:lineRule="auto"/>
        <w:rPr>
          <w:rFonts w:ascii="黑体" w:hAnsi="黑体" w:eastAsia="黑体" w:cs="黑体"/>
          <w:sz w:val="24"/>
        </w:rPr>
      </w:pPr>
      <w:bookmarkStart w:id="483" w:name="_Toc73521581"/>
      <w:bookmarkStart w:id="484" w:name="_Toc73517673"/>
      <w:bookmarkStart w:id="485" w:name="_Toc73518151"/>
      <w:bookmarkStart w:id="486" w:name="_Toc73521669"/>
      <w:bookmarkStart w:id="487" w:name="_Toc100052400"/>
      <w:r>
        <w:rPr>
          <w:rFonts w:hint="eastAsia" w:ascii="黑体" w:hAnsi="黑体" w:eastAsia="黑体" w:cs="黑体"/>
          <w:sz w:val="24"/>
        </w:rPr>
        <w:t>26．错误的修正</w:t>
      </w:r>
      <w:bookmarkEnd w:id="483"/>
      <w:bookmarkEnd w:id="484"/>
      <w:bookmarkEnd w:id="485"/>
      <w:bookmarkEnd w:id="486"/>
      <w:bookmarkEnd w:id="487"/>
    </w:p>
    <w:p>
      <w:pPr>
        <w:snapToGrid w:val="0"/>
        <w:spacing w:line="360" w:lineRule="auto"/>
        <w:ind w:firstLine="431" w:firstLineChars="196"/>
        <w:rPr>
          <w:rFonts w:ascii="仿宋" w:hAnsi="仿宋" w:eastAsia="仿宋" w:cs="仿宋"/>
          <w:sz w:val="22"/>
          <w:szCs w:val="22"/>
        </w:rPr>
      </w:pPr>
      <w:bookmarkStart w:id="488" w:name="_Toc100052401"/>
      <w:r>
        <w:rPr>
          <w:rFonts w:hint="eastAsia" w:ascii="仿宋" w:hAnsi="仿宋" w:eastAsia="仿宋" w:cs="仿宋"/>
          <w:sz w:val="22"/>
          <w:szCs w:val="22"/>
        </w:rPr>
        <w:t>26.1 评审委员会将审查投标文件是否完整、总体编排是否有序、文件签署是否合格、投标人有无计算上的错误等。</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26.2 算术错误将按以下方法更正（次序排先者优先）：</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26.2.1 单独密封提交的开标一览表（报价表）与投标文件中的开标一览表（报价表）不一致的，以单独密封提交的开标一览表（报价表）为准；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26.2.2 投标文件中开标一览表（报价表）内容与投标文件中相应内容不一致的，以开标一览表（报价表）为准；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26.2.3 大写金额和小写金额不一致的，以大写金额为准；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26.2.4 单价金额小数点或者百分比有明显错位的，以开标一览表的总价为准，并修改单价；</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26.2.5 总价金额与按单价汇总金额不一致的，以单价金额计算结果为准；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26.2.6 对不同文字文本投标文件的解释发生异议的，以中文文本为准。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26.3 上述修正错误的原则及方法调整或修正投标文件的投标报价，投标人同意后，调整后的投标报价对投标人起约束作用。</w:t>
      </w:r>
      <w:r>
        <w:rPr>
          <w:rFonts w:hint="eastAsia" w:ascii="仿宋" w:hAnsi="仿宋" w:eastAsia="仿宋" w:cs="仿宋"/>
          <w:bCs/>
          <w:sz w:val="22"/>
          <w:szCs w:val="22"/>
        </w:rPr>
        <w:t>如果投标人不接受修正后的报价，则其投标将被拒绝。</w:t>
      </w:r>
    </w:p>
    <w:p>
      <w:pPr>
        <w:spacing w:line="360" w:lineRule="auto"/>
        <w:rPr>
          <w:rFonts w:ascii="黑体" w:hAnsi="黑体" w:eastAsia="黑体" w:cs="黑体"/>
          <w:sz w:val="24"/>
        </w:rPr>
      </w:pPr>
      <w:r>
        <w:rPr>
          <w:rFonts w:hint="eastAsia" w:ascii="黑体" w:hAnsi="黑体" w:eastAsia="黑体" w:cs="黑体"/>
          <w:sz w:val="24"/>
        </w:rPr>
        <w:t>27．投标文件的</w:t>
      </w:r>
      <w:bookmarkEnd w:id="479"/>
      <w:bookmarkEnd w:id="480"/>
      <w:bookmarkEnd w:id="481"/>
      <w:bookmarkEnd w:id="482"/>
      <w:r>
        <w:rPr>
          <w:rFonts w:hint="eastAsia" w:ascii="黑体" w:hAnsi="黑体" w:eastAsia="黑体" w:cs="黑体"/>
          <w:sz w:val="24"/>
        </w:rPr>
        <w:t>比较与评价</w:t>
      </w:r>
      <w:bookmarkEnd w:id="488"/>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评审委员会按招标文件中规定的评标方法和标准，对资格性检查和符合性检查合格且报价不超过预算控制金额的投标文件进行商务和技术评审，综合比较与评价。</w:t>
      </w:r>
    </w:p>
    <w:p>
      <w:pPr>
        <w:spacing w:line="360" w:lineRule="auto"/>
        <w:rPr>
          <w:rFonts w:ascii="黑体" w:hAnsi="黑体" w:eastAsia="黑体" w:cs="黑体"/>
          <w:sz w:val="24"/>
        </w:rPr>
      </w:pPr>
      <w:bookmarkStart w:id="489" w:name="_Toc100052402"/>
      <w:r>
        <w:rPr>
          <w:rFonts w:hint="eastAsia" w:ascii="黑体" w:hAnsi="黑体" w:eastAsia="黑体" w:cs="黑体"/>
          <w:sz w:val="24"/>
        </w:rPr>
        <w:t>28．评标方法</w:t>
      </w:r>
      <w:bookmarkEnd w:id="489"/>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28.1 评标方法分为最低评标价法、综合评分法及法律、法规允许的其它评标办法。</w:t>
      </w:r>
    </w:p>
    <w:p>
      <w:pPr>
        <w:snapToGrid w:val="0"/>
        <w:spacing w:line="360" w:lineRule="auto"/>
        <w:ind w:firstLine="433" w:firstLineChars="196"/>
        <w:rPr>
          <w:rFonts w:ascii="仿宋" w:hAnsi="仿宋" w:eastAsia="仿宋" w:cs="仿宋"/>
          <w:b/>
          <w:bCs/>
          <w:sz w:val="22"/>
          <w:szCs w:val="22"/>
        </w:rPr>
      </w:pPr>
      <w:r>
        <w:rPr>
          <w:rFonts w:hint="eastAsia" w:ascii="仿宋" w:hAnsi="仿宋" w:eastAsia="仿宋" w:cs="仿宋"/>
          <w:b/>
          <w:bCs/>
          <w:sz w:val="22"/>
          <w:szCs w:val="22"/>
        </w:rPr>
        <w:t>28.1.1</w:t>
      </w:r>
      <w:bookmarkStart w:id="490" w:name="评标方法2"/>
      <w:r>
        <w:rPr>
          <w:rFonts w:hint="eastAsia" w:ascii="仿宋" w:hAnsi="仿宋" w:eastAsia="仿宋" w:cs="仿宋"/>
          <w:b/>
          <w:bCs/>
          <w:sz w:val="22"/>
          <w:szCs w:val="22"/>
        </w:rPr>
        <w:t xml:space="preserve"> 最低评标价法</w:t>
      </w:r>
    </w:p>
    <w:p>
      <w:pPr>
        <w:snapToGrid w:val="0"/>
        <w:spacing w:line="360" w:lineRule="auto"/>
        <w:ind w:firstLine="431" w:firstLineChars="196"/>
        <w:rPr>
          <w:rFonts w:ascii="仿宋" w:hAnsi="仿宋" w:eastAsia="仿宋" w:cs="仿宋"/>
          <w:bCs/>
          <w:sz w:val="22"/>
          <w:szCs w:val="22"/>
        </w:rPr>
      </w:pPr>
      <w:r>
        <w:rPr>
          <w:rFonts w:hint="eastAsia" w:ascii="仿宋" w:hAnsi="仿宋" w:eastAsia="仿宋" w:cs="仿宋"/>
          <w:bCs/>
          <w:sz w:val="22"/>
          <w:szCs w:val="22"/>
        </w:rPr>
        <w:t>最低评标价法，是指以价格因素确定中标候选供应商的评标方法，即在满足招标文件实质性要求前提下，以报价最低的投标供应商作为中标候选供应商或中标供应商的评标方法。</w:t>
      </w:r>
    </w:p>
    <w:p>
      <w:pPr>
        <w:snapToGrid w:val="0"/>
        <w:spacing w:line="360" w:lineRule="auto"/>
        <w:ind w:firstLine="433" w:firstLineChars="196"/>
        <w:rPr>
          <w:rFonts w:ascii="仿宋" w:hAnsi="仿宋" w:eastAsia="仿宋" w:cs="仿宋"/>
          <w:b/>
          <w:bCs/>
          <w:sz w:val="22"/>
          <w:szCs w:val="22"/>
        </w:rPr>
      </w:pPr>
      <w:r>
        <w:rPr>
          <w:rFonts w:hint="eastAsia" w:ascii="仿宋" w:hAnsi="仿宋" w:eastAsia="仿宋" w:cs="仿宋"/>
          <w:b/>
          <w:bCs/>
          <w:sz w:val="22"/>
          <w:szCs w:val="22"/>
        </w:rPr>
        <w:t>28.1.2 综合评分法</w:t>
      </w:r>
      <w:bookmarkEnd w:id="490"/>
    </w:p>
    <w:p>
      <w:pPr>
        <w:snapToGrid w:val="0"/>
        <w:spacing w:line="360" w:lineRule="auto"/>
        <w:ind w:firstLine="431" w:firstLineChars="196"/>
        <w:rPr>
          <w:rFonts w:ascii="仿宋" w:hAnsi="仿宋" w:eastAsia="仿宋" w:cs="仿宋"/>
          <w:bCs/>
          <w:sz w:val="22"/>
          <w:szCs w:val="22"/>
        </w:rPr>
      </w:pPr>
      <w:bookmarkStart w:id="491" w:name="评标方法3"/>
      <w:r>
        <w:rPr>
          <w:rFonts w:hint="eastAsia" w:ascii="仿宋" w:hAnsi="仿宋" w:eastAsia="仿宋" w:cs="仿宋"/>
          <w:bCs/>
          <w:sz w:val="22"/>
          <w:szCs w:val="22"/>
        </w:rPr>
        <w:t>综合评分法，是指在最大限度地满足招标文件实质性要求前提下，按照招标文件中规定的各项因素进行量化打分，以评标总得分最高的投标供应商作为中标候选供应商或中标供应商的评标方法。</w:t>
      </w:r>
    </w:p>
    <w:p>
      <w:pPr>
        <w:snapToGrid w:val="0"/>
        <w:spacing w:line="360" w:lineRule="auto"/>
        <w:ind w:firstLine="433" w:firstLineChars="196"/>
        <w:rPr>
          <w:rFonts w:ascii="仿宋" w:hAnsi="仿宋" w:eastAsia="仿宋" w:cs="仿宋"/>
          <w:b/>
          <w:bCs/>
          <w:sz w:val="22"/>
          <w:szCs w:val="22"/>
        </w:rPr>
      </w:pPr>
      <w:r>
        <w:rPr>
          <w:rFonts w:hint="eastAsia" w:ascii="仿宋" w:hAnsi="仿宋" w:eastAsia="仿宋" w:cs="仿宋"/>
          <w:b/>
          <w:bCs/>
          <w:sz w:val="22"/>
          <w:szCs w:val="22"/>
        </w:rPr>
        <w:t>28.2 本项目采用的评标方法</w:t>
      </w:r>
      <w:bookmarkEnd w:id="491"/>
    </w:p>
    <w:p>
      <w:pPr>
        <w:snapToGrid w:val="0"/>
        <w:spacing w:line="360" w:lineRule="auto"/>
        <w:ind w:firstLine="433" w:firstLineChars="196"/>
        <w:rPr>
          <w:rFonts w:ascii="仿宋" w:hAnsi="仿宋" w:eastAsia="仿宋" w:cs="仿宋"/>
          <w:b/>
          <w:bCs/>
          <w:sz w:val="22"/>
          <w:szCs w:val="22"/>
        </w:rPr>
      </w:pPr>
      <w:r>
        <w:rPr>
          <w:rFonts w:hint="eastAsia" w:ascii="仿宋" w:hAnsi="仿宋" w:eastAsia="仿宋" w:cs="仿宋"/>
          <w:b/>
          <w:bCs/>
          <w:sz w:val="22"/>
          <w:szCs w:val="22"/>
        </w:rPr>
        <w:t>（请详见第一册第二章《评标信息》）</w:t>
      </w:r>
    </w:p>
    <w:p>
      <w:pPr>
        <w:spacing w:line="360" w:lineRule="auto"/>
        <w:rPr>
          <w:rFonts w:ascii="黑体" w:hAnsi="黑体" w:eastAsia="黑体" w:cs="黑体"/>
          <w:sz w:val="24"/>
        </w:rPr>
      </w:pPr>
      <w:bookmarkStart w:id="492" w:name="_Toc73518155"/>
      <w:bookmarkStart w:id="493" w:name="_Toc73517677"/>
      <w:bookmarkStart w:id="494" w:name="_Toc60560665"/>
      <w:bookmarkStart w:id="495" w:name="_Toc60631660"/>
      <w:bookmarkStart w:id="496" w:name="_Toc100052403"/>
      <w:bookmarkStart w:id="497" w:name="_Toc73521585"/>
      <w:bookmarkStart w:id="498" w:name="_Toc73521673"/>
      <w:bookmarkStart w:id="499" w:name="_Toc100052404"/>
      <w:r>
        <w:rPr>
          <w:rFonts w:hint="eastAsia" w:ascii="黑体" w:hAnsi="黑体" w:eastAsia="黑体" w:cs="黑体"/>
          <w:sz w:val="24"/>
        </w:rPr>
        <w:t>29．定标</w:t>
      </w:r>
      <w:bookmarkEnd w:id="492"/>
      <w:bookmarkEnd w:id="493"/>
      <w:bookmarkEnd w:id="494"/>
      <w:bookmarkEnd w:id="495"/>
      <w:bookmarkEnd w:id="496"/>
      <w:bookmarkEnd w:id="497"/>
      <w:bookmarkEnd w:id="498"/>
      <w:r>
        <w:rPr>
          <w:rFonts w:hint="eastAsia" w:ascii="黑体" w:hAnsi="黑体" w:eastAsia="黑体" w:cs="黑体"/>
          <w:sz w:val="24"/>
        </w:rPr>
        <w:t>（适用于非评定分离项目）</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29.1 评审委员会依据本招标文件所约定的评标方法进行评审和比较，向政府采购代理机构提交书面评审报告，并根据评标方法比较评价结果从优到劣进行排序，并推荐中标候选人或确定中标供应商；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29.2 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29.3 采用综合评分法的，按评审后得分由高到低顺序排列。得分相同的，按投标报价由低到高顺序排列。得分且投标报价相同的，按技术指标优劣顺序排列。</w:t>
      </w:r>
    </w:p>
    <w:p>
      <w:pPr>
        <w:spacing w:line="360" w:lineRule="auto"/>
        <w:rPr>
          <w:rFonts w:ascii="黑体" w:hAnsi="黑体" w:eastAsia="黑体" w:cs="黑体"/>
          <w:sz w:val="24"/>
        </w:rPr>
      </w:pPr>
      <w:r>
        <w:rPr>
          <w:rFonts w:hint="eastAsia" w:ascii="黑体" w:hAnsi="黑体" w:eastAsia="黑体" w:cs="黑体"/>
          <w:sz w:val="24"/>
        </w:rPr>
        <w:t>29．定标（适用于评定分离项目）</w:t>
      </w:r>
    </w:p>
    <w:p>
      <w:pPr>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29.1 根据《深圳市政府采购评标定标分离管理办法》，评定分离：即指在政府集中采购程序中，以公开招标方式执行采购，评审委员会负责对投标文件进行评审，评审委员会完成评审后，应当出具书面评审报告，推荐三个合格的候选中标供应商；除招标文件明确要求排序的外，推荐候选中标供应商不标明排序。由采购人根据评审委员会出具的评审报告从推荐的候选中标供应商中确定中标供应商。</w:t>
      </w:r>
    </w:p>
    <w:p>
      <w:pPr>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29.2 定标方法：</w:t>
      </w:r>
    </w:p>
    <w:p>
      <w:pPr>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适用评定分离的政府采购项目，采用自定法定标。</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29.2.1 重大项目由采购人领导班子成员组成定标委员会，有半数以上班子成员到会方可在候选中标供应商中确定中标供应商。特定品目项目的定标委员会应当由5人或以上单数的领导班子成员，或者单位中层以上管理人员、具有与所采购项目专业领域中级以上职称人员、采购责任机构负责人等组成。</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29.2.2 采购人讨论决定定标事项时应保证与会成员有足够时间听取情况介绍、充分发表意见。在充分讨论的基础上，采取口头表决、举手表决或者无记名投票等方式进行表决。</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29.2.3 候选中标供应商的得票数超过定标委员会成员人数半数的，方可确定为中标供应商。在表决中，各候选中标供应商得票数比较分散且没有供应商得票数超过定标委员会成员半数的，可以剔除得票数最少的供应商后再次表决，直至表决出符合得票数要求的中标供应商。</w:t>
      </w:r>
    </w:p>
    <w:p>
      <w:pPr>
        <w:spacing w:line="360" w:lineRule="auto"/>
        <w:rPr>
          <w:rFonts w:ascii="黑体" w:hAnsi="黑体" w:eastAsia="黑体" w:cs="黑体"/>
          <w:sz w:val="24"/>
        </w:rPr>
      </w:pPr>
      <w:r>
        <w:rPr>
          <w:rFonts w:hint="eastAsia" w:ascii="黑体" w:hAnsi="黑体" w:eastAsia="黑体" w:cs="黑体"/>
          <w:sz w:val="24"/>
        </w:rPr>
        <w:t>30．编写评审报告</w:t>
      </w:r>
      <w:bookmarkEnd w:id="499"/>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pPr>
        <w:spacing w:line="360" w:lineRule="auto"/>
        <w:rPr>
          <w:rFonts w:ascii="黑体" w:hAnsi="黑体" w:eastAsia="黑体" w:cs="黑体"/>
          <w:sz w:val="24"/>
        </w:rPr>
      </w:pPr>
      <w:bookmarkStart w:id="500" w:name="_Toc100052405"/>
      <w:bookmarkStart w:id="501" w:name="_Toc73521588"/>
      <w:bookmarkStart w:id="502" w:name="_Toc73521676"/>
      <w:bookmarkStart w:id="503" w:name="_Toc73518159"/>
      <w:bookmarkStart w:id="504" w:name="_Toc73517681"/>
      <w:r>
        <w:rPr>
          <w:rFonts w:hint="eastAsia" w:ascii="黑体" w:hAnsi="黑体" w:eastAsia="黑体" w:cs="黑体"/>
          <w:sz w:val="24"/>
        </w:rPr>
        <w:t>31．中标结果</w:t>
      </w:r>
      <w:bookmarkEnd w:id="500"/>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31.1 为体现“公开、公平、公正”的原则，评标结束后，政府采购代理机构将在主管部门指定的政府采购网站和招标机构网站（详见招标公告中的查询网址）上同时发布中标结果公告，公示期为3天。供应商如对评标结果有异议，请于公示期内，以书面形式向我公司反映。若在公示期内未提出异议，则视为认同该评标结果。</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31.2 评审委员会不直接向未通过符合性检查的投标人或者未中标的投标人解释落标原因，也不退还投标文件。</w:t>
      </w:r>
    </w:p>
    <w:p>
      <w:pPr>
        <w:spacing w:line="360" w:lineRule="auto"/>
        <w:rPr>
          <w:rFonts w:ascii="黑体" w:hAnsi="黑体" w:eastAsia="黑体" w:cs="黑体"/>
          <w:sz w:val="24"/>
        </w:rPr>
      </w:pPr>
      <w:bookmarkStart w:id="505" w:name="_Toc100052406"/>
      <w:r>
        <w:rPr>
          <w:rFonts w:hint="eastAsia" w:ascii="黑体" w:hAnsi="黑体" w:eastAsia="黑体" w:cs="黑体"/>
          <w:sz w:val="24"/>
        </w:rPr>
        <w:t>32．中标通知书</w:t>
      </w:r>
      <w:bookmarkEnd w:id="505"/>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32.1</w:t>
      </w:r>
      <w:bookmarkStart w:id="506" w:name="OLE_LINK12"/>
      <w:r>
        <w:rPr>
          <w:rFonts w:hint="eastAsia" w:ascii="仿宋" w:hAnsi="仿宋" w:eastAsia="仿宋" w:cs="仿宋"/>
          <w:sz w:val="22"/>
          <w:szCs w:val="22"/>
        </w:rPr>
        <w:t xml:space="preserve"> 中标公告公示期结束后,公示期内无人投诉,招标机构将通知中标供应商和采购单位凭单位</w:t>
      </w:r>
      <w:r>
        <w:rPr>
          <w:rFonts w:hint="eastAsia" w:ascii="仿宋" w:hAnsi="仿宋" w:eastAsia="仿宋" w:cs="仿宋"/>
          <w:sz w:val="22"/>
          <w:szCs w:val="28"/>
        </w:rPr>
        <w:t>工作证明或法人授权证明</w:t>
      </w:r>
      <w:r>
        <w:rPr>
          <w:rFonts w:hint="eastAsia" w:ascii="仿宋" w:hAnsi="仿宋" w:eastAsia="仿宋" w:cs="仿宋"/>
          <w:sz w:val="22"/>
          <w:szCs w:val="22"/>
        </w:rPr>
        <w:t>及本人身份证直接到</w:t>
      </w:r>
      <w:r>
        <w:rPr>
          <w:rFonts w:hint="eastAsia" w:ascii="仿宋" w:hAnsi="仿宋" w:eastAsia="仿宋" w:cs="仿宋"/>
          <w:b/>
          <w:spacing w:val="8"/>
          <w:sz w:val="22"/>
          <w:szCs w:val="28"/>
        </w:rPr>
        <w:t>友和保险经纪有限公司</w:t>
      </w:r>
      <w:r>
        <w:rPr>
          <w:rFonts w:hint="eastAsia" w:ascii="仿宋" w:hAnsi="仿宋" w:eastAsia="仿宋" w:cs="仿宋"/>
          <w:sz w:val="22"/>
          <w:szCs w:val="22"/>
        </w:rPr>
        <w:t>领取《中标通知书》。</w:t>
      </w:r>
      <w:bookmarkEnd w:id="506"/>
    </w:p>
    <w:bookmarkEnd w:id="501"/>
    <w:bookmarkEnd w:id="502"/>
    <w:bookmarkEnd w:id="503"/>
    <w:bookmarkEnd w:id="504"/>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32.2 中标通知书是合同的重要组成部分。</w:t>
      </w:r>
    </w:p>
    <w:p>
      <w:pPr>
        <w:snapToGrid w:val="0"/>
        <w:spacing w:line="360" w:lineRule="auto"/>
        <w:ind w:firstLine="431" w:firstLineChars="196"/>
        <w:rPr>
          <w:rFonts w:ascii="仿宋" w:hAnsi="仿宋" w:eastAsia="仿宋" w:cs="仿宋"/>
          <w:sz w:val="22"/>
          <w:szCs w:val="22"/>
        </w:rPr>
      </w:pPr>
    </w:p>
    <w:p>
      <w:pPr>
        <w:pStyle w:val="3"/>
        <w:spacing w:line="360" w:lineRule="auto"/>
        <w:jc w:val="center"/>
        <w:rPr>
          <w:rFonts w:ascii="黑体" w:hAnsi="黑体"/>
          <w:b w:val="0"/>
          <w:bCs w:val="0"/>
          <w:kern w:val="2"/>
        </w:rPr>
      </w:pPr>
      <w:bookmarkStart w:id="507" w:name="bt合同的授予"/>
      <w:bookmarkEnd w:id="507"/>
      <w:bookmarkStart w:id="508" w:name="_Toc11691"/>
      <w:bookmarkStart w:id="509" w:name="_Toc3630"/>
      <w:bookmarkStart w:id="510" w:name="_Toc7176"/>
      <w:bookmarkStart w:id="511" w:name="_Toc100052407"/>
      <w:bookmarkStart w:id="512" w:name="_Toc73517678"/>
      <w:bookmarkStart w:id="513" w:name="_Toc101074884"/>
      <w:bookmarkStart w:id="514" w:name="_Toc73518156"/>
      <w:r>
        <w:rPr>
          <w:rFonts w:hint="eastAsia" w:ascii="黑体" w:hAnsi="黑体"/>
          <w:b w:val="0"/>
          <w:bCs w:val="0"/>
          <w:kern w:val="2"/>
        </w:rPr>
        <w:t>第八章  公开招标失败的后续处理</w:t>
      </w:r>
      <w:bookmarkEnd w:id="508"/>
      <w:bookmarkEnd w:id="509"/>
      <w:bookmarkEnd w:id="510"/>
    </w:p>
    <w:p>
      <w:pPr>
        <w:spacing w:line="360" w:lineRule="auto"/>
        <w:rPr>
          <w:rFonts w:ascii="黑体" w:hAnsi="黑体" w:eastAsia="黑体" w:cs="黑体"/>
          <w:sz w:val="24"/>
        </w:rPr>
      </w:pPr>
      <w:r>
        <w:rPr>
          <w:rFonts w:hint="eastAsia" w:ascii="黑体" w:hAnsi="黑体" w:eastAsia="黑体" w:cs="黑体"/>
          <w:sz w:val="24"/>
        </w:rPr>
        <w:t>33．公开招标失败的处理</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2"/>
        </w:rPr>
        <w:t>33.1 本项目公开招标过程中若由于投标截止后</w:t>
      </w:r>
      <w:r>
        <w:rPr>
          <w:rFonts w:hint="eastAsia" w:ascii="仿宋" w:hAnsi="仿宋" w:eastAsia="仿宋" w:cs="仿宋"/>
          <w:sz w:val="22"/>
          <w:szCs w:val="28"/>
        </w:rPr>
        <w:t>实际递交投标文件的供应商数量不足、经评审委员会评审对招标文件作实质响应的供应商不足等原因造成公开招标失败，可由政府采购代理机构重新组织采购。</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33.2 重新组织采购有以下两种组织形式：</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（1）由政府采购代理机构重新组织公开招标；</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（2）根据实际情况需要向政府采购监督管理部门提出非公开招标机构式申请，经政府采购监督管理部门批准公开招标失败采购项目可转为竞争性谈判或单一来源谈判方式采购。</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33.3 公开招标失败的采购项目重新组织公开招标，政府采购代理机构要重新按公开招标流程发布招标公告和招标文件、组成评审委员会等组织采购活动。</w:t>
      </w:r>
    </w:p>
    <w:p>
      <w:pPr>
        <w:snapToGrid w:val="0"/>
        <w:spacing w:line="360" w:lineRule="auto"/>
        <w:ind w:firstLine="431" w:firstLineChars="196"/>
        <w:rPr>
          <w:rFonts w:ascii="仿宋" w:hAnsi="仿宋" w:eastAsia="仿宋" w:cs="仿宋"/>
          <w:sz w:val="22"/>
          <w:szCs w:val="28"/>
        </w:rPr>
      </w:pPr>
      <w:r>
        <w:rPr>
          <w:rFonts w:hint="eastAsia" w:ascii="仿宋" w:hAnsi="仿宋" w:eastAsia="仿宋" w:cs="仿宋"/>
          <w:sz w:val="22"/>
          <w:szCs w:val="28"/>
        </w:rPr>
        <w:t>33.4 公开招标失败的采购项目经政府采购监督管理部门批准转为竞争性谈判或单一来源谈判方式采购的，可不另行制作谈判文件，政府采购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pPr>
        <w:spacing w:line="360" w:lineRule="auto"/>
        <w:rPr>
          <w:rFonts w:ascii="黑体" w:hAnsi="黑体" w:eastAsia="黑体" w:cs="黑体"/>
          <w:sz w:val="24"/>
        </w:rPr>
      </w:pPr>
      <w:r>
        <w:rPr>
          <w:rFonts w:hint="eastAsia" w:ascii="黑体" w:hAnsi="黑体" w:eastAsia="黑体" w:cs="黑体"/>
          <w:sz w:val="24"/>
        </w:rPr>
        <w:t>34．公开招标失败项目转为竞争性谈判方式采购</w:t>
      </w:r>
    </w:p>
    <w:p>
      <w:pPr>
        <w:snapToGrid w:val="0"/>
        <w:spacing w:line="360" w:lineRule="auto"/>
        <w:ind w:firstLine="433" w:firstLineChars="196"/>
        <w:rPr>
          <w:rFonts w:ascii="仿宋" w:hAnsi="仿宋" w:eastAsia="仿宋" w:cs="仿宋"/>
          <w:b/>
          <w:sz w:val="22"/>
          <w:szCs w:val="22"/>
        </w:rPr>
      </w:pPr>
      <w:r>
        <w:rPr>
          <w:rFonts w:hint="eastAsia" w:ascii="仿宋" w:hAnsi="仿宋" w:eastAsia="仿宋" w:cs="仿宋"/>
          <w:b/>
          <w:sz w:val="22"/>
          <w:szCs w:val="22"/>
        </w:rPr>
        <w:t>34.1 谈判小组</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34.1.1 公开招标失败项目转为竞争性谈判方式采购后，评审委员会转为谈判小组，</w:t>
      </w:r>
      <w:r>
        <w:rPr>
          <w:rFonts w:hint="eastAsia" w:ascii="仿宋" w:hAnsi="仿宋" w:eastAsia="仿宋" w:cs="仿宋"/>
          <w:sz w:val="22"/>
          <w:szCs w:val="28"/>
        </w:rPr>
        <w:t>谈判小组成员由采购单位代表和有关专家共3人以上（含3人）的单数组成；其中专家的人数不得少于成员总数的三分之二；专家可重新抽取也可继续采用评审委员会内专家。</w:t>
      </w:r>
    </w:p>
    <w:p>
      <w:pPr>
        <w:tabs>
          <w:tab w:val="left" w:pos="-1080"/>
        </w:tabs>
        <w:snapToGrid w:val="0"/>
        <w:spacing w:line="360" w:lineRule="auto"/>
        <w:ind w:firstLine="440" w:firstLineChars="200"/>
        <w:rPr>
          <w:rFonts w:ascii="仿宋" w:hAnsi="仿宋" w:eastAsia="仿宋" w:cs="仿宋"/>
          <w:sz w:val="22"/>
          <w:szCs w:val="28"/>
        </w:rPr>
      </w:pPr>
      <w:r>
        <w:rPr>
          <w:rFonts w:hint="eastAsia" w:ascii="仿宋" w:hAnsi="仿宋" w:eastAsia="仿宋" w:cs="仿宋"/>
          <w:sz w:val="22"/>
          <w:szCs w:val="22"/>
        </w:rPr>
        <w:t xml:space="preserve">34.1.2 </w:t>
      </w:r>
      <w:r>
        <w:rPr>
          <w:rFonts w:hint="eastAsia" w:ascii="仿宋" w:hAnsi="仿宋" w:eastAsia="仿宋" w:cs="仿宋"/>
          <w:sz w:val="22"/>
          <w:szCs w:val="28"/>
        </w:rPr>
        <w:t>谈判前，谈判小组将对各供应商的谈判应答文件进行审查，</w:t>
      </w:r>
      <w:r>
        <w:rPr>
          <w:rFonts w:hint="eastAsia" w:ascii="仿宋" w:hAnsi="仿宋" w:eastAsia="仿宋" w:cs="仿宋"/>
          <w:bCs/>
          <w:sz w:val="22"/>
          <w:szCs w:val="28"/>
        </w:rPr>
        <w:t>当谈判应答文件出现下列情况之一的将视为无效，按废标处理，不得进入谈判，</w:t>
      </w:r>
      <w:r>
        <w:rPr>
          <w:rFonts w:hint="eastAsia" w:ascii="仿宋" w:hAnsi="仿宋" w:eastAsia="仿宋" w:cs="仿宋"/>
          <w:b/>
          <w:sz w:val="22"/>
          <w:szCs w:val="28"/>
        </w:rPr>
        <w:t>具体内容见原招标文件中投标文件初审表的《资格性检查表》部分以及谈判邀请中相应的变动部分。</w:t>
      </w:r>
    </w:p>
    <w:p>
      <w:pPr>
        <w:snapToGrid w:val="0"/>
        <w:spacing w:line="360" w:lineRule="auto"/>
        <w:ind w:firstLine="433" w:firstLineChars="196"/>
        <w:rPr>
          <w:rFonts w:ascii="仿宋" w:hAnsi="仿宋" w:eastAsia="仿宋" w:cs="仿宋"/>
          <w:b/>
          <w:sz w:val="22"/>
          <w:szCs w:val="22"/>
        </w:rPr>
      </w:pPr>
      <w:r>
        <w:rPr>
          <w:rFonts w:hint="eastAsia" w:ascii="仿宋" w:hAnsi="仿宋" w:eastAsia="仿宋" w:cs="仿宋"/>
          <w:b/>
          <w:sz w:val="22"/>
          <w:szCs w:val="22"/>
        </w:rPr>
        <w:t>34.2 谈判程序</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34.2.1 参加谈判的供应商和谈判小组成员填写谈判登记表，并交验证明文件（法定代表人证明书、法人授权委托书、被授权的谈判代表身份证原件）。</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34.2.2 谈判小组主持人宣布谈判规则和谈判纪律。</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34.2.3 在谈判中，谈判小组将就以下谈判内容跟供应商进行谈判：</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（1）项目方案；</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（2）报价；</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（3）其它相关事项。</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原招标文件或谈判邀请文件有实质性变动的，谈判小组应当通过政府采购代理机构通知所有参加谈判的供应商。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34.2.4 谈判小组可以用书面形式要求各供应商对其谈判应答文件含义不明确的内容作必要的澄清或者说明，重要问题供应商应以书面形式进行澄清、说明。</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34.2.5 允许供应商在谈判结束之前根据谈判小组提出的内容进行澄清、修改或完善，或对项目方案进行相应的调整。</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34.2.6 供应商对谈判应答文件进行修改，都应形成文字材料，并经供应商谈判授权人签字认可。</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34.2.7 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34.2.8 有下列情形之一的，该供应商的谈判结果作废标处理，</w:t>
      </w:r>
      <w:r>
        <w:rPr>
          <w:rFonts w:hint="eastAsia" w:ascii="仿宋" w:hAnsi="仿宋" w:eastAsia="仿宋" w:cs="仿宋"/>
          <w:b/>
          <w:sz w:val="22"/>
          <w:szCs w:val="22"/>
        </w:rPr>
        <w:t>具体内容见原招标文件中投标文件初审表的《符合性检查表》部分以及谈判邀请中相应的变动部分。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34.2.9 谈判结束后，谈判小组根据供应商提供的谈判应答文件、谈判过程中产生的相关资料，对供应商谈判应答文件进行评估与比较，提出书面评审意见。</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34.2.10 谈判小组将对谈判过程进行记录，以存档备查。</w:t>
      </w:r>
    </w:p>
    <w:p>
      <w:pPr>
        <w:snapToGrid w:val="0"/>
        <w:spacing w:line="360" w:lineRule="auto"/>
        <w:ind w:firstLine="433" w:firstLineChars="196"/>
        <w:rPr>
          <w:rFonts w:ascii="仿宋" w:hAnsi="仿宋" w:eastAsia="仿宋" w:cs="仿宋"/>
          <w:b/>
          <w:sz w:val="22"/>
          <w:szCs w:val="22"/>
        </w:rPr>
      </w:pPr>
      <w:r>
        <w:rPr>
          <w:rFonts w:hint="eastAsia" w:ascii="仿宋" w:hAnsi="仿宋" w:eastAsia="仿宋" w:cs="仿宋"/>
          <w:b/>
          <w:sz w:val="22"/>
          <w:szCs w:val="22"/>
        </w:rPr>
        <w:t>34.3 评标方法和定标原则</w:t>
      </w:r>
    </w:p>
    <w:p>
      <w:pPr>
        <w:tabs>
          <w:tab w:val="left" w:pos="-1080"/>
        </w:tabs>
        <w:snapToGrid w:val="0"/>
        <w:spacing w:line="360" w:lineRule="auto"/>
        <w:ind w:firstLine="440" w:firstLineChars="200"/>
        <w:rPr>
          <w:rFonts w:ascii="仿宋" w:hAnsi="仿宋" w:eastAsia="仿宋" w:cs="仿宋"/>
          <w:sz w:val="22"/>
          <w:szCs w:val="28"/>
        </w:rPr>
      </w:pPr>
      <w:r>
        <w:rPr>
          <w:rFonts w:hint="eastAsia" w:ascii="仿宋" w:hAnsi="仿宋" w:eastAsia="仿宋" w:cs="仿宋"/>
          <w:sz w:val="22"/>
          <w:szCs w:val="22"/>
        </w:rPr>
        <w:t>34.3.1 竞争性谈判采购项目的评标方法要比照</w:t>
      </w:r>
      <w:r>
        <w:rPr>
          <w:rFonts w:hint="eastAsia" w:ascii="仿宋" w:hAnsi="仿宋" w:eastAsia="仿宋" w:cs="仿宋"/>
          <w:b/>
          <w:sz w:val="22"/>
          <w:szCs w:val="22"/>
        </w:rPr>
        <w:t>最低评标价法规定执行</w:t>
      </w:r>
      <w:r>
        <w:rPr>
          <w:rFonts w:hint="eastAsia" w:ascii="仿宋" w:hAnsi="仿宋" w:eastAsia="仿宋" w:cs="仿宋"/>
          <w:sz w:val="22"/>
          <w:szCs w:val="22"/>
        </w:rPr>
        <w:t>。如确因实际情况需要采用其他评标方法的，应报经同级政府采购监督管理部门批准。</w:t>
      </w:r>
      <w:r>
        <w:rPr>
          <w:rFonts w:hint="eastAsia" w:ascii="仿宋" w:hAnsi="仿宋" w:eastAsia="仿宋" w:cs="仿宋"/>
          <w:b/>
          <w:sz w:val="22"/>
          <w:szCs w:val="28"/>
        </w:rPr>
        <w:t>原招标文件若采用</w:t>
      </w:r>
      <w:r>
        <w:rPr>
          <w:rFonts w:hint="eastAsia" w:ascii="仿宋" w:hAnsi="仿宋" w:eastAsia="仿宋" w:cs="仿宋"/>
          <w:b/>
          <w:bCs/>
          <w:sz w:val="22"/>
          <w:szCs w:val="28"/>
        </w:rPr>
        <w:t>最低评标价法以外的评标方法，转为竞争性谈判后，评标方法应采用</w:t>
      </w:r>
      <w:r>
        <w:rPr>
          <w:rFonts w:hint="eastAsia" w:ascii="仿宋" w:hAnsi="仿宋" w:eastAsia="仿宋" w:cs="仿宋"/>
          <w:b/>
          <w:sz w:val="22"/>
          <w:szCs w:val="22"/>
        </w:rPr>
        <w:t>最低评标价法。</w:t>
      </w:r>
    </w:p>
    <w:p>
      <w:pPr>
        <w:tabs>
          <w:tab w:val="left" w:pos="-1080"/>
        </w:tabs>
        <w:snapToGrid w:val="0"/>
        <w:spacing w:line="360" w:lineRule="auto"/>
        <w:ind w:firstLine="440" w:firstLineChars="200"/>
        <w:rPr>
          <w:rFonts w:ascii="仿宋" w:hAnsi="仿宋" w:eastAsia="仿宋" w:cs="仿宋"/>
          <w:sz w:val="22"/>
          <w:szCs w:val="28"/>
        </w:rPr>
      </w:pPr>
      <w:r>
        <w:rPr>
          <w:rFonts w:hint="eastAsia" w:ascii="仿宋" w:hAnsi="仿宋" w:eastAsia="仿宋" w:cs="仿宋"/>
          <w:sz w:val="22"/>
          <w:szCs w:val="22"/>
        </w:rPr>
        <w:t>34.3.2 对公开招标失败转为竞争性谈判方式采购的项目，谈判小组</w:t>
      </w:r>
      <w:r>
        <w:rPr>
          <w:rFonts w:hint="eastAsia" w:ascii="仿宋" w:hAnsi="仿宋" w:eastAsia="仿宋" w:cs="仿宋"/>
          <w:sz w:val="22"/>
          <w:szCs w:val="28"/>
        </w:rPr>
        <w:t>对谈判应答文件进行评审和比较，综合各家供应商最终的方案、服务和投资等谈判结果并按本通用条款第28.1.1款的</w:t>
      </w:r>
      <w:r>
        <w:rPr>
          <w:rFonts w:hint="eastAsia" w:ascii="仿宋" w:hAnsi="仿宋" w:eastAsia="仿宋" w:cs="仿宋"/>
          <w:b/>
          <w:bCs/>
          <w:sz w:val="22"/>
          <w:szCs w:val="28"/>
        </w:rPr>
        <w:t>最低评标价法</w:t>
      </w:r>
      <w:r>
        <w:rPr>
          <w:rFonts w:hint="eastAsia" w:ascii="仿宋" w:hAnsi="仿宋" w:eastAsia="仿宋" w:cs="仿宋"/>
          <w:sz w:val="22"/>
          <w:szCs w:val="28"/>
        </w:rPr>
        <w:t>进行评审。</w:t>
      </w:r>
    </w:p>
    <w:p>
      <w:pPr>
        <w:tabs>
          <w:tab w:val="left" w:pos="-1080"/>
        </w:tabs>
        <w:snapToGrid w:val="0"/>
        <w:spacing w:line="360" w:lineRule="auto"/>
        <w:ind w:firstLine="440" w:firstLineChars="200"/>
        <w:rPr>
          <w:rFonts w:ascii="仿宋" w:hAnsi="仿宋" w:eastAsia="仿宋" w:cs="仿宋"/>
          <w:sz w:val="22"/>
          <w:szCs w:val="28"/>
        </w:rPr>
      </w:pPr>
      <w:r>
        <w:rPr>
          <w:rFonts w:hint="eastAsia" w:ascii="仿宋" w:hAnsi="仿宋" w:eastAsia="仿宋" w:cs="仿宋"/>
          <w:sz w:val="22"/>
          <w:szCs w:val="28"/>
        </w:rPr>
        <w:t>34.3.3 若要采用其他评标方法的，必须</w:t>
      </w:r>
      <w:r>
        <w:rPr>
          <w:rFonts w:hint="eastAsia" w:ascii="仿宋" w:hAnsi="仿宋" w:eastAsia="仿宋" w:cs="仿宋"/>
          <w:sz w:val="22"/>
          <w:szCs w:val="22"/>
        </w:rPr>
        <w:t>报经政府采购监督管理部门批准，谈判小组按批准的评标方法进行评审。谈判邀请文件中应注明批准的评标方法。</w:t>
      </w:r>
    </w:p>
    <w:p>
      <w:pPr>
        <w:spacing w:line="360" w:lineRule="auto"/>
        <w:rPr>
          <w:rFonts w:ascii="黑体" w:hAnsi="黑体" w:eastAsia="黑体" w:cs="黑体"/>
          <w:sz w:val="24"/>
        </w:rPr>
      </w:pPr>
      <w:r>
        <w:rPr>
          <w:rFonts w:hint="eastAsia" w:ascii="黑体" w:hAnsi="黑体" w:eastAsia="黑体" w:cs="黑体"/>
          <w:sz w:val="24"/>
        </w:rPr>
        <w:t>35．公开招标失败项目转为单一来源谈判方式采购</w:t>
      </w:r>
    </w:p>
    <w:p>
      <w:pPr>
        <w:snapToGrid w:val="0"/>
        <w:spacing w:line="360" w:lineRule="auto"/>
        <w:ind w:firstLine="433" w:firstLineChars="196"/>
        <w:rPr>
          <w:rFonts w:ascii="仿宋" w:hAnsi="仿宋" w:eastAsia="仿宋" w:cs="仿宋"/>
          <w:b/>
          <w:sz w:val="22"/>
          <w:szCs w:val="22"/>
        </w:rPr>
      </w:pPr>
      <w:r>
        <w:rPr>
          <w:rFonts w:hint="eastAsia" w:ascii="仿宋" w:hAnsi="仿宋" w:eastAsia="仿宋" w:cs="仿宋"/>
          <w:b/>
          <w:sz w:val="22"/>
          <w:szCs w:val="22"/>
        </w:rPr>
        <w:t>35.1 谈判小组</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35.1.1 公开招标失败项目转为单一来源谈判方式采购后，评审委员会转为谈判小组，</w:t>
      </w:r>
      <w:r>
        <w:rPr>
          <w:rFonts w:hint="eastAsia" w:ascii="仿宋" w:hAnsi="仿宋" w:eastAsia="仿宋" w:cs="仿宋"/>
          <w:sz w:val="22"/>
          <w:szCs w:val="28"/>
        </w:rPr>
        <w:t>谈判小组成员由采购单位代表和有关专家共3人以上（含3人）的单数组成；其中专家的人数不得少于成员总数的三分之二；专家可重新抽取也可继续采用评审委员会内专家。</w:t>
      </w:r>
    </w:p>
    <w:p>
      <w:pPr>
        <w:tabs>
          <w:tab w:val="left" w:pos="-1080"/>
        </w:tabs>
        <w:snapToGrid w:val="0"/>
        <w:spacing w:line="360" w:lineRule="auto"/>
        <w:ind w:firstLine="440" w:firstLineChars="200"/>
        <w:rPr>
          <w:rFonts w:ascii="仿宋" w:hAnsi="仿宋" w:eastAsia="仿宋" w:cs="仿宋"/>
          <w:sz w:val="22"/>
          <w:szCs w:val="28"/>
        </w:rPr>
      </w:pPr>
      <w:r>
        <w:rPr>
          <w:rFonts w:hint="eastAsia" w:ascii="仿宋" w:hAnsi="仿宋" w:eastAsia="仿宋" w:cs="仿宋"/>
          <w:sz w:val="22"/>
          <w:szCs w:val="22"/>
        </w:rPr>
        <w:t xml:space="preserve">35.1.2 </w:t>
      </w:r>
      <w:r>
        <w:rPr>
          <w:rFonts w:hint="eastAsia" w:ascii="仿宋" w:hAnsi="仿宋" w:eastAsia="仿宋" w:cs="仿宋"/>
          <w:sz w:val="22"/>
          <w:szCs w:val="28"/>
        </w:rPr>
        <w:t>谈判前，谈判小组将对单一来源供应商的谈判应答文件进行审查，</w:t>
      </w:r>
      <w:r>
        <w:rPr>
          <w:rFonts w:hint="eastAsia" w:ascii="仿宋" w:hAnsi="仿宋" w:eastAsia="仿宋" w:cs="仿宋"/>
          <w:bCs/>
          <w:sz w:val="22"/>
          <w:szCs w:val="28"/>
        </w:rPr>
        <w:t>当谈判应答文件出现下列情况之一的将视为无效，按废标处理，不得进入谈判，</w:t>
      </w:r>
      <w:r>
        <w:rPr>
          <w:rFonts w:hint="eastAsia" w:ascii="仿宋" w:hAnsi="仿宋" w:eastAsia="仿宋" w:cs="仿宋"/>
          <w:b/>
          <w:sz w:val="22"/>
          <w:szCs w:val="28"/>
        </w:rPr>
        <w:t>具体内容见原招标文件中投标文件初审表的《资格性检查表》部分以及谈判邀请中相应的变动部分。</w:t>
      </w:r>
    </w:p>
    <w:p>
      <w:pPr>
        <w:snapToGrid w:val="0"/>
        <w:spacing w:line="360" w:lineRule="auto"/>
        <w:ind w:firstLine="433" w:firstLineChars="196"/>
        <w:rPr>
          <w:rFonts w:ascii="仿宋" w:hAnsi="仿宋" w:eastAsia="仿宋" w:cs="仿宋"/>
          <w:b/>
          <w:sz w:val="22"/>
          <w:szCs w:val="22"/>
        </w:rPr>
      </w:pPr>
      <w:r>
        <w:rPr>
          <w:rFonts w:hint="eastAsia" w:ascii="仿宋" w:hAnsi="仿宋" w:eastAsia="仿宋" w:cs="仿宋"/>
          <w:b/>
          <w:sz w:val="22"/>
          <w:szCs w:val="22"/>
        </w:rPr>
        <w:t>35.2 谈判程序</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35.2.1 参加谈判的供应商和谈判小组成员填写谈判登记表，并交验证明文件（法定代表人证明书、法人授权委托书、被授权的谈判代表身份证原件）。</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35.2.2 谈判小组主持人宣布谈判规则和谈判纪律。</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35.2.3 在谈判中，谈判小组将就以下谈判内容跟供应商进行谈判：</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（1）项目方案；</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（2）报价；</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（3）其它相关事项。</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原招标文件或谈判邀请文件有实质性变动的，谈判小组应当通过政府采购代理机构通知供应商。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35.2.4 谈判小组可以用书面形式要求供应商对其谈判应答文件含义不明确的内容作必要的澄清或者说明，重要问题供应商应以书面形式进行澄清、说明。</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35.2.5 允许供应商在谈判结束之前根据谈判小组提出的内容进行澄清、修改或完善，或对项目方案进行相应的调整。</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35.2.6 供应商对谈判应答文件进行修改，都应形成文字材料，并经供应商谈判授权人签字认可。</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35.2.7 谈判小组与单一来源供应商进行谈判。供应商有两次更改机会；供应商应在规定的时间内提出最后更改及书面承诺。</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35.2.8 有下列情形之一的，供应商的谈判结果作废标处理，</w:t>
      </w:r>
      <w:r>
        <w:rPr>
          <w:rFonts w:hint="eastAsia" w:ascii="仿宋" w:hAnsi="仿宋" w:eastAsia="仿宋" w:cs="仿宋"/>
          <w:b/>
          <w:sz w:val="22"/>
          <w:szCs w:val="22"/>
        </w:rPr>
        <w:t>具体内容见原招标文件中投标文件初审表的《符合性检查表》部分以及谈判邀请中相应的变动部分。</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35.2.9 谈判结束后，谈判小组根据供应商提供的谈判应答文件、谈判过程中产生的相关资料，对供应商谈判应答文件进行评估与比较，提出书面评审意见。</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35.2.10 谈判小组将对谈判过程进行记录，以存档备查。</w:t>
      </w:r>
    </w:p>
    <w:p>
      <w:pPr>
        <w:snapToGrid w:val="0"/>
        <w:spacing w:line="360" w:lineRule="auto"/>
        <w:ind w:firstLine="433" w:firstLineChars="196"/>
        <w:rPr>
          <w:rFonts w:ascii="仿宋" w:hAnsi="仿宋" w:eastAsia="仿宋" w:cs="仿宋"/>
          <w:b/>
          <w:sz w:val="22"/>
          <w:szCs w:val="22"/>
        </w:rPr>
      </w:pPr>
      <w:r>
        <w:rPr>
          <w:rFonts w:hint="eastAsia" w:ascii="仿宋" w:hAnsi="仿宋" w:eastAsia="仿宋" w:cs="仿宋"/>
          <w:b/>
          <w:sz w:val="22"/>
          <w:szCs w:val="22"/>
        </w:rPr>
        <w:t>35.3 评标方法和定标原则</w:t>
      </w:r>
    </w:p>
    <w:p>
      <w:pPr>
        <w:tabs>
          <w:tab w:val="left" w:pos="-1080"/>
        </w:tabs>
        <w:snapToGrid w:val="0"/>
        <w:spacing w:line="360" w:lineRule="auto"/>
        <w:ind w:firstLine="440" w:firstLineChars="200"/>
        <w:rPr>
          <w:rFonts w:ascii="仿宋" w:hAnsi="仿宋" w:eastAsia="仿宋" w:cs="仿宋"/>
          <w:sz w:val="22"/>
          <w:szCs w:val="28"/>
        </w:rPr>
      </w:pPr>
      <w:r>
        <w:rPr>
          <w:rFonts w:hint="eastAsia" w:ascii="仿宋" w:hAnsi="仿宋" w:eastAsia="仿宋" w:cs="仿宋"/>
          <w:sz w:val="22"/>
          <w:szCs w:val="22"/>
        </w:rPr>
        <w:t xml:space="preserve">35.3.1 </w:t>
      </w:r>
      <w:r>
        <w:rPr>
          <w:rFonts w:hint="eastAsia" w:ascii="仿宋" w:hAnsi="仿宋" w:eastAsia="仿宋" w:cs="仿宋"/>
          <w:b/>
          <w:sz w:val="22"/>
          <w:szCs w:val="22"/>
        </w:rPr>
        <w:t>单一来源谈判采用最低评标价法。</w:t>
      </w:r>
      <w:r>
        <w:rPr>
          <w:rFonts w:hint="eastAsia" w:ascii="仿宋" w:hAnsi="仿宋" w:eastAsia="仿宋" w:cs="仿宋"/>
          <w:sz w:val="22"/>
          <w:szCs w:val="28"/>
        </w:rPr>
        <w:t>原招标文件若采用</w:t>
      </w:r>
      <w:r>
        <w:rPr>
          <w:rFonts w:hint="eastAsia" w:ascii="仿宋" w:hAnsi="仿宋" w:eastAsia="仿宋" w:cs="仿宋"/>
          <w:bCs/>
          <w:sz w:val="22"/>
          <w:szCs w:val="28"/>
        </w:rPr>
        <w:t>最低评标价法以外的评标方法，转为单一来源后，评标方法改为</w:t>
      </w:r>
      <w:r>
        <w:rPr>
          <w:rFonts w:hint="eastAsia" w:ascii="仿宋" w:hAnsi="仿宋" w:eastAsia="仿宋" w:cs="仿宋"/>
          <w:sz w:val="22"/>
          <w:szCs w:val="22"/>
        </w:rPr>
        <w:t>最低评标价法。谈判小组</w:t>
      </w:r>
      <w:r>
        <w:rPr>
          <w:rFonts w:hint="eastAsia" w:ascii="仿宋" w:hAnsi="仿宋" w:eastAsia="仿宋" w:cs="仿宋"/>
          <w:sz w:val="22"/>
          <w:szCs w:val="28"/>
        </w:rPr>
        <w:t>对谈判应答文件进行评审和比较，对供应商最终的方案、服务和投资等谈判结果按本通用条款第28.1.1款的</w:t>
      </w:r>
      <w:r>
        <w:rPr>
          <w:rFonts w:hint="eastAsia" w:ascii="仿宋" w:hAnsi="仿宋" w:eastAsia="仿宋" w:cs="仿宋"/>
          <w:b/>
          <w:bCs/>
          <w:sz w:val="22"/>
          <w:szCs w:val="28"/>
        </w:rPr>
        <w:t>最低评标价法</w:t>
      </w:r>
      <w:r>
        <w:rPr>
          <w:rFonts w:hint="eastAsia" w:ascii="仿宋" w:hAnsi="仿宋" w:eastAsia="仿宋" w:cs="仿宋"/>
          <w:sz w:val="22"/>
          <w:szCs w:val="28"/>
        </w:rPr>
        <w:t>进行评审。</w:t>
      </w:r>
    </w:p>
    <w:p>
      <w:pPr>
        <w:tabs>
          <w:tab w:val="left" w:pos="-1080"/>
        </w:tabs>
        <w:snapToGrid w:val="0"/>
        <w:spacing w:line="360" w:lineRule="auto"/>
        <w:ind w:firstLine="440" w:firstLineChars="200"/>
        <w:rPr>
          <w:rFonts w:ascii="仿宋" w:hAnsi="仿宋" w:eastAsia="仿宋" w:cs="仿宋"/>
          <w:sz w:val="22"/>
          <w:szCs w:val="28"/>
        </w:rPr>
      </w:pPr>
    </w:p>
    <w:p>
      <w:pPr>
        <w:pStyle w:val="3"/>
        <w:spacing w:line="360" w:lineRule="auto"/>
        <w:jc w:val="center"/>
        <w:rPr>
          <w:rFonts w:ascii="黑体" w:hAnsi="黑体"/>
          <w:b w:val="0"/>
          <w:bCs w:val="0"/>
          <w:kern w:val="2"/>
        </w:rPr>
      </w:pPr>
      <w:bookmarkStart w:id="515" w:name="_Toc11735"/>
      <w:bookmarkStart w:id="516" w:name="_Toc26729"/>
      <w:bookmarkStart w:id="517" w:name="_Toc4313"/>
      <w:r>
        <w:rPr>
          <w:rFonts w:hint="eastAsia" w:ascii="黑体" w:hAnsi="黑体"/>
          <w:b w:val="0"/>
          <w:bCs w:val="0"/>
          <w:kern w:val="2"/>
        </w:rPr>
        <w:t>第九章  合同的授予</w:t>
      </w:r>
      <w:bookmarkEnd w:id="511"/>
      <w:bookmarkEnd w:id="512"/>
      <w:bookmarkEnd w:id="513"/>
      <w:bookmarkEnd w:id="514"/>
      <w:bookmarkEnd w:id="515"/>
      <w:bookmarkEnd w:id="516"/>
      <w:bookmarkEnd w:id="517"/>
    </w:p>
    <w:p>
      <w:pPr>
        <w:spacing w:line="360" w:lineRule="auto"/>
        <w:rPr>
          <w:rFonts w:ascii="黑体" w:hAnsi="黑体" w:eastAsia="黑体" w:cs="黑体"/>
          <w:sz w:val="24"/>
        </w:rPr>
      </w:pPr>
      <w:bookmarkStart w:id="518" w:name="_33._合同授予标准"/>
      <w:bookmarkEnd w:id="518"/>
      <w:bookmarkStart w:id="519" w:name="_Toc73521586"/>
      <w:bookmarkStart w:id="520" w:name="_Toc73517679"/>
      <w:bookmarkStart w:id="521" w:name="_Toc100052408"/>
      <w:bookmarkStart w:id="522" w:name="_Toc73521674"/>
      <w:bookmarkStart w:id="523" w:name="_Toc73518157"/>
      <w:r>
        <w:rPr>
          <w:rFonts w:hint="eastAsia" w:ascii="黑体" w:hAnsi="黑体" w:eastAsia="黑体" w:cs="黑体"/>
          <w:sz w:val="24"/>
        </w:rPr>
        <w:t>36．合同授予标准</w:t>
      </w:r>
      <w:bookmarkEnd w:id="519"/>
      <w:bookmarkEnd w:id="520"/>
      <w:bookmarkEnd w:id="521"/>
      <w:bookmarkEnd w:id="522"/>
      <w:bookmarkEnd w:id="523"/>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36.1 本项目的合同将授予按本通用条款第七章所确定的中标人。</w:t>
      </w:r>
    </w:p>
    <w:p>
      <w:pPr>
        <w:spacing w:line="360" w:lineRule="auto"/>
        <w:rPr>
          <w:rFonts w:ascii="黑体" w:hAnsi="黑体" w:eastAsia="黑体" w:cs="黑体"/>
          <w:sz w:val="24"/>
        </w:rPr>
      </w:pPr>
      <w:bookmarkStart w:id="524" w:name="_Toc73521675"/>
      <w:bookmarkStart w:id="525" w:name="_Toc73521587"/>
      <w:bookmarkStart w:id="526" w:name="_Toc73518158"/>
      <w:bookmarkStart w:id="527" w:name="_Toc100052409"/>
      <w:bookmarkStart w:id="528" w:name="_Toc73517680"/>
      <w:r>
        <w:rPr>
          <w:rFonts w:hint="eastAsia" w:ascii="黑体" w:hAnsi="黑体" w:eastAsia="黑体" w:cs="黑体"/>
          <w:sz w:val="24"/>
        </w:rPr>
        <w:t>37．</w:t>
      </w:r>
      <w:bookmarkEnd w:id="524"/>
      <w:bookmarkEnd w:id="525"/>
      <w:bookmarkEnd w:id="526"/>
      <w:bookmarkEnd w:id="527"/>
      <w:bookmarkEnd w:id="528"/>
      <w:r>
        <w:rPr>
          <w:rFonts w:hint="eastAsia" w:ascii="黑体" w:hAnsi="黑体" w:eastAsia="黑体" w:cs="黑体"/>
          <w:sz w:val="24"/>
        </w:rPr>
        <w:t>接受和拒绝任何或所有投标的权力</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37.1 政府采购代理机构和采购单位保留在投标之前任何时候接受或拒绝任何投标或所有投标，以及宣布招标无效的权力，对受影响的投标人不承担任何责任，也无义务向受影响的投标人解释采取这一行动的理由。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黑体" w:eastAsia="黑体" w:cs="黑体"/>
          <w:sz w:val="24"/>
        </w:rPr>
      </w:pPr>
      <w:bookmarkStart w:id="529" w:name="_Toc73521589"/>
      <w:bookmarkStart w:id="530" w:name="_Toc73517682"/>
      <w:bookmarkStart w:id="531" w:name="_Toc73518160"/>
      <w:bookmarkStart w:id="532" w:name="_Toc73521677"/>
      <w:bookmarkStart w:id="533" w:name="_Toc100052410"/>
      <w:r>
        <w:rPr>
          <w:rFonts w:hint="eastAsia" w:ascii="黑体" w:hAnsi="黑体" w:eastAsia="黑体" w:cs="黑体"/>
          <w:sz w:val="24"/>
        </w:rPr>
        <w:t>38．合同协议书的签订</w:t>
      </w:r>
      <w:bookmarkEnd w:id="529"/>
      <w:bookmarkEnd w:id="530"/>
      <w:bookmarkEnd w:id="531"/>
      <w:bookmarkEnd w:id="532"/>
      <w:bookmarkEnd w:id="533"/>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38.1 中标人将于中标通知书发出之日起</w:t>
      </w:r>
      <w:r>
        <w:rPr>
          <w:rFonts w:hint="eastAsia" w:ascii="仿宋" w:hAnsi="仿宋" w:eastAsia="仿宋" w:cs="仿宋"/>
          <w:sz w:val="22"/>
          <w:szCs w:val="22"/>
          <w:u w:val="single"/>
        </w:rPr>
        <w:t xml:space="preserve"> 10 </w:t>
      </w:r>
      <w:r>
        <w:rPr>
          <w:rFonts w:hint="eastAsia" w:ascii="仿宋" w:hAnsi="仿宋" w:eastAsia="仿宋" w:cs="仿宋"/>
          <w:sz w:val="22"/>
          <w:szCs w:val="22"/>
        </w:rPr>
        <w:t>个工作日内，按照招标文件和投标文件内容与采购单位签订书面合同，合同书可参考本招标文件第一册第四章规定的合同样本；</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38.2 中标人如不按本通用条款第38.1款的规定与采购单位签订合同，给政府采购代理机构造成的损失的，还应当予以赔偿，同时承担相应法律责任；</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38.3 中标人应当按照合同约定履行义务，完成中标项目，未经采购人及监管部门许可不得将中标项目转让（转包）给他人；</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38.4 采购人与中标人签订的合同必须遵守本招标文件的合同条件，并且不得更改合同条件。</w:t>
      </w:r>
    </w:p>
    <w:p>
      <w:pPr>
        <w:spacing w:line="360" w:lineRule="auto"/>
        <w:rPr>
          <w:rFonts w:ascii="黑体" w:hAnsi="黑体" w:eastAsia="黑体" w:cs="黑体"/>
          <w:sz w:val="24"/>
        </w:rPr>
      </w:pPr>
      <w:bookmarkStart w:id="534" w:name="_Toc100052411"/>
      <w:bookmarkStart w:id="535" w:name="_Toc73521590"/>
      <w:bookmarkStart w:id="536" w:name="_Toc73517683"/>
      <w:bookmarkStart w:id="537" w:name="_Toc73518161"/>
      <w:bookmarkStart w:id="538" w:name="_Toc73521678"/>
      <w:r>
        <w:rPr>
          <w:rFonts w:hint="eastAsia" w:ascii="黑体" w:hAnsi="黑体" w:eastAsia="黑体" w:cs="黑体"/>
          <w:sz w:val="24"/>
        </w:rPr>
        <w:t>39．履约担保</w:t>
      </w:r>
      <w:bookmarkEnd w:id="534"/>
      <w:bookmarkEnd w:id="535"/>
      <w:bookmarkEnd w:id="536"/>
      <w:bookmarkEnd w:id="537"/>
      <w:bookmarkEnd w:id="538"/>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39.1 在签订项目承包合同的同时，中标人应按投标须知前附表第19项规定的金额向采购单位提交履约保函或履约保证金；</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39.2 如果中标人不能按本通用条款第39.1款的规</w:t>
      </w:r>
      <w:r>
        <w:rPr>
          <w:rFonts w:hint="eastAsia" w:ascii="仿宋" w:hAnsi="仿宋" w:eastAsia="仿宋" w:cs="仿宋"/>
          <w:sz w:val="22"/>
          <w:szCs w:val="28"/>
        </w:rPr>
        <w:t>定执行，采购单位将有充分的理由通过政府采购监督管理部门废除中标，给采购单位造成</w:t>
      </w:r>
      <w:r>
        <w:rPr>
          <w:rFonts w:hint="eastAsia" w:ascii="仿宋" w:hAnsi="仿宋" w:eastAsia="仿宋" w:cs="仿宋"/>
          <w:sz w:val="22"/>
          <w:szCs w:val="22"/>
        </w:rPr>
        <w:t>的还应当予以赔偿；</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39.3 项目结束之后，经验收合格，采购单位在七日内办理退还履约担保手续。</w:t>
      </w:r>
    </w:p>
    <w:p>
      <w:pPr>
        <w:spacing w:line="360" w:lineRule="auto"/>
        <w:rPr>
          <w:rFonts w:ascii="黑体" w:hAnsi="黑体" w:eastAsia="黑体" w:cs="黑体"/>
          <w:sz w:val="24"/>
        </w:rPr>
      </w:pPr>
      <w:r>
        <w:rPr>
          <w:rFonts w:hint="eastAsia" w:ascii="黑体" w:hAnsi="黑体" w:eastAsia="黑体" w:cs="黑体"/>
          <w:sz w:val="24"/>
        </w:rPr>
        <w:t>40．招标代理服务费</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40.1 根据《深圳市财政委员会关于规范深圳市社会采购代理机构管理有关事项的补充通知》（深财购〔2018〕27号）文件相关规定，招标代理服务费以中标金额为基数、按差额定率累进法计算后下浮40%。具体计取费率标准如下表所示：</w:t>
      </w:r>
    </w:p>
    <w:p>
      <w:pPr>
        <w:snapToGrid w:val="0"/>
        <w:ind w:firstLine="431" w:firstLineChars="196"/>
        <w:jc w:val="center"/>
        <w:rPr>
          <w:rFonts w:ascii="仿宋" w:hAnsi="仿宋" w:eastAsia="仿宋" w:cs="仿宋"/>
          <w:sz w:val="22"/>
          <w:szCs w:val="28"/>
        </w:rPr>
      </w:pPr>
      <w:r>
        <w:rPr>
          <w:rFonts w:hint="eastAsia" w:ascii="仿宋" w:hAnsi="仿宋" w:eastAsia="仿宋" w:cs="仿宋"/>
          <w:sz w:val="22"/>
          <w:szCs w:val="28"/>
        </w:rPr>
        <w:drawing>
          <wp:inline distT="0" distB="0" distL="114300" distR="114300">
            <wp:extent cx="4413885" cy="3452495"/>
            <wp:effectExtent l="0" t="0" r="5715"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4413885" cy="3452495"/>
                    </a:xfrm>
                    <a:prstGeom prst="rect">
                      <a:avLst/>
                    </a:prstGeom>
                    <a:noFill/>
                    <a:ln>
                      <a:noFill/>
                    </a:ln>
                  </pic:spPr>
                </pic:pic>
              </a:graphicData>
            </a:graphic>
          </wp:inline>
        </w:drawing>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例如：某服务招标代理业务中标金额为600万元，计算招标代理服务收费额如下：</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100万元×1.5%=1.5万元</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（500-100）万元×0.8%=3.2万元</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（600-500）万元×0.45%=0.45万元</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合计收费=1.5+3.2+0.45=5.15万元</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40.2 中标人须在中标公告公示期结束后，领取《中标通知书》前，向招标（采购）代理机构缴纳招标代理服务费。</w:t>
      </w:r>
    </w:p>
    <w:p>
      <w:pPr>
        <w:spacing w:line="360" w:lineRule="auto"/>
        <w:ind w:left="420" w:leftChars="200"/>
        <w:rPr>
          <w:rFonts w:ascii="仿宋" w:hAnsi="仿宋" w:eastAsia="仿宋" w:cs="仿宋"/>
          <w:sz w:val="22"/>
          <w:szCs w:val="22"/>
        </w:rPr>
      </w:pPr>
      <w:r>
        <w:rPr>
          <w:rFonts w:hint="eastAsia" w:ascii="仿宋" w:hAnsi="仿宋" w:eastAsia="仿宋" w:cs="仿宋"/>
          <w:sz w:val="22"/>
          <w:szCs w:val="22"/>
        </w:rPr>
        <w:t>40.3 招标代理服务费以转账、现金形式支付。</w:t>
      </w:r>
    </w:p>
    <w:p>
      <w:pPr>
        <w:spacing w:line="360" w:lineRule="auto"/>
        <w:rPr>
          <w:rFonts w:ascii="黑体" w:hAnsi="黑体" w:eastAsia="黑体" w:cs="黑体"/>
          <w:sz w:val="24"/>
        </w:rPr>
      </w:pPr>
      <w:r>
        <w:rPr>
          <w:rFonts w:hint="eastAsia" w:ascii="黑体" w:hAnsi="黑体" w:eastAsia="黑体" w:cs="黑体"/>
          <w:sz w:val="24"/>
        </w:rPr>
        <w:t>41．项目质疑受理程序</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41.1 质疑投诉人应保证质疑投诉内容的真实性和可靠性，并承担相应的法律责任。</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41.2 项目质疑受理程序：</w:t>
      </w:r>
    </w:p>
    <w:p>
      <w:pPr>
        <w:snapToGrid w:val="0"/>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41.2.1 政府采购代理机构统一对外受理项目质疑资料。受理程序需要审核的资料：供应商提供书面的质疑函件（原件且加盖公司公章）以及相关质疑内容的证明材料、法定代表人证明书、授权委托书、经办人身份证原件及复印件（加盖公章）。</w:t>
      </w:r>
    </w:p>
    <w:p>
      <w:pPr>
        <w:spacing w:line="360" w:lineRule="auto"/>
        <w:ind w:firstLine="431" w:firstLineChars="196"/>
        <w:rPr>
          <w:rFonts w:ascii="仿宋" w:hAnsi="仿宋" w:eastAsia="仿宋" w:cs="仿宋"/>
          <w:sz w:val="22"/>
          <w:szCs w:val="22"/>
        </w:rPr>
      </w:pPr>
      <w:r>
        <w:rPr>
          <w:rFonts w:hint="eastAsia" w:ascii="仿宋" w:hAnsi="仿宋" w:eastAsia="仿宋" w:cs="仿宋"/>
          <w:sz w:val="22"/>
          <w:szCs w:val="22"/>
        </w:rPr>
        <w:t>41.2.2 异地供应商质疑可传真函件至窗口进行预受理，但供应商必须在发出传真函件后3个工作日内将资料原件【供应商提供书面的质疑函件（原件且加盖公司公章）以及相关质疑内容的证明材料、法定代表人证明书、授权委托书、经办人身份证原件及复印件（加盖公章）】提交至或邮政快递至政府采购代理机构，再给予正式受理。</w:t>
      </w:r>
    </w:p>
    <w:p>
      <w:pPr>
        <w:spacing w:line="360" w:lineRule="auto"/>
        <w:ind w:firstLine="431" w:firstLineChars="196"/>
        <w:rPr>
          <w:rFonts w:ascii="仿宋" w:hAnsi="仿宋" w:eastAsia="仿宋" w:cs="仿宋"/>
          <w:sz w:val="22"/>
          <w:szCs w:val="22"/>
        </w:rPr>
      </w:pPr>
    </w:p>
    <w:p>
      <w:pPr>
        <w:spacing w:line="360" w:lineRule="auto"/>
        <w:ind w:firstLine="411" w:firstLineChars="196"/>
        <w:rPr>
          <w:rFonts w:ascii="宋体" w:hAnsi="宋体"/>
          <w:szCs w:val="21"/>
        </w:rPr>
      </w:pPr>
    </w:p>
    <w:p>
      <w:pPr>
        <w:spacing w:line="360" w:lineRule="auto"/>
        <w:ind w:firstLine="411" w:firstLineChars="196"/>
        <w:rPr>
          <w:rFonts w:ascii="宋体" w:hAnsi="宋体"/>
          <w:szCs w:val="21"/>
        </w:rPr>
      </w:pPr>
    </w:p>
    <w:p>
      <w:pPr>
        <w:spacing w:line="360" w:lineRule="auto"/>
        <w:jc w:val="center"/>
        <w:rPr>
          <w:rFonts w:ascii="宋体" w:hAnsi="宋体"/>
          <w:szCs w:val="21"/>
        </w:rPr>
      </w:pPr>
      <w:r>
        <w:t>---- END ----</w:t>
      </w:r>
    </w:p>
    <w:p>
      <w:pPr>
        <w:pStyle w:val="2"/>
        <w:jc w:val="center"/>
        <w:rPr>
          <w:b/>
          <w:bCs/>
        </w:rPr>
      </w:pPr>
    </w:p>
    <w:p/>
    <w:sectPr>
      <w:footerReference r:id="rId10" w:type="first"/>
      <w:footerReference r:id="rId9" w:type="default"/>
      <w:pgSz w:w="11906" w:h="16838"/>
      <w:pgMar w:top="1985" w:right="1474" w:bottom="1871" w:left="1588" w:header="794"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
    <w:altName w:val="宋体"/>
    <w:panose1 w:val="00000000000000000000"/>
    <w:charset w:val="00"/>
    <w:family w:val="roma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847050"/>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494719"/>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BA504"/>
    <w:multiLevelType w:val="singleLevel"/>
    <w:tmpl w:val="AACBA504"/>
    <w:lvl w:ilvl="0" w:tentative="0">
      <w:start w:val="2"/>
      <w:numFmt w:val="chineseCounting"/>
      <w:suff w:val="nothing"/>
      <w:lvlText w:val="（%1）"/>
      <w:lvlJc w:val="left"/>
      <w:rPr>
        <w:rFonts w:hint="eastAsia"/>
      </w:rPr>
    </w:lvl>
  </w:abstractNum>
  <w:abstractNum w:abstractNumId="1">
    <w:nsid w:val="C18B510C"/>
    <w:multiLevelType w:val="singleLevel"/>
    <w:tmpl w:val="C18B510C"/>
    <w:lvl w:ilvl="0" w:tentative="0">
      <w:start w:val="9"/>
      <w:numFmt w:val="chineseCounting"/>
      <w:suff w:val="nothing"/>
      <w:lvlText w:val="%1、"/>
      <w:lvlJc w:val="left"/>
      <w:rPr>
        <w:rFonts w:hint="eastAsia"/>
      </w:rPr>
    </w:lvl>
  </w:abstractNum>
  <w:abstractNum w:abstractNumId="2">
    <w:nsid w:val="00000009"/>
    <w:multiLevelType w:val="singleLevel"/>
    <w:tmpl w:val="00000009"/>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3YTBkMmRiYWU4ODM1YTczNTM1ZGVmMTYzNjFiOTIifQ=="/>
  </w:docVars>
  <w:rsids>
    <w:rsidRoot w:val="0CC15AF7"/>
    <w:rsid w:val="00040546"/>
    <w:rsid w:val="0006787F"/>
    <w:rsid w:val="000B7FE8"/>
    <w:rsid w:val="00112896"/>
    <w:rsid w:val="0011764D"/>
    <w:rsid w:val="00135970"/>
    <w:rsid w:val="00147DAA"/>
    <w:rsid w:val="00172E74"/>
    <w:rsid w:val="00183F4F"/>
    <w:rsid w:val="001B1E28"/>
    <w:rsid w:val="001B3A40"/>
    <w:rsid w:val="001C3D06"/>
    <w:rsid w:val="001D6D16"/>
    <w:rsid w:val="001E6A35"/>
    <w:rsid w:val="00207855"/>
    <w:rsid w:val="00234A3E"/>
    <w:rsid w:val="00250EBF"/>
    <w:rsid w:val="00264860"/>
    <w:rsid w:val="00275674"/>
    <w:rsid w:val="002948D4"/>
    <w:rsid w:val="002C04F4"/>
    <w:rsid w:val="002C6DD5"/>
    <w:rsid w:val="00301EB1"/>
    <w:rsid w:val="003507CE"/>
    <w:rsid w:val="0037339D"/>
    <w:rsid w:val="00384A76"/>
    <w:rsid w:val="00384E15"/>
    <w:rsid w:val="00385154"/>
    <w:rsid w:val="003A0AAF"/>
    <w:rsid w:val="003A475C"/>
    <w:rsid w:val="003C21E9"/>
    <w:rsid w:val="003F57F1"/>
    <w:rsid w:val="0040503E"/>
    <w:rsid w:val="00410C61"/>
    <w:rsid w:val="00416166"/>
    <w:rsid w:val="004660AD"/>
    <w:rsid w:val="004C73D7"/>
    <w:rsid w:val="00524AF3"/>
    <w:rsid w:val="005274C4"/>
    <w:rsid w:val="00537F2D"/>
    <w:rsid w:val="00572900"/>
    <w:rsid w:val="005B419E"/>
    <w:rsid w:val="005F5F66"/>
    <w:rsid w:val="006C6B93"/>
    <w:rsid w:val="006D7769"/>
    <w:rsid w:val="006E0E3A"/>
    <w:rsid w:val="00703D94"/>
    <w:rsid w:val="0071697D"/>
    <w:rsid w:val="00720F36"/>
    <w:rsid w:val="00744605"/>
    <w:rsid w:val="007715EC"/>
    <w:rsid w:val="00772018"/>
    <w:rsid w:val="0077706B"/>
    <w:rsid w:val="00780839"/>
    <w:rsid w:val="007A73C8"/>
    <w:rsid w:val="00825A5F"/>
    <w:rsid w:val="00834D38"/>
    <w:rsid w:val="00874C8F"/>
    <w:rsid w:val="00875A48"/>
    <w:rsid w:val="00895DE3"/>
    <w:rsid w:val="008B57F9"/>
    <w:rsid w:val="009240BE"/>
    <w:rsid w:val="00930ADB"/>
    <w:rsid w:val="00935994"/>
    <w:rsid w:val="00947082"/>
    <w:rsid w:val="009713BF"/>
    <w:rsid w:val="00975CCE"/>
    <w:rsid w:val="009A55A3"/>
    <w:rsid w:val="009B6E93"/>
    <w:rsid w:val="009D4DA6"/>
    <w:rsid w:val="009E61DC"/>
    <w:rsid w:val="009F2A63"/>
    <w:rsid w:val="00A215E2"/>
    <w:rsid w:val="00A46A1F"/>
    <w:rsid w:val="00B212CB"/>
    <w:rsid w:val="00B27A39"/>
    <w:rsid w:val="00B34CC7"/>
    <w:rsid w:val="00B55DD5"/>
    <w:rsid w:val="00B7595D"/>
    <w:rsid w:val="00B8569F"/>
    <w:rsid w:val="00BB689E"/>
    <w:rsid w:val="00BC39E9"/>
    <w:rsid w:val="00BD3FD7"/>
    <w:rsid w:val="00C40C22"/>
    <w:rsid w:val="00CA4C3B"/>
    <w:rsid w:val="00CA5169"/>
    <w:rsid w:val="00CC23F5"/>
    <w:rsid w:val="00CD4CBB"/>
    <w:rsid w:val="00CD5CE1"/>
    <w:rsid w:val="00CE4D47"/>
    <w:rsid w:val="00CF6926"/>
    <w:rsid w:val="00D034C4"/>
    <w:rsid w:val="00D60EA0"/>
    <w:rsid w:val="00D96911"/>
    <w:rsid w:val="00DA5B47"/>
    <w:rsid w:val="00DD6E1B"/>
    <w:rsid w:val="00DF36BB"/>
    <w:rsid w:val="00E122DF"/>
    <w:rsid w:val="00E14BD9"/>
    <w:rsid w:val="00E34CBD"/>
    <w:rsid w:val="00E43EFE"/>
    <w:rsid w:val="00E8282A"/>
    <w:rsid w:val="00EA41CF"/>
    <w:rsid w:val="00EC7AC7"/>
    <w:rsid w:val="00ED24A8"/>
    <w:rsid w:val="00ED2CC4"/>
    <w:rsid w:val="00EF286C"/>
    <w:rsid w:val="00F06BFA"/>
    <w:rsid w:val="00F30F8C"/>
    <w:rsid w:val="00F45CC0"/>
    <w:rsid w:val="00F9796C"/>
    <w:rsid w:val="00FB0640"/>
    <w:rsid w:val="00FB23A5"/>
    <w:rsid w:val="00FD485C"/>
    <w:rsid w:val="00FE2084"/>
    <w:rsid w:val="014430C8"/>
    <w:rsid w:val="03C338D9"/>
    <w:rsid w:val="055E4EC5"/>
    <w:rsid w:val="07087589"/>
    <w:rsid w:val="075D72F9"/>
    <w:rsid w:val="0B312115"/>
    <w:rsid w:val="0C9366DC"/>
    <w:rsid w:val="0CC15AF7"/>
    <w:rsid w:val="0CF54FA0"/>
    <w:rsid w:val="0D5166E6"/>
    <w:rsid w:val="0E9C6B6B"/>
    <w:rsid w:val="0EAF40A4"/>
    <w:rsid w:val="0EEF668C"/>
    <w:rsid w:val="0F4E652C"/>
    <w:rsid w:val="13366A7A"/>
    <w:rsid w:val="139D7BF3"/>
    <w:rsid w:val="143614E3"/>
    <w:rsid w:val="1A066014"/>
    <w:rsid w:val="1D7027CB"/>
    <w:rsid w:val="1F574B03"/>
    <w:rsid w:val="214A67B4"/>
    <w:rsid w:val="26D842F1"/>
    <w:rsid w:val="274831BC"/>
    <w:rsid w:val="290E256A"/>
    <w:rsid w:val="2A750BB8"/>
    <w:rsid w:val="2B681C11"/>
    <w:rsid w:val="2C347894"/>
    <w:rsid w:val="2C364F95"/>
    <w:rsid w:val="2C46161C"/>
    <w:rsid w:val="2EEC59DD"/>
    <w:rsid w:val="2FF396B2"/>
    <w:rsid w:val="31242C63"/>
    <w:rsid w:val="31930D46"/>
    <w:rsid w:val="31D15CA8"/>
    <w:rsid w:val="326D0948"/>
    <w:rsid w:val="34117CE9"/>
    <w:rsid w:val="3554030D"/>
    <w:rsid w:val="35CC5E7F"/>
    <w:rsid w:val="375949E6"/>
    <w:rsid w:val="39371DF9"/>
    <w:rsid w:val="3C545CA9"/>
    <w:rsid w:val="3D0009F8"/>
    <w:rsid w:val="3E201779"/>
    <w:rsid w:val="3F6FEB17"/>
    <w:rsid w:val="41C7252F"/>
    <w:rsid w:val="439C7612"/>
    <w:rsid w:val="460C7715"/>
    <w:rsid w:val="47613E2A"/>
    <w:rsid w:val="47B57E4D"/>
    <w:rsid w:val="49E068EE"/>
    <w:rsid w:val="4BEFFB8C"/>
    <w:rsid w:val="4C237A7B"/>
    <w:rsid w:val="4CF3C17E"/>
    <w:rsid w:val="4F4B7F6C"/>
    <w:rsid w:val="50283814"/>
    <w:rsid w:val="516A0618"/>
    <w:rsid w:val="53362C11"/>
    <w:rsid w:val="5385101B"/>
    <w:rsid w:val="55BF6318"/>
    <w:rsid w:val="572A13B5"/>
    <w:rsid w:val="58D86AD8"/>
    <w:rsid w:val="594020F2"/>
    <w:rsid w:val="5AB25627"/>
    <w:rsid w:val="5C9A22F9"/>
    <w:rsid w:val="5D324FF2"/>
    <w:rsid w:val="5DDB128C"/>
    <w:rsid w:val="5E932259"/>
    <w:rsid w:val="64F74D72"/>
    <w:rsid w:val="64FB3F8E"/>
    <w:rsid w:val="67325B5A"/>
    <w:rsid w:val="67FB7C87"/>
    <w:rsid w:val="6A07154D"/>
    <w:rsid w:val="6C6F23A2"/>
    <w:rsid w:val="6C9764EC"/>
    <w:rsid w:val="6CF272CA"/>
    <w:rsid w:val="6E9EEC01"/>
    <w:rsid w:val="6FEFCEA3"/>
    <w:rsid w:val="72396FF1"/>
    <w:rsid w:val="75BE23FF"/>
    <w:rsid w:val="7613091A"/>
    <w:rsid w:val="775E5A6C"/>
    <w:rsid w:val="77F7E7E7"/>
    <w:rsid w:val="7969243C"/>
    <w:rsid w:val="79BA0862"/>
    <w:rsid w:val="7CF52D34"/>
    <w:rsid w:val="7DA8663E"/>
    <w:rsid w:val="7DC833AD"/>
    <w:rsid w:val="7DEB02EE"/>
    <w:rsid w:val="7DF215C2"/>
    <w:rsid w:val="7EEB7219"/>
    <w:rsid w:val="7F141E7D"/>
    <w:rsid w:val="7F578C26"/>
    <w:rsid w:val="7FFF3030"/>
    <w:rsid w:val="9FF925DB"/>
    <w:rsid w:val="ABFB8267"/>
    <w:rsid w:val="AEFFE6B5"/>
    <w:rsid w:val="C27FB837"/>
    <w:rsid w:val="C4BB3C94"/>
    <w:rsid w:val="DEFB3F3C"/>
    <w:rsid w:val="DF3F4054"/>
    <w:rsid w:val="F7BDF666"/>
    <w:rsid w:val="FA9B804D"/>
    <w:rsid w:val="FF3BE6D0"/>
    <w:rsid w:val="FF5ED3F4"/>
    <w:rsid w:val="FF73EA0F"/>
    <w:rsid w:val="FF97EABC"/>
    <w:rsid w:val="FFD8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6">
    <w:name w:val="Normal Indent"/>
    <w:basedOn w:val="1"/>
    <w:next w:val="2"/>
    <w:autoRedefine/>
    <w:qFormat/>
    <w:uiPriority w:val="0"/>
    <w:pPr>
      <w:ind w:firstLine="420" w:firstLineChars="200"/>
    </w:pPr>
    <w:rPr>
      <w:kern w:val="0"/>
      <w:sz w:val="20"/>
    </w:rPr>
  </w:style>
  <w:style w:type="paragraph" w:styleId="7">
    <w:name w:val="annotation text"/>
    <w:basedOn w:val="1"/>
    <w:link w:val="40"/>
    <w:autoRedefine/>
    <w:qFormat/>
    <w:uiPriority w:val="0"/>
    <w:pPr>
      <w:jc w:val="left"/>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39"/>
    <w:pPr>
      <w:ind w:left="420"/>
      <w:jc w:val="left"/>
    </w:pPr>
    <w:rPr>
      <w:rFonts w:ascii="Calibri" w:hAnsi="Calibri"/>
      <w:i/>
      <w:iCs/>
      <w:sz w:val="20"/>
      <w:szCs w:val="20"/>
    </w:rPr>
  </w:style>
  <w:style w:type="paragraph" w:styleId="10">
    <w:name w:val="Plain Text"/>
    <w:basedOn w:val="1"/>
    <w:next w:val="11"/>
    <w:autoRedefine/>
    <w:qFormat/>
    <w:uiPriority w:val="0"/>
    <w:rPr>
      <w:rFonts w:ascii="宋体" w:hAnsi="Courier New"/>
      <w:kern w:val="0"/>
      <w:sz w:val="20"/>
      <w:szCs w:val="20"/>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Date"/>
    <w:next w:val="1"/>
    <w:autoRedefine/>
    <w:qFormat/>
    <w:uiPriority w:val="99"/>
    <w:pPr>
      <w:widowControl w:val="0"/>
      <w:adjustRightInd w:val="0"/>
      <w:spacing w:line="360" w:lineRule="atLeast"/>
      <w:textAlignment w:val="baseline"/>
    </w:pPr>
    <w:rPr>
      <w:rFonts w:ascii="宋体" w:hAnsi="Calibri" w:eastAsia="宋体" w:cs="Times New Roman"/>
      <w:position w:val="20"/>
      <w:sz w:val="24"/>
      <w:szCs w:val="22"/>
      <w:lang w:val="en-US" w:eastAsia="zh-CN" w:bidi="ar-SA"/>
    </w:rPr>
  </w:style>
  <w:style w:type="paragraph" w:styleId="13">
    <w:name w:val="Body Text Indent 2"/>
    <w:basedOn w:val="1"/>
    <w:autoRedefine/>
    <w:qFormat/>
    <w:uiPriority w:val="99"/>
    <w:pPr>
      <w:spacing w:after="120" w:line="480" w:lineRule="auto"/>
      <w:ind w:left="420" w:leftChars="200"/>
    </w:pPr>
  </w:style>
  <w:style w:type="paragraph" w:styleId="14">
    <w:name w:val="Balloon Text"/>
    <w:basedOn w:val="1"/>
    <w:link w:val="38"/>
    <w:autoRedefine/>
    <w:qFormat/>
    <w:uiPriority w:val="0"/>
    <w:rPr>
      <w:sz w:val="18"/>
      <w:szCs w:val="18"/>
    </w:rPr>
  </w:style>
  <w:style w:type="paragraph" w:styleId="15">
    <w:name w:val="footer"/>
    <w:basedOn w:val="1"/>
    <w:link w:val="42"/>
    <w:autoRedefine/>
    <w:qFormat/>
    <w:uiPriority w:val="99"/>
    <w:pPr>
      <w:tabs>
        <w:tab w:val="center" w:pos="4153"/>
        <w:tab w:val="right" w:pos="8306"/>
      </w:tabs>
      <w:snapToGrid w:val="0"/>
      <w:jc w:val="left"/>
    </w:pPr>
    <w:rPr>
      <w:kern w:val="0"/>
      <w:sz w:val="18"/>
      <w:szCs w:val="18"/>
    </w:rPr>
  </w:style>
  <w:style w:type="paragraph" w:styleId="16">
    <w:name w:val="header"/>
    <w:basedOn w:val="1"/>
    <w:autoRedefine/>
    <w:qFormat/>
    <w:uiPriority w:val="0"/>
    <w:pPr>
      <w:pBdr>
        <w:bottom w:val="single" w:color="auto" w:sz="6" w:space="0"/>
      </w:pBdr>
      <w:tabs>
        <w:tab w:val="center" w:pos="4153"/>
        <w:tab w:val="right" w:pos="8306"/>
      </w:tabs>
      <w:snapToGrid w:val="0"/>
      <w:jc w:val="center"/>
    </w:pPr>
    <w:rPr>
      <w:kern w:val="0"/>
      <w:sz w:val="18"/>
      <w:szCs w:val="18"/>
    </w:rPr>
  </w:style>
  <w:style w:type="paragraph" w:styleId="17">
    <w:name w:val="toc 1"/>
    <w:basedOn w:val="1"/>
    <w:next w:val="1"/>
    <w:autoRedefine/>
    <w:qFormat/>
    <w:uiPriority w:val="39"/>
    <w:pPr>
      <w:spacing w:before="120" w:after="120"/>
      <w:jc w:val="left"/>
    </w:pPr>
    <w:rPr>
      <w:rFonts w:ascii="Calibri" w:hAnsi="Calibri"/>
      <w:b/>
      <w:bCs/>
      <w:caps/>
      <w:sz w:val="20"/>
      <w:szCs w:val="20"/>
    </w:rPr>
  </w:style>
  <w:style w:type="paragraph" w:styleId="18">
    <w:name w:val="toc 2"/>
    <w:basedOn w:val="1"/>
    <w:next w:val="1"/>
    <w:autoRedefine/>
    <w:qFormat/>
    <w:uiPriority w:val="39"/>
    <w:pPr>
      <w:ind w:left="210"/>
      <w:jc w:val="left"/>
    </w:pPr>
    <w:rPr>
      <w:rFonts w:ascii="Calibri" w:hAnsi="Calibri"/>
      <w:smallCaps/>
      <w:sz w:val="20"/>
      <w:szCs w:val="20"/>
    </w:rPr>
  </w:style>
  <w:style w:type="paragraph" w:styleId="19">
    <w:name w:val="Normal (Web)"/>
    <w:basedOn w:val="1"/>
    <w:autoRedefine/>
    <w:qFormat/>
    <w:uiPriority w:val="99"/>
    <w:pPr>
      <w:widowControl/>
      <w:spacing w:before="100" w:beforeAutospacing="1" w:after="100" w:afterAutospacing="1"/>
      <w:jc w:val="left"/>
    </w:pPr>
    <w:rPr>
      <w:kern w:val="0"/>
      <w:sz w:val="24"/>
    </w:rPr>
  </w:style>
  <w:style w:type="paragraph" w:styleId="20">
    <w:name w:val="Title"/>
    <w:basedOn w:val="1"/>
    <w:next w:val="1"/>
    <w:autoRedefine/>
    <w:qFormat/>
    <w:uiPriority w:val="0"/>
    <w:pPr>
      <w:spacing w:before="240" w:after="60"/>
      <w:jc w:val="center"/>
      <w:outlineLvl w:val="0"/>
    </w:pPr>
    <w:rPr>
      <w:rFonts w:ascii="Arial" w:hAnsi="Arial" w:eastAsia="隶书"/>
      <w:b/>
      <w:bCs/>
      <w:sz w:val="32"/>
      <w:szCs w:val="32"/>
    </w:rPr>
  </w:style>
  <w:style w:type="paragraph" w:styleId="21">
    <w:name w:val="annotation subject"/>
    <w:basedOn w:val="7"/>
    <w:next w:val="7"/>
    <w:link w:val="41"/>
    <w:autoRedefine/>
    <w:qFormat/>
    <w:uiPriority w:val="0"/>
    <w:rPr>
      <w:b/>
      <w:bCs/>
    </w:rPr>
  </w:style>
  <w:style w:type="paragraph" w:styleId="22">
    <w:name w:val="Body Text First Indent 2"/>
    <w:basedOn w:val="8"/>
    <w:autoRedefine/>
    <w:qFormat/>
    <w:uiPriority w:val="0"/>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autoRedefine/>
    <w:qFormat/>
    <w:uiPriority w:val="0"/>
    <w:rPr>
      <w:color w:val="0000FF"/>
      <w:u w:val="single"/>
    </w:rPr>
  </w:style>
  <w:style w:type="character" w:styleId="27">
    <w:name w:val="annotation reference"/>
    <w:basedOn w:val="25"/>
    <w:autoRedefine/>
    <w:qFormat/>
    <w:uiPriority w:val="0"/>
    <w:rPr>
      <w:sz w:val="21"/>
      <w:szCs w:val="21"/>
    </w:rPr>
  </w:style>
  <w:style w:type="paragraph" w:styleId="28">
    <w:name w:val="Quote"/>
    <w:next w:val="1"/>
    <w:autoRedefine/>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9">
    <w:name w:val="彩色列表 - 强调文字颜色 111"/>
    <w:basedOn w:val="1"/>
    <w:autoRedefine/>
    <w:qFormat/>
    <w:uiPriority w:val="0"/>
    <w:pPr>
      <w:ind w:firstLine="420" w:firstLineChars="200"/>
    </w:pPr>
  </w:style>
  <w:style w:type="paragraph" w:customStyle="1" w:styleId="30">
    <w:name w:val="*正文"/>
    <w:basedOn w:val="1"/>
    <w:autoRedefine/>
    <w:qFormat/>
    <w:uiPriority w:val="0"/>
    <w:pPr>
      <w:spacing w:line="360" w:lineRule="auto"/>
      <w:ind w:firstLine="200" w:firstLineChars="200"/>
    </w:pPr>
    <w:rPr>
      <w:rFonts w:ascii="宋体" w:hAnsi="宋体"/>
      <w:kern w:val="0"/>
      <w:sz w:val="22"/>
    </w:rPr>
  </w:style>
  <w:style w:type="paragraph" w:customStyle="1" w:styleId="31">
    <w:name w:val="USE 1"/>
    <w:basedOn w:val="1"/>
    <w:autoRedefine/>
    <w:qFormat/>
    <w:uiPriority w:val="0"/>
    <w:pPr>
      <w:spacing w:line="200" w:lineRule="atLeast"/>
      <w:jc w:val="left"/>
    </w:pPr>
    <w:rPr>
      <w:rFonts w:ascii="宋体" w:hAnsi="宋体"/>
      <w:b/>
      <w:sz w:val="24"/>
      <w:szCs w:val="28"/>
    </w:rPr>
  </w:style>
  <w:style w:type="paragraph" w:styleId="32">
    <w:name w:val="List Paragraph"/>
    <w:basedOn w:val="1"/>
    <w:autoRedefine/>
    <w:qFormat/>
    <w:uiPriority w:val="34"/>
    <w:pPr>
      <w:ind w:firstLine="420" w:firstLineChars="200"/>
    </w:pPr>
  </w:style>
  <w:style w:type="paragraph" w:customStyle="1" w:styleId="33">
    <w:name w:val="正文1"/>
    <w:basedOn w:val="1"/>
    <w:autoRedefine/>
    <w:qFormat/>
    <w:uiPriority w:val="0"/>
    <w:pPr>
      <w:tabs>
        <w:tab w:val="left" w:pos="4"/>
      </w:tabs>
    </w:pPr>
    <w:rPr>
      <w:rFonts w:ascii="宋体" w:hAnsi="宋体"/>
      <w:sz w:val="18"/>
    </w:rPr>
  </w:style>
  <w:style w:type="paragraph" w:customStyle="1" w:styleId="34">
    <w:name w:val="样式 首行缩进:  2 字符"/>
    <w:basedOn w:val="1"/>
    <w:autoRedefine/>
    <w:qFormat/>
    <w:uiPriority w:val="0"/>
    <w:pPr>
      <w:spacing w:line="360" w:lineRule="auto"/>
      <w:ind w:firstLine="480" w:firstLineChars="200"/>
    </w:pPr>
    <w:rPr>
      <w:rFonts w:cs="宋体"/>
      <w:sz w:val="24"/>
      <w:szCs w:val="20"/>
    </w:rPr>
  </w:style>
  <w:style w:type="character" w:customStyle="1" w:styleId="35">
    <w:name w:val="15"/>
    <w:basedOn w:val="25"/>
    <w:autoRedefine/>
    <w:qFormat/>
    <w:uiPriority w:val="0"/>
    <w:rPr>
      <w:rFonts w:hint="default" w:ascii="Times New Roman" w:hAnsi="Times New Roman" w:eastAsia="宋体" w:cs="Times New Roman"/>
    </w:rPr>
  </w:style>
  <w:style w:type="paragraph" w:customStyle="1" w:styleId="3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批注框文本 字符"/>
    <w:basedOn w:val="25"/>
    <w:link w:val="14"/>
    <w:autoRedefine/>
    <w:qFormat/>
    <w:uiPriority w:val="0"/>
    <w:rPr>
      <w:kern w:val="2"/>
      <w:sz w:val="18"/>
      <w:szCs w:val="18"/>
    </w:rPr>
  </w:style>
  <w:style w:type="paragraph" w:customStyle="1" w:styleId="39">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批注文字 字符"/>
    <w:basedOn w:val="25"/>
    <w:link w:val="7"/>
    <w:autoRedefine/>
    <w:qFormat/>
    <w:uiPriority w:val="0"/>
    <w:rPr>
      <w:kern w:val="2"/>
      <w:sz w:val="21"/>
      <w:szCs w:val="24"/>
    </w:rPr>
  </w:style>
  <w:style w:type="character" w:customStyle="1" w:styleId="41">
    <w:name w:val="批注主题 字符"/>
    <w:basedOn w:val="40"/>
    <w:link w:val="21"/>
    <w:autoRedefine/>
    <w:qFormat/>
    <w:uiPriority w:val="0"/>
    <w:rPr>
      <w:b/>
      <w:bCs/>
      <w:kern w:val="2"/>
      <w:sz w:val="21"/>
      <w:szCs w:val="24"/>
    </w:rPr>
  </w:style>
  <w:style w:type="character" w:customStyle="1" w:styleId="42">
    <w:name w:val="页脚 字符"/>
    <w:basedOn w:val="25"/>
    <w:link w:val="15"/>
    <w:autoRedefine/>
    <w:qFormat/>
    <w:uiPriority w:val="99"/>
    <w:rPr>
      <w:sz w:val="18"/>
      <w:szCs w:val="18"/>
    </w:rPr>
  </w:style>
  <w:style w:type="paragraph" w:customStyle="1" w:styleId="43">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052CB-091A-477A-BEC3-D6656FBBC5A7}">
  <ds:schemaRefs/>
</ds:datastoreItem>
</file>

<file path=docProps/app.xml><?xml version="1.0" encoding="utf-8"?>
<Properties xmlns="http://schemas.openxmlformats.org/officeDocument/2006/extended-properties" xmlns:vt="http://schemas.openxmlformats.org/officeDocument/2006/docPropsVTypes">
  <Template>Normal.dotm</Template>
  <Pages>72</Pages>
  <Words>7953</Words>
  <Characters>45337</Characters>
  <Lines>377</Lines>
  <Paragraphs>106</Paragraphs>
  <TotalTime>0</TotalTime>
  <ScaleCrop>false</ScaleCrop>
  <LinksUpToDate>false</LinksUpToDate>
  <CharactersWithSpaces>53184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2023-10-18T09:51:00Z</dcterms:created>
  <dc:creator>DEVILYyyy</dc:creator>
  <cp:lastModifiedBy>DEVILYyyy</cp:lastModifiedBy>
  <cp:lastPrinted>2023-10-16T09:45:00Z</cp:lastPrinted>
  <dcterms:modified xsi:type="dcterms:W3CDTF">2024-03-12T02:27:47Z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9661F5ECB9C649B79DCA76C1BE14032F_13</vt:lpwstr>
  </property>
</Properties>
</file>