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57"/>
        <w:ind w:firstLine="420"/>
        <w:rPr>
          <w:rFonts w:ascii="宋体" w:hAnsi="宋体" w:cs="宋体"/>
        </w:rPr>
      </w:pPr>
    </w:p>
    <w:p>
      <w:pPr>
        <w:pStyle w:val="57"/>
        <w:ind w:firstLine="420"/>
        <w:rPr>
          <w:rFonts w:ascii="宋体" w:hAnsi="宋体" w:cs="宋体"/>
        </w:rPr>
      </w:pPr>
    </w:p>
    <w:p>
      <w:pPr>
        <w:rPr>
          <w:rFonts w:ascii="宋体" w:hAnsi="宋体" w:cs="宋体"/>
          <w:b/>
          <w:sz w:val="44"/>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招标编号：QH2023127</w:t>
      </w:r>
    </w:p>
    <w:p>
      <w:pPr>
        <w:pStyle w:val="57"/>
        <w:ind w:firstLine="420"/>
        <w:rPr>
          <w:rFonts w:ascii="宋体" w:hAnsi="宋体" w:cs="宋体"/>
        </w:rPr>
      </w:pPr>
    </w:p>
    <w:p>
      <w:pPr>
        <w:pStyle w:val="57"/>
        <w:ind w:firstLine="420"/>
        <w:rPr>
          <w:rFonts w:ascii="宋体" w:hAnsi="宋体" w:cs="宋体"/>
        </w:rPr>
      </w:pPr>
    </w:p>
    <w:p>
      <w:pPr>
        <w:pStyle w:val="57"/>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招标项目：《前海深港现代服务业合作区改革发展蓝皮书（2023年）》咨询项目</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pStyle w:val="16"/>
        <w:ind w:firstLine="883"/>
        <w:rPr>
          <w:rFonts w:ascii="宋体" w:hAnsi="宋体" w:cs="宋体"/>
          <w:b/>
          <w:sz w:val="44"/>
        </w:rPr>
      </w:pPr>
    </w:p>
    <w:p>
      <w:pPr>
        <w:rPr>
          <w:rFonts w:ascii="宋体" w:hAnsi="宋体" w:cs="宋体"/>
          <w:b/>
          <w:sz w:val="44"/>
        </w:rPr>
      </w:pPr>
    </w:p>
    <w:p>
      <w:pPr>
        <w:pStyle w:val="16"/>
        <w:ind w:firstLine="640"/>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2023年1</w:t>
      </w:r>
      <w:r>
        <w:rPr>
          <w:rFonts w:hint="eastAsia" w:ascii="宋体" w:hAnsi="宋体" w:cs="宋体"/>
          <w:b/>
          <w:bCs/>
          <w:sz w:val="36"/>
          <w:szCs w:val="36"/>
          <w:lang w:val="en-US" w:eastAsia="zh-CN"/>
        </w:rPr>
        <w:t>1</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9"/>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w:t>
      </w:r>
      <w:r>
        <w:rPr>
          <w:rFonts w:hint="eastAsia" w:ascii="宋体" w:hAnsi="宋体" w:cs="宋体"/>
          <w:sz w:val="24"/>
          <w:lang w:eastAsia="zh-CN"/>
        </w:rPr>
        <w:t>法律法规</w:t>
      </w:r>
      <w:r>
        <w:rPr>
          <w:rFonts w:hint="eastAsia" w:ascii="宋体" w:hAnsi="宋体" w:cs="宋体"/>
          <w:sz w:val="24"/>
        </w:rPr>
        <w:t>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w:t>
      </w:r>
      <w:r>
        <w:rPr>
          <w:rFonts w:hint="eastAsia" w:ascii="宋体" w:hAnsi="宋体" w:cs="宋体"/>
          <w:sz w:val="24"/>
          <w:lang w:eastAsia="zh-CN"/>
        </w:rPr>
        <w:t>十七条</w:t>
      </w:r>
      <w:r>
        <w:rPr>
          <w:rFonts w:hint="eastAsia" w:ascii="宋体" w:hAnsi="宋体" w:cs="宋体"/>
          <w:sz w:val="24"/>
        </w:rPr>
        <w:t>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1" w:name="_Toc20808"/>
      <w:r>
        <w:rPr>
          <w:rFonts w:hint="eastAsia" w:ascii="宋体" w:hAnsi="宋体" w:cs="宋体"/>
          <w:b/>
          <w:bCs/>
          <w:sz w:val="36"/>
          <w:szCs w:val="36"/>
          <w:lang w:val="zh-CN"/>
        </w:rPr>
        <w:t>目录</w:t>
      </w:r>
      <w:bookmarkEnd w:id="0"/>
      <w:bookmarkEnd w:id="1"/>
    </w:p>
    <w:p>
      <w:pPr>
        <w:pStyle w:val="15"/>
        <w:tabs>
          <w:tab w:val="right" w:leader="dot" w:pos="8306"/>
        </w:tabs>
        <w:spacing w:line="480" w:lineRule="auto"/>
        <w:rPr>
          <w:b/>
          <w:bCs/>
          <w:sz w:val="24"/>
          <w:szCs w:val="32"/>
        </w:rPr>
      </w:pPr>
    </w:p>
    <w:p>
      <w:pPr>
        <w:pStyle w:val="15"/>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5</w:t>
      </w:r>
      <w:r>
        <w:rPr>
          <w:b/>
          <w:bCs/>
          <w:sz w:val="24"/>
        </w:rPr>
        <w:fldChar w:fldCharType="end"/>
      </w:r>
      <w:r>
        <w:rPr>
          <w:b/>
          <w:bCs/>
          <w:sz w:val="24"/>
        </w:rPr>
        <w:fldChar w:fldCharType="end"/>
      </w:r>
    </w:p>
    <w:p>
      <w:pPr>
        <w:pStyle w:val="15"/>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8</w:t>
      </w:r>
      <w:r>
        <w:rPr>
          <w:b/>
          <w:bCs/>
          <w:sz w:val="24"/>
        </w:rPr>
        <w:fldChar w:fldCharType="end"/>
      </w:r>
      <w:r>
        <w:rPr>
          <w:b/>
          <w:bCs/>
          <w:sz w:val="24"/>
        </w:rPr>
        <w:fldChar w:fldCharType="end"/>
      </w:r>
    </w:p>
    <w:p>
      <w:pPr>
        <w:pStyle w:val="15"/>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11</w:t>
      </w:r>
      <w:r>
        <w:rPr>
          <w:b/>
          <w:bCs/>
          <w:sz w:val="24"/>
        </w:rPr>
        <w:fldChar w:fldCharType="end"/>
      </w:r>
      <w:r>
        <w:rPr>
          <w:b/>
          <w:bCs/>
          <w:sz w:val="24"/>
        </w:rPr>
        <w:fldChar w:fldCharType="end"/>
      </w:r>
    </w:p>
    <w:p>
      <w:pPr>
        <w:pStyle w:val="15"/>
        <w:tabs>
          <w:tab w:val="right" w:leader="dot" w:pos="8306"/>
        </w:tabs>
        <w:spacing w:line="360" w:lineRule="auto"/>
        <w:rPr>
          <w:rFonts w:hint="default" w:eastAsia="宋体"/>
          <w:b/>
          <w:bCs/>
          <w:sz w:val="24"/>
          <w:lang w:val="en-US" w:eastAsia="zh-CN"/>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end"/>
      </w:r>
      <w:r>
        <w:rPr>
          <w:rFonts w:hint="eastAsia"/>
          <w:b/>
          <w:bCs/>
          <w:sz w:val="24"/>
          <w:lang w:val="en-US" w:eastAsia="zh-CN"/>
        </w:rPr>
        <w:t>13</w:t>
      </w:r>
    </w:p>
    <w:p>
      <w:pPr>
        <w:pStyle w:val="15"/>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begin"/>
      </w:r>
      <w:r>
        <w:rPr>
          <w:b/>
          <w:bCs/>
          <w:sz w:val="24"/>
        </w:rPr>
        <w:instrText xml:space="preserve"> PAGEREF _Toc25518 \h </w:instrText>
      </w:r>
      <w:r>
        <w:rPr>
          <w:b/>
          <w:bCs/>
          <w:sz w:val="24"/>
        </w:rPr>
        <w:fldChar w:fldCharType="separate"/>
      </w:r>
      <w:r>
        <w:rPr>
          <w:b/>
          <w:bCs/>
          <w:sz w:val="24"/>
        </w:rPr>
        <w:t>28</w:t>
      </w:r>
      <w:r>
        <w:rPr>
          <w:b/>
          <w:bCs/>
          <w:sz w:val="24"/>
        </w:rPr>
        <w:fldChar w:fldCharType="end"/>
      </w:r>
      <w:r>
        <w:rPr>
          <w:b/>
          <w:bCs/>
          <w:sz w:val="24"/>
        </w:rPr>
        <w:fldChar w:fldCharType="end"/>
      </w:r>
    </w:p>
    <w:p>
      <w:pPr>
        <w:pStyle w:val="15"/>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begin"/>
      </w:r>
      <w:r>
        <w:rPr>
          <w:b/>
          <w:bCs/>
          <w:sz w:val="24"/>
        </w:rPr>
        <w:instrText xml:space="preserve"> PAGEREF _Toc23822 \h </w:instrText>
      </w:r>
      <w:r>
        <w:rPr>
          <w:b/>
          <w:bCs/>
          <w:sz w:val="24"/>
        </w:rPr>
        <w:fldChar w:fldCharType="separate"/>
      </w:r>
      <w:r>
        <w:rPr>
          <w:b/>
          <w:bCs/>
          <w:sz w:val="24"/>
        </w:rPr>
        <w:t>34</w:t>
      </w:r>
      <w:r>
        <w:rPr>
          <w:b/>
          <w:bCs/>
          <w:sz w:val="24"/>
        </w:rPr>
        <w:fldChar w:fldCharType="end"/>
      </w:r>
      <w:r>
        <w:rPr>
          <w:b/>
          <w:bCs/>
          <w:sz w:val="24"/>
        </w:rPr>
        <w:fldChar w:fldCharType="end"/>
      </w:r>
    </w:p>
    <w:p>
      <w:pPr>
        <w:pStyle w:val="15"/>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t>41</w:t>
      </w:r>
      <w:r>
        <w:rPr>
          <w:b/>
          <w:bCs/>
          <w:sz w:val="24"/>
        </w:rPr>
        <w:fldChar w:fldCharType="end"/>
      </w:r>
    </w:p>
    <w:p>
      <w:pPr>
        <w:pStyle w:val="15"/>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t>60</w:t>
      </w:r>
      <w:r>
        <w:rPr>
          <w:b/>
          <w:bCs/>
          <w:sz w:val="24"/>
        </w:rPr>
        <w:fldChar w:fldCharType="end"/>
      </w:r>
    </w:p>
    <w:p>
      <w:pPr>
        <w:pStyle w:val="15"/>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17273"/>
      <w:r>
        <w:rPr>
          <w:rFonts w:hint="eastAsia" w:ascii="宋体" w:hAnsi="宋体" w:cs="宋体"/>
          <w:b/>
          <w:bCs/>
          <w:sz w:val="24"/>
        </w:rPr>
        <w:t>招标邀请书（招标公告）</w:t>
      </w:r>
      <w:bookmarkEnd w:id="2"/>
    </w:p>
    <w:p>
      <w:pPr>
        <w:spacing w:line="360" w:lineRule="auto"/>
        <w:ind w:firstLine="480" w:firstLineChars="200"/>
        <w:rPr>
          <w:rFonts w:ascii="宋体" w:hAnsi="宋体" w:cs="宋体"/>
          <w:sz w:val="24"/>
        </w:rPr>
      </w:pPr>
      <w:r>
        <w:rPr>
          <w:rFonts w:hint="eastAsia" w:ascii="宋体" w:hAnsi="宋体" w:cs="宋体"/>
          <w:sz w:val="24"/>
        </w:rPr>
        <w:t>友和保险经纪有限公司（以下简称采购代理机构）受深圳市前海深港现代服务业合作区管理局委托就“</w:t>
      </w:r>
      <w:r>
        <w:rPr>
          <w:rFonts w:hint="eastAsia" w:ascii="宋体" w:hAnsi="宋体" w:cs="宋体"/>
          <w:sz w:val="24"/>
          <w:u w:val="single"/>
        </w:rPr>
        <w:t>《前海深港现代服务业合作区改革发展蓝皮书（2023年）》</w:t>
      </w:r>
      <w:r>
        <w:rPr>
          <w:rFonts w:hint="eastAsia" w:ascii="宋体" w:hAnsi="宋体" w:cs="宋体"/>
          <w:sz w:val="24"/>
        </w:rPr>
        <w:t>（招标编号：</w:t>
      </w:r>
      <w:r>
        <w:rPr>
          <w:rFonts w:hint="eastAsia" w:ascii="宋体" w:hAnsi="宋体" w:cs="宋体"/>
          <w:sz w:val="24"/>
          <w:u w:val="single"/>
        </w:rPr>
        <w:t>QH2023</w:t>
      </w:r>
      <w:r>
        <w:rPr>
          <w:rFonts w:hint="eastAsia" w:ascii="宋体" w:hAnsi="宋体" w:cs="宋体"/>
          <w:sz w:val="24"/>
          <w:u w:val="single"/>
          <w:lang w:val="en-US" w:eastAsia="zh-CN"/>
        </w:rPr>
        <w:t>127</w:t>
      </w:r>
      <w:r>
        <w:rPr>
          <w:rFonts w:hint="eastAsia" w:ascii="宋体" w:hAnsi="宋体" w:cs="宋体"/>
          <w:sz w:val="24"/>
        </w:rPr>
        <w:t>）”采用简易招标方式采购，欢迎符合投标人资格要求的专业供应商积极参加投标。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hint="default" w:ascii="宋体" w:hAnsi="宋体" w:eastAsia="宋体" w:cs="宋体"/>
                <w:sz w:val="24"/>
                <w:lang w:val="en-US" w:eastAsia="zh-CN"/>
              </w:rPr>
            </w:pPr>
            <w:r>
              <w:rPr>
                <w:rFonts w:hint="eastAsia" w:ascii="宋体" w:hAnsi="宋体" w:cs="宋体"/>
                <w:sz w:val="24"/>
              </w:rPr>
              <w:t>QH2023</w:t>
            </w:r>
            <w:r>
              <w:rPr>
                <w:rFonts w:hint="eastAsia" w:ascii="宋体" w:hAnsi="宋体" w:cs="宋体"/>
                <w:sz w:val="24"/>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《前海深港现代服务业合作区改革发展蓝皮书（2023年）》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64"/>
              <w:spacing w:line="560" w:lineRule="exact"/>
              <w:jc w:val="both"/>
            </w:pPr>
            <w:r>
              <w:rPr>
                <w:rFonts w:hint="eastAsia" w:ascii="宋体" w:hAnsi="宋体" w:cs="宋体"/>
                <w:kern w:val="2"/>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798</w:t>
            </w:r>
            <w:r>
              <w:rPr>
                <w:rFonts w:hint="eastAsia" w:ascii="宋体" w:hAnsi="宋体" w:cs="宋体"/>
                <w:sz w:val="24"/>
              </w:rPr>
              <w:t>,000.00（人民币柒拾玖万捌仟元）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w:t>
            </w:r>
            <w:r>
              <w:rPr>
                <w:rFonts w:hint="eastAsia" w:ascii="宋体" w:hAnsi="宋体" w:cs="宋体"/>
                <w:kern w:val="0"/>
                <w:sz w:val="24"/>
                <w:lang w:eastAsia="zh-CN"/>
              </w:rPr>
              <w:t>（</w:t>
            </w:r>
            <w:r>
              <w:rPr>
                <w:rFonts w:hint="eastAsia" w:ascii="宋体" w:hAnsi="宋体" w:cs="宋体"/>
                <w:kern w:val="0"/>
                <w:sz w:val="24"/>
              </w:rPr>
              <w:t>http://qh.sz.gov.cn/</w:t>
            </w:r>
            <w:r>
              <w:rPr>
                <w:rFonts w:hint="eastAsia" w:ascii="宋体" w:hAnsi="宋体" w:cs="宋体"/>
                <w:kern w:val="0"/>
                <w:sz w:val="24"/>
                <w:lang w:eastAsia="zh-CN"/>
              </w:rPr>
              <w:t>）</w:t>
            </w:r>
            <w:r>
              <w:rPr>
                <w:rFonts w:hint="eastAsia" w:ascii="宋体" w:hAnsi="宋体" w:cs="宋体"/>
                <w:kern w:val="0"/>
                <w:sz w:val="24"/>
              </w:rPr>
              <w:t>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本项目</w:t>
            </w:r>
          </w:p>
          <w:p>
            <w:pPr>
              <w:spacing w:line="360" w:lineRule="auto"/>
              <w:jc w:val="center"/>
              <w:rPr>
                <w:rFonts w:ascii="宋体" w:hAnsi="宋体" w:cs="宋体"/>
                <w:kern w:val="0"/>
                <w:sz w:val="24"/>
              </w:rPr>
            </w:pPr>
            <w:r>
              <w:rPr>
                <w:rFonts w:hint="eastAsia" w:ascii="宋体" w:hAnsi="宋体" w:cs="宋体"/>
                <w:kern w:val="0"/>
                <w:sz w:val="24"/>
              </w:rPr>
              <w:t>所属行业</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u w:val="single"/>
              </w:rPr>
            </w:pPr>
            <w:r>
              <w:rPr>
                <w:rFonts w:hint="eastAsia" w:ascii="宋体" w:hAnsi="宋体" w:cs="宋体"/>
                <w:kern w:val="0"/>
                <w:sz w:val="24"/>
              </w:rPr>
              <w:t>将投标文件密封并在</w:t>
            </w:r>
            <w:r>
              <w:rPr>
                <w:rFonts w:hint="eastAsia" w:ascii="宋体" w:hAnsi="宋体" w:cs="宋体"/>
                <w:b/>
                <w:bCs/>
                <w:kern w:val="0"/>
                <w:sz w:val="24"/>
              </w:rPr>
              <w:t>2023年</w:t>
            </w:r>
            <w:r>
              <w:rPr>
                <w:rFonts w:hint="eastAsia" w:ascii="宋体" w:hAnsi="宋体" w:cs="宋体"/>
                <w:b/>
                <w:bCs/>
                <w:kern w:val="0"/>
                <w:sz w:val="24"/>
                <w:lang w:val="en-US" w:eastAsia="zh-CN"/>
              </w:rPr>
              <w:t>11</w:t>
            </w:r>
            <w:r>
              <w:rPr>
                <w:rFonts w:hint="eastAsia" w:ascii="宋体" w:hAnsi="宋体" w:cs="宋体"/>
                <w:b/>
                <w:bCs/>
                <w:kern w:val="0"/>
                <w:sz w:val="24"/>
              </w:rPr>
              <w:t>月</w:t>
            </w:r>
            <w:r>
              <w:rPr>
                <w:rFonts w:hint="eastAsia" w:ascii="宋体" w:hAnsi="宋体" w:cs="宋体"/>
                <w:b/>
                <w:bCs/>
                <w:kern w:val="0"/>
                <w:sz w:val="24"/>
                <w:lang w:val="en-US" w:eastAsia="zh-CN"/>
              </w:rPr>
              <w:t>13</w:t>
            </w:r>
            <w:r>
              <w:rPr>
                <w:rFonts w:hint="eastAsia" w:ascii="宋体" w:hAnsi="宋体" w:cs="宋体"/>
                <w:b/>
                <w:bCs/>
                <w:kern w:val="0"/>
                <w:sz w:val="24"/>
              </w:rPr>
              <w:t>日下午17:30时（北京时间）前</w:t>
            </w:r>
            <w:r>
              <w:rPr>
                <w:rFonts w:hint="eastAsia" w:ascii="宋体" w:hAnsi="宋体" w:cs="宋体"/>
                <w:kern w:val="0"/>
                <w:sz w:val="24"/>
              </w:rPr>
              <w:t>送达（现场递交或邮寄）至</w:t>
            </w:r>
            <w:r>
              <w:rPr>
                <w:rFonts w:hint="eastAsia" w:ascii="宋体" w:hAnsi="宋体" w:cs="宋体"/>
                <w:kern w:val="0"/>
                <w:sz w:val="24"/>
                <w:u w:val="single"/>
              </w:rPr>
              <w:t>深圳市南山区前海深港合作区桂湾五路123号前海管理局前海大厦T1栋</w:t>
            </w:r>
            <w:r>
              <w:rPr>
                <w:rFonts w:ascii="宋体" w:hAnsi="宋体" w:cs="宋体"/>
                <w:kern w:val="0"/>
                <w:sz w:val="24"/>
                <w:u w:val="single"/>
              </w:rPr>
              <w:t>2108</w:t>
            </w:r>
            <w:r>
              <w:rPr>
                <w:rFonts w:hint="eastAsia" w:ascii="宋体" w:hAnsi="宋体" w:cs="宋体"/>
                <w:kern w:val="0"/>
                <w:sz w:val="24"/>
                <w:u w:val="single"/>
              </w:rPr>
              <w:t xml:space="preserve">  </w:t>
            </w:r>
          </w:p>
          <w:p>
            <w:pPr>
              <w:spacing w:line="360" w:lineRule="auto"/>
              <w:rPr>
                <w:rFonts w:ascii="宋体" w:hAnsi="宋体" w:cs="宋体"/>
                <w:kern w:val="0"/>
                <w:sz w:val="24"/>
              </w:rPr>
            </w:pPr>
            <w:r>
              <w:rPr>
                <w:rFonts w:hint="eastAsia" w:ascii="宋体" w:hAnsi="宋体" w:cs="宋体"/>
                <w:kern w:val="0"/>
                <w:sz w:val="24"/>
              </w:rPr>
              <w:t>联  系  人：邱工</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0755-88105093</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投标人必须是具有独立法人资格或为具有独立承担民事责任能力的其它组织（提供营业执照或事业单位法人证书或其他证明材料复印件加盖公章，原件备查）；</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参与政府采购项目投标的供应商近三年内（投标人成立不足三年的可从成立之日起算无行贿犯罪记录</w:t>
            </w:r>
            <w:r>
              <w:rPr>
                <w:rFonts w:hint="eastAsia" w:ascii="宋体" w:hAnsi="宋体" w:cs="宋体"/>
                <w:b/>
                <w:bCs/>
                <w:kern w:val="0"/>
                <w:sz w:val="24"/>
              </w:rPr>
              <w:t>（由投标人在《政府</w:t>
            </w:r>
            <w:r>
              <w:rPr>
                <w:rFonts w:hint="eastAsia" w:ascii="宋体" w:hAnsi="宋体" w:cs="宋体"/>
                <w:b/>
                <w:bCs/>
                <w:kern w:val="0"/>
                <w:sz w:val="24"/>
                <w:lang w:val="en-US" w:eastAsia="zh-CN"/>
              </w:rPr>
              <w:t>采购</w:t>
            </w:r>
            <w:r>
              <w:rPr>
                <w:rFonts w:hint="eastAsia" w:ascii="宋体" w:hAnsi="宋体" w:cs="宋体"/>
                <w:b/>
                <w:bCs/>
                <w:kern w:val="0"/>
                <w:sz w:val="24"/>
              </w:rPr>
              <w:t>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rPr>
              <w:t>（由投标人在《政府</w:t>
            </w:r>
            <w:r>
              <w:rPr>
                <w:rFonts w:hint="eastAsia" w:ascii="宋体" w:hAnsi="宋体" w:cs="宋体"/>
                <w:b/>
                <w:bCs/>
                <w:kern w:val="0"/>
                <w:sz w:val="24"/>
                <w:lang w:val="en-US" w:eastAsia="zh-CN"/>
              </w:rPr>
              <w:t>采购</w:t>
            </w:r>
            <w:r>
              <w:rPr>
                <w:rFonts w:hint="eastAsia" w:ascii="宋体" w:hAnsi="宋体" w:cs="宋体"/>
                <w:b/>
                <w:bCs/>
                <w:kern w:val="0"/>
                <w:sz w:val="24"/>
              </w:rPr>
              <w:t>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本项目</w:t>
            </w:r>
            <w:r>
              <w:rPr>
                <w:rFonts w:ascii="宋体" w:hAnsi="宋体" w:cs="宋体"/>
                <w:kern w:val="0"/>
                <w:sz w:val="24"/>
              </w:rPr>
              <w:t>不</w:t>
            </w:r>
            <w:r>
              <w:rPr>
                <w:rFonts w:hint="eastAsia" w:ascii="宋体" w:hAnsi="宋体" w:cs="宋体"/>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pStyle w:val="57"/>
              <w:snapToGrid w:val="0"/>
              <w:spacing w:line="360" w:lineRule="auto"/>
              <w:ind w:firstLine="480"/>
              <w:rPr>
                <w:rFonts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eastAsia="zh-CN"/>
              </w:rPr>
              <w:t>签订的合同</w:t>
            </w:r>
            <w:r>
              <w:rPr>
                <w:rFonts w:hint="eastAsia" w:ascii="宋体" w:hAnsi="宋体" w:cs="宋体"/>
                <w:sz w:val="24"/>
              </w:rPr>
              <w:t>金额。项目预算控制</w:t>
            </w:r>
            <w:r>
              <w:rPr>
                <w:rFonts w:hint="eastAsia" w:ascii="宋体" w:hAnsi="宋体" w:cs="宋体"/>
                <w:sz w:val="24"/>
                <w:lang w:val="en-US" w:eastAsia="zh-CN"/>
              </w:rPr>
              <w:t>79.8</w:t>
            </w:r>
            <w:r>
              <w:rPr>
                <w:rFonts w:hint="eastAsia" w:ascii="宋体" w:hAnsi="宋体" w:cs="宋体"/>
                <w:sz w:val="24"/>
              </w:rPr>
              <w:t>万元以内，投标人的报价不可高于预算（限价），否则投标人的投标文件视同无效。项目服务费包括调研费、各种资料费、税金、会议评审、差旅费等所有费用，并提供合同要求的成果文件，以及其它相关服务的全部费用。</w:t>
            </w:r>
          </w:p>
          <w:p>
            <w:pPr>
              <w:pStyle w:val="57"/>
              <w:snapToGrid w:val="0"/>
              <w:spacing w:line="360" w:lineRule="auto"/>
              <w:ind w:firstLine="48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7"/>
              <w:snapToGrid w:val="0"/>
              <w:spacing w:line="360" w:lineRule="auto"/>
              <w:ind w:firstLine="48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pStyle w:val="57"/>
              <w:snapToGrid w:val="0"/>
              <w:spacing w:line="360" w:lineRule="auto"/>
              <w:ind w:firstLine="480"/>
              <w:rPr>
                <w:rFonts w:ascii="宋体" w:hAnsi="宋体" w:cs="宋体"/>
                <w:sz w:val="24"/>
              </w:rPr>
            </w:pPr>
            <w:r>
              <w:rPr>
                <w:rFonts w:hint="eastAsia" w:ascii="宋体" w:hAnsi="宋体" w:cs="宋体"/>
                <w:sz w:val="24"/>
              </w:rPr>
              <w:t>4.投标人应充分了解项目的位置、情况、道路及任何其他足以影响投标</w:t>
            </w:r>
            <w:r>
              <w:rPr>
                <w:rFonts w:hint="eastAsia" w:ascii="宋体" w:hAnsi="宋体" w:eastAsia="宋体" w:cs="宋体"/>
                <w:sz w:val="24"/>
              </w:rPr>
              <w:t>报价</w:t>
            </w:r>
            <w:r>
              <w:rPr>
                <w:rFonts w:hint="eastAsia" w:ascii="宋体" w:hAnsi="宋体" w:cs="宋体"/>
                <w:sz w:val="24"/>
              </w:rPr>
              <w:t>的情况，任何因忽视或误解项目情况而导致的索赔或服务期限延长申请将不获批准。</w:t>
            </w:r>
          </w:p>
          <w:p>
            <w:pPr>
              <w:pStyle w:val="57"/>
              <w:snapToGrid w:val="0"/>
              <w:spacing w:line="360" w:lineRule="auto"/>
              <w:ind w:firstLine="480"/>
              <w:rPr>
                <w:rFonts w:ascii="宋体" w:hAnsi="宋体" w:cs="宋体"/>
                <w:sz w:val="24"/>
              </w:rPr>
            </w:pPr>
            <w:r>
              <w:rPr>
                <w:rFonts w:hint="eastAsia" w:ascii="宋体" w:hAnsi="宋体" w:cs="宋体"/>
                <w:sz w:val="24"/>
              </w:rPr>
              <w:t>5.除非采购代理</w:t>
            </w:r>
            <w:r>
              <w:rPr>
                <w:rFonts w:hint="eastAsia" w:ascii="宋体" w:hAnsi="宋体" w:eastAsia="宋体" w:cs="宋体"/>
                <w:sz w:val="24"/>
              </w:rPr>
              <w:t>机构</w:t>
            </w:r>
            <w:r>
              <w:rPr>
                <w:rFonts w:hint="eastAsia" w:ascii="宋体" w:hAnsi="宋体" w:cs="宋体"/>
                <w:sz w:val="24"/>
              </w:rPr>
              <w:t>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 邱工</w:t>
            </w:r>
          </w:p>
          <w:p>
            <w:pPr>
              <w:spacing w:line="360" w:lineRule="auto"/>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0755-88105093</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称：友和保险经纪有限公司</w:t>
            </w:r>
          </w:p>
          <w:p>
            <w:pPr>
              <w:spacing w:line="360" w:lineRule="auto"/>
              <w:rPr>
                <w:rFonts w:ascii="宋体" w:hAnsi="宋体" w:cs="宋体"/>
                <w:kern w:val="0"/>
                <w:sz w:val="24"/>
              </w:rPr>
            </w:pPr>
            <w:r>
              <w:rPr>
                <w:rFonts w:hint="eastAsia" w:ascii="宋体" w:hAnsi="宋体" w:cs="宋体"/>
                <w:kern w:val="0"/>
                <w:sz w:val="24"/>
              </w:rPr>
              <w:t>地      址：深圳市福田区福强路3030号福田体育公园西北角友和招标代理服务中心（靠近北门）</w:t>
            </w:r>
          </w:p>
          <w:p>
            <w:pPr>
              <w:spacing w:line="360" w:lineRule="auto"/>
              <w:rPr>
                <w:rFonts w:ascii="宋体" w:hAnsi="宋体" w:cs="宋体"/>
                <w:kern w:val="0"/>
                <w:sz w:val="24"/>
              </w:rPr>
            </w:pPr>
            <w:r>
              <w:rPr>
                <w:rFonts w:hint="eastAsia" w:ascii="宋体" w:hAnsi="宋体" w:cs="宋体"/>
                <w:kern w:val="0"/>
                <w:sz w:val="24"/>
              </w:rPr>
              <w:t>联  系  人：李恒慧/张挺</w:t>
            </w:r>
          </w:p>
          <w:p>
            <w:pPr>
              <w:spacing w:line="360" w:lineRule="auto"/>
              <w:rPr>
                <w:rFonts w:ascii="宋体" w:hAnsi="宋体" w:cs="宋体"/>
                <w:kern w:val="0"/>
                <w:sz w:val="24"/>
              </w:rPr>
            </w:pPr>
            <w:r>
              <w:rPr>
                <w:rFonts w:hint="eastAsia" w:ascii="宋体" w:hAnsi="宋体" w:cs="宋体"/>
                <w:kern w:val="0"/>
                <w:sz w:val="24"/>
              </w:rPr>
              <w:t>电      话：0755-83881283</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友和保险经纪有限公司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2023年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7</w:t>
      </w:r>
      <w:bookmarkStart w:id="23" w:name="_GoBack"/>
      <w:bookmarkEnd w:id="23"/>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0214"/>
      <w:r>
        <w:rPr>
          <w:rFonts w:hint="eastAsia" w:ascii="宋体" w:hAnsi="宋体" w:cs="宋体"/>
          <w:b/>
          <w:bCs/>
          <w:sz w:val="24"/>
        </w:rPr>
        <w:t>投标须知</w:t>
      </w:r>
      <w:bookmarkEnd w:id="3"/>
    </w:p>
    <w:p>
      <w:pPr>
        <w:snapToGrid w:val="0"/>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1、本项目是深圳市前海深港现代服务业合作区管理局的《前海深港现代服务业合作区改革发展蓝皮书（2023年）》。</w:t>
      </w:r>
    </w:p>
    <w:p>
      <w:pPr>
        <w:snapToGrid w:val="0"/>
        <w:spacing w:line="360" w:lineRule="auto"/>
        <w:ind w:firstLine="480" w:firstLineChars="200"/>
        <w:rPr>
          <w:rFonts w:ascii="宋体" w:hAnsi="宋体" w:cs="宋体"/>
          <w:b/>
          <w:bCs/>
          <w:sz w:val="24"/>
        </w:rPr>
      </w:pPr>
      <w:r>
        <w:rPr>
          <w:rFonts w:hint="eastAsia" w:ascii="宋体" w:hAnsi="宋体" w:cs="宋体"/>
          <w:sz w:val="24"/>
        </w:rPr>
        <w:t>2、本项目不属《深圳市2023—2024年政府集中采购目录及限额标准》规定应集中采购项目，根据《中华人民共和国政府采购法》、《深圳经济特区政府采购条例》的有关规定，友和保险经纪有限公司受深圳市前海深港现代服务业合作区管理局委托组织采购，</w:t>
      </w:r>
      <w:r>
        <w:rPr>
          <w:rFonts w:hint="eastAsia" w:ascii="宋体" w:hAnsi="宋体" w:cs="宋体"/>
          <w:b/>
          <w:bCs/>
          <w:sz w:val="24"/>
        </w:rPr>
        <w:t>本次采购公开征集供应商，报名且符合招标文件初审的供应商在三家或三家以上，采用综合评分法的方式进行。报名且符合招标文件初审的供应商不足3家而致招标失败的，按以下流程执行：</w:t>
      </w:r>
    </w:p>
    <w:p>
      <w:pPr>
        <w:snapToGrid w:val="0"/>
        <w:spacing w:line="360" w:lineRule="auto"/>
        <w:ind w:firstLine="482" w:firstLineChars="200"/>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napToGrid w:val="0"/>
        <w:spacing w:line="360" w:lineRule="auto"/>
        <w:ind w:firstLine="482" w:firstLineChars="200"/>
        <w:rPr>
          <w:rFonts w:ascii="宋体" w:hAnsi="宋体" w:cs="宋体"/>
          <w:b/>
          <w:bCs/>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3、本项目根据项目的实际情况，公开征集符合投标人资格的供应商。请各供应商根据本文件的要求，准备5套</w:t>
      </w:r>
      <w:r>
        <w:rPr>
          <w:rFonts w:hint="eastAsia" w:ascii="宋体" w:hAnsi="宋体" w:cs="宋体"/>
          <w:b/>
          <w:bCs/>
          <w:sz w:val="24"/>
        </w:rPr>
        <w:t>（1套正本，4套副本，U盘或者光盘，电子版文件可以使用正本盖章的扫描件）</w:t>
      </w:r>
      <w:r>
        <w:rPr>
          <w:rFonts w:hint="eastAsia" w:ascii="宋体" w:hAnsi="宋体" w:cs="宋体"/>
          <w:sz w:val="24"/>
        </w:rPr>
        <w:t>完备的资料进行投标。</w:t>
      </w:r>
    </w:p>
    <w:p>
      <w:pPr>
        <w:snapToGrid w:val="0"/>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line="360" w:lineRule="auto"/>
        <w:ind w:firstLine="480" w:firstLineChars="200"/>
        <w:rPr>
          <w:rFonts w:ascii="宋体" w:hAnsi="宋体" w:cs="宋体"/>
          <w:sz w:val="24"/>
        </w:rPr>
      </w:pPr>
      <w:r>
        <w:rPr>
          <w:rFonts w:hint="eastAsia" w:ascii="宋体" w:hAnsi="宋体" w:cs="宋体"/>
          <w:sz w:val="24"/>
        </w:rPr>
        <w:t>5、响应文件要包括如下内容：</w:t>
      </w:r>
    </w:p>
    <w:p>
      <w:pPr>
        <w:tabs>
          <w:tab w:val="left" w:pos="-420"/>
        </w:tabs>
        <w:snapToGrid w:val="0"/>
        <w:spacing w:line="360" w:lineRule="auto"/>
        <w:ind w:left="480"/>
        <w:rPr>
          <w:rFonts w:ascii="宋体" w:hAnsi="宋体" w:cs="宋体"/>
          <w:sz w:val="24"/>
        </w:rPr>
      </w:pPr>
      <w:r>
        <w:rPr>
          <w:rFonts w:hint="eastAsia" w:ascii="宋体" w:hAnsi="宋体" w:cs="宋体"/>
          <w:sz w:val="24"/>
        </w:rPr>
        <w:t>（1）价格部分；</w:t>
      </w:r>
    </w:p>
    <w:p>
      <w:pPr>
        <w:tabs>
          <w:tab w:val="left" w:pos="-420"/>
        </w:tabs>
        <w:snapToGrid w:val="0"/>
        <w:spacing w:line="360" w:lineRule="auto"/>
        <w:ind w:left="480"/>
        <w:rPr>
          <w:rFonts w:ascii="宋体" w:hAnsi="宋体" w:cs="宋体"/>
          <w:sz w:val="24"/>
        </w:rPr>
      </w:pPr>
      <w:r>
        <w:rPr>
          <w:rFonts w:hint="eastAsia" w:ascii="宋体" w:hAnsi="宋体" w:cs="宋体"/>
          <w:sz w:val="24"/>
        </w:rPr>
        <w:t>（2）商务部分；</w:t>
      </w:r>
    </w:p>
    <w:p>
      <w:pPr>
        <w:tabs>
          <w:tab w:val="left" w:pos="-420"/>
        </w:tabs>
        <w:snapToGrid w:val="0"/>
        <w:spacing w:line="360" w:lineRule="auto"/>
        <w:ind w:left="480"/>
        <w:rPr>
          <w:rFonts w:ascii="宋体" w:hAnsi="宋体" w:cs="宋体"/>
          <w:sz w:val="24"/>
        </w:rPr>
      </w:pPr>
      <w:r>
        <w:rPr>
          <w:rFonts w:hint="eastAsia" w:ascii="宋体" w:hAnsi="宋体" w:cs="宋体"/>
          <w:sz w:val="24"/>
        </w:rPr>
        <w:t>（3）技术部分。</w:t>
      </w:r>
    </w:p>
    <w:p>
      <w:pPr>
        <w:snapToGrid w:val="0"/>
        <w:spacing w:line="360" w:lineRule="auto"/>
        <w:ind w:firstLine="480" w:firstLineChars="200"/>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ind w:firstLine="480" w:firstLineChars="200"/>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ind w:firstLine="480" w:firstLineChars="200"/>
        <w:rPr>
          <w:rFonts w:ascii="宋体" w:hAnsi="宋体" w:cs="宋体"/>
          <w:sz w:val="24"/>
        </w:rPr>
      </w:pPr>
      <w:r>
        <w:rPr>
          <w:rFonts w:hint="eastAsia" w:ascii="宋体" w:hAnsi="宋体" w:cs="宋体"/>
          <w:sz w:val="24"/>
        </w:rPr>
        <w:t>12、采用综合评分法的情况：评审委员会将分别对供应商递交的投标文件进行评审。</w:t>
      </w:r>
    </w:p>
    <w:p>
      <w:pPr>
        <w:pStyle w:val="57"/>
        <w:snapToGrid w:val="0"/>
        <w:spacing w:line="360" w:lineRule="auto"/>
        <w:ind w:firstLine="480"/>
        <w:rPr>
          <w:rFonts w:ascii="宋体" w:hAnsi="宋体" w:cs="宋体"/>
          <w:kern w:val="2"/>
          <w:sz w:val="24"/>
          <w:szCs w:val="24"/>
        </w:rPr>
      </w:pPr>
      <w:r>
        <w:rPr>
          <w:rFonts w:hint="eastAsia" w:ascii="宋体" w:hAnsi="宋体" w:cs="宋体"/>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snapToGrid w:val="0"/>
        <w:spacing w:line="360" w:lineRule="auto"/>
        <w:ind w:firstLine="480" w:firstLineChars="20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13、采用谈判的情况：评审委员会将与投标供应商进行谈判。</w:t>
      </w:r>
    </w:p>
    <w:p>
      <w:pPr>
        <w:snapToGrid w:val="0"/>
        <w:spacing w:line="360" w:lineRule="auto"/>
        <w:ind w:firstLine="480" w:firstLineChars="20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480" w:firstLineChars="200"/>
        <w:rPr>
          <w:rFonts w:ascii="宋体" w:hAnsi="宋体" w:cs="宋体"/>
          <w:sz w:val="24"/>
        </w:rPr>
      </w:pPr>
      <w:r>
        <w:rPr>
          <w:rFonts w:hint="eastAsia" w:ascii="宋体" w:hAnsi="宋体" w:cs="宋体"/>
          <w:sz w:val="24"/>
        </w:rPr>
        <w:t>（2）原则上成交价应为最初报价的95%。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14、所有的评审/谈判内容都必须保密。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15、招标代理服务收费：</w:t>
      </w:r>
    </w:p>
    <w:p>
      <w:pPr>
        <w:snapToGrid w:val="0"/>
        <w:spacing w:line="360" w:lineRule="auto"/>
        <w:ind w:firstLine="480" w:firstLineChars="200"/>
        <w:rPr>
          <w:rFonts w:ascii="宋体" w:hAnsi="宋体" w:cs="宋体"/>
          <w:sz w:val="24"/>
        </w:rPr>
      </w:pPr>
      <w:r>
        <w:rPr>
          <w:rFonts w:hint="eastAsia" w:ascii="宋体" w:hAnsi="宋体" w:cs="宋体"/>
          <w:sz w:val="24"/>
        </w:rPr>
        <w:t>以《深圳市财政委员会关于规范深圳市社会采购代理机构管理有关事项的补充通知》（深财购〔2018〕27号）代理费用参考标准的60%按差额定率累进法进行计费，若以上计算金额小于3000元，则按3000元收取。</w:t>
      </w:r>
    </w:p>
    <w:p>
      <w:pPr>
        <w:numPr>
          <w:ilvl w:val="255"/>
          <w:numId w:val="0"/>
        </w:numPr>
        <w:adjustRightInd w:val="0"/>
        <w:snapToGrid w:val="0"/>
        <w:spacing w:line="360" w:lineRule="auto"/>
        <w:ind w:firstLine="480" w:firstLineChars="200"/>
      </w:pPr>
      <w:r>
        <w:rPr>
          <w:rFonts w:hint="eastAsia" w:ascii="宋体" w:hAnsi="宋体" w:cs="宋体"/>
          <w:sz w:val="24"/>
        </w:rPr>
        <w:t>（1）具体计取费率标准如下表所示：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开户名称：友和保险经纪有限公司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：1806014170017592</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开户银行：中国民生银行深圳分行福田支行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20176"/>
      <w:r>
        <w:rPr>
          <w:rFonts w:hint="eastAsia" w:ascii="宋体" w:hAnsi="宋体" w:cs="宋体"/>
          <w:b/>
          <w:bCs/>
          <w:sz w:val="24"/>
        </w:rPr>
        <w:t>评标程序</w:t>
      </w:r>
      <w:bookmarkEnd w:id="4"/>
    </w:p>
    <w:p>
      <w:pPr>
        <w:spacing w:line="360" w:lineRule="auto"/>
        <w:ind w:firstLine="480" w:firstLineChars="200"/>
        <w:rPr>
          <w:rFonts w:ascii="宋体" w:hAnsi="宋体" w:cs="宋体"/>
          <w:sz w:val="24"/>
        </w:rPr>
      </w:pPr>
      <w:r>
        <w:rPr>
          <w:rFonts w:hint="eastAsia" w:ascii="宋体" w:hAnsi="宋体" w:cs="宋体"/>
          <w:sz w:val="24"/>
        </w:rPr>
        <w:t>一、依法成立评审委员会。在投标截止日前由前海管理局授权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ind w:firstLine="480" w:firstLineChars="200"/>
        <w:rPr>
          <w:rFonts w:ascii="宋体" w:hAnsi="宋体" w:cs="宋体"/>
          <w:sz w:val="24"/>
        </w:rPr>
      </w:pPr>
      <w:r>
        <w:rPr>
          <w:rFonts w:hint="eastAsia" w:ascii="宋体" w:hAnsi="宋体" w:cs="宋体"/>
          <w:sz w:val="24"/>
        </w:rPr>
        <w:t>三、会议主持人：友和保险经纪有限公司工作人员 。</w:t>
      </w:r>
    </w:p>
    <w:p>
      <w:pPr>
        <w:spacing w:line="360" w:lineRule="auto"/>
        <w:ind w:firstLine="480" w:firstLineChars="200"/>
        <w:rPr>
          <w:rFonts w:ascii="宋体" w:hAnsi="宋体" w:cs="宋体"/>
          <w:sz w:val="24"/>
        </w:rPr>
      </w:pPr>
      <w:r>
        <w:rPr>
          <w:rFonts w:hint="eastAsia" w:ascii="宋体" w:hAnsi="宋体" w:cs="宋体"/>
          <w:sz w:val="24"/>
        </w:rPr>
        <w:t>四、开标时间：2023年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16</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w:t>
      </w:r>
    </w:p>
    <w:p>
      <w:pPr>
        <w:spacing w:line="360" w:lineRule="auto"/>
        <w:ind w:firstLine="480" w:firstLineChars="200"/>
        <w:rPr>
          <w:rFonts w:ascii="宋体" w:hAnsi="宋体" w:cs="宋体"/>
          <w:sz w:val="24"/>
        </w:rPr>
      </w:pPr>
      <w:r>
        <w:rPr>
          <w:rFonts w:hint="eastAsia" w:ascii="宋体" w:hAnsi="宋体" w:cs="宋体"/>
          <w:sz w:val="24"/>
        </w:rPr>
        <w:t>五、会议开始：2023年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16</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0时（北京时间）由会议主持人宣布定标会议开始。会议地点：前海管理局会议室。</w:t>
      </w:r>
    </w:p>
    <w:p>
      <w:pPr>
        <w:spacing w:line="360" w:lineRule="auto"/>
        <w:ind w:firstLine="480" w:firstLineChars="200"/>
        <w:rPr>
          <w:rFonts w:ascii="宋体" w:hAnsi="宋体" w:cs="宋体"/>
          <w:sz w:val="24"/>
        </w:rPr>
      </w:pPr>
      <w:r>
        <w:rPr>
          <w:rFonts w:hint="eastAsia" w:ascii="宋体" w:hAnsi="宋体" w:cs="宋体"/>
          <w:sz w:val="24"/>
        </w:rPr>
        <w:t>六、项目负责代表向采购代理机构代表送交投标文件，监督部门代表确认投标文件密封完整，未密封投标文件将作为投标无效处理。</w:t>
      </w:r>
    </w:p>
    <w:p>
      <w:pPr>
        <w:spacing w:line="360" w:lineRule="auto"/>
        <w:ind w:firstLine="480" w:firstLineChars="200"/>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ind w:firstLine="480" w:firstLineChars="200"/>
        <w:rPr>
          <w:rFonts w:ascii="宋体" w:hAnsi="宋体" w:cs="宋体"/>
          <w:sz w:val="24"/>
        </w:rPr>
      </w:pPr>
      <w:r>
        <w:rPr>
          <w:rFonts w:hint="eastAsia" w:ascii="宋体" w:hAnsi="宋体" w:cs="宋体"/>
          <w:sz w:val="24"/>
        </w:rPr>
        <w:t>九、评审委员会按以下工作程序进行：</w:t>
      </w:r>
    </w:p>
    <w:p>
      <w:pPr>
        <w:spacing w:line="360" w:lineRule="auto"/>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采用谈判的情况：评审委员会将与投标供应商进行谈判。</w:t>
      </w:r>
    </w:p>
    <w:p>
      <w:pPr>
        <w:spacing w:line="360" w:lineRule="auto"/>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360" w:lineRule="auto"/>
        <w:ind w:firstLine="480" w:firstLineChars="200"/>
        <w:rPr>
          <w:rFonts w:ascii="宋体" w:hAnsi="宋体" w:cs="宋体"/>
          <w:sz w:val="24"/>
        </w:rPr>
      </w:pPr>
      <w:r>
        <w:rPr>
          <w:rFonts w:hint="eastAsia" w:ascii="宋体" w:hAnsi="宋体" w:cs="宋体"/>
          <w:sz w:val="24"/>
        </w:rPr>
        <w:t>5.2 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400" w:lineRule="exact"/>
        <w:ind w:firstLine="480" w:firstLineChars="200"/>
        <w:rPr>
          <w:rFonts w:ascii="宋体" w:hAnsi="宋体" w:cs="宋体"/>
          <w:sz w:val="24"/>
        </w:rPr>
      </w:pPr>
      <w:r>
        <w:rPr>
          <w:rFonts w:hint="eastAsia" w:ascii="宋体" w:hAnsi="宋体" w:cs="宋体"/>
          <w:sz w:val="24"/>
        </w:rPr>
        <w:t>十、根据本次采购的结果，</w:t>
      </w:r>
      <w:r>
        <w:rPr>
          <w:rFonts w:ascii="宋体" w:hAnsi="宋体" w:cs="宋体"/>
          <w:sz w:val="24"/>
        </w:rPr>
        <w:t>采购人</w:t>
      </w:r>
      <w:r>
        <w:rPr>
          <w:rFonts w:hint="eastAsia" w:ascii="宋体" w:hAnsi="宋体" w:cs="宋体"/>
          <w:sz w:val="24"/>
        </w:rPr>
        <w:t>自成交通知书发出之日起10个工作日内与中标供应商签订合同。</w:t>
      </w:r>
    </w:p>
    <w:p>
      <w:pPr>
        <w:spacing w:line="360" w:lineRule="auto"/>
        <w:ind w:firstLine="480" w:firstLineChars="2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9"/>
        <w:rPr>
          <w:rFonts w:ascii="宋体" w:hAnsi="宋体" w:cs="宋体"/>
        </w:rPr>
      </w:pPr>
      <w:r>
        <w:rPr>
          <w:rFonts w:hint="eastAsia"/>
        </w:rPr>
        <w:br w:type="page"/>
      </w:r>
    </w:p>
    <w:p>
      <w:pPr>
        <w:pStyle w:val="22"/>
        <w:ind w:firstLine="241"/>
        <w:rPr>
          <w:rFonts w:ascii="宋体" w:hAnsi="宋体" w:cs="宋体"/>
          <w:b/>
          <w:bCs/>
        </w:rPr>
      </w:pPr>
    </w:p>
    <w:p>
      <w:pPr>
        <w:spacing w:line="360" w:lineRule="auto"/>
        <w:jc w:val="center"/>
        <w:outlineLvl w:val="0"/>
        <w:rPr>
          <w:rFonts w:ascii="宋体" w:hAnsi="宋体" w:cs="宋体"/>
          <w:b/>
          <w:bCs/>
          <w:color w:val="000000"/>
          <w:sz w:val="28"/>
          <w:szCs w:val="28"/>
        </w:rPr>
      </w:pPr>
      <w:r>
        <w:rPr>
          <w:rFonts w:hint="eastAsia" w:ascii="宋体" w:hAnsi="宋体" w:cs="宋体"/>
          <w:b/>
          <w:bCs/>
          <w:color w:val="000000"/>
          <w:sz w:val="28"/>
          <w:szCs w:val="28"/>
        </w:rPr>
        <w:t>第四章 合同格式及合同条款</w:t>
      </w: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（合同格式仅供参考）</w:t>
      </w:r>
    </w:p>
    <w:p>
      <w:pPr>
        <w:spacing w:line="360" w:lineRule="auto"/>
        <w:jc w:val="center"/>
        <w:rPr>
          <w:rFonts w:ascii="宋体" w:hAnsi="宋体" w:cs="宋体"/>
          <w:b/>
          <w:color w:val="000000"/>
          <w:sz w:val="28"/>
          <w:szCs w:val="28"/>
        </w:rPr>
      </w:pPr>
    </w:p>
    <w:p>
      <w:pPr>
        <w:pStyle w:val="57"/>
        <w:spacing w:line="360" w:lineRule="auto"/>
        <w:ind w:left="1475" w:right="1470" w:hanging="1475" w:hangingChars="612"/>
        <w:rPr>
          <w:rFonts w:ascii="宋体" w:hAnsi="宋体" w:cs="宋体"/>
          <w:b/>
          <w:color w:val="000000"/>
          <w:sz w:val="24"/>
          <w:szCs w:val="24"/>
        </w:rPr>
      </w:pPr>
      <w:r>
        <w:rPr>
          <w:rFonts w:hint="eastAsia" w:ascii="宋体" w:hAnsi="宋体" w:cs="宋体"/>
          <w:b/>
          <w:color w:val="000000"/>
          <w:sz w:val="24"/>
          <w:szCs w:val="24"/>
        </w:rPr>
        <w:t xml:space="preserve">合同编号（甲方）：            </w:t>
      </w:r>
    </w:p>
    <w:p>
      <w:pPr>
        <w:pStyle w:val="57"/>
        <w:spacing w:line="360" w:lineRule="auto"/>
        <w:ind w:left="1675" w:right="1470" w:hanging="1675" w:hangingChars="695"/>
        <w:rPr>
          <w:rFonts w:ascii="宋体" w:hAnsi="宋体" w:cs="宋体"/>
          <w:b/>
          <w:color w:val="000000"/>
          <w:sz w:val="24"/>
          <w:szCs w:val="24"/>
        </w:rPr>
      </w:pPr>
      <w:r>
        <w:rPr>
          <w:rFonts w:hint="eastAsia" w:ascii="宋体" w:hAnsi="宋体" w:cs="宋体"/>
          <w:b/>
          <w:color w:val="000000"/>
          <w:sz w:val="24"/>
          <w:szCs w:val="24"/>
        </w:rPr>
        <w:t xml:space="preserve">合同编号（乙方）：            </w:t>
      </w:r>
    </w:p>
    <w:p>
      <w:pPr>
        <w:pStyle w:val="57"/>
        <w:spacing w:line="360" w:lineRule="auto"/>
        <w:ind w:left="1470" w:right="1470" w:firstLine="482"/>
        <w:jc w:val="center"/>
        <w:rPr>
          <w:rFonts w:ascii="宋体" w:hAnsi="宋体" w:cs="宋体"/>
          <w:b/>
          <w:color w:val="000000"/>
          <w:sz w:val="24"/>
          <w:szCs w:val="24"/>
        </w:rPr>
      </w:pPr>
    </w:p>
    <w:p>
      <w:pPr>
        <w:pStyle w:val="57"/>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pStyle w:val="57"/>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pStyle w:val="57"/>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服务合同</w:t>
      </w:r>
    </w:p>
    <w:p>
      <w:pPr>
        <w:spacing w:line="360" w:lineRule="auto"/>
        <w:rPr>
          <w:rFonts w:ascii="宋体" w:hAnsi="宋体" w:cs="宋体"/>
          <w:color w:val="000000"/>
          <w:sz w:val="24"/>
        </w:rPr>
      </w:pPr>
      <w:r>
        <w:rPr>
          <w:rFonts w:hint="eastAsia" w:ascii="宋体" w:hAnsi="宋体" w:cs="宋体"/>
          <w:color w:val="000000"/>
          <w:sz w:val="24"/>
        </w:rPr>
        <w:t xml:space="preserve"> </w:t>
      </w:r>
    </w:p>
    <w:p>
      <w:pPr>
        <w:pStyle w:val="57"/>
        <w:spacing w:line="360" w:lineRule="auto"/>
        <w:ind w:right="1470" w:firstLine="482"/>
        <w:rPr>
          <w:rFonts w:ascii="宋体" w:hAnsi="宋体" w:cs="宋体"/>
          <w:b/>
          <w:color w:val="000000"/>
          <w:sz w:val="24"/>
          <w:szCs w:val="24"/>
        </w:rPr>
      </w:pP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前海深港现代服务业合作区改革发展蓝皮书（2023年）</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委托方（甲方）：</w:t>
      </w:r>
      <w:r>
        <w:rPr>
          <w:rFonts w:hint="eastAsia" w:ascii="宋体" w:hAnsi="宋体" w:cs="宋体"/>
          <w:color w:val="000000"/>
          <w:sz w:val="24"/>
          <w:u w:val="single"/>
        </w:rPr>
        <w:t xml:space="preserve">  深圳市前海深港现代服务业合作区管理局  </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承接方（乙方）：</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b/>
          <w:color w:val="000000"/>
          <w:sz w:val="24"/>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二〇二</w:t>
      </w:r>
      <w:r>
        <w:rPr>
          <w:rFonts w:hint="eastAsia" w:ascii="宋体" w:hAnsi="宋体" w:cs="宋体"/>
          <w:color w:val="000000"/>
          <w:sz w:val="24"/>
          <w:lang w:eastAsia="zh-Hans"/>
        </w:rPr>
        <w:t>三</w:t>
      </w:r>
      <w:r>
        <w:rPr>
          <w:rFonts w:hint="eastAsia" w:ascii="宋体" w:hAnsi="宋体" w:cs="宋体"/>
          <w:color w:val="000000"/>
          <w:sz w:val="24"/>
        </w:rPr>
        <w:t>年  月</w:t>
      </w:r>
    </w:p>
    <w:p>
      <w:pPr>
        <w:adjustRightInd w:val="0"/>
        <w:snapToGrid w:val="0"/>
        <w:spacing w:line="560" w:lineRule="exact"/>
        <w:jc w:val="center"/>
        <w:rPr>
          <w:rFonts w:ascii="仿宋" w:hAnsi="仿宋" w:eastAsia="仿宋"/>
          <w:bCs/>
          <w:sz w:val="24"/>
        </w:rPr>
      </w:pPr>
    </w:p>
    <w:p>
      <w:pPr>
        <w:adjustRightInd w:val="0"/>
        <w:snapToGrid w:val="0"/>
        <w:spacing w:line="560" w:lineRule="exact"/>
        <w:rPr>
          <w:rFonts w:ascii="仿宋" w:hAnsi="仿宋" w:eastAsia="仿宋"/>
          <w:bCs/>
          <w:sz w:val="24"/>
        </w:rPr>
      </w:pPr>
      <w:r>
        <w:rPr>
          <w:rFonts w:hint="eastAsia" w:ascii="仿宋" w:hAnsi="仿宋" w:eastAsia="仿宋"/>
          <w:bCs/>
          <w:sz w:val="24"/>
        </w:rPr>
        <w:t xml:space="preserve">                  </w:t>
      </w:r>
    </w:p>
    <w:p>
      <w:pPr>
        <w:adjustRightInd w:val="0"/>
        <w:snapToGrid w:val="0"/>
        <w:spacing w:line="560" w:lineRule="exact"/>
        <w:rPr>
          <w:rFonts w:ascii="仿宋" w:hAnsi="仿宋" w:eastAsia="仿宋"/>
          <w:bCs/>
          <w:sz w:val="24"/>
        </w:rPr>
      </w:pPr>
    </w:p>
    <w:p>
      <w:pPr>
        <w:adjustRightInd w:val="0"/>
        <w:snapToGrid w:val="0"/>
        <w:spacing w:line="560" w:lineRule="exact"/>
        <w:rPr>
          <w:rFonts w:ascii="仿宋" w:hAnsi="仿宋" w:eastAsia="仿宋"/>
          <w:bCs/>
          <w:sz w:val="24"/>
        </w:rPr>
      </w:pPr>
    </w:p>
    <w:p>
      <w:pPr>
        <w:adjustRightInd w:val="0"/>
        <w:snapToGrid w:val="0"/>
        <w:spacing w:line="560" w:lineRule="exact"/>
        <w:rPr>
          <w:rFonts w:ascii="仿宋" w:hAnsi="仿宋" w:eastAsia="仿宋"/>
          <w:bCs/>
          <w:sz w:val="24"/>
        </w:rPr>
      </w:pPr>
    </w:p>
    <w:p>
      <w:pPr>
        <w:adjustRightInd w:val="0"/>
        <w:snapToGrid w:val="0"/>
        <w:spacing w:line="560" w:lineRule="exact"/>
        <w:rPr>
          <w:rFonts w:ascii="仿宋" w:hAnsi="仿宋" w:eastAsia="仿宋"/>
          <w:bCs/>
          <w:sz w:val="24"/>
        </w:rPr>
      </w:pPr>
    </w:p>
    <w:p>
      <w:pPr>
        <w:adjustRightInd w:val="0"/>
        <w:snapToGrid w:val="0"/>
        <w:spacing w:line="560" w:lineRule="exact"/>
        <w:rPr>
          <w:rFonts w:ascii="仿宋" w:hAnsi="仿宋" w:eastAsia="仿宋"/>
          <w:bCs/>
          <w:sz w:val="24"/>
        </w:rPr>
      </w:pPr>
    </w:p>
    <w:p>
      <w:pPr>
        <w:adjustRightInd w:val="0"/>
        <w:snapToGrid w:val="0"/>
        <w:spacing w:line="560" w:lineRule="exact"/>
        <w:rPr>
          <w:rFonts w:ascii="仿宋" w:hAnsi="仿宋" w:eastAsia="仿宋"/>
          <w:bCs/>
          <w:sz w:val="24"/>
        </w:rPr>
      </w:pPr>
      <w:r>
        <w:rPr>
          <w:rFonts w:hint="eastAsia" w:ascii="仿宋" w:hAnsi="仿宋" w:eastAsia="仿宋"/>
          <w:bCs/>
          <w:sz w:val="24"/>
        </w:rPr>
        <w:t xml:space="preserve">               </w:t>
      </w:r>
      <w:r>
        <w:rPr>
          <w:rFonts w:hint="eastAsia" w:ascii="仿宋" w:hAnsi="仿宋" w:eastAsia="仿宋"/>
          <w:sz w:val="24"/>
        </w:rPr>
        <w:t xml:space="preserve">                                     </w:t>
      </w:r>
    </w:p>
    <w:p>
      <w:pPr>
        <w:adjustRightInd w:val="0"/>
        <w:snapToGrid w:val="0"/>
        <w:spacing w:line="560" w:lineRule="exact"/>
        <w:ind w:firstLine="480" w:firstLineChars="200"/>
        <w:rPr>
          <w:rFonts w:ascii="仿宋" w:hAnsi="仿宋" w:eastAsia="仿宋"/>
          <w:bCs/>
          <w:sz w:val="24"/>
        </w:rPr>
      </w:pPr>
      <w:r>
        <w:rPr>
          <w:rFonts w:hint="eastAsia" w:ascii="仿宋" w:hAnsi="仿宋" w:eastAsia="仿宋"/>
          <w:bCs/>
          <w:sz w:val="24"/>
        </w:rPr>
        <w:t xml:space="preserve">甲      方：深圳市前海深港现代服务业合作区管理局                   </w:t>
      </w:r>
    </w:p>
    <w:p>
      <w:pPr>
        <w:adjustRightInd w:val="0"/>
        <w:snapToGrid w:val="0"/>
        <w:spacing w:line="560" w:lineRule="exact"/>
        <w:ind w:firstLine="480" w:firstLineChars="200"/>
        <w:rPr>
          <w:rFonts w:ascii="仿宋" w:hAnsi="仿宋" w:eastAsia="仿宋"/>
          <w:bCs/>
          <w:sz w:val="24"/>
        </w:rPr>
      </w:pPr>
      <w:r>
        <w:rPr>
          <w:rFonts w:hint="eastAsia" w:ascii="仿宋" w:hAnsi="仿宋" w:eastAsia="仿宋"/>
          <w:bCs/>
          <w:sz w:val="24"/>
        </w:rPr>
        <w:t xml:space="preserve">法定代表人：  </w:t>
      </w:r>
    </w:p>
    <w:p>
      <w:pPr>
        <w:adjustRightInd w:val="0"/>
        <w:snapToGrid w:val="0"/>
        <w:spacing w:line="560" w:lineRule="exact"/>
        <w:ind w:left="2100" w:leftChars="200" w:hanging="1680" w:hangingChars="700"/>
        <w:rPr>
          <w:rFonts w:ascii="仿宋" w:hAnsi="仿宋" w:eastAsia="仿宋"/>
          <w:bCs/>
          <w:iCs/>
          <w:sz w:val="24"/>
        </w:rPr>
      </w:pPr>
      <w:r>
        <w:rPr>
          <w:rFonts w:hint="eastAsia" w:ascii="仿宋" w:hAnsi="仿宋" w:eastAsia="仿宋"/>
          <w:bCs/>
          <w:sz w:val="24"/>
        </w:rPr>
        <w:t>地      址：</w:t>
      </w:r>
      <w:r>
        <w:rPr>
          <w:rFonts w:hint="eastAsia" w:ascii="仿宋" w:hAnsi="仿宋" w:eastAsia="仿宋"/>
          <w:bCs/>
          <w:spacing w:val="-6"/>
          <w:sz w:val="24"/>
        </w:rPr>
        <w:t>深圳市前海深港现代服务业合作区</w:t>
      </w:r>
      <w:r>
        <w:rPr>
          <w:rFonts w:hint="eastAsia" w:ascii="仿宋" w:hAnsi="仿宋" w:eastAsia="仿宋"/>
          <w:bCs/>
          <w:iCs/>
          <w:spacing w:val="-6"/>
          <w:sz w:val="24"/>
        </w:rPr>
        <w:t>桂湾五路123号</w:t>
      </w:r>
      <w:r>
        <w:rPr>
          <w:rFonts w:hint="eastAsia" w:ascii="仿宋" w:hAnsi="仿宋" w:eastAsia="仿宋"/>
          <w:bCs/>
          <w:spacing w:val="-6"/>
          <w:sz w:val="24"/>
        </w:rPr>
        <w:t>前海大厦T1栋</w:t>
      </w:r>
    </w:p>
    <w:p>
      <w:pPr>
        <w:adjustRightInd w:val="0"/>
        <w:snapToGrid w:val="0"/>
        <w:spacing w:line="560" w:lineRule="exact"/>
        <w:ind w:firstLine="480" w:firstLineChars="200"/>
        <w:rPr>
          <w:rFonts w:ascii="仿宋" w:hAnsi="仿宋" w:eastAsia="仿宋"/>
          <w:bCs/>
          <w:sz w:val="24"/>
        </w:rPr>
      </w:pPr>
      <w:r>
        <w:rPr>
          <w:rFonts w:hint="eastAsia" w:ascii="仿宋" w:hAnsi="仿宋" w:eastAsia="仿宋"/>
          <w:bCs/>
          <w:sz w:val="24"/>
        </w:rPr>
        <w:t xml:space="preserve">   </w:t>
      </w:r>
    </w:p>
    <w:p>
      <w:pPr>
        <w:adjustRightInd w:val="0"/>
        <w:snapToGrid w:val="0"/>
        <w:spacing w:line="560" w:lineRule="exact"/>
        <w:ind w:firstLine="480" w:firstLineChars="200"/>
        <w:rPr>
          <w:rFonts w:ascii="仿宋" w:hAnsi="仿宋" w:eastAsia="仿宋"/>
          <w:bCs/>
          <w:sz w:val="24"/>
        </w:rPr>
      </w:pPr>
      <w:r>
        <w:rPr>
          <w:rFonts w:hint="eastAsia" w:ascii="仿宋" w:hAnsi="仿宋" w:eastAsia="仿宋"/>
          <w:bCs/>
          <w:sz w:val="24"/>
        </w:rPr>
        <w:t xml:space="preserve">乙      方： </w:t>
      </w:r>
    </w:p>
    <w:p>
      <w:pPr>
        <w:adjustRightInd w:val="0"/>
        <w:snapToGrid w:val="0"/>
        <w:spacing w:line="560" w:lineRule="exact"/>
        <w:ind w:firstLine="480" w:firstLineChars="200"/>
        <w:rPr>
          <w:rFonts w:ascii="仿宋" w:hAnsi="仿宋" w:eastAsia="仿宋"/>
          <w:bCs/>
          <w:sz w:val="24"/>
        </w:rPr>
      </w:pPr>
      <w:r>
        <w:rPr>
          <w:rFonts w:hint="eastAsia" w:ascii="仿宋" w:hAnsi="仿宋" w:eastAsia="仿宋"/>
          <w:bCs/>
          <w:sz w:val="24"/>
        </w:rPr>
        <w:t xml:space="preserve">法定代表人： </w:t>
      </w:r>
    </w:p>
    <w:p>
      <w:pPr>
        <w:adjustRightInd w:val="0"/>
        <w:snapToGrid w:val="0"/>
        <w:spacing w:line="560" w:lineRule="exact"/>
        <w:ind w:firstLine="480" w:firstLineChars="200"/>
        <w:rPr>
          <w:rFonts w:ascii="仿宋" w:hAnsi="仿宋" w:eastAsia="仿宋"/>
          <w:bCs/>
          <w:sz w:val="24"/>
        </w:rPr>
      </w:pPr>
      <w:r>
        <w:rPr>
          <w:rFonts w:hint="eastAsia" w:ascii="仿宋" w:hAnsi="仿宋" w:eastAsia="仿宋"/>
          <w:bCs/>
          <w:sz w:val="24"/>
        </w:rPr>
        <w:t xml:space="preserve">地      址：                            </w:t>
      </w:r>
    </w:p>
    <w:p>
      <w:pPr>
        <w:adjustRightInd w:val="0"/>
        <w:snapToGrid w:val="0"/>
        <w:spacing w:line="560" w:lineRule="exact"/>
        <w:rPr>
          <w:rFonts w:ascii="仿宋" w:hAnsi="仿宋" w:eastAsia="仿宋"/>
          <w:sz w:val="24"/>
        </w:rPr>
      </w:pP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按照《中华人民共和国民法典》和《深圳经济特区政府采购条例》，经深圳市前海深港现代服务业合作区管理局（以下简称甲方）和</w:t>
      </w:r>
      <w:r>
        <w:rPr>
          <w:rFonts w:ascii="仿宋" w:hAnsi="仿宋" w:eastAsia="仿宋"/>
          <w:sz w:val="24"/>
          <w:u w:val="single"/>
        </w:rPr>
        <w:t xml:space="preserve">            </w:t>
      </w:r>
      <w:r>
        <w:rPr>
          <w:rFonts w:hint="eastAsia" w:ascii="仿宋" w:hAnsi="仿宋" w:eastAsia="仿宋"/>
          <w:sz w:val="24"/>
        </w:rPr>
        <w:t>（以下简称乙方）协商一致，就“</w:t>
      </w:r>
      <w:bookmarkStart w:id="5" w:name="_Hlk146200796"/>
      <w:r>
        <w:rPr>
          <w:rFonts w:hint="eastAsia" w:ascii="仿宋" w:hAnsi="仿宋" w:eastAsia="仿宋"/>
          <w:sz w:val="24"/>
        </w:rPr>
        <w:t>前海深港现代服务业合作区改革发展蓝皮书（2023年）</w:t>
      </w:r>
      <w:bookmarkEnd w:id="5"/>
      <w:r>
        <w:rPr>
          <w:rFonts w:hint="eastAsia" w:ascii="仿宋" w:hAnsi="仿宋" w:eastAsia="仿宋"/>
          <w:sz w:val="24"/>
        </w:rPr>
        <w:t>”项目委托研究，达成以下合同条款：</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 xml:space="preserve">第一条 项目基本情况  </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为充分展示前海全面深化改革开放的重大成就，编制并发布《前海深港现代服务业合作区改革发展蓝皮书（2023年）》（以下简称《蓝皮书》），系统梳理评估前海合作区经济发展、制度创新、对外开放等方面取得的重大进展、重大突破和重大成果，向外界展示传递和复制推广前海模式、前海经验。</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第二条 工作内容</w:t>
      </w:r>
    </w:p>
    <w:p>
      <w:pPr>
        <w:adjustRightInd w:val="0"/>
        <w:snapToGrid w:val="0"/>
        <w:spacing w:line="560" w:lineRule="exact"/>
        <w:ind w:firstLine="480" w:firstLineChars="200"/>
        <w:rPr>
          <w:rFonts w:ascii="仿宋" w:hAnsi="仿宋" w:eastAsia="仿宋"/>
          <w:sz w:val="24"/>
        </w:rPr>
      </w:pPr>
      <w:r>
        <w:rPr>
          <w:rFonts w:hint="eastAsia" w:ascii="仿宋" w:hAnsi="仿宋" w:eastAsia="仿宋"/>
          <w:color w:val="000000"/>
          <w:sz w:val="24"/>
        </w:rPr>
        <w:t>乙方应根据</w:t>
      </w:r>
      <w:r>
        <w:rPr>
          <w:rFonts w:hint="eastAsia" w:ascii="仿宋" w:hAnsi="仿宋" w:eastAsia="仿宋"/>
          <w:sz w:val="24"/>
        </w:rPr>
        <w:t>《全面深化前海深港现代服务业合作区改革开放方案》、《最高人民法院关于支持和保障全面深化前海深港现代服务业合作区改革开放的意见》《海关总署支持前海深港现代服务业合作区全面深化改革开放若干措施》《人民银行等部门关于金融支持前海深港现代服务业合作区全面深化改革开放的意见》《交通运输部关于创新海事服务支持全面深化前海深港现代服务业合作区改革开放的意见》以及《前海方案》五张清单等文件要求，总结梳理前海全面深化改革开放标志性经验做法，编制《蓝皮书》，具体包括序言、总论、专题以及附件四个部分。</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1.序言部分。重点介绍习近平总书记对前海的重要指示批示、中央省市对前海的关怀支持、前海合作区改革开放战略意义以及对《蓝皮书》的编制背景和内容概述，篇幅约2000字。</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2.总论部分。主要综述2023年前海合作区改革开放总体进展情况，以定量与定性相结合方式，展现前海合作区的经济发展、改革开放、城市建设、推进机制、重大成就以及未来展望等，篇幅约6000字。</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3.专题部分。重点围绕《前海方案》中现代服务业、科技创新、营商环境、治理模式、服务贸易、金融开放、法律事务、国际合作八大领域中具有引领性、示范性、标志性的亮点工作，如标志性事件、突破性改革、标杆型平台等，形成一批专题报告，各篇报告明确一个主题，主要内容包括背景意义、工作举措、重大成就、经验启示、未来展望等方面，每篇篇幅约8000字。</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4.附件部分。大事记梳理，按照时间顺序总结梳理2023年前海合作区改革发展大事件。</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第三条 服务期限及工作进度</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（一）服务期限</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本项目工作期限为自合同签订之日起6个月。项目完成验收后，在审计、后续抽查等过程中，</w:t>
      </w:r>
      <w:r>
        <w:rPr>
          <w:rFonts w:hint="eastAsia" w:ascii="仿宋" w:hAnsi="仿宋" w:eastAsia="仿宋"/>
          <w:sz w:val="24"/>
          <w:lang w:val="en-US" w:eastAsia="zh-CN"/>
        </w:rPr>
        <w:t>乙方</w:t>
      </w:r>
      <w:r>
        <w:rPr>
          <w:rFonts w:hint="eastAsia" w:ascii="仿宋" w:hAnsi="仿宋" w:eastAsia="仿宋"/>
          <w:sz w:val="24"/>
        </w:rPr>
        <w:t>应配合需要提供以下无偿服务：在后续服务期限内提供相关咨询、协调和项目审查等技术支持。</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（二）工作进度及阶段成果要求</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本项目计划在6个月内，分三期完成：</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1.首期：自合同签订之日起1个月内提交《蓝皮书》项目总体思路、基本框架以及各部分选题；</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2.二期：自合同签订之日起4个月内提交《蓝皮书》初稿；</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3.三期：自合同签订之日起6个月内提交《蓝皮书》最终成果。</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第四条 工作成果及验收标准</w:t>
      </w:r>
      <w:r>
        <w:rPr>
          <w:rFonts w:ascii="仿宋" w:hAnsi="仿宋" w:eastAsia="仿宋"/>
          <w:sz w:val="24"/>
        </w:rPr>
        <w:t>、</w:t>
      </w:r>
      <w:r>
        <w:rPr>
          <w:rFonts w:hint="eastAsia" w:ascii="仿宋" w:hAnsi="仿宋" w:eastAsia="仿宋"/>
          <w:sz w:val="24"/>
        </w:rPr>
        <w:t>方式</w:t>
      </w:r>
    </w:p>
    <w:p>
      <w:pPr>
        <w:adjustRightInd w:val="0"/>
        <w:snapToGrid w:val="0"/>
        <w:spacing w:line="560" w:lineRule="exact"/>
        <w:ind w:firstLine="482" w:firstLineChars="200"/>
        <w:rPr>
          <w:rFonts w:ascii="仿宋" w:hAnsi="仿宋" w:eastAsia="仿宋"/>
          <w:b/>
          <w:sz w:val="24"/>
        </w:rPr>
      </w:pPr>
      <w:r>
        <w:rPr>
          <w:rFonts w:hint="eastAsia" w:ascii="仿宋" w:hAnsi="仿宋" w:eastAsia="仿宋"/>
          <w:b/>
          <w:sz w:val="24"/>
        </w:rPr>
        <w:t>（一）工作成果</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编制出版《2023年前海深港现代服务业合作区改革发展蓝皮书》（中文Word），并向采购人提供样书</w:t>
      </w:r>
      <w:r>
        <w:rPr>
          <w:rFonts w:ascii="仿宋" w:hAnsi="仿宋" w:eastAsia="仿宋"/>
          <w:sz w:val="24"/>
        </w:rPr>
        <w:t>3</w:t>
      </w:r>
      <w:r>
        <w:rPr>
          <w:rFonts w:hint="eastAsia" w:ascii="仿宋" w:hAnsi="仿宋" w:eastAsia="仿宋"/>
          <w:sz w:val="24"/>
        </w:rPr>
        <w:t>00册。</w:t>
      </w:r>
    </w:p>
    <w:p>
      <w:pPr>
        <w:adjustRightInd w:val="0"/>
        <w:snapToGrid w:val="0"/>
        <w:spacing w:line="560" w:lineRule="exact"/>
        <w:ind w:firstLine="482" w:firstLineChars="200"/>
        <w:rPr>
          <w:rFonts w:ascii="仿宋" w:hAnsi="仿宋" w:eastAsia="仿宋"/>
          <w:b/>
          <w:sz w:val="24"/>
        </w:rPr>
      </w:pPr>
      <w:r>
        <w:rPr>
          <w:rFonts w:hint="eastAsia" w:ascii="仿宋" w:hAnsi="仿宋" w:eastAsia="仿宋"/>
          <w:b/>
          <w:sz w:val="24"/>
        </w:rPr>
        <w:t>（二）验收标准</w:t>
      </w:r>
    </w:p>
    <w:p>
      <w:pPr>
        <w:pStyle w:val="57"/>
        <w:widowControl/>
        <w:snapToGrid w:val="0"/>
        <w:spacing w:line="560" w:lineRule="exact"/>
        <w:ind w:firstLine="480"/>
        <w:rPr>
          <w:rFonts w:ascii="宋体" w:hAnsi="宋体" w:cs="宋体"/>
          <w:sz w:val="24"/>
        </w:rPr>
      </w:pPr>
      <w:r>
        <w:rPr>
          <w:rFonts w:hint="eastAsia" w:ascii="仿宋" w:hAnsi="仿宋" w:eastAsia="仿宋"/>
          <w:sz w:val="24"/>
        </w:rPr>
        <w:t>上述成果深度需满足甲方关于前海改革发展具有全局性、指导性、实操性的要求，并能满足甲方对前海打造粤港澳大湾区全面改革创新试验平台、高水平对外开放门户枢纽、国际化城市新中心</w:t>
      </w:r>
      <w:r>
        <w:rPr>
          <w:rFonts w:hint="eastAsia" w:ascii="仿宋" w:hAnsi="仿宋" w:eastAsia="仿宋"/>
          <w:sz w:val="24"/>
          <w:lang w:val="en-US" w:eastAsia="zh-CN"/>
        </w:rPr>
        <w:t>等</w:t>
      </w:r>
      <w:r>
        <w:rPr>
          <w:rFonts w:hint="eastAsia" w:ascii="仿宋" w:hAnsi="仿宋" w:eastAsia="仿宋"/>
          <w:sz w:val="24"/>
        </w:rPr>
        <w:t>使用要求。</w:t>
      </w:r>
    </w:p>
    <w:p>
      <w:pPr>
        <w:adjustRightInd w:val="0"/>
        <w:snapToGrid w:val="0"/>
        <w:spacing w:line="560" w:lineRule="exact"/>
        <w:ind w:firstLine="482" w:firstLineChars="200"/>
        <w:rPr>
          <w:rFonts w:ascii="仿宋" w:hAnsi="仿宋" w:eastAsia="仿宋"/>
          <w:b/>
          <w:sz w:val="24"/>
        </w:rPr>
      </w:pPr>
      <w:r>
        <w:rPr>
          <w:rFonts w:hint="eastAsia" w:ascii="仿宋" w:hAnsi="仿宋" w:eastAsia="仿宋"/>
          <w:b/>
          <w:sz w:val="24"/>
        </w:rPr>
        <w:t>（三）验收方式</w:t>
      </w:r>
    </w:p>
    <w:p>
      <w:pPr>
        <w:adjustRightInd w:val="0"/>
        <w:snapToGrid w:val="0"/>
        <w:spacing w:line="560" w:lineRule="exact"/>
        <w:ind w:firstLine="480" w:firstLineChars="200"/>
        <w:rPr>
          <w:rFonts w:ascii="仿宋" w:hAnsi="仿宋" w:eastAsia="仿宋"/>
          <w:color w:val="000000"/>
          <w:sz w:val="24"/>
        </w:rPr>
      </w:pPr>
      <w:r>
        <w:rPr>
          <w:rFonts w:hint="eastAsia" w:ascii="仿宋" w:hAnsi="仿宋" w:eastAsia="仿宋"/>
          <w:sz w:val="24"/>
        </w:rPr>
        <w:t>以上成果提交并通过甲方验收，视为验收合格。</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第五条 管理要求</w:t>
      </w:r>
    </w:p>
    <w:p>
      <w:pPr>
        <w:spacing w:line="560" w:lineRule="exact"/>
        <w:ind w:firstLine="480" w:firstLineChars="200"/>
        <w:rPr>
          <w:rFonts w:ascii="仿宋" w:hAnsi="仿宋" w:eastAsia="仿宋"/>
          <w:sz w:val="24"/>
        </w:rPr>
      </w:pPr>
      <w:r>
        <w:rPr>
          <w:rFonts w:hint="eastAsia" w:ascii="仿宋" w:hAnsi="仿宋" w:eastAsia="仿宋"/>
          <w:sz w:val="24"/>
        </w:rPr>
        <w:t>（一）组织实施要求</w:t>
      </w:r>
    </w:p>
    <w:p>
      <w:pPr>
        <w:spacing w:line="56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为确保本次项目管理规范、实施有力，乙方应成立项目团队，按甲方要求完成项目成果。</w:t>
      </w:r>
    </w:p>
    <w:p>
      <w:pPr>
        <w:spacing w:line="56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乙方应配合甲方组织、举办本项目各工作阶段的汇报、审查、研讨、成果发布等工作，并承担相应费用。</w:t>
      </w:r>
    </w:p>
    <w:p>
      <w:pPr>
        <w:spacing w:line="560" w:lineRule="exact"/>
        <w:ind w:firstLine="480" w:firstLineChars="200"/>
        <w:rPr>
          <w:rFonts w:ascii="仿宋" w:hAnsi="仿宋" w:eastAsia="仿宋"/>
          <w:sz w:val="24"/>
        </w:rPr>
      </w:pPr>
      <w:r>
        <w:rPr>
          <w:rFonts w:hint="eastAsia" w:ascii="仿宋" w:hAnsi="仿宋" w:eastAsia="仿宋"/>
          <w:sz w:val="24"/>
        </w:rPr>
        <w:t>（二）人员安排要求</w:t>
      </w:r>
    </w:p>
    <w:p>
      <w:pPr>
        <w:spacing w:line="560" w:lineRule="exact"/>
        <w:ind w:firstLine="480" w:firstLineChars="200"/>
        <w:rPr>
          <w:rFonts w:ascii="仿宋" w:hAnsi="仿宋" w:eastAsia="仿宋"/>
          <w:sz w:val="24"/>
        </w:rPr>
      </w:pPr>
      <w:r>
        <w:rPr>
          <w:rFonts w:hint="eastAsia" w:ascii="仿宋" w:hAnsi="仿宋" w:eastAsia="仿宋"/>
          <w:sz w:val="24"/>
        </w:rPr>
        <w:t>（1）为了保证本项目得到高质量的完成，</w:t>
      </w:r>
      <w:r>
        <w:rPr>
          <w:rFonts w:hint="eastAsia" w:ascii="仿宋" w:hAnsi="仿宋" w:eastAsia="仿宋"/>
          <w:sz w:val="24"/>
          <w:lang w:val="en-US" w:eastAsia="zh-CN"/>
        </w:rPr>
        <w:t>乙方</w:t>
      </w:r>
      <w:r>
        <w:rPr>
          <w:rFonts w:hint="eastAsia" w:ascii="仿宋" w:hAnsi="仿宋" w:eastAsia="仿宋"/>
          <w:sz w:val="24"/>
        </w:rPr>
        <w:t>项目组的研究人员不少于6人，并必须至少有中级或</w:t>
      </w:r>
      <w:r>
        <w:rPr>
          <w:rFonts w:hint="eastAsia" w:ascii="仿宋" w:hAnsi="仿宋" w:eastAsia="仿宋"/>
          <w:sz w:val="24"/>
          <w:lang w:val="en-US" w:eastAsia="zh-CN"/>
        </w:rPr>
        <w:t>以上</w:t>
      </w:r>
      <w:r>
        <w:rPr>
          <w:rFonts w:hint="eastAsia" w:ascii="仿宋" w:hAnsi="仿宋" w:eastAsia="仿宋"/>
          <w:sz w:val="24"/>
        </w:rPr>
        <w:t>职称5人，其中高级职称（含副高）至少2人。</w:t>
      </w:r>
    </w:p>
    <w:p>
      <w:pPr>
        <w:spacing w:line="560" w:lineRule="exact"/>
        <w:ind w:firstLine="480" w:firstLineChars="200"/>
        <w:rPr>
          <w:rFonts w:ascii="仿宋" w:hAnsi="仿宋" w:eastAsia="仿宋"/>
          <w:sz w:val="24"/>
        </w:rPr>
      </w:pPr>
      <w:r>
        <w:rPr>
          <w:rFonts w:hint="eastAsia" w:ascii="仿宋" w:hAnsi="仿宋" w:eastAsia="仿宋"/>
          <w:sz w:val="24"/>
        </w:rPr>
        <w:t>（2）为保障项目质量，乙方不得随意更换项目团队成员。如需更换，须得到</w:t>
      </w:r>
      <w:r>
        <w:rPr>
          <w:rFonts w:hint="eastAsia" w:ascii="仿宋" w:hAnsi="仿宋" w:eastAsia="仿宋"/>
          <w:sz w:val="24"/>
          <w:lang w:val="en-US" w:eastAsia="zh-CN"/>
        </w:rPr>
        <w:t>甲方</w:t>
      </w:r>
      <w:r>
        <w:rPr>
          <w:rFonts w:hint="eastAsia" w:ascii="仿宋" w:hAnsi="仿宋" w:eastAsia="仿宋"/>
          <w:sz w:val="24"/>
        </w:rPr>
        <w:t>的书面同意。</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第六条 合同价款及支付方式</w:t>
      </w:r>
    </w:p>
    <w:p>
      <w:pPr>
        <w:spacing w:line="560" w:lineRule="exact"/>
        <w:ind w:firstLine="540"/>
        <w:rPr>
          <w:rFonts w:ascii="仿宋" w:hAnsi="仿宋" w:eastAsia="仿宋"/>
          <w:color w:val="000000"/>
          <w:sz w:val="24"/>
        </w:rPr>
      </w:pPr>
      <w:r>
        <w:rPr>
          <w:rFonts w:hint="eastAsia" w:ascii="仿宋" w:hAnsi="仿宋" w:eastAsia="仿宋"/>
          <w:sz w:val="24"/>
        </w:rPr>
        <w:t xml:space="preserve">（一）本合同金额（含税费）为（大写）： </w:t>
      </w:r>
      <w:r>
        <w:rPr>
          <w:rFonts w:ascii="仿宋" w:hAnsi="仿宋" w:eastAsia="仿宋"/>
          <w:sz w:val="24"/>
        </w:rPr>
        <w:t xml:space="preserve">  </w:t>
      </w:r>
      <w:r>
        <w:rPr>
          <w:rFonts w:hint="eastAsia" w:ascii="仿宋" w:hAnsi="仿宋" w:eastAsia="仿宋"/>
          <w:sz w:val="24"/>
        </w:rPr>
        <w:t xml:space="preserve">元整（￥ </w:t>
      </w:r>
      <w:r>
        <w:rPr>
          <w:rFonts w:ascii="仿宋" w:hAnsi="仿宋" w:eastAsia="仿宋"/>
          <w:sz w:val="24"/>
        </w:rPr>
        <w:t xml:space="preserve">  </w:t>
      </w:r>
      <w:r>
        <w:rPr>
          <w:rFonts w:hint="eastAsia" w:ascii="仿宋" w:hAnsi="仿宋" w:eastAsia="仿宋"/>
          <w:sz w:val="24"/>
        </w:rPr>
        <w:t>元）。</w:t>
      </w:r>
      <w:r>
        <w:rPr>
          <w:rFonts w:hint="eastAsia" w:ascii="仿宋" w:hAnsi="仿宋" w:eastAsia="仿宋"/>
          <w:color w:val="000000"/>
          <w:sz w:val="24"/>
        </w:rPr>
        <w:t>服务费已包含乙方提供本合同项下服务的全部费用，包括但不限于调研费、各种资料费、税金、会议评审、差旅费等所有费用，并提供合同要求的成果文件，以及其它相关服务的全部费用。</w:t>
      </w:r>
    </w:p>
    <w:p>
      <w:pPr>
        <w:spacing w:line="560" w:lineRule="exact"/>
        <w:ind w:firstLine="540"/>
        <w:rPr>
          <w:rFonts w:ascii="仿宋" w:hAnsi="仿宋" w:eastAsia="仿宋"/>
          <w:sz w:val="24"/>
        </w:rPr>
      </w:pPr>
      <w:r>
        <w:rPr>
          <w:rFonts w:hint="eastAsia" w:ascii="仿宋" w:hAnsi="仿宋" w:eastAsia="仿宋"/>
          <w:sz w:val="24"/>
        </w:rPr>
        <w:t>（二）合同价款由甲方分三期支付给乙方：</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1.自合同签订后，根据乙方提出的付款申请及开具的载明相应金额的正式发票后，甲方在15个工作日内向乙方支付合同总价款的30%；</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2. 乙方形成《蓝皮书》初稿，且通过</w:t>
      </w:r>
      <w:r>
        <w:rPr>
          <w:rFonts w:hint="eastAsia" w:ascii="仿宋" w:hAnsi="仿宋" w:eastAsia="仿宋"/>
          <w:sz w:val="24"/>
          <w:lang w:val="en-US" w:eastAsia="zh-CN"/>
        </w:rPr>
        <w:t>甲方</w:t>
      </w:r>
      <w:r>
        <w:rPr>
          <w:rFonts w:hint="eastAsia" w:ascii="仿宋" w:hAnsi="仿宋" w:eastAsia="仿宋"/>
          <w:sz w:val="24"/>
        </w:rPr>
        <w:t>验收合格后，根据乙方提出的付款申请及开具的载明相应金额的正式发票后，甲方在15个工作日内向乙方支付合同总价款的40%。</w:t>
      </w:r>
    </w:p>
    <w:p>
      <w:pPr>
        <w:adjustRightInd w:val="0"/>
        <w:snapToGrid w:val="0"/>
        <w:spacing w:line="56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 乙方完成《蓝皮书》最终成果，且通过甲方验收合格后，根据乙方提出的付款申请及开具的载明相应金额的正式发票后，甲方在15个工作日内向乙方支付合同总价款的30%。</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4.本合同项下各期款项均在满足付款条件，且甲方收到乙方开具的载明相应金额的正式发票后向乙方指定银行账户支付，如甲方未及时收到乙方开具的正式发票，甲方付款时间相应顺延。若因甲方付款审批影响支付进度，请乙方予以谅解，并不得就此向甲方索赔。</w:t>
      </w:r>
    </w:p>
    <w:p>
      <w:pPr>
        <w:adjustRightInd w:val="0"/>
        <w:snapToGrid w:val="0"/>
        <w:spacing w:line="56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.乙方银行账户信息：</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 xml:space="preserve">开户银行： </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开户名</w:t>
      </w:r>
      <w:r>
        <w:rPr>
          <w:rFonts w:ascii="仿宋" w:hAnsi="仿宋" w:eastAsia="仿宋"/>
          <w:sz w:val="24"/>
        </w:rPr>
        <w:t>：</w:t>
      </w:r>
      <w:r>
        <w:rPr>
          <w:rFonts w:hint="eastAsia" w:ascii="仿宋" w:hAnsi="仿宋" w:eastAsia="仿宋"/>
          <w:sz w:val="24"/>
        </w:rPr>
        <w:t xml:space="preserve"> </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lang w:eastAsia="zh-CN"/>
        </w:rPr>
        <w:t>开户银行账号</w:t>
      </w:r>
      <w:r>
        <w:rPr>
          <w:rFonts w:hint="eastAsia" w:ascii="仿宋" w:hAnsi="仿宋" w:eastAsia="仿宋"/>
          <w:sz w:val="24"/>
        </w:rPr>
        <w:t>：</w:t>
      </w:r>
      <w:r>
        <w:rPr>
          <w:rFonts w:ascii="仿宋" w:hAnsi="仿宋" w:eastAsia="仿宋"/>
          <w:sz w:val="24"/>
        </w:rPr>
        <w:t xml:space="preserve"> </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第七条 双方的权利和义务</w:t>
      </w:r>
    </w:p>
    <w:p>
      <w:pPr>
        <w:adjustRightInd w:val="0"/>
        <w:snapToGrid w:val="0"/>
        <w:spacing w:line="560" w:lineRule="exact"/>
        <w:ind w:firstLine="480" w:firstLineChars="200"/>
        <w:rPr>
          <w:rFonts w:ascii="仿宋" w:hAnsi="仿宋" w:eastAsia="仿宋"/>
          <w:bCs/>
          <w:sz w:val="24"/>
        </w:rPr>
      </w:pPr>
      <w:r>
        <w:rPr>
          <w:rFonts w:hint="eastAsia" w:ascii="仿宋" w:hAnsi="仿宋" w:eastAsia="仿宋"/>
          <w:bCs/>
          <w:sz w:val="24"/>
        </w:rPr>
        <w:t>（一）甲方的权利与义务</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1.甲方有权向乙方询问项目工作进展及相关情况，并要求乙方在合理时间内做出答复。</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2.甲方有权对乙方提交的阶段性成果、最终成果送审稿等相关文件进行审核并提出修改意见。</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3.如甲方确认乙方工作人员未按照本合同要求履行职责，甲方有权</w:t>
      </w:r>
      <w:r>
        <w:rPr>
          <w:rFonts w:hint="eastAsia" w:ascii="仿宋" w:hAnsi="仿宋" w:eastAsia="仿宋" w:cs="仿宋"/>
          <w:sz w:val="24"/>
        </w:rPr>
        <w:t>要求乙方限期更换人员，且接替人员的职位、资历应与原定成员相当，否则甲方有权终止合同并要求乙方承担相应赔偿责任</w:t>
      </w:r>
      <w:r>
        <w:rPr>
          <w:rFonts w:hint="eastAsia" w:ascii="仿宋" w:hAnsi="仿宋" w:eastAsia="仿宋"/>
          <w:sz w:val="24"/>
        </w:rPr>
        <w:t>。</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sz w:val="24"/>
        </w:rPr>
        <w:t>4.</w:t>
      </w:r>
      <w:r>
        <w:rPr>
          <w:rFonts w:hint="eastAsia" w:ascii="仿宋" w:hAnsi="仿宋" w:eastAsia="仿宋" w:cs="仿宋"/>
          <w:sz w:val="24"/>
        </w:rPr>
        <w:t>甲方对乙方在委托权限范围内完成委托事项有指导、监督权利。</w:t>
      </w:r>
    </w:p>
    <w:p>
      <w:pPr>
        <w:adjustRightInd w:val="0"/>
        <w:snapToGrid w:val="0"/>
        <w:spacing w:line="56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甲方有权要求乙方全面履行合同。甲方不接受部分履行，如本合同项下部分成果文件未能按时交付则视为整体延误。</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如乙方所提供的项目成果不符合本合同的要求，甲方有权要求乙方重新执行相应的工作服务，由此产生的全部费用由乙方自行承担，同时，甲方的付款时间相应顺延。</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7.甲方要求乙方比本合同约定时间提前交付成果时，须征得乙方同意。因此而增加工作量，经协商确认，甲方应向乙方支付必要的费用。</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甲方应尽量协调有关部门、单位，协助乙方编撰蓝皮书专题报告，应为乙方在深圳开展调研出具函件联系</w:t>
      </w:r>
      <w:r>
        <w:rPr>
          <w:rFonts w:ascii="仿宋" w:hAnsi="仿宋" w:eastAsia="仿宋"/>
          <w:sz w:val="24"/>
        </w:rPr>
        <w:t>相关部门</w:t>
      </w:r>
      <w:r>
        <w:rPr>
          <w:rFonts w:hint="eastAsia" w:ascii="仿宋" w:hAnsi="仿宋" w:eastAsia="仿宋"/>
          <w:sz w:val="24"/>
        </w:rPr>
        <w:t>协助开展工作，甲方对于乙方遵照学术规律开展的研究活动不得无理由干涉。</w:t>
      </w:r>
    </w:p>
    <w:p>
      <w:pPr>
        <w:adjustRightInd w:val="0"/>
        <w:snapToGrid w:val="0"/>
        <w:spacing w:line="560" w:lineRule="exact"/>
        <w:ind w:firstLine="480" w:firstLineChars="200"/>
        <w:rPr>
          <w:rFonts w:ascii="仿宋" w:hAnsi="仿宋" w:eastAsia="仿宋"/>
          <w:sz w:val="24"/>
        </w:rPr>
      </w:pPr>
      <w:r>
        <w:rPr>
          <w:rFonts w:ascii="仿宋" w:hAnsi="仿宋" w:eastAsia="仿宋"/>
          <w:sz w:val="24"/>
        </w:rPr>
        <w:t>9</w:t>
      </w:r>
      <w:r>
        <w:rPr>
          <w:rFonts w:hint="eastAsia" w:ascii="仿宋" w:hAnsi="仿宋" w:eastAsia="仿宋"/>
          <w:sz w:val="24"/>
        </w:rPr>
        <w:t>.甲方在不违反自身纪律前提下，应为乙方开展调研提供必要的支持协助。应将项目研究所需相关资料、案例、数据等提供给乙方，确保所提供材料的准确性、真实性，确保不涉密。</w:t>
      </w:r>
    </w:p>
    <w:p>
      <w:pPr>
        <w:adjustRightInd w:val="0"/>
        <w:snapToGrid w:val="0"/>
        <w:spacing w:line="560" w:lineRule="exact"/>
        <w:ind w:firstLine="480" w:firstLineChars="200"/>
        <w:rPr>
          <w:rFonts w:ascii="仿宋" w:hAnsi="仿宋" w:eastAsia="仿宋"/>
          <w:sz w:val="24"/>
        </w:rPr>
      </w:pPr>
      <w:r>
        <w:rPr>
          <w:rFonts w:ascii="仿宋" w:hAnsi="仿宋" w:eastAsia="仿宋"/>
          <w:sz w:val="24"/>
        </w:rPr>
        <w:t>10</w:t>
      </w:r>
      <w:r>
        <w:rPr>
          <w:rFonts w:hint="eastAsia" w:ascii="仿宋" w:hAnsi="仿宋" w:eastAsia="仿宋"/>
          <w:sz w:val="24"/>
        </w:rPr>
        <w:t>.甲方应按照本合同的约定向乙方支付费用。</w:t>
      </w:r>
    </w:p>
    <w:p>
      <w:pPr>
        <w:adjustRightInd w:val="0"/>
        <w:snapToGrid w:val="0"/>
        <w:spacing w:line="560" w:lineRule="exact"/>
        <w:ind w:firstLine="480" w:firstLineChars="200"/>
        <w:rPr>
          <w:rFonts w:ascii="仿宋" w:hAnsi="仿宋" w:eastAsia="仿宋"/>
          <w:sz w:val="24"/>
        </w:rPr>
      </w:pPr>
      <w:r>
        <w:rPr>
          <w:rFonts w:ascii="仿宋" w:hAnsi="仿宋" w:eastAsia="仿宋"/>
          <w:sz w:val="24"/>
        </w:rPr>
        <w:t>11.</w:t>
      </w:r>
      <w:r>
        <w:rPr>
          <w:rFonts w:hint="eastAsia" w:ascii="仿宋" w:hAnsi="仿宋" w:eastAsia="仿宋"/>
          <w:sz w:val="24"/>
        </w:rPr>
        <w:t>甲方应在项目开始前对项目需求作出明确描述，在项目开展过程中</w:t>
      </w:r>
      <w:r>
        <w:rPr>
          <w:rFonts w:hint="eastAsia" w:ascii="仿宋" w:hAnsi="仿宋" w:eastAsia="仿宋"/>
          <w:sz w:val="24"/>
          <w:lang w:eastAsia="zh-CN"/>
        </w:rPr>
        <w:t>不得</w:t>
      </w:r>
      <w:r>
        <w:rPr>
          <w:rFonts w:hint="eastAsia" w:ascii="仿宋" w:hAnsi="仿宋" w:eastAsia="仿宋"/>
          <w:sz w:val="24"/>
        </w:rPr>
        <w:t>擅自变更、增加，但双方协商一致的除外。</w:t>
      </w:r>
    </w:p>
    <w:p>
      <w:pPr>
        <w:adjustRightInd w:val="0"/>
        <w:snapToGrid w:val="0"/>
        <w:spacing w:line="560" w:lineRule="exact"/>
        <w:ind w:firstLine="480" w:firstLineChars="200"/>
        <w:rPr>
          <w:rFonts w:ascii="仿宋" w:hAnsi="仿宋" w:eastAsia="仿宋"/>
          <w:sz w:val="24"/>
        </w:rPr>
      </w:pPr>
      <w:r>
        <w:rPr>
          <w:rFonts w:ascii="仿宋" w:hAnsi="仿宋" w:eastAsia="仿宋"/>
          <w:sz w:val="24"/>
        </w:rPr>
        <w:t>12</w:t>
      </w:r>
      <w:r>
        <w:rPr>
          <w:rFonts w:hint="eastAsia" w:ascii="仿宋" w:hAnsi="仿宋" w:eastAsia="仿宋"/>
          <w:sz w:val="24"/>
        </w:rPr>
        <w:t>.甲方应当维护乙方声誉，不得擅自使用乙方名义进行宣传，不得擅自对外发布有损乙方声誉的信息。</w:t>
      </w:r>
    </w:p>
    <w:p>
      <w:pPr>
        <w:adjustRightInd w:val="0"/>
        <w:snapToGrid w:val="0"/>
        <w:spacing w:line="560" w:lineRule="exact"/>
        <w:ind w:firstLine="480" w:firstLineChars="200"/>
        <w:rPr>
          <w:rFonts w:ascii="仿宋" w:hAnsi="仿宋" w:eastAsia="仿宋"/>
          <w:sz w:val="24"/>
        </w:rPr>
      </w:pPr>
      <w:r>
        <w:rPr>
          <w:rFonts w:ascii="仿宋" w:hAnsi="仿宋" w:eastAsia="仿宋"/>
          <w:sz w:val="24"/>
        </w:rPr>
        <w:t>13</w:t>
      </w:r>
      <w:r>
        <w:rPr>
          <w:rFonts w:hint="eastAsia" w:ascii="仿宋" w:hAnsi="仿宋" w:eastAsia="仿宋"/>
          <w:sz w:val="24"/>
        </w:rPr>
        <w:t>．</w:t>
      </w:r>
      <w:r>
        <w:rPr>
          <w:rFonts w:ascii="仿宋" w:hAnsi="仿宋" w:eastAsia="仿宋"/>
          <w:sz w:val="24"/>
        </w:rPr>
        <w:t>甲方</w:t>
      </w:r>
      <w:r>
        <w:rPr>
          <w:rFonts w:hint="eastAsia" w:ascii="仿宋" w:hAnsi="仿宋" w:eastAsia="仿宋"/>
          <w:sz w:val="24"/>
        </w:rPr>
        <w:t>需要</w:t>
      </w:r>
      <w:r>
        <w:rPr>
          <w:rFonts w:ascii="仿宋" w:hAnsi="仿宋" w:eastAsia="仿宋"/>
          <w:sz w:val="24"/>
        </w:rPr>
        <w:t>单独对外发布</w:t>
      </w:r>
      <w:r>
        <w:rPr>
          <w:rFonts w:hint="eastAsia" w:ascii="仿宋" w:hAnsi="仿宋" w:eastAsia="仿宋"/>
          <w:sz w:val="24"/>
        </w:rPr>
        <w:t>本项目</w:t>
      </w:r>
      <w:r>
        <w:rPr>
          <w:rFonts w:ascii="仿宋" w:hAnsi="仿宋" w:eastAsia="仿宋"/>
          <w:sz w:val="24"/>
        </w:rPr>
        <w:t>成果时，应</w:t>
      </w:r>
      <w:r>
        <w:rPr>
          <w:rFonts w:hint="eastAsia" w:ascii="仿宋" w:hAnsi="仿宋" w:eastAsia="仿宋"/>
          <w:sz w:val="24"/>
        </w:rPr>
        <w:t>提前</w:t>
      </w:r>
      <w:r>
        <w:rPr>
          <w:rFonts w:ascii="仿宋" w:hAnsi="仿宋" w:eastAsia="仿宋"/>
          <w:sz w:val="24"/>
        </w:rPr>
        <w:t>知会乙方，并以适当方式</w:t>
      </w:r>
      <w:r>
        <w:rPr>
          <w:rFonts w:hint="eastAsia" w:ascii="仿宋" w:hAnsi="仿宋" w:eastAsia="仿宋"/>
          <w:sz w:val="24"/>
        </w:rPr>
        <w:t>署名。</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4.</w:t>
      </w:r>
      <w:r>
        <w:rPr>
          <w:rFonts w:hint="eastAsia" w:ascii="仿宋" w:hAnsi="仿宋" w:eastAsia="仿宋"/>
          <w:sz w:val="24"/>
        </w:rPr>
        <w:t>甲方指定项目联系人：</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姓名：李成丽</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联系方式：</w:t>
      </w:r>
      <w:r>
        <w:rPr>
          <w:rFonts w:ascii="仿宋" w:hAnsi="仿宋" w:eastAsia="仿宋"/>
          <w:sz w:val="24"/>
        </w:rPr>
        <w:t>0755</w:t>
      </w:r>
      <w:r>
        <w:rPr>
          <w:rFonts w:hint="eastAsia" w:ascii="仿宋" w:hAnsi="仿宋" w:eastAsia="仿宋"/>
          <w:sz w:val="24"/>
        </w:rPr>
        <w:t>-8810</w:t>
      </w:r>
      <w:r>
        <w:rPr>
          <w:rFonts w:ascii="仿宋" w:hAnsi="仿宋" w:eastAsia="仿宋"/>
          <w:sz w:val="24"/>
        </w:rPr>
        <w:t>5129</w:t>
      </w:r>
    </w:p>
    <w:p>
      <w:pPr>
        <w:adjustRightInd w:val="0"/>
        <w:snapToGrid w:val="0"/>
        <w:spacing w:line="560" w:lineRule="exact"/>
        <w:ind w:firstLine="480" w:firstLineChars="200"/>
        <w:rPr>
          <w:rFonts w:ascii="仿宋" w:hAnsi="仿宋" w:eastAsia="仿宋"/>
          <w:bCs/>
          <w:sz w:val="24"/>
        </w:rPr>
      </w:pPr>
      <w:r>
        <w:rPr>
          <w:rFonts w:hint="eastAsia" w:ascii="仿宋" w:hAnsi="仿宋" w:eastAsia="仿宋"/>
          <w:bCs/>
          <w:sz w:val="24"/>
        </w:rPr>
        <w:t>（二）乙方的权利与义务</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1.为保证项目成果的质量，乙方在合同履行期间，应按照服务内容要求组织专家队伍，成立项目团队，并保障项目团队成员到位，确保项目研究按照合同顺利进行，</w:t>
      </w:r>
      <w:r>
        <w:rPr>
          <w:rFonts w:ascii="仿宋" w:hAnsi="仿宋" w:eastAsia="仿宋"/>
          <w:sz w:val="24"/>
        </w:rPr>
        <w:t>并在</w:t>
      </w:r>
      <w:r>
        <w:rPr>
          <w:rFonts w:hint="eastAsia" w:ascii="仿宋" w:hAnsi="仿宋" w:eastAsia="仿宋"/>
          <w:sz w:val="24"/>
        </w:rPr>
        <w:t>阶段性工作</w:t>
      </w:r>
      <w:r>
        <w:rPr>
          <w:rFonts w:ascii="仿宋" w:hAnsi="仿宋" w:eastAsia="仿宋"/>
          <w:sz w:val="24"/>
        </w:rPr>
        <w:t>结束后及时组织专家论证</w:t>
      </w:r>
      <w:r>
        <w:rPr>
          <w:rFonts w:hint="eastAsia" w:ascii="仿宋" w:hAnsi="仿宋" w:eastAsia="仿宋"/>
          <w:sz w:val="24"/>
        </w:rPr>
        <w:t>。</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2.乙方有权按照学术研究规律开展本项目研究，保证调查研究的方法科学合理，按本合同约定的内容、标准和期限完成项目工作，并按照甲方要求将完成委托事项的成果报告交给甲方。</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3.乙方应配合甲方验收人员的工作</w:t>
      </w:r>
      <w:r>
        <w:rPr>
          <w:rFonts w:hint="eastAsia" w:ascii="仿宋" w:hAnsi="仿宋" w:eastAsia="仿宋"/>
          <w:sz w:val="24"/>
          <w:lang w:eastAsia="zh-CN"/>
        </w:rPr>
        <w:t>，</w:t>
      </w:r>
      <w:r>
        <w:rPr>
          <w:rFonts w:hint="eastAsia" w:ascii="仿宋" w:hAnsi="仿宋" w:eastAsia="仿宋"/>
          <w:sz w:val="24"/>
        </w:rPr>
        <w:t>对于验收过程中发现的问题，经查证属实的，乙方应及时改正。</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4.乙方有维护甲方声誉的义务，乙方不能以甲方名义从事与本项目无关的任何事务。</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5.乙方应独立完成本项目。乙方不得向任何第三方全部或部分转让本项目。</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7.乙方应确保投标文件中提供的所有资料、信息真实、有效。</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8.乙方应负责按照蓝皮书的出版标准撰写总报告，组织</w:t>
      </w:r>
      <w:r>
        <w:rPr>
          <w:rFonts w:ascii="仿宋" w:hAnsi="仿宋" w:eastAsia="仿宋"/>
          <w:sz w:val="24"/>
        </w:rPr>
        <w:t>协调</w:t>
      </w:r>
      <w:r>
        <w:rPr>
          <w:rFonts w:hint="eastAsia" w:ascii="仿宋" w:hAnsi="仿宋" w:eastAsia="仿宋"/>
          <w:sz w:val="24"/>
        </w:rPr>
        <w:t>协调甲方及</w:t>
      </w:r>
      <w:r>
        <w:rPr>
          <w:rFonts w:ascii="仿宋" w:hAnsi="仿宋" w:eastAsia="仿宋"/>
          <w:sz w:val="24"/>
        </w:rPr>
        <w:t>相关</w:t>
      </w:r>
      <w:r>
        <w:rPr>
          <w:rFonts w:hint="eastAsia" w:ascii="仿宋" w:hAnsi="仿宋" w:eastAsia="仿宋"/>
          <w:sz w:val="24"/>
        </w:rPr>
        <w:t>单位编撰专题报告文章，负责全书报告的查重</w:t>
      </w:r>
      <w:r>
        <w:rPr>
          <w:rFonts w:ascii="仿宋" w:hAnsi="仿宋" w:eastAsia="仿宋"/>
          <w:sz w:val="24"/>
        </w:rPr>
        <w:t>、</w:t>
      </w:r>
      <w:r>
        <w:rPr>
          <w:rFonts w:hint="eastAsia" w:ascii="仿宋" w:hAnsi="仿宋" w:eastAsia="仿宋"/>
          <w:sz w:val="24"/>
        </w:rPr>
        <w:t>审核、编辑、校对等。</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9.乙方不得单独对外发布本项目任何成果。如必要</w:t>
      </w:r>
      <w:r>
        <w:rPr>
          <w:rFonts w:ascii="仿宋" w:hAnsi="仿宋" w:eastAsia="仿宋"/>
          <w:sz w:val="24"/>
        </w:rPr>
        <w:t>，</w:t>
      </w:r>
      <w:r>
        <w:rPr>
          <w:rFonts w:hint="eastAsia" w:ascii="仿宋" w:hAnsi="仿宋" w:eastAsia="仿宋"/>
          <w:sz w:val="24"/>
        </w:rPr>
        <w:t>应</w:t>
      </w:r>
      <w:r>
        <w:rPr>
          <w:rFonts w:ascii="仿宋" w:hAnsi="仿宋" w:eastAsia="仿宋"/>
          <w:sz w:val="24"/>
        </w:rPr>
        <w:t>提前</w:t>
      </w:r>
      <w:r>
        <w:rPr>
          <w:rFonts w:hint="eastAsia" w:ascii="仿宋" w:hAnsi="仿宋" w:eastAsia="仿宋"/>
          <w:sz w:val="24"/>
        </w:rPr>
        <w:t>征得</w:t>
      </w:r>
      <w:r>
        <w:rPr>
          <w:rFonts w:ascii="仿宋" w:hAnsi="仿宋" w:eastAsia="仿宋"/>
          <w:sz w:val="24"/>
        </w:rPr>
        <w:t>甲方</w:t>
      </w:r>
      <w:r>
        <w:rPr>
          <w:rFonts w:hint="eastAsia" w:ascii="仿宋" w:hAnsi="仿宋" w:eastAsia="仿宋"/>
          <w:sz w:val="24"/>
        </w:rPr>
        <w:t>书面同意</w:t>
      </w:r>
      <w:r>
        <w:rPr>
          <w:rFonts w:ascii="仿宋" w:hAnsi="仿宋" w:eastAsia="仿宋"/>
          <w:sz w:val="24"/>
        </w:rPr>
        <w:t>。</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0.</w:t>
      </w:r>
      <w:r>
        <w:rPr>
          <w:rFonts w:hint="eastAsia" w:ascii="仿宋" w:hAnsi="仿宋" w:eastAsia="仿宋"/>
        </w:rPr>
        <w:t xml:space="preserve"> </w:t>
      </w:r>
      <w:r>
        <w:rPr>
          <w:rFonts w:hint="eastAsia" w:ascii="仿宋" w:hAnsi="仿宋" w:eastAsia="仿宋"/>
          <w:sz w:val="24"/>
        </w:rPr>
        <w:t>乙方指定项目联系人：</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姓名：</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联系方式：</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sz w:val="24"/>
        </w:rPr>
        <w:t>第八条</w:t>
      </w:r>
      <w:r>
        <w:rPr>
          <w:rFonts w:hint="eastAsia" w:ascii="仿宋" w:hAnsi="仿宋" w:eastAsia="仿宋" w:cs="仿宋"/>
          <w:sz w:val="24"/>
        </w:rPr>
        <w:t xml:space="preserve"> 项目变更</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（一）本合同履行过程中的需求变更和进度调整，以甲乙双方达成一致的书面文件为准。</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（二）乙方遇到不能按期完成工作的情况，应及时以书面形式将不能按期完成工作的理由、延误时间通知甲方。甲方在收到乙方通知后，根据情况决定是否延长完成时间。如同意延长，则乙方责任期也相应延长。</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（三）因非乙方责任造成项目进度推迟或延误，无法按照本合同约定的日期完成相应工作，双方经过协商可以进一步约定完成的日期，乙方的责任期也随之顺延。</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（四）在本项目进展过程中，经双方同意的研究、编制内容等方面的增减，如所涉增加费用的金额不超过本合同项下服务费总金额的10%</w:t>
      </w:r>
      <w:r>
        <w:rPr>
          <w:rFonts w:hint="eastAsia" w:ascii="仿宋" w:hAnsi="仿宋" w:eastAsia="仿宋" w:cs="仿宋"/>
          <w:sz w:val="24"/>
          <w:lang w:eastAsia="zh-CN"/>
        </w:rPr>
        <w:t>，</w:t>
      </w:r>
      <w:r>
        <w:rPr>
          <w:rFonts w:hint="eastAsia" w:ascii="仿宋" w:hAnsi="仿宋" w:eastAsia="仿宋" w:cs="仿宋"/>
          <w:sz w:val="24"/>
        </w:rPr>
        <w:t xml:space="preserve">由双方商定变更内容及具体价格后签订书面补充协议予以确认。           </w:t>
      </w:r>
    </w:p>
    <w:p>
      <w:pPr>
        <w:adjustRightInd w:val="0"/>
        <w:snapToGrid w:val="0"/>
        <w:spacing w:line="560" w:lineRule="exact"/>
        <w:ind w:firstLine="480" w:firstLineChars="200"/>
        <w:rPr>
          <w:rFonts w:ascii="仿宋" w:hAnsi="仿宋" w:eastAsia="仿宋"/>
          <w:sz w:val="24"/>
        </w:rPr>
      </w:pPr>
      <w:r>
        <w:rPr>
          <w:rFonts w:hint="eastAsia" w:ascii="仿宋" w:hAnsi="仿宋" w:eastAsia="仿宋" w:cs="仿宋"/>
          <w:sz w:val="24"/>
        </w:rPr>
        <w:t xml:space="preserve">第九条 </w:t>
      </w:r>
      <w:r>
        <w:rPr>
          <w:rFonts w:hint="eastAsia" w:ascii="仿宋" w:hAnsi="仿宋" w:eastAsia="仿宋"/>
          <w:sz w:val="24"/>
        </w:rPr>
        <w:t>成果权属与知识产权</w:t>
      </w:r>
    </w:p>
    <w:p>
      <w:pPr>
        <w:pStyle w:val="11"/>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一）课题研究成果的版权归甲乙双方共同所有。未经甲方书面同意，乙方不得将研究成果公开发表、内部刊用或用于其他任何项目，也不得将本项目的阶段性成果和/或最终成果文件及任何数据、资料向任何第三方转让、授权任何第三方使用或用于本合同项目外的其他项目。如发生以上情况，乙方应向甲方支付本合同总价款20%的违约金，如果违约金无法补</w:t>
      </w:r>
      <w:r>
        <w:rPr>
          <w:rFonts w:hint="eastAsia" w:ascii="仿宋" w:hAnsi="仿宋" w:eastAsia="仿宋" w:cs="仿宋"/>
          <w:sz w:val="24"/>
          <w:lang w:val="en-US" w:eastAsia="zh-CN"/>
        </w:rPr>
        <w:t>偿</w:t>
      </w:r>
      <w:r>
        <w:rPr>
          <w:rFonts w:hint="eastAsia" w:ascii="仿宋" w:hAnsi="仿宋" w:eastAsia="仿宋" w:cs="仿宋"/>
          <w:sz w:val="24"/>
        </w:rPr>
        <w:t>甲方的损失，甲方有权要求乙方赔偿全部损失。</w:t>
      </w:r>
    </w:p>
    <w:p>
      <w:pPr>
        <w:pStyle w:val="11"/>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征得甲方书面同意后，乙方可公开发表研究成果，并享有署名权。</w:t>
      </w:r>
    </w:p>
    <w:p>
      <w:pPr>
        <w:pStyle w:val="11"/>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二）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第十条 保密条款</w:t>
      </w:r>
    </w:p>
    <w:p>
      <w:pPr>
        <w:tabs>
          <w:tab w:val="left" w:pos="1080"/>
        </w:tabs>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（一）甲方应确保向</w:t>
      </w:r>
      <w:r>
        <w:rPr>
          <w:rFonts w:ascii="仿宋" w:hAnsi="仿宋" w:eastAsia="仿宋"/>
          <w:sz w:val="24"/>
        </w:rPr>
        <w:t>乙方</w:t>
      </w:r>
      <w:r>
        <w:rPr>
          <w:rFonts w:hint="eastAsia" w:ascii="仿宋" w:hAnsi="仿宋" w:eastAsia="仿宋"/>
          <w:sz w:val="24"/>
        </w:rPr>
        <w:t>提供的所有资料信息合法、真实、有效，</w:t>
      </w:r>
      <w:r>
        <w:rPr>
          <w:rFonts w:ascii="仿宋" w:hAnsi="仿宋" w:eastAsia="仿宋"/>
          <w:sz w:val="24"/>
        </w:rPr>
        <w:t>不</w:t>
      </w:r>
      <w:r>
        <w:rPr>
          <w:rFonts w:hint="eastAsia" w:ascii="仿宋" w:hAnsi="仿宋" w:eastAsia="仿宋"/>
          <w:sz w:val="24"/>
        </w:rPr>
        <w:t>涉密；</w:t>
      </w:r>
    </w:p>
    <w:p>
      <w:pPr>
        <w:tabs>
          <w:tab w:val="left" w:pos="1080"/>
        </w:tabs>
        <w:adjustRightInd w:val="0"/>
        <w:snapToGrid w:val="0"/>
        <w:spacing w:line="560" w:lineRule="exact"/>
        <w:ind w:firstLine="480" w:firstLineChars="200"/>
        <w:rPr>
          <w:rFonts w:ascii="仿宋" w:hAnsi="仿宋" w:eastAsia="仿宋"/>
          <w:sz w:val="24"/>
        </w:rPr>
      </w:pPr>
      <w:r>
        <w:rPr>
          <w:rFonts w:hint="eastAsia" w:ascii="仿宋" w:hAnsi="仿宋" w:eastAsia="仿宋"/>
          <w:sz w:val="24"/>
        </w:rPr>
        <w:t>（二）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采购人内部数据资料。</w:t>
      </w:r>
    </w:p>
    <w:p>
      <w:pPr>
        <w:tabs>
          <w:tab w:val="left" w:pos="1080"/>
        </w:tabs>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三）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1080"/>
        </w:tabs>
        <w:adjustRightInd w:val="0"/>
        <w:snapToGrid w:val="0"/>
        <w:spacing w:line="560" w:lineRule="exact"/>
        <w:ind w:firstLine="480" w:firstLineChars="200"/>
        <w:rPr>
          <w:rFonts w:ascii="仿宋" w:hAnsi="仿宋" w:eastAsia="仿宋"/>
          <w:sz w:val="24"/>
        </w:rPr>
      </w:pPr>
      <w:r>
        <w:rPr>
          <w:rFonts w:hint="eastAsia" w:ascii="仿宋" w:hAnsi="仿宋" w:eastAsia="仿宋"/>
          <w:sz w:val="24"/>
        </w:rPr>
        <w:t>（四）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信息和数据（包括但不限于企业信息、经济和社会发展数据等），或公开本项目的阶段性成果或最终成果内容。即使向与履行本合同有关的人员提供前述保密信息，也应限于履行合同的必需范围，且这些人员应接受至少与本条款同等严格的保密条款的约束。如发生以上情况，乙方应向甲方支付本合同项下服务费用总价款20%的违约金，如果违约金无法弥补甲方损失，甲方保留要求乙方赔偿全部损失的权利。</w:t>
      </w:r>
    </w:p>
    <w:p>
      <w:pPr>
        <w:tabs>
          <w:tab w:val="left" w:pos="1080"/>
        </w:tabs>
        <w:adjustRightInd w:val="0"/>
        <w:snapToGrid w:val="0"/>
        <w:spacing w:line="560" w:lineRule="exact"/>
        <w:ind w:firstLine="480" w:firstLineChars="200"/>
        <w:jc w:val="left"/>
        <w:rPr>
          <w:rFonts w:ascii="仿宋" w:hAnsi="仿宋" w:eastAsia="仿宋"/>
          <w:sz w:val="24"/>
        </w:rPr>
      </w:pPr>
      <w:r>
        <w:rPr>
          <w:rFonts w:hint="eastAsia" w:ascii="仿宋" w:hAnsi="仿宋" w:eastAsia="仿宋"/>
          <w:sz w:val="24"/>
        </w:rPr>
        <w:t>（五）乙方实施项目的程序应符合国家安全、保密的有关规定和标准。</w:t>
      </w:r>
    </w:p>
    <w:p>
      <w:pPr>
        <w:pStyle w:val="11"/>
        <w:adjustRightInd w:val="0"/>
        <w:snapToGrid w:val="0"/>
        <w:spacing w:line="560" w:lineRule="exact"/>
        <w:ind w:firstLine="480" w:firstLineChars="200"/>
        <w:rPr>
          <w:rFonts w:ascii="仿宋" w:hAnsi="仿宋" w:eastAsia="仿宋"/>
          <w:b/>
          <w:sz w:val="24"/>
        </w:rPr>
      </w:pPr>
      <w:r>
        <w:rPr>
          <w:rFonts w:hint="eastAsia" w:ascii="仿宋" w:hAnsi="仿宋" w:eastAsia="仿宋"/>
          <w:sz w:val="24"/>
        </w:rPr>
        <w:t>（六）</w:t>
      </w:r>
      <w:r>
        <w:rPr>
          <w:rFonts w:hint="eastAsia" w:ascii="仿宋" w:hAnsi="仿宋" w:eastAsia="仿宋"/>
          <w:sz w:val="24"/>
          <w:lang w:val="en-US" w:eastAsia="zh-CN"/>
        </w:rPr>
        <w:t>无</w:t>
      </w:r>
      <w:r>
        <w:rPr>
          <w:rFonts w:hint="eastAsia" w:ascii="仿宋" w:hAnsi="仿宋" w:eastAsia="仿宋"/>
          <w:sz w:val="24"/>
        </w:rPr>
        <w:t>论本合同或本合同其他条款是否有效，本保密条款始终约束双方。国家秘密的保密期限由国家有关部门确定，工作秘密的保密期限由甲方确定。</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第十条 违约责任</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（一）如乙方未按照本合同约定的时间完成本项目各阶段工作，且未经甲方书面同意延长研究成果完成期限的，每迟延一日，甲方有权要求乙方支付本合同服务费总金额的1‰的逾期违约金。</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（二）本合同履行期间，发生下述情形时，甲方有权解除本合同，乙方除应退还甲方已支付的全部款项外</w:t>
      </w:r>
      <w:r>
        <w:rPr>
          <w:rFonts w:hint="eastAsia" w:ascii="仿宋" w:hAnsi="仿宋" w:eastAsia="仿宋"/>
          <w:sz w:val="24"/>
          <w:lang w:eastAsia="zh-CN"/>
        </w:rPr>
        <w:t>，</w:t>
      </w:r>
      <w:r>
        <w:rPr>
          <w:rFonts w:hint="eastAsia" w:ascii="仿宋" w:hAnsi="仿宋" w:eastAsia="仿宋"/>
          <w:sz w:val="24"/>
        </w:rPr>
        <w:t>还应在合同解除通知发出之日起10日内向甲方支付合同总价款10%的违约金。乙方应同时将已完成的项目成果移交给甲方，并将全部有关资料退还甲方：</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1.乙方未能按合同约定的日期</w:t>
      </w:r>
      <w:r>
        <w:rPr>
          <w:rFonts w:hint="eastAsia" w:ascii="仿宋" w:hAnsi="仿宋" w:eastAsia="仿宋"/>
          <w:sz w:val="24"/>
          <w:lang w:eastAsia="zh-CN"/>
        </w:rPr>
        <w:t>（</w:t>
      </w:r>
      <w:r>
        <w:rPr>
          <w:rFonts w:hint="eastAsia" w:ascii="仿宋" w:hAnsi="仿宋" w:eastAsia="仿宋"/>
          <w:sz w:val="24"/>
        </w:rPr>
        <w:t>含协商延缓的日期</w:t>
      </w:r>
      <w:r>
        <w:rPr>
          <w:rFonts w:hint="eastAsia" w:ascii="仿宋" w:hAnsi="仿宋" w:eastAsia="仿宋"/>
          <w:sz w:val="24"/>
          <w:lang w:eastAsia="zh-CN"/>
        </w:rPr>
        <w:t>）</w:t>
      </w:r>
      <w:r>
        <w:rPr>
          <w:rFonts w:hint="eastAsia" w:ascii="仿宋" w:hAnsi="仿宋" w:eastAsia="仿宋"/>
          <w:sz w:val="24"/>
        </w:rPr>
        <w:t>提交成果，延误时间超过两个月的；</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2.乙方</w:t>
      </w:r>
      <w:r>
        <w:rPr>
          <w:rFonts w:hint="eastAsia" w:ascii="仿宋" w:hAnsi="仿宋" w:eastAsia="仿宋" w:cs="仿宋"/>
          <w:sz w:val="24"/>
        </w:rPr>
        <w:t>虽如期提交阶段性成果和最终成果，但最终成果</w:t>
      </w:r>
      <w:r>
        <w:rPr>
          <w:rFonts w:hint="eastAsia" w:ascii="仿宋" w:hAnsi="仿宋" w:eastAsia="仿宋"/>
          <w:sz w:val="24"/>
        </w:rPr>
        <w:t>连续二次未能通过评审验收的；</w:t>
      </w:r>
    </w:p>
    <w:p>
      <w:pPr>
        <w:pStyle w:val="11"/>
        <w:adjustRightInd w:val="0"/>
        <w:snapToGrid w:val="0"/>
        <w:spacing w:line="56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.未经甲方书面在先同意，乙方擅自将本协议项目与任何第三方合作，或将本协议标的全部或部分擅自转包给任何第三方，且未按甲方的要求终止与第三方的合同的；</w:t>
      </w:r>
    </w:p>
    <w:p>
      <w:pPr>
        <w:pStyle w:val="11"/>
        <w:adjustRightInd w:val="0"/>
        <w:snapToGrid w:val="0"/>
        <w:spacing w:line="560" w:lineRule="exact"/>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.未经</w:t>
      </w:r>
      <w:r>
        <w:rPr>
          <w:rFonts w:ascii="仿宋" w:hAnsi="仿宋" w:eastAsia="仿宋"/>
          <w:sz w:val="24"/>
        </w:rPr>
        <w:t>甲方</w:t>
      </w:r>
      <w:r>
        <w:rPr>
          <w:rFonts w:hint="eastAsia" w:ascii="仿宋" w:hAnsi="仿宋" w:eastAsia="仿宋"/>
          <w:sz w:val="24"/>
        </w:rPr>
        <w:t>书面</w:t>
      </w:r>
      <w:r>
        <w:rPr>
          <w:rFonts w:ascii="仿宋" w:hAnsi="仿宋" w:eastAsia="仿宋"/>
          <w:sz w:val="24"/>
        </w:rPr>
        <w:t>同意，乙方擅自变更</w:t>
      </w:r>
      <w:r>
        <w:rPr>
          <w:rFonts w:hint="eastAsia" w:ascii="仿宋" w:hAnsi="仿宋" w:eastAsia="仿宋"/>
          <w:sz w:val="24"/>
        </w:rPr>
        <w:t>项目</w:t>
      </w:r>
      <w:r>
        <w:rPr>
          <w:rFonts w:ascii="仿宋" w:hAnsi="仿宋" w:eastAsia="仿宋"/>
          <w:sz w:val="24"/>
        </w:rPr>
        <w:t>主要负责人</w:t>
      </w:r>
      <w:r>
        <w:rPr>
          <w:rFonts w:hint="eastAsia" w:ascii="仿宋" w:hAnsi="仿宋" w:eastAsia="仿宋"/>
          <w:sz w:val="24"/>
        </w:rPr>
        <w:t>的；</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cs="仿宋"/>
          <w:sz w:val="24"/>
        </w:rPr>
        <w:t>发现乙方或乙方工作人员出现全部或部分丧失履行委托服务能力的情况，甲方有权通知乙方限期整改或更换工作人员，期限届满乙方并未进行改善的；</w:t>
      </w:r>
    </w:p>
    <w:p>
      <w:pPr>
        <w:pStyle w:val="11"/>
        <w:adjustRightInd w:val="0"/>
        <w:snapToGrid w:val="0"/>
        <w:spacing w:line="560" w:lineRule="exact"/>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.乙方明确表示或者以自己的行为表明不履行本合同的。</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（三）本合同履行期间，发生下述情形时，乙方有权解除本合同，并</w:t>
      </w:r>
      <w:r>
        <w:rPr>
          <w:rFonts w:ascii="仿宋" w:hAnsi="仿宋" w:eastAsia="仿宋"/>
          <w:sz w:val="24"/>
        </w:rPr>
        <w:t>要求甲方予以赔偿：</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甲方</w:t>
      </w:r>
      <w:r>
        <w:rPr>
          <w:rFonts w:ascii="仿宋" w:hAnsi="仿宋" w:eastAsia="仿宋"/>
          <w:sz w:val="24"/>
        </w:rPr>
        <w:t>无</w:t>
      </w:r>
      <w:r>
        <w:rPr>
          <w:rFonts w:hint="eastAsia" w:ascii="仿宋" w:hAnsi="仿宋" w:eastAsia="仿宋"/>
          <w:sz w:val="24"/>
        </w:rPr>
        <w:t>故终止</w:t>
      </w:r>
      <w:r>
        <w:rPr>
          <w:rFonts w:ascii="仿宋" w:hAnsi="仿宋" w:eastAsia="仿宋"/>
          <w:sz w:val="24"/>
        </w:rPr>
        <w:t>合同，不能按约定</w:t>
      </w:r>
      <w:r>
        <w:rPr>
          <w:rFonts w:hint="eastAsia" w:ascii="仿宋" w:hAnsi="仿宋" w:eastAsia="仿宋"/>
          <w:sz w:val="24"/>
        </w:rPr>
        <w:t>协助乙方</w:t>
      </w:r>
      <w:r>
        <w:rPr>
          <w:rFonts w:ascii="仿宋" w:hAnsi="仿宋" w:eastAsia="仿宋"/>
          <w:sz w:val="24"/>
        </w:rPr>
        <w:t>协调相关部门开展工作</w:t>
      </w:r>
      <w:r>
        <w:rPr>
          <w:rFonts w:hint="eastAsia" w:ascii="仿宋" w:hAnsi="仿宋" w:eastAsia="仿宋"/>
          <w:sz w:val="24"/>
        </w:rPr>
        <w:t>，</w:t>
      </w:r>
      <w:r>
        <w:rPr>
          <w:rFonts w:ascii="仿宋" w:hAnsi="仿宋" w:eastAsia="仿宋"/>
          <w:sz w:val="24"/>
        </w:rPr>
        <w:t>并最终影响项目顺利开展</w:t>
      </w:r>
      <w:r>
        <w:rPr>
          <w:rFonts w:hint="eastAsia" w:ascii="仿宋" w:hAnsi="仿宋" w:eastAsia="仿宋"/>
          <w:sz w:val="24"/>
        </w:rPr>
        <w:t>的。</w:t>
      </w:r>
    </w:p>
    <w:p>
      <w:pPr>
        <w:pStyle w:val="11"/>
        <w:adjustRightInd w:val="0"/>
        <w:snapToGrid w:val="0"/>
        <w:spacing w:line="560" w:lineRule="exact"/>
        <w:ind w:firstLine="480" w:firstLineChars="200"/>
        <w:rPr>
          <w:rFonts w:hint="eastAsia" w:ascii="仿宋" w:hAnsi="仿宋" w:eastAsia="仿宋"/>
          <w:sz w:val="24"/>
        </w:rPr>
      </w:pPr>
      <w:r>
        <w:rPr>
          <w:rFonts w:hint="eastAsia" w:ascii="仿宋" w:hAnsi="仿宋" w:eastAsia="仿宋"/>
          <w:sz w:val="24"/>
        </w:rPr>
        <w:t>（四）乙方违反本合同项下义务，给甲方造成损失的，甲方有权要求乙方赔偿全部损失。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第十一条 合同解除</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一）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（二）如果一方发生以下任一情形，另一方有权解除合同。当事方有义务在事由发生后15个工作日内以书面方式通知对方：</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1.破产、解散、被依法关闭、撤销或已进入清算阶段；</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2.出现了协议约定的或法定解除事由。</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3.有下列情形之一的，本合同自甲方向乙方发出书面通知之日起终止：</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（1）甲方的职能发生转变，不再具有委托职能。</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（2）本合同签订时适用的法律法规或政策发生变化，且对本合同的继续履行造成重大影响。</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发生以上情形，甲方已向乙方支付的款项不退还，</w:t>
      </w:r>
      <w:r>
        <w:rPr>
          <w:rFonts w:hint="eastAsia" w:ascii="仿宋" w:hAnsi="仿宋" w:eastAsia="仿宋" w:cs="仿宋"/>
          <w:sz w:val="24"/>
        </w:rPr>
        <w:t>尚未支付的款项不再支付，</w:t>
      </w:r>
      <w:r>
        <w:rPr>
          <w:rFonts w:hint="eastAsia" w:ascii="仿宋" w:hAnsi="仿宋" w:eastAsia="仿宋"/>
          <w:sz w:val="24"/>
        </w:rPr>
        <w:t>同时乙方应向甲方提交在合同终止日前完成的所有项目文件和相关资料。</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4.如发生不可抗力，如行政命令、政策法规、罢工、禁运、战争、自然灾害（如洪水或地震）或其他超出合同双方控制的事件，致使一方无法履行合同，合同解除。</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1）本合同所称不可抗力是指自然灾害、战争、地震突发事件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（2）发生不可抗力，甲乙双方承担各自的损失。在其中一方延迟履行合同义务后发生不可抗力的，不能免除责任。</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（3）不可抗力事件导致一方无法履行合同义务或继续履行已无意义，由双方协商进行本合同的清算</w:t>
      </w:r>
      <w:r>
        <w:rPr>
          <w:rFonts w:hint="eastAsia" w:ascii="仿宋" w:hAnsi="仿宋" w:eastAsia="仿宋" w:cs="仿宋"/>
          <w:sz w:val="24"/>
        </w:rPr>
        <w:t>，甲方应按照乙方已完成的工作量支付款项，同时乙方应向甲方提交在合同终止日前完成的所有项目文件和相关资料</w:t>
      </w:r>
      <w:r>
        <w:rPr>
          <w:rFonts w:hint="eastAsia" w:ascii="仿宋" w:hAnsi="仿宋" w:eastAsia="仿宋"/>
          <w:sz w:val="24"/>
        </w:rPr>
        <w:t>。</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第十二条 合同争议的解决方式</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执行本合同发生的争议，由甲乙双方协商解决。协商不成，双方可依法向深圳前海合作区人民法院起诉。</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第十三条 其他</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1.合同书及补充协议；</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2.中标通知书；</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3.招标文件（编号：</w:t>
      </w:r>
      <w:r>
        <w:rPr>
          <w:rFonts w:ascii="仿宋" w:hAnsi="仿宋" w:eastAsia="仿宋"/>
          <w:sz w:val="24"/>
        </w:rPr>
        <w:t>QH2023</w:t>
      </w:r>
      <w:r>
        <w:rPr>
          <w:rFonts w:hint="eastAsia" w:ascii="仿宋" w:hAnsi="仿宋" w:eastAsia="仿宋"/>
          <w:sz w:val="24"/>
          <w:lang w:eastAsia="zh-CN"/>
        </w:rPr>
        <w:t>127</w:t>
      </w:r>
      <w:r>
        <w:rPr>
          <w:rFonts w:hint="eastAsia" w:ascii="仿宋" w:hAnsi="仿宋" w:eastAsia="仿宋"/>
          <w:sz w:val="24"/>
        </w:rPr>
        <w:t>）及其澄清、补正公告；</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4.投标书。</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（二）本合同替代此前双方所有关于本合同事项的口头或书面的纪要、备忘录、合同、协议。</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（三）本合同附件（如有）为合同不可分割的组成部分，与本合同一并加盖骑缝章后具有同等法律效力。若附件与合同正文有任何冲突，以合同正文为准。</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（四）本合同各条标题仅为提示之用，应以条文内容确定各方的权利义务。</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（五）本合同未尽事宜，由双方协商签订补充协议进行约定。补充协议应以书面形式作成，经双方法定代表人或其授权代表签字、盖章后与本合同具有同等法律效力。</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（六）本合同约定的权利和义务不因合同双方发生收购、兼并、重组、分立而发生变化。如果发生上述情形，则本合同约定的权利和义务随之转移至收购、兼并、重组或分立后成立的单位。</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（七）本合同在国家</w:t>
      </w:r>
      <w:r>
        <w:rPr>
          <w:rFonts w:hint="eastAsia" w:ascii="仿宋" w:hAnsi="仿宋" w:eastAsia="仿宋"/>
          <w:sz w:val="24"/>
          <w:lang w:eastAsia="zh-CN"/>
        </w:rPr>
        <w:t>法律法规</w:t>
      </w:r>
      <w:r>
        <w:rPr>
          <w:rFonts w:hint="eastAsia" w:ascii="仿宋" w:hAnsi="仿宋" w:eastAsia="仿宋"/>
          <w:sz w:val="24"/>
        </w:rPr>
        <w:t>和规章规定的范围内执行。当国家</w:t>
      </w:r>
      <w:r>
        <w:rPr>
          <w:rFonts w:hint="eastAsia" w:ascii="仿宋" w:hAnsi="仿宋" w:eastAsia="仿宋"/>
          <w:sz w:val="24"/>
          <w:lang w:eastAsia="zh-CN"/>
        </w:rPr>
        <w:t>法律法规</w:t>
      </w:r>
      <w:r>
        <w:rPr>
          <w:rFonts w:hint="eastAsia" w:ascii="仿宋" w:hAnsi="仿宋" w:eastAsia="仿宋"/>
          <w:sz w:val="24"/>
        </w:rPr>
        <w:t>和规章发生变化导致本合同有关条款与之抵触时，双方协商变更或废止该条款，在此情况下，双方互不承担责任。</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（八）如果本合同的任何条款在任何时候变成不合法、无效或不可强制执行而不从根本上影响本合同的效力时，本合同的其他条款不受影响。</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（十）本合同的任何内容不应被视为或解释为双方之间具有合资、合伙、代理关系。</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（十一）任何一方未经另一方同意不得向任何第三方透露本合同的签订及其内容。甲方向其关联</w:t>
      </w:r>
      <w:r>
        <w:rPr>
          <w:rFonts w:hint="eastAsia" w:ascii="仿宋" w:hAnsi="仿宋" w:eastAsia="仿宋"/>
          <w:sz w:val="24"/>
          <w:lang w:val="en-US" w:eastAsia="zh-CN"/>
        </w:rPr>
        <w:t>主体</w:t>
      </w:r>
      <w:r>
        <w:rPr>
          <w:rFonts w:hint="eastAsia" w:ascii="仿宋" w:hAnsi="仿宋" w:eastAsia="仿宋"/>
          <w:sz w:val="24"/>
        </w:rPr>
        <w:t>透露前述内容的，不受此限。</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本合同的任何一方变更地址的应在变更后7日内通知对方，否则任何一方仍有权按照本合同中载明的地址进行文件送达。</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（十三）本合同自双方法定代表人或其授权代表签字、盖章之日起生效，有效期至后续服务期满之日止。</w:t>
      </w:r>
    </w:p>
    <w:p>
      <w:pPr>
        <w:pStyle w:val="11"/>
        <w:adjustRightInd w:val="0"/>
        <w:snapToGrid w:val="0"/>
        <w:spacing w:line="560" w:lineRule="exact"/>
        <w:ind w:firstLine="480" w:firstLineChars="200"/>
        <w:jc w:val="center"/>
        <w:rPr>
          <w:rFonts w:ascii="仿宋" w:hAnsi="仿宋" w:eastAsia="仿宋"/>
          <w:sz w:val="24"/>
        </w:rPr>
      </w:pPr>
      <w:r>
        <w:rPr>
          <w:rFonts w:hint="eastAsia" w:ascii="仿宋" w:hAnsi="仿宋" w:eastAsia="仿宋"/>
          <w:sz w:val="24"/>
        </w:rPr>
        <w:t>（十四）本合同一式陆份正本，甲方与乙方各执叁份，均</w:t>
      </w:r>
      <w:r>
        <w:rPr>
          <w:rFonts w:hint="eastAsia" w:ascii="仿宋" w:hAnsi="仿宋" w:eastAsia="仿宋"/>
          <w:sz w:val="24"/>
          <w:lang w:eastAsia="zh-CN"/>
        </w:rPr>
        <w:t>具有</w:t>
      </w:r>
      <w:r>
        <w:rPr>
          <w:rFonts w:hint="eastAsia" w:ascii="仿宋" w:hAnsi="仿宋" w:eastAsia="仿宋"/>
          <w:sz w:val="24"/>
        </w:rPr>
        <w:t>同等法律效力。（以下无正文，为签章栏）</w:t>
      </w:r>
    </w:p>
    <w:p>
      <w:pPr>
        <w:pStyle w:val="11"/>
        <w:adjustRightInd w:val="0"/>
        <w:snapToGrid w:val="0"/>
        <w:spacing w:line="560" w:lineRule="exact"/>
        <w:ind w:firstLine="480" w:firstLineChars="200"/>
        <w:rPr>
          <w:rFonts w:ascii="仿宋" w:hAnsi="仿宋" w:eastAsia="仿宋"/>
          <w:sz w:val="24"/>
        </w:rPr>
      </w:pPr>
      <w:r>
        <w:rPr>
          <w:rFonts w:hint="eastAsia" w:ascii="仿宋" w:hAnsi="仿宋" w:eastAsia="仿宋"/>
          <w:sz w:val="24"/>
        </w:rPr>
        <w:t>附件：项目团队成员名单</w:t>
      </w:r>
    </w:p>
    <w:p>
      <w:pPr>
        <w:spacing w:line="560" w:lineRule="exact"/>
        <w:ind w:firstLine="480" w:firstLineChars="200"/>
        <w:rPr>
          <w:rFonts w:ascii="仿宋" w:hAnsi="仿宋" w:eastAsia="仿宋"/>
          <w:sz w:val="24"/>
        </w:rPr>
      </w:pPr>
    </w:p>
    <w:tbl>
      <w:tblPr>
        <w:tblStyle w:val="23"/>
        <w:tblW w:w="8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866"/>
        <w:gridCol w:w="1984"/>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6" w:type="dxa"/>
            <w:vAlign w:val="center"/>
          </w:tcPr>
          <w:p>
            <w:pPr>
              <w:spacing w:before="40" w:after="20"/>
              <w:jc w:val="center"/>
              <w:rPr>
                <w:rFonts w:ascii="仿宋" w:hAnsi="仿宋" w:eastAsia="仿宋" w:cs="Arial"/>
                <w:sz w:val="24"/>
              </w:rPr>
            </w:pPr>
            <w:r>
              <w:rPr>
                <w:rFonts w:hint="eastAsia" w:ascii="仿宋" w:hAnsi="仿宋" w:eastAsia="仿宋" w:cs="Arial"/>
                <w:sz w:val="24"/>
              </w:rPr>
              <w:t>序号</w:t>
            </w:r>
          </w:p>
        </w:tc>
        <w:tc>
          <w:tcPr>
            <w:tcW w:w="1866" w:type="dxa"/>
            <w:vAlign w:val="center"/>
          </w:tcPr>
          <w:p>
            <w:pPr>
              <w:spacing w:before="40" w:after="20"/>
              <w:jc w:val="center"/>
              <w:rPr>
                <w:rFonts w:ascii="仿宋" w:hAnsi="仿宋" w:eastAsia="仿宋" w:cs="Arial"/>
                <w:sz w:val="24"/>
              </w:rPr>
            </w:pPr>
            <w:r>
              <w:rPr>
                <w:rFonts w:hint="eastAsia" w:ascii="仿宋" w:hAnsi="仿宋" w:eastAsia="仿宋" w:cs="Arial"/>
                <w:sz w:val="24"/>
              </w:rPr>
              <w:t>姓名</w:t>
            </w:r>
          </w:p>
        </w:tc>
        <w:tc>
          <w:tcPr>
            <w:tcW w:w="1984" w:type="dxa"/>
            <w:vAlign w:val="center"/>
          </w:tcPr>
          <w:p>
            <w:pPr>
              <w:spacing w:before="40" w:after="20"/>
              <w:jc w:val="center"/>
              <w:rPr>
                <w:rFonts w:ascii="仿宋" w:hAnsi="仿宋" w:eastAsia="仿宋" w:cs="Arial"/>
                <w:sz w:val="24"/>
              </w:rPr>
            </w:pPr>
            <w:r>
              <w:rPr>
                <w:rFonts w:hint="eastAsia" w:ascii="仿宋" w:hAnsi="仿宋" w:eastAsia="仿宋" w:cs="Arial"/>
                <w:sz w:val="24"/>
              </w:rPr>
              <w:t>职务</w:t>
            </w:r>
          </w:p>
        </w:tc>
        <w:tc>
          <w:tcPr>
            <w:tcW w:w="2126" w:type="dxa"/>
            <w:vAlign w:val="center"/>
          </w:tcPr>
          <w:p>
            <w:pPr>
              <w:spacing w:before="40" w:after="20"/>
              <w:jc w:val="center"/>
              <w:rPr>
                <w:rFonts w:ascii="仿宋" w:hAnsi="仿宋" w:eastAsia="仿宋" w:cs="Arial"/>
                <w:sz w:val="24"/>
              </w:rPr>
            </w:pPr>
            <w:r>
              <w:rPr>
                <w:rFonts w:hint="eastAsia" w:ascii="仿宋" w:hAnsi="仿宋" w:eastAsia="仿宋" w:cs="Arial"/>
                <w:sz w:val="24"/>
              </w:rPr>
              <w:t>职称</w:t>
            </w:r>
          </w:p>
        </w:tc>
        <w:tc>
          <w:tcPr>
            <w:tcW w:w="1134" w:type="dxa"/>
            <w:vAlign w:val="center"/>
          </w:tcPr>
          <w:p>
            <w:pPr>
              <w:spacing w:before="40" w:after="20"/>
              <w:jc w:val="center"/>
              <w:rPr>
                <w:rFonts w:ascii="仿宋" w:hAnsi="仿宋" w:eastAsia="仿宋" w:cs="Arial"/>
                <w:sz w:val="24"/>
              </w:rPr>
            </w:pPr>
            <w:r>
              <w:rPr>
                <w:rFonts w:hint="eastAsia" w:ascii="仿宋" w:hAnsi="仿宋" w:eastAsia="仿宋" w:cs="Arial"/>
                <w:sz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6" w:type="dxa"/>
          </w:tcPr>
          <w:p>
            <w:pPr>
              <w:widowControl/>
              <w:numPr>
                <w:ilvl w:val="0"/>
                <w:numId w:val="4"/>
              </w:numPr>
              <w:spacing w:before="40" w:after="20" w:line="440" w:lineRule="exact"/>
              <w:jc w:val="center"/>
              <w:rPr>
                <w:rFonts w:ascii="仿宋" w:hAnsi="仿宋" w:eastAsia="仿宋" w:cs="Arial"/>
                <w:sz w:val="24"/>
              </w:rPr>
            </w:pPr>
          </w:p>
        </w:tc>
        <w:tc>
          <w:tcPr>
            <w:tcW w:w="1866" w:type="dxa"/>
          </w:tcPr>
          <w:p>
            <w:pPr>
              <w:spacing w:before="40" w:after="20"/>
              <w:jc w:val="center"/>
              <w:rPr>
                <w:rFonts w:ascii="仿宋" w:hAnsi="仿宋" w:eastAsia="仿宋" w:cs="Arial"/>
                <w:sz w:val="24"/>
              </w:rPr>
            </w:pPr>
          </w:p>
        </w:tc>
        <w:tc>
          <w:tcPr>
            <w:tcW w:w="1984" w:type="dxa"/>
          </w:tcPr>
          <w:p>
            <w:pPr>
              <w:spacing w:before="40" w:after="20"/>
              <w:jc w:val="center"/>
              <w:rPr>
                <w:rFonts w:ascii="仿宋" w:hAnsi="仿宋" w:eastAsia="仿宋" w:cs="Arial"/>
                <w:sz w:val="24"/>
              </w:rPr>
            </w:pPr>
          </w:p>
        </w:tc>
        <w:tc>
          <w:tcPr>
            <w:tcW w:w="2126" w:type="dxa"/>
          </w:tcPr>
          <w:p>
            <w:pPr>
              <w:spacing w:before="40" w:after="20"/>
              <w:jc w:val="center"/>
              <w:rPr>
                <w:rFonts w:ascii="仿宋" w:hAnsi="仿宋" w:eastAsia="仿宋" w:cs="Arial"/>
                <w:sz w:val="24"/>
              </w:rPr>
            </w:pPr>
          </w:p>
        </w:tc>
        <w:tc>
          <w:tcPr>
            <w:tcW w:w="1134" w:type="dxa"/>
          </w:tcPr>
          <w:p>
            <w:pPr>
              <w:spacing w:before="40" w:after="20"/>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6" w:type="dxa"/>
          </w:tcPr>
          <w:p>
            <w:pPr>
              <w:widowControl/>
              <w:numPr>
                <w:ilvl w:val="0"/>
                <w:numId w:val="4"/>
              </w:numPr>
              <w:spacing w:before="40" w:after="20" w:line="440" w:lineRule="exact"/>
              <w:jc w:val="center"/>
              <w:rPr>
                <w:rFonts w:ascii="仿宋" w:hAnsi="仿宋" w:eastAsia="仿宋" w:cs="Arial"/>
                <w:sz w:val="24"/>
              </w:rPr>
            </w:pPr>
          </w:p>
        </w:tc>
        <w:tc>
          <w:tcPr>
            <w:tcW w:w="1866" w:type="dxa"/>
          </w:tcPr>
          <w:p>
            <w:pPr>
              <w:spacing w:before="40" w:after="20"/>
              <w:jc w:val="center"/>
              <w:rPr>
                <w:rFonts w:ascii="仿宋" w:hAnsi="仿宋" w:eastAsia="仿宋" w:cs="Arial"/>
                <w:sz w:val="24"/>
              </w:rPr>
            </w:pPr>
          </w:p>
        </w:tc>
        <w:tc>
          <w:tcPr>
            <w:tcW w:w="1984" w:type="dxa"/>
          </w:tcPr>
          <w:p>
            <w:pPr>
              <w:spacing w:before="40" w:after="20"/>
              <w:jc w:val="center"/>
              <w:rPr>
                <w:rFonts w:ascii="仿宋" w:hAnsi="仿宋" w:eastAsia="仿宋" w:cs="Arial"/>
                <w:sz w:val="24"/>
              </w:rPr>
            </w:pPr>
          </w:p>
        </w:tc>
        <w:tc>
          <w:tcPr>
            <w:tcW w:w="2126" w:type="dxa"/>
          </w:tcPr>
          <w:p>
            <w:pPr>
              <w:spacing w:before="40" w:after="20"/>
              <w:jc w:val="center"/>
              <w:rPr>
                <w:rFonts w:ascii="仿宋" w:hAnsi="仿宋" w:eastAsia="仿宋" w:cs="Arial"/>
                <w:sz w:val="24"/>
              </w:rPr>
            </w:pPr>
          </w:p>
        </w:tc>
        <w:tc>
          <w:tcPr>
            <w:tcW w:w="1134" w:type="dxa"/>
          </w:tcPr>
          <w:p>
            <w:pPr>
              <w:spacing w:before="40" w:after="20"/>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6" w:type="dxa"/>
          </w:tcPr>
          <w:p>
            <w:pPr>
              <w:widowControl/>
              <w:numPr>
                <w:ilvl w:val="0"/>
                <w:numId w:val="4"/>
              </w:numPr>
              <w:spacing w:before="40" w:after="20" w:line="440" w:lineRule="exact"/>
              <w:jc w:val="center"/>
              <w:rPr>
                <w:rFonts w:ascii="仿宋" w:hAnsi="仿宋" w:eastAsia="仿宋" w:cs="Arial"/>
                <w:sz w:val="24"/>
              </w:rPr>
            </w:pPr>
          </w:p>
        </w:tc>
        <w:tc>
          <w:tcPr>
            <w:tcW w:w="1866" w:type="dxa"/>
            <w:vAlign w:val="center"/>
          </w:tcPr>
          <w:p>
            <w:pPr>
              <w:spacing w:before="40" w:after="20"/>
              <w:jc w:val="center"/>
              <w:rPr>
                <w:rFonts w:ascii="仿宋" w:hAnsi="仿宋" w:eastAsia="仿宋" w:cs="Arial"/>
                <w:sz w:val="24"/>
              </w:rPr>
            </w:pPr>
          </w:p>
        </w:tc>
        <w:tc>
          <w:tcPr>
            <w:tcW w:w="1984" w:type="dxa"/>
          </w:tcPr>
          <w:p>
            <w:pPr>
              <w:spacing w:before="40" w:after="20"/>
              <w:jc w:val="center"/>
              <w:rPr>
                <w:rFonts w:ascii="仿宋" w:hAnsi="仿宋" w:eastAsia="仿宋" w:cs="Arial"/>
                <w:sz w:val="24"/>
              </w:rPr>
            </w:pPr>
          </w:p>
        </w:tc>
        <w:tc>
          <w:tcPr>
            <w:tcW w:w="2126" w:type="dxa"/>
          </w:tcPr>
          <w:p>
            <w:pPr>
              <w:spacing w:before="40" w:after="20"/>
              <w:jc w:val="center"/>
              <w:rPr>
                <w:rFonts w:ascii="仿宋" w:hAnsi="仿宋" w:eastAsia="仿宋" w:cs="Arial"/>
                <w:sz w:val="24"/>
              </w:rPr>
            </w:pPr>
          </w:p>
        </w:tc>
        <w:tc>
          <w:tcPr>
            <w:tcW w:w="1134" w:type="dxa"/>
          </w:tcPr>
          <w:p>
            <w:pPr>
              <w:spacing w:before="40" w:after="20"/>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6" w:type="dxa"/>
          </w:tcPr>
          <w:p>
            <w:pPr>
              <w:widowControl/>
              <w:numPr>
                <w:ilvl w:val="0"/>
                <w:numId w:val="4"/>
              </w:numPr>
              <w:spacing w:before="40" w:after="20" w:line="440" w:lineRule="exact"/>
              <w:jc w:val="center"/>
              <w:rPr>
                <w:rFonts w:ascii="仿宋" w:hAnsi="仿宋" w:eastAsia="仿宋" w:cs="Arial"/>
                <w:sz w:val="24"/>
              </w:rPr>
            </w:pPr>
          </w:p>
        </w:tc>
        <w:tc>
          <w:tcPr>
            <w:tcW w:w="1866" w:type="dxa"/>
            <w:vAlign w:val="center"/>
          </w:tcPr>
          <w:p>
            <w:pPr>
              <w:spacing w:before="40" w:after="20"/>
              <w:jc w:val="center"/>
              <w:rPr>
                <w:rFonts w:ascii="仿宋" w:hAnsi="仿宋" w:eastAsia="仿宋" w:cs="Arial"/>
                <w:sz w:val="24"/>
              </w:rPr>
            </w:pPr>
          </w:p>
        </w:tc>
        <w:tc>
          <w:tcPr>
            <w:tcW w:w="1984" w:type="dxa"/>
          </w:tcPr>
          <w:p>
            <w:pPr>
              <w:spacing w:before="40" w:after="20"/>
              <w:jc w:val="center"/>
              <w:rPr>
                <w:rFonts w:ascii="仿宋" w:hAnsi="仿宋" w:eastAsia="仿宋" w:cs="Arial"/>
                <w:sz w:val="24"/>
              </w:rPr>
            </w:pPr>
          </w:p>
        </w:tc>
        <w:tc>
          <w:tcPr>
            <w:tcW w:w="2126" w:type="dxa"/>
          </w:tcPr>
          <w:p>
            <w:pPr>
              <w:spacing w:before="40" w:after="20"/>
              <w:jc w:val="center"/>
              <w:rPr>
                <w:rFonts w:ascii="仿宋" w:hAnsi="仿宋" w:eastAsia="仿宋" w:cs="Arial"/>
                <w:sz w:val="24"/>
              </w:rPr>
            </w:pPr>
          </w:p>
        </w:tc>
        <w:tc>
          <w:tcPr>
            <w:tcW w:w="1134" w:type="dxa"/>
          </w:tcPr>
          <w:p>
            <w:pPr>
              <w:spacing w:before="40" w:after="20"/>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6" w:type="dxa"/>
          </w:tcPr>
          <w:p>
            <w:pPr>
              <w:widowControl/>
              <w:numPr>
                <w:ilvl w:val="0"/>
                <w:numId w:val="4"/>
              </w:numPr>
              <w:spacing w:before="40" w:after="20" w:line="440" w:lineRule="exact"/>
              <w:jc w:val="center"/>
              <w:rPr>
                <w:rFonts w:ascii="仿宋" w:hAnsi="仿宋" w:eastAsia="仿宋" w:cs="Arial"/>
                <w:sz w:val="24"/>
              </w:rPr>
            </w:pPr>
          </w:p>
        </w:tc>
        <w:tc>
          <w:tcPr>
            <w:tcW w:w="1866" w:type="dxa"/>
            <w:vAlign w:val="center"/>
          </w:tcPr>
          <w:p>
            <w:pPr>
              <w:spacing w:before="40" w:after="20"/>
              <w:jc w:val="center"/>
              <w:rPr>
                <w:rFonts w:ascii="仿宋" w:hAnsi="仿宋" w:eastAsia="仿宋" w:cs="Arial"/>
                <w:sz w:val="24"/>
              </w:rPr>
            </w:pPr>
          </w:p>
        </w:tc>
        <w:tc>
          <w:tcPr>
            <w:tcW w:w="1984" w:type="dxa"/>
          </w:tcPr>
          <w:p>
            <w:pPr>
              <w:spacing w:before="40" w:after="20"/>
              <w:jc w:val="center"/>
              <w:rPr>
                <w:rFonts w:ascii="仿宋" w:hAnsi="仿宋" w:eastAsia="仿宋" w:cs="Arial"/>
                <w:sz w:val="24"/>
              </w:rPr>
            </w:pPr>
          </w:p>
        </w:tc>
        <w:tc>
          <w:tcPr>
            <w:tcW w:w="2126" w:type="dxa"/>
          </w:tcPr>
          <w:p>
            <w:pPr>
              <w:spacing w:before="40" w:after="20"/>
              <w:jc w:val="center"/>
              <w:rPr>
                <w:rFonts w:ascii="仿宋" w:hAnsi="仿宋" w:eastAsia="仿宋" w:cs="Arial"/>
                <w:w w:val="90"/>
                <w:sz w:val="24"/>
              </w:rPr>
            </w:pPr>
          </w:p>
        </w:tc>
        <w:tc>
          <w:tcPr>
            <w:tcW w:w="1134" w:type="dxa"/>
          </w:tcPr>
          <w:p>
            <w:pPr>
              <w:spacing w:before="40" w:after="20"/>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6" w:type="dxa"/>
          </w:tcPr>
          <w:p>
            <w:pPr>
              <w:widowControl/>
              <w:numPr>
                <w:ilvl w:val="0"/>
                <w:numId w:val="4"/>
              </w:numPr>
              <w:spacing w:before="40" w:after="20" w:line="440" w:lineRule="exact"/>
              <w:jc w:val="center"/>
              <w:rPr>
                <w:rFonts w:ascii="仿宋" w:hAnsi="仿宋" w:eastAsia="仿宋" w:cs="Arial"/>
                <w:sz w:val="24"/>
              </w:rPr>
            </w:pPr>
          </w:p>
        </w:tc>
        <w:tc>
          <w:tcPr>
            <w:tcW w:w="1866" w:type="dxa"/>
            <w:vAlign w:val="center"/>
          </w:tcPr>
          <w:p>
            <w:pPr>
              <w:spacing w:before="40" w:after="20"/>
              <w:jc w:val="center"/>
              <w:rPr>
                <w:rFonts w:ascii="仿宋" w:hAnsi="仿宋" w:eastAsia="仿宋" w:cs="Arial"/>
                <w:sz w:val="24"/>
              </w:rPr>
            </w:pPr>
          </w:p>
        </w:tc>
        <w:tc>
          <w:tcPr>
            <w:tcW w:w="1984" w:type="dxa"/>
          </w:tcPr>
          <w:p>
            <w:pPr>
              <w:spacing w:before="40" w:after="20"/>
              <w:jc w:val="center"/>
              <w:rPr>
                <w:rFonts w:ascii="仿宋" w:hAnsi="仿宋" w:eastAsia="仿宋" w:cs="Arial"/>
                <w:sz w:val="24"/>
              </w:rPr>
            </w:pPr>
          </w:p>
        </w:tc>
        <w:tc>
          <w:tcPr>
            <w:tcW w:w="2126" w:type="dxa"/>
          </w:tcPr>
          <w:p>
            <w:pPr>
              <w:spacing w:before="40" w:after="20"/>
              <w:jc w:val="center"/>
              <w:rPr>
                <w:rFonts w:ascii="仿宋" w:hAnsi="仿宋" w:eastAsia="仿宋" w:cs="Arial"/>
                <w:w w:val="90"/>
                <w:sz w:val="24"/>
              </w:rPr>
            </w:pPr>
          </w:p>
        </w:tc>
        <w:tc>
          <w:tcPr>
            <w:tcW w:w="1134" w:type="dxa"/>
          </w:tcPr>
          <w:p>
            <w:pPr>
              <w:spacing w:before="40" w:after="20"/>
              <w:jc w:val="center"/>
              <w:rPr>
                <w:rFonts w:ascii="仿宋" w:hAnsi="仿宋" w:eastAsia="仿宋" w:cs="Arial"/>
                <w:sz w:val="24"/>
              </w:rPr>
            </w:pPr>
          </w:p>
        </w:tc>
      </w:tr>
    </w:tbl>
    <w:p>
      <w:pPr>
        <w:pStyle w:val="11"/>
        <w:adjustRightInd w:val="0"/>
        <w:snapToGrid w:val="0"/>
        <w:spacing w:line="560" w:lineRule="exact"/>
        <w:ind w:firstLine="480" w:firstLineChars="200"/>
        <w:rPr>
          <w:rFonts w:ascii="仿宋" w:hAnsi="仿宋" w:eastAsia="仿宋"/>
          <w:sz w:val="24"/>
        </w:rPr>
      </w:pPr>
    </w:p>
    <w:p>
      <w:pPr>
        <w:pStyle w:val="11"/>
        <w:adjustRightInd w:val="0"/>
        <w:snapToGrid w:val="0"/>
        <w:spacing w:line="560" w:lineRule="exact"/>
        <w:ind w:firstLine="480" w:firstLineChars="200"/>
        <w:jc w:val="center"/>
        <w:rPr>
          <w:rFonts w:ascii="仿宋" w:hAnsi="仿宋" w:eastAsia="仿宋"/>
          <w:sz w:val="24"/>
        </w:rPr>
      </w:pPr>
    </w:p>
    <w:p>
      <w:pPr>
        <w:pStyle w:val="11"/>
        <w:adjustRightInd w:val="0"/>
        <w:snapToGrid w:val="0"/>
        <w:spacing w:line="560" w:lineRule="exact"/>
        <w:ind w:firstLine="480" w:firstLineChars="200"/>
        <w:jc w:val="center"/>
        <w:rPr>
          <w:rFonts w:ascii="仿宋" w:hAnsi="仿宋" w:eastAsia="仿宋"/>
          <w:sz w:val="24"/>
        </w:rPr>
      </w:pPr>
    </w:p>
    <w:p>
      <w:pPr>
        <w:spacing w:line="360" w:lineRule="auto"/>
        <w:ind w:firstLine="420" w:firstLineChars="200"/>
        <w:jc w:val="left"/>
        <w:rPr>
          <w:rFonts w:ascii="仿宋" w:hAnsi="仿宋" w:eastAsia="仿宋" w:cs="宋体"/>
          <w:bCs/>
          <w:szCs w:val="21"/>
        </w:rPr>
      </w:pPr>
      <w:r>
        <w:rPr>
          <w:rFonts w:hint="eastAsia" w:ascii="仿宋" w:hAnsi="仿宋" w:eastAsia="仿宋" w:cs="宋体"/>
          <w:bCs/>
          <w:szCs w:val="21"/>
        </w:rPr>
        <w:t>甲方（盖章）：深圳市前海深港现代服务业合作区管理局</w:t>
      </w:r>
    </w:p>
    <w:p>
      <w:pPr>
        <w:spacing w:line="360" w:lineRule="auto"/>
        <w:ind w:firstLine="420" w:firstLineChars="200"/>
        <w:jc w:val="left"/>
        <w:rPr>
          <w:rFonts w:ascii="仿宋" w:hAnsi="仿宋" w:eastAsia="仿宋" w:cs="宋体"/>
          <w:bCs/>
          <w:szCs w:val="21"/>
        </w:rPr>
      </w:pPr>
      <w:r>
        <w:rPr>
          <w:rFonts w:hint="eastAsia" w:ascii="仿宋" w:hAnsi="仿宋" w:eastAsia="仿宋" w:cs="宋体"/>
          <w:bCs/>
          <w:szCs w:val="21"/>
        </w:rPr>
        <w:t>法定代表人或授权代表（签字）：</w:t>
      </w:r>
    </w:p>
    <w:p>
      <w:pPr>
        <w:spacing w:line="360" w:lineRule="auto"/>
        <w:ind w:firstLine="420" w:firstLineChars="200"/>
        <w:jc w:val="left"/>
        <w:rPr>
          <w:rFonts w:ascii="仿宋" w:hAnsi="仿宋" w:eastAsia="仿宋" w:cs="宋体"/>
          <w:bCs/>
          <w:szCs w:val="21"/>
        </w:rPr>
      </w:pPr>
      <w:r>
        <w:rPr>
          <w:rFonts w:hint="eastAsia" w:ascii="仿宋" w:hAnsi="仿宋" w:eastAsia="仿宋" w:cs="宋体"/>
          <w:bCs/>
          <w:szCs w:val="21"/>
        </w:rPr>
        <w:t xml:space="preserve">日期：     年    月   日            </w:t>
      </w:r>
    </w:p>
    <w:p>
      <w:pPr>
        <w:spacing w:line="360" w:lineRule="auto"/>
        <w:ind w:firstLine="420" w:firstLineChars="200"/>
        <w:jc w:val="left"/>
        <w:rPr>
          <w:rFonts w:ascii="仿宋" w:hAnsi="仿宋" w:eastAsia="仿宋" w:cs="宋体"/>
          <w:bCs/>
          <w:szCs w:val="21"/>
        </w:rPr>
      </w:pPr>
    </w:p>
    <w:p>
      <w:pPr>
        <w:spacing w:line="360" w:lineRule="auto"/>
        <w:ind w:firstLine="420" w:firstLineChars="200"/>
        <w:jc w:val="left"/>
        <w:rPr>
          <w:rFonts w:ascii="仿宋" w:hAnsi="仿宋" w:eastAsia="仿宋" w:cs="宋体"/>
          <w:bCs/>
          <w:szCs w:val="21"/>
        </w:rPr>
      </w:pPr>
      <w:r>
        <w:rPr>
          <w:rFonts w:hint="eastAsia" w:ascii="仿宋" w:hAnsi="仿宋" w:eastAsia="仿宋" w:cs="宋体"/>
          <w:bCs/>
          <w:szCs w:val="21"/>
        </w:rPr>
        <w:t xml:space="preserve">乙方（盖章）： </w:t>
      </w:r>
    </w:p>
    <w:p>
      <w:pPr>
        <w:spacing w:line="360" w:lineRule="auto"/>
        <w:ind w:firstLine="420" w:firstLineChars="200"/>
        <w:jc w:val="left"/>
        <w:rPr>
          <w:rFonts w:ascii="仿宋" w:hAnsi="仿宋" w:eastAsia="仿宋" w:cs="宋体"/>
          <w:bCs/>
          <w:szCs w:val="21"/>
        </w:rPr>
      </w:pPr>
      <w:r>
        <w:rPr>
          <w:rFonts w:hint="eastAsia" w:ascii="仿宋" w:hAnsi="仿宋" w:eastAsia="仿宋" w:cs="宋体"/>
          <w:bCs/>
          <w:szCs w:val="21"/>
        </w:rPr>
        <w:t>法定代表人或授权代表（签字）：</w:t>
      </w:r>
    </w:p>
    <w:p>
      <w:pPr>
        <w:spacing w:line="360" w:lineRule="auto"/>
        <w:ind w:firstLine="420" w:firstLineChars="200"/>
        <w:jc w:val="left"/>
        <w:rPr>
          <w:rFonts w:ascii="宋体" w:hAnsi="宋体" w:cs="宋体"/>
          <w:sz w:val="24"/>
        </w:rPr>
      </w:pPr>
      <w:r>
        <w:rPr>
          <w:rFonts w:hint="eastAsia" w:ascii="仿宋" w:hAnsi="仿宋" w:eastAsia="仿宋" w:cs="宋体"/>
          <w:bCs/>
          <w:szCs w:val="21"/>
        </w:rPr>
        <w:t xml:space="preserve">日期：     年    月   日           </w:t>
      </w:r>
    </w:p>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ascii="宋体" w:hAnsi="宋体" w:cs="宋体"/>
          <w:sz w:val="24"/>
        </w:rPr>
      </w:pPr>
    </w:p>
    <w:p>
      <w:p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第五章 </w:t>
      </w:r>
      <w:bookmarkStart w:id="6" w:name="_Toc25518"/>
      <w:r>
        <w:rPr>
          <w:rFonts w:hint="eastAsia" w:ascii="宋体" w:hAnsi="宋体" w:cs="宋体"/>
          <w:b/>
          <w:bCs/>
          <w:sz w:val="24"/>
        </w:rPr>
        <w:t>用户需求书</w:t>
      </w:r>
      <w:bookmarkEnd w:id="6"/>
    </w:p>
    <w:p>
      <w:pPr>
        <w:pStyle w:val="54"/>
        <w:numPr>
          <w:ilvl w:val="0"/>
          <w:numId w:val="5"/>
        </w:numPr>
        <w:tabs>
          <w:tab w:val="left" w:pos="720"/>
        </w:tabs>
        <w:autoSpaceDE w:val="0"/>
        <w:autoSpaceDN w:val="0"/>
        <w:adjustRightInd w:val="0"/>
        <w:snapToGrid w:val="0"/>
        <w:spacing w:line="360" w:lineRule="auto"/>
        <w:ind w:firstLine="482"/>
        <w:jc w:val="left"/>
        <w:outlineLvl w:val="1"/>
        <w:rPr>
          <w:rFonts w:ascii="宋体" w:hAnsi="宋体" w:cs="宋体"/>
          <w:b/>
          <w:sz w:val="24"/>
        </w:rPr>
      </w:pPr>
      <w:bookmarkStart w:id="7" w:name="_Toc11045"/>
      <w:bookmarkStart w:id="8" w:name="_Toc23726"/>
      <w:r>
        <w:rPr>
          <w:rFonts w:hint="eastAsia" w:ascii="宋体" w:hAnsi="宋体" w:cs="宋体"/>
          <w:b/>
          <w:sz w:val="24"/>
        </w:rPr>
        <w:t>项目概况</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2021年9月6日，党中央、国务院发布的《全面深化前海深港现代服务业合作区改革开放方案》对前海合作区赋予了更高的战略定位，对前海的各项工作提出了新的更高的要求。为充分展示前海全面深化改革开放的重大成就，拟通过编制《前海深港现代服务业合作区改革发展蓝皮书（2023年）》（以下简称《蓝皮书》），系统梳理评估前海合作区经济发展、制度创新、对外开放等方面取得的重大进展、重大突破和重大成果，向外界展示传递和复制推广前海模式、前海经验。</w:t>
      </w:r>
    </w:p>
    <w:p>
      <w:pPr>
        <w:pStyle w:val="54"/>
        <w:numPr>
          <w:ilvl w:val="0"/>
          <w:numId w:val="5"/>
        </w:numPr>
        <w:tabs>
          <w:tab w:val="left" w:pos="720"/>
        </w:tabs>
        <w:autoSpaceDE w:val="0"/>
        <w:autoSpaceDN w:val="0"/>
        <w:adjustRightInd w:val="0"/>
        <w:snapToGrid w:val="0"/>
        <w:spacing w:line="360" w:lineRule="auto"/>
        <w:ind w:firstLine="482"/>
        <w:jc w:val="left"/>
        <w:outlineLvl w:val="1"/>
        <w:rPr>
          <w:rFonts w:ascii="宋体" w:hAnsi="宋体" w:cs="宋体"/>
          <w:b/>
          <w:sz w:val="24"/>
        </w:rPr>
      </w:pPr>
      <w:r>
        <w:rPr>
          <w:rFonts w:hint="eastAsia" w:ascii="宋体" w:hAnsi="宋体" w:cs="宋体"/>
          <w:b/>
          <w:sz w:val="24"/>
        </w:rPr>
        <w:t>技术和服务要求</w:t>
      </w:r>
    </w:p>
    <w:p>
      <w:pPr>
        <w:widowControl/>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（一）项目主要内容</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中标人</w:t>
      </w:r>
      <w:r>
        <w:rPr>
          <w:rFonts w:hint="eastAsia" w:ascii="宋体" w:hAnsi="宋体" w:cs="宋体"/>
          <w:sz w:val="24"/>
        </w:rPr>
        <w:t>应根据《全面深化前海深港现代服务业合作区改革开放方案》、《最高人民法院关于支持和保障全面深化前海深港现代服务业合作区改革开放的意见》《海关总署支持前海深港现代服务业合作区全面深化改革开放若干措施》《人民银行等部门关于金融支持前海深港现代服务业合作区全面深化改革开放的意见》《交通运输部关于创新海事服务支持全面深化前海深港现代服务业合作区改革开放的意见》以及《前海方案》五张清单等文件要求，总结梳理前海全面深化改革开放标志性经验做法，编制《蓝皮书》，</w:t>
      </w:r>
      <w:r>
        <w:rPr>
          <w:rFonts w:hint="eastAsia" w:ascii="宋体" w:hAnsi="宋体" w:cs="宋体"/>
          <w:sz w:val="24"/>
          <w:lang w:val="en-US" w:eastAsia="zh-CN"/>
        </w:rPr>
        <w:t>具体</w:t>
      </w:r>
      <w:r>
        <w:rPr>
          <w:rFonts w:hint="eastAsia" w:ascii="宋体" w:hAnsi="宋体" w:cs="宋体"/>
          <w:sz w:val="24"/>
        </w:rPr>
        <w:t>包括序言、总论、专题以及附件四个部分。</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1.序言部分。重点介绍习近平总书记对前海的重要指示批示、中央省市对前海的关怀支持、前海合作区改革开放战略意义以及对《蓝皮书》的编制背景和内容概述，篇幅约2000字。</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2.总论部分。主要综述2023年前海合作区改革开放总体进展情况，</w:t>
      </w:r>
      <w:r>
        <w:rPr>
          <w:rFonts w:hint="eastAsia" w:ascii="宋体" w:hAnsi="宋体" w:cs="宋体"/>
          <w:bCs/>
          <w:sz w:val="24"/>
        </w:rPr>
        <w:t>以定量与定性相结合方式，展现</w:t>
      </w:r>
      <w:r>
        <w:rPr>
          <w:rFonts w:hint="eastAsia" w:ascii="宋体" w:hAnsi="宋体" w:cs="宋体"/>
          <w:sz w:val="24"/>
        </w:rPr>
        <w:t>前海合作区的经济发展、</w:t>
      </w:r>
      <w:bookmarkStart w:id="9" w:name="_Hlk148111583"/>
      <w:r>
        <w:rPr>
          <w:rFonts w:hint="eastAsia" w:ascii="宋体" w:hAnsi="宋体" w:cs="宋体"/>
          <w:sz w:val="24"/>
        </w:rPr>
        <w:t>改革开放、</w:t>
      </w:r>
      <w:bookmarkEnd w:id="9"/>
      <w:r>
        <w:rPr>
          <w:rFonts w:hint="eastAsia" w:ascii="宋体" w:hAnsi="宋体" w:cs="宋体"/>
          <w:sz w:val="24"/>
        </w:rPr>
        <w:t>城市建设、推进机制、重大成就以及未来展望等，篇幅约6000字。</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3.专题部分。重点围绕《前海方案》中现代服务业、科技创新、营商环境、治理模式、服务贸易、金融开放、法律事务、国际合作八大领域中具有引领性、示范性、标志性的亮点工作，如标志性事件、突破性改革、标杆型平台等，形成一批专题报告，各篇报告明确一个主题，主要内容包括背景意义、工作举措、重大成就、经验启示、未来展望等方面，每篇篇幅约8000字。</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4.附件部分。大事记梳理，按照时间顺序总结梳理2023年前海合作区改革发展大事件。</w:t>
      </w:r>
    </w:p>
    <w:p>
      <w:pPr>
        <w:pStyle w:val="57"/>
        <w:widowControl/>
        <w:snapToGrid w:val="0"/>
        <w:spacing w:line="360" w:lineRule="auto"/>
        <w:ind w:firstLine="482"/>
        <w:rPr>
          <w:rFonts w:ascii="宋体" w:hAnsi="宋体" w:cs="宋体"/>
          <w:b/>
          <w:bCs/>
          <w:kern w:val="2"/>
          <w:sz w:val="24"/>
          <w:szCs w:val="24"/>
        </w:rPr>
      </w:pPr>
      <w:r>
        <w:rPr>
          <w:rFonts w:hint="eastAsia" w:ascii="宋体" w:hAnsi="宋体" w:cs="宋体"/>
          <w:b/>
          <w:bCs/>
          <w:kern w:val="2"/>
          <w:sz w:val="24"/>
          <w:szCs w:val="24"/>
        </w:rPr>
        <w:t>（二）最终成果及验收标准</w:t>
      </w:r>
    </w:p>
    <w:p>
      <w:pPr>
        <w:pStyle w:val="57"/>
        <w:widowControl/>
        <w:snapToGrid w:val="0"/>
        <w:spacing w:line="360" w:lineRule="auto"/>
        <w:ind w:firstLine="480"/>
        <w:rPr>
          <w:rFonts w:ascii="宋体" w:hAnsi="宋体" w:cs="宋体"/>
          <w:sz w:val="24"/>
        </w:rPr>
      </w:pPr>
      <w:r>
        <w:rPr>
          <w:rFonts w:hint="eastAsia" w:ascii="宋体" w:hAnsi="宋体" w:cs="宋体"/>
          <w:kern w:val="2"/>
          <w:sz w:val="24"/>
          <w:szCs w:val="24"/>
        </w:rPr>
        <w:t>《2023年前海深港现代服务业合作区改革发展蓝皮书》（中文Word），</w:t>
      </w:r>
      <w:r>
        <w:rPr>
          <w:rFonts w:hint="eastAsia" w:ascii="宋体" w:hAnsi="宋体" w:cs="宋体"/>
          <w:sz w:val="24"/>
        </w:rPr>
        <w:t>并向采购人提供样书</w:t>
      </w:r>
      <w:r>
        <w:rPr>
          <w:rFonts w:ascii="宋体" w:hAnsi="宋体" w:cs="宋体"/>
          <w:sz w:val="24"/>
        </w:rPr>
        <w:t>3</w:t>
      </w:r>
      <w:r>
        <w:rPr>
          <w:rFonts w:hint="eastAsia" w:ascii="宋体" w:hAnsi="宋体" w:cs="宋体"/>
          <w:sz w:val="24"/>
        </w:rPr>
        <w:t>00册。</w:t>
      </w:r>
    </w:p>
    <w:p>
      <w:pPr>
        <w:pStyle w:val="57"/>
        <w:widowControl/>
        <w:snapToGrid w:val="0"/>
        <w:spacing w:line="360" w:lineRule="auto"/>
        <w:ind w:firstLine="480"/>
        <w:rPr>
          <w:rFonts w:ascii="宋体" w:hAnsi="宋体" w:cs="宋体"/>
          <w:sz w:val="24"/>
        </w:rPr>
      </w:pPr>
      <w:r>
        <w:rPr>
          <w:rFonts w:hint="eastAsia" w:ascii="宋体" w:hAnsi="宋体" w:cs="宋体"/>
          <w:sz w:val="24"/>
        </w:rPr>
        <w:t>上述成果深度需满足</w:t>
      </w:r>
      <w:r>
        <w:rPr>
          <w:rFonts w:hint="eastAsia" w:ascii="宋体" w:hAnsi="宋体" w:cs="宋体"/>
          <w:sz w:val="24"/>
          <w:lang w:val="en-US" w:eastAsia="zh-CN"/>
        </w:rPr>
        <w:t>采购人</w:t>
      </w:r>
      <w:r>
        <w:rPr>
          <w:rFonts w:hint="eastAsia" w:ascii="宋体" w:hAnsi="宋体" w:cs="宋体"/>
          <w:sz w:val="24"/>
        </w:rPr>
        <w:t>关于前海改革发展具有全局性、指导性、实操性的要求，并能满足</w:t>
      </w:r>
      <w:r>
        <w:rPr>
          <w:rFonts w:hint="eastAsia" w:ascii="宋体" w:hAnsi="宋体" w:cs="宋体"/>
          <w:sz w:val="24"/>
          <w:lang w:val="en-US" w:eastAsia="zh-CN"/>
        </w:rPr>
        <w:t>采购人</w:t>
      </w:r>
      <w:r>
        <w:rPr>
          <w:rFonts w:hint="eastAsia" w:ascii="宋体" w:hAnsi="宋体" w:cs="宋体"/>
          <w:sz w:val="24"/>
        </w:rPr>
        <w:t>对前海打造粤港澳大湾区全面改革创新试验平台、高水平对外开放门户枢纽、国际化城市新中心</w:t>
      </w:r>
      <w:r>
        <w:rPr>
          <w:rFonts w:hint="eastAsia" w:ascii="宋体" w:hAnsi="宋体" w:cs="宋体"/>
          <w:sz w:val="24"/>
          <w:lang w:val="en-US" w:eastAsia="zh-CN"/>
        </w:rPr>
        <w:t>等</w:t>
      </w:r>
      <w:r>
        <w:rPr>
          <w:rFonts w:hint="eastAsia" w:ascii="宋体" w:hAnsi="宋体" w:cs="宋体"/>
          <w:sz w:val="24"/>
        </w:rPr>
        <w:t>使用要求。上述成果提交并通过</w:t>
      </w:r>
      <w:r>
        <w:rPr>
          <w:rFonts w:hint="eastAsia" w:ascii="宋体" w:hAnsi="宋体" w:cs="宋体"/>
          <w:sz w:val="24"/>
          <w:lang w:val="en-US" w:eastAsia="zh-CN"/>
        </w:rPr>
        <w:t>采购人</w:t>
      </w:r>
      <w:r>
        <w:rPr>
          <w:rFonts w:hint="eastAsia" w:ascii="宋体" w:hAnsi="宋体" w:cs="宋体"/>
          <w:sz w:val="24"/>
        </w:rPr>
        <w:t>验收，视为验收合格。</w:t>
      </w:r>
    </w:p>
    <w:p>
      <w:pPr>
        <w:pStyle w:val="54"/>
        <w:tabs>
          <w:tab w:val="left" w:pos="720"/>
        </w:tabs>
        <w:autoSpaceDE w:val="0"/>
        <w:autoSpaceDN w:val="0"/>
        <w:adjustRightInd w:val="0"/>
        <w:snapToGrid w:val="0"/>
        <w:spacing w:line="360" w:lineRule="auto"/>
        <w:ind w:firstLine="482"/>
        <w:jc w:val="left"/>
        <w:outlineLvl w:val="1"/>
        <w:rPr>
          <w:rFonts w:ascii="宋体" w:hAnsi="宋体" w:cs="宋体"/>
          <w:b/>
          <w:sz w:val="24"/>
        </w:rPr>
      </w:pPr>
      <w:r>
        <w:rPr>
          <w:rFonts w:hint="eastAsia" w:ascii="宋体" w:hAnsi="宋体" w:cs="宋体"/>
          <w:b/>
          <w:sz w:val="24"/>
        </w:rPr>
        <w:t>三、商务要求</w:t>
      </w:r>
    </w:p>
    <w:p>
      <w:pPr>
        <w:tabs>
          <w:tab w:val="left" w:pos="720"/>
        </w:tabs>
        <w:autoSpaceDE w:val="0"/>
        <w:autoSpaceDN w:val="0"/>
        <w:adjustRightInd w:val="0"/>
        <w:snapToGrid w:val="0"/>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（一）服务期限</w:t>
      </w:r>
    </w:p>
    <w:p>
      <w:pPr>
        <w:pStyle w:val="57"/>
        <w:snapToGrid w:val="0"/>
        <w:spacing w:line="360" w:lineRule="auto"/>
        <w:ind w:firstLine="480"/>
        <w:rPr>
          <w:rFonts w:ascii="宋体" w:hAnsi="宋体" w:cs="宋体"/>
          <w:sz w:val="24"/>
        </w:rPr>
      </w:pPr>
      <w:r>
        <w:rPr>
          <w:rFonts w:hint="eastAsia" w:ascii="宋体" w:hAnsi="宋体" w:cs="宋体"/>
          <w:sz w:val="24"/>
        </w:rPr>
        <w:t>本项目工作期限为自合同签订之日起6个月。</w:t>
      </w:r>
      <w:r>
        <w:rPr>
          <w:rFonts w:hint="eastAsia" w:ascii="宋体" w:hAnsi="宋体" w:cs="宋体"/>
          <w:bCs/>
          <w:sz w:val="24"/>
        </w:rPr>
        <w:t>项目完成验收后，在审计、后续抽查等过程中，中标人应配合需要提供以下无偿服务：在后续服务期限内提供相关咨询、协调和项目审查等技术支持。</w:t>
      </w:r>
    </w:p>
    <w:p>
      <w:pPr>
        <w:tabs>
          <w:tab w:val="left" w:pos="720"/>
        </w:tabs>
        <w:autoSpaceDE w:val="0"/>
        <w:autoSpaceDN w:val="0"/>
        <w:adjustRightInd w:val="0"/>
        <w:snapToGrid w:val="0"/>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（二）报价要求</w:t>
      </w:r>
    </w:p>
    <w:p>
      <w:pPr>
        <w:pStyle w:val="57"/>
        <w:snapToGrid w:val="0"/>
        <w:spacing w:line="360" w:lineRule="auto"/>
        <w:ind w:firstLine="480"/>
        <w:rPr>
          <w:rFonts w:hint="eastAsia"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eastAsia="zh-CN"/>
        </w:rPr>
        <w:t>签订的合同</w:t>
      </w:r>
      <w:r>
        <w:rPr>
          <w:rFonts w:hint="eastAsia" w:ascii="宋体" w:hAnsi="宋体" w:cs="宋体"/>
          <w:sz w:val="24"/>
        </w:rPr>
        <w:t>金额。项目预算控制</w:t>
      </w:r>
      <w:r>
        <w:rPr>
          <w:rFonts w:hint="eastAsia" w:ascii="宋体" w:hAnsi="宋体" w:cs="宋体"/>
          <w:sz w:val="24"/>
          <w:lang w:val="en-US" w:eastAsia="zh-CN"/>
        </w:rPr>
        <w:t>79.8</w:t>
      </w:r>
      <w:r>
        <w:rPr>
          <w:rFonts w:hint="eastAsia" w:ascii="宋体" w:hAnsi="宋体" w:cs="宋体"/>
          <w:sz w:val="24"/>
        </w:rPr>
        <w:t>万元以内，投标人的报价不可高于预算（限价），否则投标人的投标文件视同无效。项目服务费包括但不限于如下内容：</w:t>
      </w:r>
    </w:p>
    <w:p>
      <w:pPr>
        <w:pStyle w:val="57"/>
        <w:snapToGrid w:val="0"/>
        <w:spacing w:line="360" w:lineRule="auto"/>
        <w:ind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中标人为采购人所提供的所有服务和技术支持费用；</w:t>
      </w:r>
    </w:p>
    <w:p>
      <w:pPr>
        <w:pStyle w:val="57"/>
        <w:snapToGrid w:val="0"/>
        <w:spacing w:line="360" w:lineRule="auto"/>
        <w:ind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项目研讨会、论证会费用；</w:t>
      </w:r>
    </w:p>
    <w:p>
      <w:pPr>
        <w:pStyle w:val="57"/>
        <w:snapToGrid w:val="0"/>
        <w:spacing w:line="360" w:lineRule="auto"/>
        <w:ind w:firstLine="480"/>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项目评审、发布等产生的专家费用；</w:t>
      </w:r>
    </w:p>
    <w:p>
      <w:pPr>
        <w:pStyle w:val="57"/>
        <w:snapToGrid w:val="0"/>
        <w:spacing w:line="360" w:lineRule="auto"/>
        <w:ind w:firstLine="480"/>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中标人工作人员工资、差旅费；</w:t>
      </w:r>
    </w:p>
    <w:p>
      <w:pPr>
        <w:pStyle w:val="57"/>
        <w:snapToGrid w:val="0"/>
        <w:spacing w:line="360" w:lineRule="auto"/>
        <w:ind w:firstLine="480"/>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中标人的办公、通讯、交通费用；</w:t>
      </w:r>
    </w:p>
    <w:p>
      <w:pPr>
        <w:pStyle w:val="57"/>
        <w:snapToGrid w:val="0"/>
        <w:spacing w:line="360" w:lineRule="auto"/>
        <w:ind w:firstLine="480"/>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项目材料统计、分析费用；</w:t>
      </w:r>
    </w:p>
    <w:p>
      <w:pPr>
        <w:pStyle w:val="57"/>
        <w:snapToGrid w:val="0"/>
        <w:spacing w:line="360" w:lineRule="auto"/>
        <w:ind w:firstLine="480"/>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项目成果文本</w:t>
      </w:r>
      <w:r>
        <w:rPr>
          <w:rFonts w:hint="eastAsia" w:ascii="宋体" w:hAnsi="宋体" w:cs="宋体"/>
          <w:sz w:val="24"/>
          <w:lang w:val="en-US" w:eastAsia="zh-CN"/>
        </w:rPr>
        <w:t>校核、设计排版及</w:t>
      </w:r>
      <w:r>
        <w:rPr>
          <w:rFonts w:hint="eastAsia" w:ascii="宋体" w:hAnsi="宋体" w:cs="宋体"/>
          <w:sz w:val="24"/>
        </w:rPr>
        <w:t>印刷费用；</w:t>
      </w:r>
    </w:p>
    <w:p>
      <w:pPr>
        <w:pStyle w:val="57"/>
        <w:snapToGrid w:val="0"/>
        <w:spacing w:line="360" w:lineRule="auto"/>
        <w:ind w:firstLine="480"/>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8</w:t>
      </w:r>
      <w:r>
        <w:rPr>
          <w:rFonts w:hint="eastAsia" w:ascii="宋体" w:hAnsi="宋体" w:cs="宋体"/>
          <w:sz w:val="24"/>
          <w:lang w:val="en-US" w:eastAsia="zh-CN"/>
        </w:rPr>
        <w:t>）</w:t>
      </w:r>
      <w:r>
        <w:rPr>
          <w:rFonts w:hint="eastAsia" w:ascii="宋体" w:hAnsi="宋体" w:cs="宋体"/>
          <w:sz w:val="24"/>
        </w:rPr>
        <w:t>中标人以各种方式将文件资料发送至采购人的费用；</w:t>
      </w:r>
    </w:p>
    <w:p>
      <w:pPr>
        <w:pStyle w:val="57"/>
        <w:snapToGrid w:val="0"/>
        <w:spacing w:line="360" w:lineRule="auto"/>
        <w:ind w:firstLine="480"/>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本合同项下产生的一切税费。</w:t>
      </w:r>
    </w:p>
    <w:p>
      <w:pPr>
        <w:pStyle w:val="57"/>
        <w:snapToGrid w:val="0"/>
        <w:spacing w:line="360" w:lineRule="auto"/>
        <w:ind w:firstLine="480"/>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10</w:t>
      </w:r>
      <w:r>
        <w:rPr>
          <w:rFonts w:hint="eastAsia" w:ascii="宋体" w:hAnsi="宋体" w:cs="宋体"/>
          <w:sz w:val="24"/>
          <w:lang w:val="en-US" w:eastAsia="zh-CN"/>
        </w:rPr>
        <w:t>）</w:t>
      </w:r>
      <w:r>
        <w:rPr>
          <w:rFonts w:hint="eastAsia" w:ascii="宋体" w:hAnsi="宋体" w:cs="宋体"/>
          <w:sz w:val="24"/>
        </w:rPr>
        <w:t>征集稿件产生的作者稿费。</w:t>
      </w:r>
    </w:p>
    <w:p>
      <w:pPr>
        <w:pStyle w:val="57"/>
        <w:snapToGrid w:val="0"/>
        <w:spacing w:line="360" w:lineRule="auto"/>
        <w:ind w:firstLine="48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cs="宋体"/>
          <w:sz w:val="24"/>
          <w:lang w:eastAsia="zh-CN"/>
        </w:rPr>
        <w:t>）</w:t>
      </w:r>
      <w:r>
        <w:rPr>
          <w:rFonts w:hint="eastAsia" w:ascii="宋体" w:hAnsi="宋体" w:cs="宋体"/>
          <w:sz w:val="24"/>
        </w:rPr>
        <w:t>其它相关服务的全部费用</w:t>
      </w:r>
      <w:r>
        <w:rPr>
          <w:rFonts w:hint="eastAsia" w:ascii="宋体" w:hAnsi="宋体" w:cs="宋体"/>
          <w:sz w:val="24"/>
          <w:lang w:eastAsia="zh-CN"/>
        </w:rPr>
        <w:t>。</w:t>
      </w:r>
    </w:p>
    <w:p>
      <w:pPr>
        <w:pStyle w:val="57"/>
        <w:snapToGrid w:val="0"/>
        <w:spacing w:line="360" w:lineRule="auto"/>
        <w:ind w:firstLine="48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7"/>
        <w:snapToGrid w:val="0"/>
        <w:spacing w:line="360" w:lineRule="auto"/>
        <w:ind w:firstLine="48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pStyle w:val="57"/>
        <w:snapToGrid w:val="0"/>
        <w:spacing w:line="360" w:lineRule="auto"/>
        <w:ind w:firstLine="48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pStyle w:val="57"/>
        <w:snapToGrid w:val="0"/>
        <w:spacing w:line="360" w:lineRule="auto"/>
        <w:ind w:firstLine="480"/>
        <w:rPr>
          <w:rFonts w:ascii="宋体" w:hAnsi="宋体" w:cs="宋体"/>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numPr>
          <w:ilvl w:val="-1"/>
          <w:numId w:val="0"/>
        </w:numPr>
        <w:tabs>
          <w:tab w:val="left" w:pos="720"/>
        </w:tabs>
        <w:autoSpaceDE w:val="0"/>
        <w:autoSpaceDN w:val="0"/>
        <w:adjustRightInd w:val="0"/>
        <w:snapToGrid w:val="0"/>
        <w:spacing w:line="360" w:lineRule="auto"/>
        <w:ind w:firstLine="482" w:firstLineChars="200"/>
        <w:outlineLvl w:val="2"/>
        <w:rPr>
          <w:rFonts w:ascii="宋体" w:hAnsi="宋体" w:cs="宋体"/>
          <w:b/>
          <w:bCs/>
          <w:kern w:val="0"/>
          <w:sz w:val="24"/>
        </w:rPr>
      </w:pPr>
      <w:r>
        <w:rPr>
          <w:rFonts w:hint="eastAsia" w:ascii="宋体" w:hAnsi="宋体" w:cs="宋体"/>
          <w:b/>
          <w:bCs/>
          <w:kern w:val="0"/>
          <w:sz w:val="24"/>
          <w:lang w:eastAsia="zh-CN"/>
        </w:rPr>
        <w:t>（</w:t>
      </w:r>
      <w:r>
        <w:rPr>
          <w:rFonts w:hint="eastAsia" w:ascii="宋体" w:hAnsi="宋体" w:cs="宋体"/>
          <w:b/>
          <w:bCs/>
          <w:kern w:val="0"/>
          <w:sz w:val="24"/>
          <w:lang w:val="en-US" w:eastAsia="zh-CN"/>
        </w:rPr>
        <w:t>三）</w:t>
      </w:r>
      <w:r>
        <w:rPr>
          <w:rFonts w:hint="eastAsia" w:ascii="宋体" w:hAnsi="宋体" w:cs="宋体"/>
          <w:b/>
          <w:bCs/>
          <w:kern w:val="0"/>
          <w:sz w:val="24"/>
        </w:rPr>
        <w:t>付款方式</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合同价款由采购人分3期支付给中标人：</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1.自合同签订后，根据中标人提出的付款申请及开具的载明相应金额的正式发票后，采购人在15个工作日内向中标人支付合同总价款的30%；</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2.中标人形成《蓝皮书》初稿，且通过采购人验收合格后，根据中标人提出的付款申请及开具的载明相应金额的正式发票后，采购人在15个工作日内向中标人支付合同总价款的40%。</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2.中标人完成《蓝皮书》最终成果，且通过采购人验收合格后，根据中标人提出的付款申请及开具的载明相应金额的正式发票后，采购人在15个工作日内向中标人支付合同总价款的30%。</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4.本合同项下各期款项均在满足付款条件，且采购人收到中标人开具的载明相应金额的正式发票后向中标人指定银行账户支付，如采购人未及时收到中标人开具的正式发票，采购人付款时间相应顺延。若因采购人付款审批影响支付进度，请中标人予以谅解，并不得就此向采购人索赔。</w:t>
      </w:r>
    </w:p>
    <w:p>
      <w:pPr>
        <w:tabs>
          <w:tab w:val="left" w:pos="720"/>
        </w:tabs>
        <w:autoSpaceDE w:val="0"/>
        <w:autoSpaceDN w:val="0"/>
        <w:adjustRightInd w:val="0"/>
        <w:snapToGrid w:val="0"/>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（四）进度安排</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本项目计划在6个月内，分三期完成：</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1.首期：自合同签订之日起1个月内提交《蓝皮书》项目总体思路、基本框架以及各部分选题；</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二期：自合同签订之日起4个月内提交《蓝皮书》初稿；</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三期：自合同签订之日起6个月内提交《蓝皮书》最终成果。</w:t>
      </w:r>
    </w:p>
    <w:p>
      <w:pPr>
        <w:tabs>
          <w:tab w:val="left" w:pos="720"/>
        </w:tabs>
        <w:autoSpaceDE w:val="0"/>
        <w:autoSpaceDN w:val="0"/>
        <w:adjustRightInd w:val="0"/>
        <w:snapToGrid w:val="0"/>
        <w:spacing w:line="360" w:lineRule="auto"/>
        <w:ind w:firstLine="482" w:firstLineChars="200"/>
        <w:outlineLvl w:val="2"/>
        <w:rPr>
          <w:rFonts w:ascii="仿宋" w:hAnsi="仿宋" w:eastAsia="仿宋"/>
          <w:b/>
          <w:bCs/>
          <w:szCs w:val="21"/>
        </w:rPr>
      </w:pPr>
      <w:r>
        <w:rPr>
          <w:rFonts w:hint="eastAsia" w:ascii="宋体" w:hAnsi="宋体" w:cs="宋体"/>
          <w:b/>
          <w:bCs/>
          <w:kern w:val="0"/>
          <w:sz w:val="24"/>
        </w:rPr>
        <w:t>（五）其他要求</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1.组织实施要求</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（1）为确保本次项目管理规范、实施有力，中标人应成立项目团队，按采购人要求完成项目成果。</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（2）中标人应配合采购人组织、举办本项目各工作阶段的汇报、审查、研讨、成果发布等工作，并承担相应费用。</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2.人员安排要求</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（1）为了保证本项目得到高质量的完成，中标人项目组的研究人员不少于6人，并必须至少有中级或</w:t>
      </w:r>
      <w:r>
        <w:rPr>
          <w:rFonts w:hint="eastAsia" w:ascii="宋体" w:hAnsi="宋体" w:cs="宋体"/>
          <w:sz w:val="24"/>
          <w:lang w:val="en-US" w:eastAsia="zh-CN"/>
        </w:rPr>
        <w:t>以上</w:t>
      </w:r>
      <w:r>
        <w:rPr>
          <w:rFonts w:hint="eastAsia" w:ascii="宋体" w:hAnsi="宋体" w:cs="宋体"/>
          <w:sz w:val="24"/>
        </w:rPr>
        <w:t>职称5人，其中高级职称（含副高）至少2人。</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（2）为保障项目质量，中标人不得随意更换项目团队成员。如需更换，须得到采购人的书面同意。</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3.投标人应确保投标文件中提供的所有资料、信息真实、有效；</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4.对于中标人通过提供本项目服务取得的各类信息和数据（包括但不限于企业信息、经济和社会发展数据等），未经采购人同意，中标人不得提供给其他任何第三方，亦不得用于本项目服务内容以外的其他用途。为此，中标人在合同签订后应提供相应的廉洁保密承诺书；</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5.中标人不得将项目非法分包或转包给任何单位和个人，否则采购人有权即刻终止合同，并要求中标人赔偿相应损失。</w:t>
      </w:r>
    </w:p>
    <w:p>
      <w:pPr>
        <w:tabs>
          <w:tab w:val="left" w:pos="720"/>
        </w:tabs>
        <w:autoSpaceDE w:val="0"/>
        <w:autoSpaceDN w:val="0"/>
        <w:adjustRightInd w:val="0"/>
        <w:snapToGrid w:val="0"/>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（六）成果权属与知识产权</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本项目研究成果的版权归采购人和中标人双方共同所有。未经采购人书面同意，中标人不得将研究成果公开发表、内部刊用或用于其他任何项目，也不得将本项目的阶段性成果和/或最终成果文件及任何数据、资料向任何第三方转让、授权任何第三方使用或用于本合同项目外的其他项目。如发生以上情况，中标人应向采购人支付本合同总价款20%的违约金，如果违约金无法补</w:t>
      </w:r>
      <w:r>
        <w:rPr>
          <w:rFonts w:hint="eastAsia" w:ascii="宋体" w:hAnsi="宋体" w:cs="宋体"/>
          <w:sz w:val="24"/>
          <w:lang w:val="en-US" w:eastAsia="zh-CN"/>
        </w:rPr>
        <w:t>偿</w:t>
      </w:r>
      <w:r>
        <w:rPr>
          <w:rFonts w:hint="eastAsia" w:ascii="宋体" w:hAnsi="宋体" w:cs="宋体"/>
          <w:sz w:val="24"/>
        </w:rPr>
        <w:t>采购人的损失，采购人有权要求中标人赔偿全部损失。</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征得采购人书面同意后，中标人可公开发表研究成果，并享有署名权。</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widowControl/>
        <w:adjustRightInd w:val="0"/>
        <w:snapToGrid w:val="0"/>
        <w:spacing w:line="360" w:lineRule="auto"/>
        <w:ind w:firstLine="482" w:firstLineChars="200"/>
        <w:outlineLvl w:val="2"/>
        <w:rPr>
          <w:rFonts w:ascii="宋体" w:hAnsi="宋体" w:cs="宋体"/>
          <w:b/>
          <w:bCs/>
          <w:sz w:val="24"/>
        </w:rPr>
      </w:pPr>
      <w:r>
        <w:rPr>
          <w:rFonts w:hint="eastAsia" w:ascii="宋体" w:hAnsi="宋体" w:cs="宋体"/>
          <w:b/>
          <w:bCs/>
          <w:kern w:val="0"/>
          <w:sz w:val="24"/>
        </w:rPr>
        <w:t>（七）</w:t>
      </w:r>
      <w:r>
        <w:rPr>
          <w:rFonts w:hint="eastAsia" w:ascii="宋体" w:hAnsi="宋体" w:cs="宋体"/>
          <w:b/>
          <w:bCs/>
          <w:sz w:val="24"/>
        </w:rPr>
        <w:t>保密条款</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1.采购人应确保向中标人提供的所有资料信息合法、真实、有效，不涉密；</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采购人和中标人双方应保守的秘密是指不为公众所知悉、能为权利人带来经济利益、具有实用性并经权利人采取保密措施的技术信息和经营信息，或由采购人和中标人双方在履行本合同过程中明确指明为秘密的、法律所认可的任何信息，以及中标人在履行本合同过程中所获得或接触到的任何采购人内部数据资料。</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3.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4.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信息和数据（包括但不限于企业信息、经济和社会发展数据等），或公开本项目的阶段性成果或最终成果内容。即使向与履行本合同有关的人员提供前述保密信息，也应限于履行合同的必需范围，且这些人员应接受至少与本条款同等严格的保密条款的约束。如发生以上情况，中标人应向采购人支付本合同项下服务费用总价款20%的违约金，如果违约金无法弥补采购人损失，采购人保留要求中标人赔偿全部损失的权利。</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5.中标人实施项目的程序应符合国家安全、保密的有关规定和标准。</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6.无论本合同或本合同其他条款是否有效，本保密条款始终约束双方。国家秘密的保密期限由国家有关部门确定，工作秘密的保密期限由采购人确定。</w:t>
      </w:r>
    </w:p>
    <w:p>
      <w:pPr>
        <w:widowControl/>
        <w:adjustRightInd w:val="0"/>
        <w:snapToGrid w:val="0"/>
        <w:spacing w:line="360" w:lineRule="auto"/>
        <w:ind w:firstLine="482" w:firstLineChars="200"/>
        <w:outlineLvl w:val="2"/>
        <w:rPr>
          <w:rFonts w:ascii="宋体" w:hAnsi="宋体" w:cs="宋体"/>
          <w:b/>
          <w:bCs/>
          <w:sz w:val="24"/>
        </w:rPr>
      </w:pPr>
      <w:r>
        <w:rPr>
          <w:rFonts w:hint="eastAsia" w:ascii="宋体" w:hAnsi="宋体" w:cs="宋体"/>
          <w:b/>
          <w:bCs/>
          <w:kern w:val="0"/>
          <w:sz w:val="24"/>
        </w:rPr>
        <w:t>（八）</w:t>
      </w:r>
      <w:r>
        <w:rPr>
          <w:rFonts w:hint="eastAsia" w:ascii="宋体" w:hAnsi="宋体" w:cs="宋体"/>
          <w:b/>
          <w:bCs/>
          <w:sz w:val="24"/>
        </w:rPr>
        <w:t>违约责任</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1.如中标人未按照本合同约定的时间完成本项目各阶段工作，且未经采购人书面同意延长研究成果</w:t>
      </w:r>
      <w:r>
        <w:rPr>
          <w:rFonts w:hint="eastAsia" w:ascii="宋体" w:hAnsi="宋体" w:cs="宋体"/>
          <w:sz w:val="24"/>
          <w:lang w:eastAsia="zh-CN"/>
        </w:rPr>
        <w:t>完成</w:t>
      </w:r>
      <w:r>
        <w:rPr>
          <w:rFonts w:hint="eastAsia" w:ascii="宋体" w:hAnsi="宋体" w:cs="宋体"/>
          <w:sz w:val="24"/>
        </w:rPr>
        <w:t>期限的，每迟延一日，采购人有权要求中标人支付本合同服务费总金额的1‰的逾期违约金。</w:t>
      </w:r>
    </w:p>
    <w:p>
      <w:pPr>
        <w:widowControl/>
        <w:adjustRightInd w:val="0"/>
        <w:snapToGrid w:val="0"/>
        <w:spacing w:line="360" w:lineRule="auto"/>
        <w:ind w:firstLine="480" w:firstLineChars="200"/>
        <w:rPr>
          <w:rFonts w:ascii="宋体" w:hAnsi="宋体" w:cs="宋体"/>
          <w:sz w:val="24"/>
        </w:rPr>
      </w:pPr>
      <w:bookmarkStart w:id="10" w:name="_Hlk148604931"/>
      <w:r>
        <w:rPr>
          <w:rFonts w:hint="eastAsia" w:ascii="宋体" w:hAnsi="宋体" w:cs="宋体"/>
          <w:sz w:val="24"/>
        </w:rPr>
        <w:t>2.本合同履行期间，发生下述情形时，采购人有权解除本合同，中标人除应退还采购方已支付的全部款项外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还应在合同解除通知发出之日起10日内向采购方支付合同总价款10%的违约金。中标人应同时将已完成的项目成果移交给采购人，并将全部有关资料退还甲方：</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（1）中标人未能按合同约定的日期</w:t>
      </w:r>
      <w:r>
        <w:rPr>
          <w:rFonts w:hint="eastAsia" w:ascii="宋体" w:hAnsi="宋体" w:cs="宋体"/>
          <w:sz w:val="24"/>
          <w:lang w:eastAsia="zh-CN"/>
        </w:rPr>
        <w:t>（</w:t>
      </w:r>
      <w:r>
        <w:rPr>
          <w:rFonts w:hint="eastAsia" w:ascii="宋体" w:hAnsi="宋体" w:cs="宋体"/>
          <w:sz w:val="24"/>
        </w:rPr>
        <w:t>含协商延缓的日期</w:t>
      </w:r>
      <w:r>
        <w:rPr>
          <w:rFonts w:hint="eastAsia" w:ascii="宋体" w:hAnsi="宋体" w:cs="宋体"/>
          <w:sz w:val="24"/>
          <w:lang w:eastAsia="zh-CN"/>
        </w:rPr>
        <w:t>）</w:t>
      </w:r>
      <w:r>
        <w:rPr>
          <w:rFonts w:hint="eastAsia" w:ascii="宋体" w:hAnsi="宋体" w:cs="宋体"/>
          <w:sz w:val="24"/>
        </w:rPr>
        <w:t>提交成果，延误时间超过两个月的；</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）中标人虽如期提交阶段性成果和最终成果，但最终成果连续二次未能通过评审验收的；</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（3）未经采购方书面在先同意，中标人擅自将本协议项目与任何第三方合作，或将本协议标的全部或部分擅自转包给任何第三方，且未按采购方的要求终止与第三方的合同的；</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（4）未经采购方书面同意，中标人擅自变更项目主要负责人的；</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（5）发现中标人或中标人工作人员出现全部或部分丧失履行委托服务能力的情况，采购方有权通知中标人限期整改或更换工作人员，期限届满中标人并未进行改善的；</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（6）中标人明确表示或者以自己的行为表明不履行本合同的。</w:t>
      </w:r>
    </w:p>
    <w:bookmarkEnd w:id="10"/>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3.本合同履行期间，发生下述情形时，中标人有权解除本合同，并要求采购人予以赔偿： </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（1）采购人无故终止合同，不能按约定协助中标人协调相关部门开展工作，并最终影响项目顺利开展的；</w:t>
      </w:r>
    </w:p>
    <w:p>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（2）采购人擅自将中标人未对外发布的智力成果提供给第三方的。</w:t>
      </w:r>
    </w:p>
    <w:bookmarkEnd w:id="7"/>
    <w:bookmarkEnd w:id="8"/>
    <w:p>
      <w:pPr>
        <w:spacing w:line="360" w:lineRule="auto"/>
        <w:jc w:val="center"/>
        <w:outlineLvl w:val="0"/>
        <w:rPr>
          <w:rFonts w:ascii="宋体" w:cs="宋体"/>
          <w:b/>
          <w:bCs/>
          <w:sz w:val="24"/>
        </w:rPr>
      </w:pPr>
      <w:r>
        <w:rPr>
          <w:rFonts w:hint="eastAsia" w:ascii="宋体" w:hAnsi="宋体" w:cs="宋体"/>
          <w:sz w:val="24"/>
        </w:rPr>
        <w:br w:type="page"/>
      </w:r>
      <w:bookmarkStart w:id="11" w:name="_Toc23822"/>
      <w:r>
        <w:rPr>
          <w:rFonts w:hint="eastAsia" w:ascii="宋体" w:cs="宋体"/>
          <w:b/>
          <w:bCs/>
          <w:sz w:val="24"/>
        </w:rPr>
        <w:t>第六章 投标文件初审及招标项目评分表</w:t>
      </w:r>
      <w:bookmarkEnd w:id="11"/>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w:t>
            </w:r>
          </w:p>
        </w:tc>
        <w:tc>
          <w:tcPr>
            <w:tcW w:w="7108"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2</w:t>
            </w:r>
          </w:p>
        </w:tc>
        <w:tc>
          <w:tcPr>
            <w:tcW w:w="7108"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3</w:t>
            </w:r>
          </w:p>
        </w:tc>
        <w:tc>
          <w:tcPr>
            <w:tcW w:w="7108" w:type="dxa"/>
            <w:vAlign w:val="center"/>
          </w:tcPr>
          <w:p>
            <w:pPr>
              <w:spacing w:line="360" w:lineRule="auto"/>
              <w:rPr>
                <w:rFonts w:ascii="宋体" w:hAnsi="宋体" w:cs="宋体"/>
                <w:sz w:val="24"/>
              </w:rPr>
            </w:pPr>
            <w:r>
              <w:rPr>
                <w:rFonts w:hint="eastAsia" w:ascii="宋体" w:hAnsi="宋体" w:cs="宋体"/>
                <w:sz w:val="24"/>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4</w:t>
            </w:r>
          </w:p>
        </w:tc>
        <w:tc>
          <w:tcPr>
            <w:tcW w:w="7108"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5</w:t>
            </w:r>
          </w:p>
        </w:tc>
        <w:tc>
          <w:tcPr>
            <w:tcW w:w="7108" w:type="dxa"/>
            <w:vAlign w:val="center"/>
          </w:tcPr>
          <w:p>
            <w:pPr>
              <w:spacing w:line="360" w:lineRule="auto"/>
              <w:rPr>
                <w:rFonts w:ascii="宋体" w:hAnsi="宋体" w:cs="宋体"/>
                <w:sz w:val="24"/>
              </w:rPr>
            </w:pPr>
            <w:r>
              <w:rPr>
                <w:rFonts w:hint="eastAsia" w:ascii="宋体" w:hAnsi="宋体" w:cs="宋体"/>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6</w:t>
            </w:r>
          </w:p>
        </w:tc>
        <w:tc>
          <w:tcPr>
            <w:tcW w:w="7108"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7</w:t>
            </w:r>
          </w:p>
        </w:tc>
        <w:tc>
          <w:tcPr>
            <w:tcW w:w="7108"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8</w:t>
            </w:r>
          </w:p>
        </w:tc>
        <w:tc>
          <w:tcPr>
            <w:tcW w:w="7108"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9</w:t>
            </w:r>
          </w:p>
        </w:tc>
        <w:tc>
          <w:tcPr>
            <w:tcW w:w="7108"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10</w:t>
            </w:r>
          </w:p>
        </w:tc>
        <w:tc>
          <w:tcPr>
            <w:tcW w:w="7108" w:type="dxa"/>
            <w:vAlign w:val="center"/>
          </w:tcPr>
          <w:p>
            <w:pPr>
              <w:spacing w:line="360" w:lineRule="auto"/>
              <w:rPr>
                <w:rFonts w:ascii="宋体" w:hAnsi="宋体" w:cs="宋体"/>
                <w:sz w:val="24"/>
              </w:rPr>
            </w:pPr>
            <w:r>
              <w:rPr>
                <w:rFonts w:hint="eastAsia" w:ascii="宋体" w:hAnsi="宋体" w:cs="宋体"/>
                <w:sz w:val="24"/>
                <w:lang w:eastAsia="zh-CN"/>
              </w:rPr>
              <w:t>法律法规</w:t>
            </w:r>
            <w:r>
              <w:rPr>
                <w:rFonts w:hint="eastAsia" w:ascii="宋体" w:hAnsi="宋体" w:cs="宋体"/>
                <w:sz w:val="24"/>
              </w:rPr>
              <w:t>规定的其他情形</w:t>
            </w:r>
          </w:p>
        </w:tc>
      </w:tr>
    </w:tbl>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01"/>
        <w:gridCol w:w="1425"/>
        <w:gridCol w:w="4776"/>
        <w:gridCol w:w="687"/>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00" w:type="pct"/>
            <w:gridSpan w:val="5"/>
            <w:shd w:val="clear" w:color="auto" w:fill="D9D9D9"/>
            <w:vAlign w:val="center"/>
          </w:tcPr>
          <w:p>
            <w:pPr>
              <w:autoSpaceDE w:val="0"/>
              <w:autoSpaceDN w:val="0"/>
              <w:adjustRightInd w:val="0"/>
              <w:snapToGrid w:val="0"/>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w:t>
            </w:r>
            <w:r>
              <w:rPr>
                <w:rFonts w:hint="eastAsia" w:ascii="宋体" w:hAnsi="宋体" w:cs="宋体"/>
                <w:b/>
                <w:sz w:val="24"/>
                <w:lang w:val="zh-CN"/>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序号</w:t>
            </w:r>
          </w:p>
        </w:tc>
        <w:tc>
          <w:tcPr>
            <w:tcW w:w="836"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内容</w:t>
            </w:r>
          </w:p>
        </w:tc>
        <w:tc>
          <w:tcPr>
            <w:tcW w:w="2802"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评分规则</w:t>
            </w:r>
          </w:p>
        </w:tc>
        <w:tc>
          <w:tcPr>
            <w:tcW w:w="403"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rPr>
              <w:t>权重</w:t>
            </w:r>
          </w:p>
        </w:tc>
        <w:tc>
          <w:tcPr>
            <w:tcW w:w="604"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1</w:t>
            </w:r>
          </w:p>
        </w:tc>
        <w:tc>
          <w:tcPr>
            <w:tcW w:w="836"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b/>
                <w:sz w:val="24"/>
              </w:rPr>
              <w:t>投标报价</w:t>
            </w:r>
          </w:p>
        </w:tc>
        <w:tc>
          <w:tcPr>
            <w:tcW w:w="2802" w:type="pct"/>
            <w:vAlign w:val="center"/>
          </w:tcPr>
          <w:p>
            <w:pPr>
              <w:adjustRightInd w:val="0"/>
              <w:snapToGrid w:val="0"/>
              <w:rPr>
                <w:rFonts w:ascii="宋体" w:hAnsi="宋体" w:cs="宋体"/>
                <w:kern w:val="0"/>
                <w:sz w:val="24"/>
              </w:rPr>
            </w:pPr>
            <w:r>
              <w:rPr>
                <w:rFonts w:hint="eastAsia" w:ascii="宋体" w:hAnsi="宋体" w:cs="宋体"/>
                <w:kern w:val="0"/>
                <w:sz w:val="24"/>
              </w:rPr>
              <w:t>采用低价优先法计算，即满足招标文件要求且投标价格最低的投标报价为评标基准价，其价格分为满分。其他投标人的价格分统一按照下列公式计算：</w:t>
            </w:r>
          </w:p>
          <w:p>
            <w:pPr>
              <w:adjustRightInd w:val="0"/>
              <w:snapToGrid w:val="0"/>
              <w:jc w:val="center"/>
              <w:rPr>
                <w:rFonts w:ascii="宋体" w:hAnsi="宋体" w:cs="宋体"/>
                <w:kern w:val="0"/>
                <w:sz w:val="24"/>
              </w:rPr>
            </w:pPr>
            <w:r>
              <w:rPr>
                <w:rFonts w:hint="eastAsia" w:ascii="宋体" w:hAnsi="宋体" w:cs="宋体"/>
                <w:kern w:val="0"/>
                <w:sz w:val="24"/>
              </w:rPr>
              <w:t>投标报价得分=</w:t>
            </w:r>
            <w:r>
              <w:rPr>
                <w:rFonts w:hint="eastAsia" w:ascii="宋体" w:hAnsi="宋体" w:cs="宋体"/>
                <w:kern w:val="0"/>
                <w:sz w:val="24"/>
                <w:lang w:eastAsia="zh-CN"/>
              </w:rPr>
              <w:t>（</w:t>
            </w:r>
            <w:r>
              <w:rPr>
                <w:rFonts w:hint="eastAsia" w:ascii="宋体" w:hAnsi="宋体" w:cs="宋体"/>
                <w:kern w:val="0"/>
                <w:sz w:val="24"/>
              </w:rPr>
              <w:t>评标基准价／投标报价</w:t>
            </w:r>
            <w:r>
              <w:rPr>
                <w:rFonts w:hint="eastAsia" w:ascii="宋体" w:hAnsi="宋体" w:cs="宋体"/>
                <w:kern w:val="0"/>
                <w:sz w:val="24"/>
                <w:lang w:eastAsia="zh-CN"/>
              </w:rPr>
              <w:t>）</w:t>
            </w:r>
            <w:r>
              <w:rPr>
                <w:rFonts w:hint="eastAsia" w:ascii="宋体" w:hAnsi="宋体" w:cs="宋体"/>
                <w:kern w:val="0"/>
                <w:sz w:val="24"/>
              </w:rPr>
              <w:t>×10</w:t>
            </w:r>
          </w:p>
          <w:p>
            <w:pPr>
              <w:adjustRightInd w:val="0"/>
              <w:snapToGrid w:val="0"/>
              <w:rPr>
                <w:rFonts w:ascii="宋体" w:hAnsi="宋体" w:cs="宋体"/>
                <w:bCs/>
                <w:sz w:val="24"/>
              </w:rPr>
            </w:pPr>
            <w:r>
              <w:rPr>
                <w:rFonts w:hint="eastAsia" w:ascii="宋体" w:hAnsi="宋体" w:cs="宋体"/>
                <w:bCs/>
                <w:sz w:val="24"/>
              </w:rPr>
              <w:t>1.价格评分仅限于有效</w:t>
            </w:r>
            <w:r>
              <w:rPr>
                <w:rFonts w:hint="eastAsia" w:ascii="宋体" w:hAnsi="宋体" w:cs="宋体"/>
                <w:sz w:val="24"/>
                <w:lang w:val="zh-CN"/>
              </w:rPr>
              <w:t>投标</w:t>
            </w:r>
            <w:r>
              <w:rPr>
                <w:rFonts w:hint="eastAsia" w:ascii="宋体" w:hAnsi="宋体" w:cs="宋体"/>
                <w:bCs/>
                <w:sz w:val="24"/>
              </w:rPr>
              <w:t>人，</w:t>
            </w:r>
            <w:r>
              <w:rPr>
                <w:rFonts w:hint="eastAsia" w:ascii="宋体" w:hAnsi="宋体" w:cs="宋体"/>
                <w:sz w:val="24"/>
              </w:rPr>
              <w:t>当价格分&lt;0时，取0。</w:t>
            </w:r>
          </w:p>
          <w:p>
            <w:pPr>
              <w:adjustRightInd w:val="0"/>
              <w:snapToGrid w:val="0"/>
              <w:rPr>
                <w:rFonts w:ascii="宋体" w:hAnsi="宋体" w:cs="宋体"/>
                <w:bCs/>
                <w:sz w:val="24"/>
              </w:rPr>
            </w:pPr>
            <w:r>
              <w:rPr>
                <w:rFonts w:hint="eastAsia" w:ascii="宋体" w:hAnsi="宋体" w:cs="宋体"/>
                <w:bCs/>
                <w:sz w:val="24"/>
              </w:rPr>
              <w:t>2.根据财库〔2020〕46号、财库〔2014〕68号及财库〔2017〕141号文件规定：本项目非专门面向中小企业的项目，对小型和微型企业、监狱企业或残疾人福利性企业产品的价格给予10%的扣除，用扣除后的价格即为“经</w:t>
            </w:r>
            <w:r>
              <w:rPr>
                <w:rFonts w:hint="eastAsia" w:ascii="宋体" w:hAnsi="宋体" w:cs="宋体"/>
                <w:sz w:val="24"/>
                <w:lang w:val="zh-CN"/>
              </w:rPr>
              <w:t>评审</w:t>
            </w:r>
            <w:r>
              <w:rPr>
                <w:rFonts w:hint="eastAsia" w:ascii="宋体" w:hAnsi="宋体" w:cs="宋体"/>
                <w:bCs/>
                <w:sz w:val="24"/>
              </w:rPr>
              <w:t>合格的投标报价”参与价格评审。</w:t>
            </w:r>
          </w:p>
          <w:p>
            <w:pPr>
              <w:pStyle w:val="8"/>
              <w:adjustRightInd w:val="0"/>
              <w:snapToGrid w:val="0"/>
              <w:jc w:val="both"/>
              <w:rPr>
                <w:rFonts w:ascii="宋体" w:hAnsi="宋体" w:cs="宋体"/>
                <w:bCs/>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p>
            <w:pPr>
              <w:pStyle w:val="8"/>
              <w:adjustRightInd w:val="0"/>
              <w:snapToGrid w:val="0"/>
              <w:jc w:val="both"/>
              <w:rPr>
                <w:rFonts w:ascii="宋体" w:hAnsi="宋体" w:cs="宋体"/>
                <w:bCs/>
                <w:sz w:val="24"/>
              </w:rPr>
            </w:pPr>
            <w:r>
              <w:rPr>
                <w:rFonts w:hint="eastAsia" w:ascii="宋体" w:hAnsi="宋体" w:cs="宋体"/>
                <w:bCs/>
                <w:sz w:val="24"/>
              </w:rPr>
              <w:t>3.本项目所属行业：</w:t>
            </w:r>
            <w:r>
              <w:rPr>
                <w:rFonts w:hint="eastAsia" w:ascii="宋体" w:hAnsi="宋体" w:cs="宋体"/>
                <w:kern w:val="0"/>
                <w:sz w:val="24"/>
              </w:rPr>
              <w:t>其他未列明行业</w:t>
            </w:r>
          </w:p>
        </w:tc>
        <w:tc>
          <w:tcPr>
            <w:tcW w:w="40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10</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5"/>
            <w:shd w:val="clear" w:color="auto" w:fill="D9D9D9"/>
            <w:vAlign w:val="center"/>
          </w:tcPr>
          <w:p>
            <w:pPr>
              <w:autoSpaceDE w:val="0"/>
              <w:autoSpaceDN w:val="0"/>
              <w:adjustRightInd w:val="0"/>
              <w:snapToGrid w:val="0"/>
              <w:jc w:val="center"/>
              <w:rPr>
                <w:rFonts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50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序号</w:t>
            </w:r>
          </w:p>
        </w:tc>
        <w:tc>
          <w:tcPr>
            <w:tcW w:w="836"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内容</w:t>
            </w:r>
          </w:p>
        </w:tc>
        <w:tc>
          <w:tcPr>
            <w:tcW w:w="2802"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评分规则</w:t>
            </w:r>
          </w:p>
        </w:tc>
        <w:tc>
          <w:tcPr>
            <w:tcW w:w="403"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rPr>
              <w:t>权重</w:t>
            </w:r>
          </w:p>
        </w:tc>
        <w:tc>
          <w:tcPr>
            <w:tcW w:w="604"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1</w:t>
            </w:r>
          </w:p>
        </w:tc>
        <w:tc>
          <w:tcPr>
            <w:tcW w:w="836" w:type="pct"/>
            <w:vAlign w:val="center"/>
          </w:tcPr>
          <w:p>
            <w:pPr>
              <w:adjustRightInd w:val="0"/>
              <w:snapToGrid w:val="0"/>
              <w:jc w:val="center"/>
              <w:rPr>
                <w:rFonts w:ascii="宋体" w:hAnsi="宋体" w:cs="宋体"/>
                <w:sz w:val="24"/>
                <w:lang w:val="zh-CN"/>
              </w:rPr>
            </w:pPr>
            <w:r>
              <w:rPr>
                <w:rFonts w:hint="eastAsia" w:ascii="宋体" w:hAnsi="宋体" w:cs="宋体"/>
                <w:sz w:val="24"/>
              </w:rPr>
              <w:t>同类项目业绩</w:t>
            </w:r>
          </w:p>
        </w:tc>
        <w:tc>
          <w:tcPr>
            <w:tcW w:w="2802" w:type="pct"/>
            <w:vAlign w:val="center"/>
          </w:tcPr>
          <w:p>
            <w:pPr>
              <w:adjustRightInd w:val="0"/>
              <w:snapToGrid w:val="0"/>
              <w:rPr>
                <w:rFonts w:ascii="宋体" w:hAnsi="宋体" w:cs="宋体"/>
                <w:sz w:val="24"/>
              </w:rPr>
            </w:pPr>
            <w:r>
              <w:rPr>
                <w:rFonts w:hint="eastAsia" w:ascii="宋体" w:hAnsi="宋体" w:cs="宋体"/>
                <w:sz w:val="24"/>
              </w:rPr>
              <w:t>（一）评分内容：</w:t>
            </w:r>
          </w:p>
          <w:p>
            <w:pPr>
              <w:adjustRightInd w:val="0"/>
              <w:snapToGrid w:val="0"/>
              <w:rPr>
                <w:rFonts w:ascii="宋体" w:hAnsi="宋体" w:cs="宋体"/>
                <w:sz w:val="24"/>
                <w:lang w:val="zh-CN"/>
              </w:rPr>
            </w:pPr>
            <w:r>
              <w:rPr>
                <w:rFonts w:hint="eastAsia" w:ascii="宋体" w:hAnsi="宋体" w:cs="宋体"/>
                <w:sz w:val="24"/>
              </w:rPr>
              <w:t>自</w:t>
            </w:r>
            <w:r>
              <w:rPr>
                <w:rFonts w:ascii="宋体" w:hAnsi="宋体" w:cs="宋体"/>
                <w:sz w:val="24"/>
              </w:rPr>
              <w:t>2020</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30</w:t>
            </w:r>
            <w:r>
              <w:rPr>
                <w:rFonts w:hint="eastAsia" w:ascii="宋体" w:hAnsi="宋体" w:cs="宋体"/>
                <w:sz w:val="24"/>
              </w:rPr>
              <w:t>日</w:t>
            </w:r>
            <w:r>
              <w:rPr>
                <w:rFonts w:hint="eastAsia" w:ascii="宋体" w:hAnsi="宋体" w:cs="宋体"/>
                <w:sz w:val="24"/>
                <w:lang w:val="zh-CN"/>
              </w:rPr>
              <w:t>至本项目投标截止时间（以合同签订时间为准），投标人</w:t>
            </w:r>
            <w:r>
              <w:rPr>
                <w:rFonts w:hint="eastAsia" w:ascii="宋体" w:hAnsi="宋体" w:cs="宋体"/>
                <w:sz w:val="24"/>
              </w:rPr>
              <w:t>为</w:t>
            </w:r>
            <w:r>
              <w:rPr>
                <w:rFonts w:hint="eastAsia" w:ascii="宋体" w:hAnsi="宋体" w:cs="宋体"/>
                <w:sz w:val="24"/>
                <w:lang w:val="zh-CN"/>
              </w:rPr>
              <w:t>副省级以上（含副省级）城市相关职能部门</w:t>
            </w:r>
            <w:r>
              <w:rPr>
                <w:rFonts w:hint="eastAsia" w:ascii="宋体" w:hAnsi="宋体" w:cs="宋体"/>
                <w:sz w:val="24"/>
              </w:rPr>
              <w:t>提供过改革开放、深港合作、经济社会发展等相关领域综合评估或课题研究项目经验</w:t>
            </w:r>
            <w:r>
              <w:rPr>
                <w:rFonts w:hint="eastAsia" w:ascii="宋体" w:hAnsi="宋体" w:cs="宋体"/>
                <w:sz w:val="24"/>
                <w:lang w:val="zh-CN"/>
              </w:rPr>
              <w:t>，每提供一项得2分；</w:t>
            </w:r>
            <w:r>
              <w:rPr>
                <w:rFonts w:hint="eastAsia" w:ascii="宋体" w:hAnsi="宋体" w:cs="宋体"/>
                <w:sz w:val="24"/>
              </w:rPr>
              <w:t>为省级</w:t>
            </w:r>
            <w:r>
              <w:rPr>
                <w:rFonts w:hint="eastAsia" w:ascii="宋体" w:hAnsi="宋体" w:cs="宋体"/>
                <w:sz w:val="24"/>
                <w:lang w:val="zh-CN"/>
              </w:rPr>
              <w:t>相关职能部门</w:t>
            </w:r>
            <w:r>
              <w:rPr>
                <w:rFonts w:hint="eastAsia" w:ascii="宋体" w:hAnsi="宋体" w:cs="宋体"/>
                <w:sz w:val="24"/>
              </w:rPr>
              <w:t>提供过上述相关领域综合评估或课题研究经验</w:t>
            </w:r>
            <w:r>
              <w:rPr>
                <w:rFonts w:hint="eastAsia" w:ascii="宋体" w:hAnsi="宋体" w:cs="宋体"/>
                <w:sz w:val="24"/>
                <w:lang w:val="zh-CN"/>
              </w:rPr>
              <w:t>项目，每提供一项得3分；</w:t>
            </w:r>
            <w:r>
              <w:rPr>
                <w:rFonts w:hint="eastAsia" w:ascii="宋体" w:hAnsi="宋体" w:cs="宋体"/>
                <w:sz w:val="24"/>
              </w:rPr>
              <w:t>为</w:t>
            </w:r>
            <w:r>
              <w:rPr>
                <w:rFonts w:hint="eastAsia" w:ascii="宋体" w:hAnsi="宋体" w:cs="宋体"/>
                <w:sz w:val="24"/>
                <w:lang w:val="zh-CN"/>
              </w:rPr>
              <w:t>国家部委（含下属司）</w:t>
            </w:r>
            <w:r>
              <w:rPr>
                <w:rFonts w:hint="eastAsia" w:ascii="宋体" w:hAnsi="宋体" w:cs="宋体"/>
                <w:sz w:val="24"/>
              </w:rPr>
              <w:t>提供过上述相关领域综合评估或课题研究经验</w:t>
            </w:r>
            <w:r>
              <w:rPr>
                <w:rFonts w:hint="eastAsia" w:ascii="宋体" w:hAnsi="宋体" w:cs="宋体"/>
                <w:sz w:val="24"/>
                <w:lang w:val="zh-CN"/>
              </w:rPr>
              <w:t>项目，每提供一项得5分。累计最高得10分。</w:t>
            </w:r>
          </w:p>
          <w:p>
            <w:pPr>
              <w:adjustRightInd w:val="0"/>
              <w:snapToGrid w:val="0"/>
              <w:rPr>
                <w:rFonts w:ascii="宋体" w:hAnsi="宋体" w:cs="宋体"/>
                <w:sz w:val="24"/>
              </w:rPr>
            </w:pPr>
            <w:r>
              <w:rPr>
                <w:rFonts w:hint="eastAsia" w:ascii="宋体" w:hAnsi="宋体" w:cs="宋体"/>
                <w:sz w:val="24"/>
              </w:rPr>
              <w:t>（二）评分依据：</w:t>
            </w:r>
          </w:p>
          <w:p>
            <w:pPr>
              <w:adjustRightInd w:val="0"/>
              <w:snapToGrid w:val="0"/>
              <w:rPr>
                <w:rFonts w:ascii="宋体" w:hAnsi="宋体" w:cs="宋体"/>
                <w:sz w:val="24"/>
              </w:rPr>
            </w:pPr>
            <w:r>
              <w:rPr>
                <w:rFonts w:hint="eastAsia" w:ascii="宋体" w:hAnsi="宋体" w:cs="宋体"/>
                <w:sz w:val="24"/>
              </w:rPr>
              <w:t>1.投标人必须提供项目合同关键页复印件作为证明文件（包含甲乙方名称、项目名称、签订时间、盖章等），合同签订时间为</w:t>
            </w:r>
            <w:r>
              <w:rPr>
                <w:rFonts w:ascii="宋体" w:hAnsi="宋体" w:cs="宋体"/>
                <w:sz w:val="24"/>
              </w:rPr>
              <w:t>2020</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30</w:t>
            </w:r>
            <w:r>
              <w:rPr>
                <w:rFonts w:hint="eastAsia" w:ascii="宋体" w:hAnsi="宋体" w:cs="宋体"/>
                <w:sz w:val="24"/>
              </w:rPr>
              <w:t>日至投标截止时间前，原件备查。评分中出现无证明资料或专家无法凭所提供资料判断是否得分的情况，一律作不得分处理</w:t>
            </w:r>
            <w:r>
              <w:rPr>
                <w:rFonts w:hint="eastAsia" w:ascii="宋体" w:hAnsi="宋体" w:cs="宋体"/>
                <w:kern w:val="0"/>
                <w:sz w:val="24"/>
                <w:lang w:val="zh-CN"/>
              </w:rPr>
              <w:t>。</w:t>
            </w:r>
          </w:p>
          <w:p>
            <w:pPr>
              <w:adjustRightInd w:val="0"/>
              <w:snapToGrid w:val="0"/>
              <w:rPr>
                <w:rFonts w:hint="eastAsia" w:ascii="宋体" w:hAnsi="宋体" w:cs="宋体"/>
                <w:sz w:val="24"/>
              </w:rPr>
            </w:pPr>
            <w:r>
              <w:rPr>
                <w:rFonts w:hint="eastAsia" w:ascii="宋体" w:hAnsi="宋体" w:cs="宋体"/>
                <w:sz w:val="24"/>
              </w:rPr>
              <w:t>2.需提供业绩一览表（格式自拟），同一项目业绩不重复计分。</w:t>
            </w:r>
          </w:p>
          <w:p>
            <w:pPr>
              <w:adjustRightInd w:val="0"/>
              <w:snapToGrid w:val="0"/>
              <w:rPr>
                <w:rFonts w:hint="eastAsia" w:ascii="宋体" w:hAnsi="宋体" w:cs="宋体"/>
                <w:sz w:val="24"/>
                <w:lang w:val="zh-CN"/>
              </w:rPr>
            </w:pPr>
            <w:r>
              <w:rPr>
                <w:rFonts w:hint="eastAsia" w:ascii="宋体" w:hAnsi="宋体" w:cs="宋体"/>
                <w:sz w:val="24"/>
                <w:lang w:val="zh-CN"/>
              </w:rPr>
              <w:t>3.副省级（或以上）城市指：4个直辖市（北京、上海、天津、重庆）以及15个副省级城市（广州、武汉、哈尔滨、沈阳、成都、南京、西安、长春、济南、杭州、大连、青岛、深圳、厦门、宁波）。</w:t>
            </w:r>
          </w:p>
        </w:tc>
        <w:tc>
          <w:tcPr>
            <w:tcW w:w="403" w:type="pct"/>
            <w:vAlign w:val="center"/>
          </w:tcPr>
          <w:p>
            <w:pPr>
              <w:adjustRightInd w:val="0"/>
              <w:snapToGrid w:val="0"/>
              <w:jc w:val="center"/>
              <w:rPr>
                <w:rFonts w:ascii="宋体" w:hAnsi="宋体" w:cs="宋体"/>
                <w:sz w:val="24"/>
              </w:rPr>
            </w:pPr>
            <w:r>
              <w:rPr>
                <w:rFonts w:hint="eastAsia" w:ascii="宋体" w:hAnsi="宋体" w:cs="宋体"/>
                <w:sz w:val="24"/>
              </w:rPr>
              <w:t>10</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9"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2</w:t>
            </w:r>
          </w:p>
        </w:tc>
        <w:tc>
          <w:tcPr>
            <w:tcW w:w="836" w:type="pct"/>
            <w:vAlign w:val="center"/>
          </w:tcPr>
          <w:p>
            <w:pPr>
              <w:adjustRightInd w:val="0"/>
              <w:snapToGrid w:val="0"/>
              <w:jc w:val="center"/>
              <w:rPr>
                <w:rFonts w:ascii="宋体" w:hAnsi="宋体" w:cs="宋体"/>
                <w:sz w:val="24"/>
                <w:lang w:val="zh-CN"/>
              </w:rPr>
            </w:pPr>
            <w:r>
              <w:rPr>
                <w:rFonts w:hint="eastAsia" w:ascii="宋体" w:hAnsi="宋体" w:cs="宋体"/>
                <w:sz w:val="24"/>
              </w:rPr>
              <w:t>获奖情况</w:t>
            </w:r>
          </w:p>
        </w:tc>
        <w:tc>
          <w:tcPr>
            <w:tcW w:w="2802" w:type="pct"/>
            <w:vAlign w:val="center"/>
          </w:tcPr>
          <w:p>
            <w:pPr>
              <w:adjustRightInd w:val="0"/>
              <w:snapToGrid w:val="0"/>
              <w:rPr>
                <w:rFonts w:ascii="宋体" w:hAnsi="宋体" w:cs="宋体"/>
                <w:sz w:val="24"/>
              </w:rPr>
            </w:pPr>
            <w:r>
              <w:rPr>
                <w:rFonts w:hint="eastAsia" w:ascii="宋体" w:hAnsi="宋体" w:cs="宋体"/>
                <w:sz w:val="24"/>
              </w:rPr>
              <w:t>（一）评分内容：</w:t>
            </w:r>
          </w:p>
          <w:p>
            <w:pPr>
              <w:adjustRightInd w:val="0"/>
              <w:snapToGrid w:val="0"/>
              <w:rPr>
                <w:rFonts w:ascii="宋体" w:hAnsi="宋体" w:cs="宋体"/>
                <w:sz w:val="24"/>
              </w:rPr>
            </w:pPr>
            <w:r>
              <w:rPr>
                <w:rFonts w:hint="eastAsia" w:ascii="宋体" w:hAnsi="宋体" w:cs="宋体"/>
                <w:sz w:val="24"/>
              </w:rPr>
              <w:t>投标人获得过改革开放、深港合作、经济社会发展等相关领域综合评估或课题研究项目市级或以上奖励或表彰，</w:t>
            </w:r>
            <w:r>
              <w:rPr>
                <w:rFonts w:hint="eastAsia" w:ascii="宋体" w:hAnsi="宋体" w:cs="宋体"/>
                <w:sz w:val="24"/>
                <w:lang w:val="zh-CN"/>
              </w:rPr>
              <w:t>每提供一项</w:t>
            </w:r>
            <w:r>
              <w:rPr>
                <w:rFonts w:hint="eastAsia" w:ascii="宋体" w:hAnsi="宋体" w:cs="宋体"/>
                <w:sz w:val="24"/>
              </w:rPr>
              <w:t>市级得1分，</w:t>
            </w:r>
            <w:r>
              <w:rPr>
                <w:rFonts w:hint="eastAsia" w:ascii="宋体" w:hAnsi="宋体" w:cs="宋体"/>
                <w:sz w:val="24"/>
                <w:lang w:val="zh-CN"/>
              </w:rPr>
              <w:t>每提供一项</w:t>
            </w:r>
            <w:r>
              <w:rPr>
                <w:rFonts w:hint="eastAsia" w:ascii="宋体" w:hAnsi="宋体" w:cs="宋体"/>
                <w:sz w:val="24"/>
              </w:rPr>
              <w:t>省级得2分，每提供一项国家级得4分</w:t>
            </w:r>
            <w:r>
              <w:rPr>
                <w:rFonts w:hint="eastAsia" w:ascii="宋体" w:hAnsi="宋体" w:cs="宋体"/>
                <w:sz w:val="24"/>
                <w:lang w:val="zh-CN"/>
              </w:rPr>
              <w:t>。累计最高得</w:t>
            </w:r>
            <w:r>
              <w:rPr>
                <w:rFonts w:hint="eastAsia" w:ascii="宋体" w:hAnsi="宋体" w:cs="宋体"/>
                <w:sz w:val="24"/>
              </w:rPr>
              <w:t>7分。</w:t>
            </w:r>
          </w:p>
          <w:p>
            <w:pPr>
              <w:adjustRightInd w:val="0"/>
              <w:snapToGrid w:val="0"/>
              <w:rPr>
                <w:rFonts w:ascii="宋体" w:hAnsi="宋体" w:cs="宋体"/>
                <w:sz w:val="24"/>
              </w:rPr>
            </w:pPr>
            <w:r>
              <w:rPr>
                <w:rFonts w:hint="eastAsia" w:ascii="宋体" w:hAnsi="宋体" w:cs="宋体"/>
                <w:sz w:val="24"/>
              </w:rPr>
              <w:t>（二）评分依据：</w:t>
            </w:r>
          </w:p>
          <w:p>
            <w:pPr>
              <w:adjustRightInd w:val="0"/>
              <w:snapToGrid w:val="0"/>
              <w:rPr>
                <w:rFonts w:ascii="宋体" w:hAnsi="宋体" w:cs="宋体"/>
                <w:sz w:val="24"/>
                <w:lang w:val="zh-CN"/>
              </w:rPr>
            </w:pPr>
            <w:r>
              <w:rPr>
                <w:rFonts w:hint="eastAsia" w:ascii="宋体" w:hAnsi="宋体" w:cs="宋体"/>
                <w:sz w:val="24"/>
              </w:rPr>
              <w:t>1.</w:t>
            </w:r>
            <w:r>
              <w:rPr>
                <w:rFonts w:hint="eastAsia" w:ascii="宋体" w:hAnsi="宋体" w:cs="宋体"/>
                <w:sz w:val="24"/>
                <w:lang w:val="zh-CN"/>
              </w:rPr>
              <w:t>提供相关奖励或表彰证明文件复印件或扫描件，加盖投标人单位公章。</w:t>
            </w:r>
          </w:p>
          <w:p>
            <w:pPr>
              <w:adjustRightInd w:val="0"/>
              <w:snapToGrid w:val="0"/>
              <w:rPr>
                <w:lang w:val="zh-CN"/>
              </w:rPr>
            </w:pPr>
            <w:r>
              <w:rPr>
                <w:rFonts w:hint="eastAsia" w:ascii="宋体" w:hAnsi="宋体" w:cs="宋体"/>
                <w:sz w:val="24"/>
                <w:lang w:val="zh-CN"/>
              </w:rPr>
              <w:t>2.同一项目</w:t>
            </w:r>
            <w:r>
              <w:rPr>
                <w:rFonts w:hint="eastAsia" w:ascii="宋体" w:hAnsi="宋体" w:cs="宋体"/>
                <w:sz w:val="24"/>
                <w:lang w:val="en-US" w:eastAsia="zh-CN"/>
              </w:rPr>
              <w:t>获奖</w:t>
            </w:r>
            <w:r>
              <w:rPr>
                <w:rFonts w:hint="eastAsia" w:ascii="宋体" w:hAnsi="宋体" w:cs="宋体"/>
                <w:sz w:val="24"/>
                <w:lang w:val="zh-CN"/>
              </w:rPr>
              <w:t>不重复计分。</w:t>
            </w:r>
          </w:p>
        </w:tc>
        <w:tc>
          <w:tcPr>
            <w:tcW w:w="403" w:type="pct"/>
            <w:vAlign w:val="center"/>
          </w:tcPr>
          <w:p>
            <w:pPr>
              <w:adjustRightInd w:val="0"/>
              <w:snapToGrid w:val="0"/>
              <w:jc w:val="center"/>
              <w:rPr>
                <w:rFonts w:ascii="宋体" w:hAnsi="宋体" w:cs="宋体"/>
                <w:sz w:val="24"/>
                <w:lang w:val="zh-CN"/>
              </w:rPr>
            </w:pPr>
            <w:r>
              <w:rPr>
                <w:rFonts w:hint="eastAsia" w:ascii="宋体" w:hAnsi="宋体" w:cs="宋体"/>
                <w:sz w:val="24"/>
              </w:rPr>
              <w:t>7</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3</w:t>
            </w:r>
          </w:p>
        </w:tc>
        <w:tc>
          <w:tcPr>
            <w:tcW w:w="836" w:type="pct"/>
            <w:vAlign w:val="center"/>
          </w:tcPr>
          <w:p>
            <w:pPr>
              <w:adjustRightInd w:val="0"/>
              <w:snapToGrid w:val="0"/>
              <w:jc w:val="center"/>
              <w:rPr>
                <w:rFonts w:ascii="宋体" w:hAnsi="宋体" w:cs="宋体"/>
                <w:sz w:val="24"/>
                <w:lang w:val="sq-AL"/>
              </w:rPr>
            </w:pPr>
            <w:r>
              <w:rPr>
                <w:rFonts w:hint="eastAsia" w:ascii="宋体" w:hAnsi="宋体" w:cs="宋体"/>
                <w:sz w:val="24"/>
              </w:rPr>
              <w:t>项目负责人情况</w:t>
            </w:r>
          </w:p>
        </w:tc>
        <w:tc>
          <w:tcPr>
            <w:tcW w:w="2802" w:type="pct"/>
            <w:vAlign w:val="center"/>
          </w:tcPr>
          <w:p>
            <w:pPr>
              <w:adjustRightInd w:val="0"/>
              <w:snapToGrid w:val="0"/>
              <w:rPr>
                <w:rFonts w:ascii="宋体" w:hAnsi="宋体" w:cs="宋体"/>
                <w:sz w:val="24"/>
              </w:rPr>
            </w:pPr>
            <w:r>
              <w:rPr>
                <w:rFonts w:hint="eastAsia" w:ascii="宋体" w:hAnsi="宋体" w:cs="宋体"/>
                <w:sz w:val="24"/>
              </w:rPr>
              <w:t>（一）评分内容：</w:t>
            </w:r>
          </w:p>
          <w:p>
            <w:pPr>
              <w:adjustRightInd w:val="0"/>
              <w:snapToGrid w:val="0"/>
              <w:rPr>
                <w:rFonts w:ascii="宋体" w:hAnsi="宋体" w:cs="宋体"/>
                <w:sz w:val="24"/>
              </w:rPr>
            </w:pPr>
            <w:r>
              <w:rPr>
                <w:rFonts w:hint="eastAsia" w:ascii="宋体" w:hAnsi="宋体" w:cs="宋体"/>
                <w:sz w:val="24"/>
              </w:rPr>
              <w:t>项目负责人仅限1人，需为投标人自有员工，否则本项不得分。</w:t>
            </w:r>
          </w:p>
          <w:p>
            <w:pPr>
              <w:adjustRightInd w:val="0"/>
              <w:snapToGrid w:val="0"/>
              <w:rPr>
                <w:rFonts w:ascii="宋体" w:hAnsi="宋体" w:cs="宋体"/>
                <w:sz w:val="24"/>
              </w:rPr>
            </w:pPr>
            <w:r>
              <w:rPr>
                <w:rFonts w:hint="eastAsia" w:ascii="宋体" w:hAnsi="宋体" w:cs="宋体"/>
                <w:sz w:val="24"/>
              </w:rPr>
              <w:t>（1）学历：具备研究生学历的，得4分；具备本科学历的，得2分。本项最高得4分。</w:t>
            </w:r>
          </w:p>
          <w:p>
            <w:pPr>
              <w:adjustRightInd w:val="0"/>
              <w:snapToGrid w:val="0"/>
              <w:rPr>
                <w:rFonts w:ascii="宋体" w:hAnsi="宋体" w:cs="宋体"/>
                <w:sz w:val="24"/>
              </w:rPr>
            </w:pPr>
            <w:r>
              <w:rPr>
                <w:rFonts w:hint="eastAsia" w:ascii="宋体" w:hAnsi="宋体" w:cs="宋体"/>
                <w:sz w:val="24"/>
              </w:rPr>
              <w:t>（2）项目经验：</w:t>
            </w:r>
            <w:r>
              <w:rPr>
                <w:rFonts w:ascii="宋体" w:hAnsi="宋体" w:cs="宋体"/>
                <w:sz w:val="24"/>
              </w:rPr>
              <w:t>2020年9</w:t>
            </w:r>
            <w:r>
              <w:rPr>
                <w:rFonts w:hint="eastAsia" w:ascii="宋体" w:hAnsi="宋体" w:cs="宋体"/>
                <w:sz w:val="24"/>
              </w:rPr>
              <w:t>月</w:t>
            </w:r>
            <w:r>
              <w:rPr>
                <w:rFonts w:ascii="宋体" w:hAnsi="宋体" w:cs="宋体"/>
                <w:sz w:val="24"/>
              </w:rPr>
              <w:t>30</w:t>
            </w:r>
            <w:r>
              <w:rPr>
                <w:rFonts w:hint="eastAsia" w:ascii="宋体" w:hAnsi="宋体" w:cs="宋体"/>
                <w:sz w:val="24"/>
              </w:rPr>
              <w:t>日至本项目投标截止时间（以合同签订时间为准）主持完成过改革开放、深港合作、经济社会发展等相关领域综合评估或课题研究市级项目得1分，主持完成过上述相关领域省级项目得3分，主持完成过上述相关领域国家级项目得6分</w:t>
            </w:r>
            <w:r>
              <w:rPr>
                <w:rFonts w:hint="eastAsia" w:ascii="宋体" w:hAnsi="宋体" w:cs="宋体"/>
                <w:sz w:val="24"/>
                <w:lang w:val="zh-CN"/>
              </w:rPr>
              <w:t>。累计最高得</w:t>
            </w:r>
            <w:r>
              <w:rPr>
                <w:rFonts w:hint="eastAsia" w:ascii="宋体" w:hAnsi="宋体" w:cs="宋体"/>
                <w:sz w:val="24"/>
              </w:rPr>
              <w:t>6分。</w:t>
            </w:r>
          </w:p>
          <w:p>
            <w:pPr>
              <w:adjustRightInd w:val="0"/>
              <w:snapToGrid w:val="0"/>
              <w:rPr>
                <w:rFonts w:ascii="宋体" w:hAnsi="宋体" w:cs="宋体"/>
                <w:sz w:val="24"/>
              </w:rPr>
            </w:pPr>
            <w:r>
              <w:rPr>
                <w:rFonts w:hint="eastAsia" w:ascii="宋体" w:hAnsi="宋体" w:cs="宋体"/>
                <w:sz w:val="24"/>
              </w:rPr>
              <w:t>（二）评分依据：</w:t>
            </w:r>
          </w:p>
          <w:p>
            <w:pPr>
              <w:adjustRightInd w:val="0"/>
              <w:snapToGrid w:val="0"/>
              <w:rPr>
                <w:rFonts w:ascii="宋体" w:hAnsi="宋体" w:cs="宋体"/>
                <w:sz w:val="24"/>
              </w:rPr>
            </w:pPr>
            <w:r>
              <w:rPr>
                <w:rFonts w:hint="eastAsia" w:ascii="宋体" w:hAnsi="宋体" w:cs="宋体"/>
                <w:sz w:val="24"/>
              </w:rPr>
              <w:t>1.项目负责人需提供近3个月</w:t>
            </w:r>
            <w:r>
              <w:rPr>
                <w:rFonts w:hint="eastAsia" w:ascii="宋体" w:hAnsi="宋体" w:cs="宋体"/>
                <w:sz w:val="24"/>
                <w:lang w:val="en-US" w:eastAsia="zh-CN"/>
              </w:rPr>
              <w:t>任意一个月</w:t>
            </w:r>
            <w:r>
              <w:rPr>
                <w:rFonts w:hint="eastAsia" w:ascii="宋体" w:hAnsi="宋体" w:cs="宋体"/>
                <w:sz w:val="24"/>
              </w:rPr>
              <w:t>（</w:t>
            </w:r>
            <w:r>
              <w:rPr>
                <w:rFonts w:ascii="宋体" w:hAnsi="宋体" w:cs="宋体"/>
                <w:sz w:val="24"/>
              </w:rPr>
              <w:t>2023年7</w:t>
            </w:r>
            <w:r>
              <w:rPr>
                <w:rFonts w:hint="eastAsia" w:ascii="宋体" w:hAnsi="宋体" w:cs="宋体"/>
                <w:sz w:val="24"/>
              </w:rPr>
              <w:t>月至</w:t>
            </w:r>
            <w:r>
              <w:rPr>
                <w:rFonts w:ascii="宋体" w:hAnsi="宋体" w:cs="宋体"/>
                <w:sz w:val="24"/>
              </w:rPr>
              <w:t>2023年9</w:t>
            </w:r>
            <w:r>
              <w:rPr>
                <w:rFonts w:hint="eastAsia" w:ascii="宋体" w:hAnsi="宋体" w:cs="宋体"/>
                <w:sz w:val="24"/>
              </w:rPr>
              <w:t>月）在投标单位缴纳的社保证明（新成立的投标人提供自成立以来的社保证明）、学历证明复印件需加盖公章作为证明文件、项目经验需提供合同关键页</w:t>
            </w:r>
            <w:r>
              <w:rPr>
                <w:rFonts w:hint="eastAsia" w:ascii="宋体" w:hAnsi="宋体" w:cs="宋体"/>
                <w:sz w:val="24"/>
                <w:lang w:eastAsia="zh-CN"/>
              </w:rPr>
              <w:t>（</w:t>
            </w:r>
            <w:r>
              <w:rPr>
                <w:rFonts w:hint="eastAsia" w:ascii="宋体" w:hAnsi="宋体" w:cs="宋体"/>
                <w:sz w:val="24"/>
              </w:rPr>
              <w:t>体现人员名称</w:t>
            </w:r>
            <w:r>
              <w:rPr>
                <w:rFonts w:hint="eastAsia" w:ascii="宋体" w:hAnsi="宋体" w:cs="宋体"/>
                <w:sz w:val="24"/>
                <w:lang w:eastAsia="zh-CN"/>
              </w:rPr>
              <w:t>）</w:t>
            </w:r>
            <w:r>
              <w:rPr>
                <w:rFonts w:hint="eastAsia" w:ascii="宋体" w:hAnsi="宋体" w:cs="宋体"/>
                <w:sz w:val="24"/>
              </w:rPr>
              <w:t>复印件证明，合同关键页若不能体现项目成员的业绩，可提供委托单位开具的书面证明）。评分中出现无证明资料或专家无法凭所提供资料判断是否得分的情况，一律作不得分处理。</w:t>
            </w:r>
          </w:p>
          <w:p>
            <w:pPr>
              <w:adjustRightInd w:val="0"/>
              <w:snapToGrid w:val="0"/>
              <w:rPr>
                <w:rFonts w:ascii="宋体" w:hAnsi="宋体" w:cs="宋体"/>
                <w:sz w:val="24"/>
              </w:rPr>
            </w:pPr>
            <w:r>
              <w:rPr>
                <w:rFonts w:hint="eastAsia" w:ascii="宋体" w:hAnsi="宋体" w:cs="宋体"/>
                <w:sz w:val="24"/>
              </w:rPr>
              <w:t>2.学历证明需提供毕业证书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复印件加盖公章，原件备查。</w:t>
            </w:r>
          </w:p>
          <w:p>
            <w:pPr>
              <w:adjustRightInd w:val="0"/>
              <w:snapToGrid w:val="0"/>
              <w:rPr>
                <w:rFonts w:ascii="宋体" w:hAnsi="宋体" w:cs="宋体"/>
                <w:sz w:val="24"/>
              </w:rPr>
            </w:pPr>
            <w:r>
              <w:rPr>
                <w:rFonts w:hint="eastAsia" w:ascii="宋体" w:hAnsi="宋体" w:cs="宋体"/>
                <w:sz w:val="24"/>
              </w:rPr>
              <w:t>3.以上所有资料均加盖投标人公章。</w:t>
            </w:r>
          </w:p>
        </w:tc>
        <w:tc>
          <w:tcPr>
            <w:tcW w:w="403" w:type="pct"/>
            <w:vAlign w:val="center"/>
          </w:tcPr>
          <w:p>
            <w:pPr>
              <w:adjustRightInd w:val="0"/>
              <w:snapToGrid w:val="0"/>
              <w:jc w:val="center"/>
              <w:rPr>
                <w:rFonts w:ascii="宋体" w:hAnsi="宋体" w:cs="宋体"/>
                <w:sz w:val="24"/>
              </w:rPr>
            </w:pPr>
            <w:r>
              <w:rPr>
                <w:rFonts w:hint="eastAsia" w:ascii="宋体" w:hAnsi="宋体" w:cs="宋体"/>
                <w:sz w:val="24"/>
              </w:rPr>
              <w:t>10</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4</w:t>
            </w:r>
          </w:p>
        </w:tc>
        <w:tc>
          <w:tcPr>
            <w:tcW w:w="836" w:type="pct"/>
            <w:vAlign w:val="center"/>
          </w:tcPr>
          <w:p>
            <w:pPr>
              <w:adjustRightInd w:val="0"/>
              <w:snapToGrid w:val="0"/>
              <w:jc w:val="center"/>
              <w:rPr>
                <w:rFonts w:ascii="宋体" w:hAnsi="宋体" w:cs="宋体"/>
                <w:sz w:val="24"/>
                <w:lang w:val="zh-CN"/>
              </w:rPr>
            </w:pPr>
            <w:r>
              <w:rPr>
                <w:rFonts w:hint="eastAsia" w:ascii="宋体" w:hAnsi="宋体" w:cs="宋体"/>
                <w:sz w:val="24"/>
              </w:rPr>
              <w:t>项目研究团队情况</w:t>
            </w:r>
          </w:p>
        </w:tc>
        <w:tc>
          <w:tcPr>
            <w:tcW w:w="2802" w:type="pct"/>
            <w:vAlign w:val="center"/>
          </w:tcPr>
          <w:p>
            <w:pPr>
              <w:adjustRightInd w:val="0"/>
              <w:snapToGrid w:val="0"/>
              <w:rPr>
                <w:rFonts w:ascii="宋体" w:hAnsi="宋体" w:cs="宋体"/>
                <w:sz w:val="24"/>
              </w:rPr>
            </w:pPr>
            <w:r>
              <w:rPr>
                <w:rFonts w:hint="eastAsia" w:ascii="宋体" w:hAnsi="宋体" w:cs="宋体"/>
                <w:sz w:val="24"/>
              </w:rPr>
              <w:t>（一）评分内容：</w:t>
            </w:r>
          </w:p>
          <w:p>
            <w:pPr>
              <w:adjustRightInd w:val="0"/>
              <w:snapToGrid w:val="0"/>
              <w:rPr>
                <w:rFonts w:ascii="宋体" w:hAnsi="宋体" w:cs="宋体"/>
                <w:sz w:val="24"/>
              </w:rPr>
            </w:pPr>
            <w:r>
              <w:rPr>
                <w:rFonts w:hint="eastAsia" w:ascii="宋体" w:hAnsi="宋体" w:cs="宋体"/>
                <w:sz w:val="24"/>
              </w:rPr>
              <w:t>项目研究团队（除项目负责人外）不少于6人，具体评分如下。</w:t>
            </w:r>
          </w:p>
          <w:p>
            <w:pPr>
              <w:adjustRightInd w:val="0"/>
              <w:snapToGrid w:val="0"/>
              <w:rPr>
                <w:rFonts w:ascii="宋体" w:hAnsi="宋体" w:cs="宋体"/>
                <w:sz w:val="24"/>
              </w:rPr>
            </w:pPr>
            <w:r>
              <w:rPr>
                <w:rFonts w:hint="eastAsia" w:ascii="宋体" w:hAnsi="宋体" w:cs="宋体"/>
                <w:sz w:val="24"/>
              </w:rPr>
              <w:t>1.学历：项目成员具备研究生及以上学历的，每提供一人得1分；具备本科学历的，每提供一人得0.5分；</w:t>
            </w:r>
            <w:r>
              <w:rPr>
                <w:rFonts w:hint="eastAsia" w:ascii="宋体" w:hAnsi="宋体" w:cs="宋体"/>
                <w:sz w:val="24"/>
                <w:lang w:val="zh-CN"/>
              </w:rPr>
              <w:t>累计最高得</w:t>
            </w:r>
            <w:r>
              <w:rPr>
                <w:rFonts w:hint="eastAsia" w:ascii="宋体" w:hAnsi="宋体" w:cs="宋体"/>
                <w:sz w:val="24"/>
              </w:rPr>
              <w:t>6分。</w:t>
            </w:r>
          </w:p>
          <w:p>
            <w:pPr>
              <w:adjustRightInd w:val="0"/>
              <w:snapToGrid w:val="0"/>
              <w:rPr>
                <w:rFonts w:ascii="宋体" w:hAnsi="宋体" w:cs="宋体"/>
                <w:sz w:val="24"/>
              </w:rPr>
            </w:pPr>
            <w:r>
              <w:rPr>
                <w:rFonts w:hint="eastAsia" w:ascii="宋体" w:hAnsi="宋体" w:cs="宋体"/>
                <w:sz w:val="24"/>
              </w:rPr>
              <w:t>2.项目经验：每人每提供一项为市级及以上单位提供过改革开放、深港合作、经济社会发展等相关领域综合评估或课题研究的，得2分；为市级及以上单位提供过包括研究公共政策、宏观规划、发展策略、城市治理、政府监管、数字化建设、行政流程优化、引进高端人才等领域政府咨询的，得1分。本项累计最高得12分。</w:t>
            </w:r>
          </w:p>
          <w:p>
            <w:pPr>
              <w:pStyle w:val="9"/>
              <w:adjustRightInd w:val="0"/>
              <w:snapToGrid w:val="0"/>
              <w:spacing w:after="0"/>
              <w:rPr>
                <w:rFonts w:ascii="宋体" w:hAnsi="宋体" w:cs="宋体"/>
              </w:rPr>
            </w:pPr>
            <w:r>
              <w:rPr>
                <w:rFonts w:hint="eastAsia" w:ascii="宋体" w:hAnsi="宋体" w:cs="宋体"/>
              </w:rPr>
              <w:t>（二）评分依据：</w:t>
            </w:r>
          </w:p>
          <w:p>
            <w:pPr>
              <w:adjustRightInd w:val="0"/>
              <w:snapToGrid w:val="0"/>
              <w:rPr>
                <w:rFonts w:ascii="宋体" w:hAnsi="宋体" w:cs="宋体"/>
                <w:sz w:val="24"/>
              </w:rPr>
            </w:pPr>
            <w:r>
              <w:rPr>
                <w:rFonts w:hint="eastAsia" w:ascii="宋体" w:hAnsi="宋体" w:cs="宋体"/>
                <w:sz w:val="24"/>
              </w:rPr>
              <w:t>1.若同一人既有具备市级及以上单位提供过改革开放、深港合作、经济社会发展等相关领域综合评估或课题研究项目经验和具备其他领域政府咨询项目经验则可同时得分。若同项业绩里含多名团队成员，可重复得分。</w:t>
            </w:r>
          </w:p>
          <w:p>
            <w:pPr>
              <w:pStyle w:val="8"/>
              <w:adjustRightInd w:val="0"/>
              <w:snapToGrid w:val="0"/>
              <w:jc w:val="both"/>
              <w:rPr>
                <w:rFonts w:ascii="宋体" w:hAnsi="宋体" w:cs="宋体"/>
                <w:sz w:val="24"/>
              </w:rPr>
            </w:pPr>
            <w:r>
              <w:rPr>
                <w:rFonts w:hint="eastAsia" w:ascii="宋体" w:hAnsi="宋体" w:cs="宋体"/>
                <w:sz w:val="24"/>
              </w:rPr>
              <w:t>2.项目团队成员需提供近3个月</w:t>
            </w:r>
            <w:r>
              <w:rPr>
                <w:rFonts w:hint="eastAsia" w:ascii="宋体" w:hAnsi="宋体" w:cs="宋体"/>
                <w:sz w:val="24"/>
                <w:lang w:val="en-US" w:eastAsia="zh-CN"/>
              </w:rPr>
              <w:t>任意一个月</w:t>
            </w:r>
            <w:r>
              <w:rPr>
                <w:rFonts w:hint="eastAsia" w:ascii="宋体" w:hAnsi="宋体" w:cs="宋体"/>
                <w:sz w:val="24"/>
              </w:rPr>
              <w:t>（</w:t>
            </w:r>
            <w:r>
              <w:rPr>
                <w:rFonts w:ascii="宋体" w:hAnsi="宋体" w:cs="宋体"/>
                <w:sz w:val="24"/>
              </w:rPr>
              <w:t>2023年7</w:t>
            </w:r>
            <w:r>
              <w:rPr>
                <w:rFonts w:hint="eastAsia" w:ascii="宋体" w:hAnsi="宋体" w:cs="宋体"/>
                <w:sz w:val="24"/>
              </w:rPr>
              <w:t>月至2023年</w:t>
            </w:r>
            <w:r>
              <w:rPr>
                <w:rFonts w:ascii="宋体" w:hAnsi="宋体" w:cs="宋体"/>
                <w:sz w:val="24"/>
              </w:rPr>
              <w:t>9</w:t>
            </w:r>
            <w:r>
              <w:rPr>
                <w:rFonts w:hint="eastAsia" w:ascii="宋体" w:hAnsi="宋体" w:cs="宋体"/>
                <w:sz w:val="24"/>
              </w:rPr>
              <w:t>月）在投标单位缴纳的社保证明（新成立的投标人提供自成立以来的社保证明）、学历证明复印件需加盖公章作为证明文件、项目经验需提供合同关键页</w:t>
            </w:r>
            <w:r>
              <w:rPr>
                <w:rFonts w:hint="eastAsia" w:ascii="宋体" w:hAnsi="宋体" w:cs="宋体"/>
                <w:sz w:val="24"/>
                <w:lang w:eastAsia="zh-CN"/>
              </w:rPr>
              <w:t>（</w:t>
            </w:r>
            <w:r>
              <w:rPr>
                <w:rFonts w:hint="eastAsia" w:ascii="宋体" w:hAnsi="宋体" w:cs="宋体"/>
                <w:sz w:val="24"/>
              </w:rPr>
              <w:t>体现人员名称</w:t>
            </w:r>
            <w:r>
              <w:rPr>
                <w:rFonts w:hint="eastAsia" w:ascii="宋体" w:hAnsi="宋体" w:cs="宋体"/>
                <w:sz w:val="24"/>
                <w:lang w:eastAsia="zh-CN"/>
              </w:rPr>
              <w:t>）</w:t>
            </w:r>
            <w:r>
              <w:rPr>
                <w:rFonts w:hint="eastAsia" w:ascii="宋体" w:hAnsi="宋体" w:cs="宋体"/>
                <w:sz w:val="24"/>
              </w:rPr>
              <w:t>复印件证明，合同关键页若不能体现项目成员的业绩，可提供委托单位开具的书面证明）。评分中出现无证明资料或专家无法凭所提供资料判断是否得分的情况，一律作不得分处理。</w:t>
            </w:r>
          </w:p>
          <w:p>
            <w:pPr>
              <w:adjustRightInd w:val="0"/>
              <w:snapToGrid w:val="0"/>
              <w:rPr>
                <w:rFonts w:ascii="宋体" w:hAnsi="宋体" w:cs="宋体"/>
                <w:sz w:val="24"/>
              </w:rPr>
            </w:pPr>
            <w:r>
              <w:rPr>
                <w:rFonts w:hint="eastAsia" w:ascii="宋体" w:hAnsi="宋体" w:cs="宋体"/>
                <w:sz w:val="24"/>
              </w:rPr>
              <w:t>3.学历证明需提供毕业证书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复印件加盖公章，原件备查。</w:t>
            </w:r>
          </w:p>
          <w:p>
            <w:pPr>
              <w:adjustRightInd w:val="0"/>
              <w:snapToGrid w:val="0"/>
              <w:rPr>
                <w:rFonts w:ascii="宋体" w:hAnsi="宋体" w:cs="宋体"/>
                <w:sz w:val="24"/>
              </w:rPr>
            </w:pPr>
            <w:r>
              <w:rPr>
                <w:rFonts w:hint="eastAsia" w:ascii="宋体" w:hAnsi="宋体" w:cs="宋体"/>
                <w:sz w:val="24"/>
              </w:rPr>
              <w:t>4.需提供项目团队成员清单（体现相关学历情况以及相关项目经验，格式自拟）。</w:t>
            </w:r>
          </w:p>
          <w:p>
            <w:pPr>
              <w:adjustRightInd w:val="0"/>
              <w:snapToGrid w:val="0"/>
              <w:rPr>
                <w:rFonts w:ascii="宋体" w:hAnsi="宋体" w:cs="宋体"/>
                <w:sz w:val="24"/>
              </w:rPr>
            </w:pPr>
            <w:r>
              <w:rPr>
                <w:rFonts w:hint="eastAsia" w:ascii="宋体" w:hAnsi="宋体" w:cs="宋体"/>
                <w:sz w:val="24"/>
              </w:rPr>
              <w:t>5.以上所有资料均加盖投标人公章。</w:t>
            </w:r>
          </w:p>
        </w:tc>
        <w:tc>
          <w:tcPr>
            <w:tcW w:w="403" w:type="pct"/>
            <w:vAlign w:val="center"/>
          </w:tcPr>
          <w:p>
            <w:pPr>
              <w:adjustRightInd w:val="0"/>
              <w:snapToGrid w:val="0"/>
              <w:jc w:val="center"/>
              <w:rPr>
                <w:rFonts w:ascii="宋体" w:hAnsi="宋体" w:cs="宋体"/>
                <w:sz w:val="24"/>
              </w:rPr>
            </w:pPr>
            <w:r>
              <w:rPr>
                <w:rFonts w:hint="eastAsia" w:ascii="宋体" w:hAnsi="宋体" w:cs="宋体"/>
                <w:sz w:val="24"/>
              </w:rPr>
              <w:t>18</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5</w:t>
            </w:r>
          </w:p>
        </w:tc>
        <w:tc>
          <w:tcPr>
            <w:tcW w:w="836" w:type="pct"/>
            <w:vAlign w:val="center"/>
          </w:tcPr>
          <w:p>
            <w:pPr>
              <w:autoSpaceDE w:val="0"/>
              <w:autoSpaceDN w:val="0"/>
              <w:adjustRightInd w:val="0"/>
              <w:snapToGrid w:val="0"/>
              <w:jc w:val="center"/>
              <w:rPr>
                <w:rFonts w:ascii="宋体" w:hAnsi="宋体" w:cs="宋体"/>
                <w:b/>
                <w:bCs/>
                <w:sz w:val="24"/>
                <w:highlight w:val="yellow"/>
                <w:lang w:val="sq-AL"/>
              </w:rPr>
            </w:pPr>
            <w:r>
              <w:rPr>
                <w:rFonts w:hint="eastAsia" w:ascii="宋体" w:hAnsi="宋体" w:cs="宋体"/>
                <w:sz w:val="24"/>
              </w:rPr>
              <w:t>诚信管理情况</w:t>
            </w:r>
          </w:p>
        </w:tc>
        <w:tc>
          <w:tcPr>
            <w:tcW w:w="2802" w:type="pct"/>
            <w:vAlign w:val="center"/>
          </w:tcPr>
          <w:p>
            <w:pPr>
              <w:wordWrap w:val="0"/>
              <w:adjustRightInd w:val="0"/>
              <w:snapToGrid w:val="0"/>
              <w:rPr>
                <w:rFonts w:ascii="宋体" w:hAnsi="宋体" w:cs="宋体"/>
                <w:sz w:val="24"/>
              </w:rPr>
            </w:pPr>
            <w:r>
              <w:rPr>
                <w:rFonts w:hint="eastAsia" w:ascii="宋体" w:hAnsi="宋体" w:cs="宋体"/>
                <w:sz w:val="24"/>
              </w:rPr>
              <w:t>投标人在参与政府采购活动中存在诚信相关问题且在主管部门相关处理措施实施期限内的，本项不得分，否则得满分。投标人按招标文件格式要求提供《诚信承诺函》的得满分，其他不得分。</w:t>
            </w:r>
          </w:p>
        </w:tc>
        <w:tc>
          <w:tcPr>
            <w:tcW w:w="403" w:type="pct"/>
            <w:vAlign w:val="center"/>
          </w:tcPr>
          <w:p>
            <w:pPr>
              <w:adjustRightInd w:val="0"/>
              <w:snapToGrid w:val="0"/>
              <w:jc w:val="center"/>
              <w:rPr>
                <w:rFonts w:ascii="宋体" w:hAnsi="宋体" w:cs="宋体"/>
                <w:sz w:val="24"/>
                <w:highlight w:val="yellow"/>
              </w:rPr>
            </w:pPr>
            <w:r>
              <w:rPr>
                <w:rFonts w:hint="eastAsia" w:ascii="宋体" w:hAnsi="宋体" w:cs="宋体"/>
                <w:sz w:val="24"/>
              </w:rPr>
              <w:t>5</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5"/>
            <w:shd w:val="clear" w:color="auto" w:fill="D9D9D9"/>
            <w:vAlign w:val="center"/>
          </w:tcPr>
          <w:p>
            <w:pPr>
              <w:autoSpaceDE w:val="0"/>
              <w:autoSpaceDN w:val="0"/>
              <w:adjustRightInd w:val="0"/>
              <w:snapToGrid w:val="0"/>
              <w:jc w:val="center"/>
              <w:rPr>
                <w:rFonts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序号</w:t>
            </w:r>
          </w:p>
        </w:tc>
        <w:tc>
          <w:tcPr>
            <w:tcW w:w="836"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内容</w:t>
            </w:r>
          </w:p>
        </w:tc>
        <w:tc>
          <w:tcPr>
            <w:tcW w:w="2802"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评分规则</w:t>
            </w:r>
          </w:p>
        </w:tc>
        <w:tc>
          <w:tcPr>
            <w:tcW w:w="403"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rPr>
              <w:t>权重</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1</w:t>
            </w:r>
          </w:p>
        </w:tc>
        <w:tc>
          <w:tcPr>
            <w:tcW w:w="836"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对项目的整体理解</w:t>
            </w:r>
          </w:p>
        </w:tc>
        <w:tc>
          <w:tcPr>
            <w:tcW w:w="2802" w:type="pct"/>
            <w:vAlign w:val="center"/>
          </w:tcPr>
          <w:p>
            <w:pPr>
              <w:wordWrap w:val="0"/>
              <w:adjustRightInd w:val="0"/>
              <w:snapToGrid w:val="0"/>
              <w:rPr>
                <w:rFonts w:ascii="宋体" w:hAnsi="宋体" w:cs="宋体"/>
                <w:sz w:val="24"/>
                <w:lang w:val="zh-CN"/>
              </w:rPr>
            </w:pPr>
            <w:r>
              <w:rPr>
                <w:rFonts w:hint="eastAsia" w:ascii="宋体" w:hAnsi="宋体" w:cs="宋体"/>
                <w:sz w:val="24"/>
                <w:lang w:val="zh-CN"/>
              </w:rPr>
              <w:t>（一）评审内容：</w:t>
            </w:r>
          </w:p>
          <w:p>
            <w:pPr>
              <w:wordWrap w:val="0"/>
              <w:adjustRightInd w:val="0"/>
              <w:snapToGrid w:val="0"/>
              <w:rPr>
                <w:rFonts w:ascii="宋体" w:hAnsi="宋体" w:cs="宋体"/>
                <w:sz w:val="24"/>
              </w:rPr>
            </w:pPr>
            <w:r>
              <w:rPr>
                <w:rFonts w:hint="eastAsia" w:ascii="宋体" w:hAnsi="宋体" w:cs="宋体"/>
                <w:sz w:val="24"/>
              </w:rPr>
              <w:t>考察对项目需求、研究目的、研究内容是否有完整的理解，进行综合比较。包含但不限于以下内容：</w:t>
            </w:r>
          </w:p>
          <w:p>
            <w:pPr>
              <w:wordWrap w:val="0"/>
              <w:adjustRightInd w:val="0"/>
              <w:snapToGrid w:val="0"/>
              <w:rPr>
                <w:rFonts w:ascii="宋体" w:hAnsi="宋体" w:cs="宋体"/>
                <w:sz w:val="24"/>
              </w:rPr>
            </w:pPr>
            <w:r>
              <w:rPr>
                <w:rFonts w:hint="eastAsia" w:ascii="宋体" w:hAnsi="宋体" w:cs="宋体"/>
                <w:sz w:val="24"/>
              </w:rPr>
              <w:t>1.对背景的理解；</w:t>
            </w:r>
          </w:p>
          <w:p>
            <w:pPr>
              <w:wordWrap w:val="0"/>
              <w:adjustRightInd w:val="0"/>
              <w:snapToGrid w:val="0"/>
              <w:rPr>
                <w:rFonts w:ascii="宋体" w:hAnsi="宋体" w:cs="宋体"/>
                <w:sz w:val="24"/>
              </w:rPr>
            </w:pPr>
            <w:r>
              <w:rPr>
                <w:rFonts w:hint="eastAsia" w:ascii="宋体" w:hAnsi="宋体" w:cs="宋体"/>
                <w:sz w:val="24"/>
              </w:rPr>
              <w:t>2.对项目需求及目的解读；</w:t>
            </w:r>
          </w:p>
          <w:p>
            <w:pPr>
              <w:wordWrap w:val="0"/>
              <w:adjustRightInd w:val="0"/>
              <w:snapToGrid w:val="0"/>
              <w:rPr>
                <w:rFonts w:ascii="宋体" w:hAnsi="宋体" w:cs="宋体"/>
                <w:sz w:val="24"/>
              </w:rPr>
            </w:pPr>
            <w:r>
              <w:rPr>
                <w:rFonts w:hint="eastAsia" w:ascii="宋体" w:hAnsi="宋体" w:cs="宋体"/>
                <w:sz w:val="24"/>
              </w:rPr>
              <w:t>3.对研究内容整体解读。</w:t>
            </w:r>
          </w:p>
          <w:p>
            <w:pPr>
              <w:wordWrap w:val="0"/>
              <w:adjustRightInd w:val="0"/>
              <w:snapToGrid w:val="0"/>
              <w:rPr>
                <w:rFonts w:ascii="宋体" w:hAnsi="宋体" w:cs="宋体"/>
                <w:sz w:val="24"/>
                <w:lang w:val="zh-CN"/>
              </w:rPr>
            </w:pPr>
            <w:r>
              <w:rPr>
                <w:rFonts w:hint="eastAsia" w:ascii="宋体" w:hAnsi="宋体" w:cs="宋体"/>
                <w:sz w:val="24"/>
                <w:lang w:val="zh-CN"/>
              </w:rPr>
              <w:t>（二）评审标准：</w:t>
            </w:r>
          </w:p>
          <w:p>
            <w:pPr>
              <w:wordWrap w:val="0"/>
              <w:adjustRightInd w:val="0"/>
              <w:snapToGrid w:val="0"/>
              <w:rPr>
                <w:rFonts w:ascii="宋体" w:hAnsi="宋体" w:cs="宋体"/>
                <w:sz w:val="24"/>
              </w:rPr>
            </w:pPr>
            <w:r>
              <w:rPr>
                <w:rFonts w:hint="eastAsia" w:ascii="宋体" w:hAnsi="宋体" w:cs="宋体"/>
                <w:sz w:val="24"/>
              </w:rPr>
              <w:t>满足以上三项内容得3分，满足任意两项内容得2分，满足任意一项内容得1分；在此基础上，对投标人响应情况进行分档评分：</w:t>
            </w:r>
          </w:p>
          <w:p>
            <w:pPr>
              <w:wordWrap w:val="0"/>
              <w:adjustRightInd w:val="0"/>
              <w:snapToGrid w:val="0"/>
              <w:rPr>
                <w:rFonts w:ascii="宋体" w:hAnsi="宋体" w:cs="宋体"/>
                <w:sz w:val="24"/>
              </w:rPr>
            </w:pPr>
            <w:r>
              <w:rPr>
                <w:rFonts w:hint="eastAsia" w:ascii="宋体" w:hAnsi="宋体" w:cs="宋体"/>
                <w:sz w:val="24"/>
              </w:rPr>
              <w:t>1.优评分标准：理解准确到位，概括性强。</w:t>
            </w:r>
          </w:p>
          <w:p>
            <w:pPr>
              <w:wordWrap w:val="0"/>
              <w:adjustRightInd w:val="0"/>
              <w:snapToGrid w:val="0"/>
              <w:rPr>
                <w:rFonts w:ascii="宋体" w:hAnsi="宋体" w:cs="宋体"/>
                <w:sz w:val="24"/>
              </w:rPr>
            </w:pPr>
            <w:r>
              <w:rPr>
                <w:rFonts w:hint="eastAsia" w:ascii="宋体" w:hAnsi="宋体" w:cs="宋体"/>
                <w:sz w:val="24"/>
              </w:rPr>
              <w:t>2.良评分标准：理解到位，具有一定概括性。</w:t>
            </w:r>
          </w:p>
          <w:p>
            <w:pPr>
              <w:wordWrap w:val="0"/>
              <w:adjustRightInd w:val="0"/>
              <w:snapToGrid w:val="0"/>
              <w:rPr>
                <w:rFonts w:ascii="宋体" w:hAnsi="宋体" w:cs="宋体"/>
                <w:sz w:val="24"/>
              </w:rPr>
            </w:pPr>
            <w:r>
              <w:rPr>
                <w:rFonts w:hint="eastAsia" w:ascii="宋体" w:hAnsi="宋体" w:cs="宋体"/>
                <w:sz w:val="24"/>
              </w:rPr>
              <w:t>3.中评分标准：理解有缺漏但基本到位，概括性低。</w:t>
            </w:r>
          </w:p>
          <w:p>
            <w:pPr>
              <w:wordWrap w:val="0"/>
              <w:adjustRightInd w:val="0"/>
              <w:snapToGrid w:val="0"/>
              <w:rPr>
                <w:rFonts w:ascii="宋体" w:hAnsi="宋体" w:cs="宋体"/>
                <w:sz w:val="24"/>
              </w:rPr>
            </w:pPr>
            <w:r>
              <w:rPr>
                <w:rFonts w:hint="eastAsia" w:ascii="宋体" w:hAnsi="宋体" w:cs="宋体"/>
                <w:sz w:val="24"/>
              </w:rPr>
              <w:t>4.差评分标准：理解有严重缺漏，无概括性。</w:t>
            </w:r>
          </w:p>
          <w:p>
            <w:pPr>
              <w:wordWrap w:val="0"/>
              <w:adjustRightInd w:val="0"/>
              <w:snapToGrid w:val="0"/>
              <w:rPr>
                <w:rFonts w:ascii="宋体" w:hAnsi="宋体" w:cs="宋体"/>
                <w:sz w:val="24"/>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文件比较，评价为优</w:t>
            </w:r>
            <w:r>
              <w:rPr>
                <w:rFonts w:hint="eastAsia" w:ascii="宋体" w:hAnsi="宋体" w:cs="宋体"/>
                <w:sz w:val="24"/>
              </w:rPr>
              <w:t>加7</w:t>
            </w:r>
            <w:r>
              <w:rPr>
                <w:rFonts w:hint="eastAsia" w:ascii="宋体" w:hAnsi="宋体" w:cs="宋体"/>
                <w:sz w:val="24"/>
                <w:lang w:val="zh-CN"/>
              </w:rPr>
              <w:t>分；评价为良</w:t>
            </w:r>
            <w:r>
              <w:rPr>
                <w:rFonts w:hint="eastAsia" w:ascii="宋体" w:hAnsi="宋体" w:cs="宋体"/>
                <w:sz w:val="24"/>
              </w:rPr>
              <w:t>加4</w:t>
            </w:r>
            <w:r>
              <w:rPr>
                <w:rFonts w:hint="eastAsia" w:ascii="宋体" w:hAnsi="宋体" w:cs="宋体"/>
                <w:sz w:val="24"/>
                <w:lang w:val="zh-CN"/>
              </w:rPr>
              <w:t>分；评价为中</w:t>
            </w:r>
            <w:r>
              <w:rPr>
                <w:rFonts w:hint="eastAsia" w:ascii="宋体" w:hAnsi="宋体" w:cs="宋体"/>
                <w:sz w:val="24"/>
              </w:rPr>
              <w:t>加2</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w:t>
            </w:r>
          </w:p>
        </w:tc>
        <w:tc>
          <w:tcPr>
            <w:tcW w:w="403" w:type="pct"/>
            <w:vAlign w:val="center"/>
          </w:tcPr>
          <w:p>
            <w:pPr>
              <w:wordWrap w:val="0"/>
              <w:adjustRightInd w:val="0"/>
              <w:snapToGrid w:val="0"/>
              <w:jc w:val="center"/>
              <w:rPr>
                <w:rFonts w:ascii="宋体" w:hAnsi="宋体" w:cs="宋体"/>
                <w:sz w:val="24"/>
              </w:rPr>
            </w:pPr>
            <w:r>
              <w:rPr>
                <w:rFonts w:hint="eastAsia" w:ascii="宋体" w:hAnsi="宋体" w:cs="宋体"/>
                <w:sz w:val="24"/>
              </w:rPr>
              <w:t>10</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2</w:t>
            </w:r>
          </w:p>
        </w:tc>
        <w:tc>
          <w:tcPr>
            <w:tcW w:w="836"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项目重点难点分析、应对措施及相关的合理化建议</w:t>
            </w:r>
          </w:p>
        </w:tc>
        <w:tc>
          <w:tcPr>
            <w:tcW w:w="2802" w:type="pct"/>
            <w:vAlign w:val="center"/>
          </w:tcPr>
          <w:p>
            <w:pPr>
              <w:wordWrap w:val="0"/>
              <w:adjustRightInd w:val="0"/>
              <w:snapToGrid w:val="0"/>
              <w:rPr>
                <w:rFonts w:ascii="宋体" w:hAnsi="宋体" w:cs="宋体"/>
                <w:sz w:val="24"/>
              </w:rPr>
            </w:pPr>
            <w:r>
              <w:rPr>
                <w:rFonts w:hint="eastAsia" w:ascii="宋体" w:hAnsi="宋体" w:cs="宋体"/>
                <w:sz w:val="24"/>
              </w:rPr>
              <w:t>考察对项目重点难点分析，应对措施及相关的合理化建议情况，进行综合比较。包含但不限于以下内容：</w:t>
            </w:r>
          </w:p>
          <w:p>
            <w:pPr>
              <w:wordWrap w:val="0"/>
              <w:adjustRightInd w:val="0"/>
              <w:snapToGrid w:val="0"/>
              <w:rPr>
                <w:rFonts w:ascii="宋体" w:hAnsi="宋体" w:cs="宋体"/>
                <w:sz w:val="24"/>
              </w:rPr>
            </w:pPr>
            <w:r>
              <w:rPr>
                <w:rFonts w:hint="eastAsia" w:ascii="宋体" w:hAnsi="宋体" w:cs="宋体"/>
                <w:sz w:val="24"/>
              </w:rPr>
              <w:t>1.分析项目难点、重点情况；</w:t>
            </w:r>
          </w:p>
          <w:p>
            <w:pPr>
              <w:wordWrap w:val="0"/>
              <w:adjustRightInd w:val="0"/>
              <w:snapToGrid w:val="0"/>
              <w:rPr>
                <w:rFonts w:ascii="宋体" w:hAnsi="宋体" w:cs="宋体"/>
                <w:sz w:val="24"/>
              </w:rPr>
            </w:pPr>
            <w:r>
              <w:rPr>
                <w:rFonts w:hint="eastAsia" w:ascii="宋体" w:hAnsi="宋体" w:cs="宋体"/>
                <w:sz w:val="24"/>
              </w:rPr>
              <w:t>2.提出应对措施；</w:t>
            </w:r>
          </w:p>
          <w:p>
            <w:pPr>
              <w:wordWrap w:val="0"/>
              <w:adjustRightInd w:val="0"/>
              <w:snapToGrid w:val="0"/>
              <w:rPr>
                <w:rFonts w:ascii="宋体" w:hAnsi="宋体" w:cs="宋体"/>
                <w:sz w:val="24"/>
              </w:rPr>
            </w:pPr>
            <w:r>
              <w:rPr>
                <w:rFonts w:hint="eastAsia" w:ascii="宋体" w:hAnsi="宋体" w:cs="宋体"/>
                <w:sz w:val="24"/>
              </w:rPr>
              <w:t>3.对项目进行合理化建议；</w:t>
            </w:r>
          </w:p>
          <w:p>
            <w:pPr>
              <w:wordWrap w:val="0"/>
              <w:adjustRightInd w:val="0"/>
              <w:snapToGrid w:val="0"/>
              <w:rPr>
                <w:rFonts w:ascii="宋体" w:hAnsi="宋体" w:cs="宋体"/>
                <w:sz w:val="24"/>
              </w:rPr>
            </w:pPr>
            <w:r>
              <w:rPr>
                <w:rFonts w:hint="eastAsia" w:ascii="宋体" w:hAnsi="宋体" w:cs="宋体"/>
                <w:sz w:val="24"/>
              </w:rPr>
              <w:t>满足以上三项内容得5分，满足任意两项内容得3分，满足任意一项内容得1分；在此基础上，对投标人响应情况进行分档评分：</w:t>
            </w:r>
          </w:p>
          <w:p>
            <w:pPr>
              <w:wordWrap w:val="0"/>
              <w:adjustRightInd w:val="0"/>
              <w:snapToGrid w:val="0"/>
              <w:rPr>
                <w:rFonts w:ascii="宋体" w:hAnsi="宋体" w:cs="宋体"/>
                <w:sz w:val="24"/>
              </w:rPr>
            </w:pPr>
            <w:r>
              <w:rPr>
                <w:rFonts w:hint="eastAsia" w:ascii="宋体" w:hAnsi="宋体" w:cs="宋体"/>
                <w:sz w:val="24"/>
              </w:rPr>
              <w:t>1.优评分标准：分析准确到位，措施合理，建议可操作性强。</w:t>
            </w:r>
          </w:p>
          <w:p>
            <w:pPr>
              <w:wordWrap w:val="0"/>
              <w:adjustRightInd w:val="0"/>
              <w:snapToGrid w:val="0"/>
              <w:rPr>
                <w:rFonts w:ascii="宋体" w:hAnsi="宋体" w:cs="宋体"/>
                <w:sz w:val="24"/>
              </w:rPr>
            </w:pPr>
            <w:r>
              <w:rPr>
                <w:rFonts w:hint="eastAsia" w:ascii="宋体" w:hAnsi="宋体" w:cs="宋体"/>
                <w:sz w:val="24"/>
              </w:rPr>
              <w:t>2.良评分标准：分析到位，措施比较合理，建议可操作性较强。</w:t>
            </w:r>
          </w:p>
          <w:p>
            <w:pPr>
              <w:wordWrap w:val="0"/>
              <w:adjustRightInd w:val="0"/>
              <w:snapToGrid w:val="0"/>
              <w:rPr>
                <w:rFonts w:ascii="宋体" w:hAnsi="宋体" w:cs="宋体"/>
                <w:sz w:val="24"/>
              </w:rPr>
            </w:pPr>
            <w:r>
              <w:rPr>
                <w:rFonts w:hint="eastAsia" w:ascii="宋体" w:hAnsi="宋体" w:cs="宋体"/>
                <w:sz w:val="24"/>
              </w:rPr>
              <w:t>3.中评分标准：分析基本到位，措施基本合理，建议可操作性一般。</w:t>
            </w:r>
          </w:p>
          <w:p>
            <w:pPr>
              <w:wordWrap w:val="0"/>
              <w:adjustRightInd w:val="0"/>
              <w:snapToGrid w:val="0"/>
              <w:rPr>
                <w:rFonts w:ascii="宋体" w:hAnsi="宋体" w:cs="宋体"/>
                <w:sz w:val="24"/>
              </w:rPr>
            </w:pPr>
            <w:r>
              <w:rPr>
                <w:rFonts w:hint="eastAsia" w:ascii="宋体" w:hAnsi="宋体" w:cs="宋体"/>
                <w:sz w:val="24"/>
              </w:rPr>
              <w:t>4.差评分标准：分析有严重缺漏，措施不合理，建议可操作性差。</w:t>
            </w:r>
          </w:p>
          <w:p>
            <w:pPr>
              <w:wordWrap w:val="0"/>
              <w:adjustRightInd w:val="0"/>
              <w:snapToGrid w:val="0"/>
              <w:rPr>
                <w:rFonts w:ascii="宋体" w:hAnsi="宋体" w:cs="宋体"/>
                <w:sz w:val="24"/>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文件比较，评价为优</w:t>
            </w:r>
            <w:r>
              <w:rPr>
                <w:rFonts w:hint="eastAsia" w:ascii="宋体" w:hAnsi="宋体" w:cs="宋体"/>
                <w:sz w:val="24"/>
              </w:rPr>
              <w:t>加7</w:t>
            </w:r>
            <w:r>
              <w:rPr>
                <w:rFonts w:hint="eastAsia" w:ascii="宋体" w:hAnsi="宋体" w:cs="宋体"/>
                <w:sz w:val="24"/>
                <w:lang w:val="zh-CN"/>
              </w:rPr>
              <w:t>分；评价为良</w:t>
            </w:r>
            <w:r>
              <w:rPr>
                <w:rFonts w:hint="eastAsia" w:ascii="宋体" w:hAnsi="宋体" w:cs="宋体"/>
                <w:sz w:val="24"/>
              </w:rPr>
              <w:t>加5</w:t>
            </w:r>
            <w:r>
              <w:rPr>
                <w:rFonts w:hint="eastAsia" w:ascii="宋体" w:hAnsi="宋体" w:cs="宋体"/>
                <w:sz w:val="24"/>
                <w:lang w:val="zh-CN"/>
              </w:rPr>
              <w:t>分；评价为中</w:t>
            </w:r>
            <w:r>
              <w:rPr>
                <w:rFonts w:hint="eastAsia" w:ascii="宋体" w:hAnsi="宋体" w:cs="宋体"/>
                <w:sz w:val="24"/>
              </w:rPr>
              <w:t>加2</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w:t>
            </w:r>
          </w:p>
        </w:tc>
        <w:tc>
          <w:tcPr>
            <w:tcW w:w="403" w:type="pct"/>
            <w:vAlign w:val="center"/>
          </w:tcPr>
          <w:p>
            <w:pPr>
              <w:wordWrap w:val="0"/>
              <w:adjustRightInd w:val="0"/>
              <w:snapToGrid w:val="0"/>
              <w:jc w:val="center"/>
              <w:rPr>
                <w:rFonts w:ascii="宋体" w:hAnsi="宋体" w:cs="宋体"/>
                <w:sz w:val="24"/>
              </w:rPr>
            </w:pPr>
            <w:r>
              <w:rPr>
                <w:rFonts w:hint="eastAsia" w:ascii="宋体" w:hAnsi="宋体" w:cs="宋体"/>
                <w:sz w:val="24"/>
              </w:rPr>
              <w:t>12</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lang w:val="zh-CN"/>
              </w:rPr>
              <w:t>3</w:t>
            </w:r>
          </w:p>
        </w:tc>
        <w:tc>
          <w:tcPr>
            <w:tcW w:w="836"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编制研究方法及思路</w:t>
            </w:r>
          </w:p>
        </w:tc>
        <w:tc>
          <w:tcPr>
            <w:tcW w:w="2802" w:type="pct"/>
            <w:vAlign w:val="center"/>
          </w:tcPr>
          <w:p>
            <w:pPr>
              <w:wordWrap w:val="0"/>
              <w:adjustRightInd w:val="0"/>
              <w:snapToGrid w:val="0"/>
              <w:rPr>
                <w:rFonts w:ascii="宋体" w:hAnsi="宋体" w:cs="宋体"/>
                <w:sz w:val="24"/>
              </w:rPr>
            </w:pPr>
            <w:r>
              <w:rPr>
                <w:rFonts w:hint="eastAsia" w:ascii="宋体" w:hAnsi="宋体" w:cs="宋体"/>
                <w:sz w:val="24"/>
              </w:rPr>
              <w:t>考察对研究内容和报告编制的具体思路和分析维度等研究方法及思路是否清晰、完整，进行综合比较。包含但不限于以下内容：</w:t>
            </w:r>
          </w:p>
          <w:p>
            <w:pPr>
              <w:wordWrap w:val="0"/>
              <w:adjustRightInd w:val="0"/>
              <w:snapToGrid w:val="0"/>
              <w:rPr>
                <w:rFonts w:ascii="宋体" w:hAnsi="宋体" w:cs="宋体"/>
                <w:sz w:val="24"/>
              </w:rPr>
            </w:pPr>
            <w:r>
              <w:rPr>
                <w:rFonts w:hint="eastAsia" w:ascii="宋体" w:hAnsi="宋体" w:cs="宋体"/>
                <w:sz w:val="24"/>
              </w:rPr>
              <w:t>1.研究方案；</w:t>
            </w:r>
          </w:p>
          <w:p>
            <w:pPr>
              <w:wordWrap w:val="0"/>
              <w:adjustRightInd w:val="0"/>
              <w:snapToGrid w:val="0"/>
              <w:rPr>
                <w:rFonts w:ascii="宋体" w:hAnsi="宋体" w:cs="宋体"/>
                <w:sz w:val="24"/>
              </w:rPr>
            </w:pPr>
            <w:r>
              <w:rPr>
                <w:rFonts w:hint="eastAsia" w:ascii="宋体" w:hAnsi="宋体" w:cs="宋体"/>
                <w:sz w:val="24"/>
              </w:rPr>
              <w:t>2.研究报告设计；</w:t>
            </w:r>
          </w:p>
          <w:p>
            <w:pPr>
              <w:wordWrap w:val="0"/>
              <w:adjustRightInd w:val="0"/>
              <w:snapToGrid w:val="0"/>
              <w:rPr>
                <w:rFonts w:ascii="宋体" w:hAnsi="宋体" w:cs="宋体"/>
                <w:sz w:val="24"/>
              </w:rPr>
            </w:pPr>
            <w:r>
              <w:rPr>
                <w:rFonts w:hint="eastAsia" w:ascii="宋体" w:hAnsi="宋体" w:cs="宋体"/>
                <w:sz w:val="24"/>
              </w:rPr>
              <w:t>3.研究思路和数据。</w:t>
            </w:r>
          </w:p>
          <w:p>
            <w:pPr>
              <w:wordWrap w:val="0"/>
              <w:adjustRightInd w:val="0"/>
              <w:snapToGrid w:val="0"/>
              <w:rPr>
                <w:rFonts w:ascii="宋体" w:hAnsi="宋体" w:cs="宋体"/>
                <w:sz w:val="24"/>
              </w:rPr>
            </w:pPr>
            <w:r>
              <w:rPr>
                <w:rFonts w:hint="eastAsia" w:ascii="宋体" w:hAnsi="宋体" w:cs="宋体"/>
                <w:sz w:val="24"/>
              </w:rPr>
              <w:t>满足以上三项内容得6分，满足任意两项内容得4分，满足任意一项内容得2分；在此基础上，对投标人响应情况进行分档评分：</w:t>
            </w:r>
          </w:p>
          <w:p>
            <w:pPr>
              <w:wordWrap w:val="0"/>
              <w:adjustRightInd w:val="0"/>
              <w:snapToGrid w:val="0"/>
              <w:rPr>
                <w:rFonts w:ascii="宋体" w:hAnsi="宋体" w:cs="宋体"/>
                <w:sz w:val="24"/>
              </w:rPr>
            </w:pPr>
            <w:r>
              <w:rPr>
                <w:rFonts w:hint="eastAsia" w:ascii="宋体" w:hAnsi="宋体" w:cs="宋体"/>
                <w:sz w:val="24"/>
              </w:rPr>
              <w:t>1.优评分标准：研究方案思路明确、逻辑清晰，满足采购方所有需求，数据来源科学可行。</w:t>
            </w:r>
          </w:p>
          <w:p>
            <w:pPr>
              <w:wordWrap w:val="0"/>
              <w:adjustRightInd w:val="0"/>
              <w:snapToGrid w:val="0"/>
              <w:rPr>
                <w:rFonts w:ascii="宋体" w:hAnsi="宋体" w:cs="宋体"/>
                <w:sz w:val="24"/>
              </w:rPr>
            </w:pPr>
            <w:r>
              <w:rPr>
                <w:rFonts w:hint="eastAsia" w:ascii="宋体" w:hAnsi="宋体" w:cs="宋体"/>
                <w:sz w:val="24"/>
              </w:rPr>
              <w:t>2.良评分标准：研究方案思路较明确、逻辑清晰，满足采购方大部分需求，数据来源较科学可行。</w:t>
            </w:r>
          </w:p>
          <w:p>
            <w:pPr>
              <w:wordWrap w:val="0"/>
              <w:adjustRightInd w:val="0"/>
              <w:snapToGrid w:val="0"/>
              <w:rPr>
                <w:rFonts w:ascii="宋体" w:hAnsi="宋体" w:cs="宋体"/>
                <w:sz w:val="24"/>
              </w:rPr>
            </w:pPr>
            <w:r>
              <w:rPr>
                <w:rFonts w:hint="eastAsia" w:ascii="宋体" w:hAnsi="宋体" w:cs="宋体"/>
                <w:sz w:val="24"/>
              </w:rPr>
              <w:t>3.中评分标准：研究方案思路较清晰，满足采购方部分需求，数据来源科学可行性一般。</w:t>
            </w:r>
          </w:p>
          <w:p>
            <w:pPr>
              <w:wordWrap w:val="0"/>
              <w:adjustRightInd w:val="0"/>
              <w:snapToGrid w:val="0"/>
              <w:rPr>
                <w:rFonts w:ascii="宋体" w:hAnsi="宋体" w:cs="宋体"/>
                <w:sz w:val="24"/>
              </w:rPr>
            </w:pPr>
            <w:r>
              <w:rPr>
                <w:rFonts w:hint="eastAsia" w:ascii="宋体" w:hAnsi="宋体" w:cs="宋体"/>
                <w:sz w:val="24"/>
              </w:rPr>
              <w:t>4.差评分标准：研究方案有严重缺漏，无法满足采购方需求，数据来源不科学可行。</w:t>
            </w:r>
          </w:p>
          <w:p>
            <w:pPr>
              <w:wordWrap w:val="0"/>
              <w:adjustRightInd w:val="0"/>
              <w:snapToGrid w:val="0"/>
              <w:rPr>
                <w:rFonts w:ascii="宋体" w:hAnsi="宋体" w:cs="宋体"/>
                <w:sz w:val="24"/>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文件比较，评价为优</w:t>
            </w:r>
            <w:r>
              <w:rPr>
                <w:rFonts w:hint="eastAsia" w:ascii="宋体" w:hAnsi="宋体" w:cs="宋体"/>
                <w:sz w:val="24"/>
              </w:rPr>
              <w:t>加4</w:t>
            </w:r>
            <w:r>
              <w:rPr>
                <w:rFonts w:hint="eastAsia" w:ascii="宋体" w:hAnsi="宋体" w:cs="宋体"/>
                <w:sz w:val="24"/>
                <w:lang w:val="zh-CN"/>
              </w:rPr>
              <w:t>分；评价为良</w:t>
            </w:r>
            <w:r>
              <w:rPr>
                <w:rFonts w:hint="eastAsia" w:ascii="宋体" w:hAnsi="宋体" w:cs="宋体"/>
                <w:sz w:val="24"/>
              </w:rPr>
              <w:t>加2</w:t>
            </w:r>
            <w:r>
              <w:rPr>
                <w:rFonts w:hint="eastAsia" w:ascii="宋体" w:hAnsi="宋体" w:cs="宋体"/>
                <w:sz w:val="24"/>
                <w:lang w:val="zh-CN"/>
              </w:rPr>
              <w:t>分；评价为中</w:t>
            </w:r>
            <w:r>
              <w:rPr>
                <w:rFonts w:hint="eastAsia" w:ascii="宋体" w:hAnsi="宋体" w:cs="宋体"/>
                <w:sz w:val="24"/>
              </w:rPr>
              <w:t>加1</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w:t>
            </w:r>
          </w:p>
        </w:tc>
        <w:tc>
          <w:tcPr>
            <w:tcW w:w="403" w:type="pct"/>
            <w:vAlign w:val="center"/>
          </w:tcPr>
          <w:p>
            <w:pPr>
              <w:wordWrap w:val="0"/>
              <w:adjustRightInd w:val="0"/>
              <w:snapToGrid w:val="0"/>
              <w:jc w:val="center"/>
              <w:rPr>
                <w:rFonts w:ascii="宋体" w:hAnsi="宋体" w:cs="宋体"/>
                <w:sz w:val="24"/>
              </w:rPr>
            </w:pPr>
            <w:r>
              <w:rPr>
                <w:rFonts w:hint="eastAsia" w:ascii="宋体" w:hAnsi="宋体" w:cs="宋体"/>
                <w:sz w:val="24"/>
              </w:rPr>
              <w:t>10</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4</w:t>
            </w:r>
          </w:p>
        </w:tc>
        <w:tc>
          <w:tcPr>
            <w:tcW w:w="836"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成果预设</w:t>
            </w:r>
          </w:p>
        </w:tc>
        <w:tc>
          <w:tcPr>
            <w:tcW w:w="2802" w:type="pct"/>
            <w:vAlign w:val="center"/>
          </w:tcPr>
          <w:p>
            <w:pPr>
              <w:wordWrap w:val="0"/>
              <w:adjustRightInd w:val="0"/>
              <w:snapToGrid w:val="0"/>
              <w:rPr>
                <w:rFonts w:ascii="宋体" w:hAnsi="宋体" w:cs="宋体"/>
                <w:sz w:val="24"/>
              </w:rPr>
            </w:pPr>
            <w:r>
              <w:rPr>
                <w:rFonts w:hint="eastAsia" w:ascii="宋体" w:hAnsi="宋体" w:cs="宋体"/>
                <w:sz w:val="24"/>
              </w:rPr>
              <w:t>根据成果编制内容的合理可行性、响应程度等各方面情况进行比较评价。包含但不限于以下内容：</w:t>
            </w:r>
          </w:p>
          <w:p>
            <w:pPr>
              <w:wordWrap w:val="0"/>
              <w:adjustRightInd w:val="0"/>
              <w:snapToGrid w:val="0"/>
              <w:rPr>
                <w:rFonts w:ascii="宋体" w:hAnsi="宋体" w:cs="宋体"/>
                <w:sz w:val="24"/>
              </w:rPr>
            </w:pPr>
            <w:r>
              <w:rPr>
                <w:rFonts w:hint="eastAsia" w:ascii="宋体" w:hAnsi="宋体" w:cs="宋体"/>
                <w:sz w:val="24"/>
              </w:rPr>
              <w:t>1.成果响应；</w:t>
            </w:r>
          </w:p>
          <w:p>
            <w:pPr>
              <w:wordWrap w:val="0"/>
              <w:adjustRightInd w:val="0"/>
              <w:snapToGrid w:val="0"/>
              <w:rPr>
                <w:rFonts w:ascii="宋体" w:hAnsi="宋体" w:cs="宋体"/>
                <w:sz w:val="24"/>
              </w:rPr>
            </w:pPr>
            <w:r>
              <w:rPr>
                <w:rFonts w:hint="eastAsia" w:ascii="宋体" w:hAnsi="宋体" w:cs="宋体"/>
                <w:sz w:val="24"/>
              </w:rPr>
              <w:t>2.成果内容；</w:t>
            </w:r>
          </w:p>
          <w:p>
            <w:pPr>
              <w:wordWrap w:val="0"/>
              <w:adjustRightInd w:val="0"/>
              <w:snapToGrid w:val="0"/>
              <w:rPr>
                <w:rFonts w:ascii="宋体" w:hAnsi="宋体" w:cs="宋体"/>
                <w:sz w:val="24"/>
              </w:rPr>
            </w:pPr>
            <w:r>
              <w:rPr>
                <w:rFonts w:hint="eastAsia" w:ascii="宋体" w:hAnsi="宋体" w:cs="宋体"/>
                <w:sz w:val="24"/>
              </w:rPr>
              <w:t>满足上述两项的得2分，满足一项的得1分，在此基础上，对投标人响应情况进行分档评分：</w:t>
            </w:r>
          </w:p>
          <w:p>
            <w:pPr>
              <w:wordWrap w:val="0"/>
              <w:adjustRightInd w:val="0"/>
              <w:snapToGrid w:val="0"/>
              <w:rPr>
                <w:rFonts w:ascii="宋体" w:hAnsi="宋体" w:cs="宋体"/>
                <w:sz w:val="24"/>
              </w:rPr>
            </w:pPr>
            <w:r>
              <w:rPr>
                <w:rFonts w:hint="eastAsia" w:ascii="宋体" w:hAnsi="宋体" w:cs="宋体"/>
                <w:sz w:val="24"/>
              </w:rPr>
              <w:t>1.优评分标准：成果响应内容全面，合理可行。</w:t>
            </w:r>
          </w:p>
          <w:p>
            <w:pPr>
              <w:wordWrap w:val="0"/>
              <w:adjustRightInd w:val="0"/>
              <w:snapToGrid w:val="0"/>
              <w:rPr>
                <w:rFonts w:ascii="宋体" w:hAnsi="宋体" w:cs="宋体"/>
                <w:sz w:val="24"/>
              </w:rPr>
            </w:pPr>
            <w:r>
              <w:rPr>
                <w:rFonts w:hint="eastAsia" w:ascii="宋体" w:hAnsi="宋体" w:cs="宋体"/>
                <w:sz w:val="24"/>
              </w:rPr>
              <w:t>2.良评分标准：成果响应内容较全面，比较合理可行。</w:t>
            </w:r>
          </w:p>
          <w:p>
            <w:pPr>
              <w:wordWrap w:val="0"/>
              <w:adjustRightInd w:val="0"/>
              <w:snapToGrid w:val="0"/>
              <w:rPr>
                <w:rFonts w:ascii="宋体" w:hAnsi="宋体" w:cs="宋体"/>
                <w:sz w:val="24"/>
              </w:rPr>
            </w:pPr>
            <w:r>
              <w:rPr>
                <w:rFonts w:hint="eastAsia" w:ascii="宋体" w:hAnsi="宋体" w:cs="宋体"/>
                <w:sz w:val="24"/>
              </w:rPr>
              <w:t>3.中评分标准：成果响应内容一般，不够合理可行。</w:t>
            </w:r>
          </w:p>
          <w:p>
            <w:pPr>
              <w:wordWrap w:val="0"/>
              <w:adjustRightInd w:val="0"/>
              <w:snapToGrid w:val="0"/>
              <w:rPr>
                <w:rFonts w:ascii="宋体" w:hAnsi="宋体" w:cs="宋体"/>
                <w:sz w:val="24"/>
              </w:rPr>
            </w:pPr>
            <w:r>
              <w:rPr>
                <w:rFonts w:hint="eastAsia" w:ascii="宋体" w:hAnsi="宋体" w:cs="宋体"/>
                <w:sz w:val="24"/>
              </w:rPr>
              <w:t>4.差评分标准：成果响应内容有严重缺漏，不合理可行。</w:t>
            </w:r>
          </w:p>
          <w:p>
            <w:pPr>
              <w:wordWrap w:val="0"/>
              <w:adjustRightInd w:val="0"/>
              <w:snapToGrid w:val="0"/>
              <w:rPr>
                <w:rFonts w:ascii="宋体" w:hAnsi="宋体" w:cs="宋体"/>
                <w:sz w:val="24"/>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文件比较，评价为优</w:t>
            </w:r>
            <w:r>
              <w:rPr>
                <w:rFonts w:hint="eastAsia" w:ascii="宋体" w:hAnsi="宋体" w:cs="宋体"/>
                <w:sz w:val="24"/>
              </w:rPr>
              <w:t>加3</w:t>
            </w:r>
            <w:r>
              <w:rPr>
                <w:rFonts w:hint="eastAsia" w:ascii="宋体" w:hAnsi="宋体" w:cs="宋体"/>
                <w:sz w:val="24"/>
                <w:lang w:val="zh-CN"/>
              </w:rPr>
              <w:t>分；评价为良</w:t>
            </w:r>
            <w:r>
              <w:rPr>
                <w:rFonts w:hint="eastAsia" w:ascii="宋体" w:hAnsi="宋体" w:cs="宋体"/>
                <w:sz w:val="24"/>
              </w:rPr>
              <w:t>加2</w:t>
            </w:r>
            <w:r>
              <w:rPr>
                <w:rFonts w:hint="eastAsia" w:ascii="宋体" w:hAnsi="宋体" w:cs="宋体"/>
                <w:sz w:val="24"/>
                <w:lang w:val="zh-CN"/>
              </w:rPr>
              <w:t>分；评价为中</w:t>
            </w:r>
            <w:r>
              <w:rPr>
                <w:rFonts w:hint="eastAsia" w:ascii="宋体" w:hAnsi="宋体" w:cs="宋体"/>
                <w:sz w:val="24"/>
              </w:rPr>
              <w:t>加1</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w:t>
            </w:r>
          </w:p>
        </w:tc>
        <w:tc>
          <w:tcPr>
            <w:tcW w:w="403" w:type="pct"/>
            <w:vAlign w:val="center"/>
          </w:tcPr>
          <w:p>
            <w:pPr>
              <w:wordWrap w:val="0"/>
              <w:adjustRightInd w:val="0"/>
              <w:snapToGrid w:val="0"/>
              <w:jc w:val="center"/>
              <w:rPr>
                <w:rFonts w:ascii="宋体" w:hAnsi="宋体" w:cs="宋体"/>
                <w:sz w:val="24"/>
              </w:rPr>
            </w:pPr>
            <w:r>
              <w:rPr>
                <w:rFonts w:hint="eastAsia" w:ascii="宋体" w:hAnsi="宋体" w:cs="宋体"/>
                <w:sz w:val="24"/>
              </w:rPr>
              <w:t>5</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8" w:hRule="atLeast"/>
          <w:jc w:val="center"/>
        </w:trPr>
        <w:tc>
          <w:tcPr>
            <w:tcW w:w="353" w:type="pct"/>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5</w:t>
            </w:r>
          </w:p>
        </w:tc>
        <w:tc>
          <w:tcPr>
            <w:tcW w:w="836"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项目进度计划</w:t>
            </w:r>
          </w:p>
        </w:tc>
        <w:tc>
          <w:tcPr>
            <w:tcW w:w="2802" w:type="pct"/>
            <w:vAlign w:val="center"/>
          </w:tcPr>
          <w:p>
            <w:pPr>
              <w:wordWrap w:val="0"/>
              <w:adjustRightInd w:val="0"/>
              <w:snapToGrid w:val="0"/>
              <w:rPr>
                <w:rFonts w:ascii="宋体" w:hAnsi="宋体" w:cs="宋体"/>
                <w:sz w:val="24"/>
              </w:rPr>
            </w:pPr>
            <w:r>
              <w:rPr>
                <w:rFonts w:hint="eastAsia" w:ascii="宋体" w:hAnsi="宋体" w:cs="宋体"/>
                <w:sz w:val="24"/>
              </w:rPr>
              <w:t>项目整体实施时间是否紧凑、合理，根据项目进度的切合程度进行比较评价。</w:t>
            </w:r>
          </w:p>
          <w:p>
            <w:pPr>
              <w:wordWrap w:val="0"/>
              <w:adjustRightInd w:val="0"/>
              <w:snapToGrid w:val="0"/>
              <w:rPr>
                <w:rFonts w:ascii="宋体" w:hAnsi="宋体" w:cs="宋体"/>
                <w:sz w:val="24"/>
              </w:rPr>
            </w:pPr>
            <w:r>
              <w:rPr>
                <w:rFonts w:hint="eastAsia" w:ascii="宋体" w:hAnsi="宋体" w:cs="宋体"/>
                <w:sz w:val="24"/>
              </w:rPr>
              <w:t>1.具备项目进度计划体系文档；</w:t>
            </w:r>
          </w:p>
          <w:p>
            <w:pPr>
              <w:wordWrap w:val="0"/>
              <w:adjustRightInd w:val="0"/>
              <w:snapToGrid w:val="0"/>
              <w:rPr>
                <w:rFonts w:ascii="宋体" w:hAnsi="宋体" w:cs="宋体"/>
                <w:sz w:val="24"/>
              </w:rPr>
            </w:pPr>
            <w:r>
              <w:rPr>
                <w:rFonts w:hint="eastAsia" w:ascii="宋体" w:hAnsi="宋体" w:cs="宋体"/>
                <w:sz w:val="24"/>
              </w:rPr>
              <w:t>2.项目进度计划以及时间安排。</w:t>
            </w:r>
          </w:p>
          <w:p>
            <w:pPr>
              <w:wordWrap w:val="0"/>
              <w:adjustRightInd w:val="0"/>
              <w:snapToGrid w:val="0"/>
              <w:rPr>
                <w:rFonts w:ascii="宋体" w:hAnsi="宋体" w:cs="宋体"/>
                <w:sz w:val="24"/>
              </w:rPr>
            </w:pPr>
            <w:r>
              <w:rPr>
                <w:rFonts w:hint="eastAsia" w:ascii="宋体" w:hAnsi="宋体" w:cs="宋体"/>
                <w:sz w:val="24"/>
              </w:rPr>
              <w:t>满足上述两项的得2分，满足一项的得1分，全部不满足的不得分，在此基础上，对投标人响应情况进行分档评分：</w:t>
            </w:r>
          </w:p>
          <w:p>
            <w:pPr>
              <w:wordWrap w:val="0"/>
              <w:adjustRightInd w:val="0"/>
              <w:snapToGrid w:val="0"/>
              <w:rPr>
                <w:rFonts w:ascii="宋体" w:hAnsi="宋体" w:cs="宋体"/>
                <w:sz w:val="24"/>
              </w:rPr>
            </w:pPr>
            <w:r>
              <w:rPr>
                <w:rFonts w:hint="eastAsia" w:ascii="宋体" w:hAnsi="宋体" w:cs="宋体"/>
                <w:sz w:val="24"/>
              </w:rPr>
              <w:t>1.优评分标准：具备完善的项目进度计划，项目进度计划紧凑，时间安排合理。</w:t>
            </w:r>
          </w:p>
          <w:p>
            <w:pPr>
              <w:wordWrap w:val="0"/>
              <w:adjustRightInd w:val="0"/>
              <w:snapToGrid w:val="0"/>
              <w:rPr>
                <w:rFonts w:ascii="宋体" w:hAnsi="宋体" w:cs="宋体"/>
                <w:sz w:val="24"/>
              </w:rPr>
            </w:pPr>
            <w:r>
              <w:rPr>
                <w:rFonts w:hint="eastAsia" w:ascii="宋体" w:hAnsi="宋体" w:cs="宋体"/>
                <w:sz w:val="24"/>
              </w:rPr>
              <w:t>2.良评分标准：项目进度计划基本完善，项目进度计划较紧凑，时间安排较合理。</w:t>
            </w:r>
          </w:p>
          <w:p>
            <w:pPr>
              <w:wordWrap w:val="0"/>
              <w:adjustRightInd w:val="0"/>
              <w:snapToGrid w:val="0"/>
              <w:rPr>
                <w:rFonts w:ascii="宋体" w:hAnsi="宋体" w:cs="宋体"/>
                <w:sz w:val="24"/>
              </w:rPr>
            </w:pPr>
            <w:r>
              <w:rPr>
                <w:rFonts w:hint="eastAsia" w:ascii="宋体" w:hAnsi="宋体" w:cs="宋体"/>
                <w:sz w:val="24"/>
              </w:rPr>
              <w:t>3.中评分标准：具备基本的项目进度计划，时间安排一般合理。</w:t>
            </w:r>
          </w:p>
          <w:p>
            <w:pPr>
              <w:wordWrap w:val="0"/>
              <w:adjustRightInd w:val="0"/>
              <w:snapToGrid w:val="0"/>
              <w:rPr>
                <w:rFonts w:ascii="宋体" w:hAnsi="宋体" w:cs="宋体"/>
                <w:sz w:val="24"/>
              </w:rPr>
            </w:pPr>
            <w:r>
              <w:rPr>
                <w:rFonts w:hint="eastAsia" w:ascii="宋体" w:hAnsi="宋体" w:cs="宋体"/>
                <w:sz w:val="24"/>
              </w:rPr>
              <w:t>4.差评分标准：项目进度计划不合理可行。</w:t>
            </w:r>
          </w:p>
          <w:p>
            <w:pPr>
              <w:wordWrap w:val="0"/>
              <w:adjustRightInd w:val="0"/>
              <w:snapToGrid w:val="0"/>
              <w:rPr>
                <w:rFonts w:ascii="宋体" w:hAnsi="宋体" w:cs="宋体"/>
                <w:sz w:val="24"/>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文件比较，评价为优</w:t>
            </w:r>
            <w:r>
              <w:rPr>
                <w:rFonts w:hint="eastAsia" w:ascii="宋体" w:hAnsi="宋体" w:cs="宋体"/>
                <w:sz w:val="24"/>
              </w:rPr>
              <w:t>加1</w:t>
            </w:r>
            <w:r>
              <w:rPr>
                <w:rFonts w:hint="eastAsia" w:ascii="宋体" w:hAnsi="宋体" w:cs="宋体"/>
                <w:sz w:val="24"/>
                <w:lang w:val="zh-CN"/>
              </w:rPr>
              <w:t>分；评价为良</w:t>
            </w:r>
            <w:r>
              <w:rPr>
                <w:rFonts w:hint="eastAsia" w:ascii="宋体" w:hAnsi="宋体" w:cs="宋体"/>
                <w:sz w:val="24"/>
              </w:rPr>
              <w:t>加0.75</w:t>
            </w:r>
            <w:r>
              <w:rPr>
                <w:rFonts w:hint="eastAsia" w:ascii="宋体" w:hAnsi="宋体" w:cs="宋体"/>
                <w:sz w:val="24"/>
                <w:lang w:val="zh-CN"/>
              </w:rPr>
              <w:t>分；评价为中</w:t>
            </w:r>
            <w:r>
              <w:rPr>
                <w:rFonts w:hint="eastAsia" w:ascii="宋体" w:hAnsi="宋体" w:cs="宋体"/>
                <w:sz w:val="24"/>
              </w:rPr>
              <w:t>加0.5</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w:t>
            </w:r>
          </w:p>
        </w:tc>
        <w:tc>
          <w:tcPr>
            <w:tcW w:w="403" w:type="pct"/>
            <w:vAlign w:val="center"/>
          </w:tcPr>
          <w:p>
            <w:pPr>
              <w:wordWrap w:val="0"/>
              <w:adjustRightInd w:val="0"/>
              <w:snapToGrid w:val="0"/>
              <w:jc w:val="center"/>
              <w:rPr>
                <w:rFonts w:ascii="宋体" w:hAnsi="宋体" w:cs="宋体"/>
                <w:sz w:val="24"/>
              </w:rPr>
            </w:pPr>
            <w:r>
              <w:rPr>
                <w:rFonts w:hint="eastAsia" w:ascii="宋体" w:hAnsi="宋体" w:cs="宋体"/>
                <w:sz w:val="24"/>
              </w:rPr>
              <w:t>3</w:t>
            </w:r>
          </w:p>
        </w:tc>
        <w:tc>
          <w:tcPr>
            <w:tcW w:w="604" w:type="pct"/>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评审委员打分</w:t>
            </w:r>
          </w:p>
        </w:tc>
      </w:tr>
    </w:tbl>
    <w:p>
      <w:pPr>
        <w:pStyle w:val="3"/>
        <w:jc w:val="both"/>
        <w:rPr>
          <w:rFonts w:ascii="宋体" w:eastAsia="宋体" w:cs="宋体"/>
          <w:b/>
          <w:bCs/>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sz w:val="24"/>
        </w:rPr>
      </w:pPr>
      <w:bookmarkStart w:id="12" w:name="_Toc9548"/>
      <w:bookmarkStart w:id="13" w:name="_Hlk28269117"/>
      <w:r>
        <w:rPr>
          <w:rFonts w:hint="eastAsia" w:ascii="宋体" w:hAnsi="宋体" w:cs="宋体"/>
          <w:b/>
          <w:bCs/>
          <w:sz w:val="24"/>
        </w:rPr>
        <w:t>第七章 附件（投标文件格式）</w:t>
      </w:r>
      <w:bookmarkEnd w:id="12"/>
    </w:p>
    <w:p>
      <w:pPr>
        <w:keepNext/>
        <w:keepLines/>
        <w:spacing w:before="260" w:after="260" w:line="440" w:lineRule="exact"/>
        <w:jc w:val="center"/>
        <w:outlineLvl w:val="1"/>
        <w:rPr>
          <w:rFonts w:ascii="宋体" w:hAnsi="宋体" w:cs="宋体"/>
          <w:b/>
          <w:bCs/>
          <w:sz w:val="24"/>
        </w:rPr>
      </w:pPr>
      <w:bookmarkStart w:id="14" w:name="_Toc19494"/>
      <w:bookmarkStart w:id="15" w:name="_Toc6548"/>
      <w:bookmarkStart w:id="16" w:name="_Toc5116"/>
      <w:bookmarkStart w:id="17" w:name="_Toc31827"/>
      <w:r>
        <w:rPr>
          <w:rFonts w:hint="eastAsia" w:ascii="宋体" w:hAnsi="宋体" w:cs="宋体"/>
          <w:b/>
          <w:bCs/>
          <w:sz w:val="24"/>
        </w:rPr>
        <w:t>1、投标文件密封袋/封面参考</w:t>
      </w:r>
      <w:bookmarkEnd w:id="14"/>
      <w:bookmarkEnd w:id="15"/>
      <w:bookmarkEnd w:id="16"/>
      <w:bookmarkEnd w:id="17"/>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9"/>
              <w:tabs>
                <w:tab w:val="left" w:pos="562"/>
                <w:tab w:val="left" w:pos="3372"/>
                <w:tab w:val="left" w:pos="3653"/>
              </w:tabs>
              <w:spacing w:line="360" w:lineRule="auto"/>
              <w:rPr>
                <w:rFonts w:ascii="仿宋_GB2312" w:eastAsia="仿宋_GB2312"/>
                <w:b/>
                <w:sz w:val="32"/>
              </w:rPr>
            </w:pPr>
          </w:p>
          <w:p>
            <w:pPr>
              <w:pStyle w:val="9"/>
              <w:tabs>
                <w:tab w:val="left" w:pos="562"/>
                <w:tab w:val="left" w:pos="3372"/>
                <w:tab w:val="left" w:pos="3653"/>
              </w:tabs>
              <w:spacing w:line="360" w:lineRule="auto"/>
              <w:jc w:val="center"/>
              <w:rPr>
                <w:rFonts w:ascii="黑体" w:eastAsia="黑体"/>
                <w:b/>
                <w:sz w:val="72"/>
                <w:szCs w:val="72"/>
              </w:rPr>
            </w:pPr>
          </w:p>
          <w:p>
            <w:pPr>
              <w:pStyle w:val="9"/>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9"/>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9"/>
              <w:tabs>
                <w:tab w:val="left" w:pos="562"/>
                <w:tab w:val="left" w:pos="3372"/>
                <w:tab w:val="left" w:pos="3653"/>
              </w:tabs>
              <w:spacing w:line="360" w:lineRule="auto"/>
              <w:rPr>
                <w:rFonts w:ascii="仿宋_GB2312" w:eastAsia="仿宋_GB2312"/>
                <w:b/>
                <w:sz w:val="32"/>
              </w:rPr>
            </w:pPr>
          </w:p>
          <w:p/>
          <w:p>
            <w:pPr>
              <w:pStyle w:val="9"/>
              <w:tabs>
                <w:tab w:val="left" w:pos="562"/>
                <w:tab w:val="left" w:pos="3372"/>
                <w:tab w:val="left" w:pos="3653"/>
              </w:tabs>
              <w:spacing w:line="400" w:lineRule="exact"/>
              <w:ind w:firstLine="900" w:firstLineChars="320"/>
              <w:rPr>
                <w:rFonts w:ascii="仿宋_GB2312" w:eastAsia="仿宋_GB2312"/>
                <w:b/>
                <w:sz w:val="28"/>
                <w:szCs w:val="28"/>
              </w:rPr>
            </w:pPr>
          </w:p>
          <w:p>
            <w:pPr>
              <w:pStyle w:val="9"/>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9"/>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jc w:val="left"/>
        <w:rPr>
          <w:rFonts w:ascii="宋体" w:hAnsi="宋体" w:cs="宋体"/>
          <w:b/>
          <w:sz w:val="24"/>
        </w:rPr>
      </w:pPr>
      <w:bookmarkStart w:id="18" w:name="_Toc16724"/>
      <w:r>
        <w:rPr>
          <w:rFonts w:hint="eastAsia" w:ascii="宋体" w:hAnsi="宋体" w:cs="宋体"/>
          <w:b/>
          <w:sz w:val="24"/>
        </w:rPr>
        <w:br w:type="page"/>
      </w:r>
    </w:p>
    <w:p>
      <w:pPr>
        <w:spacing w:before="100" w:beforeAutospacing="1" w:after="100" w:afterAutospacing="1"/>
        <w:jc w:val="center"/>
        <w:outlineLvl w:val="1"/>
        <w:rPr>
          <w:rFonts w:ascii="宋体" w:hAnsi="宋体" w:cs="宋体"/>
          <w:b/>
          <w:sz w:val="24"/>
        </w:rPr>
      </w:pPr>
      <w:r>
        <w:rPr>
          <w:rFonts w:hint="eastAsia" w:ascii="宋体" w:hAnsi="宋体" w:cs="宋体"/>
          <w:b/>
          <w:sz w:val="24"/>
        </w:rPr>
        <w:t>2、投标文件—目录</w:t>
      </w:r>
      <w:bookmarkEnd w:id="18"/>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6"/>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6"/>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分项报价清单；</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7"/>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numPr>
          <w:ilvl w:val="0"/>
          <w:numId w:val="7"/>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rPr>
        <w:t>营业执照</w:t>
      </w:r>
      <w:r>
        <w:rPr>
          <w:rFonts w:hint="eastAsia" w:ascii="宋体" w:hAnsi="宋体" w:cs="宋体"/>
          <w:sz w:val="24"/>
          <w:lang w:val="fr-CH" w:eastAsia="zh-CN"/>
        </w:rPr>
        <w:t>（</w:t>
      </w:r>
      <w:r>
        <w:rPr>
          <w:rFonts w:hint="eastAsia" w:ascii="宋体" w:hAnsi="宋体" w:cs="宋体"/>
          <w:sz w:val="24"/>
          <w:lang w:val="fr-CH"/>
        </w:rPr>
        <w:t>加盖投标人公章</w:t>
      </w:r>
      <w:r>
        <w:rPr>
          <w:rFonts w:hint="eastAsia" w:ascii="宋体" w:hAnsi="宋体" w:cs="宋体"/>
          <w:sz w:val="24"/>
          <w:lang w:val="fr-CH" w:eastAsia="zh-CN"/>
        </w:rPr>
        <w:t>）</w:t>
      </w:r>
      <w:r>
        <w:rPr>
          <w:rFonts w:hint="eastAsia" w:ascii="宋体" w:hAnsi="宋体" w:cs="宋体"/>
          <w:sz w:val="24"/>
          <w:lang w:val="fr-CH"/>
        </w:rPr>
        <w:t>；</w:t>
      </w:r>
    </w:p>
    <w:p>
      <w:pPr>
        <w:numPr>
          <w:ilvl w:val="0"/>
          <w:numId w:val="7"/>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7"/>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7"/>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7"/>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法定代表人授权书及身份证明；</w:t>
      </w:r>
    </w:p>
    <w:p>
      <w:pPr>
        <w:numPr>
          <w:ilvl w:val="0"/>
          <w:numId w:val="7"/>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招标代理服务费承诺书；</w:t>
      </w:r>
    </w:p>
    <w:p>
      <w:pPr>
        <w:numPr>
          <w:ilvl w:val="0"/>
          <w:numId w:val="7"/>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rPr>
        <w:t>供应商</w:t>
      </w:r>
      <w:r>
        <w:rPr>
          <w:rFonts w:hint="eastAsia" w:ascii="宋体" w:hAnsi="宋体" w:cs="宋体"/>
          <w:sz w:val="24"/>
          <w:lang w:val="fr-CH"/>
        </w:rPr>
        <w:t>简介；</w:t>
      </w:r>
    </w:p>
    <w:p>
      <w:pPr>
        <w:numPr>
          <w:ilvl w:val="0"/>
          <w:numId w:val="7"/>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rPr>
        <w:t>同类项目业绩</w:t>
      </w:r>
      <w:r>
        <w:rPr>
          <w:rFonts w:hint="eastAsia" w:ascii="宋体" w:hAnsi="宋体" w:cs="宋体"/>
          <w:sz w:val="24"/>
          <w:lang w:val="fr-CH"/>
        </w:rPr>
        <w:t>；</w:t>
      </w:r>
    </w:p>
    <w:p>
      <w:pPr>
        <w:numPr>
          <w:ilvl w:val="0"/>
          <w:numId w:val="7"/>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rPr>
        <w:t>获奖情况</w:t>
      </w:r>
      <w:r>
        <w:rPr>
          <w:rFonts w:hint="eastAsia" w:ascii="宋体" w:hAnsi="宋体" w:cs="宋体"/>
          <w:sz w:val="24"/>
          <w:lang w:val="fr-CH"/>
        </w:rPr>
        <w:t>；</w:t>
      </w:r>
    </w:p>
    <w:p>
      <w:pPr>
        <w:numPr>
          <w:ilvl w:val="0"/>
          <w:numId w:val="7"/>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rPr>
        <w:t>项目负责人情况</w:t>
      </w:r>
      <w:r>
        <w:rPr>
          <w:rFonts w:hint="eastAsia" w:ascii="宋体" w:hAnsi="宋体" w:cs="宋体"/>
          <w:sz w:val="24"/>
          <w:lang w:val="fr-CH"/>
        </w:rPr>
        <w:t>；</w:t>
      </w:r>
    </w:p>
    <w:p>
      <w:pPr>
        <w:numPr>
          <w:ilvl w:val="0"/>
          <w:numId w:val="7"/>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rPr>
        <w:t>项目研究团队情况</w:t>
      </w:r>
      <w:r>
        <w:rPr>
          <w:rFonts w:hint="eastAsia" w:ascii="宋体" w:hAnsi="宋体" w:cs="宋体"/>
          <w:sz w:val="24"/>
          <w:lang w:val="fr-CH"/>
        </w:rPr>
        <w:t>；</w:t>
      </w:r>
    </w:p>
    <w:p>
      <w:pPr>
        <w:numPr>
          <w:ilvl w:val="0"/>
          <w:numId w:val="7"/>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rPr>
        <w:t>诚信管理情况</w:t>
      </w:r>
      <w:r>
        <w:rPr>
          <w:rFonts w:hint="eastAsia" w:ascii="宋体" w:hAnsi="宋体" w:cs="宋体"/>
          <w:sz w:val="24"/>
          <w:lang w:val="fr-CH"/>
        </w:rPr>
        <w:t>；</w:t>
      </w:r>
    </w:p>
    <w:p>
      <w:pPr>
        <w:numPr>
          <w:ilvl w:val="0"/>
          <w:numId w:val="7"/>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8"/>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8"/>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对项目的整体理解</w:t>
      </w:r>
      <w:r>
        <w:rPr>
          <w:rFonts w:hint="eastAsia" w:ascii="宋体" w:hAnsi="宋体" w:cs="宋体"/>
          <w:sz w:val="24"/>
          <w:lang w:val="fr-CH"/>
        </w:rPr>
        <w:t>；</w:t>
      </w:r>
    </w:p>
    <w:p>
      <w:pPr>
        <w:numPr>
          <w:ilvl w:val="0"/>
          <w:numId w:val="8"/>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项目重点难点分析、应对措施及相关的合理化建议</w:t>
      </w:r>
      <w:r>
        <w:rPr>
          <w:rFonts w:hint="eastAsia" w:ascii="宋体" w:hAnsi="宋体" w:cs="宋体"/>
          <w:sz w:val="24"/>
          <w:lang w:val="fr-CH"/>
        </w:rPr>
        <w:t>；</w:t>
      </w:r>
    </w:p>
    <w:p>
      <w:pPr>
        <w:numPr>
          <w:ilvl w:val="0"/>
          <w:numId w:val="8"/>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编制研究方法及思路</w:t>
      </w:r>
      <w:r>
        <w:rPr>
          <w:rFonts w:hint="eastAsia" w:ascii="宋体" w:hAnsi="宋体" w:cs="宋体"/>
          <w:sz w:val="24"/>
          <w:lang w:val="fr-CH"/>
        </w:rPr>
        <w:t>；</w:t>
      </w:r>
    </w:p>
    <w:p>
      <w:pPr>
        <w:numPr>
          <w:ilvl w:val="0"/>
          <w:numId w:val="8"/>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成果预设</w:t>
      </w:r>
    </w:p>
    <w:p>
      <w:pPr>
        <w:numPr>
          <w:ilvl w:val="0"/>
          <w:numId w:val="8"/>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项目进度计划</w:t>
      </w:r>
    </w:p>
    <w:p>
      <w:pPr>
        <w:numPr>
          <w:ilvl w:val="0"/>
          <w:numId w:val="8"/>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9"/>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9"/>
      </w:pPr>
    </w:p>
    <w:p>
      <w:pPr>
        <w:numPr>
          <w:ilvl w:val="0"/>
          <w:numId w:val="9"/>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序号</w:t>
            </w:r>
          </w:p>
        </w:tc>
        <w:tc>
          <w:tcPr>
            <w:tcW w:w="2212" w:type="dxa"/>
            <w:vAlign w:val="center"/>
          </w:tcPr>
          <w:p>
            <w:pPr>
              <w:pStyle w:val="11"/>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11"/>
              <w:spacing w:line="360" w:lineRule="auto"/>
              <w:jc w:val="center"/>
              <w:rPr>
                <w:rFonts w:hAnsi="宋体" w:cs="宋体"/>
                <w:sz w:val="24"/>
              </w:rPr>
            </w:pPr>
            <w:r>
              <w:rPr>
                <w:rFonts w:hint="eastAsia" w:hAnsi="宋体" w:cs="宋体"/>
                <w:sz w:val="24"/>
              </w:rPr>
              <w:t>单位</w:t>
            </w:r>
          </w:p>
        </w:tc>
        <w:tc>
          <w:tcPr>
            <w:tcW w:w="1800" w:type="dxa"/>
            <w:vAlign w:val="center"/>
          </w:tcPr>
          <w:p>
            <w:pPr>
              <w:pStyle w:val="11"/>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11"/>
              <w:spacing w:line="360" w:lineRule="auto"/>
              <w:jc w:val="center"/>
              <w:rPr>
                <w:rFonts w:hAnsi="宋体" w:cs="宋体"/>
                <w:sz w:val="24"/>
              </w:rPr>
            </w:pPr>
            <w:r>
              <w:rPr>
                <w:rFonts w:hint="eastAsia" w:hAnsi="宋体" w:cs="宋体"/>
                <w:sz w:val="24"/>
              </w:rPr>
              <w:t>单价</w:t>
            </w:r>
          </w:p>
        </w:tc>
        <w:tc>
          <w:tcPr>
            <w:tcW w:w="1620" w:type="dxa"/>
            <w:vAlign w:val="center"/>
          </w:tcPr>
          <w:p>
            <w:pPr>
              <w:pStyle w:val="11"/>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1</w:t>
            </w:r>
          </w:p>
        </w:tc>
        <w:tc>
          <w:tcPr>
            <w:tcW w:w="2212" w:type="dxa"/>
            <w:vAlign w:val="center"/>
          </w:tcPr>
          <w:p>
            <w:pPr>
              <w:pStyle w:val="11"/>
              <w:spacing w:line="360" w:lineRule="auto"/>
              <w:jc w:val="center"/>
              <w:rPr>
                <w:rFonts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w:t>
            </w:r>
          </w:p>
        </w:tc>
        <w:tc>
          <w:tcPr>
            <w:tcW w:w="2212" w:type="dxa"/>
            <w:vAlign w:val="center"/>
          </w:tcPr>
          <w:p>
            <w:pPr>
              <w:pStyle w:val="11"/>
              <w:spacing w:line="360" w:lineRule="auto"/>
              <w:jc w:val="center"/>
              <w:rPr>
                <w:rFonts w:hAnsi="宋体" w:cs="宋体"/>
                <w:sz w:val="24"/>
              </w:rPr>
            </w:pPr>
            <w:r>
              <w:rPr>
                <w:rFonts w:hint="eastAsia" w:hAnsi="宋体" w:cs="宋体"/>
                <w:sz w:val="24"/>
              </w:rPr>
              <w:t>…</w:t>
            </w: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1"/>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0"/>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9"/>
      </w:pPr>
    </w:p>
    <w:p>
      <w:pPr>
        <w:numPr>
          <w:ilvl w:val="0"/>
          <w:numId w:val="10"/>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营业执照</w:t>
      </w:r>
    </w:p>
    <w:p>
      <w:pPr>
        <w:numPr>
          <w:ilvl w:val="255"/>
          <w:numId w:val="0"/>
        </w:numPr>
        <w:tabs>
          <w:tab w:val="left" w:pos="640"/>
          <w:tab w:val="left" w:pos="1260"/>
          <w:tab w:val="left" w:pos="1418"/>
        </w:tabs>
        <w:spacing w:line="360" w:lineRule="auto"/>
        <w:rPr>
          <w:rFonts w:ascii="宋体" w:hAnsi="宋体" w:cs="宋体"/>
          <w:sz w:val="24"/>
          <w:lang w:val="fr-CH"/>
        </w:rPr>
      </w:pPr>
    </w:p>
    <w:p>
      <w:pPr>
        <w:numPr>
          <w:ilvl w:val="0"/>
          <w:numId w:val="10"/>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w:t>
      </w:r>
      <w:r>
        <w:rPr>
          <w:rFonts w:hint="eastAsia" w:ascii="宋体" w:hAnsi="宋体" w:cs="宋体"/>
          <w:b/>
          <w:bCs/>
          <w:kern w:val="0"/>
          <w:sz w:val="24"/>
        </w:rPr>
        <w:t>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rPr>
        <w:t>；无串通投标、弄虚作假不良行为记录被暂停投标资格期间或涉嫌串通投标、弄虚作假并正在接受主管部门调查的情况；无因违反建设工程</w:t>
      </w:r>
      <w:r>
        <w:rPr>
          <w:rFonts w:hint="eastAsia" w:ascii="宋体" w:hAnsi="宋体" w:cs="宋体"/>
          <w:kern w:val="0"/>
          <w:sz w:val="24"/>
          <w:lang w:eastAsia="zh-CN"/>
        </w:rPr>
        <w:t>法律法规</w:t>
      </w:r>
      <w:r>
        <w:rPr>
          <w:rFonts w:hint="eastAsia" w:ascii="宋体" w:hAnsi="宋体" w:cs="宋体"/>
          <w:kern w:val="0"/>
          <w:sz w:val="24"/>
        </w:rPr>
        <w:t>规定而受到建设行政主管部门红色警示并正在红色警示期间的情况；</w:t>
      </w:r>
    </w:p>
    <w:p>
      <w:pPr>
        <w:widowControl/>
        <w:numPr>
          <w:ilvl w:val="0"/>
          <w:numId w:val="11"/>
        </w:numPr>
        <w:shd w:val="clear" w:color="auto" w:fill="FFFFFF"/>
        <w:spacing w:line="360" w:lineRule="auto"/>
        <w:ind w:right="-4" w:firstLine="482" w:firstLineChars="200"/>
        <w:jc w:val="left"/>
        <w:rPr>
          <w:rFonts w:ascii="宋体" w:hAnsi="宋体" w:cs="宋体"/>
          <w:b/>
          <w:bCs/>
          <w:kern w:val="0"/>
          <w:sz w:val="24"/>
        </w:rPr>
      </w:pPr>
      <w:r>
        <w:rPr>
          <w:rFonts w:hint="eastAsia" w:ascii="宋体" w:hAnsi="宋体" w:cs="宋体"/>
          <w:b/>
          <w:bCs/>
          <w:sz w:val="24"/>
        </w:rPr>
        <w:t>我单位</w:t>
      </w:r>
      <w:r>
        <w:rPr>
          <w:rFonts w:hint="eastAsia" w:ascii="宋体" w:hAnsi="宋体" w:cs="宋体"/>
          <w:b/>
          <w:bCs/>
          <w:kern w:val="0"/>
          <w:sz w:val="24"/>
        </w:rPr>
        <w:t>及其法定代表人近三年内（投标人成立不足三年的可从成立之日起算）无行贿犯罪记录；</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1"/>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w:t>
      </w:r>
      <w:r>
        <w:rPr>
          <w:rFonts w:hint="eastAsia" w:ascii="宋体" w:hAnsi="宋体" w:cs="宋体"/>
          <w:sz w:val="24"/>
        </w:rPr>
        <w:t>深圳信用网</w:t>
      </w:r>
      <w:r>
        <w:rPr>
          <w:rFonts w:hint="eastAsia" w:ascii="宋体" w:hAnsi="宋体" w:cs="宋体"/>
          <w:kern w:val="0"/>
          <w:sz w:val="24"/>
        </w:rPr>
        <w:t>（www.szcredit.org.cn）等4个官网中列入“失信被执行人、重大税收违法案件当事人名单、政府采购严重违法失信行为记录名单”</w:t>
      </w:r>
      <w:r>
        <w:rPr>
          <w:rFonts w:hint="eastAsia" w:ascii="宋体" w:hAnsi="宋体" w:cs="宋体"/>
          <w:sz w:val="24"/>
        </w:rPr>
        <w:t>。</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0"/>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0"/>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w:t>
      </w:r>
      <w:r>
        <w:rPr>
          <w:rFonts w:ascii="宋体" w:hAnsi="宋体" w:cs="宋体"/>
          <w:sz w:val="24"/>
        </w:rPr>
        <w:t>定代表</w:t>
      </w:r>
      <w:r>
        <w:rPr>
          <w:rFonts w:hint="eastAsia" w:ascii="宋体" w:hAnsi="宋体" w:cs="宋体"/>
          <w:sz w:val="24"/>
          <w:lang w:val="fr-CH"/>
        </w:rPr>
        <w:t>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1"/>
              <w:spacing w:line="360" w:lineRule="auto"/>
              <w:rPr>
                <w:rFonts w:ascii="Arial Narrow" w:hAnsi="Arial Narrow"/>
                <w:b/>
                <w:bCs/>
                <w:szCs w:val="21"/>
              </w:rPr>
            </w:pPr>
          </w:p>
        </w:tc>
        <w:tc>
          <w:tcPr>
            <w:tcW w:w="4240" w:type="dxa"/>
          </w:tcPr>
          <w:p>
            <w:pPr>
              <w:pStyle w:val="11"/>
              <w:spacing w:line="360" w:lineRule="auto"/>
              <w:rPr>
                <w:rFonts w:ascii="Arial Narrow" w:hAnsi="Arial Narrow"/>
                <w:b/>
                <w:bCs/>
                <w:szCs w:val="21"/>
              </w:rPr>
            </w:pPr>
          </w:p>
        </w:tc>
      </w:tr>
    </w:tbl>
    <w:p>
      <w:pPr>
        <w:pStyle w:val="9"/>
        <w:rPr>
          <w:lang w:val="fr-CH"/>
        </w:rPr>
      </w:pPr>
    </w:p>
    <w:p>
      <w:pPr>
        <w:numPr>
          <w:ilvl w:val="0"/>
          <w:numId w:val="10"/>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1"/>
        <w:spacing w:line="360" w:lineRule="auto"/>
        <w:jc w:val="center"/>
        <w:rPr>
          <w:rFonts w:hAnsi="宋体" w:cs="宋体"/>
          <w:b/>
          <w:sz w:val="24"/>
        </w:rPr>
      </w:pPr>
    </w:p>
    <w:p>
      <w:pPr>
        <w:pStyle w:val="11"/>
        <w:spacing w:line="360" w:lineRule="auto"/>
        <w:jc w:val="center"/>
        <w:rPr>
          <w:rFonts w:hAnsi="宋体" w:cs="宋体"/>
          <w:b/>
          <w:sz w:val="24"/>
        </w:rPr>
      </w:pPr>
      <w:r>
        <w:rPr>
          <w:rFonts w:hint="eastAsia" w:hAnsi="宋体" w:cs="宋体"/>
          <w:b/>
          <w:sz w:val="24"/>
        </w:rPr>
        <w:t>法定代表人授权书</w:t>
      </w:r>
    </w:p>
    <w:p>
      <w:pPr>
        <w:pStyle w:val="11"/>
        <w:spacing w:line="360" w:lineRule="auto"/>
        <w:rPr>
          <w:rFonts w:hAnsi="宋体" w:cs="宋体"/>
          <w:sz w:val="24"/>
        </w:rPr>
      </w:pPr>
    </w:p>
    <w:p>
      <w:pPr>
        <w:pStyle w:val="11"/>
        <w:spacing w:line="360" w:lineRule="auto"/>
        <w:rPr>
          <w:rFonts w:hAnsi="宋体" w:cs="宋体"/>
          <w:sz w:val="24"/>
        </w:rPr>
      </w:pPr>
      <w:r>
        <w:rPr>
          <w:rFonts w:hint="eastAsia" w:hAnsi="宋体" w:cs="宋体"/>
          <w:b/>
          <w:sz w:val="24"/>
        </w:rPr>
        <w:t>深圳市前海深港现代服务业合作区管理局：</w:t>
      </w:r>
    </w:p>
    <w:p>
      <w:pPr>
        <w:pStyle w:val="11"/>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1"/>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0"/>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致：友和保险经纪有限公司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9"/>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0"/>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11"/>
        <w:spacing w:line="360" w:lineRule="auto"/>
        <w:jc w:val="center"/>
        <w:rPr>
          <w:rFonts w:hAnsi="宋体" w:cs="宋体"/>
          <w:b/>
          <w:bCs/>
          <w:sz w:val="24"/>
        </w:rPr>
      </w:pPr>
      <w:r>
        <w:rPr>
          <w:rFonts w:hint="eastAsia" w:hAnsi="宋体" w:cs="宋体"/>
          <w:b/>
          <w:bCs/>
          <w:sz w:val="24"/>
        </w:rPr>
        <w:t>供应商基本情况一览表</w:t>
      </w:r>
    </w:p>
    <w:p>
      <w:pPr>
        <w:pStyle w:val="11"/>
        <w:spacing w:line="360" w:lineRule="auto"/>
        <w:ind w:firstLine="420"/>
        <w:rPr>
          <w:rFonts w:hAnsi="宋体" w:cs="宋体"/>
          <w:sz w:val="24"/>
        </w:rPr>
      </w:pPr>
      <w:r>
        <w:rPr>
          <w:rFonts w:hint="eastAsia" w:hAnsi="宋体" w:cs="宋体"/>
          <w:sz w:val="24"/>
        </w:rPr>
        <w:t>1．名称及概况：</w:t>
      </w:r>
    </w:p>
    <w:p>
      <w:pPr>
        <w:pStyle w:val="11"/>
        <w:spacing w:line="360" w:lineRule="auto"/>
        <w:ind w:firstLine="420"/>
        <w:rPr>
          <w:rFonts w:hAnsi="宋体" w:cs="宋体"/>
          <w:sz w:val="24"/>
        </w:rPr>
      </w:pPr>
      <w:r>
        <w:rPr>
          <w:rFonts w:hint="eastAsia" w:hAnsi="宋体" w:cs="宋体"/>
          <w:sz w:val="24"/>
        </w:rPr>
        <w:t>（1）供应商名称：_______________________________________</w:t>
      </w:r>
    </w:p>
    <w:p>
      <w:pPr>
        <w:pStyle w:val="11"/>
        <w:spacing w:line="360" w:lineRule="auto"/>
        <w:ind w:firstLine="420"/>
        <w:rPr>
          <w:rFonts w:hAnsi="宋体" w:cs="宋体"/>
          <w:sz w:val="24"/>
        </w:rPr>
      </w:pPr>
      <w:r>
        <w:rPr>
          <w:rFonts w:hint="eastAsia" w:hAnsi="宋体" w:cs="宋体"/>
          <w:sz w:val="24"/>
        </w:rPr>
        <w:t>（2）地址：______________________________________________</w:t>
      </w:r>
    </w:p>
    <w:p>
      <w:pPr>
        <w:pStyle w:val="11"/>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11"/>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11"/>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11"/>
        <w:spacing w:line="360" w:lineRule="auto"/>
        <w:ind w:firstLine="420"/>
        <w:rPr>
          <w:rFonts w:hAnsi="宋体" w:cs="宋体"/>
          <w:sz w:val="24"/>
        </w:rPr>
      </w:pPr>
      <w:r>
        <w:rPr>
          <w:rFonts w:hint="eastAsia" w:hAnsi="宋体" w:cs="宋体"/>
          <w:sz w:val="24"/>
        </w:rPr>
        <w:t>（3）成立和／或注册日期：_________________________________</w:t>
      </w:r>
    </w:p>
    <w:p>
      <w:pPr>
        <w:pStyle w:val="11"/>
        <w:spacing w:line="360" w:lineRule="auto"/>
        <w:ind w:firstLine="420"/>
        <w:rPr>
          <w:rFonts w:hAnsi="宋体" w:cs="宋体"/>
          <w:sz w:val="24"/>
        </w:rPr>
      </w:pPr>
      <w:r>
        <w:rPr>
          <w:rFonts w:hint="eastAsia" w:hAnsi="宋体" w:cs="宋体"/>
          <w:sz w:val="24"/>
        </w:rPr>
        <w:t>（4）法人代表：___________________________________________</w:t>
      </w:r>
    </w:p>
    <w:p>
      <w:pPr>
        <w:pStyle w:val="11"/>
        <w:spacing w:line="360" w:lineRule="auto"/>
        <w:ind w:firstLine="420"/>
        <w:rPr>
          <w:rFonts w:hAnsi="宋体" w:cs="宋体"/>
          <w:sz w:val="24"/>
        </w:rPr>
      </w:pPr>
      <w:r>
        <w:rPr>
          <w:rFonts w:hint="eastAsia" w:hAnsi="宋体" w:cs="宋体"/>
          <w:sz w:val="24"/>
        </w:rPr>
        <w:t>（5）开户银行：___________________________________________</w:t>
      </w:r>
    </w:p>
    <w:p>
      <w:pPr>
        <w:pStyle w:val="11"/>
        <w:spacing w:line="360" w:lineRule="auto"/>
        <w:ind w:firstLine="420"/>
        <w:rPr>
          <w:rFonts w:hAnsi="宋体" w:cs="宋体"/>
          <w:sz w:val="24"/>
        </w:rPr>
      </w:pPr>
      <w:r>
        <w:rPr>
          <w:rFonts w:hint="eastAsia" w:hAnsi="宋体" w:cs="宋体"/>
          <w:sz w:val="24"/>
        </w:rPr>
        <w:t>（6）</w:t>
      </w:r>
      <w:r>
        <w:rPr>
          <w:rFonts w:hint="eastAsia" w:hAnsi="宋体" w:cs="宋体"/>
          <w:sz w:val="24"/>
          <w:lang w:eastAsia="zh-CN"/>
        </w:rPr>
        <w:t>开户账号</w:t>
      </w:r>
      <w:r>
        <w:rPr>
          <w:rFonts w:hint="eastAsia" w:hAnsi="宋体" w:cs="宋体"/>
          <w:sz w:val="24"/>
        </w:rPr>
        <w:t>：___________________________________________</w:t>
      </w:r>
    </w:p>
    <w:p>
      <w:pPr>
        <w:pStyle w:val="11"/>
        <w:spacing w:line="360" w:lineRule="auto"/>
        <w:ind w:firstLine="420"/>
        <w:rPr>
          <w:rFonts w:hAnsi="宋体" w:cs="宋体"/>
          <w:sz w:val="24"/>
        </w:rPr>
      </w:pPr>
      <w:r>
        <w:rPr>
          <w:rFonts w:hint="eastAsia" w:hAnsi="宋体" w:cs="宋体"/>
          <w:sz w:val="24"/>
        </w:rPr>
        <w:t>（7）注册资金：___________________________________________</w:t>
      </w:r>
    </w:p>
    <w:p>
      <w:pPr>
        <w:pStyle w:val="11"/>
        <w:spacing w:line="360" w:lineRule="auto"/>
        <w:ind w:firstLine="420"/>
        <w:rPr>
          <w:rFonts w:hAnsi="宋体" w:cs="宋体"/>
          <w:sz w:val="24"/>
        </w:rPr>
      </w:pPr>
      <w:r>
        <w:rPr>
          <w:rFonts w:hint="eastAsia" w:hAnsi="宋体" w:cs="宋体"/>
          <w:sz w:val="24"/>
        </w:rPr>
        <w:t>（8）近两年财务基本情况</w:t>
      </w:r>
    </w:p>
    <w:p>
      <w:pPr>
        <w:pStyle w:val="11"/>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11"/>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11"/>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11"/>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11"/>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11"/>
        <w:spacing w:line="360" w:lineRule="auto"/>
        <w:ind w:firstLine="420"/>
        <w:rPr>
          <w:rFonts w:hAnsi="宋体" w:cs="宋体"/>
          <w:sz w:val="24"/>
        </w:rPr>
      </w:pPr>
      <w:r>
        <w:rPr>
          <w:rFonts w:hint="eastAsia" w:hAnsi="宋体" w:cs="宋体"/>
          <w:sz w:val="24"/>
        </w:rPr>
        <w:t>（9）项目主要联系人（姓名、职务、通讯）：</w:t>
      </w:r>
    </w:p>
    <w:p>
      <w:pPr>
        <w:pStyle w:val="11"/>
        <w:spacing w:line="360" w:lineRule="auto"/>
        <w:rPr>
          <w:rFonts w:hAnsi="宋体" w:cs="宋体"/>
          <w:sz w:val="24"/>
        </w:rPr>
      </w:pPr>
      <w:r>
        <w:rPr>
          <w:rFonts w:hint="eastAsia" w:hAnsi="宋体" w:cs="宋体"/>
          <w:sz w:val="24"/>
        </w:rPr>
        <w:t>_____________________________________________________________________</w:t>
      </w:r>
    </w:p>
    <w:p>
      <w:pPr>
        <w:pStyle w:val="11"/>
        <w:spacing w:line="360" w:lineRule="auto"/>
        <w:ind w:firstLine="420"/>
        <w:rPr>
          <w:rFonts w:hAnsi="宋体" w:cs="宋体"/>
          <w:sz w:val="24"/>
        </w:rPr>
      </w:pPr>
      <w:r>
        <w:rPr>
          <w:rFonts w:hint="eastAsia" w:hAnsi="宋体" w:cs="宋体"/>
          <w:sz w:val="24"/>
        </w:rPr>
        <w:t>（10）公司概况；</w:t>
      </w:r>
    </w:p>
    <w:p>
      <w:pPr>
        <w:pStyle w:val="11"/>
        <w:spacing w:line="360" w:lineRule="auto"/>
        <w:ind w:firstLine="420"/>
        <w:rPr>
          <w:rFonts w:hAnsi="宋体" w:cs="宋体"/>
          <w:sz w:val="24"/>
        </w:rPr>
      </w:pPr>
      <w:r>
        <w:rPr>
          <w:rFonts w:hint="eastAsia" w:hAnsi="宋体" w:cs="宋体"/>
          <w:sz w:val="24"/>
        </w:rPr>
        <w:t>（11）公司组织机构；</w:t>
      </w:r>
    </w:p>
    <w:p>
      <w:pPr>
        <w:pStyle w:val="11"/>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9"/>
        <w:rPr>
          <w:lang w:val="fr-CH"/>
        </w:rPr>
      </w:pPr>
    </w:p>
    <w:p>
      <w:pPr>
        <w:numPr>
          <w:ilvl w:val="0"/>
          <w:numId w:val="10"/>
        </w:numPr>
        <w:tabs>
          <w:tab w:val="left" w:pos="640"/>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同类项目业绩；</w:t>
      </w:r>
    </w:p>
    <w:p>
      <w:pPr>
        <w:numPr>
          <w:ilvl w:val="0"/>
          <w:numId w:val="10"/>
        </w:numPr>
        <w:tabs>
          <w:tab w:val="left" w:pos="640"/>
        </w:tabs>
        <w:spacing w:line="360" w:lineRule="auto"/>
        <w:ind w:left="845" w:hanging="845"/>
        <w:rPr>
          <w:rFonts w:ascii="宋体" w:hAnsi="宋体" w:cs="宋体"/>
          <w:sz w:val="24"/>
          <w:lang w:val="fr-CH"/>
        </w:rPr>
      </w:pPr>
      <w:r>
        <w:rPr>
          <w:rFonts w:hint="eastAsia" w:ascii="宋体" w:hAnsi="宋体" w:cs="宋体"/>
          <w:sz w:val="24"/>
        </w:rPr>
        <w:t>获奖情况；</w:t>
      </w:r>
    </w:p>
    <w:p>
      <w:pPr>
        <w:numPr>
          <w:ilvl w:val="0"/>
          <w:numId w:val="10"/>
        </w:numPr>
        <w:tabs>
          <w:tab w:val="left" w:pos="640"/>
        </w:tabs>
        <w:spacing w:line="360" w:lineRule="auto"/>
        <w:ind w:left="845" w:hanging="845"/>
        <w:rPr>
          <w:rFonts w:ascii="宋体" w:hAnsi="宋体" w:cs="宋体"/>
          <w:sz w:val="24"/>
          <w:lang w:val="fr-CH"/>
        </w:rPr>
      </w:pPr>
      <w:r>
        <w:rPr>
          <w:rFonts w:hint="eastAsia" w:ascii="宋体" w:hAnsi="宋体" w:cs="宋体"/>
          <w:sz w:val="24"/>
        </w:rPr>
        <w:t>项目负责人情况；</w:t>
      </w:r>
    </w:p>
    <w:p>
      <w:pPr>
        <w:numPr>
          <w:ilvl w:val="0"/>
          <w:numId w:val="10"/>
        </w:numPr>
        <w:tabs>
          <w:tab w:val="left" w:pos="640"/>
        </w:tabs>
        <w:spacing w:line="360" w:lineRule="auto"/>
        <w:ind w:left="845" w:hanging="845"/>
        <w:rPr>
          <w:rFonts w:ascii="宋体" w:hAnsi="宋体" w:cs="宋体"/>
          <w:sz w:val="24"/>
        </w:rPr>
      </w:pPr>
      <w:r>
        <w:rPr>
          <w:rFonts w:hint="eastAsia" w:ascii="宋体" w:hAnsi="宋体" w:cs="宋体"/>
          <w:sz w:val="24"/>
        </w:rPr>
        <w:t>项目研究团队情况；</w:t>
      </w:r>
    </w:p>
    <w:p>
      <w:pPr>
        <w:numPr>
          <w:ilvl w:val="255"/>
          <w:numId w:val="0"/>
        </w:numPr>
        <w:tabs>
          <w:tab w:val="left" w:pos="640"/>
          <w:tab w:val="left" w:pos="840"/>
          <w:tab w:val="left" w:pos="1260"/>
          <w:tab w:val="left" w:pos="1418"/>
        </w:tabs>
        <w:spacing w:line="360" w:lineRule="auto"/>
        <w:rPr>
          <w:rFonts w:ascii="宋体" w:hAnsi="宋体" w:cs="宋体"/>
          <w:sz w:val="24"/>
          <w:lang w:val="fr-CH"/>
        </w:rPr>
      </w:pP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企业诚信；</w:t>
      </w:r>
    </w:p>
    <w:p>
      <w:pPr>
        <w:spacing w:line="360" w:lineRule="auto"/>
        <w:jc w:val="center"/>
        <w:rPr>
          <w:rFonts w:ascii="宋体" w:hAnsi="宋体" w:cs="宋体"/>
          <w:b/>
          <w:bCs/>
          <w:sz w:val="24"/>
        </w:rPr>
      </w:pPr>
      <w:r>
        <w:rPr>
          <w:rFonts w:hint="eastAsia" w:ascii="宋体" w:hAnsi="宋体" w:cs="宋体"/>
          <w:b/>
          <w:bCs/>
          <w:sz w:val="24"/>
        </w:rPr>
        <w:t>企业诚信声明与承诺</w:t>
      </w:r>
    </w:p>
    <w:p>
      <w:pPr>
        <w:spacing w:line="360" w:lineRule="auto"/>
        <w:rPr>
          <w:rFonts w:ascii="宋体" w:hAnsi="宋体" w:cs="宋体"/>
          <w:b/>
          <w:bCs/>
          <w:sz w:val="24"/>
        </w:rPr>
      </w:pPr>
      <w:r>
        <w:rPr>
          <w:rFonts w:hint="eastAsia" w:ascii="宋体" w:hAnsi="宋体" w:cs="宋体"/>
          <w:b/>
          <w:bCs/>
          <w:sz w:val="24"/>
        </w:rPr>
        <w:t>友和保险经纪有限公司：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11"/>
        <w:spacing w:line="360" w:lineRule="auto"/>
        <w:jc w:val="left"/>
        <w:rPr>
          <w:rFonts w:hAnsi="宋体" w:cs="宋体"/>
          <w:sz w:val="24"/>
        </w:rPr>
      </w:pPr>
    </w:p>
    <w:p>
      <w:pPr>
        <w:pStyle w:val="11"/>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9"/>
        <w:rPr>
          <w:lang w:val="fr-CH"/>
        </w:rPr>
      </w:pPr>
    </w:p>
    <w:p>
      <w:pPr>
        <w:numPr>
          <w:ilvl w:val="0"/>
          <w:numId w:val="10"/>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2"/>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
                <w:sz w:val="24"/>
              </w:rPr>
              <w:t>我司完全响应满足招标文件“第五章 用户需求书”的全部内容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1.“投标文件响应”填写说明：此项投标人必须完全响应满足，请投标人于“投标文件响应”栏中填写“</w:t>
      </w:r>
      <w:r>
        <w:rPr>
          <w:rFonts w:hint="eastAsia" w:ascii="宋体" w:hAnsi="宋体" w:cs="宋体"/>
          <w:b/>
          <w:sz w:val="24"/>
        </w:rPr>
        <w:t>我司完全响应满足招标文件“第五章 用户需求书”的全部内容</w:t>
      </w:r>
      <w:r>
        <w:rPr>
          <w:rFonts w:hint="eastAsia" w:ascii="宋体" w:hAnsi="宋体" w:cs="宋体"/>
          <w:bCs/>
          <w:sz w:val="24"/>
        </w:rPr>
        <w:t>”即可；</w:t>
      </w:r>
    </w:p>
    <w:p>
      <w:pPr>
        <w:spacing w:after="78" w:line="360" w:lineRule="auto"/>
        <w:rPr>
          <w:rFonts w:ascii="宋体" w:hAnsi="宋体" w:cs="宋体"/>
          <w:bCs/>
          <w:sz w:val="24"/>
        </w:rPr>
      </w:pPr>
      <w:r>
        <w:rPr>
          <w:rFonts w:hint="eastAsia" w:ascii="宋体" w:hAnsi="宋体" w:cs="宋体"/>
          <w:bCs/>
          <w:sz w:val="24"/>
        </w:rPr>
        <w:t>无需另行编制填写内容。</w:t>
      </w:r>
    </w:p>
    <w:p>
      <w:pPr>
        <w:spacing w:after="78" w:line="360" w:lineRule="auto"/>
        <w:rPr>
          <w:rFonts w:ascii="宋体" w:hAnsi="宋体" w:cs="宋体"/>
          <w:bCs/>
          <w:sz w:val="24"/>
        </w:rPr>
      </w:pPr>
      <w:r>
        <w:rPr>
          <w:rFonts w:hint="eastAsia" w:ascii="宋体" w:hAnsi="宋体" w:cs="宋体"/>
          <w:bCs/>
          <w:sz w:val="24"/>
        </w:rPr>
        <w:t>2.若响应情况优于招标要求，应作详细说明；“偏离情况”栏中根据响应情况填写，没有达到要求的填“负偏离”，达到要求的填“符合”，优于要求的填“正偏离”。</w:t>
      </w: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1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对项目的整体理解</w:t>
      </w:r>
      <w:r>
        <w:rPr>
          <w:rFonts w:hint="eastAsia" w:ascii="宋体" w:hAnsi="宋体" w:cs="宋体"/>
          <w:sz w:val="24"/>
          <w:lang w:val="fr-CH"/>
        </w:rPr>
        <w:t>；</w:t>
      </w:r>
    </w:p>
    <w:p>
      <w:pPr>
        <w:numPr>
          <w:ilvl w:val="0"/>
          <w:numId w:val="1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项目重点难点分析、应对措施及相关的合理化建议</w:t>
      </w:r>
      <w:r>
        <w:rPr>
          <w:rFonts w:hint="eastAsia" w:ascii="宋体" w:hAnsi="宋体" w:cs="宋体"/>
          <w:sz w:val="24"/>
          <w:lang w:val="fr-CH"/>
        </w:rPr>
        <w:t>；</w:t>
      </w:r>
    </w:p>
    <w:p>
      <w:pPr>
        <w:numPr>
          <w:ilvl w:val="0"/>
          <w:numId w:val="1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编制研究方法及思路</w:t>
      </w:r>
      <w:r>
        <w:rPr>
          <w:rFonts w:hint="eastAsia" w:ascii="宋体" w:hAnsi="宋体" w:cs="宋体"/>
          <w:sz w:val="24"/>
          <w:lang w:val="fr-CH"/>
        </w:rPr>
        <w:t>；</w:t>
      </w:r>
    </w:p>
    <w:p>
      <w:pPr>
        <w:numPr>
          <w:ilvl w:val="0"/>
          <w:numId w:val="1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成果预设</w:t>
      </w:r>
    </w:p>
    <w:p>
      <w:pPr>
        <w:numPr>
          <w:ilvl w:val="0"/>
          <w:numId w:val="1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zh-CN"/>
        </w:rPr>
        <w:t>项目进度计划</w:t>
      </w:r>
    </w:p>
    <w:p>
      <w:pPr>
        <w:numPr>
          <w:ilvl w:val="0"/>
          <w:numId w:val="1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numPr>
          <w:ilvl w:val="255"/>
          <w:numId w:val="0"/>
        </w:numPr>
        <w:tabs>
          <w:tab w:val="left" w:pos="640"/>
          <w:tab w:val="left" w:pos="1260"/>
          <w:tab w:val="left" w:pos="1418"/>
        </w:tabs>
        <w:spacing w:line="360" w:lineRule="auto"/>
        <w:ind w:right="-420" w:rightChars="-200"/>
        <w:rPr>
          <w:rFonts w:ascii="宋体" w:hAnsi="宋体" w:cs="宋体"/>
          <w:sz w:val="24"/>
          <w:lang w:val="fr-CH"/>
        </w:rPr>
      </w:pP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13"/>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19" w:name="_Toc742"/>
      <w:bookmarkStart w:id="20" w:name="_Toc6251"/>
      <w:r>
        <w:rPr>
          <w:rFonts w:hint="eastAsia" w:ascii="宋体" w:hAnsi="宋体" w:cs="宋体"/>
          <w:b/>
          <w:bCs/>
          <w:sz w:val="24"/>
        </w:rPr>
        <w:t>附件：相关政策</w:t>
      </w:r>
      <w:bookmarkEnd w:id="19"/>
      <w:bookmarkEnd w:id="20"/>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9"/>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9"/>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hint="eastAsia" w:ascii="宋体" w:hAnsi="宋体" w:cs="宋体"/>
          <w:kern w:val="0"/>
          <w:lang w:eastAsia="zh-CN"/>
        </w:rPr>
        <w:t>（</w:t>
      </w:r>
      <w:r>
        <w:rPr>
          <w:rFonts w:hint="eastAsia" w:ascii="宋体" w:hAnsi="宋体" w:cs="宋体"/>
          <w:kern w:val="0"/>
        </w:rPr>
        <w:t>本项目以10%扣除</w:t>
      </w:r>
      <w:r>
        <w:rPr>
          <w:rFonts w:hint="eastAsia" w:ascii="宋体" w:hAnsi="宋体" w:cs="宋体"/>
          <w:kern w:val="0"/>
          <w:lang w:eastAsia="zh-CN"/>
        </w:rPr>
        <w:t>）</w:t>
      </w:r>
      <w:r>
        <w:rPr>
          <w:rFonts w:hint="eastAsia" w:ascii="宋体" w:hAnsi="宋体" w:cs="宋体"/>
          <w:kern w:val="0"/>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第十八条 主管预算单位应当自2022年起向同级财政部门报告本部门上一年度面向中小企业预留份额和采购的 具体情况，并在中国政府采购网公开预留项目执行情况</w:t>
      </w:r>
      <w:r>
        <w:rPr>
          <w:rFonts w:hint="eastAsia" w:ascii="宋体" w:hAnsi="宋体" w:cs="宋体"/>
          <w:kern w:val="0"/>
          <w:lang w:eastAsia="zh-CN"/>
        </w:rPr>
        <w:t>（</w:t>
      </w:r>
      <w:r>
        <w:rPr>
          <w:rFonts w:hint="eastAsia" w:ascii="宋体" w:hAnsi="宋体" w:cs="宋体"/>
          <w:kern w:val="0"/>
        </w:rPr>
        <w:t>附 2</w:t>
      </w:r>
      <w:r>
        <w:rPr>
          <w:rFonts w:hint="eastAsia" w:ascii="宋体" w:hAnsi="宋体" w:cs="宋体"/>
          <w:kern w:val="0"/>
          <w:lang w:eastAsia="zh-CN"/>
        </w:rPr>
        <w:t>）</w:t>
      </w:r>
      <w:r>
        <w:rPr>
          <w:rFonts w:hint="eastAsia" w:ascii="宋体" w:hAnsi="宋体" w:cs="宋体"/>
          <w:kern w:val="0"/>
        </w:rPr>
        <w:t xml:space="preserve">。未达到本办法规定的预留份额比例的，应当作出说明。 </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9"/>
        <w:tabs>
          <w:tab w:val="left" w:pos="562"/>
          <w:tab w:val="left" w:pos="3372"/>
          <w:tab w:val="left" w:pos="3653"/>
        </w:tabs>
        <w:spacing w:before="5"/>
        <w:rPr>
          <w:rFonts w:ascii="宋体" w:hAnsi="宋体" w:cs="宋体"/>
        </w:rPr>
      </w:pP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附：1.中小企业声明函</w:t>
      </w:r>
    </w:p>
    <w:p>
      <w:pPr>
        <w:pStyle w:val="9"/>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9"/>
        <w:tabs>
          <w:tab w:val="left" w:pos="562"/>
          <w:tab w:val="left" w:pos="3372"/>
          <w:tab w:val="left" w:pos="3653"/>
        </w:tabs>
        <w:spacing w:before="3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9"/>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ascii="宋体" w:hAnsi="宋体" w:cs="宋体"/>
          <w:spacing w:val="-2"/>
        </w:rPr>
      </w:pPr>
    </w:p>
    <w:p>
      <w:pPr>
        <w:pStyle w:val="9"/>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9"/>
        <w:tabs>
          <w:tab w:val="left" w:pos="562"/>
          <w:tab w:val="left" w:pos="3372"/>
          <w:tab w:val="left" w:pos="3653"/>
        </w:tabs>
        <w:rPr>
          <w:rFonts w:ascii="宋体" w:hAnsi="宋体" w:cs="宋体"/>
          <w:spacing w:val="-2"/>
        </w:rPr>
      </w:pPr>
    </w:p>
    <w:p>
      <w:pPr>
        <w:pStyle w:val="9"/>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9"/>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9"/>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9"/>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2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8"/>
              <w:jc w:val="center"/>
              <w:rPr>
                <w:b/>
                <w:sz w:val="24"/>
                <w:szCs w:val="24"/>
              </w:rPr>
            </w:pPr>
            <w:r>
              <w:rPr>
                <w:rFonts w:hint="eastAsia"/>
                <w:b/>
                <w:sz w:val="24"/>
                <w:szCs w:val="24"/>
              </w:rPr>
              <w:t>序号</w:t>
            </w:r>
          </w:p>
        </w:tc>
        <w:tc>
          <w:tcPr>
            <w:tcW w:w="1866" w:type="dxa"/>
            <w:vAlign w:val="center"/>
          </w:tcPr>
          <w:p>
            <w:pPr>
              <w:pStyle w:val="58"/>
              <w:jc w:val="center"/>
              <w:rPr>
                <w:b/>
                <w:sz w:val="24"/>
                <w:szCs w:val="24"/>
              </w:rPr>
            </w:pPr>
            <w:r>
              <w:rPr>
                <w:rFonts w:hint="eastAsia"/>
                <w:b/>
                <w:sz w:val="24"/>
                <w:szCs w:val="24"/>
              </w:rPr>
              <w:t>项目名称</w:t>
            </w:r>
          </w:p>
        </w:tc>
        <w:tc>
          <w:tcPr>
            <w:tcW w:w="2010" w:type="dxa"/>
            <w:vAlign w:val="center"/>
          </w:tcPr>
          <w:p>
            <w:pPr>
              <w:pStyle w:val="58"/>
              <w:jc w:val="center"/>
              <w:rPr>
                <w:b/>
                <w:sz w:val="24"/>
                <w:szCs w:val="24"/>
              </w:rPr>
            </w:pPr>
            <w:r>
              <w:rPr>
                <w:rFonts w:hint="eastAsia"/>
                <w:b/>
                <w:sz w:val="24"/>
                <w:szCs w:val="24"/>
              </w:rPr>
              <w:t>预留选项</w:t>
            </w:r>
          </w:p>
        </w:tc>
        <w:tc>
          <w:tcPr>
            <w:tcW w:w="2296" w:type="dxa"/>
            <w:vAlign w:val="center"/>
          </w:tcPr>
          <w:p>
            <w:pPr>
              <w:pStyle w:val="58"/>
              <w:jc w:val="center"/>
              <w:rPr>
                <w:b/>
                <w:sz w:val="24"/>
                <w:szCs w:val="24"/>
              </w:rPr>
            </w:pPr>
            <w:r>
              <w:rPr>
                <w:rFonts w:hint="eastAsia"/>
                <w:b/>
                <w:sz w:val="24"/>
                <w:szCs w:val="24"/>
              </w:rPr>
              <w:t>面向中小企业采购金额</w:t>
            </w:r>
          </w:p>
        </w:tc>
        <w:tc>
          <w:tcPr>
            <w:tcW w:w="1784" w:type="dxa"/>
            <w:vAlign w:val="center"/>
          </w:tcPr>
          <w:p>
            <w:pPr>
              <w:pStyle w:val="58"/>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8"/>
              <w:jc w:val="center"/>
              <w:rPr>
                <w:sz w:val="24"/>
                <w:szCs w:val="24"/>
              </w:rPr>
            </w:pPr>
          </w:p>
        </w:tc>
        <w:tc>
          <w:tcPr>
            <w:tcW w:w="1866" w:type="dxa"/>
            <w:tcBorders>
              <w:bottom w:val="nil"/>
            </w:tcBorders>
            <w:vAlign w:val="center"/>
          </w:tcPr>
          <w:p>
            <w:pPr>
              <w:pStyle w:val="58"/>
              <w:jc w:val="center"/>
              <w:rPr>
                <w:sz w:val="24"/>
                <w:szCs w:val="24"/>
              </w:rPr>
            </w:pPr>
          </w:p>
        </w:tc>
        <w:tc>
          <w:tcPr>
            <w:tcW w:w="2010" w:type="dxa"/>
            <w:tcBorders>
              <w:bottom w:val="nil"/>
            </w:tcBorders>
            <w:vAlign w:val="center"/>
          </w:tcPr>
          <w:p>
            <w:pPr>
              <w:pStyle w:val="58"/>
              <w:jc w:val="center"/>
              <w:rPr>
                <w:sz w:val="24"/>
                <w:szCs w:val="24"/>
              </w:rPr>
            </w:pPr>
            <w:r>
              <w:rPr>
                <w:rFonts w:hint="eastAsia"/>
                <w:sz w:val="24"/>
                <w:szCs w:val="24"/>
              </w:rPr>
              <w:t>（填写“采购项</w:t>
            </w:r>
          </w:p>
        </w:tc>
        <w:tc>
          <w:tcPr>
            <w:tcW w:w="2296" w:type="dxa"/>
            <w:tcBorders>
              <w:bottom w:val="nil"/>
            </w:tcBorders>
            <w:vAlign w:val="center"/>
          </w:tcPr>
          <w:p>
            <w:pPr>
              <w:pStyle w:val="58"/>
              <w:jc w:val="center"/>
              <w:rPr>
                <w:sz w:val="24"/>
                <w:szCs w:val="24"/>
              </w:rPr>
            </w:pPr>
          </w:p>
        </w:tc>
        <w:tc>
          <w:tcPr>
            <w:tcW w:w="1784" w:type="dxa"/>
            <w:vMerge w:val="restart"/>
            <w:vAlign w:val="center"/>
          </w:tcPr>
          <w:p>
            <w:pPr>
              <w:pStyle w:val="58"/>
              <w:jc w:val="center"/>
              <w:rPr>
                <w:sz w:val="24"/>
                <w:szCs w:val="24"/>
              </w:rPr>
            </w:pPr>
          </w:p>
          <w:p>
            <w:pPr>
              <w:pStyle w:val="58"/>
              <w:jc w:val="center"/>
              <w:rPr>
                <w:sz w:val="24"/>
                <w:szCs w:val="24"/>
              </w:rPr>
            </w:pPr>
          </w:p>
          <w:p>
            <w:pPr>
              <w:pStyle w:val="58"/>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目整体预留”、</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“设置专门采购</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r>
              <w:rPr>
                <w:rFonts w:hint="eastAsia"/>
                <w:sz w:val="24"/>
                <w:szCs w:val="24"/>
              </w:rPr>
              <w:t>（填写集中采</w:t>
            </w:r>
          </w:p>
        </w:tc>
        <w:tc>
          <w:tcPr>
            <w:tcW w:w="2010" w:type="dxa"/>
            <w:tcBorders>
              <w:top w:val="nil"/>
              <w:bottom w:val="nil"/>
            </w:tcBorders>
            <w:vAlign w:val="center"/>
          </w:tcPr>
          <w:p>
            <w:pPr>
              <w:pStyle w:val="58"/>
              <w:jc w:val="center"/>
              <w:rPr>
                <w:sz w:val="24"/>
                <w:szCs w:val="24"/>
              </w:rPr>
            </w:pPr>
            <w:r>
              <w:rPr>
                <w:rFonts w:hint="eastAsia"/>
                <w:sz w:val="24"/>
                <w:szCs w:val="24"/>
              </w:rPr>
              <w:t>包”、“要求以</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r>
              <w:rPr>
                <w:rFonts w:hint="eastAsia"/>
                <w:sz w:val="24"/>
                <w:szCs w:val="24"/>
              </w:rPr>
              <w:t>购目录以内或</w:t>
            </w:r>
          </w:p>
        </w:tc>
        <w:tc>
          <w:tcPr>
            <w:tcW w:w="2010" w:type="dxa"/>
            <w:tcBorders>
              <w:top w:val="nil"/>
              <w:bottom w:val="nil"/>
            </w:tcBorders>
            <w:vAlign w:val="center"/>
          </w:tcPr>
          <w:p>
            <w:pPr>
              <w:pStyle w:val="58"/>
              <w:jc w:val="center"/>
              <w:rPr>
                <w:sz w:val="24"/>
                <w:szCs w:val="24"/>
              </w:rPr>
            </w:pPr>
            <w:r>
              <w:rPr>
                <w:rFonts w:hint="eastAsia"/>
                <w:sz w:val="24"/>
                <w:szCs w:val="24"/>
              </w:rPr>
              <w:t>联合体形式参</w:t>
            </w:r>
          </w:p>
        </w:tc>
        <w:tc>
          <w:tcPr>
            <w:tcW w:w="2296" w:type="dxa"/>
            <w:tcBorders>
              <w:top w:val="nil"/>
              <w:bottom w:val="nil"/>
            </w:tcBorders>
            <w:vAlign w:val="center"/>
          </w:tcPr>
          <w:p>
            <w:pPr>
              <w:pStyle w:val="58"/>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r>
              <w:rPr>
                <w:rFonts w:hint="eastAsia"/>
                <w:sz w:val="24"/>
                <w:szCs w:val="24"/>
              </w:rPr>
              <w:t>者采购限额标</w:t>
            </w:r>
          </w:p>
        </w:tc>
        <w:tc>
          <w:tcPr>
            <w:tcW w:w="2010" w:type="dxa"/>
            <w:tcBorders>
              <w:top w:val="nil"/>
              <w:bottom w:val="nil"/>
            </w:tcBorders>
            <w:vAlign w:val="center"/>
          </w:tcPr>
          <w:p>
            <w:pPr>
              <w:pStyle w:val="58"/>
              <w:jc w:val="center"/>
              <w:rPr>
                <w:sz w:val="24"/>
                <w:szCs w:val="24"/>
              </w:rPr>
            </w:pPr>
            <w:r>
              <w:rPr>
                <w:rFonts w:hint="eastAsia"/>
                <w:sz w:val="24"/>
                <w:szCs w:val="24"/>
              </w:rPr>
              <w:t>加”或者“要求</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58"/>
              <w:jc w:val="center"/>
              <w:rPr>
                <w:sz w:val="24"/>
                <w:szCs w:val="24"/>
              </w:rPr>
            </w:pPr>
            <w:r>
              <w:rPr>
                <w:rFonts w:hint="eastAsia"/>
                <w:sz w:val="24"/>
                <w:szCs w:val="24"/>
              </w:rPr>
              <w:t>合同分包”，除</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“采购项目全部</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预留”外，还应</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当填写预留给中</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58"/>
              <w:jc w:val="center"/>
              <w:rPr>
                <w:sz w:val="24"/>
                <w:szCs w:val="24"/>
              </w:rPr>
            </w:pPr>
          </w:p>
        </w:tc>
        <w:tc>
          <w:tcPr>
            <w:tcW w:w="2010" w:type="dxa"/>
            <w:tcBorders>
              <w:top w:val="nil"/>
            </w:tcBorders>
            <w:vAlign w:val="center"/>
          </w:tcPr>
          <w:p>
            <w:pPr>
              <w:pStyle w:val="58"/>
              <w:jc w:val="center"/>
              <w:rPr>
                <w:sz w:val="24"/>
                <w:szCs w:val="24"/>
              </w:rPr>
            </w:pPr>
            <w:r>
              <w:rPr>
                <w:rFonts w:hint="eastAsia"/>
                <w:sz w:val="24"/>
                <w:szCs w:val="24"/>
              </w:rPr>
              <w:t>小企业的比例）</w:t>
            </w:r>
          </w:p>
        </w:tc>
        <w:tc>
          <w:tcPr>
            <w:tcW w:w="2296" w:type="dxa"/>
            <w:tcBorders>
              <w:top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8"/>
              <w:jc w:val="center"/>
              <w:rPr>
                <w:sz w:val="24"/>
                <w:szCs w:val="24"/>
              </w:rPr>
            </w:pPr>
            <w:r>
              <w:rPr>
                <w:rFonts w:hint="eastAsia"/>
                <w:sz w:val="24"/>
                <w:szCs w:val="24"/>
              </w:rPr>
              <w:t>……</w:t>
            </w:r>
          </w:p>
        </w:tc>
        <w:tc>
          <w:tcPr>
            <w:tcW w:w="1866" w:type="dxa"/>
            <w:vAlign w:val="center"/>
          </w:tcPr>
          <w:p>
            <w:pPr>
              <w:pStyle w:val="58"/>
              <w:jc w:val="center"/>
              <w:rPr>
                <w:sz w:val="24"/>
                <w:szCs w:val="24"/>
              </w:rPr>
            </w:pPr>
            <w:r>
              <w:rPr>
                <w:rFonts w:hint="eastAsia"/>
                <w:sz w:val="24"/>
                <w:szCs w:val="24"/>
              </w:rPr>
              <w:t>……</w:t>
            </w:r>
          </w:p>
        </w:tc>
        <w:tc>
          <w:tcPr>
            <w:tcW w:w="2010" w:type="dxa"/>
            <w:vAlign w:val="center"/>
          </w:tcPr>
          <w:p>
            <w:pPr>
              <w:pStyle w:val="58"/>
              <w:jc w:val="center"/>
              <w:rPr>
                <w:sz w:val="24"/>
                <w:szCs w:val="24"/>
              </w:rPr>
            </w:pPr>
            <w:r>
              <w:rPr>
                <w:rFonts w:hint="eastAsia"/>
                <w:sz w:val="24"/>
                <w:szCs w:val="24"/>
              </w:rPr>
              <w:t>……</w:t>
            </w:r>
          </w:p>
        </w:tc>
        <w:tc>
          <w:tcPr>
            <w:tcW w:w="2296" w:type="dxa"/>
            <w:vAlign w:val="center"/>
          </w:tcPr>
          <w:p>
            <w:pPr>
              <w:pStyle w:val="58"/>
              <w:jc w:val="center"/>
              <w:rPr>
                <w:sz w:val="24"/>
                <w:szCs w:val="24"/>
              </w:rPr>
            </w:pPr>
            <w:r>
              <w:rPr>
                <w:rFonts w:hint="eastAsia"/>
                <w:sz w:val="24"/>
                <w:szCs w:val="24"/>
              </w:rPr>
              <w:t>……</w:t>
            </w:r>
          </w:p>
        </w:tc>
        <w:tc>
          <w:tcPr>
            <w:tcW w:w="1784" w:type="dxa"/>
            <w:vAlign w:val="center"/>
          </w:tcPr>
          <w:p>
            <w:pPr>
              <w:pStyle w:val="58"/>
              <w:jc w:val="center"/>
              <w:rPr>
                <w:sz w:val="24"/>
                <w:szCs w:val="24"/>
              </w:rPr>
            </w:pPr>
            <w:r>
              <w:rPr>
                <w:rFonts w:hint="eastAsia"/>
                <w:sz w:val="24"/>
                <w:szCs w:val="24"/>
              </w:rPr>
              <w:t>……</w:t>
            </w:r>
          </w:p>
        </w:tc>
      </w:tr>
    </w:tbl>
    <w:p>
      <w:pPr>
        <w:pStyle w:val="9"/>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9"/>
        <w:tabs>
          <w:tab w:val="left" w:pos="562"/>
          <w:tab w:val="left" w:pos="3372"/>
          <w:tab w:val="left" w:pos="3653"/>
        </w:tabs>
        <w:rPr>
          <w:rFonts w:ascii="宋体" w:hAnsi="宋体" w:cs="宋体"/>
        </w:rPr>
      </w:pPr>
    </w:p>
    <w:p>
      <w:pPr>
        <w:pStyle w:val="20"/>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9"/>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w:t>
      </w:r>
      <w:r>
        <w:rPr>
          <w:rFonts w:hint="eastAsia" w:ascii="宋体" w:hAnsi="宋体" w:cs="宋体"/>
          <w:sz w:val="24"/>
          <w:lang w:eastAsia="zh-CN"/>
        </w:rPr>
        <w:t>（</w:t>
      </w:r>
      <w:r>
        <w:rPr>
          <w:rFonts w:hint="eastAsia" w:ascii="宋体" w:hAnsi="宋体" w:cs="宋体"/>
          <w:sz w:val="24"/>
        </w:rPr>
        <w:t>国发〔2009〕36号</w:t>
      </w:r>
      <w:r>
        <w:rPr>
          <w:rFonts w:hint="eastAsia" w:ascii="宋体" w:hAnsi="宋体" w:cs="宋体"/>
          <w:sz w:val="24"/>
          <w:lang w:eastAsia="zh-CN"/>
        </w:rPr>
        <w:t>）</w:t>
      </w:r>
      <w:r>
        <w:rPr>
          <w:rFonts w:hint="eastAsia" w:ascii="宋体" w:hAnsi="宋体" w:cs="宋体"/>
          <w:sz w:val="24"/>
        </w:rPr>
        <w:t>，制定本规定。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pStyle w:val="20"/>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资产总额</w:t>
            </w:r>
            <w:r>
              <w:rPr>
                <w:rFonts w:hint="eastAsia" w:ascii="宋体" w:hAnsi="宋体" w:cs="宋体"/>
                <w:kern w:val="0"/>
                <w:sz w:val="24"/>
                <w:lang w:eastAsia="zh-CN"/>
              </w:rPr>
              <w:t>（</w:t>
            </w:r>
            <w:r>
              <w:rPr>
                <w:rFonts w:hint="eastAsia" w:ascii="宋体" w:hAnsi="宋体" w:cs="宋体"/>
                <w:kern w:val="0"/>
                <w:sz w:val="24"/>
              </w:rPr>
              <w:t>Z</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资产总额</w:t>
            </w:r>
            <w:r>
              <w:rPr>
                <w:rFonts w:hint="eastAsia" w:ascii="宋体" w:hAnsi="宋体" w:cs="宋体"/>
                <w:kern w:val="0"/>
                <w:sz w:val="24"/>
                <w:lang w:eastAsia="zh-CN"/>
              </w:rPr>
              <w:t>（</w:t>
            </w:r>
            <w:r>
              <w:rPr>
                <w:rFonts w:hint="eastAsia" w:ascii="宋体" w:hAnsi="宋体" w:cs="宋体"/>
                <w:kern w:val="0"/>
                <w:sz w:val="24"/>
              </w:rPr>
              <w:t>Z</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营业收入</w:t>
            </w:r>
            <w:r>
              <w:rPr>
                <w:rFonts w:hint="eastAsia" w:ascii="宋体" w:hAnsi="宋体" w:cs="宋体"/>
                <w:kern w:val="0"/>
                <w:sz w:val="24"/>
                <w:lang w:eastAsia="zh-CN"/>
              </w:rPr>
              <w:t>（</w:t>
            </w:r>
            <w:r>
              <w:rPr>
                <w:rFonts w:hint="eastAsia" w:ascii="宋体" w:hAnsi="宋体" w:cs="宋体"/>
                <w:kern w:val="0"/>
                <w:sz w:val="24"/>
              </w:rPr>
              <w:t>Y</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资产总额</w:t>
            </w:r>
            <w:r>
              <w:rPr>
                <w:rFonts w:hint="eastAsia" w:ascii="宋体" w:hAnsi="宋体" w:cs="宋体"/>
                <w:kern w:val="0"/>
                <w:sz w:val="24"/>
                <w:lang w:eastAsia="zh-CN"/>
              </w:rPr>
              <w:t>（</w:t>
            </w:r>
            <w:r>
              <w:rPr>
                <w:rFonts w:hint="eastAsia" w:ascii="宋体" w:hAnsi="宋体" w:cs="宋体"/>
                <w:kern w:val="0"/>
                <w:sz w:val="24"/>
              </w:rPr>
              <w:t>Z</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从业人员</w:t>
            </w:r>
            <w:r>
              <w:rPr>
                <w:rFonts w:hint="eastAsia" w:ascii="宋体" w:hAnsi="宋体" w:cs="宋体"/>
                <w:kern w:val="0"/>
                <w:sz w:val="24"/>
                <w:lang w:eastAsia="zh-CN"/>
              </w:rPr>
              <w:t>（</w:t>
            </w:r>
            <w:r>
              <w:rPr>
                <w:rFonts w:hint="eastAsia" w:ascii="宋体" w:hAnsi="宋体" w:cs="宋体"/>
                <w:kern w:val="0"/>
                <w:sz w:val="24"/>
              </w:rPr>
              <w:t>X</w:t>
            </w:r>
            <w:r>
              <w:rPr>
                <w:rFonts w:hint="eastAsia" w:ascii="宋体" w:hAnsi="宋体" w:cs="宋体"/>
                <w:kern w:val="0"/>
                <w:sz w:val="24"/>
                <w:lang w:eastAsia="zh-CN"/>
              </w:rPr>
              <w:t>）</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9"/>
        <w:tabs>
          <w:tab w:val="left" w:pos="562"/>
          <w:tab w:val="left" w:pos="3372"/>
          <w:tab w:val="left" w:pos="3653"/>
        </w:tabs>
        <w:rPr>
          <w:rFonts w:ascii="宋体" w:hAnsi="宋体" w:cs="宋体"/>
        </w:rPr>
      </w:pPr>
    </w:p>
    <w:p>
      <w:pPr>
        <w:pStyle w:val="20"/>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19"/>
        <w:shd w:val="clear" w:color="auto" w:fill="FFFFFF"/>
        <w:spacing w:before="0" w:beforeAutospacing="0" w:after="0" w:afterAutospacing="0"/>
        <w:jc w:val="center"/>
      </w:pPr>
      <w:r>
        <w:rPr>
          <w:rFonts w:hint="eastAsia"/>
        </w:rPr>
        <w:t>　　</w:t>
      </w:r>
      <w:bookmarkStart w:id="21" w:name="sendNo"/>
      <w:r>
        <w:rPr>
          <w:rFonts w:hint="eastAsia"/>
        </w:rPr>
        <w:t>财库〔</w:t>
      </w:r>
      <w:bookmarkEnd w:id="21"/>
      <w:r>
        <w:rPr>
          <w:rFonts w:hint="eastAsia"/>
        </w:rPr>
        <w:t>2017〕141号</w:t>
      </w:r>
    </w:p>
    <w:p>
      <w:pPr>
        <w:pStyle w:val="19"/>
        <w:shd w:val="clear" w:color="auto" w:fill="FFFFFF"/>
        <w:spacing w:before="0" w:beforeAutospacing="0" w:after="0" w:afterAutospacing="0"/>
        <w:ind w:firstLine="480" w:firstLineChars="200"/>
      </w:pPr>
      <w:bookmarkStart w:id="22"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2"/>
      <w:r>
        <w:rPr>
          <w:rFonts w:hint="eastAsia"/>
        </w:rPr>
        <w:t>：</w:t>
      </w:r>
    </w:p>
    <w:p>
      <w:pPr>
        <w:pStyle w:val="19"/>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560" w:lineRule="exact"/>
        <w:ind w:firstLine="480" w:firstLineChars="200"/>
      </w:pPr>
      <w:r>
        <w:rPr>
          <w:rFonts w:hint="eastAsia"/>
        </w:rPr>
        <w:t>七、本通知自2017年10月1日起执行。</w:t>
      </w:r>
    </w:p>
    <w:p>
      <w:pPr>
        <w:pStyle w:val="19"/>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9"/>
        <w:shd w:val="clear" w:color="auto" w:fill="FFFFFF"/>
        <w:spacing w:before="0" w:beforeAutospacing="0" w:after="0" w:afterAutospacing="0" w:line="560" w:lineRule="exact"/>
        <w:ind w:firstLine="480" w:firstLineChars="200"/>
        <w:jc w:val="right"/>
      </w:pPr>
      <w:r>
        <w:rPr>
          <w:rFonts w:hint="eastAsia"/>
        </w:rPr>
        <w:t>2017年8月22日</w:t>
      </w:r>
    </w:p>
    <w:p>
      <w:pPr>
        <w:pStyle w:val="59"/>
        <w:shd w:val="clear" w:color="auto" w:fill="FFFFFF"/>
        <w:spacing w:before="0" w:beforeAutospacing="0" w:after="0" w:afterAutospacing="0" w:line="560" w:lineRule="exact"/>
        <w:jc w:val="both"/>
      </w:pPr>
      <w:r>
        <w:rPr>
          <w:rFonts w:hint="eastAsia"/>
        </w:rPr>
        <w:t>附件：</w:t>
      </w:r>
    </w:p>
    <w:p>
      <w:pPr>
        <w:pStyle w:val="59"/>
        <w:shd w:val="clear" w:color="auto" w:fill="FFFFFF"/>
        <w:spacing w:before="0" w:beforeAutospacing="0" w:after="0" w:afterAutospacing="0" w:line="560" w:lineRule="exact"/>
        <w:ind w:firstLine="482" w:firstLineChars="200"/>
        <w:jc w:val="center"/>
      </w:pPr>
      <w:r>
        <w:rPr>
          <w:rStyle w:val="41"/>
          <w:rFonts w:hint="eastAsia"/>
          <w:b/>
          <w:bCs/>
        </w:rPr>
        <w:t>残疾人福利性单位声明函</w:t>
      </w:r>
    </w:p>
    <w:p>
      <w:pPr>
        <w:pStyle w:val="59"/>
        <w:shd w:val="clear" w:color="auto" w:fill="FFFFFF"/>
        <w:spacing w:before="0" w:beforeAutospacing="0" w:after="0" w:afterAutospacing="0" w:line="560" w:lineRule="exact"/>
        <w:ind w:firstLine="480" w:firstLineChars="200"/>
        <w:jc w:val="both"/>
      </w:pPr>
      <w:r>
        <w:rPr>
          <w:rStyle w:val="4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shd w:val="clear" w:color="auto" w:fill="FFFFFF"/>
        <w:spacing w:before="0" w:beforeAutospacing="0" w:after="0" w:afterAutospacing="0" w:line="560" w:lineRule="exact"/>
        <w:ind w:firstLine="480" w:firstLineChars="200"/>
        <w:jc w:val="both"/>
      </w:pPr>
      <w:r>
        <w:rPr>
          <w:rStyle w:val="41"/>
          <w:rFonts w:hint="eastAsia"/>
        </w:rPr>
        <w:t>本单位对上述声明的真实性负责。如有虚假，将依法承担相应责任。</w:t>
      </w:r>
    </w:p>
    <w:p>
      <w:pPr>
        <w:pStyle w:val="59"/>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9"/>
        <w:shd w:val="clear" w:color="auto" w:fill="FFFFFF"/>
        <w:spacing w:before="0" w:beforeAutospacing="0" w:after="0" w:afterAutospacing="0" w:line="560" w:lineRule="exact"/>
        <w:ind w:right="2100" w:rightChars="1000"/>
        <w:jc w:val="right"/>
      </w:pPr>
      <w:r>
        <w:rPr>
          <w:rStyle w:val="41"/>
          <w:rFonts w:hint="eastAsia"/>
        </w:rPr>
        <w:t>单位名称（盖章）：</w:t>
      </w:r>
    </w:p>
    <w:p>
      <w:pPr>
        <w:pStyle w:val="59"/>
        <w:shd w:val="clear" w:color="auto" w:fill="FFFFFF"/>
        <w:spacing w:before="0" w:beforeAutospacing="0" w:after="0" w:afterAutospacing="0" w:line="560" w:lineRule="exact"/>
        <w:ind w:right="2100" w:rightChars="1000"/>
        <w:jc w:val="right"/>
        <w:rPr>
          <w:lang w:val="fr-CH"/>
        </w:rPr>
      </w:pPr>
      <w:r>
        <w:rPr>
          <w:rStyle w:val="4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headerReference r:id="rId7" w:type="first"/>
      <w:headerReference r:id="rId5" w:type="default"/>
      <w:headerReference r:id="rId6" w:type="even"/>
      <w:pgSz w:w="11906" w:h="16838"/>
      <w:pgMar w:top="850" w:right="1803" w:bottom="709" w:left="1803" w:header="851" w:footer="397"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text="f"/>
          <v:textpath on="t" fitshape="t" fitpath="t" trim="f" xscale="f" string="洪琦20230828" style="font-family:&amp;quot;font-size:1pt;v-text-align:center;"/>
        </v:shape>
      </w:pict>
    </w:r>
  </w:p>
  <w:p/>
  <w:p>
    <w:r>
      <w:pict>
        <v:shape id="_x0000_s4099"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717"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B60EDFBE"/>
    <w:multiLevelType w:val="singleLevel"/>
    <w:tmpl w:val="B60EDFBE"/>
    <w:lvl w:ilvl="0" w:tentative="0">
      <w:start w:val="1"/>
      <w:numFmt w:val="decimal"/>
      <w:suff w:val="nothing"/>
      <w:lvlText w:val="（%1）"/>
      <w:lvlJc w:val="left"/>
    </w:lvl>
  </w:abstractNum>
  <w:abstractNum w:abstractNumId="4">
    <w:nsid w:val="C7BF794F"/>
    <w:multiLevelType w:val="singleLevel"/>
    <w:tmpl w:val="C7BF794F"/>
    <w:lvl w:ilvl="0" w:tentative="0">
      <w:start w:val="1"/>
      <w:numFmt w:val="chineseCounting"/>
      <w:suff w:val="nothing"/>
      <w:lvlText w:val="%1、"/>
      <w:lvlJc w:val="left"/>
      <w:rPr>
        <w:rFonts w:hint="eastAsia"/>
      </w:rPr>
    </w:lvl>
  </w:abstractNum>
  <w:abstractNum w:abstractNumId="5">
    <w:nsid w:val="CBCC1AFC"/>
    <w:multiLevelType w:val="singleLevel"/>
    <w:tmpl w:val="CBCC1AFC"/>
    <w:lvl w:ilvl="0" w:tentative="0">
      <w:start w:val="5"/>
      <w:numFmt w:val="decimal"/>
      <w:suff w:val="nothing"/>
      <w:lvlText w:val="%1、"/>
      <w:lvlJc w:val="left"/>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4E501145"/>
    <w:multiLevelType w:val="multilevel"/>
    <w:tmpl w:val="4E5011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0">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1">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1"/>
  </w:num>
  <w:num w:numId="2">
    <w:abstractNumId w:val="3"/>
  </w:num>
  <w:num w:numId="3">
    <w:abstractNumId w:val="5"/>
  </w:num>
  <w:num w:numId="4">
    <w:abstractNumId w:val="8"/>
  </w:num>
  <w:num w:numId="5">
    <w:abstractNumId w:val="4"/>
  </w:num>
  <w:num w:numId="6">
    <w:abstractNumId w:val="2"/>
  </w:num>
  <w:num w:numId="7">
    <w:abstractNumId w:val="6"/>
  </w:num>
  <w:num w:numId="8">
    <w:abstractNumId w:val="1"/>
  </w:num>
  <w:num w:numId="9">
    <w:abstractNumId w:val="0"/>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evenAndOddHeaders w:val="1"/>
  <w:drawingGridHorizontalSpacing w:val="105"/>
  <w:drawingGridVerticalSpacing w:val="319"/>
  <w:displayHorizontalDrawingGridEvery w:val="2"/>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Mjc1MTAwMTI1N2VkMjgwNDE2NzMxYmJhYTNkODE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1B5"/>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A5A"/>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221"/>
    <w:rsid w:val="00163506"/>
    <w:rsid w:val="00163757"/>
    <w:rsid w:val="00163F61"/>
    <w:rsid w:val="001646EE"/>
    <w:rsid w:val="00164AAE"/>
    <w:rsid w:val="001650A6"/>
    <w:rsid w:val="00165F2A"/>
    <w:rsid w:val="00166C2F"/>
    <w:rsid w:val="0017292D"/>
    <w:rsid w:val="00172EFE"/>
    <w:rsid w:val="00173067"/>
    <w:rsid w:val="001747B5"/>
    <w:rsid w:val="00174A60"/>
    <w:rsid w:val="00174DDD"/>
    <w:rsid w:val="00175536"/>
    <w:rsid w:val="001755DC"/>
    <w:rsid w:val="00175AC4"/>
    <w:rsid w:val="00175CB9"/>
    <w:rsid w:val="00176A4E"/>
    <w:rsid w:val="00181D99"/>
    <w:rsid w:val="00182CEB"/>
    <w:rsid w:val="00184339"/>
    <w:rsid w:val="00184E1A"/>
    <w:rsid w:val="00185C7A"/>
    <w:rsid w:val="00185EB3"/>
    <w:rsid w:val="00185EB5"/>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23F6"/>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3118"/>
    <w:rsid w:val="002B31C6"/>
    <w:rsid w:val="002B3FB9"/>
    <w:rsid w:val="002B6BC2"/>
    <w:rsid w:val="002B72CA"/>
    <w:rsid w:val="002C0C27"/>
    <w:rsid w:val="002C12DB"/>
    <w:rsid w:val="002C2855"/>
    <w:rsid w:val="002C2F38"/>
    <w:rsid w:val="002C3E37"/>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37DC"/>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3842"/>
    <w:rsid w:val="003350AD"/>
    <w:rsid w:val="003351C0"/>
    <w:rsid w:val="00337499"/>
    <w:rsid w:val="00340293"/>
    <w:rsid w:val="00341688"/>
    <w:rsid w:val="00342C53"/>
    <w:rsid w:val="003447B9"/>
    <w:rsid w:val="003451ED"/>
    <w:rsid w:val="003469A9"/>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3BC8"/>
    <w:rsid w:val="00364778"/>
    <w:rsid w:val="0036525F"/>
    <w:rsid w:val="00365824"/>
    <w:rsid w:val="00365943"/>
    <w:rsid w:val="00365BD9"/>
    <w:rsid w:val="0036636F"/>
    <w:rsid w:val="00366B0E"/>
    <w:rsid w:val="0037011B"/>
    <w:rsid w:val="00370895"/>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5F60"/>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2F7E"/>
    <w:rsid w:val="004031FD"/>
    <w:rsid w:val="004034B6"/>
    <w:rsid w:val="00403EF1"/>
    <w:rsid w:val="004046FC"/>
    <w:rsid w:val="00404D76"/>
    <w:rsid w:val="0040527B"/>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2EF7"/>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1DEF"/>
    <w:rsid w:val="00482E09"/>
    <w:rsid w:val="004832E4"/>
    <w:rsid w:val="00484F92"/>
    <w:rsid w:val="004852A1"/>
    <w:rsid w:val="00485C04"/>
    <w:rsid w:val="00490EC1"/>
    <w:rsid w:val="00491106"/>
    <w:rsid w:val="00491CAC"/>
    <w:rsid w:val="004926D4"/>
    <w:rsid w:val="00495CC5"/>
    <w:rsid w:val="00496591"/>
    <w:rsid w:val="00497C89"/>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E7224"/>
    <w:rsid w:val="004F0AE7"/>
    <w:rsid w:val="004F11DC"/>
    <w:rsid w:val="004F1602"/>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BAB"/>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98D"/>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0B26"/>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447"/>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39A2"/>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5463"/>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7F7F8F"/>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0D98"/>
    <w:rsid w:val="008A1C3D"/>
    <w:rsid w:val="008A420B"/>
    <w:rsid w:val="008A452F"/>
    <w:rsid w:val="008A5692"/>
    <w:rsid w:val="008A57AB"/>
    <w:rsid w:val="008A5ED4"/>
    <w:rsid w:val="008A5FEB"/>
    <w:rsid w:val="008A7737"/>
    <w:rsid w:val="008B0019"/>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2E15"/>
    <w:rsid w:val="009731EA"/>
    <w:rsid w:val="00973B60"/>
    <w:rsid w:val="009747EF"/>
    <w:rsid w:val="009753C9"/>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0F13"/>
    <w:rsid w:val="009A176C"/>
    <w:rsid w:val="009A3C00"/>
    <w:rsid w:val="009A3E4C"/>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0BF"/>
    <w:rsid w:val="00A013D1"/>
    <w:rsid w:val="00A01A5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4C9"/>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1118"/>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6FA8"/>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989"/>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5E3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6BCF"/>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03A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D96"/>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4E1"/>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48"/>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1BA8"/>
    <w:rsid w:val="00F92205"/>
    <w:rsid w:val="00F9257D"/>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83D"/>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399"/>
    <w:rsid w:val="00FE1D7D"/>
    <w:rsid w:val="00FE277F"/>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0B405F"/>
    <w:rsid w:val="011B4C1E"/>
    <w:rsid w:val="0123584C"/>
    <w:rsid w:val="012A4725"/>
    <w:rsid w:val="012D4559"/>
    <w:rsid w:val="013211C4"/>
    <w:rsid w:val="01347A59"/>
    <w:rsid w:val="01422176"/>
    <w:rsid w:val="01483505"/>
    <w:rsid w:val="014A2DD9"/>
    <w:rsid w:val="014F5D55"/>
    <w:rsid w:val="015058DD"/>
    <w:rsid w:val="01522FB1"/>
    <w:rsid w:val="01527EDF"/>
    <w:rsid w:val="015737CF"/>
    <w:rsid w:val="016C0FA1"/>
    <w:rsid w:val="01714809"/>
    <w:rsid w:val="01763BCE"/>
    <w:rsid w:val="01806B0D"/>
    <w:rsid w:val="01826A17"/>
    <w:rsid w:val="018A58CB"/>
    <w:rsid w:val="018F4C90"/>
    <w:rsid w:val="019B1992"/>
    <w:rsid w:val="019C5D81"/>
    <w:rsid w:val="01A3073B"/>
    <w:rsid w:val="01A93FA3"/>
    <w:rsid w:val="01AC5AA6"/>
    <w:rsid w:val="01AF0E8E"/>
    <w:rsid w:val="01B540B1"/>
    <w:rsid w:val="01C25065"/>
    <w:rsid w:val="01C964EE"/>
    <w:rsid w:val="01CF7782"/>
    <w:rsid w:val="01E42829"/>
    <w:rsid w:val="01EA2E81"/>
    <w:rsid w:val="01EB45BC"/>
    <w:rsid w:val="01FC3894"/>
    <w:rsid w:val="02074908"/>
    <w:rsid w:val="020E6899"/>
    <w:rsid w:val="020F139A"/>
    <w:rsid w:val="02140610"/>
    <w:rsid w:val="02167022"/>
    <w:rsid w:val="02191E33"/>
    <w:rsid w:val="02247ACE"/>
    <w:rsid w:val="022767E5"/>
    <w:rsid w:val="022A2E24"/>
    <w:rsid w:val="02300221"/>
    <w:rsid w:val="023870D5"/>
    <w:rsid w:val="023F0464"/>
    <w:rsid w:val="024431A9"/>
    <w:rsid w:val="026B1259"/>
    <w:rsid w:val="02706B88"/>
    <w:rsid w:val="027951DA"/>
    <w:rsid w:val="027B0CF6"/>
    <w:rsid w:val="0281282A"/>
    <w:rsid w:val="02851E3F"/>
    <w:rsid w:val="028E13EB"/>
    <w:rsid w:val="02A243E6"/>
    <w:rsid w:val="02A54E70"/>
    <w:rsid w:val="02B349AE"/>
    <w:rsid w:val="02B62046"/>
    <w:rsid w:val="02BC3862"/>
    <w:rsid w:val="02C62933"/>
    <w:rsid w:val="02D05560"/>
    <w:rsid w:val="02DB5691"/>
    <w:rsid w:val="02E1151B"/>
    <w:rsid w:val="02E64D83"/>
    <w:rsid w:val="02ED7EC0"/>
    <w:rsid w:val="02F27FB9"/>
    <w:rsid w:val="02F54FC6"/>
    <w:rsid w:val="02FC6355"/>
    <w:rsid w:val="03056415"/>
    <w:rsid w:val="031C69F7"/>
    <w:rsid w:val="0320423A"/>
    <w:rsid w:val="032F04D8"/>
    <w:rsid w:val="033318F7"/>
    <w:rsid w:val="03355182"/>
    <w:rsid w:val="034A3564"/>
    <w:rsid w:val="03510C1F"/>
    <w:rsid w:val="0364676B"/>
    <w:rsid w:val="03661A20"/>
    <w:rsid w:val="037A0B0F"/>
    <w:rsid w:val="03817477"/>
    <w:rsid w:val="03830824"/>
    <w:rsid w:val="03885E3A"/>
    <w:rsid w:val="038F291E"/>
    <w:rsid w:val="03914CEF"/>
    <w:rsid w:val="039E2A89"/>
    <w:rsid w:val="03A8554E"/>
    <w:rsid w:val="03BD1015"/>
    <w:rsid w:val="03C065C7"/>
    <w:rsid w:val="03C52BEB"/>
    <w:rsid w:val="03C94890"/>
    <w:rsid w:val="03CE5443"/>
    <w:rsid w:val="03CF75C5"/>
    <w:rsid w:val="03D64210"/>
    <w:rsid w:val="03E05C76"/>
    <w:rsid w:val="03F84D6E"/>
    <w:rsid w:val="03FB03BA"/>
    <w:rsid w:val="040E58BE"/>
    <w:rsid w:val="040F20B8"/>
    <w:rsid w:val="04131BA8"/>
    <w:rsid w:val="04194CE4"/>
    <w:rsid w:val="041A21CD"/>
    <w:rsid w:val="041F7AEB"/>
    <w:rsid w:val="04206073"/>
    <w:rsid w:val="04293179"/>
    <w:rsid w:val="042B32BF"/>
    <w:rsid w:val="042C4A18"/>
    <w:rsid w:val="043A4DFA"/>
    <w:rsid w:val="043B10FF"/>
    <w:rsid w:val="043B420D"/>
    <w:rsid w:val="043F299D"/>
    <w:rsid w:val="04525154"/>
    <w:rsid w:val="045B3AF8"/>
    <w:rsid w:val="045B52FD"/>
    <w:rsid w:val="046240FB"/>
    <w:rsid w:val="0463143E"/>
    <w:rsid w:val="046501D7"/>
    <w:rsid w:val="046A5C17"/>
    <w:rsid w:val="046B2C26"/>
    <w:rsid w:val="046E0E27"/>
    <w:rsid w:val="0482414B"/>
    <w:rsid w:val="049A2168"/>
    <w:rsid w:val="049B7CC2"/>
    <w:rsid w:val="049C7DEF"/>
    <w:rsid w:val="04A31AD1"/>
    <w:rsid w:val="04A71B2E"/>
    <w:rsid w:val="04AB071E"/>
    <w:rsid w:val="04AF022F"/>
    <w:rsid w:val="04B6676C"/>
    <w:rsid w:val="04BE29F4"/>
    <w:rsid w:val="04BF5DD5"/>
    <w:rsid w:val="04CB5867"/>
    <w:rsid w:val="04DA12DA"/>
    <w:rsid w:val="04E83035"/>
    <w:rsid w:val="04E86B91"/>
    <w:rsid w:val="04F46F7F"/>
    <w:rsid w:val="04F5670C"/>
    <w:rsid w:val="050634BB"/>
    <w:rsid w:val="051450D4"/>
    <w:rsid w:val="05343214"/>
    <w:rsid w:val="0541624E"/>
    <w:rsid w:val="054305F2"/>
    <w:rsid w:val="05432A54"/>
    <w:rsid w:val="0552282F"/>
    <w:rsid w:val="055A54B2"/>
    <w:rsid w:val="056703FD"/>
    <w:rsid w:val="05724329"/>
    <w:rsid w:val="05764199"/>
    <w:rsid w:val="05852631"/>
    <w:rsid w:val="0599432F"/>
    <w:rsid w:val="05A54DF4"/>
    <w:rsid w:val="05B747B5"/>
    <w:rsid w:val="05C60A49"/>
    <w:rsid w:val="05CA098C"/>
    <w:rsid w:val="05D259BD"/>
    <w:rsid w:val="05DF451F"/>
    <w:rsid w:val="05E70379"/>
    <w:rsid w:val="05F32667"/>
    <w:rsid w:val="05F45A09"/>
    <w:rsid w:val="060A6FDB"/>
    <w:rsid w:val="06113EC5"/>
    <w:rsid w:val="061630C5"/>
    <w:rsid w:val="061816F7"/>
    <w:rsid w:val="06257970"/>
    <w:rsid w:val="063302DF"/>
    <w:rsid w:val="063C2A18"/>
    <w:rsid w:val="063D4CBA"/>
    <w:rsid w:val="063D4E23"/>
    <w:rsid w:val="064A387B"/>
    <w:rsid w:val="064C776E"/>
    <w:rsid w:val="06672975"/>
    <w:rsid w:val="066A5EA1"/>
    <w:rsid w:val="066F086A"/>
    <w:rsid w:val="06710E08"/>
    <w:rsid w:val="0673692E"/>
    <w:rsid w:val="067526A6"/>
    <w:rsid w:val="06760C3A"/>
    <w:rsid w:val="06772778"/>
    <w:rsid w:val="067B1C86"/>
    <w:rsid w:val="067C0D63"/>
    <w:rsid w:val="067D59FE"/>
    <w:rsid w:val="06890016"/>
    <w:rsid w:val="06940436"/>
    <w:rsid w:val="06A6380C"/>
    <w:rsid w:val="06A84A1D"/>
    <w:rsid w:val="06AE3F68"/>
    <w:rsid w:val="06B6252E"/>
    <w:rsid w:val="06BE5725"/>
    <w:rsid w:val="06C273F9"/>
    <w:rsid w:val="06DA075B"/>
    <w:rsid w:val="06DC1E81"/>
    <w:rsid w:val="06E25862"/>
    <w:rsid w:val="06E54D66"/>
    <w:rsid w:val="06E86E4E"/>
    <w:rsid w:val="06EB6E0C"/>
    <w:rsid w:val="06F537E7"/>
    <w:rsid w:val="06FF56BD"/>
    <w:rsid w:val="07030E3E"/>
    <w:rsid w:val="070B283F"/>
    <w:rsid w:val="07126147"/>
    <w:rsid w:val="072B545A"/>
    <w:rsid w:val="073E518E"/>
    <w:rsid w:val="074F739B"/>
    <w:rsid w:val="07510B6E"/>
    <w:rsid w:val="07530B23"/>
    <w:rsid w:val="07577FFE"/>
    <w:rsid w:val="076369A2"/>
    <w:rsid w:val="076423A9"/>
    <w:rsid w:val="07725C7E"/>
    <w:rsid w:val="07743C52"/>
    <w:rsid w:val="07782CCB"/>
    <w:rsid w:val="077961C6"/>
    <w:rsid w:val="077B2B23"/>
    <w:rsid w:val="07887094"/>
    <w:rsid w:val="079E7F01"/>
    <w:rsid w:val="07A34FF1"/>
    <w:rsid w:val="07AA03DF"/>
    <w:rsid w:val="07B62F76"/>
    <w:rsid w:val="07B92E8A"/>
    <w:rsid w:val="07CA0317"/>
    <w:rsid w:val="07CC279A"/>
    <w:rsid w:val="07E6312F"/>
    <w:rsid w:val="07EC2E3C"/>
    <w:rsid w:val="07ED5C07"/>
    <w:rsid w:val="07F750DE"/>
    <w:rsid w:val="07F92694"/>
    <w:rsid w:val="08027EA4"/>
    <w:rsid w:val="08041448"/>
    <w:rsid w:val="08086F7D"/>
    <w:rsid w:val="080C528C"/>
    <w:rsid w:val="080F3625"/>
    <w:rsid w:val="08141242"/>
    <w:rsid w:val="081E32D0"/>
    <w:rsid w:val="081F40B1"/>
    <w:rsid w:val="08204893"/>
    <w:rsid w:val="083B791F"/>
    <w:rsid w:val="084555EB"/>
    <w:rsid w:val="08495703"/>
    <w:rsid w:val="084B4ABC"/>
    <w:rsid w:val="08533184"/>
    <w:rsid w:val="08573C15"/>
    <w:rsid w:val="085F5FF9"/>
    <w:rsid w:val="086C7AD9"/>
    <w:rsid w:val="086E3851"/>
    <w:rsid w:val="08766BA9"/>
    <w:rsid w:val="087846CF"/>
    <w:rsid w:val="087A2048"/>
    <w:rsid w:val="087D3A94"/>
    <w:rsid w:val="087F16D6"/>
    <w:rsid w:val="088237F5"/>
    <w:rsid w:val="088376DE"/>
    <w:rsid w:val="089704AA"/>
    <w:rsid w:val="08AB663F"/>
    <w:rsid w:val="08BD0334"/>
    <w:rsid w:val="08DA0EE6"/>
    <w:rsid w:val="08E027AF"/>
    <w:rsid w:val="08E44D97"/>
    <w:rsid w:val="08E9364C"/>
    <w:rsid w:val="08EE6740"/>
    <w:rsid w:val="08FC124B"/>
    <w:rsid w:val="08FC3E83"/>
    <w:rsid w:val="08FD305C"/>
    <w:rsid w:val="08FE4A83"/>
    <w:rsid w:val="09171F73"/>
    <w:rsid w:val="091C6C5B"/>
    <w:rsid w:val="091F2D9D"/>
    <w:rsid w:val="092117BF"/>
    <w:rsid w:val="09250409"/>
    <w:rsid w:val="0925775D"/>
    <w:rsid w:val="092951A8"/>
    <w:rsid w:val="092C2F19"/>
    <w:rsid w:val="09336431"/>
    <w:rsid w:val="0934067B"/>
    <w:rsid w:val="09385C0D"/>
    <w:rsid w:val="093A1985"/>
    <w:rsid w:val="093B4BC3"/>
    <w:rsid w:val="094265A7"/>
    <w:rsid w:val="094268E2"/>
    <w:rsid w:val="09437A0B"/>
    <w:rsid w:val="09455F12"/>
    <w:rsid w:val="09531E1A"/>
    <w:rsid w:val="095B4482"/>
    <w:rsid w:val="095C2F24"/>
    <w:rsid w:val="0971207B"/>
    <w:rsid w:val="097E7AC3"/>
    <w:rsid w:val="098F597B"/>
    <w:rsid w:val="09953F16"/>
    <w:rsid w:val="099C619C"/>
    <w:rsid w:val="09AB4631"/>
    <w:rsid w:val="09AC6C98"/>
    <w:rsid w:val="09BE2422"/>
    <w:rsid w:val="09C15C02"/>
    <w:rsid w:val="09C27C64"/>
    <w:rsid w:val="09C3197A"/>
    <w:rsid w:val="09C37BCC"/>
    <w:rsid w:val="09DE1964"/>
    <w:rsid w:val="09E11E76"/>
    <w:rsid w:val="09E85885"/>
    <w:rsid w:val="09E9348C"/>
    <w:rsid w:val="09FE0C04"/>
    <w:rsid w:val="0A053D41"/>
    <w:rsid w:val="0A08663A"/>
    <w:rsid w:val="0A0A3A20"/>
    <w:rsid w:val="0A0A73CC"/>
    <w:rsid w:val="0A1239D7"/>
    <w:rsid w:val="0A3B7763"/>
    <w:rsid w:val="0A3F5F36"/>
    <w:rsid w:val="0A440B24"/>
    <w:rsid w:val="0A4505E1"/>
    <w:rsid w:val="0A5243CC"/>
    <w:rsid w:val="0A60422D"/>
    <w:rsid w:val="0A636CB9"/>
    <w:rsid w:val="0A6767AA"/>
    <w:rsid w:val="0A693D18"/>
    <w:rsid w:val="0A6E1714"/>
    <w:rsid w:val="0A736290"/>
    <w:rsid w:val="0A7703FB"/>
    <w:rsid w:val="0A8376D2"/>
    <w:rsid w:val="0A856C30"/>
    <w:rsid w:val="0A8C4462"/>
    <w:rsid w:val="0A905A1A"/>
    <w:rsid w:val="0A920F5C"/>
    <w:rsid w:val="0A9A6B7F"/>
    <w:rsid w:val="0A9B46A5"/>
    <w:rsid w:val="0AA572D2"/>
    <w:rsid w:val="0AAA3C19"/>
    <w:rsid w:val="0AAC60CF"/>
    <w:rsid w:val="0ABB6AF5"/>
    <w:rsid w:val="0ABF3657"/>
    <w:rsid w:val="0AC260D6"/>
    <w:rsid w:val="0AD10DFC"/>
    <w:rsid w:val="0AD57BB7"/>
    <w:rsid w:val="0AE0655C"/>
    <w:rsid w:val="0AE620BB"/>
    <w:rsid w:val="0AE75B3C"/>
    <w:rsid w:val="0AF10F8A"/>
    <w:rsid w:val="0AF47E99"/>
    <w:rsid w:val="0B057D70"/>
    <w:rsid w:val="0B076817"/>
    <w:rsid w:val="0B093D05"/>
    <w:rsid w:val="0B103F50"/>
    <w:rsid w:val="0B153BFE"/>
    <w:rsid w:val="0B237538"/>
    <w:rsid w:val="0B27202A"/>
    <w:rsid w:val="0B2B5A29"/>
    <w:rsid w:val="0B2F1915"/>
    <w:rsid w:val="0B301291"/>
    <w:rsid w:val="0B381EF4"/>
    <w:rsid w:val="0B384A74"/>
    <w:rsid w:val="0B3D4596"/>
    <w:rsid w:val="0B52270F"/>
    <w:rsid w:val="0B57681E"/>
    <w:rsid w:val="0B5A4560"/>
    <w:rsid w:val="0B5C2086"/>
    <w:rsid w:val="0B616DDD"/>
    <w:rsid w:val="0B6231AD"/>
    <w:rsid w:val="0B642CE9"/>
    <w:rsid w:val="0B696551"/>
    <w:rsid w:val="0B785F4F"/>
    <w:rsid w:val="0B787A86"/>
    <w:rsid w:val="0B792C38"/>
    <w:rsid w:val="0B7A16C2"/>
    <w:rsid w:val="0B7B7D63"/>
    <w:rsid w:val="0B7D1301"/>
    <w:rsid w:val="0B8709D7"/>
    <w:rsid w:val="0B9335CE"/>
    <w:rsid w:val="0B9730BE"/>
    <w:rsid w:val="0B9B4AEA"/>
    <w:rsid w:val="0BAA1044"/>
    <w:rsid w:val="0BC226BA"/>
    <w:rsid w:val="0BC55E7E"/>
    <w:rsid w:val="0BC639A4"/>
    <w:rsid w:val="0BC71D84"/>
    <w:rsid w:val="0BCB24B5"/>
    <w:rsid w:val="0BCD2653"/>
    <w:rsid w:val="0BD33C9A"/>
    <w:rsid w:val="0BDA220A"/>
    <w:rsid w:val="0BE1258C"/>
    <w:rsid w:val="0BE50E63"/>
    <w:rsid w:val="0BFE6C9A"/>
    <w:rsid w:val="0C00427B"/>
    <w:rsid w:val="0C105DFF"/>
    <w:rsid w:val="0C14470F"/>
    <w:rsid w:val="0C1A784C"/>
    <w:rsid w:val="0C1C1816"/>
    <w:rsid w:val="0C1E733C"/>
    <w:rsid w:val="0C22507E"/>
    <w:rsid w:val="0C2A5CE1"/>
    <w:rsid w:val="0C475927"/>
    <w:rsid w:val="0C4B7A88"/>
    <w:rsid w:val="0C5D6F3F"/>
    <w:rsid w:val="0C654075"/>
    <w:rsid w:val="0C670CE3"/>
    <w:rsid w:val="0C687599"/>
    <w:rsid w:val="0C743400"/>
    <w:rsid w:val="0C752B67"/>
    <w:rsid w:val="0C7D0506"/>
    <w:rsid w:val="0C7D1D22"/>
    <w:rsid w:val="0C811679"/>
    <w:rsid w:val="0C8B0F2D"/>
    <w:rsid w:val="0C8F1FF8"/>
    <w:rsid w:val="0C99751F"/>
    <w:rsid w:val="0C9D317F"/>
    <w:rsid w:val="0CA05FA3"/>
    <w:rsid w:val="0CA17F2D"/>
    <w:rsid w:val="0CBF0B1F"/>
    <w:rsid w:val="0CC872A8"/>
    <w:rsid w:val="0CCA1272"/>
    <w:rsid w:val="0CCF6888"/>
    <w:rsid w:val="0CD46CDB"/>
    <w:rsid w:val="0CE40585"/>
    <w:rsid w:val="0CE74940"/>
    <w:rsid w:val="0CEC743A"/>
    <w:rsid w:val="0CEE4F60"/>
    <w:rsid w:val="0CF12CA2"/>
    <w:rsid w:val="0CF30FD7"/>
    <w:rsid w:val="0CF84540"/>
    <w:rsid w:val="0CFA3905"/>
    <w:rsid w:val="0CFC121B"/>
    <w:rsid w:val="0CFE6747"/>
    <w:rsid w:val="0D027A2E"/>
    <w:rsid w:val="0D0C188A"/>
    <w:rsid w:val="0D1116A9"/>
    <w:rsid w:val="0D274C9F"/>
    <w:rsid w:val="0D2C7836"/>
    <w:rsid w:val="0D377E75"/>
    <w:rsid w:val="0D425817"/>
    <w:rsid w:val="0D444B80"/>
    <w:rsid w:val="0D456672"/>
    <w:rsid w:val="0D483A45"/>
    <w:rsid w:val="0D49663A"/>
    <w:rsid w:val="0D63597A"/>
    <w:rsid w:val="0D705975"/>
    <w:rsid w:val="0D7D62E4"/>
    <w:rsid w:val="0D81039E"/>
    <w:rsid w:val="0D814026"/>
    <w:rsid w:val="0D841421"/>
    <w:rsid w:val="0D8739DC"/>
    <w:rsid w:val="0D904269"/>
    <w:rsid w:val="0D9638DD"/>
    <w:rsid w:val="0D98311E"/>
    <w:rsid w:val="0DA11FD2"/>
    <w:rsid w:val="0DBA12E6"/>
    <w:rsid w:val="0DBE0DD6"/>
    <w:rsid w:val="0DDB7E0F"/>
    <w:rsid w:val="0DDC5040"/>
    <w:rsid w:val="0DDC74AE"/>
    <w:rsid w:val="0DE325EB"/>
    <w:rsid w:val="0DE75735"/>
    <w:rsid w:val="0DEBBCA9"/>
    <w:rsid w:val="0DEF558D"/>
    <w:rsid w:val="0DF068AA"/>
    <w:rsid w:val="0DF12A3E"/>
    <w:rsid w:val="0DF172C8"/>
    <w:rsid w:val="0DF433F1"/>
    <w:rsid w:val="0DF50570"/>
    <w:rsid w:val="0DF93BBD"/>
    <w:rsid w:val="0DFC1FFF"/>
    <w:rsid w:val="0E303356"/>
    <w:rsid w:val="0E430639"/>
    <w:rsid w:val="0E4312DC"/>
    <w:rsid w:val="0E43752E"/>
    <w:rsid w:val="0E480C42"/>
    <w:rsid w:val="0E6558A0"/>
    <w:rsid w:val="0E684E2E"/>
    <w:rsid w:val="0E6D45AA"/>
    <w:rsid w:val="0E72396F"/>
    <w:rsid w:val="0E7302E4"/>
    <w:rsid w:val="0E74119C"/>
    <w:rsid w:val="0E747A2D"/>
    <w:rsid w:val="0E7D2A40"/>
    <w:rsid w:val="0E8306F4"/>
    <w:rsid w:val="0E8F62CF"/>
    <w:rsid w:val="0EA55C45"/>
    <w:rsid w:val="0EA60B68"/>
    <w:rsid w:val="0EA86384"/>
    <w:rsid w:val="0EB2020F"/>
    <w:rsid w:val="0EC00B7E"/>
    <w:rsid w:val="0ECE4E77"/>
    <w:rsid w:val="0ECE7CE8"/>
    <w:rsid w:val="0ED9579C"/>
    <w:rsid w:val="0EE15967"/>
    <w:rsid w:val="0EE23012"/>
    <w:rsid w:val="0EE23E2C"/>
    <w:rsid w:val="0EE50C22"/>
    <w:rsid w:val="0EFE2C1E"/>
    <w:rsid w:val="0F014633"/>
    <w:rsid w:val="0F0312ED"/>
    <w:rsid w:val="0F050929"/>
    <w:rsid w:val="0F063E64"/>
    <w:rsid w:val="0F0E5BDA"/>
    <w:rsid w:val="0F184516"/>
    <w:rsid w:val="0F192B9A"/>
    <w:rsid w:val="0F1B7B63"/>
    <w:rsid w:val="0F245332"/>
    <w:rsid w:val="0F280D60"/>
    <w:rsid w:val="0F3330FE"/>
    <w:rsid w:val="0F4A54CF"/>
    <w:rsid w:val="0F4B38E4"/>
    <w:rsid w:val="0F4C4E90"/>
    <w:rsid w:val="0F557518"/>
    <w:rsid w:val="0F5E63E1"/>
    <w:rsid w:val="0F603CED"/>
    <w:rsid w:val="0F632412"/>
    <w:rsid w:val="0F645D19"/>
    <w:rsid w:val="0F75501B"/>
    <w:rsid w:val="0F78432B"/>
    <w:rsid w:val="0F870164"/>
    <w:rsid w:val="0F8971C2"/>
    <w:rsid w:val="0F8A4A20"/>
    <w:rsid w:val="0F8D06EA"/>
    <w:rsid w:val="0FAA316E"/>
    <w:rsid w:val="0FB06917"/>
    <w:rsid w:val="0FB110C5"/>
    <w:rsid w:val="0FB2232D"/>
    <w:rsid w:val="0FBA7461"/>
    <w:rsid w:val="0FC401FA"/>
    <w:rsid w:val="0FC44BCF"/>
    <w:rsid w:val="0FC46A88"/>
    <w:rsid w:val="0FCE7B7D"/>
    <w:rsid w:val="0FD2443A"/>
    <w:rsid w:val="0FD80032"/>
    <w:rsid w:val="0FDA7728"/>
    <w:rsid w:val="0FDB5272"/>
    <w:rsid w:val="0FE36B89"/>
    <w:rsid w:val="0FE37275"/>
    <w:rsid w:val="0FE670A5"/>
    <w:rsid w:val="0FEE0246"/>
    <w:rsid w:val="0FF3288D"/>
    <w:rsid w:val="0FF66477"/>
    <w:rsid w:val="100920B1"/>
    <w:rsid w:val="100A27E6"/>
    <w:rsid w:val="100C2F87"/>
    <w:rsid w:val="101133B7"/>
    <w:rsid w:val="101933AE"/>
    <w:rsid w:val="101F694C"/>
    <w:rsid w:val="10284B8F"/>
    <w:rsid w:val="10335CC9"/>
    <w:rsid w:val="103A544A"/>
    <w:rsid w:val="104E2006"/>
    <w:rsid w:val="10505F32"/>
    <w:rsid w:val="1054157E"/>
    <w:rsid w:val="105552F6"/>
    <w:rsid w:val="105772C0"/>
    <w:rsid w:val="105B0B5E"/>
    <w:rsid w:val="105D3BF9"/>
    <w:rsid w:val="105F48B1"/>
    <w:rsid w:val="10602325"/>
    <w:rsid w:val="10611EED"/>
    <w:rsid w:val="10616317"/>
    <w:rsid w:val="10765998"/>
    <w:rsid w:val="1077526D"/>
    <w:rsid w:val="107A6169"/>
    <w:rsid w:val="107B7182"/>
    <w:rsid w:val="107C6A46"/>
    <w:rsid w:val="107E2A9F"/>
    <w:rsid w:val="108300B5"/>
    <w:rsid w:val="108322BF"/>
    <w:rsid w:val="10846D2E"/>
    <w:rsid w:val="1087780A"/>
    <w:rsid w:val="1088747A"/>
    <w:rsid w:val="108970CB"/>
    <w:rsid w:val="108A7C03"/>
    <w:rsid w:val="108F0808"/>
    <w:rsid w:val="10945EF7"/>
    <w:rsid w:val="10991F70"/>
    <w:rsid w:val="109951E3"/>
    <w:rsid w:val="10A33B25"/>
    <w:rsid w:val="10A67900"/>
    <w:rsid w:val="10C73309"/>
    <w:rsid w:val="10CF50A9"/>
    <w:rsid w:val="10DE353E"/>
    <w:rsid w:val="10F03150"/>
    <w:rsid w:val="10F73D20"/>
    <w:rsid w:val="10FE598E"/>
    <w:rsid w:val="11000178"/>
    <w:rsid w:val="110547C9"/>
    <w:rsid w:val="1109680C"/>
    <w:rsid w:val="111F7DDE"/>
    <w:rsid w:val="11207CB1"/>
    <w:rsid w:val="11371EF5"/>
    <w:rsid w:val="11472E91"/>
    <w:rsid w:val="115119ED"/>
    <w:rsid w:val="11515ABE"/>
    <w:rsid w:val="116E041E"/>
    <w:rsid w:val="1170063A"/>
    <w:rsid w:val="117619C8"/>
    <w:rsid w:val="11791613"/>
    <w:rsid w:val="11795AFD"/>
    <w:rsid w:val="11815B4A"/>
    <w:rsid w:val="118E286E"/>
    <w:rsid w:val="11A36E95"/>
    <w:rsid w:val="11AE3D23"/>
    <w:rsid w:val="11B00120"/>
    <w:rsid w:val="11BB0A26"/>
    <w:rsid w:val="11C140FD"/>
    <w:rsid w:val="11DC7A7D"/>
    <w:rsid w:val="11E90E6C"/>
    <w:rsid w:val="11ED6377"/>
    <w:rsid w:val="11F12FEF"/>
    <w:rsid w:val="11FD07C1"/>
    <w:rsid w:val="1218482D"/>
    <w:rsid w:val="121F0324"/>
    <w:rsid w:val="12234694"/>
    <w:rsid w:val="12280D51"/>
    <w:rsid w:val="122C4DD8"/>
    <w:rsid w:val="12301B77"/>
    <w:rsid w:val="124D2440"/>
    <w:rsid w:val="125515DD"/>
    <w:rsid w:val="12593CA9"/>
    <w:rsid w:val="125E66E4"/>
    <w:rsid w:val="125F1AC6"/>
    <w:rsid w:val="12633CFA"/>
    <w:rsid w:val="126B66F7"/>
    <w:rsid w:val="12741F5E"/>
    <w:rsid w:val="12750005"/>
    <w:rsid w:val="1291328C"/>
    <w:rsid w:val="12977E48"/>
    <w:rsid w:val="1299596E"/>
    <w:rsid w:val="129C720C"/>
    <w:rsid w:val="12A32349"/>
    <w:rsid w:val="12A40621"/>
    <w:rsid w:val="12AC0145"/>
    <w:rsid w:val="12B26A5D"/>
    <w:rsid w:val="12B37E92"/>
    <w:rsid w:val="12B7253D"/>
    <w:rsid w:val="12BF70C4"/>
    <w:rsid w:val="12C01C00"/>
    <w:rsid w:val="12C95C1F"/>
    <w:rsid w:val="12CA04D3"/>
    <w:rsid w:val="12D37012"/>
    <w:rsid w:val="12D44BF8"/>
    <w:rsid w:val="12D544CC"/>
    <w:rsid w:val="12D70244"/>
    <w:rsid w:val="12ED4198"/>
    <w:rsid w:val="12F11306"/>
    <w:rsid w:val="13023513"/>
    <w:rsid w:val="1312726D"/>
    <w:rsid w:val="13186723"/>
    <w:rsid w:val="131C5B88"/>
    <w:rsid w:val="131D034D"/>
    <w:rsid w:val="131D659F"/>
    <w:rsid w:val="1323348A"/>
    <w:rsid w:val="13310BD3"/>
    <w:rsid w:val="13327BCA"/>
    <w:rsid w:val="13382DC7"/>
    <w:rsid w:val="133A6A81"/>
    <w:rsid w:val="133D279D"/>
    <w:rsid w:val="13452433"/>
    <w:rsid w:val="13695D3B"/>
    <w:rsid w:val="136F66CF"/>
    <w:rsid w:val="137D497C"/>
    <w:rsid w:val="138403CC"/>
    <w:rsid w:val="13857CA0"/>
    <w:rsid w:val="13881F85"/>
    <w:rsid w:val="13897791"/>
    <w:rsid w:val="138E5DD1"/>
    <w:rsid w:val="13A8357B"/>
    <w:rsid w:val="13B0106F"/>
    <w:rsid w:val="13B16CE7"/>
    <w:rsid w:val="13BB7B66"/>
    <w:rsid w:val="13BD38DE"/>
    <w:rsid w:val="13C7141F"/>
    <w:rsid w:val="13C84512"/>
    <w:rsid w:val="13CC2CE5"/>
    <w:rsid w:val="13CD49D8"/>
    <w:rsid w:val="13EC7D20"/>
    <w:rsid w:val="14126207"/>
    <w:rsid w:val="142179C9"/>
    <w:rsid w:val="14292753"/>
    <w:rsid w:val="142D2812"/>
    <w:rsid w:val="142F2E14"/>
    <w:rsid w:val="1433065B"/>
    <w:rsid w:val="1448764C"/>
    <w:rsid w:val="145204CA"/>
    <w:rsid w:val="145E0C1D"/>
    <w:rsid w:val="145E77EA"/>
    <w:rsid w:val="146C3C63"/>
    <w:rsid w:val="1472070A"/>
    <w:rsid w:val="147F7284"/>
    <w:rsid w:val="1485143D"/>
    <w:rsid w:val="14887A48"/>
    <w:rsid w:val="148F7029"/>
    <w:rsid w:val="149C1746"/>
    <w:rsid w:val="149C2CDC"/>
    <w:rsid w:val="14A02B20"/>
    <w:rsid w:val="14A740BD"/>
    <w:rsid w:val="14A75703"/>
    <w:rsid w:val="14B06F9F"/>
    <w:rsid w:val="14B20F69"/>
    <w:rsid w:val="14B2243D"/>
    <w:rsid w:val="14B52807"/>
    <w:rsid w:val="14BB749D"/>
    <w:rsid w:val="14C82913"/>
    <w:rsid w:val="14D013EF"/>
    <w:rsid w:val="14DC7969"/>
    <w:rsid w:val="14E40C49"/>
    <w:rsid w:val="14F21366"/>
    <w:rsid w:val="14F5097D"/>
    <w:rsid w:val="1505161F"/>
    <w:rsid w:val="15065976"/>
    <w:rsid w:val="15111718"/>
    <w:rsid w:val="151439D2"/>
    <w:rsid w:val="15182B92"/>
    <w:rsid w:val="153361F3"/>
    <w:rsid w:val="153B3941"/>
    <w:rsid w:val="15406575"/>
    <w:rsid w:val="15446F04"/>
    <w:rsid w:val="154716B1"/>
    <w:rsid w:val="15542020"/>
    <w:rsid w:val="15593193"/>
    <w:rsid w:val="155A3E1C"/>
    <w:rsid w:val="156758B0"/>
    <w:rsid w:val="156C436F"/>
    <w:rsid w:val="1573694A"/>
    <w:rsid w:val="1574621E"/>
    <w:rsid w:val="157A2987"/>
    <w:rsid w:val="157B2187"/>
    <w:rsid w:val="157B2848"/>
    <w:rsid w:val="158469D6"/>
    <w:rsid w:val="15891CCA"/>
    <w:rsid w:val="158B07D8"/>
    <w:rsid w:val="15A5462A"/>
    <w:rsid w:val="15AE7982"/>
    <w:rsid w:val="15BA6327"/>
    <w:rsid w:val="15C26F8A"/>
    <w:rsid w:val="15C87EA7"/>
    <w:rsid w:val="15CA22E2"/>
    <w:rsid w:val="15CC7E09"/>
    <w:rsid w:val="15DB44F0"/>
    <w:rsid w:val="15DB4D1F"/>
    <w:rsid w:val="15EB196C"/>
    <w:rsid w:val="15F555B1"/>
    <w:rsid w:val="16017613"/>
    <w:rsid w:val="16077093"/>
    <w:rsid w:val="16094BB9"/>
    <w:rsid w:val="1615355E"/>
    <w:rsid w:val="161B13E4"/>
    <w:rsid w:val="161C272A"/>
    <w:rsid w:val="16220F65"/>
    <w:rsid w:val="162C3DEF"/>
    <w:rsid w:val="162E2FB0"/>
    <w:rsid w:val="163C77C6"/>
    <w:rsid w:val="163D4862"/>
    <w:rsid w:val="1651030E"/>
    <w:rsid w:val="16591300"/>
    <w:rsid w:val="165D4F05"/>
    <w:rsid w:val="16624474"/>
    <w:rsid w:val="16702E8A"/>
    <w:rsid w:val="1673488D"/>
    <w:rsid w:val="16775FC6"/>
    <w:rsid w:val="167F30CD"/>
    <w:rsid w:val="167F4E7B"/>
    <w:rsid w:val="169C3C7F"/>
    <w:rsid w:val="169E79F7"/>
    <w:rsid w:val="16AD19E8"/>
    <w:rsid w:val="16BA2357"/>
    <w:rsid w:val="16C16C33"/>
    <w:rsid w:val="16D34DDA"/>
    <w:rsid w:val="16D572AC"/>
    <w:rsid w:val="16DB47A7"/>
    <w:rsid w:val="16E12EB6"/>
    <w:rsid w:val="16E80C72"/>
    <w:rsid w:val="16EC74B0"/>
    <w:rsid w:val="16EC7E54"/>
    <w:rsid w:val="16F2389F"/>
    <w:rsid w:val="16F92F35"/>
    <w:rsid w:val="17090292"/>
    <w:rsid w:val="170A0BE8"/>
    <w:rsid w:val="170B3AF5"/>
    <w:rsid w:val="171B1048"/>
    <w:rsid w:val="171E24DE"/>
    <w:rsid w:val="1723661F"/>
    <w:rsid w:val="17253C74"/>
    <w:rsid w:val="17297EC6"/>
    <w:rsid w:val="17342109"/>
    <w:rsid w:val="173857BC"/>
    <w:rsid w:val="173F4AA7"/>
    <w:rsid w:val="17473343"/>
    <w:rsid w:val="175207E1"/>
    <w:rsid w:val="17546308"/>
    <w:rsid w:val="175B05DE"/>
    <w:rsid w:val="176F26A7"/>
    <w:rsid w:val="17706613"/>
    <w:rsid w:val="177A4E8B"/>
    <w:rsid w:val="17935082"/>
    <w:rsid w:val="17A728DB"/>
    <w:rsid w:val="17A829E2"/>
    <w:rsid w:val="17B44FF8"/>
    <w:rsid w:val="17BB13E6"/>
    <w:rsid w:val="17C118AF"/>
    <w:rsid w:val="17C35A7C"/>
    <w:rsid w:val="17C739D2"/>
    <w:rsid w:val="17E256C1"/>
    <w:rsid w:val="17E9547C"/>
    <w:rsid w:val="17FD08DA"/>
    <w:rsid w:val="18003D99"/>
    <w:rsid w:val="18023A96"/>
    <w:rsid w:val="1804549F"/>
    <w:rsid w:val="181231AA"/>
    <w:rsid w:val="181D422F"/>
    <w:rsid w:val="181E7318"/>
    <w:rsid w:val="18285388"/>
    <w:rsid w:val="182A3BC2"/>
    <w:rsid w:val="18455C50"/>
    <w:rsid w:val="18467635"/>
    <w:rsid w:val="18492AD7"/>
    <w:rsid w:val="184A37E9"/>
    <w:rsid w:val="185A5BA0"/>
    <w:rsid w:val="186364ED"/>
    <w:rsid w:val="186B1B5B"/>
    <w:rsid w:val="18715475"/>
    <w:rsid w:val="18874D9D"/>
    <w:rsid w:val="18876B59"/>
    <w:rsid w:val="18925EAF"/>
    <w:rsid w:val="189372CE"/>
    <w:rsid w:val="1894002B"/>
    <w:rsid w:val="18956BD8"/>
    <w:rsid w:val="18980476"/>
    <w:rsid w:val="189C7F66"/>
    <w:rsid w:val="18A46E1B"/>
    <w:rsid w:val="18C43F61"/>
    <w:rsid w:val="18D25FCF"/>
    <w:rsid w:val="18E90CD1"/>
    <w:rsid w:val="18EE0096"/>
    <w:rsid w:val="18FA0623"/>
    <w:rsid w:val="190A633A"/>
    <w:rsid w:val="190D49C0"/>
    <w:rsid w:val="19136F16"/>
    <w:rsid w:val="19237B9F"/>
    <w:rsid w:val="19267830"/>
    <w:rsid w:val="192A37C4"/>
    <w:rsid w:val="193327E5"/>
    <w:rsid w:val="193D33F0"/>
    <w:rsid w:val="194009BD"/>
    <w:rsid w:val="19471B5D"/>
    <w:rsid w:val="194859F8"/>
    <w:rsid w:val="195066E0"/>
    <w:rsid w:val="19566367"/>
    <w:rsid w:val="19570467"/>
    <w:rsid w:val="195B56B1"/>
    <w:rsid w:val="197109D1"/>
    <w:rsid w:val="19720A2A"/>
    <w:rsid w:val="19737D0A"/>
    <w:rsid w:val="19744A3F"/>
    <w:rsid w:val="197B5FF6"/>
    <w:rsid w:val="198D5CA8"/>
    <w:rsid w:val="199450E1"/>
    <w:rsid w:val="19AC41D9"/>
    <w:rsid w:val="19AE278A"/>
    <w:rsid w:val="19BB266E"/>
    <w:rsid w:val="19C029FD"/>
    <w:rsid w:val="19C07C84"/>
    <w:rsid w:val="19C67A57"/>
    <w:rsid w:val="19C71013"/>
    <w:rsid w:val="19C86B39"/>
    <w:rsid w:val="19D13C3F"/>
    <w:rsid w:val="19D31807"/>
    <w:rsid w:val="19D63519"/>
    <w:rsid w:val="19D96F98"/>
    <w:rsid w:val="19DE02E9"/>
    <w:rsid w:val="19DF45AE"/>
    <w:rsid w:val="19E41F02"/>
    <w:rsid w:val="19E445A9"/>
    <w:rsid w:val="19EE1931"/>
    <w:rsid w:val="19FD6FB4"/>
    <w:rsid w:val="1A0148B8"/>
    <w:rsid w:val="1A02029D"/>
    <w:rsid w:val="1A1678A4"/>
    <w:rsid w:val="1A1E49AB"/>
    <w:rsid w:val="1A257CDF"/>
    <w:rsid w:val="1A277E63"/>
    <w:rsid w:val="1A2A0014"/>
    <w:rsid w:val="1A3B37AF"/>
    <w:rsid w:val="1A436706"/>
    <w:rsid w:val="1A4743E4"/>
    <w:rsid w:val="1A51797C"/>
    <w:rsid w:val="1A5503C6"/>
    <w:rsid w:val="1A56092D"/>
    <w:rsid w:val="1A562397"/>
    <w:rsid w:val="1A5A2DE1"/>
    <w:rsid w:val="1A5B3C40"/>
    <w:rsid w:val="1A5F124B"/>
    <w:rsid w:val="1A666E7E"/>
    <w:rsid w:val="1A69031C"/>
    <w:rsid w:val="1A70787E"/>
    <w:rsid w:val="1A750A6F"/>
    <w:rsid w:val="1A7717A5"/>
    <w:rsid w:val="1A796EBF"/>
    <w:rsid w:val="1A8C5009"/>
    <w:rsid w:val="1A9571AB"/>
    <w:rsid w:val="1AA17FFF"/>
    <w:rsid w:val="1AB20159"/>
    <w:rsid w:val="1ABF7F3C"/>
    <w:rsid w:val="1AC13CB4"/>
    <w:rsid w:val="1AE06FED"/>
    <w:rsid w:val="1AE654C9"/>
    <w:rsid w:val="1AE97736"/>
    <w:rsid w:val="1AF11538"/>
    <w:rsid w:val="1AFF1F6C"/>
    <w:rsid w:val="1B0B4F2F"/>
    <w:rsid w:val="1B1262BE"/>
    <w:rsid w:val="1B153DB8"/>
    <w:rsid w:val="1B1F6C2C"/>
    <w:rsid w:val="1B244D45"/>
    <w:rsid w:val="1B367C84"/>
    <w:rsid w:val="1B474E65"/>
    <w:rsid w:val="1B570174"/>
    <w:rsid w:val="1B5C39DD"/>
    <w:rsid w:val="1B5D777F"/>
    <w:rsid w:val="1B5E413C"/>
    <w:rsid w:val="1B614C1F"/>
    <w:rsid w:val="1B6237AE"/>
    <w:rsid w:val="1B6D766B"/>
    <w:rsid w:val="1B6D7998"/>
    <w:rsid w:val="1B76354D"/>
    <w:rsid w:val="1B7E7DF7"/>
    <w:rsid w:val="1B860A5A"/>
    <w:rsid w:val="1B91134D"/>
    <w:rsid w:val="1B9211AC"/>
    <w:rsid w:val="1B9374DE"/>
    <w:rsid w:val="1B9A2198"/>
    <w:rsid w:val="1BA40968"/>
    <w:rsid w:val="1BA57132"/>
    <w:rsid w:val="1BA809D0"/>
    <w:rsid w:val="1BA90BB8"/>
    <w:rsid w:val="1BB35E2F"/>
    <w:rsid w:val="1BBA7347"/>
    <w:rsid w:val="1BC07E23"/>
    <w:rsid w:val="1BC65AEE"/>
    <w:rsid w:val="1BCD48DA"/>
    <w:rsid w:val="1BD0568D"/>
    <w:rsid w:val="1BD27011"/>
    <w:rsid w:val="1BD42A40"/>
    <w:rsid w:val="1BD45D4A"/>
    <w:rsid w:val="1BDF0DAF"/>
    <w:rsid w:val="1BF26782"/>
    <w:rsid w:val="1BF42469"/>
    <w:rsid w:val="1C00080C"/>
    <w:rsid w:val="1C1177BB"/>
    <w:rsid w:val="1C1425F4"/>
    <w:rsid w:val="1C1A4476"/>
    <w:rsid w:val="1C1D1B72"/>
    <w:rsid w:val="1C201864"/>
    <w:rsid w:val="1C2564C4"/>
    <w:rsid w:val="1C2920DF"/>
    <w:rsid w:val="1C2A5889"/>
    <w:rsid w:val="1C2D46BF"/>
    <w:rsid w:val="1C3861F8"/>
    <w:rsid w:val="1C3F5DAD"/>
    <w:rsid w:val="1C494732"/>
    <w:rsid w:val="1C4955DC"/>
    <w:rsid w:val="1C4B65ED"/>
    <w:rsid w:val="1C4C57FF"/>
    <w:rsid w:val="1C5363E4"/>
    <w:rsid w:val="1C556DAA"/>
    <w:rsid w:val="1C597F1C"/>
    <w:rsid w:val="1C5D17BA"/>
    <w:rsid w:val="1C6B690B"/>
    <w:rsid w:val="1C7E50D0"/>
    <w:rsid w:val="1C837A09"/>
    <w:rsid w:val="1C93694D"/>
    <w:rsid w:val="1CA06A08"/>
    <w:rsid w:val="1CA127CF"/>
    <w:rsid w:val="1CB515F6"/>
    <w:rsid w:val="1CCC33C4"/>
    <w:rsid w:val="1CD04682"/>
    <w:rsid w:val="1CDB00C3"/>
    <w:rsid w:val="1CE45DB6"/>
    <w:rsid w:val="1CE50760"/>
    <w:rsid w:val="1CE57C07"/>
    <w:rsid w:val="1CEB5018"/>
    <w:rsid w:val="1CFB1DB5"/>
    <w:rsid w:val="1CFD4D4B"/>
    <w:rsid w:val="1CFE1CD3"/>
    <w:rsid w:val="1CFF6D16"/>
    <w:rsid w:val="1D03633C"/>
    <w:rsid w:val="1D061E52"/>
    <w:rsid w:val="1D0D1432"/>
    <w:rsid w:val="1D167BBB"/>
    <w:rsid w:val="1D214EDE"/>
    <w:rsid w:val="1D262A7D"/>
    <w:rsid w:val="1D2906F2"/>
    <w:rsid w:val="1D375E9C"/>
    <w:rsid w:val="1D4110DC"/>
    <w:rsid w:val="1D4806BC"/>
    <w:rsid w:val="1D495FD0"/>
    <w:rsid w:val="1D502ED2"/>
    <w:rsid w:val="1D556936"/>
    <w:rsid w:val="1D5A267E"/>
    <w:rsid w:val="1D5E34AA"/>
    <w:rsid w:val="1D606212"/>
    <w:rsid w:val="1D69418F"/>
    <w:rsid w:val="1D6C48F6"/>
    <w:rsid w:val="1D7056F4"/>
    <w:rsid w:val="1D72325E"/>
    <w:rsid w:val="1D733EDB"/>
    <w:rsid w:val="1D7E40DE"/>
    <w:rsid w:val="1D7F9BB1"/>
    <w:rsid w:val="1D8611E5"/>
    <w:rsid w:val="1D8C3FF0"/>
    <w:rsid w:val="1D907667"/>
    <w:rsid w:val="1D9931F7"/>
    <w:rsid w:val="1D9B6A3E"/>
    <w:rsid w:val="1D9C27B6"/>
    <w:rsid w:val="1DAB4918"/>
    <w:rsid w:val="1DAC03EC"/>
    <w:rsid w:val="1DB16262"/>
    <w:rsid w:val="1DB4365C"/>
    <w:rsid w:val="1DB67273"/>
    <w:rsid w:val="1DBA2C3C"/>
    <w:rsid w:val="1DD51824"/>
    <w:rsid w:val="1DE45416"/>
    <w:rsid w:val="1DEA52D0"/>
    <w:rsid w:val="1DFC2585"/>
    <w:rsid w:val="1E0D4BB8"/>
    <w:rsid w:val="1E207AA3"/>
    <w:rsid w:val="1E2527AC"/>
    <w:rsid w:val="1E29229C"/>
    <w:rsid w:val="1E2B3694"/>
    <w:rsid w:val="1E2F3219"/>
    <w:rsid w:val="1E33115E"/>
    <w:rsid w:val="1E3429EF"/>
    <w:rsid w:val="1E3450BD"/>
    <w:rsid w:val="1E390005"/>
    <w:rsid w:val="1E3A76DB"/>
    <w:rsid w:val="1E3B3D7D"/>
    <w:rsid w:val="1E3E59B0"/>
    <w:rsid w:val="1E447672"/>
    <w:rsid w:val="1E5310C7"/>
    <w:rsid w:val="1E544457"/>
    <w:rsid w:val="1E551F1A"/>
    <w:rsid w:val="1E5F67B7"/>
    <w:rsid w:val="1E696B3C"/>
    <w:rsid w:val="1E6B55EB"/>
    <w:rsid w:val="1E7219A1"/>
    <w:rsid w:val="1E7D4396"/>
    <w:rsid w:val="1E8A260F"/>
    <w:rsid w:val="1E8E7A8E"/>
    <w:rsid w:val="1E94288D"/>
    <w:rsid w:val="1EA00084"/>
    <w:rsid w:val="1EA10478"/>
    <w:rsid w:val="1EB41931"/>
    <w:rsid w:val="1EB71B46"/>
    <w:rsid w:val="1EBB71D2"/>
    <w:rsid w:val="1EC137FC"/>
    <w:rsid w:val="1EC37BCD"/>
    <w:rsid w:val="1EC801E5"/>
    <w:rsid w:val="1ECED510"/>
    <w:rsid w:val="1ED61CF8"/>
    <w:rsid w:val="1EE00481"/>
    <w:rsid w:val="1EEE7042"/>
    <w:rsid w:val="1EF6464E"/>
    <w:rsid w:val="1EFC3B58"/>
    <w:rsid w:val="1F1151C2"/>
    <w:rsid w:val="1F150595"/>
    <w:rsid w:val="1F187E58"/>
    <w:rsid w:val="1F1E074B"/>
    <w:rsid w:val="1F244811"/>
    <w:rsid w:val="1F2726C5"/>
    <w:rsid w:val="1F29084A"/>
    <w:rsid w:val="1F290A0E"/>
    <w:rsid w:val="1F2A69A4"/>
    <w:rsid w:val="1F316F2E"/>
    <w:rsid w:val="1F346AB5"/>
    <w:rsid w:val="1F3FDFFC"/>
    <w:rsid w:val="1F4D5417"/>
    <w:rsid w:val="1F595559"/>
    <w:rsid w:val="1F640DA5"/>
    <w:rsid w:val="1F7431C0"/>
    <w:rsid w:val="1F75506D"/>
    <w:rsid w:val="1F7C289F"/>
    <w:rsid w:val="1F7D3F22"/>
    <w:rsid w:val="1F830BD9"/>
    <w:rsid w:val="1F850636"/>
    <w:rsid w:val="1F8A6087"/>
    <w:rsid w:val="1F95570F"/>
    <w:rsid w:val="1F9F1946"/>
    <w:rsid w:val="1FA31BDA"/>
    <w:rsid w:val="1FAA5C2F"/>
    <w:rsid w:val="1FB05D8B"/>
    <w:rsid w:val="1FB24013"/>
    <w:rsid w:val="1FB262C1"/>
    <w:rsid w:val="1FB406F8"/>
    <w:rsid w:val="1FB979B9"/>
    <w:rsid w:val="1FC85AE5"/>
    <w:rsid w:val="1FCD6C57"/>
    <w:rsid w:val="1FEC3AE3"/>
    <w:rsid w:val="1FEE2F5C"/>
    <w:rsid w:val="1FEF4AE7"/>
    <w:rsid w:val="1FFF9B72"/>
    <w:rsid w:val="20014B53"/>
    <w:rsid w:val="200A3A07"/>
    <w:rsid w:val="2018760F"/>
    <w:rsid w:val="201B5C14"/>
    <w:rsid w:val="2020147D"/>
    <w:rsid w:val="20210F16"/>
    <w:rsid w:val="202919B6"/>
    <w:rsid w:val="20445877"/>
    <w:rsid w:val="206155F1"/>
    <w:rsid w:val="206A36D3"/>
    <w:rsid w:val="206C021E"/>
    <w:rsid w:val="206C2914"/>
    <w:rsid w:val="20713A86"/>
    <w:rsid w:val="209B0B03"/>
    <w:rsid w:val="20A51982"/>
    <w:rsid w:val="20A61B12"/>
    <w:rsid w:val="20A7794A"/>
    <w:rsid w:val="20AA2020"/>
    <w:rsid w:val="20B81D58"/>
    <w:rsid w:val="20BB1426"/>
    <w:rsid w:val="20C30596"/>
    <w:rsid w:val="20C46836"/>
    <w:rsid w:val="20C53DD2"/>
    <w:rsid w:val="20D010D1"/>
    <w:rsid w:val="20D26C9E"/>
    <w:rsid w:val="20DB35F6"/>
    <w:rsid w:val="20DD1972"/>
    <w:rsid w:val="20DD736E"/>
    <w:rsid w:val="20E11DC2"/>
    <w:rsid w:val="20E224E5"/>
    <w:rsid w:val="20E22DB1"/>
    <w:rsid w:val="20E64474"/>
    <w:rsid w:val="20EA2A65"/>
    <w:rsid w:val="20ED3DE4"/>
    <w:rsid w:val="20FD5B68"/>
    <w:rsid w:val="210B284C"/>
    <w:rsid w:val="21156B08"/>
    <w:rsid w:val="211F34E2"/>
    <w:rsid w:val="2120725A"/>
    <w:rsid w:val="212B632B"/>
    <w:rsid w:val="2131111E"/>
    <w:rsid w:val="21327632"/>
    <w:rsid w:val="213A656E"/>
    <w:rsid w:val="214B2529"/>
    <w:rsid w:val="215018EE"/>
    <w:rsid w:val="21505D92"/>
    <w:rsid w:val="21530394"/>
    <w:rsid w:val="215D3B26"/>
    <w:rsid w:val="2160182E"/>
    <w:rsid w:val="216703B6"/>
    <w:rsid w:val="216E5668"/>
    <w:rsid w:val="21714784"/>
    <w:rsid w:val="21771570"/>
    <w:rsid w:val="217A2425"/>
    <w:rsid w:val="21977533"/>
    <w:rsid w:val="219851B9"/>
    <w:rsid w:val="21986A4E"/>
    <w:rsid w:val="219D08AB"/>
    <w:rsid w:val="21AE70D7"/>
    <w:rsid w:val="21B0066E"/>
    <w:rsid w:val="21B36881"/>
    <w:rsid w:val="21B75D99"/>
    <w:rsid w:val="21BE719F"/>
    <w:rsid w:val="21D53A09"/>
    <w:rsid w:val="21D544E9"/>
    <w:rsid w:val="21D56297"/>
    <w:rsid w:val="21E939F3"/>
    <w:rsid w:val="21FE58F7"/>
    <w:rsid w:val="221E3160"/>
    <w:rsid w:val="224C70F0"/>
    <w:rsid w:val="225E44DE"/>
    <w:rsid w:val="226F5DBF"/>
    <w:rsid w:val="227C0EC4"/>
    <w:rsid w:val="22885270"/>
    <w:rsid w:val="22963C78"/>
    <w:rsid w:val="229879F0"/>
    <w:rsid w:val="229B303C"/>
    <w:rsid w:val="22A85759"/>
    <w:rsid w:val="22AD3540"/>
    <w:rsid w:val="22AE3AA8"/>
    <w:rsid w:val="22BF0D9E"/>
    <w:rsid w:val="22BF6927"/>
    <w:rsid w:val="22CB676E"/>
    <w:rsid w:val="22E440E3"/>
    <w:rsid w:val="22E460A7"/>
    <w:rsid w:val="22E72668"/>
    <w:rsid w:val="22E9024C"/>
    <w:rsid w:val="231921B3"/>
    <w:rsid w:val="231A62E5"/>
    <w:rsid w:val="232D371B"/>
    <w:rsid w:val="232F0909"/>
    <w:rsid w:val="23337719"/>
    <w:rsid w:val="233961B3"/>
    <w:rsid w:val="233A4054"/>
    <w:rsid w:val="233A6C4C"/>
    <w:rsid w:val="233D7991"/>
    <w:rsid w:val="234611FA"/>
    <w:rsid w:val="23474F72"/>
    <w:rsid w:val="235A2EF8"/>
    <w:rsid w:val="235D4796"/>
    <w:rsid w:val="2366364A"/>
    <w:rsid w:val="23694EE9"/>
    <w:rsid w:val="236A32F1"/>
    <w:rsid w:val="236E69A3"/>
    <w:rsid w:val="23746A60"/>
    <w:rsid w:val="2378512C"/>
    <w:rsid w:val="237F64BA"/>
    <w:rsid w:val="239A04EF"/>
    <w:rsid w:val="23A45F21"/>
    <w:rsid w:val="23A81EB5"/>
    <w:rsid w:val="23A979DB"/>
    <w:rsid w:val="23AC0FD2"/>
    <w:rsid w:val="23B02761"/>
    <w:rsid w:val="23BC770E"/>
    <w:rsid w:val="23CD6E0A"/>
    <w:rsid w:val="23D16494"/>
    <w:rsid w:val="23D305B4"/>
    <w:rsid w:val="23D52D24"/>
    <w:rsid w:val="23D82733"/>
    <w:rsid w:val="23DC384B"/>
    <w:rsid w:val="23DF21DE"/>
    <w:rsid w:val="23ED666D"/>
    <w:rsid w:val="23F65209"/>
    <w:rsid w:val="24080638"/>
    <w:rsid w:val="2423153B"/>
    <w:rsid w:val="242332EA"/>
    <w:rsid w:val="24271EF9"/>
    <w:rsid w:val="242B169C"/>
    <w:rsid w:val="243A0633"/>
    <w:rsid w:val="244018D4"/>
    <w:rsid w:val="244A4D4D"/>
    <w:rsid w:val="244D236D"/>
    <w:rsid w:val="244F6DB9"/>
    <w:rsid w:val="246D6DF6"/>
    <w:rsid w:val="24763D61"/>
    <w:rsid w:val="24774BDC"/>
    <w:rsid w:val="248021E9"/>
    <w:rsid w:val="248144B4"/>
    <w:rsid w:val="24872B02"/>
    <w:rsid w:val="248E3007"/>
    <w:rsid w:val="249441E7"/>
    <w:rsid w:val="24BF4C2F"/>
    <w:rsid w:val="24C30629"/>
    <w:rsid w:val="24C67E36"/>
    <w:rsid w:val="24C745BD"/>
    <w:rsid w:val="24D06014"/>
    <w:rsid w:val="24D171E9"/>
    <w:rsid w:val="24D259C4"/>
    <w:rsid w:val="24D90223"/>
    <w:rsid w:val="24DB0068"/>
    <w:rsid w:val="24DD7B5D"/>
    <w:rsid w:val="24E863F3"/>
    <w:rsid w:val="24EE7ED0"/>
    <w:rsid w:val="24F44FF1"/>
    <w:rsid w:val="24FA1965"/>
    <w:rsid w:val="250F1AC0"/>
    <w:rsid w:val="252249A3"/>
    <w:rsid w:val="2522679D"/>
    <w:rsid w:val="252437BD"/>
    <w:rsid w:val="252C2320"/>
    <w:rsid w:val="253432D4"/>
    <w:rsid w:val="253439FF"/>
    <w:rsid w:val="253B4663"/>
    <w:rsid w:val="253E2650"/>
    <w:rsid w:val="25494795"/>
    <w:rsid w:val="25502DD1"/>
    <w:rsid w:val="25585824"/>
    <w:rsid w:val="25622B0F"/>
    <w:rsid w:val="25665B84"/>
    <w:rsid w:val="25685726"/>
    <w:rsid w:val="25700120"/>
    <w:rsid w:val="257B10A7"/>
    <w:rsid w:val="257E2B4A"/>
    <w:rsid w:val="258C7A56"/>
    <w:rsid w:val="259326F1"/>
    <w:rsid w:val="2593624D"/>
    <w:rsid w:val="25950217"/>
    <w:rsid w:val="25A0096A"/>
    <w:rsid w:val="25A466AC"/>
    <w:rsid w:val="25A91F14"/>
    <w:rsid w:val="25AB3597"/>
    <w:rsid w:val="25B368EF"/>
    <w:rsid w:val="25B83057"/>
    <w:rsid w:val="25BC08A2"/>
    <w:rsid w:val="25C07D2D"/>
    <w:rsid w:val="25D32AED"/>
    <w:rsid w:val="25D728C0"/>
    <w:rsid w:val="25EA2B31"/>
    <w:rsid w:val="25EA666C"/>
    <w:rsid w:val="25F747AF"/>
    <w:rsid w:val="25F860EB"/>
    <w:rsid w:val="25FE5CF9"/>
    <w:rsid w:val="2600794E"/>
    <w:rsid w:val="260158AC"/>
    <w:rsid w:val="260C7AAD"/>
    <w:rsid w:val="260D5FFF"/>
    <w:rsid w:val="26213859"/>
    <w:rsid w:val="263B7010"/>
    <w:rsid w:val="26422E9B"/>
    <w:rsid w:val="265A5C0C"/>
    <w:rsid w:val="2670658E"/>
    <w:rsid w:val="26764558"/>
    <w:rsid w:val="2677791D"/>
    <w:rsid w:val="267A2D1E"/>
    <w:rsid w:val="26804A23"/>
    <w:rsid w:val="26864004"/>
    <w:rsid w:val="26914FE9"/>
    <w:rsid w:val="26A06E73"/>
    <w:rsid w:val="26A10E3D"/>
    <w:rsid w:val="26A47BFF"/>
    <w:rsid w:val="26BE5FC5"/>
    <w:rsid w:val="26C64400"/>
    <w:rsid w:val="26CF19C2"/>
    <w:rsid w:val="26D44D6F"/>
    <w:rsid w:val="26D92D41"/>
    <w:rsid w:val="26DE799C"/>
    <w:rsid w:val="26E414EB"/>
    <w:rsid w:val="26E42362"/>
    <w:rsid w:val="26F50C55"/>
    <w:rsid w:val="270A7415"/>
    <w:rsid w:val="270C5331"/>
    <w:rsid w:val="270E64D3"/>
    <w:rsid w:val="271A594C"/>
    <w:rsid w:val="27266F5B"/>
    <w:rsid w:val="272A01DA"/>
    <w:rsid w:val="272C6959"/>
    <w:rsid w:val="273121C1"/>
    <w:rsid w:val="27343A60"/>
    <w:rsid w:val="27400942"/>
    <w:rsid w:val="274F318F"/>
    <w:rsid w:val="275238C7"/>
    <w:rsid w:val="275E288B"/>
    <w:rsid w:val="276A25B5"/>
    <w:rsid w:val="277D5407"/>
    <w:rsid w:val="278247CB"/>
    <w:rsid w:val="27856069"/>
    <w:rsid w:val="279C2835"/>
    <w:rsid w:val="279D1605"/>
    <w:rsid w:val="27A26C29"/>
    <w:rsid w:val="27A44741"/>
    <w:rsid w:val="27B0758A"/>
    <w:rsid w:val="27C60B5C"/>
    <w:rsid w:val="27D325A6"/>
    <w:rsid w:val="27DB3502"/>
    <w:rsid w:val="27DD49AF"/>
    <w:rsid w:val="27E2526A"/>
    <w:rsid w:val="27F154AD"/>
    <w:rsid w:val="27F81395"/>
    <w:rsid w:val="28065AF3"/>
    <w:rsid w:val="280B1A82"/>
    <w:rsid w:val="28127295"/>
    <w:rsid w:val="281766AC"/>
    <w:rsid w:val="281D44F4"/>
    <w:rsid w:val="281F0080"/>
    <w:rsid w:val="281F026C"/>
    <w:rsid w:val="28232772"/>
    <w:rsid w:val="28245882"/>
    <w:rsid w:val="2826784C"/>
    <w:rsid w:val="283048B1"/>
    <w:rsid w:val="28387B79"/>
    <w:rsid w:val="283F26BC"/>
    <w:rsid w:val="28427911"/>
    <w:rsid w:val="284657F9"/>
    <w:rsid w:val="284F2D0E"/>
    <w:rsid w:val="285B7A54"/>
    <w:rsid w:val="28615C98"/>
    <w:rsid w:val="28724840"/>
    <w:rsid w:val="2879797C"/>
    <w:rsid w:val="28845976"/>
    <w:rsid w:val="2886653D"/>
    <w:rsid w:val="288E0245"/>
    <w:rsid w:val="288E0F4E"/>
    <w:rsid w:val="28944BAE"/>
    <w:rsid w:val="28A54C15"/>
    <w:rsid w:val="28A6141E"/>
    <w:rsid w:val="28C65634"/>
    <w:rsid w:val="28CE5541"/>
    <w:rsid w:val="28D23742"/>
    <w:rsid w:val="28D67E33"/>
    <w:rsid w:val="28DC43AF"/>
    <w:rsid w:val="28EA087A"/>
    <w:rsid w:val="28EF36B9"/>
    <w:rsid w:val="28EF7C3E"/>
    <w:rsid w:val="29017971"/>
    <w:rsid w:val="2908648D"/>
    <w:rsid w:val="290A4A78"/>
    <w:rsid w:val="290C5ACE"/>
    <w:rsid w:val="29127DD1"/>
    <w:rsid w:val="29155A04"/>
    <w:rsid w:val="291D0C4F"/>
    <w:rsid w:val="29201209"/>
    <w:rsid w:val="2925720D"/>
    <w:rsid w:val="292E4C0A"/>
    <w:rsid w:val="292F0982"/>
    <w:rsid w:val="292F2E7A"/>
    <w:rsid w:val="29363ABF"/>
    <w:rsid w:val="2940049A"/>
    <w:rsid w:val="29401FE7"/>
    <w:rsid w:val="29414BE5"/>
    <w:rsid w:val="29475CCC"/>
    <w:rsid w:val="294A756A"/>
    <w:rsid w:val="295F65D8"/>
    <w:rsid w:val="296028EA"/>
    <w:rsid w:val="29626662"/>
    <w:rsid w:val="296F6FD1"/>
    <w:rsid w:val="29750330"/>
    <w:rsid w:val="29785E86"/>
    <w:rsid w:val="297A7BB1"/>
    <w:rsid w:val="29817776"/>
    <w:rsid w:val="298F4EE5"/>
    <w:rsid w:val="29900AF5"/>
    <w:rsid w:val="29915199"/>
    <w:rsid w:val="299C44DE"/>
    <w:rsid w:val="29A70519"/>
    <w:rsid w:val="29AB31B9"/>
    <w:rsid w:val="29B36EBE"/>
    <w:rsid w:val="29BB5D72"/>
    <w:rsid w:val="29C63095"/>
    <w:rsid w:val="29CB1ED3"/>
    <w:rsid w:val="29CB5A75"/>
    <w:rsid w:val="29F7616C"/>
    <w:rsid w:val="29FC57B3"/>
    <w:rsid w:val="29FC6EAF"/>
    <w:rsid w:val="2A141C7C"/>
    <w:rsid w:val="2A1856DC"/>
    <w:rsid w:val="2A19034C"/>
    <w:rsid w:val="2A24364B"/>
    <w:rsid w:val="2A273408"/>
    <w:rsid w:val="2A336C8D"/>
    <w:rsid w:val="2A353998"/>
    <w:rsid w:val="2A557566"/>
    <w:rsid w:val="2A634AE6"/>
    <w:rsid w:val="2A636B36"/>
    <w:rsid w:val="2A6425B4"/>
    <w:rsid w:val="2A750617"/>
    <w:rsid w:val="2A7A5C2D"/>
    <w:rsid w:val="2AA131BA"/>
    <w:rsid w:val="2AA80CAF"/>
    <w:rsid w:val="2AB033FD"/>
    <w:rsid w:val="2AB52B4E"/>
    <w:rsid w:val="2ABB12BD"/>
    <w:rsid w:val="2AC11AAE"/>
    <w:rsid w:val="2AD3590E"/>
    <w:rsid w:val="2AD451E8"/>
    <w:rsid w:val="2ADC2A0B"/>
    <w:rsid w:val="2ADE7F6A"/>
    <w:rsid w:val="2AE966F2"/>
    <w:rsid w:val="2AED5233"/>
    <w:rsid w:val="2AF07C9E"/>
    <w:rsid w:val="2AF15231"/>
    <w:rsid w:val="2AF465F1"/>
    <w:rsid w:val="2AF76522"/>
    <w:rsid w:val="2AFF2E06"/>
    <w:rsid w:val="2B070785"/>
    <w:rsid w:val="2B083239"/>
    <w:rsid w:val="2B110340"/>
    <w:rsid w:val="2B1823DD"/>
    <w:rsid w:val="2B195BEE"/>
    <w:rsid w:val="2B211B1F"/>
    <w:rsid w:val="2B253B3A"/>
    <w:rsid w:val="2B377D46"/>
    <w:rsid w:val="2B3E6C5B"/>
    <w:rsid w:val="2B473D61"/>
    <w:rsid w:val="2B475F3E"/>
    <w:rsid w:val="2B4843B6"/>
    <w:rsid w:val="2B4A4C91"/>
    <w:rsid w:val="2B4E3EA7"/>
    <w:rsid w:val="2B53729A"/>
    <w:rsid w:val="2B5559BD"/>
    <w:rsid w:val="2B5F2A60"/>
    <w:rsid w:val="2B6622A3"/>
    <w:rsid w:val="2B6E226F"/>
    <w:rsid w:val="2B741F54"/>
    <w:rsid w:val="2B77216D"/>
    <w:rsid w:val="2B7E614C"/>
    <w:rsid w:val="2B8516E3"/>
    <w:rsid w:val="2BA2368E"/>
    <w:rsid w:val="2BA2543C"/>
    <w:rsid w:val="2BA966CA"/>
    <w:rsid w:val="2BAA0794"/>
    <w:rsid w:val="2BAF1907"/>
    <w:rsid w:val="2BB42139"/>
    <w:rsid w:val="2BB5161D"/>
    <w:rsid w:val="2BB86A0D"/>
    <w:rsid w:val="2BBB79FD"/>
    <w:rsid w:val="2BBC70F1"/>
    <w:rsid w:val="2BBE7741"/>
    <w:rsid w:val="2BC52ED8"/>
    <w:rsid w:val="2BC74169"/>
    <w:rsid w:val="2BC95556"/>
    <w:rsid w:val="2BD05FDF"/>
    <w:rsid w:val="2BE86B09"/>
    <w:rsid w:val="2BF343F3"/>
    <w:rsid w:val="2C023933"/>
    <w:rsid w:val="2C1A56AF"/>
    <w:rsid w:val="2C1D2D14"/>
    <w:rsid w:val="2C1F4711"/>
    <w:rsid w:val="2C214146"/>
    <w:rsid w:val="2C22657D"/>
    <w:rsid w:val="2C231C6F"/>
    <w:rsid w:val="2C2355B3"/>
    <w:rsid w:val="2C245E51"/>
    <w:rsid w:val="2C2E4F21"/>
    <w:rsid w:val="2C31056E"/>
    <w:rsid w:val="2C3639E8"/>
    <w:rsid w:val="2C372028"/>
    <w:rsid w:val="2C434A76"/>
    <w:rsid w:val="2C456CEE"/>
    <w:rsid w:val="2C534988"/>
    <w:rsid w:val="2C5F332D"/>
    <w:rsid w:val="2C624BCB"/>
    <w:rsid w:val="2C626979"/>
    <w:rsid w:val="2C6941AB"/>
    <w:rsid w:val="2C7373D2"/>
    <w:rsid w:val="2C7C78C3"/>
    <w:rsid w:val="2C9C33F7"/>
    <w:rsid w:val="2CB2296E"/>
    <w:rsid w:val="2CB27900"/>
    <w:rsid w:val="2CBC7A94"/>
    <w:rsid w:val="2CC71744"/>
    <w:rsid w:val="2CC94C4A"/>
    <w:rsid w:val="2CCE2260"/>
    <w:rsid w:val="2CD233DA"/>
    <w:rsid w:val="2D037DB8"/>
    <w:rsid w:val="2D0543E6"/>
    <w:rsid w:val="2D0978AA"/>
    <w:rsid w:val="2D0E339D"/>
    <w:rsid w:val="2D0E50C2"/>
    <w:rsid w:val="2D1F015C"/>
    <w:rsid w:val="2D2020B0"/>
    <w:rsid w:val="2D312900"/>
    <w:rsid w:val="2D346567"/>
    <w:rsid w:val="2D360531"/>
    <w:rsid w:val="2D370F54"/>
    <w:rsid w:val="2D371DC3"/>
    <w:rsid w:val="2D4434C9"/>
    <w:rsid w:val="2D463ACD"/>
    <w:rsid w:val="2D4F33A1"/>
    <w:rsid w:val="2D4F6EFD"/>
    <w:rsid w:val="2D564730"/>
    <w:rsid w:val="2D580DD2"/>
    <w:rsid w:val="2D6023B1"/>
    <w:rsid w:val="2D60735C"/>
    <w:rsid w:val="2D623374"/>
    <w:rsid w:val="2D6327A4"/>
    <w:rsid w:val="2D663273"/>
    <w:rsid w:val="2D6D5C86"/>
    <w:rsid w:val="2D6F2366"/>
    <w:rsid w:val="2D713318"/>
    <w:rsid w:val="2D7F006D"/>
    <w:rsid w:val="2D895B7E"/>
    <w:rsid w:val="2DA82AB1"/>
    <w:rsid w:val="2DAC3172"/>
    <w:rsid w:val="2DAC4350"/>
    <w:rsid w:val="2DB6793F"/>
    <w:rsid w:val="2DB96A6D"/>
    <w:rsid w:val="2DD07BDA"/>
    <w:rsid w:val="2DD57A31"/>
    <w:rsid w:val="2DDD16BD"/>
    <w:rsid w:val="2DDE6D07"/>
    <w:rsid w:val="2DE33E32"/>
    <w:rsid w:val="2DE52846"/>
    <w:rsid w:val="2DE7182C"/>
    <w:rsid w:val="2DE73D29"/>
    <w:rsid w:val="2DF45CF7"/>
    <w:rsid w:val="2DF90AA0"/>
    <w:rsid w:val="2DFD07F3"/>
    <w:rsid w:val="2E0C7137"/>
    <w:rsid w:val="2E110657"/>
    <w:rsid w:val="2E154310"/>
    <w:rsid w:val="2E162C88"/>
    <w:rsid w:val="2E2465DC"/>
    <w:rsid w:val="2E277E7A"/>
    <w:rsid w:val="2E283EF2"/>
    <w:rsid w:val="2E284C0B"/>
    <w:rsid w:val="2E3B71C5"/>
    <w:rsid w:val="2E3F09E8"/>
    <w:rsid w:val="2E4B6EAB"/>
    <w:rsid w:val="2E4B7840"/>
    <w:rsid w:val="2E4F1947"/>
    <w:rsid w:val="2E547F14"/>
    <w:rsid w:val="2E586286"/>
    <w:rsid w:val="2E641A7D"/>
    <w:rsid w:val="2E6734E3"/>
    <w:rsid w:val="2E6F6A87"/>
    <w:rsid w:val="2E70537D"/>
    <w:rsid w:val="2E724E76"/>
    <w:rsid w:val="2E734E6D"/>
    <w:rsid w:val="2E772BB0"/>
    <w:rsid w:val="2E8157DC"/>
    <w:rsid w:val="2E8775D6"/>
    <w:rsid w:val="2E8E614B"/>
    <w:rsid w:val="2E96584B"/>
    <w:rsid w:val="2E996D16"/>
    <w:rsid w:val="2E9C2616"/>
    <w:rsid w:val="2EA50BEE"/>
    <w:rsid w:val="2EBC6814"/>
    <w:rsid w:val="2ED17FB6"/>
    <w:rsid w:val="2ED3590C"/>
    <w:rsid w:val="2ED6247B"/>
    <w:rsid w:val="2EEC779B"/>
    <w:rsid w:val="2F0106CB"/>
    <w:rsid w:val="2F085084"/>
    <w:rsid w:val="2F0F2DE8"/>
    <w:rsid w:val="2F115C87"/>
    <w:rsid w:val="2F24188F"/>
    <w:rsid w:val="2F260132"/>
    <w:rsid w:val="2F316EB3"/>
    <w:rsid w:val="2F391C13"/>
    <w:rsid w:val="2F3E4076"/>
    <w:rsid w:val="2F47706D"/>
    <w:rsid w:val="2F52555A"/>
    <w:rsid w:val="2F5F101A"/>
    <w:rsid w:val="2F6A001E"/>
    <w:rsid w:val="2F7442E4"/>
    <w:rsid w:val="2F76EB0D"/>
    <w:rsid w:val="2F8F429B"/>
    <w:rsid w:val="2F8F7515"/>
    <w:rsid w:val="2F9F5292"/>
    <w:rsid w:val="2FA01C92"/>
    <w:rsid w:val="2FB233B7"/>
    <w:rsid w:val="2FB27C17"/>
    <w:rsid w:val="2FCC0CD9"/>
    <w:rsid w:val="2FCE3E3B"/>
    <w:rsid w:val="2FD07D6B"/>
    <w:rsid w:val="2FD14541"/>
    <w:rsid w:val="2FD26231"/>
    <w:rsid w:val="2FD47B8E"/>
    <w:rsid w:val="2FD85A13"/>
    <w:rsid w:val="2FF30683"/>
    <w:rsid w:val="2FF3270A"/>
    <w:rsid w:val="2FFE2E5D"/>
    <w:rsid w:val="300315B9"/>
    <w:rsid w:val="30074CFA"/>
    <w:rsid w:val="30116076"/>
    <w:rsid w:val="30136908"/>
    <w:rsid w:val="30146F8B"/>
    <w:rsid w:val="30224D9D"/>
    <w:rsid w:val="302802A3"/>
    <w:rsid w:val="302A245E"/>
    <w:rsid w:val="303321F6"/>
    <w:rsid w:val="303C4D07"/>
    <w:rsid w:val="303D0DFC"/>
    <w:rsid w:val="304271ED"/>
    <w:rsid w:val="30542A7D"/>
    <w:rsid w:val="306929CC"/>
    <w:rsid w:val="306A22A0"/>
    <w:rsid w:val="30737D00"/>
    <w:rsid w:val="3075311F"/>
    <w:rsid w:val="307B05C4"/>
    <w:rsid w:val="307D1EE9"/>
    <w:rsid w:val="307F5C1F"/>
    <w:rsid w:val="30803872"/>
    <w:rsid w:val="3086532C"/>
    <w:rsid w:val="308C0468"/>
    <w:rsid w:val="30904174"/>
    <w:rsid w:val="309441E9"/>
    <w:rsid w:val="309B5748"/>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B0D65"/>
    <w:rsid w:val="31112915"/>
    <w:rsid w:val="31175F84"/>
    <w:rsid w:val="31181CFC"/>
    <w:rsid w:val="31245F91"/>
    <w:rsid w:val="31304586"/>
    <w:rsid w:val="313B0E53"/>
    <w:rsid w:val="314D7BF8"/>
    <w:rsid w:val="314E392A"/>
    <w:rsid w:val="3150593A"/>
    <w:rsid w:val="3152520E"/>
    <w:rsid w:val="315679FF"/>
    <w:rsid w:val="31677002"/>
    <w:rsid w:val="31807FCD"/>
    <w:rsid w:val="3186310A"/>
    <w:rsid w:val="318A3E92"/>
    <w:rsid w:val="31905D36"/>
    <w:rsid w:val="319925E7"/>
    <w:rsid w:val="31A0241D"/>
    <w:rsid w:val="31A37DE9"/>
    <w:rsid w:val="31AC0C90"/>
    <w:rsid w:val="31B41A25"/>
    <w:rsid w:val="31BB2DB3"/>
    <w:rsid w:val="31C54E28"/>
    <w:rsid w:val="31C840A2"/>
    <w:rsid w:val="31C94250"/>
    <w:rsid w:val="31CB2007"/>
    <w:rsid w:val="31D64091"/>
    <w:rsid w:val="31DB79D8"/>
    <w:rsid w:val="31DF79A9"/>
    <w:rsid w:val="31FB58A6"/>
    <w:rsid w:val="31FE5396"/>
    <w:rsid w:val="31FF7744"/>
    <w:rsid w:val="32034EF7"/>
    <w:rsid w:val="3210328B"/>
    <w:rsid w:val="32145110"/>
    <w:rsid w:val="321B2E89"/>
    <w:rsid w:val="322546D1"/>
    <w:rsid w:val="322620F6"/>
    <w:rsid w:val="322748ED"/>
    <w:rsid w:val="322B3707"/>
    <w:rsid w:val="322C43BA"/>
    <w:rsid w:val="322C4B15"/>
    <w:rsid w:val="322F5EB7"/>
    <w:rsid w:val="322F7E5B"/>
    <w:rsid w:val="32452FC5"/>
    <w:rsid w:val="32500091"/>
    <w:rsid w:val="325829EC"/>
    <w:rsid w:val="32586854"/>
    <w:rsid w:val="325A5DCC"/>
    <w:rsid w:val="325D20BC"/>
    <w:rsid w:val="32680F89"/>
    <w:rsid w:val="3275602C"/>
    <w:rsid w:val="327918AA"/>
    <w:rsid w:val="32841A47"/>
    <w:rsid w:val="32847224"/>
    <w:rsid w:val="32870EE7"/>
    <w:rsid w:val="328E671A"/>
    <w:rsid w:val="329362BA"/>
    <w:rsid w:val="32A24A38"/>
    <w:rsid w:val="32A61CB5"/>
    <w:rsid w:val="32B45DAE"/>
    <w:rsid w:val="32BF68D3"/>
    <w:rsid w:val="32C75788"/>
    <w:rsid w:val="32CE6B16"/>
    <w:rsid w:val="32D76AD3"/>
    <w:rsid w:val="32DA370D"/>
    <w:rsid w:val="32E20814"/>
    <w:rsid w:val="32E43F45"/>
    <w:rsid w:val="32F26CA9"/>
    <w:rsid w:val="32F72511"/>
    <w:rsid w:val="32FF13C6"/>
    <w:rsid w:val="33152498"/>
    <w:rsid w:val="331A1D5C"/>
    <w:rsid w:val="331D35FA"/>
    <w:rsid w:val="3321758E"/>
    <w:rsid w:val="33226E62"/>
    <w:rsid w:val="33266952"/>
    <w:rsid w:val="332B3F69"/>
    <w:rsid w:val="332E1CAB"/>
    <w:rsid w:val="333170A5"/>
    <w:rsid w:val="3344502A"/>
    <w:rsid w:val="335E1C38"/>
    <w:rsid w:val="336417E9"/>
    <w:rsid w:val="33661C03"/>
    <w:rsid w:val="33663BDB"/>
    <w:rsid w:val="33663C98"/>
    <w:rsid w:val="33694A91"/>
    <w:rsid w:val="33934B57"/>
    <w:rsid w:val="339D6506"/>
    <w:rsid w:val="33A61841"/>
    <w:rsid w:val="33A65CE5"/>
    <w:rsid w:val="33A87367"/>
    <w:rsid w:val="33B05759"/>
    <w:rsid w:val="33B14B36"/>
    <w:rsid w:val="33CB74FA"/>
    <w:rsid w:val="33E04D53"/>
    <w:rsid w:val="33E36AB9"/>
    <w:rsid w:val="33E72C31"/>
    <w:rsid w:val="33ED121E"/>
    <w:rsid w:val="33F70598"/>
    <w:rsid w:val="33FD6212"/>
    <w:rsid w:val="34117602"/>
    <w:rsid w:val="341838CF"/>
    <w:rsid w:val="3421071B"/>
    <w:rsid w:val="342310E4"/>
    <w:rsid w:val="342A2472"/>
    <w:rsid w:val="34391824"/>
    <w:rsid w:val="34425A0E"/>
    <w:rsid w:val="3446796C"/>
    <w:rsid w:val="345816AA"/>
    <w:rsid w:val="345A3DD4"/>
    <w:rsid w:val="34620231"/>
    <w:rsid w:val="346F27C6"/>
    <w:rsid w:val="34711F46"/>
    <w:rsid w:val="34745A79"/>
    <w:rsid w:val="34776B46"/>
    <w:rsid w:val="347A51A8"/>
    <w:rsid w:val="34815534"/>
    <w:rsid w:val="34844D32"/>
    <w:rsid w:val="348F6779"/>
    <w:rsid w:val="3498775D"/>
    <w:rsid w:val="34A00474"/>
    <w:rsid w:val="34B14942"/>
    <w:rsid w:val="34C71A6F"/>
    <w:rsid w:val="34D36666"/>
    <w:rsid w:val="34D71CBF"/>
    <w:rsid w:val="34DD74E5"/>
    <w:rsid w:val="34DF14AF"/>
    <w:rsid w:val="34DF263D"/>
    <w:rsid w:val="34E62438"/>
    <w:rsid w:val="34E806FB"/>
    <w:rsid w:val="34EF7816"/>
    <w:rsid w:val="34F211E2"/>
    <w:rsid w:val="34F74E78"/>
    <w:rsid w:val="350727B3"/>
    <w:rsid w:val="35223149"/>
    <w:rsid w:val="35284C04"/>
    <w:rsid w:val="352E1AEE"/>
    <w:rsid w:val="353646D6"/>
    <w:rsid w:val="353B03CE"/>
    <w:rsid w:val="353C4CEF"/>
    <w:rsid w:val="35487054"/>
    <w:rsid w:val="355635F9"/>
    <w:rsid w:val="35571045"/>
    <w:rsid w:val="35575DD8"/>
    <w:rsid w:val="355F0E30"/>
    <w:rsid w:val="35677F85"/>
    <w:rsid w:val="357E2A76"/>
    <w:rsid w:val="3583585A"/>
    <w:rsid w:val="35894BF6"/>
    <w:rsid w:val="358A766C"/>
    <w:rsid w:val="3593266D"/>
    <w:rsid w:val="35941D23"/>
    <w:rsid w:val="35961234"/>
    <w:rsid w:val="35A061C5"/>
    <w:rsid w:val="35B56328"/>
    <w:rsid w:val="35B60028"/>
    <w:rsid w:val="35B83942"/>
    <w:rsid w:val="35B923B1"/>
    <w:rsid w:val="35BE2E72"/>
    <w:rsid w:val="35C366DA"/>
    <w:rsid w:val="35C44201"/>
    <w:rsid w:val="35C67F79"/>
    <w:rsid w:val="35CE332E"/>
    <w:rsid w:val="35CF507F"/>
    <w:rsid w:val="35D07049"/>
    <w:rsid w:val="35D84564"/>
    <w:rsid w:val="35DB7EC8"/>
    <w:rsid w:val="35DE1766"/>
    <w:rsid w:val="35EE332A"/>
    <w:rsid w:val="35EF585C"/>
    <w:rsid w:val="36011A9C"/>
    <w:rsid w:val="36056CF3"/>
    <w:rsid w:val="360F5C2A"/>
    <w:rsid w:val="36162CAE"/>
    <w:rsid w:val="36174C78"/>
    <w:rsid w:val="36210B20"/>
    <w:rsid w:val="362D0788"/>
    <w:rsid w:val="36300F1A"/>
    <w:rsid w:val="36301896"/>
    <w:rsid w:val="36433785"/>
    <w:rsid w:val="365657A0"/>
    <w:rsid w:val="36586B29"/>
    <w:rsid w:val="36633A19"/>
    <w:rsid w:val="367C4861"/>
    <w:rsid w:val="367E6AA5"/>
    <w:rsid w:val="36806379"/>
    <w:rsid w:val="368C4D1E"/>
    <w:rsid w:val="368F2A60"/>
    <w:rsid w:val="36965B9D"/>
    <w:rsid w:val="36975981"/>
    <w:rsid w:val="36987D7C"/>
    <w:rsid w:val="369D6F2B"/>
    <w:rsid w:val="36A323F3"/>
    <w:rsid w:val="36AA789A"/>
    <w:rsid w:val="36AC298D"/>
    <w:rsid w:val="36AE1139"/>
    <w:rsid w:val="36BA08DC"/>
    <w:rsid w:val="36BB1AA7"/>
    <w:rsid w:val="36BB1F79"/>
    <w:rsid w:val="36BF4256"/>
    <w:rsid w:val="36CA241F"/>
    <w:rsid w:val="36CD016C"/>
    <w:rsid w:val="36CE5A1E"/>
    <w:rsid w:val="36D861B6"/>
    <w:rsid w:val="36D86939"/>
    <w:rsid w:val="36E74BCF"/>
    <w:rsid w:val="36F06EBF"/>
    <w:rsid w:val="36F36094"/>
    <w:rsid w:val="36FA545B"/>
    <w:rsid w:val="36FD5C1C"/>
    <w:rsid w:val="37005E85"/>
    <w:rsid w:val="37032EE2"/>
    <w:rsid w:val="37052D23"/>
    <w:rsid w:val="3706381E"/>
    <w:rsid w:val="37115D1B"/>
    <w:rsid w:val="37132D3F"/>
    <w:rsid w:val="37164F30"/>
    <w:rsid w:val="371B2546"/>
    <w:rsid w:val="371D006C"/>
    <w:rsid w:val="371F3DE4"/>
    <w:rsid w:val="37353608"/>
    <w:rsid w:val="37380B07"/>
    <w:rsid w:val="3744384B"/>
    <w:rsid w:val="37473124"/>
    <w:rsid w:val="37495DE7"/>
    <w:rsid w:val="37620175"/>
    <w:rsid w:val="376E6B1A"/>
    <w:rsid w:val="37754EA4"/>
    <w:rsid w:val="37784633"/>
    <w:rsid w:val="377A0F90"/>
    <w:rsid w:val="3781684D"/>
    <w:rsid w:val="37976071"/>
    <w:rsid w:val="379A74B9"/>
    <w:rsid w:val="379C3687"/>
    <w:rsid w:val="37A332CD"/>
    <w:rsid w:val="37AA7968"/>
    <w:rsid w:val="37AD6FFB"/>
    <w:rsid w:val="37AE3470"/>
    <w:rsid w:val="37B07204"/>
    <w:rsid w:val="37B87D95"/>
    <w:rsid w:val="37BA5670"/>
    <w:rsid w:val="37D141F5"/>
    <w:rsid w:val="37D963E5"/>
    <w:rsid w:val="37EA199E"/>
    <w:rsid w:val="37EA43F2"/>
    <w:rsid w:val="37EBC7A6"/>
    <w:rsid w:val="37ED426E"/>
    <w:rsid w:val="37F4390C"/>
    <w:rsid w:val="37FB587E"/>
    <w:rsid w:val="380B6326"/>
    <w:rsid w:val="381839A2"/>
    <w:rsid w:val="38223A5B"/>
    <w:rsid w:val="38234110"/>
    <w:rsid w:val="38340E36"/>
    <w:rsid w:val="38353194"/>
    <w:rsid w:val="38372165"/>
    <w:rsid w:val="384A70AD"/>
    <w:rsid w:val="3852059A"/>
    <w:rsid w:val="385950D4"/>
    <w:rsid w:val="38660F08"/>
    <w:rsid w:val="386A108F"/>
    <w:rsid w:val="386B56A1"/>
    <w:rsid w:val="38713459"/>
    <w:rsid w:val="387329B0"/>
    <w:rsid w:val="387C7014"/>
    <w:rsid w:val="387E0FDF"/>
    <w:rsid w:val="388349E1"/>
    <w:rsid w:val="38946EF2"/>
    <w:rsid w:val="389712E7"/>
    <w:rsid w:val="38982C55"/>
    <w:rsid w:val="389941AE"/>
    <w:rsid w:val="38A45FDC"/>
    <w:rsid w:val="38A5656B"/>
    <w:rsid w:val="38AF5D1E"/>
    <w:rsid w:val="38DE3230"/>
    <w:rsid w:val="38E5105E"/>
    <w:rsid w:val="38E65EE7"/>
    <w:rsid w:val="38E97386"/>
    <w:rsid w:val="38EB36E5"/>
    <w:rsid w:val="38F74AF1"/>
    <w:rsid w:val="38FF3ECD"/>
    <w:rsid w:val="3901753D"/>
    <w:rsid w:val="390E5946"/>
    <w:rsid w:val="39140F60"/>
    <w:rsid w:val="3914724D"/>
    <w:rsid w:val="3915565D"/>
    <w:rsid w:val="391E0C2C"/>
    <w:rsid w:val="3922196A"/>
    <w:rsid w:val="39271C2E"/>
    <w:rsid w:val="392E7AA4"/>
    <w:rsid w:val="393208C8"/>
    <w:rsid w:val="3934142E"/>
    <w:rsid w:val="39432CDE"/>
    <w:rsid w:val="394713D0"/>
    <w:rsid w:val="3958538C"/>
    <w:rsid w:val="395A1000"/>
    <w:rsid w:val="395A1104"/>
    <w:rsid w:val="396114CC"/>
    <w:rsid w:val="39697599"/>
    <w:rsid w:val="39766A08"/>
    <w:rsid w:val="397F14BF"/>
    <w:rsid w:val="39806C59"/>
    <w:rsid w:val="39854CED"/>
    <w:rsid w:val="39897C3B"/>
    <w:rsid w:val="398C3287"/>
    <w:rsid w:val="39912999"/>
    <w:rsid w:val="39A03EED"/>
    <w:rsid w:val="39A131D7"/>
    <w:rsid w:val="39A16D33"/>
    <w:rsid w:val="39A73BAE"/>
    <w:rsid w:val="39A87231"/>
    <w:rsid w:val="39AB5E03"/>
    <w:rsid w:val="39B34CB8"/>
    <w:rsid w:val="39B747A8"/>
    <w:rsid w:val="39BA7DF4"/>
    <w:rsid w:val="39C35667"/>
    <w:rsid w:val="39C80763"/>
    <w:rsid w:val="39CB50A6"/>
    <w:rsid w:val="39CC34C4"/>
    <w:rsid w:val="39CF6DF4"/>
    <w:rsid w:val="39D44E96"/>
    <w:rsid w:val="39D4535A"/>
    <w:rsid w:val="39D8471E"/>
    <w:rsid w:val="39E3559D"/>
    <w:rsid w:val="39E6508D"/>
    <w:rsid w:val="39EA239A"/>
    <w:rsid w:val="39EC3F23"/>
    <w:rsid w:val="39EC5B12"/>
    <w:rsid w:val="39FF48E8"/>
    <w:rsid w:val="3A137505"/>
    <w:rsid w:val="3A161272"/>
    <w:rsid w:val="3A1805F9"/>
    <w:rsid w:val="3A2160C5"/>
    <w:rsid w:val="3A3E0A25"/>
    <w:rsid w:val="3A4A1141"/>
    <w:rsid w:val="3A4F678F"/>
    <w:rsid w:val="3A59585F"/>
    <w:rsid w:val="3A5A6D30"/>
    <w:rsid w:val="3A601D2F"/>
    <w:rsid w:val="3A687850"/>
    <w:rsid w:val="3A6A0CDC"/>
    <w:rsid w:val="3A726E4E"/>
    <w:rsid w:val="3A7E085A"/>
    <w:rsid w:val="3A8433AD"/>
    <w:rsid w:val="3A843ABE"/>
    <w:rsid w:val="3A9128C1"/>
    <w:rsid w:val="3A922524"/>
    <w:rsid w:val="3AA85F85"/>
    <w:rsid w:val="3AAD5BAB"/>
    <w:rsid w:val="3AAF64AB"/>
    <w:rsid w:val="3AB05274"/>
    <w:rsid w:val="3AB40CE8"/>
    <w:rsid w:val="3ABF0039"/>
    <w:rsid w:val="3AC21D31"/>
    <w:rsid w:val="3AC73B7D"/>
    <w:rsid w:val="3ACC77E6"/>
    <w:rsid w:val="3AD17B7F"/>
    <w:rsid w:val="3AD35612"/>
    <w:rsid w:val="3AD874C9"/>
    <w:rsid w:val="3AEE244B"/>
    <w:rsid w:val="3AEF180B"/>
    <w:rsid w:val="3AF916B0"/>
    <w:rsid w:val="3AFD61EB"/>
    <w:rsid w:val="3B051543"/>
    <w:rsid w:val="3B250922"/>
    <w:rsid w:val="3B260976"/>
    <w:rsid w:val="3B366613"/>
    <w:rsid w:val="3B3D6F2F"/>
    <w:rsid w:val="3B486A4A"/>
    <w:rsid w:val="3B4D6A6B"/>
    <w:rsid w:val="3B535A77"/>
    <w:rsid w:val="3B581673"/>
    <w:rsid w:val="3B5E01E4"/>
    <w:rsid w:val="3B6236A0"/>
    <w:rsid w:val="3B6B3A9C"/>
    <w:rsid w:val="3B767AD6"/>
    <w:rsid w:val="3B823EEA"/>
    <w:rsid w:val="3B8B1C35"/>
    <w:rsid w:val="3B937DF8"/>
    <w:rsid w:val="3BA20A9E"/>
    <w:rsid w:val="3BA27B29"/>
    <w:rsid w:val="3BA36306"/>
    <w:rsid w:val="3BA90120"/>
    <w:rsid w:val="3BA96C8B"/>
    <w:rsid w:val="3BB645EB"/>
    <w:rsid w:val="3BB75234"/>
    <w:rsid w:val="3BB81A38"/>
    <w:rsid w:val="3BC46D08"/>
    <w:rsid w:val="3BC74A4B"/>
    <w:rsid w:val="3BC9468F"/>
    <w:rsid w:val="3BCD02B3"/>
    <w:rsid w:val="3BD01B51"/>
    <w:rsid w:val="3BD258C9"/>
    <w:rsid w:val="3BDF7FE6"/>
    <w:rsid w:val="3BE6C7A4"/>
    <w:rsid w:val="3BFF41E4"/>
    <w:rsid w:val="3BFFA27A"/>
    <w:rsid w:val="3C084023"/>
    <w:rsid w:val="3C131844"/>
    <w:rsid w:val="3C157564"/>
    <w:rsid w:val="3C2002D7"/>
    <w:rsid w:val="3C327C29"/>
    <w:rsid w:val="3C3C0CD2"/>
    <w:rsid w:val="3C460065"/>
    <w:rsid w:val="3C522566"/>
    <w:rsid w:val="3C5249B6"/>
    <w:rsid w:val="3C6127A9"/>
    <w:rsid w:val="3C6329C5"/>
    <w:rsid w:val="3C69674F"/>
    <w:rsid w:val="3C7C75E3"/>
    <w:rsid w:val="3C7E335B"/>
    <w:rsid w:val="3C8A2084"/>
    <w:rsid w:val="3C8D13F8"/>
    <w:rsid w:val="3C9012E0"/>
    <w:rsid w:val="3C9708C1"/>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575D8"/>
    <w:rsid w:val="3D0620E8"/>
    <w:rsid w:val="3D0F4ED7"/>
    <w:rsid w:val="3D193084"/>
    <w:rsid w:val="3D211F38"/>
    <w:rsid w:val="3D22018A"/>
    <w:rsid w:val="3D294424"/>
    <w:rsid w:val="3D29758D"/>
    <w:rsid w:val="3D2C5607"/>
    <w:rsid w:val="3D472F70"/>
    <w:rsid w:val="3D534CEE"/>
    <w:rsid w:val="3D6469F5"/>
    <w:rsid w:val="3D683084"/>
    <w:rsid w:val="3D714C6E"/>
    <w:rsid w:val="3D7604D6"/>
    <w:rsid w:val="3D76708B"/>
    <w:rsid w:val="3D7B5AED"/>
    <w:rsid w:val="3D84709F"/>
    <w:rsid w:val="3D8A4F7F"/>
    <w:rsid w:val="3D8C1249"/>
    <w:rsid w:val="3D907E4E"/>
    <w:rsid w:val="3D915D03"/>
    <w:rsid w:val="3D9854F1"/>
    <w:rsid w:val="3D9D5A63"/>
    <w:rsid w:val="3D9F67B1"/>
    <w:rsid w:val="3DA26D0E"/>
    <w:rsid w:val="3DAF617E"/>
    <w:rsid w:val="3DB1150E"/>
    <w:rsid w:val="3DB17760"/>
    <w:rsid w:val="3DBA03C3"/>
    <w:rsid w:val="3DC42CFC"/>
    <w:rsid w:val="3DC95CBF"/>
    <w:rsid w:val="3DC97D5B"/>
    <w:rsid w:val="3DD31485"/>
    <w:rsid w:val="3DD35929"/>
    <w:rsid w:val="3DDA450B"/>
    <w:rsid w:val="3DDD2303"/>
    <w:rsid w:val="3DEB38AB"/>
    <w:rsid w:val="3DEC2546"/>
    <w:rsid w:val="3DEE62BF"/>
    <w:rsid w:val="3DF5764D"/>
    <w:rsid w:val="3DFD29A6"/>
    <w:rsid w:val="3DFF3DB0"/>
    <w:rsid w:val="3DFF45DA"/>
    <w:rsid w:val="3E0E6961"/>
    <w:rsid w:val="3E17163D"/>
    <w:rsid w:val="3E175815"/>
    <w:rsid w:val="3E1F6F2C"/>
    <w:rsid w:val="3E2A5F43"/>
    <w:rsid w:val="3E3C1720"/>
    <w:rsid w:val="3E486ECD"/>
    <w:rsid w:val="3E4A0DFA"/>
    <w:rsid w:val="3E4D1237"/>
    <w:rsid w:val="3E734A16"/>
    <w:rsid w:val="3E7563F5"/>
    <w:rsid w:val="3E8B6216"/>
    <w:rsid w:val="3E99749A"/>
    <w:rsid w:val="3E9A1272"/>
    <w:rsid w:val="3EB373AC"/>
    <w:rsid w:val="3EBD90BE"/>
    <w:rsid w:val="3ED96F6F"/>
    <w:rsid w:val="3EDD2677"/>
    <w:rsid w:val="3EE01818"/>
    <w:rsid w:val="3EF20030"/>
    <w:rsid w:val="3EFB446E"/>
    <w:rsid w:val="3EFE0372"/>
    <w:rsid w:val="3F0833B0"/>
    <w:rsid w:val="3F0A13F8"/>
    <w:rsid w:val="3F0D4E6A"/>
    <w:rsid w:val="3F1745F7"/>
    <w:rsid w:val="3F220A30"/>
    <w:rsid w:val="3F22253F"/>
    <w:rsid w:val="3F2335C3"/>
    <w:rsid w:val="3F236054"/>
    <w:rsid w:val="3F256073"/>
    <w:rsid w:val="3F2C4D37"/>
    <w:rsid w:val="3F3C245E"/>
    <w:rsid w:val="3F431B2C"/>
    <w:rsid w:val="3F4A17B3"/>
    <w:rsid w:val="3F4C14EF"/>
    <w:rsid w:val="3F53550C"/>
    <w:rsid w:val="3F537FF3"/>
    <w:rsid w:val="3F5605BF"/>
    <w:rsid w:val="3F5A02EC"/>
    <w:rsid w:val="3F6B2D2B"/>
    <w:rsid w:val="3F6B55BF"/>
    <w:rsid w:val="3F731171"/>
    <w:rsid w:val="3F9152EB"/>
    <w:rsid w:val="3F9E5AC2"/>
    <w:rsid w:val="3FA072D2"/>
    <w:rsid w:val="3FAE03FB"/>
    <w:rsid w:val="3FAE3F57"/>
    <w:rsid w:val="3FB0398F"/>
    <w:rsid w:val="3FC03C8B"/>
    <w:rsid w:val="3FCC680A"/>
    <w:rsid w:val="3FCE0156"/>
    <w:rsid w:val="3FD06468"/>
    <w:rsid w:val="3FD13C3B"/>
    <w:rsid w:val="3FD15E98"/>
    <w:rsid w:val="3FD87226"/>
    <w:rsid w:val="3FE47979"/>
    <w:rsid w:val="3FE7A14E"/>
    <w:rsid w:val="3FF51B86"/>
    <w:rsid w:val="3FFE08B6"/>
    <w:rsid w:val="40010EF3"/>
    <w:rsid w:val="40041DC9"/>
    <w:rsid w:val="400422FF"/>
    <w:rsid w:val="40073668"/>
    <w:rsid w:val="40152228"/>
    <w:rsid w:val="40181D19"/>
    <w:rsid w:val="402814CD"/>
    <w:rsid w:val="402A1ADA"/>
    <w:rsid w:val="402E32EA"/>
    <w:rsid w:val="403158D7"/>
    <w:rsid w:val="40322DDA"/>
    <w:rsid w:val="403C77B5"/>
    <w:rsid w:val="403D352D"/>
    <w:rsid w:val="405220B8"/>
    <w:rsid w:val="405368AD"/>
    <w:rsid w:val="40543E48"/>
    <w:rsid w:val="40665850"/>
    <w:rsid w:val="407A676D"/>
    <w:rsid w:val="40866C82"/>
    <w:rsid w:val="408E29FF"/>
    <w:rsid w:val="408E7CE2"/>
    <w:rsid w:val="40A37834"/>
    <w:rsid w:val="40B84D47"/>
    <w:rsid w:val="40C42BD2"/>
    <w:rsid w:val="40CD665F"/>
    <w:rsid w:val="40D365D4"/>
    <w:rsid w:val="40D43E92"/>
    <w:rsid w:val="40D774DE"/>
    <w:rsid w:val="40E276F7"/>
    <w:rsid w:val="40EA6EBA"/>
    <w:rsid w:val="40ED54D8"/>
    <w:rsid w:val="40F42C5D"/>
    <w:rsid w:val="40F56C6C"/>
    <w:rsid w:val="40F938F8"/>
    <w:rsid w:val="40FEB618"/>
    <w:rsid w:val="410605CC"/>
    <w:rsid w:val="410B7BCB"/>
    <w:rsid w:val="412E6F3C"/>
    <w:rsid w:val="41436921"/>
    <w:rsid w:val="414D77A0"/>
    <w:rsid w:val="4151103E"/>
    <w:rsid w:val="41526080"/>
    <w:rsid w:val="41724AE9"/>
    <w:rsid w:val="41850CE8"/>
    <w:rsid w:val="41941570"/>
    <w:rsid w:val="41961202"/>
    <w:rsid w:val="419929E5"/>
    <w:rsid w:val="419B3618"/>
    <w:rsid w:val="419E41F7"/>
    <w:rsid w:val="41B15EE3"/>
    <w:rsid w:val="41B161BF"/>
    <w:rsid w:val="41B445E9"/>
    <w:rsid w:val="41BD2B78"/>
    <w:rsid w:val="41C50BB6"/>
    <w:rsid w:val="41C757A4"/>
    <w:rsid w:val="41C9151C"/>
    <w:rsid w:val="41D57EC1"/>
    <w:rsid w:val="41EE4ADF"/>
    <w:rsid w:val="41F248FA"/>
    <w:rsid w:val="41F64B29"/>
    <w:rsid w:val="41F92659"/>
    <w:rsid w:val="420239EF"/>
    <w:rsid w:val="42066721"/>
    <w:rsid w:val="42186000"/>
    <w:rsid w:val="42213106"/>
    <w:rsid w:val="42442951"/>
    <w:rsid w:val="42497184"/>
    <w:rsid w:val="424B5480"/>
    <w:rsid w:val="424F0A63"/>
    <w:rsid w:val="42553EE8"/>
    <w:rsid w:val="425C3523"/>
    <w:rsid w:val="42605908"/>
    <w:rsid w:val="4278084D"/>
    <w:rsid w:val="427B3D8A"/>
    <w:rsid w:val="42886D23"/>
    <w:rsid w:val="428C5620"/>
    <w:rsid w:val="428C60A6"/>
    <w:rsid w:val="429F24F8"/>
    <w:rsid w:val="42A31D6D"/>
    <w:rsid w:val="42B15B0D"/>
    <w:rsid w:val="42B41D52"/>
    <w:rsid w:val="42C159A0"/>
    <w:rsid w:val="42CB7A34"/>
    <w:rsid w:val="42CE66BF"/>
    <w:rsid w:val="42D00689"/>
    <w:rsid w:val="42E12FAA"/>
    <w:rsid w:val="42E14644"/>
    <w:rsid w:val="42E24CD9"/>
    <w:rsid w:val="42E3216A"/>
    <w:rsid w:val="42EA174A"/>
    <w:rsid w:val="42EB439E"/>
    <w:rsid w:val="42EE5221"/>
    <w:rsid w:val="42EF4FB3"/>
    <w:rsid w:val="42F071AC"/>
    <w:rsid w:val="42F51E9D"/>
    <w:rsid w:val="42FC76D0"/>
    <w:rsid w:val="43025F84"/>
    <w:rsid w:val="43122A4F"/>
    <w:rsid w:val="432E448E"/>
    <w:rsid w:val="43324E9F"/>
    <w:rsid w:val="43325B98"/>
    <w:rsid w:val="43341C3E"/>
    <w:rsid w:val="43495B48"/>
    <w:rsid w:val="43560B8E"/>
    <w:rsid w:val="4356268C"/>
    <w:rsid w:val="435B43F6"/>
    <w:rsid w:val="435B61A4"/>
    <w:rsid w:val="4368266F"/>
    <w:rsid w:val="43721740"/>
    <w:rsid w:val="43776D56"/>
    <w:rsid w:val="437C4A28"/>
    <w:rsid w:val="438374A9"/>
    <w:rsid w:val="43983C23"/>
    <w:rsid w:val="439C7CD4"/>
    <w:rsid w:val="43A318F9"/>
    <w:rsid w:val="43A73199"/>
    <w:rsid w:val="43A7579D"/>
    <w:rsid w:val="43AE09CA"/>
    <w:rsid w:val="43C82B7A"/>
    <w:rsid w:val="43C875B2"/>
    <w:rsid w:val="43D21641"/>
    <w:rsid w:val="43D441A9"/>
    <w:rsid w:val="43D63A7D"/>
    <w:rsid w:val="43E758B2"/>
    <w:rsid w:val="43EC32A0"/>
    <w:rsid w:val="43EF4B3E"/>
    <w:rsid w:val="44093E52"/>
    <w:rsid w:val="440A1978"/>
    <w:rsid w:val="440B6D71"/>
    <w:rsid w:val="440C749E"/>
    <w:rsid w:val="441427F7"/>
    <w:rsid w:val="442030D5"/>
    <w:rsid w:val="443F3D46"/>
    <w:rsid w:val="444255B6"/>
    <w:rsid w:val="444529B0"/>
    <w:rsid w:val="444E7AB7"/>
    <w:rsid w:val="44587E0A"/>
    <w:rsid w:val="44593DBA"/>
    <w:rsid w:val="44613C8E"/>
    <w:rsid w:val="4475773A"/>
    <w:rsid w:val="447A63A2"/>
    <w:rsid w:val="447D493F"/>
    <w:rsid w:val="447D65EE"/>
    <w:rsid w:val="4484797D"/>
    <w:rsid w:val="448654A3"/>
    <w:rsid w:val="449F6565"/>
    <w:rsid w:val="44A00397"/>
    <w:rsid w:val="44A409D6"/>
    <w:rsid w:val="44AC55BD"/>
    <w:rsid w:val="44AF4066"/>
    <w:rsid w:val="44B042CE"/>
    <w:rsid w:val="44BD10DE"/>
    <w:rsid w:val="44D81A76"/>
    <w:rsid w:val="44DB2DB4"/>
    <w:rsid w:val="44DF6BBE"/>
    <w:rsid w:val="44E4632B"/>
    <w:rsid w:val="44F00B6E"/>
    <w:rsid w:val="44F248E6"/>
    <w:rsid w:val="44F47E43"/>
    <w:rsid w:val="44FC4475"/>
    <w:rsid w:val="45082F5D"/>
    <w:rsid w:val="450A1C21"/>
    <w:rsid w:val="451E392D"/>
    <w:rsid w:val="451E3EC6"/>
    <w:rsid w:val="45282027"/>
    <w:rsid w:val="452F4A52"/>
    <w:rsid w:val="452F55B2"/>
    <w:rsid w:val="45327E35"/>
    <w:rsid w:val="453E73B1"/>
    <w:rsid w:val="4545710C"/>
    <w:rsid w:val="45472EBB"/>
    <w:rsid w:val="45486BFC"/>
    <w:rsid w:val="45533F1C"/>
    <w:rsid w:val="455443CF"/>
    <w:rsid w:val="4557225D"/>
    <w:rsid w:val="45662C5E"/>
    <w:rsid w:val="45776453"/>
    <w:rsid w:val="45901070"/>
    <w:rsid w:val="45941E41"/>
    <w:rsid w:val="45B06ED6"/>
    <w:rsid w:val="45B37EB1"/>
    <w:rsid w:val="45B47498"/>
    <w:rsid w:val="45B95404"/>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D314E"/>
    <w:rsid w:val="466E61EE"/>
    <w:rsid w:val="46715822"/>
    <w:rsid w:val="467B0413"/>
    <w:rsid w:val="46804174"/>
    <w:rsid w:val="468A24B1"/>
    <w:rsid w:val="468A53B0"/>
    <w:rsid w:val="468A6DA0"/>
    <w:rsid w:val="469B534E"/>
    <w:rsid w:val="469C1213"/>
    <w:rsid w:val="46A00372"/>
    <w:rsid w:val="46B14FD9"/>
    <w:rsid w:val="46B53E1D"/>
    <w:rsid w:val="46B837C8"/>
    <w:rsid w:val="46C0453A"/>
    <w:rsid w:val="46C82AEE"/>
    <w:rsid w:val="46CB4320"/>
    <w:rsid w:val="46CD72D6"/>
    <w:rsid w:val="46D30747"/>
    <w:rsid w:val="46D36999"/>
    <w:rsid w:val="46D76668"/>
    <w:rsid w:val="46E841F3"/>
    <w:rsid w:val="46EE732F"/>
    <w:rsid w:val="46F33B59"/>
    <w:rsid w:val="46F506BE"/>
    <w:rsid w:val="470C1CAD"/>
    <w:rsid w:val="470D1EAB"/>
    <w:rsid w:val="470F4311"/>
    <w:rsid w:val="4713457F"/>
    <w:rsid w:val="47176886"/>
    <w:rsid w:val="471F673A"/>
    <w:rsid w:val="47363055"/>
    <w:rsid w:val="473E41E7"/>
    <w:rsid w:val="474358CD"/>
    <w:rsid w:val="474D674C"/>
    <w:rsid w:val="47530F1F"/>
    <w:rsid w:val="475950F1"/>
    <w:rsid w:val="475F022D"/>
    <w:rsid w:val="476B2426"/>
    <w:rsid w:val="476F3A0F"/>
    <w:rsid w:val="47704076"/>
    <w:rsid w:val="47705DC8"/>
    <w:rsid w:val="47741147"/>
    <w:rsid w:val="47774690"/>
    <w:rsid w:val="47793411"/>
    <w:rsid w:val="477C2B8D"/>
    <w:rsid w:val="478101A3"/>
    <w:rsid w:val="47833F1C"/>
    <w:rsid w:val="478B77DC"/>
    <w:rsid w:val="478D1745"/>
    <w:rsid w:val="478E5AE4"/>
    <w:rsid w:val="4791488A"/>
    <w:rsid w:val="47B10A89"/>
    <w:rsid w:val="47B40579"/>
    <w:rsid w:val="47B77EAE"/>
    <w:rsid w:val="47C018DD"/>
    <w:rsid w:val="47C03707"/>
    <w:rsid w:val="47D337DD"/>
    <w:rsid w:val="47F37F37"/>
    <w:rsid w:val="47F933CB"/>
    <w:rsid w:val="480C2163"/>
    <w:rsid w:val="480E00CC"/>
    <w:rsid w:val="480F1C53"/>
    <w:rsid w:val="48213971"/>
    <w:rsid w:val="482A25E9"/>
    <w:rsid w:val="482E1FB6"/>
    <w:rsid w:val="48317F40"/>
    <w:rsid w:val="48381F7D"/>
    <w:rsid w:val="4850390A"/>
    <w:rsid w:val="48561630"/>
    <w:rsid w:val="485F6737"/>
    <w:rsid w:val="486378A9"/>
    <w:rsid w:val="486A0C38"/>
    <w:rsid w:val="48717D4C"/>
    <w:rsid w:val="48730182"/>
    <w:rsid w:val="48751F9C"/>
    <w:rsid w:val="487675DC"/>
    <w:rsid w:val="4877302A"/>
    <w:rsid w:val="487970CD"/>
    <w:rsid w:val="487C375E"/>
    <w:rsid w:val="48802209"/>
    <w:rsid w:val="488501FF"/>
    <w:rsid w:val="488838C5"/>
    <w:rsid w:val="48901EE0"/>
    <w:rsid w:val="48910462"/>
    <w:rsid w:val="489B4111"/>
    <w:rsid w:val="48A31586"/>
    <w:rsid w:val="48BF0F83"/>
    <w:rsid w:val="48C84ACB"/>
    <w:rsid w:val="48C978A6"/>
    <w:rsid w:val="48CB3DCC"/>
    <w:rsid w:val="48E04E5A"/>
    <w:rsid w:val="48EE3617"/>
    <w:rsid w:val="48F36E7F"/>
    <w:rsid w:val="48FE1841"/>
    <w:rsid w:val="490177EE"/>
    <w:rsid w:val="49080B7C"/>
    <w:rsid w:val="490966FA"/>
    <w:rsid w:val="4914081D"/>
    <w:rsid w:val="491465B8"/>
    <w:rsid w:val="49162368"/>
    <w:rsid w:val="491C4A93"/>
    <w:rsid w:val="49267254"/>
    <w:rsid w:val="493763E3"/>
    <w:rsid w:val="494D29E7"/>
    <w:rsid w:val="49583186"/>
    <w:rsid w:val="495A6EFE"/>
    <w:rsid w:val="496164DE"/>
    <w:rsid w:val="49655FA9"/>
    <w:rsid w:val="496658A3"/>
    <w:rsid w:val="4967696F"/>
    <w:rsid w:val="496C4368"/>
    <w:rsid w:val="497004D0"/>
    <w:rsid w:val="49777A09"/>
    <w:rsid w:val="4989333F"/>
    <w:rsid w:val="498D53AA"/>
    <w:rsid w:val="499535CF"/>
    <w:rsid w:val="49956188"/>
    <w:rsid w:val="499B0290"/>
    <w:rsid w:val="499D3F04"/>
    <w:rsid w:val="499E328F"/>
    <w:rsid w:val="499F2B63"/>
    <w:rsid w:val="49A11A8A"/>
    <w:rsid w:val="49A90D0C"/>
    <w:rsid w:val="49B02FC2"/>
    <w:rsid w:val="49B15FF9"/>
    <w:rsid w:val="49B56541"/>
    <w:rsid w:val="49B605D8"/>
    <w:rsid w:val="49B91E77"/>
    <w:rsid w:val="49BD7800"/>
    <w:rsid w:val="49BE123B"/>
    <w:rsid w:val="49BE62E1"/>
    <w:rsid w:val="49C36851"/>
    <w:rsid w:val="49D84D2B"/>
    <w:rsid w:val="49DC7913"/>
    <w:rsid w:val="49DD3BE1"/>
    <w:rsid w:val="49E35145"/>
    <w:rsid w:val="49E55BB5"/>
    <w:rsid w:val="49EB1ADA"/>
    <w:rsid w:val="49F66C27"/>
    <w:rsid w:val="49F85F83"/>
    <w:rsid w:val="49F97C1B"/>
    <w:rsid w:val="4A037596"/>
    <w:rsid w:val="4A064DC7"/>
    <w:rsid w:val="4A0D28D0"/>
    <w:rsid w:val="4A16722D"/>
    <w:rsid w:val="4A1D310F"/>
    <w:rsid w:val="4A2512BA"/>
    <w:rsid w:val="4A3A6A54"/>
    <w:rsid w:val="4A3B0312"/>
    <w:rsid w:val="4A4061A5"/>
    <w:rsid w:val="4A443E36"/>
    <w:rsid w:val="4A4462D6"/>
    <w:rsid w:val="4A563B69"/>
    <w:rsid w:val="4A695377"/>
    <w:rsid w:val="4A7135B2"/>
    <w:rsid w:val="4A8149A7"/>
    <w:rsid w:val="4A840031"/>
    <w:rsid w:val="4A983EFF"/>
    <w:rsid w:val="4A9B157C"/>
    <w:rsid w:val="4AA66EAC"/>
    <w:rsid w:val="4AAE7501"/>
    <w:rsid w:val="4AAF5028"/>
    <w:rsid w:val="4ABE5B79"/>
    <w:rsid w:val="4AC8062E"/>
    <w:rsid w:val="4AD131F0"/>
    <w:rsid w:val="4ADA2E75"/>
    <w:rsid w:val="4ADD5690"/>
    <w:rsid w:val="4AE03433"/>
    <w:rsid w:val="4AE304BB"/>
    <w:rsid w:val="4AEC002A"/>
    <w:rsid w:val="4AF31E4E"/>
    <w:rsid w:val="4AFC64BF"/>
    <w:rsid w:val="4B0931D0"/>
    <w:rsid w:val="4B0B04B0"/>
    <w:rsid w:val="4B0E45B6"/>
    <w:rsid w:val="4B17661E"/>
    <w:rsid w:val="4B1F0C61"/>
    <w:rsid w:val="4B236133"/>
    <w:rsid w:val="4B2E1B61"/>
    <w:rsid w:val="4B41504C"/>
    <w:rsid w:val="4B43474D"/>
    <w:rsid w:val="4B48404E"/>
    <w:rsid w:val="4B542FA1"/>
    <w:rsid w:val="4B5C36E4"/>
    <w:rsid w:val="4B6C24F0"/>
    <w:rsid w:val="4B7818BD"/>
    <w:rsid w:val="4B792D75"/>
    <w:rsid w:val="4B85447B"/>
    <w:rsid w:val="4B865D88"/>
    <w:rsid w:val="4B895879"/>
    <w:rsid w:val="4B920BD1"/>
    <w:rsid w:val="4B9A1834"/>
    <w:rsid w:val="4B9E1324"/>
    <w:rsid w:val="4BA90A6B"/>
    <w:rsid w:val="4BB5041C"/>
    <w:rsid w:val="4BC34D4C"/>
    <w:rsid w:val="4BC42640"/>
    <w:rsid w:val="4BC535EC"/>
    <w:rsid w:val="4BCD7E5B"/>
    <w:rsid w:val="4BD21CDC"/>
    <w:rsid w:val="4BD655FC"/>
    <w:rsid w:val="4BDF6FA5"/>
    <w:rsid w:val="4BE60F1D"/>
    <w:rsid w:val="4BEFD26A"/>
    <w:rsid w:val="4BF70D1F"/>
    <w:rsid w:val="4BFC7FED"/>
    <w:rsid w:val="4C03387D"/>
    <w:rsid w:val="4C1D42B0"/>
    <w:rsid w:val="4C201DD4"/>
    <w:rsid w:val="4C29189F"/>
    <w:rsid w:val="4C3457E4"/>
    <w:rsid w:val="4C482434"/>
    <w:rsid w:val="4C5B0FC3"/>
    <w:rsid w:val="4C602A7D"/>
    <w:rsid w:val="4C6A38FC"/>
    <w:rsid w:val="4C7E2F03"/>
    <w:rsid w:val="4C8107A0"/>
    <w:rsid w:val="4C8835FA"/>
    <w:rsid w:val="4C8E71BF"/>
    <w:rsid w:val="4C9747A4"/>
    <w:rsid w:val="4CA50870"/>
    <w:rsid w:val="4CAA55D4"/>
    <w:rsid w:val="4CAB6711"/>
    <w:rsid w:val="4CAC7A71"/>
    <w:rsid w:val="4CAE46E6"/>
    <w:rsid w:val="4CB3320A"/>
    <w:rsid w:val="4CB86687"/>
    <w:rsid w:val="4CC7034A"/>
    <w:rsid w:val="4CCB35C9"/>
    <w:rsid w:val="4CCC1EC1"/>
    <w:rsid w:val="4CCE5C39"/>
    <w:rsid w:val="4CD64AED"/>
    <w:rsid w:val="4CDF1BF4"/>
    <w:rsid w:val="4CE0539C"/>
    <w:rsid w:val="4CE5757E"/>
    <w:rsid w:val="4CEC4311"/>
    <w:rsid w:val="4CF50257"/>
    <w:rsid w:val="4CFB09F8"/>
    <w:rsid w:val="4CFF4044"/>
    <w:rsid w:val="4D021D86"/>
    <w:rsid w:val="4D046B6A"/>
    <w:rsid w:val="4D0478AD"/>
    <w:rsid w:val="4D0C69C4"/>
    <w:rsid w:val="4D0E72D5"/>
    <w:rsid w:val="4D1D34E8"/>
    <w:rsid w:val="4D1E654F"/>
    <w:rsid w:val="4D2E2B7B"/>
    <w:rsid w:val="4D302450"/>
    <w:rsid w:val="4D3B0DF4"/>
    <w:rsid w:val="4D3C7DE3"/>
    <w:rsid w:val="4D4D1254"/>
    <w:rsid w:val="4D4D69CE"/>
    <w:rsid w:val="4D543E3B"/>
    <w:rsid w:val="4D693BB4"/>
    <w:rsid w:val="4D705BC5"/>
    <w:rsid w:val="4D812D57"/>
    <w:rsid w:val="4D815970"/>
    <w:rsid w:val="4D8373D4"/>
    <w:rsid w:val="4D924485"/>
    <w:rsid w:val="4D9329DF"/>
    <w:rsid w:val="4D956757"/>
    <w:rsid w:val="4D976E51"/>
    <w:rsid w:val="4DAF3415"/>
    <w:rsid w:val="4DB12E65"/>
    <w:rsid w:val="4DB74893"/>
    <w:rsid w:val="4DBE4E9F"/>
    <w:rsid w:val="4DBF16C4"/>
    <w:rsid w:val="4DC4703C"/>
    <w:rsid w:val="4DD52C2C"/>
    <w:rsid w:val="4DD52FF7"/>
    <w:rsid w:val="4DD6269A"/>
    <w:rsid w:val="4DE4323A"/>
    <w:rsid w:val="4DE616DE"/>
    <w:rsid w:val="4DED405F"/>
    <w:rsid w:val="4DFD0D16"/>
    <w:rsid w:val="4DFD2DE6"/>
    <w:rsid w:val="4E121B55"/>
    <w:rsid w:val="4E122358"/>
    <w:rsid w:val="4E23259A"/>
    <w:rsid w:val="4E2A3343"/>
    <w:rsid w:val="4E2B61AD"/>
    <w:rsid w:val="4E306E72"/>
    <w:rsid w:val="4E395334"/>
    <w:rsid w:val="4E3C5B2A"/>
    <w:rsid w:val="4E3C6BD2"/>
    <w:rsid w:val="4E3E0B9C"/>
    <w:rsid w:val="4E451F2B"/>
    <w:rsid w:val="4E492DD0"/>
    <w:rsid w:val="4E4C267F"/>
    <w:rsid w:val="4E4C3506"/>
    <w:rsid w:val="4E4E41F3"/>
    <w:rsid w:val="4E5F2AF8"/>
    <w:rsid w:val="4E74636C"/>
    <w:rsid w:val="4E7C2D1C"/>
    <w:rsid w:val="4E86609F"/>
    <w:rsid w:val="4E952232"/>
    <w:rsid w:val="4E9700F7"/>
    <w:rsid w:val="4E984929"/>
    <w:rsid w:val="4E992277"/>
    <w:rsid w:val="4E9B0E76"/>
    <w:rsid w:val="4EA524E3"/>
    <w:rsid w:val="4EA62ADA"/>
    <w:rsid w:val="4EB4172E"/>
    <w:rsid w:val="4EB5120D"/>
    <w:rsid w:val="4EBD5F65"/>
    <w:rsid w:val="4EBE538C"/>
    <w:rsid w:val="4EE334F2"/>
    <w:rsid w:val="4EE37F68"/>
    <w:rsid w:val="4EEF00E8"/>
    <w:rsid w:val="4EF55E94"/>
    <w:rsid w:val="4EF70D4B"/>
    <w:rsid w:val="4F0746D1"/>
    <w:rsid w:val="4F15544F"/>
    <w:rsid w:val="4F2C6C47"/>
    <w:rsid w:val="4F415041"/>
    <w:rsid w:val="4F477707"/>
    <w:rsid w:val="4F5012C8"/>
    <w:rsid w:val="4F59138E"/>
    <w:rsid w:val="4F5B752C"/>
    <w:rsid w:val="4F6247EF"/>
    <w:rsid w:val="4F670CF6"/>
    <w:rsid w:val="4F6F4D85"/>
    <w:rsid w:val="4F721C64"/>
    <w:rsid w:val="4F734876"/>
    <w:rsid w:val="4F841516"/>
    <w:rsid w:val="4F842187"/>
    <w:rsid w:val="4F9071D6"/>
    <w:rsid w:val="4F9204FB"/>
    <w:rsid w:val="4F940B35"/>
    <w:rsid w:val="4F980780"/>
    <w:rsid w:val="4FB3046F"/>
    <w:rsid w:val="4FB8497E"/>
    <w:rsid w:val="4FC116B9"/>
    <w:rsid w:val="4FC155E1"/>
    <w:rsid w:val="4FC178DF"/>
    <w:rsid w:val="4FCB2904"/>
    <w:rsid w:val="4FCD042A"/>
    <w:rsid w:val="4FCF6062"/>
    <w:rsid w:val="4FD572DE"/>
    <w:rsid w:val="4FDB196C"/>
    <w:rsid w:val="4FDC795D"/>
    <w:rsid w:val="4FDE2637"/>
    <w:rsid w:val="4FDF62B0"/>
    <w:rsid w:val="4FE47C0F"/>
    <w:rsid w:val="4FE946BE"/>
    <w:rsid w:val="4FEB08B0"/>
    <w:rsid w:val="4FF534DD"/>
    <w:rsid w:val="4FF57980"/>
    <w:rsid w:val="5006254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40473"/>
    <w:rsid w:val="506568B4"/>
    <w:rsid w:val="507C53C5"/>
    <w:rsid w:val="5080549C"/>
    <w:rsid w:val="50A72C5D"/>
    <w:rsid w:val="50AC2B50"/>
    <w:rsid w:val="50B25872"/>
    <w:rsid w:val="50B91BE4"/>
    <w:rsid w:val="50BB35D0"/>
    <w:rsid w:val="50BF6559"/>
    <w:rsid w:val="50C63AFC"/>
    <w:rsid w:val="50C97700"/>
    <w:rsid w:val="50D77086"/>
    <w:rsid w:val="50DB42B0"/>
    <w:rsid w:val="50DD5829"/>
    <w:rsid w:val="50E33C7D"/>
    <w:rsid w:val="50E50C09"/>
    <w:rsid w:val="50E86A91"/>
    <w:rsid w:val="50EA19E5"/>
    <w:rsid w:val="50FB4B23"/>
    <w:rsid w:val="51080A7C"/>
    <w:rsid w:val="511B3417"/>
    <w:rsid w:val="51271DBC"/>
    <w:rsid w:val="512B21B4"/>
    <w:rsid w:val="51361141"/>
    <w:rsid w:val="514209A3"/>
    <w:rsid w:val="51527191"/>
    <w:rsid w:val="5154787B"/>
    <w:rsid w:val="515A3F3F"/>
    <w:rsid w:val="51604411"/>
    <w:rsid w:val="516909B4"/>
    <w:rsid w:val="517926D9"/>
    <w:rsid w:val="517F5754"/>
    <w:rsid w:val="517F76F4"/>
    <w:rsid w:val="518043AE"/>
    <w:rsid w:val="51826FF2"/>
    <w:rsid w:val="518E30D2"/>
    <w:rsid w:val="5193319F"/>
    <w:rsid w:val="519659C7"/>
    <w:rsid w:val="51A94ACE"/>
    <w:rsid w:val="51AA404F"/>
    <w:rsid w:val="51AC0513"/>
    <w:rsid w:val="51AC6715"/>
    <w:rsid w:val="51BA4E7C"/>
    <w:rsid w:val="51BF2E61"/>
    <w:rsid w:val="51C1147A"/>
    <w:rsid w:val="51DD06CC"/>
    <w:rsid w:val="51DF52D1"/>
    <w:rsid w:val="51E62A34"/>
    <w:rsid w:val="51EC6A99"/>
    <w:rsid w:val="51EDC784"/>
    <w:rsid w:val="51EE7364"/>
    <w:rsid w:val="51F2586F"/>
    <w:rsid w:val="51F45335"/>
    <w:rsid w:val="51F45ABB"/>
    <w:rsid w:val="51FA071A"/>
    <w:rsid w:val="51FC6541"/>
    <w:rsid w:val="52081BED"/>
    <w:rsid w:val="5209326F"/>
    <w:rsid w:val="520B4811"/>
    <w:rsid w:val="522307D5"/>
    <w:rsid w:val="522620D6"/>
    <w:rsid w:val="522E717A"/>
    <w:rsid w:val="523B0C24"/>
    <w:rsid w:val="523B7217"/>
    <w:rsid w:val="523E05D2"/>
    <w:rsid w:val="523E652B"/>
    <w:rsid w:val="52500E9E"/>
    <w:rsid w:val="525C7843"/>
    <w:rsid w:val="5268268C"/>
    <w:rsid w:val="526C07B0"/>
    <w:rsid w:val="526C3FEC"/>
    <w:rsid w:val="52754DA9"/>
    <w:rsid w:val="527C422B"/>
    <w:rsid w:val="52870E07"/>
    <w:rsid w:val="528A121C"/>
    <w:rsid w:val="528C4D2C"/>
    <w:rsid w:val="528D5C4E"/>
    <w:rsid w:val="529207E1"/>
    <w:rsid w:val="529E7E5B"/>
    <w:rsid w:val="52A940B1"/>
    <w:rsid w:val="52B61649"/>
    <w:rsid w:val="52BE22AC"/>
    <w:rsid w:val="52C13B4A"/>
    <w:rsid w:val="52C44910"/>
    <w:rsid w:val="52C75604"/>
    <w:rsid w:val="52C8312A"/>
    <w:rsid w:val="52E33AC0"/>
    <w:rsid w:val="52E964FA"/>
    <w:rsid w:val="52EF40B0"/>
    <w:rsid w:val="52F61A46"/>
    <w:rsid w:val="52F70215"/>
    <w:rsid w:val="52F87468"/>
    <w:rsid w:val="53036406"/>
    <w:rsid w:val="53057EDB"/>
    <w:rsid w:val="532632D1"/>
    <w:rsid w:val="532A4990"/>
    <w:rsid w:val="532A5B93"/>
    <w:rsid w:val="534259E0"/>
    <w:rsid w:val="534E7AD3"/>
    <w:rsid w:val="535E583D"/>
    <w:rsid w:val="536966BB"/>
    <w:rsid w:val="53784B50"/>
    <w:rsid w:val="537E1A3B"/>
    <w:rsid w:val="538057B3"/>
    <w:rsid w:val="538243F4"/>
    <w:rsid w:val="53925D5F"/>
    <w:rsid w:val="53AE40CE"/>
    <w:rsid w:val="53BF6819"/>
    <w:rsid w:val="53C15826"/>
    <w:rsid w:val="53CA764B"/>
    <w:rsid w:val="53E059A1"/>
    <w:rsid w:val="53E0654E"/>
    <w:rsid w:val="53E21FCA"/>
    <w:rsid w:val="53EC4BF7"/>
    <w:rsid w:val="53EE4E13"/>
    <w:rsid w:val="53FD24DA"/>
    <w:rsid w:val="540362F0"/>
    <w:rsid w:val="540921AE"/>
    <w:rsid w:val="54166B2E"/>
    <w:rsid w:val="54244390"/>
    <w:rsid w:val="54260108"/>
    <w:rsid w:val="54307C7C"/>
    <w:rsid w:val="54345F35"/>
    <w:rsid w:val="5438608E"/>
    <w:rsid w:val="54386DE8"/>
    <w:rsid w:val="5444349B"/>
    <w:rsid w:val="5446239B"/>
    <w:rsid w:val="544B759C"/>
    <w:rsid w:val="54501629"/>
    <w:rsid w:val="5452306B"/>
    <w:rsid w:val="54640C31"/>
    <w:rsid w:val="546E385E"/>
    <w:rsid w:val="54710A3B"/>
    <w:rsid w:val="54770964"/>
    <w:rsid w:val="54815C87"/>
    <w:rsid w:val="54A340AA"/>
    <w:rsid w:val="54A62896"/>
    <w:rsid w:val="54A6749B"/>
    <w:rsid w:val="54A84FC1"/>
    <w:rsid w:val="54B25E40"/>
    <w:rsid w:val="54B73573"/>
    <w:rsid w:val="54B90F7D"/>
    <w:rsid w:val="54CA714C"/>
    <w:rsid w:val="54CF254E"/>
    <w:rsid w:val="54D01A26"/>
    <w:rsid w:val="54D52C54"/>
    <w:rsid w:val="54E30D91"/>
    <w:rsid w:val="54F81F48"/>
    <w:rsid w:val="54F93A6F"/>
    <w:rsid w:val="54FC530D"/>
    <w:rsid w:val="54FE1085"/>
    <w:rsid w:val="54FF1A4E"/>
    <w:rsid w:val="550345FC"/>
    <w:rsid w:val="55164621"/>
    <w:rsid w:val="551B1C37"/>
    <w:rsid w:val="55205A7C"/>
    <w:rsid w:val="55232D59"/>
    <w:rsid w:val="55322ADD"/>
    <w:rsid w:val="55365BD2"/>
    <w:rsid w:val="553E1482"/>
    <w:rsid w:val="5552317F"/>
    <w:rsid w:val="55603AEE"/>
    <w:rsid w:val="55637009"/>
    <w:rsid w:val="55651503"/>
    <w:rsid w:val="55690651"/>
    <w:rsid w:val="55696F3C"/>
    <w:rsid w:val="558671A5"/>
    <w:rsid w:val="558B35C4"/>
    <w:rsid w:val="558E1391"/>
    <w:rsid w:val="558F7F2F"/>
    <w:rsid w:val="55967510"/>
    <w:rsid w:val="559E0172"/>
    <w:rsid w:val="55A541E7"/>
    <w:rsid w:val="55AE4859"/>
    <w:rsid w:val="55B47996"/>
    <w:rsid w:val="55B97760"/>
    <w:rsid w:val="55C53951"/>
    <w:rsid w:val="55C67DF5"/>
    <w:rsid w:val="55CA0F67"/>
    <w:rsid w:val="55D1679A"/>
    <w:rsid w:val="55D45D44"/>
    <w:rsid w:val="55D63DB0"/>
    <w:rsid w:val="55EB71C9"/>
    <w:rsid w:val="55F514F6"/>
    <w:rsid w:val="55F54236"/>
    <w:rsid w:val="55F602D7"/>
    <w:rsid w:val="55F634AF"/>
    <w:rsid w:val="56093087"/>
    <w:rsid w:val="56165F22"/>
    <w:rsid w:val="561C1DF7"/>
    <w:rsid w:val="561D19DF"/>
    <w:rsid w:val="56220DA3"/>
    <w:rsid w:val="56292132"/>
    <w:rsid w:val="562C13CB"/>
    <w:rsid w:val="56310FE7"/>
    <w:rsid w:val="563B0432"/>
    <w:rsid w:val="563D5D26"/>
    <w:rsid w:val="563E7ACB"/>
    <w:rsid w:val="56410EA1"/>
    <w:rsid w:val="564156CE"/>
    <w:rsid w:val="564205FD"/>
    <w:rsid w:val="56462AAF"/>
    <w:rsid w:val="564C5E20"/>
    <w:rsid w:val="56523548"/>
    <w:rsid w:val="56574EF1"/>
    <w:rsid w:val="565D4D50"/>
    <w:rsid w:val="56616C6A"/>
    <w:rsid w:val="5665191E"/>
    <w:rsid w:val="56675A92"/>
    <w:rsid w:val="566969D2"/>
    <w:rsid w:val="56701B0F"/>
    <w:rsid w:val="56725887"/>
    <w:rsid w:val="56817CD8"/>
    <w:rsid w:val="56892221"/>
    <w:rsid w:val="568B4CF7"/>
    <w:rsid w:val="568B6949"/>
    <w:rsid w:val="56953DA9"/>
    <w:rsid w:val="5698702F"/>
    <w:rsid w:val="569A24CA"/>
    <w:rsid w:val="569C6DA8"/>
    <w:rsid w:val="56A31EE4"/>
    <w:rsid w:val="56C46405"/>
    <w:rsid w:val="56D04A16"/>
    <w:rsid w:val="56D55E16"/>
    <w:rsid w:val="56D77DE0"/>
    <w:rsid w:val="56DC0F52"/>
    <w:rsid w:val="56DC4395"/>
    <w:rsid w:val="56E46059"/>
    <w:rsid w:val="56EA18C1"/>
    <w:rsid w:val="56ED0C98"/>
    <w:rsid w:val="56F339AA"/>
    <w:rsid w:val="56F444EE"/>
    <w:rsid w:val="570046B2"/>
    <w:rsid w:val="57061ACA"/>
    <w:rsid w:val="570A256C"/>
    <w:rsid w:val="571526B6"/>
    <w:rsid w:val="572F438D"/>
    <w:rsid w:val="574908F7"/>
    <w:rsid w:val="57520451"/>
    <w:rsid w:val="57631674"/>
    <w:rsid w:val="57637D90"/>
    <w:rsid w:val="57647C1E"/>
    <w:rsid w:val="576770D1"/>
    <w:rsid w:val="57684EDC"/>
    <w:rsid w:val="57723665"/>
    <w:rsid w:val="577531CA"/>
    <w:rsid w:val="5779195F"/>
    <w:rsid w:val="577C7278"/>
    <w:rsid w:val="577E46FF"/>
    <w:rsid w:val="577F1756"/>
    <w:rsid w:val="5781424D"/>
    <w:rsid w:val="57875362"/>
    <w:rsid w:val="57906944"/>
    <w:rsid w:val="57923D07"/>
    <w:rsid w:val="5796146F"/>
    <w:rsid w:val="5797131D"/>
    <w:rsid w:val="57AA3E5B"/>
    <w:rsid w:val="57AD5AD7"/>
    <w:rsid w:val="57B40121"/>
    <w:rsid w:val="57B56F19"/>
    <w:rsid w:val="57BB14B0"/>
    <w:rsid w:val="57C1138B"/>
    <w:rsid w:val="57CF0AB7"/>
    <w:rsid w:val="57DB6156"/>
    <w:rsid w:val="57DC6353"/>
    <w:rsid w:val="57DE55B1"/>
    <w:rsid w:val="57E509D2"/>
    <w:rsid w:val="57E52E8C"/>
    <w:rsid w:val="57FD64F7"/>
    <w:rsid w:val="57FF8603"/>
    <w:rsid w:val="58011430"/>
    <w:rsid w:val="58015C02"/>
    <w:rsid w:val="58277C4C"/>
    <w:rsid w:val="582A3F3F"/>
    <w:rsid w:val="58342289"/>
    <w:rsid w:val="58372D88"/>
    <w:rsid w:val="583A6878"/>
    <w:rsid w:val="58583E1D"/>
    <w:rsid w:val="585A2E80"/>
    <w:rsid w:val="586438F5"/>
    <w:rsid w:val="586C6306"/>
    <w:rsid w:val="58853D00"/>
    <w:rsid w:val="5886561A"/>
    <w:rsid w:val="58871392"/>
    <w:rsid w:val="588836A3"/>
    <w:rsid w:val="5889510A"/>
    <w:rsid w:val="588F6FE2"/>
    <w:rsid w:val="58A1367E"/>
    <w:rsid w:val="58A13E38"/>
    <w:rsid w:val="58AB5080"/>
    <w:rsid w:val="58AC2669"/>
    <w:rsid w:val="58AD0DF8"/>
    <w:rsid w:val="58B141AE"/>
    <w:rsid w:val="58C445DA"/>
    <w:rsid w:val="58C919AA"/>
    <w:rsid w:val="58CF5213"/>
    <w:rsid w:val="58DE7B7E"/>
    <w:rsid w:val="58E34C0D"/>
    <w:rsid w:val="58E42EF4"/>
    <w:rsid w:val="58E95A3B"/>
    <w:rsid w:val="58ED38EB"/>
    <w:rsid w:val="5904190E"/>
    <w:rsid w:val="590D1897"/>
    <w:rsid w:val="590F3861"/>
    <w:rsid w:val="591B63C3"/>
    <w:rsid w:val="592E180D"/>
    <w:rsid w:val="592F5CB1"/>
    <w:rsid w:val="593257A1"/>
    <w:rsid w:val="593E1362"/>
    <w:rsid w:val="59403CBE"/>
    <w:rsid w:val="59486D73"/>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965D30"/>
    <w:rsid w:val="59997F3C"/>
    <w:rsid w:val="59A87812"/>
    <w:rsid w:val="59B43CAC"/>
    <w:rsid w:val="59BA5E57"/>
    <w:rsid w:val="59BB700B"/>
    <w:rsid w:val="59BE0E84"/>
    <w:rsid w:val="59C4289D"/>
    <w:rsid w:val="59D525E5"/>
    <w:rsid w:val="59D555CE"/>
    <w:rsid w:val="59DE4FE1"/>
    <w:rsid w:val="59E2410E"/>
    <w:rsid w:val="59E545C2"/>
    <w:rsid w:val="59F61D50"/>
    <w:rsid w:val="5A0218C9"/>
    <w:rsid w:val="5A065F73"/>
    <w:rsid w:val="5A190766"/>
    <w:rsid w:val="5A224BAB"/>
    <w:rsid w:val="5A25145E"/>
    <w:rsid w:val="5A291D65"/>
    <w:rsid w:val="5A3C33AE"/>
    <w:rsid w:val="5A3D7F5A"/>
    <w:rsid w:val="5A48645D"/>
    <w:rsid w:val="5A4B6B1B"/>
    <w:rsid w:val="5A5359CF"/>
    <w:rsid w:val="5A56726E"/>
    <w:rsid w:val="5A567950"/>
    <w:rsid w:val="5A5A0B0C"/>
    <w:rsid w:val="5A5A1045"/>
    <w:rsid w:val="5A64198B"/>
    <w:rsid w:val="5A6A2A66"/>
    <w:rsid w:val="5A775CEE"/>
    <w:rsid w:val="5A7B06D5"/>
    <w:rsid w:val="5A7F4A16"/>
    <w:rsid w:val="5A813D7F"/>
    <w:rsid w:val="5A8B5667"/>
    <w:rsid w:val="5A9473B6"/>
    <w:rsid w:val="5A975B99"/>
    <w:rsid w:val="5AA93841"/>
    <w:rsid w:val="5AB02E22"/>
    <w:rsid w:val="5AB04BD0"/>
    <w:rsid w:val="5ABF3065"/>
    <w:rsid w:val="5AC24903"/>
    <w:rsid w:val="5ACB7C5C"/>
    <w:rsid w:val="5ACC0A94"/>
    <w:rsid w:val="5ACE26D6"/>
    <w:rsid w:val="5AE8433A"/>
    <w:rsid w:val="5AEB600E"/>
    <w:rsid w:val="5AF76B1D"/>
    <w:rsid w:val="5AFB66E6"/>
    <w:rsid w:val="5AFC1DAF"/>
    <w:rsid w:val="5B21162A"/>
    <w:rsid w:val="5B25539F"/>
    <w:rsid w:val="5B2C34B9"/>
    <w:rsid w:val="5B3520B1"/>
    <w:rsid w:val="5B435A44"/>
    <w:rsid w:val="5B4B7501"/>
    <w:rsid w:val="5B4F43E9"/>
    <w:rsid w:val="5B5150EA"/>
    <w:rsid w:val="5B5B5B24"/>
    <w:rsid w:val="5B602582"/>
    <w:rsid w:val="5B6634E0"/>
    <w:rsid w:val="5B706D8D"/>
    <w:rsid w:val="5B811D24"/>
    <w:rsid w:val="5B913692"/>
    <w:rsid w:val="5B914A01"/>
    <w:rsid w:val="5BA40927"/>
    <w:rsid w:val="5BA71B25"/>
    <w:rsid w:val="5BAA161F"/>
    <w:rsid w:val="5BB45DAB"/>
    <w:rsid w:val="5BB65800"/>
    <w:rsid w:val="5BB93F58"/>
    <w:rsid w:val="5BDC72D5"/>
    <w:rsid w:val="5BE10DB9"/>
    <w:rsid w:val="5BE85E7A"/>
    <w:rsid w:val="5BED59B0"/>
    <w:rsid w:val="5BEF797A"/>
    <w:rsid w:val="5BF353EE"/>
    <w:rsid w:val="5C02145B"/>
    <w:rsid w:val="5C0E2A6F"/>
    <w:rsid w:val="5C0F5926"/>
    <w:rsid w:val="5C1178F0"/>
    <w:rsid w:val="5C13384C"/>
    <w:rsid w:val="5C241BE6"/>
    <w:rsid w:val="5C2B0170"/>
    <w:rsid w:val="5C433822"/>
    <w:rsid w:val="5C4B0AE1"/>
    <w:rsid w:val="5C5058D6"/>
    <w:rsid w:val="5C5924D5"/>
    <w:rsid w:val="5C5A1297"/>
    <w:rsid w:val="5C5B4667"/>
    <w:rsid w:val="5C5D2B35"/>
    <w:rsid w:val="5C5D48E3"/>
    <w:rsid w:val="5C601C9F"/>
    <w:rsid w:val="5C607B91"/>
    <w:rsid w:val="5C863035"/>
    <w:rsid w:val="5CAA3BAB"/>
    <w:rsid w:val="5CB2226F"/>
    <w:rsid w:val="5CC059C2"/>
    <w:rsid w:val="5CCB5CF1"/>
    <w:rsid w:val="5CCE45F7"/>
    <w:rsid w:val="5CCE758F"/>
    <w:rsid w:val="5CD32DF8"/>
    <w:rsid w:val="5CD5607E"/>
    <w:rsid w:val="5CDE27C2"/>
    <w:rsid w:val="5CE11347"/>
    <w:rsid w:val="5CE2128D"/>
    <w:rsid w:val="5CE74832"/>
    <w:rsid w:val="5CFBF3AE"/>
    <w:rsid w:val="5D055FED"/>
    <w:rsid w:val="5D086C55"/>
    <w:rsid w:val="5D170F36"/>
    <w:rsid w:val="5D215911"/>
    <w:rsid w:val="5D3C099D"/>
    <w:rsid w:val="5D3F66DF"/>
    <w:rsid w:val="5D415FB3"/>
    <w:rsid w:val="5D445AA3"/>
    <w:rsid w:val="5D4810F0"/>
    <w:rsid w:val="5D4B0BE0"/>
    <w:rsid w:val="5D4D4B30"/>
    <w:rsid w:val="5D4F0C38"/>
    <w:rsid w:val="5D504D94"/>
    <w:rsid w:val="5D5061F6"/>
    <w:rsid w:val="5D5A7075"/>
    <w:rsid w:val="5D66289E"/>
    <w:rsid w:val="5D6B50AB"/>
    <w:rsid w:val="5D79399F"/>
    <w:rsid w:val="5D7C2A07"/>
    <w:rsid w:val="5D7EDDB2"/>
    <w:rsid w:val="5D804D2D"/>
    <w:rsid w:val="5D851485"/>
    <w:rsid w:val="5D885990"/>
    <w:rsid w:val="5D902723"/>
    <w:rsid w:val="5D947F46"/>
    <w:rsid w:val="5D9500AD"/>
    <w:rsid w:val="5D9702E4"/>
    <w:rsid w:val="5D975303"/>
    <w:rsid w:val="5DAB2583"/>
    <w:rsid w:val="5DAB6B79"/>
    <w:rsid w:val="5DAB78D0"/>
    <w:rsid w:val="5DAD53F7"/>
    <w:rsid w:val="5DC0337C"/>
    <w:rsid w:val="5DC3599E"/>
    <w:rsid w:val="5DC4648D"/>
    <w:rsid w:val="5DC6470A"/>
    <w:rsid w:val="5DD956B5"/>
    <w:rsid w:val="5DD961EC"/>
    <w:rsid w:val="5DDD5383"/>
    <w:rsid w:val="5DE54B90"/>
    <w:rsid w:val="5DED3270"/>
    <w:rsid w:val="5DF474C9"/>
    <w:rsid w:val="5DF5CDE9"/>
    <w:rsid w:val="5DF64860"/>
    <w:rsid w:val="5DF93820"/>
    <w:rsid w:val="5DFC445A"/>
    <w:rsid w:val="5DFE20F6"/>
    <w:rsid w:val="5DFE3EA4"/>
    <w:rsid w:val="5E037840"/>
    <w:rsid w:val="5E111E29"/>
    <w:rsid w:val="5E115985"/>
    <w:rsid w:val="5E194310"/>
    <w:rsid w:val="5E196F30"/>
    <w:rsid w:val="5E1C432A"/>
    <w:rsid w:val="5E200792"/>
    <w:rsid w:val="5E230AA7"/>
    <w:rsid w:val="5E2A7E49"/>
    <w:rsid w:val="5E3B0C54"/>
    <w:rsid w:val="5E404724"/>
    <w:rsid w:val="5E420235"/>
    <w:rsid w:val="5E426F07"/>
    <w:rsid w:val="5E5D6E1D"/>
    <w:rsid w:val="5E5E4943"/>
    <w:rsid w:val="5E6E2DD8"/>
    <w:rsid w:val="5E745D6E"/>
    <w:rsid w:val="5E7F4C65"/>
    <w:rsid w:val="5E8771BA"/>
    <w:rsid w:val="5E895E64"/>
    <w:rsid w:val="5E8C0F8B"/>
    <w:rsid w:val="5E8C5954"/>
    <w:rsid w:val="5E923B09"/>
    <w:rsid w:val="5E993BCD"/>
    <w:rsid w:val="5EA031AD"/>
    <w:rsid w:val="5EA90415"/>
    <w:rsid w:val="5EAC1B52"/>
    <w:rsid w:val="5EAD4431"/>
    <w:rsid w:val="5EB153BA"/>
    <w:rsid w:val="5EC72ACE"/>
    <w:rsid w:val="5ED35784"/>
    <w:rsid w:val="5EDC0AC0"/>
    <w:rsid w:val="5EE237C6"/>
    <w:rsid w:val="5EE4753E"/>
    <w:rsid w:val="5EE57A83"/>
    <w:rsid w:val="5EE65D18"/>
    <w:rsid w:val="5EF27584"/>
    <w:rsid w:val="5EF79A39"/>
    <w:rsid w:val="5EFA22A1"/>
    <w:rsid w:val="5F090D52"/>
    <w:rsid w:val="5F10363A"/>
    <w:rsid w:val="5F1548F7"/>
    <w:rsid w:val="5F1E0BE4"/>
    <w:rsid w:val="5F200B07"/>
    <w:rsid w:val="5F311C88"/>
    <w:rsid w:val="5F322057"/>
    <w:rsid w:val="5F3D38FC"/>
    <w:rsid w:val="5F3FABB5"/>
    <w:rsid w:val="5F4A2DEE"/>
    <w:rsid w:val="5F4B08DC"/>
    <w:rsid w:val="5F4B4EC7"/>
    <w:rsid w:val="5F4C2F89"/>
    <w:rsid w:val="5F4D50E3"/>
    <w:rsid w:val="5F5019B7"/>
    <w:rsid w:val="5F530220"/>
    <w:rsid w:val="5F5533BB"/>
    <w:rsid w:val="5F586FEE"/>
    <w:rsid w:val="5F60319C"/>
    <w:rsid w:val="5F670948"/>
    <w:rsid w:val="5F69146D"/>
    <w:rsid w:val="5F752E69"/>
    <w:rsid w:val="5F7D4849"/>
    <w:rsid w:val="5F807429"/>
    <w:rsid w:val="5F834669"/>
    <w:rsid w:val="5F883D16"/>
    <w:rsid w:val="5F8D1947"/>
    <w:rsid w:val="5F904FD0"/>
    <w:rsid w:val="5F9100A0"/>
    <w:rsid w:val="5F95631A"/>
    <w:rsid w:val="5F9E76ED"/>
    <w:rsid w:val="5FA665A1"/>
    <w:rsid w:val="5FB0066B"/>
    <w:rsid w:val="5FB019C5"/>
    <w:rsid w:val="5FBF7663"/>
    <w:rsid w:val="5FC03B07"/>
    <w:rsid w:val="5FC86314"/>
    <w:rsid w:val="5FCA6734"/>
    <w:rsid w:val="5FCB4F59"/>
    <w:rsid w:val="5FCF5AF8"/>
    <w:rsid w:val="5FE570CA"/>
    <w:rsid w:val="5FF00EAE"/>
    <w:rsid w:val="5FF217E7"/>
    <w:rsid w:val="5FF23595"/>
    <w:rsid w:val="6007390A"/>
    <w:rsid w:val="600A3865"/>
    <w:rsid w:val="60163727"/>
    <w:rsid w:val="601703D2"/>
    <w:rsid w:val="602373CD"/>
    <w:rsid w:val="60247B5D"/>
    <w:rsid w:val="603B3E30"/>
    <w:rsid w:val="603C0CB4"/>
    <w:rsid w:val="60416DCA"/>
    <w:rsid w:val="60421B4F"/>
    <w:rsid w:val="60431EA4"/>
    <w:rsid w:val="604B0D71"/>
    <w:rsid w:val="60560001"/>
    <w:rsid w:val="60651FB9"/>
    <w:rsid w:val="606631C7"/>
    <w:rsid w:val="60730CCF"/>
    <w:rsid w:val="607C3A33"/>
    <w:rsid w:val="60820DBC"/>
    <w:rsid w:val="608250F0"/>
    <w:rsid w:val="608C7484"/>
    <w:rsid w:val="609D0FCF"/>
    <w:rsid w:val="60A6142B"/>
    <w:rsid w:val="60A7067E"/>
    <w:rsid w:val="60A800F7"/>
    <w:rsid w:val="60C0317B"/>
    <w:rsid w:val="60C24090"/>
    <w:rsid w:val="60C56332"/>
    <w:rsid w:val="60C86CE7"/>
    <w:rsid w:val="60C875C1"/>
    <w:rsid w:val="60CA02AA"/>
    <w:rsid w:val="60D62EB6"/>
    <w:rsid w:val="60DB020D"/>
    <w:rsid w:val="60E455D3"/>
    <w:rsid w:val="60E66B25"/>
    <w:rsid w:val="60E6759D"/>
    <w:rsid w:val="60E96F2A"/>
    <w:rsid w:val="60E9736E"/>
    <w:rsid w:val="60EA3A44"/>
    <w:rsid w:val="60ED2DD8"/>
    <w:rsid w:val="60FA7E42"/>
    <w:rsid w:val="61032317"/>
    <w:rsid w:val="6115578D"/>
    <w:rsid w:val="611834CF"/>
    <w:rsid w:val="611C2FBF"/>
    <w:rsid w:val="61236D4E"/>
    <w:rsid w:val="61300838"/>
    <w:rsid w:val="6142054C"/>
    <w:rsid w:val="6146003C"/>
    <w:rsid w:val="615421A0"/>
    <w:rsid w:val="61596B36"/>
    <w:rsid w:val="61646714"/>
    <w:rsid w:val="61671D60"/>
    <w:rsid w:val="61731074"/>
    <w:rsid w:val="617C580C"/>
    <w:rsid w:val="617C6DCA"/>
    <w:rsid w:val="61881ABA"/>
    <w:rsid w:val="61882403"/>
    <w:rsid w:val="61907509"/>
    <w:rsid w:val="619227A8"/>
    <w:rsid w:val="619A4A8B"/>
    <w:rsid w:val="61A70A27"/>
    <w:rsid w:val="61A80DBC"/>
    <w:rsid w:val="61A84853"/>
    <w:rsid w:val="61B256D1"/>
    <w:rsid w:val="61B551C2"/>
    <w:rsid w:val="61B83E3D"/>
    <w:rsid w:val="61C22AFF"/>
    <w:rsid w:val="61C77C1D"/>
    <w:rsid w:val="61C8241C"/>
    <w:rsid w:val="61D57AA6"/>
    <w:rsid w:val="61D75138"/>
    <w:rsid w:val="61DA69D6"/>
    <w:rsid w:val="61DC0E2B"/>
    <w:rsid w:val="61DF188E"/>
    <w:rsid w:val="61ED72A2"/>
    <w:rsid w:val="61F66565"/>
    <w:rsid w:val="61F85BAC"/>
    <w:rsid w:val="620C5B7E"/>
    <w:rsid w:val="62153852"/>
    <w:rsid w:val="621719D8"/>
    <w:rsid w:val="62180C7C"/>
    <w:rsid w:val="62244731"/>
    <w:rsid w:val="624413F5"/>
    <w:rsid w:val="62471346"/>
    <w:rsid w:val="62483A5B"/>
    <w:rsid w:val="62542DF1"/>
    <w:rsid w:val="62571DD5"/>
    <w:rsid w:val="625B7B17"/>
    <w:rsid w:val="625D3525"/>
    <w:rsid w:val="6263230B"/>
    <w:rsid w:val="62662018"/>
    <w:rsid w:val="626764BC"/>
    <w:rsid w:val="626A7709"/>
    <w:rsid w:val="626F5370"/>
    <w:rsid w:val="6275418B"/>
    <w:rsid w:val="6287090C"/>
    <w:rsid w:val="62885CDB"/>
    <w:rsid w:val="628A3F58"/>
    <w:rsid w:val="628F5A13"/>
    <w:rsid w:val="629848C7"/>
    <w:rsid w:val="6299063F"/>
    <w:rsid w:val="62B47227"/>
    <w:rsid w:val="62BF6C3D"/>
    <w:rsid w:val="62C63B33"/>
    <w:rsid w:val="62C84A81"/>
    <w:rsid w:val="62DD052C"/>
    <w:rsid w:val="62E47226"/>
    <w:rsid w:val="62E62F4B"/>
    <w:rsid w:val="62EE2E7F"/>
    <w:rsid w:val="62F37D50"/>
    <w:rsid w:val="62F45876"/>
    <w:rsid w:val="62FC6F89"/>
    <w:rsid w:val="6303477F"/>
    <w:rsid w:val="630D6126"/>
    <w:rsid w:val="631A1780"/>
    <w:rsid w:val="632127C3"/>
    <w:rsid w:val="63350368"/>
    <w:rsid w:val="63396CA8"/>
    <w:rsid w:val="635D166D"/>
    <w:rsid w:val="63690593"/>
    <w:rsid w:val="63730E90"/>
    <w:rsid w:val="6379017B"/>
    <w:rsid w:val="638310F9"/>
    <w:rsid w:val="638579A3"/>
    <w:rsid w:val="63972DD1"/>
    <w:rsid w:val="639A641D"/>
    <w:rsid w:val="63AE8ED4"/>
    <w:rsid w:val="63B14C20"/>
    <w:rsid w:val="63B2324E"/>
    <w:rsid w:val="63B36841"/>
    <w:rsid w:val="63C05EA7"/>
    <w:rsid w:val="63C721AC"/>
    <w:rsid w:val="63C97AE9"/>
    <w:rsid w:val="63DA3BD9"/>
    <w:rsid w:val="63E853DA"/>
    <w:rsid w:val="63F77FE5"/>
    <w:rsid w:val="6401024A"/>
    <w:rsid w:val="64033806"/>
    <w:rsid w:val="640624AF"/>
    <w:rsid w:val="640C789D"/>
    <w:rsid w:val="64191A38"/>
    <w:rsid w:val="641F14FA"/>
    <w:rsid w:val="641F276B"/>
    <w:rsid w:val="641F4B74"/>
    <w:rsid w:val="64216B3E"/>
    <w:rsid w:val="643A5ABF"/>
    <w:rsid w:val="643B19AE"/>
    <w:rsid w:val="6459555B"/>
    <w:rsid w:val="645C36D2"/>
    <w:rsid w:val="646A26D0"/>
    <w:rsid w:val="64746C6E"/>
    <w:rsid w:val="647B7FFD"/>
    <w:rsid w:val="64882719"/>
    <w:rsid w:val="648D7D30"/>
    <w:rsid w:val="64963088"/>
    <w:rsid w:val="64970BAF"/>
    <w:rsid w:val="64A31301"/>
    <w:rsid w:val="64AA08E2"/>
    <w:rsid w:val="64BD7EE3"/>
    <w:rsid w:val="64C01EB3"/>
    <w:rsid w:val="64C10F29"/>
    <w:rsid w:val="64DA53AE"/>
    <w:rsid w:val="64E60142"/>
    <w:rsid w:val="64EE343A"/>
    <w:rsid w:val="64FE478A"/>
    <w:rsid w:val="64FFDE4B"/>
    <w:rsid w:val="65075D34"/>
    <w:rsid w:val="650A3B2D"/>
    <w:rsid w:val="651842D4"/>
    <w:rsid w:val="65260D8D"/>
    <w:rsid w:val="652C579B"/>
    <w:rsid w:val="65393A14"/>
    <w:rsid w:val="6543667F"/>
    <w:rsid w:val="65491EA9"/>
    <w:rsid w:val="6557687A"/>
    <w:rsid w:val="655A2308"/>
    <w:rsid w:val="655A2EB6"/>
    <w:rsid w:val="656272D4"/>
    <w:rsid w:val="656A1E1F"/>
    <w:rsid w:val="656A5839"/>
    <w:rsid w:val="65737881"/>
    <w:rsid w:val="657D1B52"/>
    <w:rsid w:val="6584085B"/>
    <w:rsid w:val="65847385"/>
    <w:rsid w:val="658662AB"/>
    <w:rsid w:val="65B04F76"/>
    <w:rsid w:val="65B45EF6"/>
    <w:rsid w:val="65BA6903"/>
    <w:rsid w:val="65BC6B1F"/>
    <w:rsid w:val="65DF280D"/>
    <w:rsid w:val="65EC662A"/>
    <w:rsid w:val="65EE0CA2"/>
    <w:rsid w:val="65FA7647"/>
    <w:rsid w:val="65FF07B9"/>
    <w:rsid w:val="65FF6A0B"/>
    <w:rsid w:val="66010A5C"/>
    <w:rsid w:val="660202AA"/>
    <w:rsid w:val="66023EA3"/>
    <w:rsid w:val="66027DCC"/>
    <w:rsid w:val="66054436"/>
    <w:rsid w:val="660D4DB6"/>
    <w:rsid w:val="662047A4"/>
    <w:rsid w:val="664063B2"/>
    <w:rsid w:val="66406452"/>
    <w:rsid w:val="66415388"/>
    <w:rsid w:val="66485ACF"/>
    <w:rsid w:val="66495ED8"/>
    <w:rsid w:val="664D2567"/>
    <w:rsid w:val="6663343E"/>
    <w:rsid w:val="66680A54"/>
    <w:rsid w:val="66683F5B"/>
    <w:rsid w:val="667C005C"/>
    <w:rsid w:val="667D73A4"/>
    <w:rsid w:val="66811B16"/>
    <w:rsid w:val="66893EE6"/>
    <w:rsid w:val="66952ECC"/>
    <w:rsid w:val="66A32E79"/>
    <w:rsid w:val="66B90E50"/>
    <w:rsid w:val="66C56E6A"/>
    <w:rsid w:val="66CD2666"/>
    <w:rsid w:val="66D83EE9"/>
    <w:rsid w:val="66D87988"/>
    <w:rsid w:val="66ED2D08"/>
    <w:rsid w:val="66F03B9D"/>
    <w:rsid w:val="66F26570"/>
    <w:rsid w:val="66F81DD8"/>
    <w:rsid w:val="66F916AD"/>
    <w:rsid w:val="67007FF3"/>
    <w:rsid w:val="67185FD7"/>
    <w:rsid w:val="673426E5"/>
    <w:rsid w:val="673E0CD7"/>
    <w:rsid w:val="67486190"/>
    <w:rsid w:val="67542D87"/>
    <w:rsid w:val="675B2D5F"/>
    <w:rsid w:val="675E59B4"/>
    <w:rsid w:val="67622366"/>
    <w:rsid w:val="67650AF0"/>
    <w:rsid w:val="676A327D"/>
    <w:rsid w:val="676B59C3"/>
    <w:rsid w:val="67725A14"/>
    <w:rsid w:val="67786A75"/>
    <w:rsid w:val="678147BE"/>
    <w:rsid w:val="679259FF"/>
    <w:rsid w:val="67935E87"/>
    <w:rsid w:val="67A71109"/>
    <w:rsid w:val="67A96C2F"/>
    <w:rsid w:val="67AC4324"/>
    <w:rsid w:val="67BA5E6E"/>
    <w:rsid w:val="67C1276E"/>
    <w:rsid w:val="67C454CF"/>
    <w:rsid w:val="67C577E1"/>
    <w:rsid w:val="67CC011D"/>
    <w:rsid w:val="67D0240D"/>
    <w:rsid w:val="67D143D7"/>
    <w:rsid w:val="67E03674"/>
    <w:rsid w:val="67E54283"/>
    <w:rsid w:val="67EA1118"/>
    <w:rsid w:val="67ED28E6"/>
    <w:rsid w:val="67F65DA4"/>
    <w:rsid w:val="67F7723D"/>
    <w:rsid w:val="67FA4BEF"/>
    <w:rsid w:val="67FF7197"/>
    <w:rsid w:val="680419E0"/>
    <w:rsid w:val="680648F3"/>
    <w:rsid w:val="681471FC"/>
    <w:rsid w:val="68186903"/>
    <w:rsid w:val="68190258"/>
    <w:rsid w:val="681C5653"/>
    <w:rsid w:val="682409AB"/>
    <w:rsid w:val="682C4037"/>
    <w:rsid w:val="68307350"/>
    <w:rsid w:val="683A61DE"/>
    <w:rsid w:val="683C6AF0"/>
    <w:rsid w:val="68423A65"/>
    <w:rsid w:val="68466191"/>
    <w:rsid w:val="68476448"/>
    <w:rsid w:val="684B23DC"/>
    <w:rsid w:val="68562FBD"/>
    <w:rsid w:val="685F19D4"/>
    <w:rsid w:val="686168F7"/>
    <w:rsid w:val="6863369E"/>
    <w:rsid w:val="686915D3"/>
    <w:rsid w:val="687D96E0"/>
    <w:rsid w:val="689C4BF4"/>
    <w:rsid w:val="689D2D9B"/>
    <w:rsid w:val="68C21207"/>
    <w:rsid w:val="68C74DCD"/>
    <w:rsid w:val="68CA1553"/>
    <w:rsid w:val="68CC52CB"/>
    <w:rsid w:val="68D26659"/>
    <w:rsid w:val="68E24AEE"/>
    <w:rsid w:val="68E72403"/>
    <w:rsid w:val="68EB3277"/>
    <w:rsid w:val="68EB3D19"/>
    <w:rsid w:val="68EE1671"/>
    <w:rsid w:val="68F0088D"/>
    <w:rsid w:val="68FB2D3F"/>
    <w:rsid w:val="690305C1"/>
    <w:rsid w:val="69036813"/>
    <w:rsid w:val="69051B7B"/>
    <w:rsid w:val="69166546"/>
    <w:rsid w:val="691A32A4"/>
    <w:rsid w:val="691C78D4"/>
    <w:rsid w:val="692A3D9F"/>
    <w:rsid w:val="692C46A6"/>
    <w:rsid w:val="69303AFB"/>
    <w:rsid w:val="6933041A"/>
    <w:rsid w:val="6933534A"/>
    <w:rsid w:val="694035C3"/>
    <w:rsid w:val="69674277"/>
    <w:rsid w:val="696F232C"/>
    <w:rsid w:val="696F6212"/>
    <w:rsid w:val="697D7D54"/>
    <w:rsid w:val="699A614E"/>
    <w:rsid w:val="69D106BF"/>
    <w:rsid w:val="69DC3B22"/>
    <w:rsid w:val="69E337EE"/>
    <w:rsid w:val="69E66B78"/>
    <w:rsid w:val="69F22B91"/>
    <w:rsid w:val="69F23EFC"/>
    <w:rsid w:val="69F66377"/>
    <w:rsid w:val="69FB03F5"/>
    <w:rsid w:val="69FB4289"/>
    <w:rsid w:val="6A021836"/>
    <w:rsid w:val="6A102F95"/>
    <w:rsid w:val="6A170D51"/>
    <w:rsid w:val="6A19191D"/>
    <w:rsid w:val="6A1C4030"/>
    <w:rsid w:val="6A244B48"/>
    <w:rsid w:val="6A3A40DB"/>
    <w:rsid w:val="6A425588"/>
    <w:rsid w:val="6A4B03C2"/>
    <w:rsid w:val="6A711BF9"/>
    <w:rsid w:val="6A75504B"/>
    <w:rsid w:val="6A7D6CAF"/>
    <w:rsid w:val="6A7E25F5"/>
    <w:rsid w:val="6A7F1057"/>
    <w:rsid w:val="6A841BD5"/>
    <w:rsid w:val="6A890241"/>
    <w:rsid w:val="6A8B520E"/>
    <w:rsid w:val="6A995680"/>
    <w:rsid w:val="6AA964F4"/>
    <w:rsid w:val="6ABF1C94"/>
    <w:rsid w:val="6AC46281"/>
    <w:rsid w:val="6AC87D14"/>
    <w:rsid w:val="6AD341FE"/>
    <w:rsid w:val="6ADB7A47"/>
    <w:rsid w:val="6ADC37BF"/>
    <w:rsid w:val="6AE508C6"/>
    <w:rsid w:val="6AE81BC8"/>
    <w:rsid w:val="6AEA607B"/>
    <w:rsid w:val="6AEB70B9"/>
    <w:rsid w:val="6AEF06B9"/>
    <w:rsid w:val="6AF7DBD5"/>
    <w:rsid w:val="6AF97ECD"/>
    <w:rsid w:val="6AFF731D"/>
    <w:rsid w:val="6B07083C"/>
    <w:rsid w:val="6B12220B"/>
    <w:rsid w:val="6B23319C"/>
    <w:rsid w:val="6B2338BC"/>
    <w:rsid w:val="6B234F4A"/>
    <w:rsid w:val="6B2F0F06"/>
    <w:rsid w:val="6B373FE9"/>
    <w:rsid w:val="6B3929BF"/>
    <w:rsid w:val="6B4450F3"/>
    <w:rsid w:val="6B491503"/>
    <w:rsid w:val="6B4915A2"/>
    <w:rsid w:val="6B4947E4"/>
    <w:rsid w:val="6B4C4FC6"/>
    <w:rsid w:val="6B4D0219"/>
    <w:rsid w:val="6B6172B8"/>
    <w:rsid w:val="6B633598"/>
    <w:rsid w:val="6B651B78"/>
    <w:rsid w:val="6B65473C"/>
    <w:rsid w:val="6B67752D"/>
    <w:rsid w:val="6B7043C1"/>
    <w:rsid w:val="6B790EAD"/>
    <w:rsid w:val="6B79100E"/>
    <w:rsid w:val="6B7E0447"/>
    <w:rsid w:val="6B8C0D18"/>
    <w:rsid w:val="6B8D57E5"/>
    <w:rsid w:val="6B92656F"/>
    <w:rsid w:val="6B94722B"/>
    <w:rsid w:val="6B985938"/>
    <w:rsid w:val="6B9B71D6"/>
    <w:rsid w:val="6B9C4AB9"/>
    <w:rsid w:val="6B9C4ADA"/>
    <w:rsid w:val="6BA52955"/>
    <w:rsid w:val="6BAA309A"/>
    <w:rsid w:val="6BAD2A66"/>
    <w:rsid w:val="6BDD1588"/>
    <w:rsid w:val="6BDE7AC3"/>
    <w:rsid w:val="6BE40B7D"/>
    <w:rsid w:val="6BEC7A32"/>
    <w:rsid w:val="6BEF6752"/>
    <w:rsid w:val="6C0807A3"/>
    <w:rsid w:val="6C117498"/>
    <w:rsid w:val="6C1F5711"/>
    <w:rsid w:val="6C21592D"/>
    <w:rsid w:val="6C2D7757"/>
    <w:rsid w:val="6C3D028D"/>
    <w:rsid w:val="6C411314"/>
    <w:rsid w:val="6C496E17"/>
    <w:rsid w:val="6C4E2A07"/>
    <w:rsid w:val="6C501D6F"/>
    <w:rsid w:val="6C5F6456"/>
    <w:rsid w:val="6C6625E1"/>
    <w:rsid w:val="6C6719A7"/>
    <w:rsid w:val="6C6C46F9"/>
    <w:rsid w:val="6C7F08A6"/>
    <w:rsid w:val="6C8E0AE9"/>
    <w:rsid w:val="6C923939"/>
    <w:rsid w:val="6C967F0D"/>
    <w:rsid w:val="6CA05526"/>
    <w:rsid w:val="6CAC4153"/>
    <w:rsid w:val="6CAE6A95"/>
    <w:rsid w:val="6CBE10EF"/>
    <w:rsid w:val="6CC10EBE"/>
    <w:rsid w:val="6CCA61BE"/>
    <w:rsid w:val="6CCD33BF"/>
    <w:rsid w:val="6CD8316D"/>
    <w:rsid w:val="6CDA5ADC"/>
    <w:rsid w:val="6CEC4D2D"/>
    <w:rsid w:val="6CF109D2"/>
    <w:rsid w:val="6CF463EC"/>
    <w:rsid w:val="6D002AD6"/>
    <w:rsid w:val="6D01750D"/>
    <w:rsid w:val="6D020114"/>
    <w:rsid w:val="6D082649"/>
    <w:rsid w:val="6D0843F7"/>
    <w:rsid w:val="6D254FA9"/>
    <w:rsid w:val="6D276982"/>
    <w:rsid w:val="6D30174F"/>
    <w:rsid w:val="6D325918"/>
    <w:rsid w:val="6D352513"/>
    <w:rsid w:val="6D3B040E"/>
    <w:rsid w:val="6D3E42BD"/>
    <w:rsid w:val="6D4573FA"/>
    <w:rsid w:val="6D4C41C3"/>
    <w:rsid w:val="6D4D2752"/>
    <w:rsid w:val="6D513FF0"/>
    <w:rsid w:val="6D57537F"/>
    <w:rsid w:val="6D5910F7"/>
    <w:rsid w:val="6D5A11EE"/>
    <w:rsid w:val="6D5F3840"/>
    <w:rsid w:val="6D6261FE"/>
    <w:rsid w:val="6D6C0E2A"/>
    <w:rsid w:val="6D6C7E3C"/>
    <w:rsid w:val="6D752493"/>
    <w:rsid w:val="6D772135"/>
    <w:rsid w:val="6D793547"/>
    <w:rsid w:val="6D7B6DFE"/>
    <w:rsid w:val="6D7D3370"/>
    <w:rsid w:val="6D7E290C"/>
    <w:rsid w:val="6D7F429F"/>
    <w:rsid w:val="6D902392"/>
    <w:rsid w:val="6D91263F"/>
    <w:rsid w:val="6D920165"/>
    <w:rsid w:val="6D9B3AD4"/>
    <w:rsid w:val="6DAF2A8F"/>
    <w:rsid w:val="6DAF6F69"/>
    <w:rsid w:val="6DB620A5"/>
    <w:rsid w:val="6DBE13EF"/>
    <w:rsid w:val="6DBE5E87"/>
    <w:rsid w:val="6DD32C57"/>
    <w:rsid w:val="6DDEB473"/>
    <w:rsid w:val="6DDF784E"/>
    <w:rsid w:val="6DF0480C"/>
    <w:rsid w:val="6DFE08FF"/>
    <w:rsid w:val="6E005A16"/>
    <w:rsid w:val="6E096679"/>
    <w:rsid w:val="6E0A419F"/>
    <w:rsid w:val="6E1F5A5B"/>
    <w:rsid w:val="6E2552A2"/>
    <w:rsid w:val="6E2B7B92"/>
    <w:rsid w:val="6E353C2B"/>
    <w:rsid w:val="6E3D37CD"/>
    <w:rsid w:val="6E58315D"/>
    <w:rsid w:val="6E5D0773"/>
    <w:rsid w:val="6E6C09B6"/>
    <w:rsid w:val="6E707D97"/>
    <w:rsid w:val="6E845862"/>
    <w:rsid w:val="6E856204"/>
    <w:rsid w:val="6E8B1221"/>
    <w:rsid w:val="6E8C7791"/>
    <w:rsid w:val="6E8E2DFC"/>
    <w:rsid w:val="6E99148A"/>
    <w:rsid w:val="6E9A42BE"/>
    <w:rsid w:val="6EAD3AF4"/>
    <w:rsid w:val="6EBA7973"/>
    <w:rsid w:val="6EBD7E40"/>
    <w:rsid w:val="6EBE56B6"/>
    <w:rsid w:val="6EC542C2"/>
    <w:rsid w:val="6ED00F45"/>
    <w:rsid w:val="6ED21161"/>
    <w:rsid w:val="6EDA5E42"/>
    <w:rsid w:val="6EDBB425"/>
    <w:rsid w:val="6EDC3D8E"/>
    <w:rsid w:val="6EE55FDB"/>
    <w:rsid w:val="6EE64684"/>
    <w:rsid w:val="6EE655DD"/>
    <w:rsid w:val="6EE87C0A"/>
    <w:rsid w:val="6EEF2CA6"/>
    <w:rsid w:val="6EFC4430"/>
    <w:rsid w:val="6EFE3D04"/>
    <w:rsid w:val="6F06777B"/>
    <w:rsid w:val="6F116A9F"/>
    <w:rsid w:val="6F1663F5"/>
    <w:rsid w:val="6F1F0A56"/>
    <w:rsid w:val="6F29622D"/>
    <w:rsid w:val="6F3C1769"/>
    <w:rsid w:val="6F4D6D78"/>
    <w:rsid w:val="6F4E8EDA"/>
    <w:rsid w:val="6F510A1A"/>
    <w:rsid w:val="6F540FB0"/>
    <w:rsid w:val="6F6EC613"/>
    <w:rsid w:val="6F7E53E5"/>
    <w:rsid w:val="6F857F81"/>
    <w:rsid w:val="6F9208F0"/>
    <w:rsid w:val="6F965839"/>
    <w:rsid w:val="6FA10775"/>
    <w:rsid w:val="6FA81EC2"/>
    <w:rsid w:val="6FAB550E"/>
    <w:rsid w:val="6FBB1BF5"/>
    <w:rsid w:val="6FBE3493"/>
    <w:rsid w:val="6FCC0A95"/>
    <w:rsid w:val="6FCF744E"/>
    <w:rsid w:val="6FD254FB"/>
    <w:rsid w:val="6FD269A1"/>
    <w:rsid w:val="6FD51038"/>
    <w:rsid w:val="6FDB6F32"/>
    <w:rsid w:val="6FE32EFA"/>
    <w:rsid w:val="6FF8D550"/>
    <w:rsid w:val="6FFA65F4"/>
    <w:rsid w:val="6FFB90E0"/>
    <w:rsid w:val="6FFD220E"/>
    <w:rsid w:val="6FFF3EF6"/>
    <w:rsid w:val="70035433"/>
    <w:rsid w:val="700840D2"/>
    <w:rsid w:val="70131A31"/>
    <w:rsid w:val="701A7080"/>
    <w:rsid w:val="701B2694"/>
    <w:rsid w:val="701C37AB"/>
    <w:rsid w:val="702814CB"/>
    <w:rsid w:val="702A0B29"/>
    <w:rsid w:val="702C664F"/>
    <w:rsid w:val="703532C5"/>
    <w:rsid w:val="704515FA"/>
    <w:rsid w:val="70572BF2"/>
    <w:rsid w:val="705A7D9D"/>
    <w:rsid w:val="70691651"/>
    <w:rsid w:val="70757FF6"/>
    <w:rsid w:val="70761FC0"/>
    <w:rsid w:val="707C4710"/>
    <w:rsid w:val="70822713"/>
    <w:rsid w:val="70862203"/>
    <w:rsid w:val="70880D43"/>
    <w:rsid w:val="70934920"/>
    <w:rsid w:val="709361DC"/>
    <w:rsid w:val="709578C1"/>
    <w:rsid w:val="7099764F"/>
    <w:rsid w:val="709A5FCD"/>
    <w:rsid w:val="70BE33D2"/>
    <w:rsid w:val="70C77C7E"/>
    <w:rsid w:val="70CD16CB"/>
    <w:rsid w:val="70DC70DA"/>
    <w:rsid w:val="70DF7B65"/>
    <w:rsid w:val="70E52721"/>
    <w:rsid w:val="70E909E4"/>
    <w:rsid w:val="70F76680"/>
    <w:rsid w:val="71185836"/>
    <w:rsid w:val="711A0B9D"/>
    <w:rsid w:val="711E68DF"/>
    <w:rsid w:val="712F22B8"/>
    <w:rsid w:val="7130216F"/>
    <w:rsid w:val="713C61FC"/>
    <w:rsid w:val="7146163A"/>
    <w:rsid w:val="714A1495"/>
    <w:rsid w:val="714D068C"/>
    <w:rsid w:val="714D4DDA"/>
    <w:rsid w:val="71554062"/>
    <w:rsid w:val="715D51C4"/>
    <w:rsid w:val="716772A9"/>
    <w:rsid w:val="71681909"/>
    <w:rsid w:val="716F24BE"/>
    <w:rsid w:val="71775FF0"/>
    <w:rsid w:val="717C1858"/>
    <w:rsid w:val="718002C9"/>
    <w:rsid w:val="7189187F"/>
    <w:rsid w:val="718D75C1"/>
    <w:rsid w:val="71AD43DD"/>
    <w:rsid w:val="71AD7C63"/>
    <w:rsid w:val="71AE2B03"/>
    <w:rsid w:val="71B9D13A"/>
    <w:rsid w:val="71BB79C8"/>
    <w:rsid w:val="71C254BD"/>
    <w:rsid w:val="71D75F6B"/>
    <w:rsid w:val="71D945B4"/>
    <w:rsid w:val="71E34706"/>
    <w:rsid w:val="71E4311C"/>
    <w:rsid w:val="71E64273"/>
    <w:rsid w:val="71EF3DD8"/>
    <w:rsid w:val="71FC4716"/>
    <w:rsid w:val="720901B6"/>
    <w:rsid w:val="720A676F"/>
    <w:rsid w:val="720E0C51"/>
    <w:rsid w:val="721633E7"/>
    <w:rsid w:val="72247F25"/>
    <w:rsid w:val="72253C9E"/>
    <w:rsid w:val="72270535"/>
    <w:rsid w:val="72292BA4"/>
    <w:rsid w:val="722F2426"/>
    <w:rsid w:val="72344242"/>
    <w:rsid w:val="724063E2"/>
    <w:rsid w:val="72477770"/>
    <w:rsid w:val="724C5D97"/>
    <w:rsid w:val="72516841"/>
    <w:rsid w:val="725213B6"/>
    <w:rsid w:val="725715D2"/>
    <w:rsid w:val="725E4ABA"/>
    <w:rsid w:val="72874010"/>
    <w:rsid w:val="728E41FF"/>
    <w:rsid w:val="7294509A"/>
    <w:rsid w:val="72967D5D"/>
    <w:rsid w:val="72A703D9"/>
    <w:rsid w:val="72AE77EF"/>
    <w:rsid w:val="72B66B1F"/>
    <w:rsid w:val="72B87E28"/>
    <w:rsid w:val="72BB3CBA"/>
    <w:rsid w:val="72C139C6"/>
    <w:rsid w:val="72CE60E3"/>
    <w:rsid w:val="72D364DA"/>
    <w:rsid w:val="72D459C1"/>
    <w:rsid w:val="72DB7B79"/>
    <w:rsid w:val="72F36D66"/>
    <w:rsid w:val="72F71196"/>
    <w:rsid w:val="72FB03ED"/>
    <w:rsid w:val="72FF629D"/>
    <w:rsid w:val="73001975"/>
    <w:rsid w:val="73306456"/>
    <w:rsid w:val="73326672"/>
    <w:rsid w:val="7338114D"/>
    <w:rsid w:val="733E1B79"/>
    <w:rsid w:val="733F2B3D"/>
    <w:rsid w:val="73465C7A"/>
    <w:rsid w:val="734939BC"/>
    <w:rsid w:val="734E1259"/>
    <w:rsid w:val="734F380E"/>
    <w:rsid w:val="736507F6"/>
    <w:rsid w:val="73656370"/>
    <w:rsid w:val="73682846"/>
    <w:rsid w:val="73697546"/>
    <w:rsid w:val="737D2E68"/>
    <w:rsid w:val="737E3665"/>
    <w:rsid w:val="737E5413"/>
    <w:rsid w:val="73827BCF"/>
    <w:rsid w:val="73844CD9"/>
    <w:rsid w:val="73893DAB"/>
    <w:rsid w:val="738F5872"/>
    <w:rsid w:val="73936E24"/>
    <w:rsid w:val="739A7D73"/>
    <w:rsid w:val="73AA47BD"/>
    <w:rsid w:val="73AD3F4B"/>
    <w:rsid w:val="73AF1A71"/>
    <w:rsid w:val="73B47B62"/>
    <w:rsid w:val="73B572BB"/>
    <w:rsid w:val="73BE1CB4"/>
    <w:rsid w:val="73C372CA"/>
    <w:rsid w:val="73D56FFD"/>
    <w:rsid w:val="73D70FC8"/>
    <w:rsid w:val="73D74B24"/>
    <w:rsid w:val="73D75CC6"/>
    <w:rsid w:val="73D83389"/>
    <w:rsid w:val="73DF5786"/>
    <w:rsid w:val="73E01C2A"/>
    <w:rsid w:val="73EA0CFB"/>
    <w:rsid w:val="73EB2787"/>
    <w:rsid w:val="73F456D6"/>
    <w:rsid w:val="73FE1225"/>
    <w:rsid w:val="74024296"/>
    <w:rsid w:val="740A4EF9"/>
    <w:rsid w:val="7416564C"/>
    <w:rsid w:val="74181EB8"/>
    <w:rsid w:val="742363A2"/>
    <w:rsid w:val="74365CEE"/>
    <w:rsid w:val="74387CB8"/>
    <w:rsid w:val="743B1556"/>
    <w:rsid w:val="743F620E"/>
    <w:rsid w:val="74404DBF"/>
    <w:rsid w:val="744148DD"/>
    <w:rsid w:val="74485A04"/>
    <w:rsid w:val="744A6ED7"/>
    <w:rsid w:val="744F588B"/>
    <w:rsid w:val="74505333"/>
    <w:rsid w:val="74505672"/>
    <w:rsid w:val="745E6FF3"/>
    <w:rsid w:val="746A2530"/>
    <w:rsid w:val="746B7328"/>
    <w:rsid w:val="74701E32"/>
    <w:rsid w:val="749D668F"/>
    <w:rsid w:val="74A0634E"/>
    <w:rsid w:val="74A25132"/>
    <w:rsid w:val="74AD4A43"/>
    <w:rsid w:val="74B03CF2"/>
    <w:rsid w:val="74B15375"/>
    <w:rsid w:val="74B310ED"/>
    <w:rsid w:val="74B33326"/>
    <w:rsid w:val="74C17067"/>
    <w:rsid w:val="74C975DD"/>
    <w:rsid w:val="74D53759"/>
    <w:rsid w:val="74DB3473"/>
    <w:rsid w:val="74EB2763"/>
    <w:rsid w:val="74ED54EF"/>
    <w:rsid w:val="74F27AE5"/>
    <w:rsid w:val="74FC2209"/>
    <w:rsid w:val="7501454E"/>
    <w:rsid w:val="75061B64"/>
    <w:rsid w:val="750B717B"/>
    <w:rsid w:val="750C4CA1"/>
    <w:rsid w:val="75183646"/>
    <w:rsid w:val="752244C4"/>
    <w:rsid w:val="75287D2D"/>
    <w:rsid w:val="75322959"/>
    <w:rsid w:val="75361B5B"/>
    <w:rsid w:val="75387745"/>
    <w:rsid w:val="754206C3"/>
    <w:rsid w:val="754601B3"/>
    <w:rsid w:val="75502DDF"/>
    <w:rsid w:val="75530322"/>
    <w:rsid w:val="75604F8E"/>
    <w:rsid w:val="756845CD"/>
    <w:rsid w:val="756979AE"/>
    <w:rsid w:val="75698AAE"/>
    <w:rsid w:val="75705230"/>
    <w:rsid w:val="75763BE2"/>
    <w:rsid w:val="757A7E5C"/>
    <w:rsid w:val="758807CB"/>
    <w:rsid w:val="758A1FF2"/>
    <w:rsid w:val="758D16DD"/>
    <w:rsid w:val="758D36C3"/>
    <w:rsid w:val="758E461D"/>
    <w:rsid w:val="75936023"/>
    <w:rsid w:val="75A24FC9"/>
    <w:rsid w:val="75A5367F"/>
    <w:rsid w:val="75A86778"/>
    <w:rsid w:val="75AA6994"/>
    <w:rsid w:val="75B66A1A"/>
    <w:rsid w:val="75BA734C"/>
    <w:rsid w:val="75BC0DA6"/>
    <w:rsid w:val="75BF7F65"/>
    <w:rsid w:val="75C46760"/>
    <w:rsid w:val="75D03F20"/>
    <w:rsid w:val="75D37125"/>
    <w:rsid w:val="75E4177A"/>
    <w:rsid w:val="75F45E61"/>
    <w:rsid w:val="75F81F01"/>
    <w:rsid w:val="76020EA1"/>
    <w:rsid w:val="760616F0"/>
    <w:rsid w:val="760A7432"/>
    <w:rsid w:val="760F2C9B"/>
    <w:rsid w:val="761262E7"/>
    <w:rsid w:val="7616632D"/>
    <w:rsid w:val="761F5082"/>
    <w:rsid w:val="76206C56"/>
    <w:rsid w:val="762140C2"/>
    <w:rsid w:val="76283D5C"/>
    <w:rsid w:val="76287F26"/>
    <w:rsid w:val="763829FD"/>
    <w:rsid w:val="76394E56"/>
    <w:rsid w:val="764F753B"/>
    <w:rsid w:val="76516E0F"/>
    <w:rsid w:val="76680CF1"/>
    <w:rsid w:val="766E5C13"/>
    <w:rsid w:val="76832163"/>
    <w:rsid w:val="768A2B60"/>
    <w:rsid w:val="768D497C"/>
    <w:rsid w:val="76903064"/>
    <w:rsid w:val="76911902"/>
    <w:rsid w:val="769E7B7B"/>
    <w:rsid w:val="76A02DB3"/>
    <w:rsid w:val="76B17DED"/>
    <w:rsid w:val="76B32088"/>
    <w:rsid w:val="76B561A4"/>
    <w:rsid w:val="76B949B4"/>
    <w:rsid w:val="76C05D43"/>
    <w:rsid w:val="76C92E49"/>
    <w:rsid w:val="76CC0B8C"/>
    <w:rsid w:val="76D04F73"/>
    <w:rsid w:val="76DD06A3"/>
    <w:rsid w:val="76F14A9C"/>
    <w:rsid w:val="76FFB02D"/>
    <w:rsid w:val="7702635B"/>
    <w:rsid w:val="77046578"/>
    <w:rsid w:val="77061A83"/>
    <w:rsid w:val="770E2E1E"/>
    <w:rsid w:val="771A37DE"/>
    <w:rsid w:val="771F0768"/>
    <w:rsid w:val="77242783"/>
    <w:rsid w:val="772B2297"/>
    <w:rsid w:val="772B71EA"/>
    <w:rsid w:val="77366850"/>
    <w:rsid w:val="77382754"/>
    <w:rsid w:val="773D290D"/>
    <w:rsid w:val="77455E56"/>
    <w:rsid w:val="774B21B7"/>
    <w:rsid w:val="77507B50"/>
    <w:rsid w:val="775832D0"/>
    <w:rsid w:val="77626DFA"/>
    <w:rsid w:val="77664B3C"/>
    <w:rsid w:val="776C1A27"/>
    <w:rsid w:val="7771703D"/>
    <w:rsid w:val="7774550B"/>
    <w:rsid w:val="7778661E"/>
    <w:rsid w:val="777E7C1C"/>
    <w:rsid w:val="77830A09"/>
    <w:rsid w:val="77855149"/>
    <w:rsid w:val="77884510"/>
    <w:rsid w:val="77884AB3"/>
    <w:rsid w:val="779416A9"/>
    <w:rsid w:val="779B1D4F"/>
    <w:rsid w:val="779E35F4"/>
    <w:rsid w:val="779F3BAA"/>
    <w:rsid w:val="77A24726"/>
    <w:rsid w:val="77B0248F"/>
    <w:rsid w:val="77B2760C"/>
    <w:rsid w:val="77B35AC9"/>
    <w:rsid w:val="77B527FE"/>
    <w:rsid w:val="77B557D3"/>
    <w:rsid w:val="77BC0B2A"/>
    <w:rsid w:val="77BF2E02"/>
    <w:rsid w:val="77C83229"/>
    <w:rsid w:val="77CB0E43"/>
    <w:rsid w:val="77D56023"/>
    <w:rsid w:val="77E251B6"/>
    <w:rsid w:val="77E37F3B"/>
    <w:rsid w:val="77EB0548"/>
    <w:rsid w:val="77FEEBB5"/>
    <w:rsid w:val="78000AED"/>
    <w:rsid w:val="78003B4A"/>
    <w:rsid w:val="78005CD7"/>
    <w:rsid w:val="78044908"/>
    <w:rsid w:val="780B1240"/>
    <w:rsid w:val="7818643A"/>
    <w:rsid w:val="781C344D"/>
    <w:rsid w:val="78210A63"/>
    <w:rsid w:val="78280961"/>
    <w:rsid w:val="784A3F9D"/>
    <w:rsid w:val="784A55CB"/>
    <w:rsid w:val="784A7FBA"/>
    <w:rsid w:val="784C3D32"/>
    <w:rsid w:val="78520C1D"/>
    <w:rsid w:val="78572DD4"/>
    <w:rsid w:val="786077DD"/>
    <w:rsid w:val="78714F73"/>
    <w:rsid w:val="787D0EC3"/>
    <w:rsid w:val="7883021C"/>
    <w:rsid w:val="78846121"/>
    <w:rsid w:val="788A6608"/>
    <w:rsid w:val="788D60F9"/>
    <w:rsid w:val="789227C4"/>
    <w:rsid w:val="7896550A"/>
    <w:rsid w:val="789D27E0"/>
    <w:rsid w:val="78B23D00"/>
    <w:rsid w:val="78B43685"/>
    <w:rsid w:val="78B958A9"/>
    <w:rsid w:val="78B96EEE"/>
    <w:rsid w:val="78C27525"/>
    <w:rsid w:val="78C55892"/>
    <w:rsid w:val="78C80736"/>
    <w:rsid w:val="78CC460F"/>
    <w:rsid w:val="78D16440"/>
    <w:rsid w:val="78D37FAF"/>
    <w:rsid w:val="78D53FEF"/>
    <w:rsid w:val="78D635FC"/>
    <w:rsid w:val="78DD4999"/>
    <w:rsid w:val="78E43C3A"/>
    <w:rsid w:val="78E51DC1"/>
    <w:rsid w:val="790A7C54"/>
    <w:rsid w:val="79165E39"/>
    <w:rsid w:val="79172B8D"/>
    <w:rsid w:val="791D202A"/>
    <w:rsid w:val="79243D01"/>
    <w:rsid w:val="79352A18"/>
    <w:rsid w:val="7936053E"/>
    <w:rsid w:val="793D0477"/>
    <w:rsid w:val="793D7B1F"/>
    <w:rsid w:val="793E2B81"/>
    <w:rsid w:val="79420C91"/>
    <w:rsid w:val="79442C5B"/>
    <w:rsid w:val="79586707"/>
    <w:rsid w:val="795D5ACB"/>
    <w:rsid w:val="796B5E5A"/>
    <w:rsid w:val="797650C3"/>
    <w:rsid w:val="797D616D"/>
    <w:rsid w:val="797E6375"/>
    <w:rsid w:val="798474FC"/>
    <w:rsid w:val="79856DD0"/>
    <w:rsid w:val="79A4194C"/>
    <w:rsid w:val="79AA5A9D"/>
    <w:rsid w:val="79B871A5"/>
    <w:rsid w:val="79BE712E"/>
    <w:rsid w:val="79C8388C"/>
    <w:rsid w:val="79CB512B"/>
    <w:rsid w:val="79D13A78"/>
    <w:rsid w:val="79DC910D"/>
    <w:rsid w:val="79DD0239"/>
    <w:rsid w:val="79DD3184"/>
    <w:rsid w:val="79DF4732"/>
    <w:rsid w:val="79ED6E4F"/>
    <w:rsid w:val="79EE5666"/>
    <w:rsid w:val="79F301DD"/>
    <w:rsid w:val="79F95D73"/>
    <w:rsid w:val="79FB3F53"/>
    <w:rsid w:val="7A140880"/>
    <w:rsid w:val="7A150154"/>
    <w:rsid w:val="7A15348D"/>
    <w:rsid w:val="7A1A1600"/>
    <w:rsid w:val="7A1C7F36"/>
    <w:rsid w:val="7A236D15"/>
    <w:rsid w:val="7A2A5002"/>
    <w:rsid w:val="7A37585A"/>
    <w:rsid w:val="7A3E58FC"/>
    <w:rsid w:val="7A5B6D2C"/>
    <w:rsid w:val="7A5B73A8"/>
    <w:rsid w:val="7A5E5F9F"/>
    <w:rsid w:val="7A6B246A"/>
    <w:rsid w:val="7A6F3D08"/>
    <w:rsid w:val="7A765B2D"/>
    <w:rsid w:val="7A7A7D8A"/>
    <w:rsid w:val="7A7E6380"/>
    <w:rsid w:val="7A7FDB48"/>
    <w:rsid w:val="7A862E00"/>
    <w:rsid w:val="7A884DCA"/>
    <w:rsid w:val="7A911ED0"/>
    <w:rsid w:val="7A9279F6"/>
    <w:rsid w:val="7A93454E"/>
    <w:rsid w:val="7A992B33"/>
    <w:rsid w:val="7AA02113"/>
    <w:rsid w:val="7AA240DD"/>
    <w:rsid w:val="7AA634A2"/>
    <w:rsid w:val="7AAC0AB8"/>
    <w:rsid w:val="7AB34877"/>
    <w:rsid w:val="7AB6E8FE"/>
    <w:rsid w:val="7ABC1D2D"/>
    <w:rsid w:val="7ABD2CC5"/>
    <w:rsid w:val="7AC027B5"/>
    <w:rsid w:val="7AC34054"/>
    <w:rsid w:val="7AC848ED"/>
    <w:rsid w:val="7AD43416"/>
    <w:rsid w:val="7AD63D87"/>
    <w:rsid w:val="7AD85E10"/>
    <w:rsid w:val="7AF062D6"/>
    <w:rsid w:val="7AF1296F"/>
    <w:rsid w:val="7AF25943"/>
    <w:rsid w:val="7AF30181"/>
    <w:rsid w:val="7AF34939"/>
    <w:rsid w:val="7AF44DFF"/>
    <w:rsid w:val="7AF56E0E"/>
    <w:rsid w:val="7AF90389"/>
    <w:rsid w:val="7AF95CC7"/>
    <w:rsid w:val="7B007056"/>
    <w:rsid w:val="7B032A3A"/>
    <w:rsid w:val="7B036F20"/>
    <w:rsid w:val="7B09527D"/>
    <w:rsid w:val="7B146194"/>
    <w:rsid w:val="7B2A5E81"/>
    <w:rsid w:val="7B30793B"/>
    <w:rsid w:val="7B3B1E3C"/>
    <w:rsid w:val="7B4718A3"/>
    <w:rsid w:val="7B48773F"/>
    <w:rsid w:val="7B5A49B8"/>
    <w:rsid w:val="7B5A67D9"/>
    <w:rsid w:val="7B647318"/>
    <w:rsid w:val="7B704F89"/>
    <w:rsid w:val="7B7A2964"/>
    <w:rsid w:val="7B7C69A4"/>
    <w:rsid w:val="7B853D48"/>
    <w:rsid w:val="7BA358FE"/>
    <w:rsid w:val="7BAA13D3"/>
    <w:rsid w:val="7BC02341"/>
    <w:rsid w:val="7BC10593"/>
    <w:rsid w:val="7BCE4C52"/>
    <w:rsid w:val="7BD1705E"/>
    <w:rsid w:val="7BD55DED"/>
    <w:rsid w:val="7BDE89CC"/>
    <w:rsid w:val="7BDFF533"/>
    <w:rsid w:val="7BEF3D12"/>
    <w:rsid w:val="7BF10231"/>
    <w:rsid w:val="7BF756FE"/>
    <w:rsid w:val="7BFE17E7"/>
    <w:rsid w:val="7C000C5D"/>
    <w:rsid w:val="7C152263"/>
    <w:rsid w:val="7C305719"/>
    <w:rsid w:val="7C3172F7"/>
    <w:rsid w:val="7C370855"/>
    <w:rsid w:val="7C3949A7"/>
    <w:rsid w:val="7C3B59D3"/>
    <w:rsid w:val="7C3D3992"/>
    <w:rsid w:val="7C41167F"/>
    <w:rsid w:val="7C456003"/>
    <w:rsid w:val="7C501917"/>
    <w:rsid w:val="7C6461C4"/>
    <w:rsid w:val="7C7716B2"/>
    <w:rsid w:val="7C8998D9"/>
    <w:rsid w:val="7C8D2B6B"/>
    <w:rsid w:val="7C8E41ED"/>
    <w:rsid w:val="7CA53A11"/>
    <w:rsid w:val="7CAB4D9F"/>
    <w:rsid w:val="7CB37868"/>
    <w:rsid w:val="7CB4042E"/>
    <w:rsid w:val="7CB71996"/>
    <w:rsid w:val="7CBB1819"/>
    <w:rsid w:val="7CBC51FE"/>
    <w:rsid w:val="7CBF0A06"/>
    <w:rsid w:val="7CC540B3"/>
    <w:rsid w:val="7CC8701A"/>
    <w:rsid w:val="7CD417CC"/>
    <w:rsid w:val="7CE51BC3"/>
    <w:rsid w:val="7CED360A"/>
    <w:rsid w:val="7CED7166"/>
    <w:rsid w:val="7CEEB960"/>
    <w:rsid w:val="7CF16265"/>
    <w:rsid w:val="7CF33E53"/>
    <w:rsid w:val="7CF83C2F"/>
    <w:rsid w:val="7CFA3997"/>
    <w:rsid w:val="7CFFF5B8"/>
    <w:rsid w:val="7D024F8E"/>
    <w:rsid w:val="7D036989"/>
    <w:rsid w:val="7D150AFD"/>
    <w:rsid w:val="7D15201E"/>
    <w:rsid w:val="7D172435"/>
    <w:rsid w:val="7D197F5B"/>
    <w:rsid w:val="7D250FF6"/>
    <w:rsid w:val="7D3B31E8"/>
    <w:rsid w:val="7D3B4375"/>
    <w:rsid w:val="7D4274B2"/>
    <w:rsid w:val="7D4C20DE"/>
    <w:rsid w:val="7D50302A"/>
    <w:rsid w:val="7D52346D"/>
    <w:rsid w:val="7D563C1F"/>
    <w:rsid w:val="7D5F62B6"/>
    <w:rsid w:val="7D625DA6"/>
    <w:rsid w:val="7D646FE6"/>
    <w:rsid w:val="7D697134"/>
    <w:rsid w:val="7D6C2781"/>
    <w:rsid w:val="7D7702C0"/>
    <w:rsid w:val="7D7DD7D4"/>
    <w:rsid w:val="7D7F16EC"/>
    <w:rsid w:val="7D8A547F"/>
    <w:rsid w:val="7D8E0949"/>
    <w:rsid w:val="7D9870EB"/>
    <w:rsid w:val="7D997627"/>
    <w:rsid w:val="7DA243F4"/>
    <w:rsid w:val="7DA834E4"/>
    <w:rsid w:val="7DAC5273"/>
    <w:rsid w:val="7DB90FC9"/>
    <w:rsid w:val="7DBE3BDC"/>
    <w:rsid w:val="7DBFD623"/>
    <w:rsid w:val="7DD03787"/>
    <w:rsid w:val="7DD1074B"/>
    <w:rsid w:val="7DD65E4C"/>
    <w:rsid w:val="7DD81597"/>
    <w:rsid w:val="7DDD55F1"/>
    <w:rsid w:val="7DEC38C1"/>
    <w:rsid w:val="7DED25F1"/>
    <w:rsid w:val="7DF40153"/>
    <w:rsid w:val="7DFC494D"/>
    <w:rsid w:val="7DFD5546"/>
    <w:rsid w:val="7DFEBF87"/>
    <w:rsid w:val="7E001370"/>
    <w:rsid w:val="7E1A2BCF"/>
    <w:rsid w:val="7E22507B"/>
    <w:rsid w:val="7E2E7A36"/>
    <w:rsid w:val="7E355268"/>
    <w:rsid w:val="7E357016"/>
    <w:rsid w:val="7E36758B"/>
    <w:rsid w:val="7E3C6480"/>
    <w:rsid w:val="7E405974"/>
    <w:rsid w:val="7E464D80"/>
    <w:rsid w:val="7E4B05E8"/>
    <w:rsid w:val="7E4C1C3E"/>
    <w:rsid w:val="7E505516"/>
    <w:rsid w:val="7E521976"/>
    <w:rsid w:val="7E642257"/>
    <w:rsid w:val="7E6478FC"/>
    <w:rsid w:val="7E660E19"/>
    <w:rsid w:val="7E6E2528"/>
    <w:rsid w:val="7E6F077A"/>
    <w:rsid w:val="7E7235F9"/>
    <w:rsid w:val="7E778D31"/>
    <w:rsid w:val="7E784022"/>
    <w:rsid w:val="7E7A4224"/>
    <w:rsid w:val="7E7B232B"/>
    <w:rsid w:val="7E7C4C45"/>
    <w:rsid w:val="7EA357F8"/>
    <w:rsid w:val="7EA53912"/>
    <w:rsid w:val="7EA569AE"/>
    <w:rsid w:val="7EB4C332"/>
    <w:rsid w:val="7EB5014B"/>
    <w:rsid w:val="7EB56CC0"/>
    <w:rsid w:val="7EB663A9"/>
    <w:rsid w:val="7EB7085A"/>
    <w:rsid w:val="7EBF8D68"/>
    <w:rsid w:val="7EC363D0"/>
    <w:rsid w:val="7EC469CB"/>
    <w:rsid w:val="7EC90406"/>
    <w:rsid w:val="7EC97625"/>
    <w:rsid w:val="7ECE35D2"/>
    <w:rsid w:val="7ED11CAD"/>
    <w:rsid w:val="7EDE6C59"/>
    <w:rsid w:val="7EF16AAC"/>
    <w:rsid w:val="7EF86D6A"/>
    <w:rsid w:val="7F0D7F93"/>
    <w:rsid w:val="7F166E48"/>
    <w:rsid w:val="7F186AA0"/>
    <w:rsid w:val="7F1E5699"/>
    <w:rsid w:val="7F1E7D70"/>
    <w:rsid w:val="7F2552DD"/>
    <w:rsid w:val="7F2C666B"/>
    <w:rsid w:val="7F2F3A66"/>
    <w:rsid w:val="7F313C82"/>
    <w:rsid w:val="7F323340"/>
    <w:rsid w:val="7F3555C5"/>
    <w:rsid w:val="7F441324"/>
    <w:rsid w:val="7F441B10"/>
    <w:rsid w:val="7F46600F"/>
    <w:rsid w:val="7F533BF8"/>
    <w:rsid w:val="7F565496"/>
    <w:rsid w:val="7F592524"/>
    <w:rsid w:val="7F5C3C9C"/>
    <w:rsid w:val="7F5D60C2"/>
    <w:rsid w:val="7F5F4BFC"/>
    <w:rsid w:val="7F6565D9"/>
    <w:rsid w:val="7F6768AC"/>
    <w:rsid w:val="7F6779F6"/>
    <w:rsid w:val="7F7542D2"/>
    <w:rsid w:val="7F7997A2"/>
    <w:rsid w:val="7F7B4EFD"/>
    <w:rsid w:val="7F7B6CAB"/>
    <w:rsid w:val="7F802513"/>
    <w:rsid w:val="7F857B2A"/>
    <w:rsid w:val="7F875650"/>
    <w:rsid w:val="7F903BD2"/>
    <w:rsid w:val="7F963AE5"/>
    <w:rsid w:val="7F9E2999"/>
    <w:rsid w:val="7FAE2048"/>
    <w:rsid w:val="7FAF933B"/>
    <w:rsid w:val="7FB65F35"/>
    <w:rsid w:val="7FB73115"/>
    <w:rsid w:val="7FB79C6C"/>
    <w:rsid w:val="7FB863C1"/>
    <w:rsid w:val="7FBD1532"/>
    <w:rsid w:val="7FBD72C3"/>
    <w:rsid w:val="7FBF303C"/>
    <w:rsid w:val="7FD6583E"/>
    <w:rsid w:val="7FDF548C"/>
    <w:rsid w:val="7FE7683D"/>
    <w:rsid w:val="7FEBB101"/>
    <w:rsid w:val="7FF932C8"/>
    <w:rsid w:val="7FF9A5B2"/>
    <w:rsid w:val="7FFBE61A"/>
    <w:rsid w:val="7FFC1EBF"/>
    <w:rsid w:val="7FFE2F2B"/>
    <w:rsid w:val="7FFE76F9"/>
    <w:rsid w:val="7FFE8769"/>
    <w:rsid w:val="7FFF074A"/>
    <w:rsid w:val="8F372423"/>
    <w:rsid w:val="93EE851A"/>
    <w:rsid w:val="9775E069"/>
    <w:rsid w:val="97FFAA26"/>
    <w:rsid w:val="9A3D66DB"/>
    <w:rsid w:val="9FDED4BA"/>
    <w:rsid w:val="A7BDB41A"/>
    <w:rsid w:val="ADEF6A34"/>
    <w:rsid w:val="AECDD1DA"/>
    <w:rsid w:val="AF09F5FF"/>
    <w:rsid w:val="AFFBDBFD"/>
    <w:rsid w:val="B3F3063D"/>
    <w:rsid w:val="B5DA5392"/>
    <w:rsid w:val="B7CE4B8B"/>
    <w:rsid w:val="B7FA7F68"/>
    <w:rsid w:val="B94BDE29"/>
    <w:rsid w:val="BB7B7454"/>
    <w:rsid w:val="BBA7A4B5"/>
    <w:rsid w:val="BBBB6F11"/>
    <w:rsid w:val="BBFE2A3A"/>
    <w:rsid w:val="BD1F8DFC"/>
    <w:rsid w:val="BD472E0E"/>
    <w:rsid w:val="BDAFA2B3"/>
    <w:rsid w:val="BDFE8156"/>
    <w:rsid w:val="BEFBF8A7"/>
    <w:rsid w:val="BF674AC0"/>
    <w:rsid w:val="BF7391BA"/>
    <w:rsid w:val="BF77812B"/>
    <w:rsid w:val="BFDEC40F"/>
    <w:rsid w:val="BFF2BBDA"/>
    <w:rsid w:val="BFF77357"/>
    <w:rsid w:val="C6FF7764"/>
    <w:rsid w:val="CB374EEA"/>
    <w:rsid w:val="CB755014"/>
    <w:rsid w:val="CBD4CE04"/>
    <w:rsid w:val="CBFF55D5"/>
    <w:rsid w:val="CCFF2A63"/>
    <w:rsid w:val="CDFF754B"/>
    <w:rsid w:val="CED2E7FC"/>
    <w:rsid w:val="CFFF70D3"/>
    <w:rsid w:val="D3D714C6"/>
    <w:rsid w:val="D4F4298A"/>
    <w:rsid w:val="D5F3B815"/>
    <w:rsid w:val="D7B7AF88"/>
    <w:rsid w:val="D9EA5FDD"/>
    <w:rsid w:val="DAFF2443"/>
    <w:rsid w:val="DAFFAEFC"/>
    <w:rsid w:val="DBA53F1E"/>
    <w:rsid w:val="DD6EB600"/>
    <w:rsid w:val="DD7F5733"/>
    <w:rsid w:val="DD8E6F13"/>
    <w:rsid w:val="DDEDDD53"/>
    <w:rsid w:val="DDF213A1"/>
    <w:rsid w:val="DFD52B5D"/>
    <w:rsid w:val="DFF5FE75"/>
    <w:rsid w:val="E47B2EFB"/>
    <w:rsid w:val="E5BF92B5"/>
    <w:rsid w:val="E77B7678"/>
    <w:rsid w:val="E7D520B3"/>
    <w:rsid w:val="E7D7FA00"/>
    <w:rsid w:val="E7FBF13C"/>
    <w:rsid w:val="EAF634B0"/>
    <w:rsid w:val="EBFA2A39"/>
    <w:rsid w:val="EC8BD0C9"/>
    <w:rsid w:val="EF37FD01"/>
    <w:rsid w:val="EFF779EA"/>
    <w:rsid w:val="EFF78BF1"/>
    <w:rsid w:val="EFFD9D46"/>
    <w:rsid w:val="F3EB7FBC"/>
    <w:rsid w:val="F4BF1A42"/>
    <w:rsid w:val="F57B0D89"/>
    <w:rsid w:val="F5DF0B95"/>
    <w:rsid w:val="F6EBD86D"/>
    <w:rsid w:val="F6F59CDC"/>
    <w:rsid w:val="F70AB8A2"/>
    <w:rsid w:val="F73389C8"/>
    <w:rsid w:val="F75CCE16"/>
    <w:rsid w:val="F79B5717"/>
    <w:rsid w:val="F7DB9B88"/>
    <w:rsid w:val="F7FD02F4"/>
    <w:rsid w:val="F7FE0117"/>
    <w:rsid w:val="F7FEC747"/>
    <w:rsid w:val="F87965F3"/>
    <w:rsid w:val="F994E925"/>
    <w:rsid w:val="F9B72875"/>
    <w:rsid w:val="FABECAEE"/>
    <w:rsid w:val="FAF736DC"/>
    <w:rsid w:val="FB6F242B"/>
    <w:rsid w:val="FBBE6C3C"/>
    <w:rsid w:val="FBC6A65A"/>
    <w:rsid w:val="FBEEF497"/>
    <w:rsid w:val="FBF9B900"/>
    <w:rsid w:val="FC7F978C"/>
    <w:rsid w:val="FCDFD664"/>
    <w:rsid w:val="FD3D3666"/>
    <w:rsid w:val="FDB66EEA"/>
    <w:rsid w:val="FDD648A9"/>
    <w:rsid w:val="FDEE2C55"/>
    <w:rsid w:val="FDF74EFB"/>
    <w:rsid w:val="FDFF2979"/>
    <w:rsid w:val="FE3E47A6"/>
    <w:rsid w:val="FE67307B"/>
    <w:rsid w:val="FE6B5C7F"/>
    <w:rsid w:val="FEA6F3AD"/>
    <w:rsid w:val="FEEB70AF"/>
    <w:rsid w:val="FEFE529E"/>
    <w:rsid w:val="FF2FC985"/>
    <w:rsid w:val="FF3B4806"/>
    <w:rsid w:val="FF77D45E"/>
    <w:rsid w:val="FF7D1313"/>
    <w:rsid w:val="FF7D1E65"/>
    <w:rsid w:val="FFAFBBC1"/>
    <w:rsid w:val="FFBDBD99"/>
    <w:rsid w:val="FFCB90D5"/>
    <w:rsid w:val="FFD7D610"/>
    <w:rsid w:val="FFEA63D3"/>
    <w:rsid w:val="FFF733B7"/>
    <w:rsid w:val="FFF7BE53"/>
    <w:rsid w:val="FFFB5857"/>
    <w:rsid w:val="FFFD18ED"/>
    <w:rsid w:val="FFFFA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34"/>
    <w:unhideWhenUsed/>
    <w:qFormat/>
    <w:uiPriority w:val="0"/>
    <w:pPr>
      <w:jc w:val="left"/>
    </w:pPr>
  </w:style>
  <w:style w:type="paragraph" w:styleId="9">
    <w:name w:val="Body Text"/>
    <w:basedOn w:val="1"/>
    <w:next w:val="1"/>
    <w:link w:val="35"/>
    <w:unhideWhenUsed/>
    <w:qFormat/>
    <w:uiPriority w:val="0"/>
    <w:pPr>
      <w:spacing w:after="120"/>
    </w:pPr>
    <w:rPr>
      <w:sz w:val="24"/>
    </w:rPr>
  </w:style>
  <w:style w:type="paragraph" w:styleId="10">
    <w:name w:val="Body Text Indent"/>
    <w:basedOn w:val="1"/>
    <w:unhideWhenUsed/>
    <w:qFormat/>
    <w:uiPriority w:val="99"/>
    <w:pPr>
      <w:spacing w:after="120"/>
      <w:ind w:left="420" w:leftChars="200"/>
    </w:pPr>
    <w:rPr>
      <w:kern w:val="0"/>
      <w:sz w:val="20"/>
      <w:szCs w:val="20"/>
    </w:rPr>
  </w:style>
  <w:style w:type="paragraph" w:styleId="11">
    <w:name w:val="Plain Text"/>
    <w:basedOn w:val="1"/>
    <w:next w:val="1"/>
    <w:link w:val="36"/>
    <w:qFormat/>
    <w:uiPriority w:val="0"/>
    <w:rPr>
      <w:rFonts w:ascii="宋体" w:hAnsi="Courier New"/>
    </w:rPr>
  </w:style>
  <w:style w:type="paragraph" w:styleId="12">
    <w:name w:val="Balloon Text"/>
    <w:basedOn w:val="1"/>
    <w:link w:val="32"/>
    <w:unhideWhenUsed/>
    <w:qFormat/>
    <w:uiPriority w:val="99"/>
    <w:rPr>
      <w:sz w:val="18"/>
      <w:szCs w:val="18"/>
    </w:rPr>
  </w:style>
  <w:style w:type="paragraph" w:styleId="13">
    <w:name w:val="footer"/>
    <w:basedOn w:val="1"/>
    <w:link w:val="37"/>
    <w:unhideWhenUsed/>
    <w:qFormat/>
    <w:uiPriority w:val="0"/>
    <w:pPr>
      <w:tabs>
        <w:tab w:val="center" w:pos="4153"/>
        <w:tab w:val="right" w:pos="8306"/>
      </w:tabs>
      <w:snapToGrid w:val="0"/>
      <w:jc w:val="left"/>
    </w:pPr>
    <w:rPr>
      <w:rFonts w:ascii="Calibri" w:hAnsi="Calibri"/>
      <w:sz w:val="18"/>
      <w:szCs w:val="18"/>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toc 1"/>
    <w:basedOn w:val="1"/>
    <w:next w:val="1"/>
    <w:unhideWhenUsed/>
    <w:qFormat/>
    <w:uiPriority w:val="39"/>
  </w:style>
  <w:style w:type="paragraph" w:styleId="16">
    <w:name w:val="toc 2"/>
    <w:basedOn w:val="1"/>
    <w:next w:val="1"/>
    <w:qFormat/>
    <w:uiPriority w:val="0"/>
    <w:pPr>
      <w:spacing w:line="600" w:lineRule="exact"/>
      <w:ind w:firstLine="880" w:firstLineChars="200"/>
    </w:pPr>
    <w:rPr>
      <w:rFonts w:eastAsia="仿宋_GB2312"/>
      <w:sz w:val="32"/>
    </w:rPr>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8"/>
    <w:next w:val="8"/>
    <w:link w:val="39"/>
    <w:unhideWhenUsed/>
    <w:qFormat/>
    <w:uiPriority w:val="99"/>
    <w:rPr>
      <w:b/>
      <w:bCs/>
    </w:rPr>
  </w:style>
  <w:style w:type="paragraph" w:styleId="22">
    <w:name w:val="Body Text First Indent"/>
    <w:basedOn w:val="9"/>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FollowedHyperlink"/>
    <w:unhideWhenUsed/>
    <w:qFormat/>
    <w:uiPriority w:val="99"/>
    <w:rPr>
      <w:color w:val="954F72"/>
      <w:u w:val="single"/>
    </w:rPr>
  </w:style>
  <w:style w:type="character" w:styleId="28">
    <w:name w:val="Hyperlink"/>
    <w:qFormat/>
    <w:uiPriority w:val="0"/>
    <w:rPr>
      <w:color w:val="0000FF"/>
      <w:u w:val="none"/>
    </w:rPr>
  </w:style>
  <w:style w:type="character" w:styleId="29">
    <w:name w:val="annotation reference"/>
    <w:unhideWhenUsed/>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1">
    <w:name w:val="Char"/>
    <w:basedOn w:val="1"/>
    <w:qFormat/>
    <w:uiPriority w:val="0"/>
    <w:pPr>
      <w:widowControl/>
      <w:spacing w:after="160" w:line="240" w:lineRule="exact"/>
      <w:jc w:val="left"/>
    </w:pPr>
  </w:style>
  <w:style w:type="character" w:customStyle="1" w:styleId="32">
    <w:name w:val="批注框文本 字符"/>
    <w:link w:val="12"/>
    <w:semiHidden/>
    <w:qFormat/>
    <w:uiPriority w:val="99"/>
    <w:rPr>
      <w:rFonts w:ascii="Times New Roman" w:hAnsi="Times New Roman" w:eastAsia="宋体" w:cs="Times New Roman"/>
      <w:sz w:val="18"/>
      <w:szCs w:val="18"/>
    </w:rPr>
  </w:style>
  <w:style w:type="character" w:customStyle="1" w:styleId="33">
    <w:name w:val="标题 5 字符"/>
    <w:link w:val="6"/>
    <w:semiHidden/>
    <w:qFormat/>
    <w:uiPriority w:val="9"/>
    <w:rPr>
      <w:b/>
      <w:bCs/>
      <w:kern w:val="2"/>
      <w:sz w:val="28"/>
      <w:szCs w:val="28"/>
    </w:rPr>
  </w:style>
  <w:style w:type="character" w:customStyle="1" w:styleId="34">
    <w:name w:val="批注文字 字符"/>
    <w:link w:val="8"/>
    <w:qFormat/>
    <w:uiPriority w:val="0"/>
    <w:rPr>
      <w:rFonts w:ascii="Times New Roman" w:hAnsi="Times New Roman" w:eastAsia="宋体" w:cs="Times New Roman"/>
      <w:szCs w:val="24"/>
    </w:rPr>
  </w:style>
  <w:style w:type="character" w:customStyle="1" w:styleId="35">
    <w:name w:val="正文文本 字符"/>
    <w:link w:val="9"/>
    <w:qFormat/>
    <w:uiPriority w:val="0"/>
    <w:rPr>
      <w:rFonts w:ascii="Times New Roman" w:hAnsi="Times New Roman" w:eastAsia="宋体"/>
      <w:kern w:val="2"/>
      <w:sz w:val="24"/>
      <w:szCs w:val="24"/>
    </w:rPr>
  </w:style>
  <w:style w:type="character" w:customStyle="1" w:styleId="36">
    <w:name w:val="纯文本 字符1"/>
    <w:link w:val="11"/>
    <w:qFormat/>
    <w:uiPriority w:val="0"/>
    <w:rPr>
      <w:rFonts w:ascii="宋体" w:hAnsi="Courier New"/>
      <w:kern w:val="2"/>
      <w:sz w:val="21"/>
      <w:szCs w:val="24"/>
    </w:rPr>
  </w:style>
  <w:style w:type="character" w:customStyle="1" w:styleId="37">
    <w:name w:val="页脚 字符1"/>
    <w:link w:val="13"/>
    <w:qFormat/>
    <w:uiPriority w:val="99"/>
    <w:rPr>
      <w:sz w:val="18"/>
      <w:szCs w:val="18"/>
    </w:rPr>
  </w:style>
  <w:style w:type="character" w:customStyle="1" w:styleId="38">
    <w:name w:val="页眉 字符"/>
    <w:link w:val="14"/>
    <w:qFormat/>
    <w:uiPriority w:val="99"/>
    <w:rPr>
      <w:sz w:val="18"/>
      <w:szCs w:val="18"/>
    </w:rPr>
  </w:style>
  <w:style w:type="character" w:customStyle="1" w:styleId="39">
    <w:name w:val="批注主题 字符"/>
    <w:link w:val="21"/>
    <w:semiHidden/>
    <w:qFormat/>
    <w:uiPriority w:val="99"/>
    <w:rPr>
      <w:rFonts w:ascii="Times New Roman" w:hAnsi="Times New Roman" w:eastAsia="宋体" w:cs="Times New Roman"/>
      <w:b/>
      <w:bCs/>
      <w:szCs w:val="24"/>
    </w:rPr>
  </w:style>
  <w:style w:type="paragraph" w:styleId="4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4"/>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正文格式"/>
    <w:basedOn w:val="10"/>
    <w:qFormat/>
    <w:uiPriority w:val="99"/>
    <w:pPr>
      <w:spacing w:after="0" w:line="360" w:lineRule="auto"/>
      <w:ind w:left="0" w:leftChars="0" w:firstLine="600"/>
    </w:pPr>
    <w:rPr>
      <w:rFonts w:eastAsia="仿宋_GB2312"/>
      <w:sz w:val="30"/>
      <w:szCs w:val="30"/>
    </w:rPr>
  </w:style>
  <w:style w:type="paragraph" w:customStyle="1" w:styleId="53">
    <w:name w:val="msolistparagraph"/>
    <w:basedOn w:val="1"/>
    <w:qFormat/>
    <w:uiPriority w:val="0"/>
    <w:pPr>
      <w:ind w:firstLine="420" w:firstLineChars="200"/>
    </w:pPr>
  </w:style>
  <w:style w:type="paragraph" w:styleId="54">
    <w:name w:val="List Paragraph"/>
    <w:basedOn w:val="1"/>
    <w:qFormat/>
    <w:uiPriority w:val="34"/>
    <w:pPr>
      <w:ind w:firstLine="420" w:firstLineChars="200"/>
    </w:pPr>
  </w:style>
  <w:style w:type="paragraph" w:customStyle="1" w:styleId="5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8">
    <w:name w:val="Table Paragraph"/>
    <w:basedOn w:val="1"/>
    <w:qFormat/>
    <w:uiPriority w:val="0"/>
    <w:pPr>
      <w:autoSpaceDE w:val="0"/>
      <w:autoSpaceDN w:val="0"/>
      <w:jc w:val="left"/>
    </w:pPr>
    <w:rPr>
      <w:rFonts w:ascii="宋体" w:hAnsi="宋体" w:cs="宋体"/>
      <w:kern w:val="0"/>
      <w:sz w:val="22"/>
      <w:szCs w:val="22"/>
    </w:rPr>
  </w:style>
  <w:style w:type="paragraph" w:customStyle="1" w:styleId="59">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p0"/>
    <w:basedOn w:val="1"/>
    <w:qFormat/>
    <w:uiPriority w:val="0"/>
    <w:pPr>
      <w:widowControl/>
      <w:jc w:val="left"/>
    </w:pPr>
    <w:rPr>
      <w:kern w:val="0"/>
      <w:sz w:val="24"/>
    </w:rPr>
  </w:style>
  <w:style w:type="paragraph" w:customStyle="1" w:styleId="65">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66">
    <w:name w:val="cf01"/>
    <w:basedOn w:val="25"/>
    <w:qFormat/>
    <w:uiPriority w:val="0"/>
    <w:rPr>
      <w:rFonts w:hint="eastAsia" w:ascii="Microsoft YaHei UI" w:hAnsi="Microsoft YaHei UI" w:eastAsia="Microsoft YaHei UI"/>
      <w:sz w:val="18"/>
      <w:szCs w:val="18"/>
    </w:r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75</Pages>
  <Words>6596</Words>
  <Characters>37599</Characters>
  <Lines>313</Lines>
  <Paragraphs>88</Paragraphs>
  <TotalTime>3</TotalTime>
  <ScaleCrop>false</ScaleCrop>
  <LinksUpToDate>false</LinksUpToDate>
  <CharactersWithSpaces>44107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2023-08-30T07:39:00Z</dcterms:created>
  <dc:creator>远东招标-凌勰13728851925</dc:creator>
  <cp:lastModifiedBy>黎俊</cp:lastModifiedBy>
  <cp:lastPrinted>2023-10-19T03:37:00Z</cp:lastPrinted>
  <dcterms:modified xsi:type="dcterms:W3CDTF">2023-11-07T01:26:30Z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7F20C11B8A6E4CB2A5ACB002B0AA03BA_13</vt:lpwstr>
  </property>
  <property fmtid="{D5CDD505-2E9C-101B-9397-08002B2CF9AE}" pid="4" name="commondata">
    <vt:lpwstr>eyJoZGlkIjoiYmMxMDc3MzEwOWIzMjRmOWFjY2ZmMjJjMThlMGUwZWUifQ==</vt:lpwstr>
  </property>
</Properties>
</file>