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color w:val="000000" w:themeColor="text1"/>
          <w:sz w:val="32"/>
          <w:szCs w:val="32"/>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jc w:val="center"/>
        <w:rPr>
          <w:rFonts w:ascii="宋体" w:hAnsi="宋体" w:cs="宋体"/>
          <w:b/>
          <w:color w:val="000000" w:themeColor="text1"/>
          <w:sz w:val="72"/>
          <w:szCs w:val="72"/>
          <w:highlight w:val="none"/>
          <w14:textFill>
            <w14:solidFill>
              <w14:schemeClr w14:val="tx1"/>
            </w14:solidFill>
          </w14:textFill>
        </w:rPr>
      </w:pPr>
      <w:r>
        <w:rPr>
          <w:rFonts w:hint="eastAsia" w:ascii="宋体" w:hAnsi="宋体" w:cs="宋体"/>
          <w:b/>
          <w:color w:val="000000" w:themeColor="text1"/>
          <w:sz w:val="72"/>
          <w:szCs w:val="72"/>
          <w:highlight w:val="none"/>
          <w14:textFill>
            <w14:solidFill>
              <w14:schemeClr w14:val="tx1"/>
            </w14:solidFill>
          </w14:textFill>
        </w:rPr>
        <w:t>简易招标文件</w:t>
      </w:r>
    </w:p>
    <w:p>
      <w:pPr>
        <w:jc w:val="cente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pStyle w:val="56"/>
        <w:ind w:firstLine="420"/>
        <w:rPr>
          <w:rFonts w:ascii="宋体" w:hAnsi="宋体" w:cs="宋体"/>
          <w:color w:val="000000" w:themeColor="text1"/>
          <w:highlight w:val="none"/>
          <w14:textFill>
            <w14:solidFill>
              <w14:schemeClr w14:val="tx1"/>
            </w14:solidFill>
          </w14:textFill>
        </w:rPr>
      </w:pPr>
    </w:p>
    <w:p>
      <w:pPr>
        <w:pStyle w:val="56"/>
        <w:ind w:firstLine="420"/>
        <w:rPr>
          <w:rFonts w:ascii="宋体" w:hAnsi="宋体" w:cs="宋体"/>
          <w:color w:val="000000" w:themeColor="text1"/>
          <w:highlight w:val="none"/>
          <w14:textFill>
            <w14:solidFill>
              <w14:schemeClr w14:val="tx1"/>
            </w14:solidFill>
          </w14:textFill>
        </w:rPr>
      </w:pPr>
    </w:p>
    <w:p>
      <w:pPr>
        <w:rPr>
          <w:rFonts w:ascii="宋体" w:hAnsi="宋体" w:cs="宋体"/>
          <w:b/>
          <w:color w:val="000000" w:themeColor="text1"/>
          <w:sz w:val="44"/>
          <w:highlight w:val="none"/>
          <w14:textFill>
            <w14:solidFill>
              <w14:schemeClr w14:val="tx1"/>
            </w14:solidFill>
          </w14:textFill>
        </w:rPr>
      </w:pPr>
    </w:p>
    <w:p>
      <w:pPr>
        <w:ind w:left="2326" w:leftChars="247" w:right="-319" w:rightChars="-152" w:hanging="1807" w:hangingChars="500"/>
        <w:rPr>
          <w:rFonts w:hint="eastAsia" w:ascii="宋体" w:hAnsi="宋体" w:eastAsia="宋体" w:cs="宋体"/>
          <w:b/>
          <w:color w:val="000000" w:themeColor="text1"/>
          <w:sz w:val="36"/>
          <w:szCs w:val="36"/>
          <w:highlight w:val="none"/>
          <w:lang w:eastAsia="zh-CN"/>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招标编号：</w:t>
      </w:r>
      <w:r>
        <w:rPr>
          <w:rFonts w:hint="eastAsia" w:ascii="宋体" w:hAnsi="宋体" w:cs="宋体"/>
          <w:b/>
          <w:color w:val="000000" w:themeColor="text1"/>
          <w:sz w:val="36"/>
          <w:szCs w:val="36"/>
          <w:highlight w:val="none"/>
          <w:lang w:eastAsia="zh-CN"/>
          <w14:textFill>
            <w14:solidFill>
              <w14:schemeClr w14:val="tx1"/>
            </w14:solidFill>
          </w14:textFill>
        </w:rPr>
        <w:t>QH2023126</w:t>
      </w:r>
    </w:p>
    <w:p>
      <w:pPr>
        <w:pStyle w:val="56"/>
        <w:ind w:firstLine="420"/>
        <w:rPr>
          <w:rFonts w:ascii="宋体" w:hAnsi="宋体" w:cs="宋体"/>
          <w:color w:val="000000" w:themeColor="text1"/>
          <w:highlight w:val="none"/>
          <w14:textFill>
            <w14:solidFill>
              <w14:schemeClr w14:val="tx1"/>
            </w14:solidFill>
          </w14:textFill>
        </w:rPr>
      </w:pPr>
    </w:p>
    <w:p>
      <w:pPr>
        <w:pStyle w:val="56"/>
        <w:ind w:firstLine="420"/>
        <w:rPr>
          <w:rFonts w:ascii="宋体" w:hAnsi="宋体" w:cs="宋体"/>
          <w:color w:val="000000" w:themeColor="text1"/>
          <w:highlight w:val="none"/>
          <w14:textFill>
            <w14:solidFill>
              <w14:schemeClr w14:val="tx1"/>
            </w14:solidFill>
          </w14:textFill>
        </w:rPr>
      </w:pPr>
    </w:p>
    <w:p>
      <w:pPr>
        <w:pStyle w:val="56"/>
        <w:ind w:firstLine="420"/>
        <w:rPr>
          <w:rFonts w:ascii="宋体" w:hAnsi="宋体" w:cs="宋体"/>
          <w:color w:val="000000" w:themeColor="text1"/>
          <w:highlight w:val="none"/>
          <w14:textFill>
            <w14:solidFill>
              <w14:schemeClr w14:val="tx1"/>
            </w14:solidFill>
          </w14:textFill>
        </w:rPr>
      </w:pPr>
    </w:p>
    <w:p>
      <w:pPr>
        <w:ind w:left="2326" w:leftChars="247" w:right="-319" w:rightChars="-152" w:hanging="1807" w:hangingChars="50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招标项目：2023年度“前海工匠”培育与评选活动项目</w:t>
      </w:r>
    </w:p>
    <w:p>
      <w:pPr>
        <w:ind w:firstLine="3264" w:firstLineChars="739"/>
        <w:rPr>
          <w:rFonts w:ascii="宋体" w:hAnsi="宋体" w:cs="宋体"/>
          <w:b/>
          <w:color w:val="000000" w:themeColor="text1"/>
          <w:sz w:val="44"/>
          <w:highlight w:val="none"/>
          <w14:textFill>
            <w14:solidFill>
              <w14:schemeClr w14:val="tx1"/>
            </w14:solidFill>
          </w14:textFill>
        </w:rPr>
      </w:pPr>
    </w:p>
    <w:p>
      <w:pPr>
        <w:ind w:left="1260" w:leftChars="600" w:firstLine="1855" w:firstLineChars="420"/>
        <w:rPr>
          <w:rFonts w:ascii="宋体" w:hAnsi="宋体" w:cs="宋体"/>
          <w:b/>
          <w:color w:val="000000" w:themeColor="text1"/>
          <w:sz w:val="44"/>
          <w:highlight w:val="none"/>
          <w14:textFill>
            <w14:solidFill>
              <w14:schemeClr w14:val="tx1"/>
            </w14:solidFill>
          </w14:textFill>
        </w:rPr>
      </w:pPr>
    </w:p>
    <w:p>
      <w:pPr>
        <w:rPr>
          <w:rFonts w:ascii="宋体" w:hAnsi="宋体" w:cs="宋体"/>
          <w:b/>
          <w:color w:val="000000" w:themeColor="text1"/>
          <w:sz w:val="44"/>
          <w:highlight w:val="none"/>
          <w14:textFill>
            <w14:solidFill>
              <w14:schemeClr w14:val="tx1"/>
            </w14:solidFill>
          </w14:textFill>
        </w:rPr>
      </w:pPr>
    </w:p>
    <w:p>
      <w:pPr>
        <w:jc w:val="center"/>
        <w:rPr>
          <w:rFonts w:ascii="宋体" w:hAnsi="宋体" w:cs="宋体"/>
          <w:b/>
          <w:bCs/>
          <w:color w:val="000000" w:themeColor="text1"/>
          <w:sz w:val="36"/>
          <w:szCs w:val="36"/>
          <w:highlight w:val="none"/>
          <w:lang w:val="zh-CN"/>
          <w14:textFill>
            <w14:solidFill>
              <w14:schemeClr w14:val="tx1"/>
            </w14:solidFill>
          </w14:textFill>
        </w:rPr>
      </w:pPr>
      <w:r>
        <w:rPr>
          <w:rFonts w:hint="eastAsia" w:ascii="宋体" w:hAnsi="宋体" w:cs="宋体"/>
          <w:b/>
          <w:bCs/>
          <w:color w:val="000000" w:themeColor="text1"/>
          <w:sz w:val="36"/>
          <w:szCs w:val="36"/>
          <w:highlight w:val="none"/>
          <w:lang w:val="zh-CN"/>
          <w14:textFill>
            <w14:solidFill>
              <w14:schemeClr w14:val="tx1"/>
            </w14:solidFill>
          </w14:textFill>
        </w:rPr>
        <w:t>深圳市前海深港现代服务业合作区管理局</w:t>
      </w:r>
    </w:p>
    <w:p>
      <w:pPr>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2023年10月</w:t>
      </w:r>
    </w:p>
    <w:p>
      <w:pPr>
        <w:autoSpaceDE w:val="0"/>
        <w:autoSpaceDN w:val="0"/>
        <w:adjustRightInd w:val="0"/>
        <w:spacing w:line="360" w:lineRule="auto"/>
        <w:jc w:val="center"/>
        <w:rPr>
          <w:rFonts w:ascii="宋体" w:hAnsi="宋体" w:cs="宋体"/>
          <w:b/>
          <w:bCs/>
          <w:color w:val="000000" w:themeColor="text1"/>
          <w:kern w:val="0"/>
          <w:sz w:val="36"/>
          <w:szCs w:val="36"/>
          <w:highlight w:val="none"/>
          <w14:textFill>
            <w14:solidFill>
              <w14:schemeClr w14:val="tx1"/>
            </w14:solidFill>
          </w14:textFill>
        </w:rPr>
      </w:pPr>
      <w:bookmarkStart w:id="0" w:name="_Toc12932"/>
      <w:r>
        <w:rPr>
          <w:rFonts w:ascii="宋体" w:hAnsi="宋体"/>
          <w:b/>
          <w:bCs/>
          <w:color w:val="000000" w:themeColor="text1"/>
          <w:sz w:val="32"/>
          <w:szCs w:val="40"/>
          <w:highlight w:val="none"/>
          <w:u w:val="single"/>
          <w14:textFill>
            <w14:solidFill>
              <w14:schemeClr w14:val="tx1"/>
            </w14:solidFill>
          </w14:textFill>
        </w:rPr>
        <w:br w:type="page"/>
      </w:r>
      <w:r>
        <w:rPr>
          <w:rFonts w:hint="eastAsia" w:ascii="宋体" w:hAnsi="宋体" w:cs="宋体"/>
          <w:b/>
          <w:bCs/>
          <w:color w:val="000000" w:themeColor="text1"/>
          <w:kern w:val="0"/>
          <w:sz w:val="36"/>
          <w:szCs w:val="36"/>
          <w:highlight w:val="none"/>
          <w14:textFill>
            <w14:solidFill>
              <w14:schemeClr w14:val="tx1"/>
            </w14:solidFill>
          </w14:textFill>
        </w:rPr>
        <w:t>特别警示条款</w:t>
      </w:r>
    </w:p>
    <w:p>
      <w:pPr>
        <w:pStyle w:val="2"/>
        <w:rPr>
          <w:color w:val="000000" w:themeColor="text1"/>
          <w:highlight w:val="none"/>
          <w14:textFill>
            <w14:solidFill>
              <w14:schemeClr w14:val="tx1"/>
            </w14:solidFill>
          </w14:textFill>
        </w:rPr>
      </w:pPr>
    </w:p>
    <w:p>
      <w:pPr>
        <w:snapToGrid w:val="0"/>
        <w:spacing w:line="360" w:lineRule="auto"/>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napToGrid w:val="0"/>
        <w:spacing w:line="360" w:lineRule="auto"/>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（一）在采购活动中应当回避而未回避的；</w:t>
      </w:r>
    </w:p>
    <w:p>
      <w:pPr>
        <w:snapToGrid w:val="0"/>
        <w:spacing w:line="360" w:lineRule="auto"/>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（二）未按本条例规定签订、履行采购合同，造成严重后果的；</w:t>
      </w:r>
    </w:p>
    <w:p>
      <w:pPr>
        <w:snapToGrid w:val="0"/>
        <w:spacing w:line="360" w:lineRule="auto"/>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（三）隐瞒真实情况，提供虚假资料的；</w:t>
      </w:r>
    </w:p>
    <w:p>
      <w:pPr>
        <w:snapToGrid w:val="0"/>
        <w:spacing w:line="360" w:lineRule="auto"/>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（四）以非法手段排斥其他供应商参与竞争的；</w:t>
      </w:r>
    </w:p>
    <w:p>
      <w:pPr>
        <w:snapToGrid w:val="0"/>
        <w:spacing w:line="360" w:lineRule="auto"/>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（五）与其他采购参加人串通投标的；</w:t>
      </w:r>
    </w:p>
    <w:p>
      <w:pPr>
        <w:snapToGrid w:val="0"/>
        <w:spacing w:line="360" w:lineRule="auto"/>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（六）恶意投诉的；</w:t>
      </w:r>
    </w:p>
    <w:p>
      <w:pPr>
        <w:snapToGrid w:val="0"/>
        <w:spacing w:line="360" w:lineRule="auto"/>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（七）向采购项目相关人行贿或者提供其他不当利益的；</w:t>
      </w:r>
    </w:p>
    <w:p>
      <w:pPr>
        <w:snapToGrid w:val="0"/>
        <w:spacing w:line="360" w:lineRule="auto"/>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（八）阻碍、抗拒主管部门监督检查的；</w:t>
      </w:r>
    </w:p>
    <w:p>
      <w:pPr>
        <w:snapToGrid w:val="0"/>
        <w:spacing w:line="360" w:lineRule="auto"/>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（九）其他违反本条例规定的行为。</w:t>
      </w:r>
    </w:p>
    <w:p>
      <w:pPr>
        <w:snapToGrid w:val="0"/>
        <w:spacing w:line="360" w:lineRule="auto"/>
        <w:ind w:firstLine="470" w:firstLineChars="196"/>
        <w:rPr>
          <w:rFonts w:ascii="宋体" w:hAnsi="宋体" w:cs="宋体"/>
          <w:color w:val="000000" w:themeColor="text1"/>
          <w:sz w:val="24"/>
          <w:highlight w:val="none"/>
          <w14:textFill>
            <w14:solidFill>
              <w14:schemeClr w14:val="tx1"/>
            </w14:solidFill>
          </w14:textFill>
        </w:rPr>
      </w:pPr>
    </w:p>
    <w:p>
      <w:pPr>
        <w:snapToGrid w:val="0"/>
        <w:spacing w:line="360" w:lineRule="auto"/>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二、《深圳经济特区政府采购条例实施细则》</w:t>
      </w:r>
    </w:p>
    <w:p>
      <w:pPr>
        <w:snapToGrid w:val="0"/>
        <w:spacing w:line="360" w:lineRule="auto"/>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第七十五条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napToGrid w:val="0"/>
        <w:spacing w:line="360" w:lineRule="auto"/>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第七十七条 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napToGrid w:val="0"/>
        <w:spacing w:line="360" w:lineRule="auto"/>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投标供应商不能提供项目负责人或者主要技术人员的劳动合同、社会保险等劳动关系证明材料的，视为存在前款第（三）项规定的情形。</w:t>
      </w:r>
    </w:p>
    <w:p>
      <w:pPr>
        <w:jc w:val="center"/>
        <w:outlineLvl w:val="0"/>
        <w:rPr>
          <w:rFonts w:ascii="宋体" w:hAnsi="宋体" w:cs="宋体"/>
          <w:b/>
          <w:bCs/>
          <w:color w:val="000000" w:themeColor="text1"/>
          <w:sz w:val="36"/>
          <w:szCs w:val="36"/>
          <w:highlight w:val="none"/>
          <w:lang w:val="zh-CN"/>
          <w14:textFill>
            <w14:solidFill>
              <w14:schemeClr w14:val="tx1"/>
            </w14:solidFill>
          </w14:textFill>
        </w:rPr>
      </w:pPr>
      <w:r>
        <w:rPr>
          <w:rFonts w:hint="eastAsia" w:ascii="宋体" w:hAnsi="宋体" w:cs="宋体"/>
          <w:b/>
          <w:bCs/>
          <w:color w:val="000000" w:themeColor="text1"/>
          <w:sz w:val="36"/>
          <w:szCs w:val="36"/>
          <w:highlight w:val="none"/>
          <w:lang w:val="zh-CN"/>
          <w14:textFill>
            <w14:solidFill>
              <w14:schemeClr w14:val="tx1"/>
            </w14:solidFill>
          </w14:textFill>
        </w:rPr>
        <w:br w:type="page"/>
      </w:r>
      <w:bookmarkStart w:id="1" w:name="_Toc20808"/>
      <w:r>
        <w:rPr>
          <w:rFonts w:hint="eastAsia" w:ascii="宋体" w:hAnsi="宋体" w:cs="宋体"/>
          <w:b/>
          <w:bCs/>
          <w:color w:val="000000" w:themeColor="text1"/>
          <w:sz w:val="36"/>
          <w:szCs w:val="36"/>
          <w:highlight w:val="none"/>
          <w:lang w:val="zh-CN"/>
          <w14:textFill>
            <w14:solidFill>
              <w14:schemeClr w14:val="tx1"/>
            </w14:solidFill>
          </w14:textFill>
        </w:rPr>
        <w:t>目录</w:t>
      </w:r>
      <w:bookmarkEnd w:id="0"/>
      <w:bookmarkEnd w:id="1"/>
    </w:p>
    <w:p>
      <w:pPr>
        <w:pStyle w:val="17"/>
        <w:tabs>
          <w:tab w:val="right" w:leader="dot" w:pos="8306"/>
        </w:tabs>
        <w:spacing w:line="480" w:lineRule="auto"/>
        <w:rPr>
          <w:b/>
          <w:bCs/>
          <w:color w:val="000000" w:themeColor="text1"/>
          <w:sz w:val="24"/>
          <w:szCs w:val="32"/>
          <w:highlight w:val="none"/>
          <w14:textFill>
            <w14:solidFill>
              <w14:schemeClr w14:val="tx1"/>
            </w14:solidFill>
          </w14:textFill>
        </w:rPr>
      </w:pPr>
    </w:p>
    <w:p>
      <w:pPr>
        <w:pStyle w:val="17"/>
        <w:tabs>
          <w:tab w:val="right" w:leader="dot" w:pos="8306"/>
        </w:tabs>
        <w:spacing w:line="360" w:lineRule="auto"/>
        <w:rPr>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fldChar w:fldCharType="begin"/>
      </w:r>
      <w:r>
        <w:rPr>
          <w:rFonts w:hint="eastAsia" w:ascii="宋体" w:hAnsi="宋体" w:cs="宋体"/>
          <w:b/>
          <w:bCs/>
          <w:color w:val="000000" w:themeColor="text1"/>
          <w:sz w:val="24"/>
          <w:highlight w:val="none"/>
          <w14:textFill>
            <w14:solidFill>
              <w14:schemeClr w14:val="tx1"/>
            </w14:solidFill>
          </w14:textFill>
        </w:rPr>
        <w:instrText xml:space="preserve">TOC \o "1-1" \h \u </w:instrText>
      </w:r>
      <w:r>
        <w:rPr>
          <w:rFonts w:hint="eastAsia" w:ascii="宋体" w:hAnsi="宋体" w:cs="宋体"/>
          <w:b/>
          <w:bCs/>
          <w:color w:val="000000" w:themeColor="text1"/>
          <w:sz w:val="24"/>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"_Toc17273" </w:instrText>
      </w:r>
      <w:r>
        <w:rPr>
          <w:color w:val="000000" w:themeColor="text1"/>
          <w:highlight w:val="none"/>
          <w14:textFill>
            <w14:solidFill>
              <w14:schemeClr w14:val="tx1"/>
            </w14:solidFill>
          </w14:textFill>
        </w:rPr>
        <w:fldChar w:fldCharType="separate"/>
      </w:r>
      <w:r>
        <w:rPr>
          <w:rFonts w:hint="eastAsia" w:ascii="宋体" w:hAnsi="宋体" w:cs="宋体"/>
          <w:b/>
          <w:bCs/>
          <w:color w:val="000000" w:themeColor="text1"/>
          <w:sz w:val="24"/>
          <w:highlight w:val="none"/>
          <w14:textFill>
            <w14:solidFill>
              <w14:schemeClr w14:val="tx1"/>
            </w14:solidFill>
          </w14:textFill>
        </w:rPr>
        <w:t>第一章 招标邀请书（招标公告）</w:t>
      </w:r>
      <w:r>
        <w:rPr>
          <w:b/>
          <w:bCs/>
          <w:color w:val="000000" w:themeColor="text1"/>
          <w:sz w:val="24"/>
          <w:highlight w:val="none"/>
          <w14:textFill>
            <w14:solidFill>
              <w14:schemeClr w14:val="tx1"/>
            </w14:solidFill>
          </w14:textFill>
        </w:rPr>
        <w:tab/>
      </w:r>
      <w:r>
        <w:rPr>
          <w:b/>
          <w:bCs/>
          <w:color w:val="000000" w:themeColor="text1"/>
          <w:sz w:val="24"/>
          <w:highlight w:val="none"/>
          <w14:textFill>
            <w14:solidFill>
              <w14:schemeClr w14:val="tx1"/>
            </w14:solidFill>
          </w14:textFill>
        </w:rPr>
        <w:fldChar w:fldCharType="begin"/>
      </w:r>
      <w:r>
        <w:rPr>
          <w:b/>
          <w:bCs/>
          <w:color w:val="000000" w:themeColor="text1"/>
          <w:sz w:val="24"/>
          <w:highlight w:val="none"/>
          <w14:textFill>
            <w14:solidFill>
              <w14:schemeClr w14:val="tx1"/>
            </w14:solidFill>
          </w14:textFill>
        </w:rPr>
        <w:instrText xml:space="preserve"> PAGEREF _Toc17273 \h </w:instrText>
      </w:r>
      <w:r>
        <w:rPr>
          <w:b/>
          <w:bCs/>
          <w:color w:val="000000" w:themeColor="text1"/>
          <w:sz w:val="24"/>
          <w:highlight w:val="none"/>
          <w14:textFill>
            <w14:solidFill>
              <w14:schemeClr w14:val="tx1"/>
            </w14:solidFill>
          </w14:textFill>
        </w:rPr>
        <w:fldChar w:fldCharType="separate"/>
      </w:r>
      <w:r>
        <w:rPr>
          <w:b/>
          <w:bCs/>
          <w:color w:val="000000" w:themeColor="text1"/>
          <w:sz w:val="24"/>
          <w:highlight w:val="none"/>
          <w14:textFill>
            <w14:solidFill>
              <w14:schemeClr w14:val="tx1"/>
            </w14:solidFill>
          </w14:textFill>
        </w:rPr>
        <w:t>5</w:t>
      </w:r>
      <w:r>
        <w:rPr>
          <w:b/>
          <w:bCs/>
          <w:color w:val="000000" w:themeColor="text1"/>
          <w:sz w:val="24"/>
          <w:highlight w:val="none"/>
          <w14:textFill>
            <w14:solidFill>
              <w14:schemeClr w14:val="tx1"/>
            </w14:solidFill>
          </w14:textFill>
        </w:rPr>
        <w:fldChar w:fldCharType="end"/>
      </w:r>
      <w:r>
        <w:rPr>
          <w:b/>
          <w:bCs/>
          <w:color w:val="000000" w:themeColor="text1"/>
          <w:sz w:val="24"/>
          <w:highlight w:val="none"/>
          <w14:textFill>
            <w14:solidFill>
              <w14:schemeClr w14:val="tx1"/>
            </w14:solidFill>
          </w14:textFill>
        </w:rPr>
        <w:fldChar w:fldCharType="end"/>
      </w:r>
    </w:p>
    <w:p>
      <w:pPr>
        <w:pStyle w:val="17"/>
        <w:tabs>
          <w:tab w:val="right" w:leader="dot" w:pos="8306"/>
        </w:tabs>
        <w:spacing w:line="360" w:lineRule="auto"/>
        <w:rPr>
          <w:b/>
          <w:bCs/>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"_Toc10214" </w:instrText>
      </w:r>
      <w:r>
        <w:rPr>
          <w:color w:val="000000" w:themeColor="text1"/>
          <w:highlight w:val="none"/>
          <w14:textFill>
            <w14:solidFill>
              <w14:schemeClr w14:val="tx1"/>
            </w14:solidFill>
          </w14:textFill>
        </w:rPr>
        <w:fldChar w:fldCharType="separate"/>
      </w:r>
      <w:r>
        <w:rPr>
          <w:rFonts w:hint="eastAsia" w:ascii="宋体" w:hAnsi="宋体" w:cs="宋体"/>
          <w:b/>
          <w:bCs/>
          <w:color w:val="000000" w:themeColor="text1"/>
          <w:sz w:val="24"/>
          <w:highlight w:val="none"/>
          <w14:textFill>
            <w14:solidFill>
              <w14:schemeClr w14:val="tx1"/>
            </w14:solidFill>
          </w14:textFill>
        </w:rPr>
        <w:t>第二章 投标须知</w:t>
      </w:r>
      <w:r>
        <w:rPr>
          <w:b/>
          <w:bCs/>
          <w:color w:val="000000" w:themeColor="text1"/>
          <w:sz w:val="24"/>
          <w:highlight w:val="none"/>
          <w14:textFill>
            <w14:solidFill>
              <w14:schemeClr w14:val="tx1"/>
            </w14:solidFill>
          </w14:textFill>
        </w:rPr>
        <w:tab/>
      </w:r>
      <w:r>
        <w:rPr>
          <w:b/>
          <w:bCs/>
          <w:color w:val="000000" w:themeColor="text1"/>
          <w:sz w:val="24"/>
          <w:highlight w:val="none"/>
          <w14:textFill>
            <w14:solidFill>
              <w14:schemeClr w14:val="tx1"/>
            </w14:solidFill>
          </w14:textFill>
        </w:rPr>
        <w:fldChar w:fldCharType="begin"/>
      </w:r>
      <w:r>
        <w:rPr>
          <w:b/>
          <w:bCs/>
          <w:color w:val="000000" w:themeColor="text1"/>
          <w:sz w:val="24"/>
          <w:highlight w:val="none"/>
          <w14:textFill>
            <w14:solidFill>
              <w14:schemeClr w14:val="tx1"/>
            </w14:solidFill>
          </w14:textFill>
        </w:rPr>
        <w:instrText xml:space="preserve"> PAGEREF _Toc10214 \h </w:instrText>
      </w:r>
      <w:r>
        <w:rPr>
          <w:b/>
          <w:bCs/>
          <w:color w:val="000000" w:themeColor="text1"/>
          <w:sz w:val="24"/>
          <w:highlight w:val="none"/>
          <w14:textFill>
            <w14:solidFill>
              <w14:schemeClr w14:val="tx1"/>
            </w14:solidFill>
          </w14:textFill>
        </w:rPr>
        <w:fldChar w:fldCharType="separate"/>
      </w:r>
      <w:r>
        <w:rPr>
          <w:b/>
          <w:bCs/>
          <w:color w:val="000000" w:themeColor="text1"/>
          <w:sz w:val="24"/>
          <w:highlight w:val="none"/>
          <w14:textFill>
            <w14:solidFill>
              <w14:schemeClr w14:val="tx1"/>
            </w14:solidFill>
          </w14:textFill>
        </w:rPr>
        <w:t>8</w:t>
      </w:r>
      <w:r>
        <w:rPr>
          <w:b/>
          <w:bCs/>
          <w:color w:val="000000" w:themeColor="text1"/>
          <w:sz w:val="24"/>
          <w:highlight w:val="none"/>
          <w14:textFill>
            <w14:solidFill>
              <w14:schemeClr w14:val="tx1"/>
            </w14:solidFill>
          </w14:textFill>
        </w:rPr>
        <w:fldChar w:fldCharType="end"/>
      </w:r>
      <w:r>
        <w:rPr>
          <w:b/>
          <w:bCs/>
          <w:color w:val="000000" w:themeColor="text1"/>
          <w:sz w:val="24"/>
          <w:highlight w:val="none"/>
          <w14:textFill>
            <w14:solidFill>
              <w14:schemeClr w14:val="tx1"/>
            </w14:solidFill>
          </w14:textFill>
        </w:rPr>
        <w:fldChar w:fldCharType="end"/>
      </w:r>
    </w:p>
    <w:p>
      <w:pPr>
        <w:pStyle w:val="17"/>
        <w:tabs>
          <w:tab w:val="right" w:leader="dot" w:pos="8306"/>
        </w:tabs>
        <w:spacing w:line="360" w:lineRule="auto"/>
        <w:rPr>
          <w:b/>
          <w:bCs/>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"_Toc20176" </w:instrText>
      </w:r>
      <w:r>
        <w:rPr>
          <w:color w:val="000000" w:themeColor="text1"/>
          <w:highlight w:val="none"/>
          <w14:textFill>
            <w14:solidFill>
              <w14:schemeClr w14:val="tx1"/>
            </w14:solidFill>
          </w14:textFill>
        </w:rPr>
        <w:fldChar w:fldCharType="separate"/>
      </w:r>
      <w:r>
        <w:rPr>
          <w:rFonts w:hint="eastAsia" w:ascii="宋体" w:hAnsi="宋体" w:cs="宋体"/>
          <w:b/>
          <w:bCs/>
          <w:color w:val="000000" w:themeColor="text1"/>
          <w:sz w:val="24"/>
          <w:highlight w:val="none"/>
          <w14:textFill>
            <w14:solidFill>
              <w14:schemeClr w14:val="tx1"/>
            </w14:solidFill>
          </w14:textFill>
        </w:rPr>
        <w:t>第三章 评标程序</w:t>
      </w:r>
      <w:r>
        <w:rPr>
          <w:b/>
          <w:bCs/>
          <w:color w:val="000000" w:themeColor="text1"/>
          <w:sz w:val="24"/>
          <w:highlight w:val="none"/>
          <w14:textFill>
            <w14:solidFill>
              <w14:schemeClr w14:val="tx1"/>
            </w14:solidFill>
          </w14:textFill>
        </w:rPr>
        <w:tab/>
      </w:r>
      <w:r>
        <w:rPr>
          <w:b/>
          <w:bCs/>
          <w:color w:val="000000" w:themeColor="text1"/>
          <w:sz w:val="24"/>
          <w:highlight w:val="none"/>
          <w14:textFill>
            <w14:solidFill>
              <w14:schemeClr w14:val="tx1"/>
            </w14:solidFill>
          </w14:textFill>
        </w:rPr>
        <w:fldChar w:fldCharType="begin"/>
      </w:r>
      <w:r>
        <w:rPr>
          <w:b/>
          <w:bCs/>
          <w:color w:val="000000" w:themeColor="text1"/>
          <w:sz w:val="24"/>
          <w:highlight w:val="none"/>
          <w14:textFill>
            <w14:solidFill>
              <w14:schemeClr w14:val="tx1"/>
            </w14:solidFill>
          </w14:textFill>
        </w:rPr>
        <w:instrText xml:space="preserve"> PAGEREF _Toc20176 \h </w:instrText>
      </w:r>
      <w:r>
        <w:rPr>
          <w:b/>
          <w:bCs/>
          <w:color w:val="000000" w:themeColor="text1"/>
          <w:sz w:val="24"/>
          <w:highlight w:val="none"/>
          <w14:textFill>
            <w14:solidFill>
              <w14:schemeClr w14:val="tx1"/>
            </w14:solidFill>
          </w14:textFill>
        </w:rPr>
        <w:fldChar w:fldCharType="separate"/>
      </w:r>
      <w:r>
        <w:rPr>
          <w:b/>
          <w:bCs/>
          <w:color w:val="000000" w:themeColor="text1"/>
          <w:sz w:val="24"/>
          <w:highlight w:val="none"/>
          <w14:textFill>
            <w14:solidFill>
              <w14:schemeClr w14:val="tx1"/>
            </w14:solidFill>
          </w14:textFill>
        </w:rPr>
        <w:t>11</w:t>
      </w:r>
      <w:r>
        <w:rPr>
          <w:b/>
          <w:bCs/>
          <w:color w:val="000000" w:themeColor="text1"/>
          <w:sz w:val="24"/>
          <w:highlight w:val="none"/>
          <w14:textFill>
            <w14:solidFill>
              <w14:schemeClr w14:val="tx1"/>
            </w14:solidFill>
          </w14:textFill>
        </w:rPr>
        <w:fldChar w:fldCharType="end"/>
      </w:r>
      <w:r>
        <w:rPr>
          <w:b/>
          <w:bCs/>
          <w:color w:val="000000" w:themeColor="text1"/>
          <w:sz w:val="24"/>
          <w:highlight w:val="none"/>
          <w14:textFill>
            <w14:solidFill>
              <w14:schemeClr w14:val="tx1"/>
            </w14:solidFill>
          </w14:textFill>
        </w:rPr>
        <w:fldChar w:fldCharType="end"/>
      </w:r>
    </w:p>
    <w:p>
      <w:pPr>
        <w:pStyle w:val="17"/>
        <w:tabs>
          <w:tab w:val="right" w:leader="dot" w:pos="8306"/>
        </w:tabs>
        <w:spacing w:line="360" w:lineRule="auto"/>
        <w:rPr>
          <w:b/>
          <w:bCs/>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"_Toc3567" </w:instrText>
      </w:r>
      <w:r>
        <w:rPr>
          <w:color w:val="000000" w:themeColor="text1"/>
          <w:highlight w:val="none"/>
          <w14:textFill>
            <w14:solidFill>
              <w14:schemeClr w14:val="tx1"/>
            </w14:solidFill>
          </w14:textFill>
        </w:rPr>
        <w:fldChar w:fldCharType="separate"/>
      </w:r>
      <w:r>
        <w:rPr>
          <w:rFonts w:hint="eastAsia" w:ascii="宋体" w:hAnsi="宋体" w:cs="宋体"/>
          <w:b/>
          <w:bCs/>
          <w:color w:val="000000" w:themeColor="text1"/>
          <w:sz w:val="24"/>
          <w:highlight w:val="none"/>
          <w14:textFill>
            <w14:solidFill>
              <w14:schemeClr w14:val="tx1"/>
            </w14:solidFill>
          </w14:textFill>
        </w:rPr>
        <w:t>第四章 合同格式及合同条款</w:t>
      </w:r>
      <w:r>
        <w:rPr>
          <w:b/>
          <w:bCs/>
          <w:color w:val="000000" w:themeColor="text1"/>
          <w:sz w:val="24"/>
          <w:highlight w:val="none"/>
          <w14:textFill>
            <w14:solidFill>
              <w14:schemeClr w14:val="tx1"/>
            </w14:solidFill>
          </w14:textFill>
        </w:rPr>
        <w:tab/>
      </w:r>
      <w:r>
        <w:rPr>
          <w:b/>
          <w:bCs/>
          <w:color w:val="000000" w:themeColor="text1"/>
          <w:sz w:val="24"/>
          <w:highlight w:val="none"/>
          <w14:textFill>
            <w14:solidFill>
              <w14:schemeClr w14:val="tx1"/>
            </w14:solidFill>
          </w14:textFill>
        </w:rPr>
        <w:fldChar w:fldCharType="begin"/>
      </w:r>
      <w:r>
        <w:rPr>
          <w:b/>
          <w:bCs/>
          <w:color w:val="000000" w:themeColor="text1"/>
          <w:sz w:val="24"/>
          <w:highlight w:val="none"/>
          <w14:textFill>
            <w14:solidFill>
              <w14:schemeClr w14:val="tx1"/>
            </w14:solidFill>
          </w14:textFill>
        </w:rPr>
        <w:instrText xml:space="preserve"> PAGEREF _Toc3567 \h </w:instrText>
      </w:r>
      <w:r>
        <w:rPr>
          <w:b/>
          <w:bCs/>
          <w:color w:val="000000" w:themeColor="text1"/>
          <w:sz w:val="24"/>
          <w:highlight w:val="none"/>
          <w14:textFill>
            <w14:solidFill>
              <w14:schemeClr w14:val="tx1"/>
            </w14:solidFill>
          </w14:textFill>
        </w:rPr>
        <w:fldChar w:fldCharType="separate"/>
      </w:r>
      <w:r>
        <w:rPr>
          <w:b/>
          <w:bCs/>
          <w:color w:val="000000" w:themeColor="text1"/>
          <w:sz w:val="24"/>
          <w:highlight w:val="none"/>
          <w14:textFill>
            <w14:solidFill>
              <w14:schemeClr w14:val="tx1"/>
            </w14:solidFill>
          </w14:textFill>
        </w:rPr>
        <w:t>13</w:t>
      </w:r>
      <w:r>
        <w:rPr>
          <w:b/>
          <w:bCs/>
          <w:color w:val="000000" w:themeColor="text1"/>
          <w:sz w:val="24"/>
          <w:highlight w:val="none"/>
          <w14:textFill>
            <w14:solidFill>
              <w14:schemeClr w14:val="tx1"/>
            </w14:solidFill>
          </w14:textFill>
        </w:rPr>
        <w:fldChar w:fldCharType="end"/>
      </w:r>
      <w:r>
        <w:rPr>
          <w:b/>
          <w:bCs/>
          <w:color w:val="000000" w:themeColor="text1"/>
          <w:sz w:val="24"/>
          <w:highlight w:val="none"/>
          <w14:textFill>
            <w14:solidFill>
              <w14:schemeClr w14:val="tx1"/>
            </w14:solidFill>
          </w14:textFill>
        </w:rPr>
        <w:fldChar w:fldCharType="end"/>
      </w:r>
    </w:p>
    <w:p>
      <w:pPr>
        <w:pStyle w:val="17"/>
        <w:tabs>
          <w:tab w:val="right" w:leader="dot" w:pos="8306"/>
        </w:tabs>
        <w:spacing w:line="360" w:lineRule="auto"/>
        <w:rPr>
          <w:b/>
          <w:bCs/>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"_Toc25518" </w:instrText>
      </w:r>
      <w:r>
        <w:rPr>
          <w:color w:val="000000" w:themeColor="text1"/>
          <w:highlight w:val="none"/>
          <w14:textFill>
            <w14:solidFill>
              <w14:schemeClr w14:val="tx1"/>
            </w14:solidFill>
          </w14:textFill>
        </w:rPr>
        <w:fldChar w:fldCharType="separate"/>
      </w:r>
      <w:r>
        <w:rPr>
          <w:rFonts w:hint="eastAsia" w:ascii="宋体" w:hAnsi="宋体" w:cs="宋体"/>
          <w:b/>
          <w:bCs/>
          <w:color w:val="000000" w:themeColor="text1"/>
          <w:sz w:val="24"/>
          <w:highlight w:val="none"/>
          <w14:textFill>
            <w14:solidFill>
              <w14:schemeClr w14:val="tx1"/>
            </w14:solidFill>
          </w14:textFill>
        </w:rPr>
        <w:t>第五章 用户需求书</w:t>
      </w:r>
      <w:r>
        <w:rPr>
          <w:b/>
          <w:bCs/>
          <w:color w:val="000000" w:themeColor="text1"/>
          <w:sz w:val="24"/>
          <w:highlight w:val="none"/>
          <w14:textFill>
            <w14:solidFill>
              <w14:schemeClr w14:val="tx1"/>
            </w14:solidFill>
          </w14:textFill>
        </w:rPr>
        <w:tab/>
      </w:r>
      <w:r>
        <w:rPr>
          <w:b/>
          <w:bCs/>
          <w:color w:val="000000" w:themeColor="text1"/>
          <w:sz w:val="24"/>
          <w:highlight w:val="none"/>
          <w14:textFill>
            <w14:solidFill>
              <w14:schemeClr w14:val="tx1"/>
            </w14:solidFill>
          </w14:textFill>
        </w:rPr>
        <w:fldChar w:fldCharType="begin"/>
      </w:r>
      <w:r>
        <w:rPr>
          <w:b/>
          <w:bCs/>
          <w:color w:val="000000" w:themeColor="text1"/>
          <w:sz w:val="24"/>
          <w:highlight w:val="none"/>
          <w14:textFill>
            <w14:solidFill>
              <w14:schemeClr w14:val="tx1"/>
            </w14:solidFill>
          </w14:textFill>
        </w:rPr>
        <w:instrText xml:space="preserve"> PAGEREF _Toc25518 \h </w:instrText>
      </w:r>
      <w:r>
        <w:rPr>
          <w:b/>
          <w:bCs/>
          <w:color w:val="000000" w:themeColor="text1"/>
          <w:sz w:val="24"/>
          <w:highlight w:val="none"/>
          <w14:textFill>
            <w14:solidFill>
              <w14:schemeClr w14:val="tx1"/>
            </w14:solidFill>
          </w14:textFill>
        </w:rPr>
        <w:fldChar w:fldCharType="separate"/>
      </w:r>
      <w:r>
        <w:rPr>
          <w:b/>
          <w:bCs/>
          <w:color w:val="000000" w:themeColor="text1"/>
          <w:sz w:val="24"/>
          <w:highlight w:val="none"/>
          <w14:textFill>
            <w14:solidFill>
              <w14:schemeClr w14:val="tx1"/>
            </w14:solidFill>
          </w14:textFill>
        </w:rPr>
        <w:t>27</w:t>
      </w:r>
      <w:r>
        <w:rPr>
          <w:b/>
          <w:bCs/>
          <w:color w:val="000000" w:themeColor="text1"/>
          <w:sz w:val="24"/>
          <w:highlight w:val="none"/>
          <w14:textFill>
            <w14:solidFill>
              <w14:schemeClr w14:val="tx1"/>
            </w14:solidFill>
          </w14:textFill>
        </w:rPr>
        <w:fldChar w:fldCharType="end"/>
      </w:r>
      <w:r>
        <w:rPr>
          <w:b/>
          <w:bCs/>
          <w:color w:val="000000" w:themeColor="text1"/>
          <w:sz w:val="24"/>
          <w:highlight w:val="none"/>
          <w14:textFill>
            <w14:solidFill>
              <w14:schemeClr w14:val="tx1"/>
            </w14:solidFill>
          </w14:textFill>
        </w:rPr>
        <w:fldChar w:fldCharType="end"/>
      </w:r>
    </w:p>
    <w:p>
      <w:pPr>
        <w:pStyle w:val="17"/>
        <w:tabs>
          <w:tab w:val="right" w:leader="dot" w:pos="8306"/>
        </w:tabs>
        <w:spacing w:line="360" w:lineRule="auto"/>
        <w:rPr>
          <w:b/>
          <w:bCs/>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"_Toc23822" </w:instrText>
      </w:r>
      <w:r>
        <w:rPr>
          <w:color w:val="000000" w:themeColor="text1"/>
          <w:highlight w:val="none"/>
          <w14:textFill>
            <w14:solidFill>
              <w14:schemeClr w14:val="tx1"/>
            </w14:solidFill>
          </w14:textFill>
        </w:rPr>
        <w:fldChar w:fldCharType="separate"/>
      </w:r>
      <w:r>
        <w:rPr>
          <w:rFonts w:hint="eastAsia" w:ascii="宋体" w:cs="宋体"/>
          <w:b/>
          <w:bCs/>
          <w:color w:val="000000" w:themeColor="text1"/>
          <w:sz w:val="24"/>
          <w:highlight w:val="none"/>
          <w14:textFill>
            <w14:solidFill>
              <w14:schemeClr w14:val="tx1"/>
            </w14:solidFill>
          </w14:textFill>
        </w:rPr>
        <w:t>第六章 投标文件初审及招标项目评分表</w:t>
      </w:r>
      <w:r>
        <w:rPr>
          <w:b/>
          <w:bCs/>
          <w:color w:val="000000" w:themeColor="text1"/>
          <w:sz w:val="24"/>
          <w:highlight w:val="none"/>
          <w14:textFill>
            <w14:solidFill>
              <w14:schemeClr w14:val="tx1"/>
            </w14:solidFill>
          </w14:textFill>
        </w:rPr>
        <w:tab/>
      </w:r>
      <w:r>
        <w:rPr>
          <w:b/>
          <w:bCs/>
          <w:color w:val="000000" w:themeColor="text1"/>
          <w:sz w:val="24"/>
          <w:highlight w:val="none"/>
          <w14:textFill>
            <w14:solidFill>
              <w14:schemeClr w14:val="tx1"/>
            </w14:solidFill>
          </w14:textFill>
        </w:rPr>
        <w:fldChar w:fldCharType="begin"/>
      </w:r>
      <w:r>
        <w:rPr>
          <w:b/>
          <w:bCs/>
          <w:color w:val="000000" w:themeColor="text1"/>
          <w:sz w:val="24"/>
          <w:highlight w:val="none"/>
          <w14:textFill>
            <w14:solidFill>
              <w14:schemeClr w14:val="tx1"/>
            </w14:solidFill>
          </w14:textFill>
        </w:rPr>
        <w:instrText xml:space="preserve"> PAGEREF _Toc23822 \h </w:instrText>
      </w:r>
      <w:r>
        <w:rPr>
          <w:b/>
          <w:bCs/>
          <w:color w:val="000000" w:themeColor="text1"/>
          <w:sz w:val="24"/>
          <w:highlight w:val="none"/>
          <w14:textFill>
            <w14:solidFill>
              <w14:schemeClr w14:val="tx1"/>
            </w14:solidFill>
          </w14:textFill>
        </w:rPr>
        <w:fldChar w:fldCharType="separate"/>
      </w:r>
      <w:r>
        <w:rPr>
          <w:b/>
          <w:bCs/>
          <w:color w:val="000000" w:themeColor="text1"/>
          <w:sz w:val="24"/>
          <w:highlight w:val="none"/>
          <w14:textFill>
            <w14:solidFill>
              <w14:schemeClr w14:val="tx1"/>
            </w14:solidFill>
          </w14:textFill>
        </w:rPr>
        <w:t>35</w:t>
      </w:r>
      <w:r>
        <w:rPr>
          <w:b/>
          <w:bCs/>
          <w:color w:val="000000" w:themeColor="text1"/>
          <w:sz w:val="24"/>
          <w:highlight w:val="none"/>
          <w14:textFill>
            <w14:solidFill>
              <w14:schemeClr w14:val="tx1"/>
            </w14:solidFill>
          </w14:textFill>
        </w:rPr>
        <w:fldChar w:fldCharType="end"/>
      </w:r>
      <w:r>
        <w:rPr>
          <w:b/>
          <w:bCs/>
          <w:color w:val="000000" w:themeColor="text1"/>
          <w:sz w:val="24"/>
          <w:highlight w:val="none"/>
          <w14:textFill>
            <w14:solidFill>
              <w14:schemeClr w14:val="tx1"/>
            </w14:solidFill>
          </w14:textFill>
        </w:rPr>
        <w:fldChar w:fldCharType="end"/>
      </w:r>
    </w:p>
    <w:p>
      <w:pPr>
        <w:pStyle w:val="17"/>
        <w:tabs>
          <w:tab w:val="right" w:leader="dot" w:pos="8306"/>
        </w:tabs>
        <w:spacing w:line="360" w:lineRule="auto"/>
        <w:rPr>
          <w:b/>
          <w:bCs/>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"_Toc9548" </w:instrText>
      </w:r>
      <w:r>
        <w:rPr>
          <w:color w:val="000000" w:themeColor="text1"/>
          <w:highlight w:val="none"/>
          <w14:textFill>
            <w14:solidFill>
              <w14:schemeClr w14:val="tx1"/>
            </w14:solidFill>
          </w14:textFill>
        </w:rPr>
        <w:fldChar w:fldCharType="separate"/>
      </w:r>
      <w:r>
        <w:rPr>
          <w:rFonts w:hint="eastAsia" w:ascii="宋体" w:hAnsi="宋体" w:cs="宋体"/>
          <w:b/>
          <w:bCs/>
          <w:color w:val="000000" w:themeColor="text1"/>
          <w:sz w:val="24"/>
          <w:highlight w:val="none"/>
          <w14:textFill>
            <w14:solidFill>
              <w14:schemeClr w14:val="tx1"/>
            </w14:solidFill>
          </w14:textFill>
        </w:rPr>
        <w:t>第七章 附件（投标文件格式）</w:t>
      </w:r>
      <w:r>
        <w:rPr>
          <w:b/>
          <w:bCs/>
          <w:color w:val="000000" w:themeColor="text1"/>
          <w:sz w:val="24"/>
          <w:highlight w:val="none"/>
          <w14:textFill>
            <w14:solidFill>
              <w14:schemeClr w14:val="tx1"/>
            </w14:solidFill>
          </w14:textFill>
        </w:rPr>
        <w:tab/>
      </w:r>
      <w:r>
        <w:rPr>
          <w:b/>
          <w:bCs/>
          <w:color w:val="000000" w:themeColor="text1"/>
          <w:sz w:val="24"/>
          <w:highlight w:val="none"/>
          <w14:textFill>
            <w14:solidFill>
              <w14:schemeClr w14:val="tx1"/>
            </w14:solidFill>
          </w14:textFill>
        </w:rPr>
        <w:fldChar w:fldCharType="begin"/>
      </w:r>
      <w:r>
        <w:rPr>
          <w:b/>
          <w:bCs/>
          <w:color w:val="000000" w:themeColor="text1"/>
          <w:sz w:val="24"/>
          <w:highlight w:val="none"/>
          <w14:textFill>
            <w14:solidFill>
              <w14:schemeClr w14:val="tx1"/>
            </w14:solidFill>
          </w14:textFill>
        </w:rPr>
        <w:instrText xml:space="preserve"> PAGEREF _Toc9548 \h </w:instrText>
      </w:r>
      <w:r>
        <w:rPr>
          <w:b/>
          <w:bCs/>
          <w:color w:val="000000" w:themeColor="text1"/>
          <w:sz w:val="24"/>
          <w:highlight w:val="none"/>
          <w14:textFill>
            <w14:solidFill>
              <w14:schemeClr w14:val="tx1"/>
            </w14:solidFill>
          </w14:textFill>
        </w:rPr>
        <w:fldChar w:fldCharType="separate"/>
      </w:r>
      <w:r>
        <w:rPr>
          <w:b/>
          <w:bCs/>
          <w:color w:val="000000" w:themeColor="text1"/>
          <w:sz w:val="24"/>
          <w:highlight w:val="none"/>
          <w14:textFill>
            <w14:solidFill>
              <w14:schemeClr w14:val="tx1"/>
            </w14:solidFill>
          </w14:textFill>
        </w:rPr>
        <w:t>43</w:t>
      </w:r>
      <w:r>
        <w:rPr>
          <w:b/>
          <w:bCs/>
          <w:color w:val="000000" w:themeColor="text1"/>
          <w:sz w:val="24"/>
          <w:highlight w:val="none"/>
          <w14:textFill>
            <w14:solidFill>
              <w14:schemeClr w14:val="tx1"/>
            </w14:solidFill>
          </w14:textFill>
        </w:rPr>
        <w:fldChar w:fldCharType="end"/>
      </w:r>
      <w:r>
        <w:rPr>
          <w:b/>
          <w:bCs/>
          <w:color w:val="000000" w:themeColor="text1"/>
          <w:sz w:val="24"/>
          <w:highlight w:val="none"/>
          <w14:textFill>
            <w14:solidFill>
              <w14:schemeClr w14:val="tx1"/>
            </w14:solidFill>
          </w14:textFill>
        </w:rPr>
        <w:fldChar w:fldCharType="end"/>
      </w:r>
    </w:p>
    <w:p>
      <w:pPr>
        <w:pStyle w:val="17"/>
        <w:tabs>
          <w:tab w:val="right" w:leader="dot" w:pos="8306"/>
        </w:tabs>
        <w:spacing w:line="360" w:lineRule="auto"/>
        <w:rPr>
          <w:b/>
          <w:bCs/>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"_Toc742" </w:instrText>
      </w:r>
      <w:r>
        <w:rPr>
          <w:color w:val="000000" w:themeColor="text1"/>
          <w:highlight w:val="none"/>
          <w14:textFill>
            <w14:solidFill>
              <w14:schemeClr w14:val="tx1"/>
            </w14:solidFill>
          </w14:textFill>
        </w:rPr>
        <w:fldChar w:fldCharType="separate"/>
      </w:r>
      <w:r>
        <w:rPr>
          <w:rFonts w:hint="eastAsia" w:ascii="宋体" w:hAnsi="宋体" w:cs="宋体"/>
          <w:b/>
          <w:bCs/>
          <w:color w:val="000000" w:themeColor="text1"/>
          <w:sz w:val="24"/>
          <w:highlight w:val="none"/>
          <w14:textFill>
            <w14:solidFill>
              <w14:schemeClr w14:val="tx1"/>
            </w14:solidFill>
          </w14:textFill>
        </w:rPr>
        <w:t>附件：相关政策</w:t>
      </w:r>
      <w:r>
        <w:rPr>
          <w:b/>
          <w:bCs/>
          <w:color w:val="000000" w:themeColor="text1"/>
          <w:sz w:val="24"/>
          <w:highlight w:val="none"/>
          <w14:textFill>
            <w14:solidFill>
              <w14:schemeClr w14:val="tx1"/>
            </w14:solidFill>
          </w14:textFill>
        </w:rPr>
        <w:tab/>
      </w:r>
      <w:r>
        <w:rPr>
          <w:b/>
          <w:bCs/>
          <w:color w:val="000000" w:themeColor="text1"/>
          <w:sz w:val="24"/>
          <w:highlight w:val="none"/>
          <w14:textFill>
            <w14:solidFill>
              <w14:schemeClr w14:val="tx1"/>
            </w14:solidFill>
          </w14:textFill>
        </w:rPr>
        <w:fldChar w:fldCharType="begin"/>
      </w:r>
      <w:r>
        <w:rPr>
          <w:b/>
          <w:bCs/>
          <w:color w:val="000000" w:themeColor="text1"/>
          <w:sz w:val="24"/>
          <w:highlight w:val="none"/>
          <w14:textFill>
            <w14:solidFill>
              <w14:schemeClr w14:val="tx1"/>
            </w14:solidFill>
          </w14:textFill>
        </w:rPr>
        <w:instrText xml:space="preserve"> PAGEREF _Toc742 \h </w:instrText>
      </w:r>
      <w:r>
        <w:rPr>
          <w:b/>
          <w:bCs/>
          <w:color w:val="000000" w:themeColor="text1"/>
          <w:sz w:val="24"/>
          <w:highlight w:val="none"/>
          <w14:textFill>
            <w14:solidFill>
              <w14:schemeClr w14:val="tx1"/>
            </w14:solidFill>
          </w14:textFill>
        </w:rPr>
        <w:fldChar w:fldCharType="separate"/>
      </w:r>
      <w:r>
        <w:rPr>
          <w:b/>
          <w:bCs/>
          <w:color w:val="000000" w:themeColor="text1"/>
          <w:sz w:val="24"/>
          <w:highlight w:val="none"/>
          <w14:textFill>
            <w14:solidFill>
              <w14:schemeClr w14:val="tx1"/>
            </w14:solidFill>
          </w14:textFill>
        </w:rPr>
        <w:t>62</w:t>
      </w:r>
      <w:r>
        <w:rPr>
          <w:b/>
          <w:bCs/>
          <w:color w:val="000000" w:themeColor="text1"/>
          <w:sz w:val="24"/>
          <w:highlight w:val="none"/>
          <w14:textFill>
            <w14:solidFill>
              <w14:schemeClr w14:val="tx1"/>
            </w14:solidFill>
          </w14:textFill>
        </w:rPr>
        <w:fldChar w:fldCharType="end"/>
      </w:r>
      <w:r>
        <w:rPr>
          <w:b/>
          <w:bCs/>
          <w:color w:val="000000" w:themeColor="text1"/>
          <w:sz w:val="24"/>
          <w:highlight w:val="none"/>
          <w14:textFill>
            <w14:solidFill>
              <w14:schemeClr w14:val="tx1"/>
            </w14:solidFill>
          </w14:textFill>
        </w:rPr>
        <w:fldChar w:fldCharType="end"/>
      </w:r>
    </w:p>
    <w:p>
      <w:pPr>
        <w:pStyle w:val="17"/>
        <w:tabs>
          <w:tab w:val="right" w:leader="dot" w:pos="8306"/>
        </w:tabs>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fldChar w:fldCharType="end"/>
      </w:r>
    </w:p>
    <w:p>
      <w:pPr>
        <w:spacing w:line="360" w:lineRule="auto"/>
        <w:rPr>
          <w:color w:val="000000" w:themeColor="text1"/>
          <w:highlight w:val="none"/>
          <w14:textFill>
            <w14:solidFill>
              <w14:schemeClr w14:val="tx1"/>
            </w14:solidFill>
          </w14:textFill>
        </w:rPr>
      </w:pPr>
    </w:p>
    <w:p>
      <w:pPr>
        <w:numPr>
          <w:ilvl w:val="0"/>
          <w:numId w:val="1"/>
        </w:numPr>
        <w:spacing w:line="360" w:lineRule="auto"/>
        <w:jc w:val="center"/>
        <w:outlineLvl w:val="0"/>
        <w:rPr>
          <w:rFonts w:ascii="宋体" w:hAnsi="宋体" w:cs="宋体"/>
          <w:b/>
          <w:bCs/>
          <w:color w:val="000000" w:themeColor="text1"/>
          <w:sz w:val="24"/>
          <w:highlight w:val="none"/>
          <w14:textFill>
            <w14:solidFill>
              <w14:schemeClr w14:val="tx1"/>
            </w14:solidFill>
          </w14:textFill>
        </w:rPr>
      </w:pPr>
      <w:r>
        <w:rPr>
          <w:rFonts w:ascii="宋体"/>
          <w:b/>
          <w:bCs/>
          <w:color w:val="000000" w:themeColor="text1"/>
          <w:sz w:val="32"/>
          <w:szCs w:val="28"/>
          <w:highlight w:val="none"/>
          <w14:textFill>
            <w14:solidFill>
              <w14:schemeClr w14:val="tx1"/>
            </w14:solidFill>
          </w14:textFill>
        </w:rPr>
        <w:br w:type="page"/>
      </w:r>
      <w:r>
        <w:rPr>
          <w:rFonts w:hint="eastAsia" w:ascii="宋体"/>
          <w:b/>
          <w:bCs/>
          <w:color w:val="000000" w:themeColor="text1"/>
          <w:sz w:val="32"/>
          <w:szCs w:val="28"/>
          <w:highlight w:val="none"/>
          <w14:textFill>
            <w14:solidFill>
              <w14:schemeClr w14:val="tx1"/>
            </w14:solidFill>
          </w14:textFill>
        </w:rPr>
        <w:t xml:space="preserve"> </w:t>
      </w:r>
      <w:bookmarkStart w:id="2" w:name="_Toc17273"/>
      <w:r>
        <w:rPr>
          <w:rFonts w:hint="eastAsia" w:ascii="宋体" w:hAnsi="宋体" w:cs="宋体"/>
          <w:b/>
          <w:bCs/>
          <w:color w:val="000000" w:themeColor="text1"/>
          <w:sz w:val="24"/>
          <w:highlight w:val="none"/>
          <w14:textFill>
            <w14:solidFill>
              <w14:schemeClr w14:val="tx1"/>
            </w14:solidFill>
          </w14:textFill>
        </w:rPr>
        <w:t>招标邀请书（招标公告）</w:t>
      </w:r>
      <w:bookmarkEnd w:id="2"/>
    </w:p>
    <w:p>
      <w:pPr>
        <w:spacing w:line="360" w:lineRule="auto"/>
        <w:ind w:firstLine="480" w:firstLineChars="20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文件编码:0722-2023FE</w:t>
      </w:r>
      <w:r>
        <w:rPr>
          <w:rFonts w:hint="eastAsia" w:ascii="宋体" w:hAnsi="宋体" w:cs="宋体"/>
          <w:color w:val="000000" w:themeColor="text1"/>
          <w:sz w:val="24"/>
          <w:highlight w:val="none"/>
          <w:lang w:val="en-US" w:eastAsia="zh-CN"/>
          <w14:textFill>
            <w14:solidFill>
              <w14:schemeClr w14:val="tx1"/>
            </w14:solidFill>
          </w14:textFill>
        </w:rPr>
        <w:t>5279</w:t>
      </w:r>
      <w:r>
        <w:rPr>
          <w:rFonts w:hint="eastAsia" w:ascii="宋体" w:hAnsi="宋体" w:cs="宋体"/>
          <w:color w:val="000000" w:themeColor="text1"/>
          <w:sz w:val="24"/>
          <w:highlight w:val="none"/>
          <w14:textFill>
            <w14:solidFill>
              <w14:schemeClr w14:val="tx1"/>
            </w14:solidFill>
          </w14:textFill>
        </w:rPr>
        <w:t>SZF-1</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中国远东国际招标有限公司（以下简称采购代理机构）受深圳市前海深港现代服务业合作区管理局委托就</w:t>
      </w:r>
      <w:r>
        <w:rPr>
          <w:rFonts w:hint="eastAsia" w:ascii="宋体" w:hAnsi="宋体" w:cs="宋体"/>
          <w:color w:val="000000" w:themeColor="text1"/>
          <w:sz w:val="24"/>
          <w:highlight w:val="none"/>
          <w:u w:val="single"/>
          <w14:textFill>
            <w14:solidFill>
              <w14:schemeClr w14:val="tx1"/>
            </w14:solidFill>
          </w14:textFill>
        </w:rPr>
        <w:t>2023年度“前海工匠”培育与评选活动项目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QH2023126</w:t>
      </w:r>
      <w:r>
        <w:rPr>
          <w:rFonts w:hint="eastAsia" w:ascii="宋体" w:hAnsi="宋体" w:cs="宋体"/>
          <w:color w:val="000000" w:themeColor="text1"/>
          <w:sz w:val="24"/>
          <w:highlight w:val="none"/>
          <w14:textFill>
            <w14:solidFill>
              <w14:schemeClr w14:val="tx1"/>
            </w14:solidFill>
          </w14:textFill>
        </w:rPr>
        <w:t>）”采用简易招标方式采购，欢迎符合投标人资格要求的专业供应商积极参加投标。</w:t>
      </w:r>
    </w:p>
    <w:tbl>
      <w:tblPr>
        <w:tblStyle w:val="24"/>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招标编号</w:t>
            </w:r>
          </w:p>
        </w:tc>
        <w:tc>
          <w:tcPr>
            <w:tcW w:w="7015" w:type="dxa"/>
            <w:vAlign w:val="center"/>
          </w:tcPr>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QH2023126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招标项目名称</w:t>
            </w:r>
          </w:p>
        </w:tc>
        <w:tc>
          <w:tcPr>
            <w:tcW w:w="7015" w:type="dxa"/>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2023年度“前海工匠”培育与评选活动项目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标的内容</w:t>
            </w:r>
          </w:p>
        </w:tc>
        <w:tc>
          <w:tcPr>
            <w:tcW w:w="7015" w:type="dxa"/>
            <w:vAlign w:val="center"/>
          </w:tcPr>
          <w:p>
            <w:pPr>
              <w:spacing w:line="360" w:lineRule="auto"/>
              <w:rPr>
                <w:color w:val="000000" w:themeColor="text1"/>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为进一步落实高质量发展要求，推动前海建设工程质量品质提升，通过针对一线技术人员开展劳动专业技能培训，提高施工现场作业人员专业技能水平</w:t>
            </w:r>
            <w:r>
              <w:rPr>
                <w:rFonts w:hint="default"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大力弘扬“精雕细琢、精耕细作”工匠文化，发挥优秀技能人才的示范引领作用，营造建设工程前海质量品牌氛围，为确保前海建设提供有力保障</w:t>
            </w:r>
            <w:r>
              <w:rPr>
                <w:rFonts w:hint="eastAsia" w:ascii="宋体" w:hAnsi="宋体" w:cs="宋体"/>
                <w:color w:val="000000" w:themeColor="text1"/>
                <w:sz w:val="24"/>
                <w:highlight w:val="none"/>
                <w14:textFill>
                  <w14:solidFill>
                    <w14:schemeClr w14:val="tx1"/>
                  </w14:solidFill>
                </w14:textFill>
              </w:rPr>
              <w:t>。具体详见用户需求书。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项目预算</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（最高限价）</w:t>
            </w:r>
          </w:p>
        </w:tc>
        <w:tc>
          <w:tcPr>
            <w:tcW w:w="7015" w:type="dxa"/>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default"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0,000.00（人民币叁拾万元整）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标书获得办法</w:t>
            </w:r>
          </w:p>
        </w:tc>
        <w:tc>
          <w:tcPr>
            <w:tcW w:w="7015" w:type="dxa"/>
            <w:vAlign w:val="center"/>
          </w:tcPr>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4" w:hRule="atLeast"/>
          <w:jc w:val="center"/>
        </w:trPr>
        <w:tc>
          <w:tcPr>
            <w:tcW w:w="1676"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本项目所属行业</w:t>
            </w:r>
          </w:p>
        </w:tc>
        <w:tc>
          <w:tcPr>
            <w:tcW w:w="7015" w:type="dxa"/>
            <w:vAlign w:val="center"/>
          </w:tcPr>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报名方式</w:t>
            </w:r>
          </w:p>
        </w:tc>
        <w:tc>
          <w:tcPr>
            <w:tcW w:w="7015" w:type="dxa"/>
            <w:vAlign w:val="center"/>
          </w:tcPr>
          <w:p>
            <w:pPr>
              <w:adjustRightInd w:val="0"/>
              <w:snapToGrid w:val="0"/>
              <w:spacing w:line="360" w:lineRule="auto"/>
              <w:jc w:val="left"/>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将投标文件密封并在</w:t>
            </w:r>
            <w:r>
              <w:rPr>
                <w:rFonts w:hint="eastAsia" w:ascii="宋体" w:hAnsi="宋体" w:cs="宋体"/>
                <w:b/>
                <w:bCs/>
                <w:color w:val="000000" w:themeColor="text1"/>
                <w:kern w:val="0"/>
                <w:sz w:val="24"/>
                <w:highlight w:val="none"/>
                <w14:textFill>
                  <w14:solidFill>
                    <w14:schemeClr w14:val="tx1"/>
                  </w14:solidFill>
                </w14:textFill>
              </w:rPr>
              <w:t>2023年</w:t>
            </w:r>
            <w:r>
              <w:rPr>
                <w:rFonts w:hint="eastAsia" w:ascii="宋体" w:hAnsi="宋体" w:cs="宋体"/>
                <w:b/>
                <w:bCs/>
                <w:color w:val="000000" w:themeColor="text1"/>
                <w:kern w:val="0"/>
                <w:sz w:val="24"/>
                <w:highlight w:val="none"/>
                <w:lang w:val="en-US" w:eastAsia="zh-CN"/>
                <w14:textFill>
                  <w14:solidFill>
                    <w14:schemeClr w14:val="tx1"/>
                  </w14:solidFill>
                </w14:textFill>
              </w:rPr>
              <w:t>11</w:t>
            </w:r>
            <w:r>
              <w:rPr>
                <w:rFonts w:hint="eastAsia" w:ascii="宋体" w:hAnsi="宋体" w:cs="宋体"/>
                <w:b/>
                <w:bCs/>
                <w:color w:val="000000" w:themeColor="text1"/>
                <w:kern w:val="0"/>
                <w:sz w:val="24"/>
                <w:highlight w:val="none"/>
                <w14:textFill>
                  <w14:solidFill>
                    <w14:schemeClr w14:val="tx1"/>
                  </w14:solidFill>
                </w14:textFill>
              </w:rPr>
              <w:t>月</w:t>
            </w:r>
            <w:r>
              <w:rPr>
                <w:rFonts w:hint="default" w:ascii="宋体" w:hAnsi="宋体" w:cs="宋体"/>
                <w:b/>
                <w:bCs/>
                <w:color w:val="000000" w:themeColor="text1"/>
                <w:kern w:val="0"/>
                <w:sz w:val="24"/>
                <w:highlight w:val="none"/>
                <w:lang w:eastAsia="zh-CN"/>
                <w14:textFill>
                  <w14:solidFill>
                    <w14:schemeClr w14:val="tx1"/>
                  </w14:solidFill>
                </w14:textFill>
              </w:rPr>
              <w:t>2</w:t>
            </w:r>
            <w:r>
              <w:rPr>
                <w:rFonts w:hint="eastAsia" w:ascii="宋体" w:hAnsi="宋体" w:cs="宋体"/>
                <w:b/>
                <w:bCs/>
                <w:color w:val="000000" w:themeColor="text1"/>
                <w:kern w:val="0"/>
                <w:sz w:val="24"/>
                <w:highlight w:val="none"/>
                <w14:textFill>
                  <w14:solidFill>
                    <w14:schemeClr w14:val="tx1"/>
                  </w14:solidFill>
                </w14:textFill>
              </w:rPr>
              <w:t>日</w:t>
            </w:r>
            <w:r>
              <w:rPr>
                <w:rFonts w:hint="eastAsia" w:ascii="宋体" w:hAnsi="宋体" w:cs="宋体"/>
                <w:b/>
                <w:bCs/>
                <w:color w:val="000000" w:themeColor="text1"/>
                <w:kern w:val="0"/>
                <w:sz w:val="24"/>
                <w:highlight w:val="none"/>
                <w:lang w:val="en-US" w:eastAsia="zh-CN"/>
                <w14:textFill>
                  <w14:solidFill>
                    <w14:schemeClr w14:val="tx1"/>
                  </w14:solidFill>
                </w14:textFill>
              </w:rPr>
              <w:t>下</w:t>
            </w:r>
            <w:r>
              <w:rPr>
                <w:rFonts w:hint="eastAsia" w:ascii="宋体" w:hAnsi="宋体" w:cs="宋体"/>
                <w:b/>
                <w:bCs/>
                <w:color w:val="000000" w:themeColor="text1"/>
                <w:kern w:val="0"/>
                <w:sz w:val="24"/>
                <w:highlight w:val="none"/>
                <w14:textFill>
                  <w14:solidFill>
                    <w14:schemeClr w14:val="tx1"/>
                  </w14:solidFill>
                </w14:textFill>
              </w:rPr>
              <w:t>午1</w:t>
            </w:r>
            <w:r>
              <w:rPr>
                <w:rFonts w:hint="eastAsia" w:ascii="宋体" w:hAnsi="宋体" w:cs="宋体"/>
                <w:b/>
                <w:bCs/>
                <w:color w:val="000000" w:themeColor="text1"/>
                <w:kern w:val="0"/>
                <w:sz w:val="24"/>
                <w:highlight w:val="none"/>
                <w:lang w:val="en-US" w:eastAsia="zh-CN"/>
                <w14:textFill>
                  <w14:solidFill>
                    <w14:schemeClr w14:val="tx1"/>
                  </w14:solidFill>
                </w14:textFill>
              </w:rPr>
              <w:t>4</w:t>
            </w:r>
            <w:r>
              <w:rPr>
                <w:rFonts w:hint="eastAsia" w:ascii="宋体" w:hAnsi="宋体" w:cs="宋体"/>
                <w:b/>
                <w:bCs/>
                <w:color w:val="000000" w:themeColor="text1"/>
                <w:kern w:val="0"/>
                <w:sz w:val="24"/>
                <w:highlight w:val="none"/>
                <w14:textFill>
                  <w14:solidFill>
                    <w14:schemeClr w14:val="tx1"/>
                  </w14:solidFill>
                </w14:textFill>
              </w:rPr>
              <w:t>:</w:t>
            </w:r>
            <w:r>
              <w:rPr>
                <w:rFonts w:hint="eastAsia" w:ascii="宋体" w:hAnsi="宋体" w:cs="宋体"/>
                <w:b/>
                <w:bCs/>
                <w:color w:val="000000" w:themeColor="text1"/>
                <w:kern w:val="0"/>
                <w:sz w:val="24"/>
                <w:highlight w:val="none"/>
                <w:lang w:val="en-US" w:eastAsia="zh-CN"/>
                <w14:textFill>
                  <w14:solidFill>
                    <w14:schemeClr w14:val="tx1"/>
                  </w14:solidFill>
                </w14:textFill>
              </w:rPr>
              <w:t>3</w:t>
            </w:r>
            <w:r>
              <w:rPr>
                <w:rFonts w:hint="eastAsia" w:ascii="宋体" w:hAnsi="宋体" w:cs="宋体"/>
                <w:b/>
                <w:bCs/>
                <w:color w:val="000000" w:themeColor="text1"/>
                <w:kern w:val="0"/>
                <w:sz w:val="24"/>
                <w:highlight w:val="none"/>
                <w14:textFill>
                  <w14:solidFill>
                    <w14:schemeClr w14:val="tx1"/>
                  </w14:solidFill>
                </w14:textFill>
              </w:rPr>
              <w:t>0时（北京时间）</w:t>
            </w:r>
            <w:r>
              <w:rPr>
                <w:rFonts w:hint="eastAsia" w:ascii="宋体" w:hAnsi="宋体" w:cs="宋体"/>
                <w:color w:val="000000" w:themeColor="text1"/>
                <w:kern w:val="0"/>
                <w:sz w:val="24"/>
                <w:highlight w:val="none"/>
                <w14:textFill>
                  <w14:solidFill>
                    <w14:schemeClr w14:val="tx1"/>
                  </w14:solidFill>
                </w14:textFill>
              </w:rPr>
              <w:t>前送达（现场递交或邮寄）至</w:t>
            </w:r>
            <w:r>
              <w:rPr>
                <w:rFonts w:hint="eastAsia" w:ascii="宋体" w:hAnsi="宋体" w:cs="宋体"/>
                <w:color w:val="000000" w:themeColor="text1"/>
                <w:kern w:val="0"/>
                <w:sz w:val="24"/>
                <w:highlight w:val="none"/>
                <w:u w:val="single"/>
                <w14:textFill>
                  <w14:solidFill>
                    <w14:schemeClr w14:val="tx1"/>
                  </w14:solidFill>
                </w14:textFill>
              </w:rPr>
              <w:t xml:space="preserve">  深圳市南山区前海深港合作区桂湾五路123号前海管理局前海大厦T1栋24</w:t>
            </w:r>
            <w:r>
              <w:rPr>
                <w:rFonts w:hint="default" w:ascii="宋体" w:hAnsi="宋体" w:cs="宋体"/>
                <w:color w:val="000000" w:themeColor="text1"/>
                <w:kern w:val="0"/>
                <w:sz w:val="24"/>
                <w:highlight w:val="none"/>
                <w:u w:val="single"/>
                <w14:textFill>
                  <w14:solidFill>
                    <w14:schemeClr w14:val="tx1"/>
                  </w14:solidFill>
                </w14:textFill>
              </w:rPr>
              <w:t>02</w:t>
            </w:r>
            <w:r>
              <w:rPr>
                <w:rFonts w:hint="eastAsia" w:ascii="宋体" w:hAnsi="宋体" w:cs="宋体"/>
                <w:color w:val="000000" w:themeColor="text1"/>
                <w:kern w:val="0"/>
                <w:sz w:val="24"/>
                <w:highlight w:val="none"/>
                <w:u w:val="single"/>
                <w14:textFill>
                  <w14:solidFill>
                    <w14:schemeClr w14:val="tx1"/>
                  </w14:solidFill>
                </w14:textFill>
              </w:rPr>
              <w:t>室</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  系  人：</w:t>
            </w:r>
            <w:r>
              <w:rPr>
                <w:rFonts w:hint="default" w:ascii="宋体" w:hAnsi="宋体" w:cs="宋体"/>
                <w:color w:val="000000" w:themeColor="text1"/>
                <w:kern w:val="0"/>
                <w:sz w:val="24"/>
                <w:highlight w:val="none"/>
                <w14:textFill>
                  <w14:solidFill>
                    <w14:schemeClr w14:val="tx1"/>
                  </w14:solidFill>
                </w14:textFill>
              </w:rPr>
              <w:t>肖</w:t>
            </w:r>
            <w:r>
              <w:rPr>
                <w:rFonts w:hint="eastAsia" w:ascii="宋体" w:hAnsi="宋体" w:cs="宋体"/>
                <w:color w:val="000000" w:themeColor="text1"/>
                <w:kern w:val="0"/>
                <w:sz w:val="24"/>
                <w:highlight w:val="none"/>
                <w14:textFill>
                  <w14:solidFill>
                    <w14:schemeClr w14:val="tx1"/>
                  </w14:solidFill>
                </w14:textFill>
              </w:rPr>
              <w:t>先生</w:t>
            </w:r>
          </w:p>
          <w:p>
            <w:pPr>
              <w:spacing w:line="360" w:lineRule="auto"/>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电      话：0755-881052</w:t>
            </w:r>
            <w:r>
              <w:rPr>
                <w:rFonts w:hint="default" w:ascii="宋体" w:hAnsi="宋体" w:cs="宋体"/>
                <w:color w:val="000000" w:themeColor="text1"/>
                <w:kern w:val="0"/>
                <w:sz w:val="24"/>
                <w:highlight w:val="none"/>
                <w14:textFill>
                  <w14:solidFill>
                    <w14:schemeClr w14:val="tx1"/>
                  </w14:solidFill>
                </w14:textFill>
              </w:rPr>
              <w:t>06</w:t>
            </w:r>
          </w:p>
          <w:p>
            <w:pPr>
              <w:adjustRightInd w:val="0"/>
              <w:snapToGrid w:val="0"/>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注：如需现场谈判，投标人需在评标半小时内到达评标现场。若因疫情等特殊原因，可进行视频会议谈判。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投标人资格要求</w:t>
            </w:r>
          </w:p>
        </w:tc>
        <w:tc>
          <w:tcPr>
            <w:tcW w:w="7015" w:type="dxa"/>
            <w:vAlign w:val="center"/>
          </w:tcPr>
          <w:p>
            <w:pPr>
              <w:numPr>
                <w:ilvl w:val="0"/>
                <w:numId w:val="2"/>
              </w:num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在中华人民共和国境内注册的具有独立法人资格或具有独立承担民事责任的能力的其它组织</w:t>
            </w:r>
            <w:r>
              <w:rPr>
                <w:rFonts w:hint="eastAsia" w:ascii="宋体" w:hAnsi="宋体" w:cs="宋体"/>
                <w:b/>
                <w:bCs/>
                <w:color w:val="000000" w:themeColor="text1"/>
                <w:kern w:val="0"/>
                <w:sz w:val="24"/>
                <w:highlight w:val="none"/>
                <w14:textFill>
                  <w14:solidFill>
                    <w14:schemeClr w14:val="tx1"/>
                  </w14:solidFill>
                </w14:textFill>
              </w:rPr>
              <w:t>（提供营业执照或事业单位法人证等法人证明复印件加盖投标人公章）</w:t>
            </w:r>
            <w:r>
              <w:rPr>
                <w:rFonts w:hint="eastAsia" w:ascii="宋体" w:hAnsi="宋体" w:cs="宋体"/>
                <w:color w:val="000000" w:themeColor="text1"/>
                <w:kern w:val="0"/>
                <w:sz w:val="24"/>
                <w:highlight w:val="none"/>
                <w14:textFill>
                  <w14:solidFill>
                    <w14:schemeClr w14:val="tx1"/>
                  </w14:solidFill>
                </w14:textFill>
              </w:rPr>
              <w:t>；</w:t>
            </w:r>
          </w:p>
          <w:p>
            <w:pPr>
              <w:numPr>
                <w:ilvl w:val="0"/>
                <w:numId w:val="2"/>
              </w:num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参与政府采购项目投标的供应商近三年内（投标人成立不足三年的可从成立之日起算）无行贿犯罪记录</w:t>
            </w:r>
            <w:r>
              <w:rPr>
                <w:rFonts w:hint="eastAsia" w:ascii="宋体" w:hAnsi="宋体" w:cs="宋体"/>
                <w:b/>
                <w:bCs/>
                <w:color w:val="000000" w:themeColor="text1"/>
                <w:kern w:val="0"/>
                <w:sz w:val="24"/>
                <w:highlight w:val="none"/>
                <w14:textFill>
                  <w14:solidFill>
                    <w14:schemeClr w14:val="tx1"/>
                  </w14:solidFill>
                </w14:textFill>
              </w:rPr>
              <w:t>（由投标人在《政府采购投标及履约承诺函》中作出声明）</w:t>
            </w:r>
            <w:r>
              <w:rPr>
                <w:rFonts w:hint="eastAsia" w:ascii="宋体" w:hAnsi="宋体" w:cs="宋体"/>
                <w:color w:val="000000" w:themeColor="text1"/>
                <w:kern w:val="0"/>
                <w:sz w:val="24"/>
                <w:highlight w:val="none"/>
                <w14:textFill>
                  <w14:solidFill>
                    <w14:schemeClr w14:val="tx1"/>
                  </w14:solidFill>
                </w14:textFill>
              </w:rPr>
              <w:t>；</w:t>
            </w:r>
          </w:p>
          <w:p>
            <w:pPr>
              <w:numPr>
                <w:ilvl w:val="0"/>
                <w:numId w:val="2"/>
              </w:num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参与本项目投标前三年内（投标人成立不足三年的可从成立之日起算），在经营活动中没有重大违法记录以及不存在被有关部门禁止参与政府采购活动且在有效期内的情况</w:t>
            </w:r>
            <w:r>
              <w:rPr>
                <w:rFonts w:hint="eastAsia" w:ascii="宋体" w:hAnsi="宋体" w:cs="宋体"/>
                <w:b/>
                <w:bCs/>
                <w:color w:val="000000" w:themeColor="text1"/>
                <w:kern w:val="0"/>
                <w:sz w:val="24"/>
                <w:highlight w:val="none"/>
                <w14:textFill>
                  <w14:solidFill>
                    <w14:schemeClr w14:val="tx1"/>
                  </w14:solidFill>
                </w14:textFill>
              </w:rPr>
              <w:t>（由投标人在《政府采购投标及履约承诺函》中作出声明）</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本项目</w:t>
            </w:r>
            <w:r>
              <w:rPr>
                <w:rFonts w:ascii="宋体" w:hAnsi="宋体" w:cs="宋体"/>
                <w:color w:val="000000" w:themeColor="text1"/>
                <w:kern w:val="0"/>
                <w:sz w:val="24"/>
                <w:highlight w:val="none"/>
                <w14:textFill>
                  <w14:solidFill>
                    <w14:schemeClr w14:val="tx1"/>
                  </w14:solidFill>
                </w14:textFill>
              </w:rPr>
              <w:t>不</w:t>
            </w:r>
            <w:r>
              <w:rPr>
                <w:rFonts w:hint="eastAsia" w:ascii="宋体" w:hAnsi="宋体" w:cs="宋体"/>
                <w:color w:val="000000" w:themeColor="text1"/>
                <w:kern w:val="0"/>
                <w:sz w:val="24"/>
                <w:highlight w:val="none"/>
                <w14:textFill>
                  <w14:solidFill>
                    <w14:schemeClr w14:val="tx1"/>
                  </w14:solidFill>
                </w14:textFill>
              </w:rPr>
              <w:t>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报价要求</w:t>
            </w:r>
          </w:p>
        </w:tc>
        <w:tc>
          <w:tcPr>
            <w:tcW w:w="7015" w:type="dxa"/>
            <w:vAlign w:val="center"/>
          </w:tcPr>
          <w:p>
            <w:pPr>
              <w:numPr>
                <w:ilvl w:val="0"/>
                <w:numId w:val="3"/>
              </w:num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本次投标为总价包干，投标报价总价作为中标人与采购人签定的合同金额。项目预算控制</w:t>
            </w:r>
            <w:r>
              <w:rPr>
                <w:rFonts w:hint="eastAsia" w:ascii="宋体" w:hAnsi="宋体" w:cs="宋体"/>
                <w:color w:val="000000" w:themeColor="text1"/>
                <w:sz w:val="24"/>
                <w:highlight w:val="none"/>
                <w:lang w:eastAsia="zh-CN"/>
                <w14:textFill>
                  <w14:solidFill>
                    <w14:schemeClr w14:val="tx1"/>
                  </w14:solidFill>
                </w14:textFill>
              </w:rPr>
              <w:t>30万元以内</w:t>
            </w:r>
            <w:r>
              <w:rPr>
                <w:rFonts w:hint="eastAsia" w:ascii="宋体" w:hAnsi="宋体" w:cs="宋体"/>
                <w:color w:val="000000" w:themeColor="text1"/>
                <w:sz w:val="24"/>
                <w:highlight w:val="none"/>
                <w14:textFill>
                  <w14:solidFill>
                    <w14:schemeClr w14:val="tx1"/>
                  </w14:solidFill>
                </w14:textFill>
              </w:rPr>
              <w:t>，投标人的报价不可高于</w:t>
            </w:r>
            <w:r>
              <w:rPr>
                <w:rFonts w:hint="eastAsia" w:ascii="宋体" w:hAnsi="宋体" w:cs="宋体"/>
                <w:color w:val="000000" w:themeColor="text1"/>
                <w:kern w:val="0"/>
                <w:sz w:val="24"/>
                <w:highlight w:val="none"/>
                <w14:textFill>
                  <w14:solidFill>
                    <w14:schemeClr w14:val="tx1"/>
                  </w14:solidFill>
                </w14:textFill>
              </w:rPr>
              <w:t>预算（限价），否则投标人的投标文件视同无效。项目服务费</w:t>
            </w:r>
            <w:r>
              <w:rPr>
                <w:rFonts w:hint="eastAsia" w:ascii="宋体" w:hAnsi="宋体" w:cs="宋体"/>
                <w:color w:val="000000" w:themeColor="text1"/>
                <w:kern w:val="0"/>
                <w:sz w:val="24"/>
                <w:highlight w:val="none"/>
                <w:lang w:eastAsia="zh-CN"/>
                <w14:textFill>
                  <w14:solidFill>
                    <w14:schemeClr w14:val="tx1"/>
                  </w14:solidFill>
                </w14:textFill>
              </w:rPr>
              <w:t>包括但不限于培训费、活动组织费、场地费用、宣传费、资料费、税金、人员费用、差旅费、后续服务等所有费用</w:t>
            </w:r>
            <w:r>
              <w:rPr>
                <w:rFonts w:hint="eastAsia" w:ascii="宋体" w:hAnsi="宋体" w:cs="宋体"/>
                <w:color w:val="000000" w:themeColor="text1"/>
                <w:kern w:val="0"/>
                <w:sz w:val="24"/>
                <w:highlight w:val="none"/>
                <w14:textFill>
                  <w14:solidFill>
                    <w14:schemeClr w14:val="tx1"/>
                  </w14:solidFill>
                </w14:textFill>
              </w:rPr>
              <w:t>，并提供合同要求的有关成果材料，以及其它相关服务的全部费用</w:t>
            </w:r>
            <w:r>
              <w:rPr>
                <w:rFonts w:hint="eastAsia" w:ascii="宋体" w:hAnsi="宋体" w:cs="宋体"/>
                <w:color w:val="000000" w:themeColor="text1"/>
                <w:sz w:val="24"/>
                <w:highlight w:val="none"/>
                <w14:textFill>
                  <w14:solidFill>
                    <w14:schemeClr w14:val="tx1"/>
                  </w14:solidFill>
                </w14:textFill>
              </w:rPr>
              <w:t>。</w:t>
            </w:r>
          </w:p>
          <w:p>
            <w:pPr>
              <w:numPr>
                <w:ilvl w:val="0"/>
                <w:numId w:val="3"/>
              </w:num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联系方式</w:t>
            </w:r>
          </w:p>
        </w:tc>
        <w:tc>
          <w:tcPr>
            <w:tcW w:w="7015" w:type="dxa"/>
            <w:vAlign w:val="center"/>
          </w:tcPr>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采购人信息：</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名      称：深圳市前海深港现代服务业合作区管理局</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  系  人：</w:t>
            </w:r>
            <w:r>
              <w:rPr>
                <w:rFonts w:hint="default" w:ascii="宋体" w:hAnsi="宋体" w:cs="宋体"/>
                <w:color w:val="000000" w:themeColor="text1"/>
                <w:kern w:val="0"/>
                <w:sz w:val="24"/>
                <w:highlight w:val="none"/>
                <w14:textFill>
                  <w14:solidFill>
                    <w14:schemeClr w14:val="tx1"/>
                  </w14:solidFill>
                </w14:textFill>
              </w:rPr>
              <w:t>肖</w:t>
            </w:r>
            <w:r>
              <w:rPr>
                <w:rFonts w:hint="eastAsia" w:ascii="宋体" w:hAnsi="宋体" w:cs="宋体"/>
                <w:color w:val="000000" w:themeColor="text1"/>
                <w:kern w:val="0"/>
                <w:sz w:val="24"/>
                <w:highlight w:val="none"/>
                <w14:textFill>
                  <w14:solidFill>
                    <w14:schemeClr w14:val="tx1"/>
                  </w14:solidFill>
                </w14:textFill>
              </w:rPr>
              <w:t>先生</w:t>
            </w:r>
          </w:p>
          <w:p>
            <w:pPr>
              <w:spacing w:line="360" w:lineRule="auto"/>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电      话：0755-881052</w:t>
            </w:r>
            <w:r>
              <w:rPr>
                <w:rFonts w:hint="default" w:ascii="宋体" w:hAnsi="宋体" w:cs="宋体"/>
                <w:color w:val="000000" w:themeColor="text1"/>
                <w:kern w:val="0"/>
                <w:sz w:val="24"/>
                <w:highlight w:val="none"/>
                <w14:textFill>
                  <w14:solidFill>
                    <w14:schemeClr w14:val="tx1"/>
                  </w14:solidFill>
                </w14:textFill>
              </w:rPr>
              <w:t>06</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采购代理机构信息：</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名      称： 中国远东国际招标有限公司</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      址： 深圳市福田区上步南路1001号锦峰大厦22楼</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  系  人： 凌女士、伍先生</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电      话： 0755-82078919、82077364转110</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传      真： 0755-82077519、82078847 </w:t>
            </w:r>
          </w:p>
        </w:tc>
      </w:tr>
    </w:tbl>
    <w:p>
      <w:pPr>
        <w:adjustRightInd w:val="0"/>
        <w:snapToGrid w:val="0"/>
        <w:spacing w:line="360" w:lineRule="auto"/>
        <w:ind w:firstLine="480" w:firstLineChars="20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中国远东国际招标有限公司</w:t>
      </w:r>
    </w:p>
    <w:p>
      <w:pPr>
        <w:adjustRightInd w:val="0"/>
        <w:snapToGrid w:val="0"/>
        <w:spacing w:line="360" w:lineRule="auto"/>
        <w:ind w:firstLine="480" w:firstLineChars="20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 2023年</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25</w:t>
      </w:r>
      <w:r>
        <w:rPr>
          <w:rFonts w:hint="eastAsia" w:ascii="宋体" w:hAnsi="宋体" w:cs="宋体"/>
          <w:color w:val="000000" w:themeColor="text1"/>
          <w:sz w:val="24"/>
          <w:highlight w:val="none"/>
          <w14:textFill>
            <w14:solidFill>
              <w14:schemeClr w14:val="tx1"/>
            </w14:solidFill>
          </w14:textFill>
        </w:rPr>
        <w:t>日</w:t>
      </w:r>
    </w:p>
    <w:p>
      <w:pPr>
        <w:numPr>
          <w:ilvl w:val="0"/>
          <w:numId w:val="1"/>
        </w:numPr>
        <w:spacing w:line="360" w:lineRule="auto"/>
        <w:jc w:val="center"/>
        <w:outlineLvl w:val="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br w:type="page"/>
      </w:r>
      <w:r>
        <w:rPr>
          <w:rFonts w:hint="eastAsia" w:ascii="宋体" w:hAnsi="宋体" w:cs="宋体"/>
          <w:b/>
          <w:bCs/>
          <w:color w:val="000000" w:themeColor="text1"/>
          <w:sz w:val="24"/>
          <w:highlight w:val="none"/>
          <w14:textFill>
            <w14:solidFill>
              <w14:schemeClr w14:val="tx1"/>
            </w14:solidFill>
          </w14:textFill>
        </w:rPr>
        <w:t xml:space="preserve"> </w:t>
      </w:r>
      <w:bookmarkStart w:id="3" w:name="_Toc10214"/>
      <w:r>
        <w:rPr>
          <w:rFonts w:hint="eastAsia" w:ascii="宋体" w:hAnsi="宋体" w:cs="宋体"/>
          <w:b/>
          <w:bCs/>
          <w:color w:val="000000" w:themeColor="text1"/>
          <w:sz w:val="24"/>
          <w:highlight w:val="none"/>
          <w14:textFill>
            <w14:solidFill>
              <w14:schemeClr w14:val="tx1"/>
            </w14:solidFill>
          </w14:textFill>
        </w:rPr>
        <w:t>投标须知</w:t>
      </w:r>
      <w:bookmarkEnd w:id="3"/>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1、本项目是深圳市前海深港现代服务业合作区管理局的“</w:t>
      </w:r>
      <w:r>
        <w:rPr>
          <w:rFonts w:hint="eastAsia" w:ascii="宋体" w:hAnsi="宋体" w:cs="宋体"/>
          <w:color w:val="000000" w:themeColor="text1"/>
          <w:sz w:val="24"/>
          <w:highlight w:val="none"/>
          <w:lang w:eastAsia="zh-CN"/>
          <w14:textFill>
            <w14:solidFill>
              <w14:schemeClr w14:val="tx1"/>
            </w14:solidFill>
          </w14:textFill>
        </w:rPr>
        <w:t>2023年度“前海工匠”培育与评选活动项目</w:t>
      </w:r>
      <w:r>
        <w:rPr>
          <w:rFonts w:hint="eastAsia" w:ascii="宋体" w:hAnsi="宋体" w:cs="宋体"/>
          <w:color w:val="000000" w:themeColor="text1"/>
          <w:sz w:val="24"/>
          <w:highlight w:val="none"/>
          <w14:textFill>
            <w14:solidFill>
              <w14:schemeClr w14:val="tx1"/>
            </w14:solidFill>
          </w14:textFill>
        </w:rPr>
        <w:t>。</w:t>
      </w: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项目不属于《深圳市2023—2024年政府集中采购目录及限额标准》规定应集中采购项目，根据《中华人民共和国政府采购法》、《深圳经济特区政府采购条例》的有关规定，中国远东国际招标有限公司受深圳市前海深港现代服务业合作区管理局委托组织采购，</w:t>
      </w:r>
      <w:r>
        <w:rPr>
          <w:rFonts w:hint="eastAsia" w:ascii="宋体" w:hAnsi="宋体" w:cs="宋体"/>
          <w:b/>
          <w:bCs/>
          <w:color w:val="000000" w:themeColor="text1"/>
          <w:sz w:val="24"/>
          <w:highlight w:val="none"/>
          <w14:textFill>
            <w14:solidFill>
              <w14:schemeClr w14:val="tx1"/>
            </w14:solidFill>
          </w14:textFill>
        </w:rPr>
        <w:t>本次采购公开征集供应商，采用综合评分法的方式进行，投标截止后，因作出有效投标的供应商不足3家而致招标失败的，按以下流程执行：</w:t>
      </w: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a.有效投标人为2家的，可在2家有效投标人中取得分最高者为中标供应商；</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b.如参与投标且符合招标文件要求的供应商仅有1家，评审委员会应与投标供应商进行谈判，原则上成交价应为最初报价的95%。</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3、本项目根据项目的实际情况，公开征集符合投标人资格的供应商。请各供应商根据本文件的要求，准备</w:t>
      </w:r>
      <w:r>
        <w:rPr>
          <w:rFonts w:hint="eastAsia" w:ascii="宋体" w:hAnsi="宋体" w:cs="宋体"/>
          <w:b/>
          <w:bCs/>
          <w:color w:val="000000" w:themeColor="text1"/>
          <w:sz w:val="24"/>
          <w:highlight w:val="none"/>
          <w14:textFill>
            <w14:solidFill>
              <w14:schemeClr w14:val="tx1"/>
            </w14:solidFill>
          </w14:textFill>
        </w:rPr>
        <w:t>5套（1套正本，4套副本，1份电子文档）</w:t>
      </w:r>
      <w:r>
        <w:rPr>
          <w:rFonts w:hint="eastAsia" w:ascii="宋体" w:hAnsi="宋体" w:cs="宋体"/>
          <w:color w:val="000000" w:themeColor="text1"/>
          <w:sz w:val="24"/>
          <w:highlight w:val="none"/>
          <w14:textFill>
            <w14:solidFill>
              <w14:schemeClr w14:val="tx1"/>
            </w14:solidFill>
          </w14:textFill>
        </w:rPr>
        <w:t>完备的资料进行投标。</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4、本招标文件已对本次采购项目的商务条件和货物或服务的质量、技术要求、成果要求、交货要求、售后服务作出了明确的规定。</w:t>
      </w:r>
    </w:p>
    <w:p>
      <w:pPr>
        <w:snapToGrid w:val="0"/>
        <w:spacing w:after="78" w:afterLines="25"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5、响应文件要包括如下内容：</w:t>
      </w:r>
    </w:p>
    <w:p>
      <w:pPr>
        <w:numPr>
          <w:ilvl w:val="0"/>
          <w:numId w:val="4"/>
        </w:numPr>
        <w:tabs>
          <w:tab w:val="clear" w:pos="-420"/>
        </w:tabs>
        <w:snapToGrid w:val="0"/>
        <w:spacing w:after="78" w:afterLines="25" w:line="360" w:lineRule="auto"/>
        <w:ind w:left="1050" w:hanging="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价格部分；</w:t>
      </w:r>
    </w:p>
    <w:p>
      <w:pPr>
        <w:numPr>
          <w:ilvl w:val="0"/>
          <w:numId w:val="4"/>
        </w:numPr>
        <w:tabs>
          <w:tab w:val="clear" w:pos="-420"/>
        </w:tabs>
        <w:snapToGrid w:val="0"/>
        <w:spacing w:after="78" w:afterLines="25" w:line="360" w:lineRule="auto"/>
        <w:ind w:left="1050" w:hanging="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商务部分；</w:t>
      </w:r>
    </w:p>
    <w:p>
      <w:pPr>
        <w:numPr>
          <w:ilvl w:val="0"/>
          <w:numId w:val="4"/>
        </w:numPr>
        <w:tabs>
          <w:tab w:val="clear" w:pos="-420"/>
        </w:tabs>
        <w:snapToGrid w:val="0"/>
        <w:spacing w:after="78" w:afterLines="25" w:line="360" w:lineRule="auto"/>
        <w:ind w:left="1050" w:hanging="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技术部分。</w:t>
      </w:r>
    </w:p>
    <w:p>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r>
        <w:rPr>
          <w:rFonts w:hint="eastAsia" w:ascii="宋体" w:hAnsi="宋体" w:cs="宋体"/>
          <w:bCs/>
          <w:color w:val="000000" w:themeColor="text1"/>
          <w:sz w:val="24"/>
          <w:highlight w:val="none"/>
          <w14:textFill>
            <w14:solidFill>
              <w14:schemeClr w14:val="tx1"/>
            </w14:solidFill>
          </w14:textFill>
        </w:rPr>
        <w:t>采购人会对本次招标的项目确定一个最高限价，最终成交价格超出最高限价将会被当作投标无效处理。</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9、本次采购凡涉及知识产权问题，由项目供应商负责。</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10、采购人将组成评审委员会，评审工作由评审委员会独立负责。</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12、采用综合评分法的情况：评审委员会将分别对供应商递交的投标文件进行评审。</w:t>
      </w:r>
    </w:p>
    <w:p>
      <w:pPr>
        <w:pStyle w:val="56"/>
        <w:snapToGrid w:val="0"/>
        <w:spacing w:line="360" w:lineRule="auto"/>
        <w:ind w:firstLine="480"/>
        <w:rPr>
          <w:rFonts w:ascii="宋体" w:hAnsi="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（1）评审委员会将根据供应商的供货能力、服务能力、货物的质量、是否满足本次采购的商务条件、报价等方面的情况进行综合评审，评标委员会依据得分情况，取综合得分最高的供应商为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color w:val="000000" w:themeColor="text1"/>
          <w:sz w:val="24"/>
          <w:szCs w:val="24"/>
          <w:highlight w:val="none"/>
          <w14:textFill>
            <w14:solidFill>
              <w14:schemeClr w14:val="tx1"/>
            </w14:solidFill>
          </w14:textFill>
        </w:rPr>
        <w:t>第一</w:t>
      </w:r>
      <w:r>
        <w:rPr>
          <w:rFonts w:hint="eastAsia" w:ascii="宋体" w:hAnsi="宋体" w:cs="宋体"/>
          <w:color w:val="000000" w:themeColor="text1"/>
          <w:kern w:val="2"/>
          <w:sz w:val="24"/>
          <w:szCs w:val="24"/>
          <w:highlight w:val="none"/>
          <w14:textFill>
            <w14:solidFill>
              <w14:schemeClr w14:val="tx1"/>
            </w14:solidFill>
          </w14:textFill>
        </w:rPr>
        <w:t>中标候选人。</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（2）如果二个及以上供应商的综合评分相同时，取投标价格低者为第一中标候选人。</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（3）如果二个及以上供应商的综合评分相同，且投标价格也相同时，取技术部分得分高者为第一中标候选人。</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13、采用谈判的情况：评审委员会将与投标供应商进行谈判。</w:t>
      </w:r>
    </w:p>
    <w:p>
      <w:pP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（1）供应商在谈判时由项目负责人与评审委员会进行谈判；</w:t>
      </w:r>
    </w:p>
    <w:p>
      <w:pP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（2）原则上成交价应为最初报价的95%。</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14、所有的评审/谈判内容都必须保密。</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15、招标代理服务收费：</w:t>
      </w:r>
    </w:p>
    <w:p>
      <w:pPr>
        <w:snapToGrid w:val="0"/>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numPr>
          <w:ilvl w:val="0"/>
          <w:numId w:val="5"/>
        </w:numPr>
        <w:adjustRightInd w:val="0"/>
        <w:snapToGrid w:val="0"/>
        <w:spacing w:line="360" w:lineRule="auto"/>
        <w:ind w:right="26"/>
        <w:jc w:val="left"/>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具体计取费率标准如下表所示：</w:t>
      </w:r>
    </w:p>
    <w:tbl>
      <w:tblPr>
        <w:tblStyle w:val="24"/>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中标金额</w:t>
            </w:r>
          </w:p>
        </w:tc>
        <w:tc>
          <w:tcPr>
            <w:tcW w:w="5495" w:type="dxa"/>
            <w:gridSpan w:val="3"/>
            <w:shd w:val="clear" w:color="auto" w:fill="D7D7D7"/>
            <w:vAlign w:val="center"/>
          </w:tcPr>
          <w:p>
            <w:pPr>
              <w:adjustRightInd w:val="0"/>
              <w:snapToGrid w:val="0"/>
              <w:spacing w:line="360" w:lineRule="auto"/>
              <w:ind w:right="26"/>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vAlign w:val="center"/>
          </w:tcPr>
          <w:p>
            <w:pPr>
              <w:adjustRightInd w:val="0"/>
              <w:snapToGrid w:val="0"/>
              <w:spacing w:line="360" w:lineRule="auto"/>
              <w:ind w:right="26"/>
              <w:jc w:val="center"/>
              <w:rPr>
                <w:rFonts w:ascii="宋体" w:hAnsi="宋体" w:cs="宋体"/>
                <w:b/>
                <w:bCs/>
                <w:color w:val="000000" w:themeColor="text1"/>
                <w:sz w:val="24"/>
                <w:highlight w:val="none"/>
                <w14:textFill>
                  <w14:solidFill>
                    <w14:schemeClr w14:val="tx1"/>
                  </w14:solidFill>
                </w14:textFill>
              </w:rPr>
            </w:pPr>
          </w:p>
        </w:tc>
        <w:tc>
          <w:tcPr>
            <w:tcW w:w="1843" w:type="dxa"/>
            <w:shd w:val="clear" w:color="auto" w:fill="D7D7D7"/>
            <w:vAlign w:val="center"/>
          </w:tcPr>
          <w:p>
            <w:pPr>
              <w:adjustRightInd w:val="0"/>
              <w:snapToGrid w:val="0"/>
              <w:spacing w:line="360" w:lineRule="auto"/>
              <w:ind w:right="26"/>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货物招标</w:t>
            </w:r>
          </w:p>
        </w:tc>
        <w:tc>
          <w:tcPr>
            <w:tcW w:w="1755" w:type="dxa"/>
            <w:shd w:val="clear" w:color="auto" w:fill="D7D7D7"/>
            <w:vAlign w:val="center"/>
          </w:tcPr>
          <w:p>
            <w:pPr>
              <w:adjustRightInd w:val="0"/>
              <w:snapToGrid w:val="0"/>
              <w:spacing w:line="360" w:lineRule="auto"/>
              <w:ind w:right="26"/>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服务招标</w:t>
            </w:r>
          </w:p>
        </w:tc>
        <w:tc>
          <w:tcPr>
            <w:tcW w:w="1897" w:type="dxa"/>
            <w:shd w:val="clear" w:color="auto" w:fill="D7D7D7"/>
            <w:vAlign w:val="center"/>
          </w:tcPr>
          <w:p>
            <w:pPr>
              <w:adjustRightInd w:val="0"/>
              <w:snapToGrid w:val="0"/>
              <w:spacing w:line="360" w:lineRule="auto"/>
              <w:ind w:right="26"/>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100万元以下</w:t>
            </w:r>
          </w:p>
        </w:tc>
        <w:tc>
          <w:tcPr>
            <w:tcW w:w="1843" w:type="dxa"/>
            <w:vAlign w:val="center"/>
          </w:tcPr>
          <w:p>
            <w:pPr>
              <w:adjustRightInd w:val="0"/>
              <w:snapToGrid w:val="0"/>
              <w:spacing w:line="360" w:lineRule="auto"/>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1755" w:type="dxa"/>
            <w:vAlign w:val="center"/>
          </w:tcPr>
          <w:p>
            <w:pPr>
              <w:adjustRightInd w:val="0"/>
              <w:snapToGrid w:val="0"/>
              <w:spacing w:line="360" w:lineRule="auto"/>
              <w:ind w:right="2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1897" w:type="dxa"/>
            <w:vAlign w:val="center"/>
          </w:tcPr>
          <w:p>
            <w:pPr>
              <w:adjustRightInd w:val="0"/>
              <w:snapToGrid w:val="0"/>
              <w:spacing w:line="360" w:lineRule="auto"/>
              <w:ind w:right="2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100万元（含）-500万元</w:t>
            </w:r>
          </w:p>
        </w:tc>
        <w:tc>
          <w:tcPr>
            <w:tcW w:w="1843" w:type="dxa"/>
            <w:vAlign w:val="center"/>
          </w:tcPr>
          <w:p>
            <w:pPr>
              <w:adjustRightInd w:val="0"/>
              <w:snapToGrid w:val="0"/>
              <w:spacing w:line="360" w:lineRule="auto"/>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755" w:type="dxa"/>
            <w:vAlign w:val="center"/>
          </w:tcPr>
          <w:p>
            <w:pPr>
              <w:adjustRightInd w:val="0"/>
              <w:snapToGrid w:val="0"/>
              <w:spacing w:line="360" w:lineRule="auto"/>
              <w:ind w:right="2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0.8%</w:t>
            </w:r>
          </w:p>
        </w:tc>
        <w:tc>
          <w:tcPr>
            <w:tcW w:w="1897" w:type="dxa"/>
            <w:vAlign w:val="center"/>
          </w:tcPr>
          <w:p>
            <w:pPr>
              <w:adjustRightInd w:val="0"/>
              <w:snapToGrid w:val="0"/>
              <w:spacing w:line="360" w:lineRule="auto"/>
              <w:ind w:right="2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500万元（含）-1000万元</w:t>
            </w:r>
          </w:p>
        </w:tc>
        <w:tc>
          <w:tcPr>
            <w:tcW w:w="1843" w:type="dxa"/>
            <w:vAlign w:val="center"/>
          </w:tcPr>
          <w:p>
            <w:pPr>
              <w:adjustRightInd w:val="0"/>
              <w:snapToGrid w:val="0"/>
              <w:spacing w:line="360" w:lineRule="auto"/>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0.8%</w:t>
            </w:r>
          </w:p>
        </w:tc>
        <w:tc>
          <w:tcPr>
            <w:tcW w:w="1755" w:type="dxa"/>
            <w:vAlign w:val="center"/>
          </w:tcPr>
          <w:p>
            <w:pPr>
              <w:adjustRightInd w:val="0"/>
              <w:snapToGrid w:val="0"/>
              <w:spacing w:line="360" w:lineRule="auto"/>
              <w:ind w:right="2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0.45%</w:t>
            </w:r>
          </w:p>
        </w:tc>
        <w:tc>
          <w:tcPr>
            <w:tcW w:w="1897" w:type="dxa"/>
            <w:vAlign w:val="center"/>
          </w:tcPr>
          <w:p>
            <w:pPr>
              <w:adjustRightInd w:val="0"/>
              <w:snapToGrid w:val="0"/>
              <w:spacing w:line="360" w:lineRule="auto"/>
              <w:ind w:right="2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1000万元（含）-5000万元</w:t>
            </w:r>
          </w:p>
        </w:tc>
        <w:tc>
          <w:tcPr>
            <w:tcW w:w="1843" w:type="dxa"/>
            <w:vAlign w:val="center"/>
          </w:tcPr>
          <w:p>
            <w:pPr>
              <w:adjustRightInd w:val="0"/>
              <w:snapToGrid w:val="0"/>
              <w:spacing w:line="360" w:lineRule="auto"/>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0.5%</w:t>
            </w:r>
          </w:p>
        </w:tc>
        <w:tc>
          <w:tcPr>
            <w:tcW w:w="1755" w:type="dxa"/>
            <w:vAlign w:val="center"/>
          </w:tcPr>
          <w:p>
            <w:pPr>
              <w:adjustRightInd w:val="0"/>
              <w:snapToGrid w:val="0"/>
              <w:spacing w:line="360" w:lineRule="auto"/>
              <w:ind w:right="2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0.25%</w:t>
            </w:r>
          </w:p>
        </w:tc>
        <w:tc>
          <w:tcPr>
            <w:tcW w:w="1897" w:type="dxa"/>
            <w:vAlign w:val="center"/>
          </w:tcPr>
          <w:p>
            <w:pPr>
              <w:adjustRightInd w:val="0"/>
              <w:snapToGrid w:val="0"/>
              <w:spacing w:line="360" w:lineRule="auto"/>
              <w:ind w:right="2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5000万元（含）-1亿元</w:t>
            </w:r>
          </w:p>
        </w:tc>
        <w:tc>
          <w:tcPr>
            <w:tcW w:w="1843" w:type="dxa"/>
            <w:vAlign w:val="center"/>
          </w:tcPr>
          <w:p>
            <w:pPr>
              <w:adjustRightInd w:val="0"/>
              <w:snapToGrid w:val="0"/>
              <w:spacing w:line="360" w:lineRule="auto"/>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0.25%</w:t>
            </w:r>
          </w:p>
        </w:tc>
        <w:tc>
          <w:tcPr>
            <w:tcW w:w="1755" w:type="dxa"/>
            <w:vAlign w:val="center"/>
          </w:tcPr>
          <w:p>
            <w:pPr>
              <w:adjustRightInd w:val="0"/>
              <w:snapToGrid w:val="0"/>
              <w:spacing w:line="360" w:lineRule="auto"/>
              <w:ind w:right="2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0.1%</w:t>
            </w:r>
          </w:p>
        </w:tc>
        <w:tc>
          <w:tcPr>
            <w:tcW w:w="1897" w:type="dxa"/>
            <w:vAlign w:val="center"/>
          </w:tcPr>
          <w:p>
            <w:pPr>
              <w:adjustRightInd w:val="0"/>
              <w:snapToGrid w:val="0"/>
              <w:spacing w:line="360" w:lineRule="auto"/>
              <w:ind w:right="2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1亿元（含）-5亿元</w:t>
            </w:r>
          </w:p>
        </w:tc>
        <w:tc>
          <w:tcPr>
            <w:tcW w:w="1843" w:type="dxa"/>
            <w:vAlign w:val="center"/>
          </w:tcPr>
          <w:p>
            <w:pPr>
              <w:adjustRightInd w:val="0"/>
              <w:snapToGrid w:val="0"/>
              <w:spacing w:line="360" w:lineRule="auto"/>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0.05%</w:t>
            </w:r>
          </w:p>
        </w:tc>
        <w:tc>
          <w:tcPr>
            <w:tcW w:w="1755" w:type="dxa"/>
            <w:vAlign w:val="center"/>
          </w:tcPr>
          <w:p>
            <w:pPr>
              <w:adjustRightInd w:val="0"/>
              <w:snapToGrid w:val="0"/>
              <w:spacing w:line="360" w:lineRule="auto"/>
              <w:ind w:right="2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0.05%</w:t>
            </w:r>
          </w:p>
        </w:tc>
        <w:tc>
          <w:tcPr>
            <w:tcW w:w="1897" w:type="dxa"/>
            <w:vAlign w:val="center"/>
          </w:tcPr>
          <w:p>
            <w:pPr>
              <w:adjustRightInd w:val="0"/>
              <w:snapToGrid w:val="0"/>
              <w:spacing w:line="360" w:lineRule="auto"/>
              <w:ind w:right="2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5亿元（含）-10亿元</w:t>
            </w:r>
          </w:p>
        </w:tc>
        <w:tc>
          <w:tcPr>
            <w:tcW w:w="1843" w:type="dxa"/>
            <w:vAlign w:val="center"/>
          </w:tcPr>
          <w:p>
            <w:pPr>
              <w:adjustRightInd w:val="0"/>
              <w:snapToGrid w:val="0"/>
              <w:spacing w:line="360" w:lineRule="auto"/>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0.035%</w:t>
            </w:r>
          </w:p>
        </w:tc>
        <w:tc>
          <w:tcPr>
            <w:tcW w:w="1755" w:type="dxa"/>
            <w:vAlign w:val="center"/>
          </w:tcPr>
          <w:p>
            <w:pPr>
              <w:adjustRightInd w:val="0"/>
              <w:snapToGrid w:val="0"/>
              <w:spacing w:line="360" w:lineRule="auto"/>
              <w:ind w:right="2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0.035%</w:t>
            </w:r>
          </w:p>
        </w:tc>
        <w:tc>
          <w:tcPr>
            <w:tcW w:w="1897" w:type="dxa"/>
            <w:vAlign w:val="center"/>
          </w:tcPr>
          <w:p>
            <w:pPr>
              <w:adjustRightInd w:val="0"/>
              <w:snapToGrid w:val="0"/>
              <w:spacing w:line="360" w:lineRule="auto"/>
              <w:ind w:right="2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10亿元（含）-50亿元</w:t>
            </w:r>
          </w:p>
        </w:tc>
        <w:tc>
          <w:tcPr>
            <w:tcW w:w="1843" w:type="dxa"/>
            <w:vAlign w:val="center"/>
          </w:tcPr>
          <w:p>
            <w:pPr>
              <w:adjustRightInd w:val="0"/>
              <w:snapToGrid w:val="0"/>
              <w:spacing w:line="360" w:lineRule="auto"/>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0.008%</w:t>
            </w:r>
          </w:p>
        </w:tc>
        <w:tc>
          <w:tcPr>
            <w:tcW w:w="1755" w:type="dxa"/>
            <w:vAlign w:val="center"/>
          </w:tcPr>
          <w:p>
            <w:pPr>
              <w:adjustRightInd w:val="0"/>
              <w:snapToGrid w:val="0"/>
              <w:spacing w:line="360" w:lineRule="auto"/>
              <w:ind w:right="2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0.008%</w:t>
            </w:r>
          </w:p>
        </w:tc>
        <w:tc>
          <w:tcPr>
            <w:tcW w:w="1897" w:type="dxa"/>
            <w:vAlign w:val="center"/>
          </w:tcPr>
          <w:p>
            <w:pPr>
              <w:adjustRightInd w:val="0"/>
              <w:snapToGrid w:val="0"/>
              <w:spacing w:line="360" w:lineRule="auto"/>
              <w:ind w:right="2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50亿元（含）-100亿元</w:t>
            </w:r>
          </w:p>
        </w:tc>
        <w:tc>
          <w:tcPr>
            <w:tcW w:w="1843" w:type="dxa"/>
            <w:vAlign w:val="center"/>
          </w:tcPr>
          <w:p>
            <w:pPr>
              <w:adjustRightInd w:val="0"/>
              <w:snapToGrid w:val="0"/>
              <w:spacing w:line="360" w:lineRule="auto"/>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0.006%</w:t>
            </w:r>
          </w:p>
        </w:tc>
        <w:tc>
          <w:tcPr>
            <w:tcW w:w="1755" w:type="dxa"/>
            <w:vAlign w:val="center"/>
          </w:tcPr>
          <w:p>
            <w:pPr>
              <w:adjustRightInd w:val="0"/>
              <w:snapToGrid w:val="0"/>
              <w:spacing w:line="360" w:lineRule="auto"/>
              <w:ind w:right="2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0.006%</w:t>
            </w:r>
          </w:p>
        </w:tc>
        <w:tc>
          <w:tcPr>
            <w:tcW w:w="1897" w:type="dxa"/>
            <w:vAlign w:val="center"/>
          </w:tcPr>
          <w:p>
            <w:pPr>
              <w:adjustRightInd w:val="0"/>
              <w:snapToGrid w:val="0"/>
              <w:spacing w:line="360" w:lineRule="auto"/>
              <w:ind w:right="2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100亿元（含）以上</w:t>
            </w:r>
          </w:p>
        </w:tc>
        <w:tc>
          <w:tcPr>
            <w:tcW w:w="1843" w:type="dxa"/>
            <w:vAlign w:val="center"/>
          </w:tcPr>
          <w:p>
            <w:pPr>
              <w:adjustRightInd w:val="0"/>
              <w:snapToGrid w:val="0"/>
              <w:spacing w:line="360" w:lineRule="auto"/>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0.004%</w:t>
            </w:r>
          </w:p>
        </w:tc>
        <w:tc>
          <w:tcPr>
            <w:tcW w:w="1755" w:type="dxa"/>
            <w:vAlign w:val="center"/>
          </w:tcPr>
          <w:p>
            <w:pPr>
              <w:adjustRightInd w:val="0"/>
              <w:snapToGrid w:val="0"/>
              <w:spacing w:line="360" w:lineRule="auto"/>
              <w:ind w:right="2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0.004%</w:t>
            </w:r>
          </w:p>
        </w:tc>
        <w:tc>
          <w:tcPr>
            <w:tcW w:w="1897" w:type="dxa"/>
            <w:vAlign w:val="center"/>
          </w:tcPr>
          <w:p>
            <w:pPr>
              <w:adjustRightInd w:val="0"/>
              <w:snapToGrid w:val="0"/>
              <w:spacing w:line="360" w:lineRule="auto"/>
              <w:ind w:right="2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0.004%</w:t>
            </w:r>
          </w:p>
        </w:tc>
      </w:tr>
    </w:tbl>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招标代理服务费缴纳至：</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开户名称：中国远东国际招标有限公司深圳分公司</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银行帐号：11013651025501</w:t>
      </w:r>
    </w:p>
    <w:p>
      <w:pPr>
        <w:spacing w:line="360" w:lineRule="auto"/>
        <w:rPr>
          <w:rFonts w:ascii="宋体" w:hAnsi="宋体" w:cs="宋体"/>
          <w:b/>
          <w:bCs/>
          <w:color w:val="000000" w:themeColor="text1"/>
          <w:sz w:val="24"/>
          <w:highlight w:val="none"/>
          <w14:textFill>
            <w14:solidFill>
              <w14:schemeClr w14:val="tx1"/>
            </w14:solidFill>
          </w14:textFill>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color w:val="000000" w:themeColor="text1"/>
          <w:sz w:val="24"/>
          <w:highlight w:val="none"/>
          <w14:textFill>
            <w14:solidFill>
              <w14:schemeClr w14:val="tx1"/>
            </w14:solidFill>
          </w14:textFill>
        </w:rPr>
        <w:t>开户银行：平安银行深圳中电支行</w:t>
      </w:r>
    </w:p>
    <w:p>
      <w:pPr>
        <w:numPr>
          <w:ilvl w:val="0"/>
          <w:numId w:val="1"/>
        </w:numPr>
        <w:spacing w:line="360" w:lineRule="auto"/>
        <w:jc w:val="center"/>
        <w:outlineLvl w:val="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 </w:t>
      </w:r>
      <w:bookmarkStart w:id="4" w:name="_Toc20176"/>
      <w:r>
        <w:rPr>
          <w:rFonts w:hint="eastAsia" w:ascii="宋体" w:hAnsi="宋体" w:cs="宋体"/>
          <w:b/>
          <w:bCs/>
          <w:color w:val="000000" w:themeColor="text1"/>
          <w:sz w:val="24"/>
          <w:highlight w:val="none"/>
          <w14:textFill>
            <w14:solidFill>
              <w14:schemeClr w14:val="tx1"/>
            </w14:solidFill>
          </w14:textFill>
        </w:rPr>
        <w:t>评标程序</w:t>
      </w:r>
      <w:bookmarkEnd w:id="4"/>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投标截止日前一天组成。</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二、参加会议人员：投标人代表（如需）、项目负责代表、评审委员会成员、监督部门代表（如需）、采购代理机构代表。</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三、会议主持人：中国远东国际招标有限公司工作人员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四、开标时间：2023年</w:t>
      </w: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月</w:t>
      </w:r>
      <w:r>
        <w:rPr>
          <w:rFonts w:hint="default" w:ascii="宋体" w:hAnsi="宋体" w:cs="宋体"/>
          <w:color w:val="000000" w:themeColor="text1"/>
          <w:sz w:val="24"/>
          <w:highlight w:val="none"/>
          <w:lang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日</w:t>
      </w:r>
      <w:r>
        <w:rPr>
          <w:rFonts w:hint="eastAsia" w:ascii="宋体" w:hAnsi="宋体" w:cs="宋体"/>
          <w:color w:val="000000" w:themeColor="text1"/>
          <w:sz w:val="24"/>
          <w:highlight w:val="none"/>
          <w:lang w:val="en-US" w:eastAsia="zh-CN"/>
          <w14:textFill>
            <w14:solidFill>
              <w14:schemeClr w14:val="tx1"/>
            </w14:solidFill>
          </w14:textFill>
        </w:rPr>
        <w:t>下</w:t>
      </w:r>
      <w:r>
        <w:rPr>
          <w:rFonts w:hint="eastAsia" w:ascii="宋体" w:hAnsi="宋体" w:cs="宋体"/>
          <w:color w:val="000000" w:themeColor="text1"/>
          <w:sz w:val="24"/>
          <w:highlight w:val="none"/>
          <w14:textFill>
            <w14:solidFill>
              <w14:schemeClr w14:val="tx1"/>
            </w14:solidFill>
          </w14:textFill>
        </w:rPr>
        <w:t>午1</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0时（北京时间）。</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五、会议开始：2023年 </w:t>
      </w: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月</w:t>
      </w:r>
      <w:r>
        <w:rPr>
          <w:rFonts w:hint="default" w:ascii="宋体" w:hAnsi="宋体" w:cs="宋体"/>
          <w:color w:val="000000" w:themeColor="text1"/>
          <w:sz w:val="24"/>
          <w:highlight w:val="none"/>
          <w:lang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日</w:t>
      </w:r>
      <w:r>
        <w:rPr>
          <w:rFonts w:hint="eastAsia" w:ascii="宋体" w:hAnsi="宋体" w:cs="宋体"/>
          <w:color w:val="000000" w:themeColor="text1"/>
          <w:sz w:val="24"/>
          <w:highlight w:val="none"/>
          <w:lang w:val="en-US" w:eastAsia="zh-CN"/>
          <w14:textFill>
            <w14:solidFill>
              <w14:schemeClr w14:val="tx1"/>
            </w14:solidFill>
          </w14:textFill>
        </w:rPr>
        <w:t>下</w:t>
      </w:r>
      <w:r>
        <w:rPr>
          <w:rFonts w:hint="eastAsia" w:ascii="宋体" w:hAnsi="宋体" w:cs="宋体"/>
          <w:color w:val="000000" w:themeColor="text1"/>
          <w:sz w:val="24"/>
          <w:highlight w:val="none"/>
          <w14:textFill>
            <w14:solidFill>
              <w14:schemeClr w14:val="tx1"/>
            </w14:solidFill>
          </w14:textFill>
        </w:rPr>
        <w:t>午1</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0时（北京时间）由会议主持人宣布定标会议开始。</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六、项目负责代表向采购代理机构代表送交投标文件，监督部门代表（如有）确认投标文件密封完整，未密封投标文件将作为投标无效处理。</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七、由采购代理机构代表现场拆封投标文件，并分发给评审委员会成员。</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八、评审委员会审查供应商的投标文件，工作人员记录审查的情况。</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九、评审委员会按以下工作程序进行：</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1、评标委员会对各供应商的投标文件进行初审，对未能通过初审的投标文件作投标无效处理。</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2、对通过初审的供应商的投标文件进行详细的比较和评价。如需要，进行必要的澄清/说明工作。</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3、根据参与投标且符合招标文件要求的供应商数量情况，确定本项目的评审方法。</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4、采用综合评分法的情况：评审委员会将分别对供应商递交的投标文件进行评审。</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4.2如果二个及以上供应商的综合评分相同时，取投标价格低者为第一中标候选人。</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4.3如果二个及以上供应商的综合评分相同，且投标价格也相同时，取技术部分得分高者为第一中标候选人。</w:t>
      </w:r>
    </w:p>
    <w:p>
      <w:pPr>
        <w:numPr>
          <w:ilvl w:val="0"/>
          <w:numId w:val="6"/>
        </w:num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采用谈判的情况：评审委员会将与投标供应商进行谈判。</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 供应商在谈判时由项目负责人与评审委员会进行谈判；</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 原则上成交价应为最初报价的95%。</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6、评审委员会按照本项目招标文件中规定的评标方法确定中标供应商。</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十、根据本次采购的结果，10个工作日内与中标供应商签订合同。</w:t>
      </w:r>
    </w:p>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pStyle w:val="2"/>
        <w:rPr>
          <w:rFonts w:ascii="宋体" w:hAnsi="宋体" w:cs="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numPr>
          <w:ilvl w:val="0"/>
          <w:numId w:val="1"/>
        </w:numPr>
        <w:spacing w:line="360" w:lineRule="auto"/>
        <w:jc w:val="center"/>
        <w:outlineLvl w:val="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 </w:t>
      </w:r>
      <w:bookmarkStart w:id="5" w:name="_Toc3567"/>
      <w:r>
        <w:rPr>
          <w:rFonts w:hint="eastAsia" w:ascii="宋体" w:hAnsi="宋体" w:cs="宋体"/>
          <w:b/>
          <w:bCs/>
          <w:color w:val="000000" w:themeColor="text1"/>
          <w:sz w:val="24"/>
          <w:highlight w:val="none"/>
          <w14:textFill>
            <w14:solidFill>
              <w14:schemeClr w14:val="tx1"/>
            </w14:solidFill>
          </w14:textFill>
        </w:rPr>
        <w:t>合同格式及合同条款</w:t>
      </w:r>
      <w:bookmarkEnd w:id="5"/>
    </w:p>
    <w:p>
      <w:pPr>
        <w:spacing w:line="360" w:lineRule="auto"/>
        <w:ind w:firstLine="470" w:firstLineChars="196"/>
        <w:jc w:val="center"/>
        <w:rPr>
          <w:rFonts w:ascii="宋体" w:hAnsi="宋体" w:cs="宋体"/>
          <w:color w:val="000000" w:themeColor="text1"/>
          <w:sz w:val="24"/>
          <w:highlight w:val="none"/>
          <w14:textFill>
            <w14:solidFill>
              <w14:schemeClr w14:val="tx1"/>
            </w14:solidFill>
          </w14:textFill>
        </w:rPr>
      </w:pPr>
      <w:bookmarkStart w:id="6" w:name="_Toc73521680"/>
      <w:bookmarkStart w:id="7" w:name="_Toc100052414"/>
      <w:bookmarkStart w:id="8" w:name="_Toc73518163"/>
      <w:bookmarkStart w:id="9" w:name="_Toc84303603"/>
      <w:bookmarkStart w:id="10" w:name="_Toc73517685"/>
      <w:bookmarkStart w:id="11" w:name="_Toc101074886"/>
      <w:bookmarkStart w:id="12" w:name="_Toc73521592"/>
    </w:p>
    <w:bookmarkEnd w:id="6"/>
    <w:bookmarkEnd w:id="7"/>
    <w:bookmarkEnd w:id="8"/>
    <w:bookmarkEnd w:id="9"/>
    <w:bookmarkEnd w:id="10"/>
    <w:bookmarkEnd w:id="11"/>
    <w:bookmarkEnd w:id="12"/>
    <w:p>
      <w:pPr>
        <w:pStyle w:val="56"/>
        <w:spacing w:line="360" w:lineRule="auto"/>
        <w:ind w:left="1470" w:right="1470" w:firstLine="489"/>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 xml:space="preserve">                        合同编号（甲方）：            </w:t>
      </w:r>
    </w:p>
    <w:p>
      <w:pPr>
        <w:pStyle w:val="56"/>
        <w:spacing w:line="360" w:lineRule="auto"/>
        <w:ind w:left="1470" w:right="1470" w:firstLine="489"/>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 xml:space="preserve">                        合同编号（乙方）：            </w:t>
      </w:r>
    </w:p>
    <w:p>
      <w:pPr>
        <w:pStyle w:val="56"/>
        <w:spacing w:line="360" w:lineRule="auto"/>
        <w:ind w:left="1470" w:right="1470" w:firstLine="489"/>
        <w:jc w:val="center"/>
        <w:rPr>
          <w:rFonts w:ascii="宋体" w:hAnsi="宋体" w:cs="宋体"/>
          <w:b/>
          <w:color w:val="000000" w:themeColor="text1"/>
          <w:sz w:val="24"/>
          <w:szCs w:val="24"/>
          <w:highlight w:val="none"/>
          <w14:textFill>
            <w14:solidFill>
              <w14:schemeClr w14:val="tx1"/>
            </w14:solidFill>
          </w14:textFill>
        </w:rPr>
      </w:pPr>
    </w:p>
    <w:p>
      <w:pPr>
        <w:pStyle w:val="56"/>
        <w:spacing w:line="360" w:lineRule="auto"/>
        <w:ind w:left="1470" w:right="1470" w:firstLine="489"/>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 xml:space="preserve"> </w:t>
      </w:r>
    </w:p>
    <w:p>
      <w:pPr>
        <w:pStyle w:val="56"/>
        <w:spacing w:line="360" w:lineRule="auto"/>
        <w:ind w:left="1470" w:right="1470" w:firstLine="489"/>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 xml:space="preserve"> </w:t>
      </w:r>
    </w:p>
    <w:p>
      <w:pPr>
        <w:spacing w:line="360" w:lineRule="auto"/>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lang w:eastAsia="zh-CN"/>
          <w14:textFill>
            <w14:solidFill>
              <w14:schemeClr w14:val="tx1"/>
            </w14:solidFill>
          </w14:textFill>
        </w:rPr>
        <w:t>2023年度“前海工匠”培育与评选活动项目</w:t>
      </w:r>
      <w:r>
        <w:rPr>
          <w:rFonts w:hint="eastAsia" w:ascii="宋体" w:hAnsi="宋体" w:cs="宋体"/>
          <w:b/>
          <w:color w:val="000000" w:themeColor="text1"/>
          <w:sz w:val="28"/>
          <w:szCs w:val="28"/>
          <w:highlight w:val="none"/>
          <w14:textFill>
            <w14:solidFill>
              <w14:schemeClr w14:val="tx1"/>
            </w14:solidFill>
          </w14:textFill>
        </w:rPr>
        <w:t>委托合同</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pPr>
        <w:pStyle w:val="56"/>
        <w:spacing w:line="360" w:lineRule="auto"/>
        <w:ind w:left="1470" w:right="1470"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p>
      <w:pPr>
        <w:pStyle w:val="56"/>
        <w:spacing w:line="360" w:lineRule="auto"/>
        <w:ind w:left="1470" w:right="1470"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lang w:eastAsia="zh-CN"/>
          <w14:textFill>
            <w14:solidFill>
              <w14:schemeClr w14:val="tx1"/>
            </w14:solidFill>
          </w14:textFill>
        </w:rPr>
        <w:t>2023年度“前海工匠”培育与评选活动项目</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项目类型：</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委托方（甲方）：</w:t>
      </w:r>
      <w:r>
        <w:rPr>
          <w:rFonts w:hint="eastAsia" w:ascii="宋体" w:hAnsi="宋体" w:cs="宋体"/>
          <w:color w:val="000000" w:themeColor="text1"/>
          <w:sz w:val="24"/>
          <w:highlight w:val="none"/>
          <w:u w:val="single"/>
          <w14:textFill>
            <w14:solidFill>
              <w14:schemeClr w14:val="tx1"/>
            </w14:solidFill>
          </w14:textFill>
        </w:rPr>
        <w:t xml:space="preserve">  深圳市前海深港现代服务业合作区管理局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承接方（乙方）：</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pPr>
        <w:spacing w:line="360" w:lineRule="auto"/>
        <w:jc w:val="center"/>
        <w:rPr>
          <w:rFonts w:ascii="宋体" w:hAnsi="宋体" w:cs="宋体"/>
          <w:color w:val="000000" w:themeColor="text1"/>
          <w:sz w:val="24"/>
          <w:highlight w:val="none"/>
          <w14:textFill>
            <w14:solidFill>
              <w14:schemeClr w14:val="tx1"/>
            </w14:solidFill>
          </w14:textFill>
        </w:rPr>
      </w:pP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二〇二三年  月</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本合同共    页（不含封面）</w:t>
      </w: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br w:type="page"/>
      </w:r>
      <w:r>
        <w:rPr>
          <w:rFonts w:hint="eastAsia" w:ascii="宋体" w:hAnsi="宋体" w:cs="宋体"/>
          <w:b/>
          <w:bCs/>
          <w:color w:val="000000" w:themeColor="text1"/>
          <w:sz w:val="24"/>
          <w:highlight w:val="none"/>
          <w14:textFill>
            <w14:solidFill>
              <w14:schemeClr w14:val="tx1"/>
            </w14:solidFill>
          </w14:textFill>
        </w:rPr>
        <w:t xml:space="preserve">甲方： </w:t>
      </w:r>
      <w:r>
        <w:rPr>
          <w:rFonts w:hint="eastAsia" w:ascii="宋体" w:hAnsi="宋体" w:cs="宋体"/>
          <w:color w:val="000000" w:themeColor="text1"/>
          <w:sz w:val="24"/>
          <w:highlight w:val="none"/>
          <w:u w:val="single"/>
          <w14:textFill>
            <w14:solidFill>
              <w14:schemeClr w14:val="tx1"/>
            </w14:solidFill>
          </w14:textFill>
        </w:rPr>
        <w:t>深圳市前海深港现代服务业合作区管理局</w:t>
      </w: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single"/>
          <w14:textFill>
            <w14:solidFill>
              <w14:schemeClr w14:val="tx1"/>
            </w14:solidFill>
          </w14:textFill>
        </w:rPr>
        <w:t>深圳市前海深港合作区</w:t>
      </w:r>
      <w:r>
        <w:rPr>
          <w:rFonts w:ascii="宋体" w:hAnsi="宋体" w:cs="宋体"/>
          <w:color w:val="000000" w:themeColor="text1"/>
          <w:sz w:val="24"/>
          <w:highlight w:val="none"/>
          <w:u w:val="single"/>
          <w14:textFill>
            <w14:solidFill>
              <w14:schemeClr w14:val="tx1"/>
            </w14:solidFill>
          </w14:textFill>
        </w:rPr>
        <w:t>桂湾五路123号前海大厦T1栋前海管理局</w:t>
      </w: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法定代表人： </w:t>
      </w: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 </w:t>
      </w: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乙方：</w:t>
      </w: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地址：</w:t>
      </w: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法定代表人：</w:t>
      </w: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以下甲方和乙方合称“双方”。</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根据《中华人民共和国民法典》等法律、法规的相关规定和编号为【</w:t>
      </w:r>
      <w:r>
        <w:rPr>
          <w:rFonts w:hint="eastAsia" w:ascii="宋体" w:hAnsi="宋体" w:cs="宋体"/>
          <w:color w:val="000000" w:themeColor="text1"/>
          <w:sz w:val="24"/>
          <w:highlight w:val="none"/>
          <w:lang w:eastAsia="zh-CN"/>
          <w14:textFill>
            <w14:solidFill>
              <w14:schemeClr w14:val="tx1"/>
            </w14:solidFill>
          </w14:textFill>
        </w:rPr>
        <w:t>QH2023126</w:t>
      </w:r>
      <w:r>
        <w:rPr>
          <w:rFonts w:hint="eastAsia" w:ascii="宋体" w:hAnsi="宋体" w:cs="宋体"/>
          <w:color w:val="000000" w:themeColor="text1"/>
          <w:sz w:val="24"/>
          <w:highlight w:val="none"/>
          <w14:textFill>
            <w14:solidFill>
              <w14:schemeClr w14:val="tx1"/>
            </w14:solidFill>
          </w14:textFill>
        </w:rPr>
        <w:t>】招标项目的中标结果，由【***】单位（以下简称乙方）为中标人。按照《中华人民共和国民法典》和《深圳经济特区政府采购条例》，经深圳市前海深港现代服务业合作区管理局（以下简称甲方）和【***】单位（以下简称乙方）协商，就甲方委托</w:t>
      </w:r>
      <w:r>
        <w:rPr>
          <w:rFonts w:hint="eastAsia" w:ascii="宋体" w:hAnsi="宋体" w:cs="宋体"/>
          <w:b/>
          <w:bCs/>
          <w:color w:val="000000" w:themeColor="text1"/>
          <w:sz w:val="24"/>
          <w:highlight w:val="none"/>
          <w:u w:val="single"/>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共同承担</w:t>
      </w:r>
      <w:r>
        <w:rPr>
          <w:rFonts w:hint="eastAsia" w:ascii="宋体" w:hAnsi="宋体" w:cs="宋体"/>
          <w:b/>
          <w:bCs/>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2023年度“前海工匠”培育与评选活动项目</w:t>
      </w:r>
      <w:r>
        <w:rPr>
          <w:rFonts w:hint="eastAsia" w:ascii="宋体" w:hAnsi="宋体" w:cs="宋体"/>
          <w:b/>
          <w:bCs/>
          <w:color w:val="000000" w:themeColor="text1"/>
          <w:kern w:val="0"/>
          <w:sz w:val="24"/>
          <w:highlight w:val="none"/>
          <w:u w:val="single"/>
          <w14:textFill>
            <w14:solidFill>
              <w14:schemeClr w14:val="tx1"/>
            </w14:solidFill>
          </w14:textFill>
        </w:rPr>
        <w:t>（以下简称本项目）</w:t>
      </w:r>
      <w:r>
        <w:rPr>
          <w:rFonts w:hint="eastAsia" w:ascii="宋体" w:hAnsi="宋体" w:cs="宋体"/>
          <w:color w:val="000000" w:themeColor="text1"/>
          <w:sz w:val="24"/>
          <w:highlight w:val="none"/>
          <w14:textFill>
            <w14:solidFill>
              <w14:schemeClr w14:val="tx1"/>
            </w14:solidFill>
          </w14:textFill>
        </w:rPr>
        <w:t>，达成以下合同条款：</w:t>
      </w:r>
    </w:p>
    <w:p>
      <w:pPr>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第一条 项目内容</w:t>
      </w:r>
    </w:p>
    <w:p>
      <w:pPr>
        <w:spacing w:line="360" w:lineRule="auto"/>
        <w:ind w:firstLine="504" w:firstLineChars="200"/>
        <w:rPr>
          <w:rFonts w:ascii="Times New Roman" w:hAnsi="Times New Roman" w:eastAsia="宋体" w:cs="Times New Roman"/>
          <w:color w:val="000000" w:themeColor="text1"/>
          <w:spacing w:val="6"/>
          <w:sz w:val="24"/>
          <w:szCs w:val="24"/>
          <w:highlight w:val="none"/>
          <w14:textFill>
            <w14:solidFill>
              <w14:schemeClr w14:val="tx1"/>
            </w14:solidFill>
          </w14:textFill>
        </w:rPr>
      </w:pPr>
      <w:r>
        <w:rPr>
          <w:rFonts w:ascii="Times New Roman" w:hAnsi="Times New Roman" w:eastAsia="宋体" w:cs="Times New Roman"/>
          <w:color w:val="000000" w:themeColor="text1"/>
          <w:spacing w:val="6"/>
          <w:sz w:val="24"/>
          <w:szCs w:val="24"/>
          <w:highlight w:val="none"/>
          <w14:textFill>
            <w14:solidFill>
              <w14:schemeClr w14:val="tx1"/>
            </w14:solidFill>
          </w14:textFill>
        </w:rPr>
        <w:t>（一）主要内容</w:t>
      </w:r>
    </w:p>
    <w:p>
      <w:pPr>
        <w:spacing w:line="360" w:lineRule="auto"/>
        <w:ind w:firstLine="504" w:firstLineChars="200"/>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pPr>
      <w:r>
        <w:rPr>
          <w:rFonts w:ascii="Times New Roman" w:hAnsi="Times New Roman" w:eastAsia="宋体" w:cs="Times New Roman"/>
          <w:color w:val="000000" w:themeColor="text1"/>
          <w:spacing w:val="6"/>
          <w:sz w:val="24"/>
          <w:szCs w:val="24"/>
          <w:highlight w:val="none"/>
          <w14:textFill>
            <w14:solidFill>
              <w14:schemeClr w14:val="tx1"/>
            </w14:solidFill>
          </w14:textFill>
        </w:rPr>
        <w:t>1.</w:t>
      </w: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技能培育</w:t>
      </w:r>
      <w:r>
        <w:rPr>
          <w:rFonts w:ascii="Times New Roman" w:hAnsi="Times New Roman" w:eastAsia="宋体" w:cs="Times New Roman"/>
          <w:color w:val="000000" w:themeColor="text1"/>
          <w:spacing w:val="6"/>
          <w:sz w:val="24"/>
          <w:szCs w:val="24"/>
          <w:highlight w:val="none"/>
          <w14:textFill>
            <w14:solidFill>
              <w14:schemeClr w14:val="tx1"/>
            </w14:solidFill>
          </w14:textFill>
        </w:rPr>
        <w:t>授课</w:t>
      </w: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人员安排</w:t>
      </w:r>
    </w:p>
    <w:p>
      <w:pPr>
        <w:spacing w:line="360" w:lineRule="auto"/>
        <w:ind w:firstLine="504" w:firstLineChars="200"/>
        <w:rPr>
          <w:rFonts w:ascii="Times New Roman" w:hAnsi="Times New Roman" w:eastAsia="宋体" w:cs="Times New Roman"/>
          <w:color w:val="000000" w:themeColor="text1"/>
          <w:spacing w:val="6"/>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乙方应按</w:t>
      </w:r>
      <w:r>
        <w:rPr>
          <w:rFonts w:ascii="Times New Roman" w:hAnsi="Times New Roman" w:eastAsia="宋体" w:cs="Times New Roman"/>
          <w:color w:val="000000" w:themeColor="text1"/>
          <w:spacing w:val="6"/>
          <w:sz w:val="24"/>
          <w:szCs w:val="24"/>
          <w:highlight w:val="none"/>
          <w14:textFill>
            <w14:solidFill>
              <w14:schemeClr w14:val="tx1"/>
            </w14:solidFill>
          </w14:textFill>
        </w:rPr>
        <w:t>甲方要求</w:t>
      </w: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安排不少于8名专家（包括</w:t>
      </w:r>
      <w:r>
        <w:rPr>
          <w:rFonts w:ascii="Times New Roman" w:hAnsi="Times New Roman" w:eastAsia="宋体" w:cs="Times New Roman"/>
          <w:color w:val="000000" w:themeColor="text1"/>
          <w:spacing w:val="6"/>
          <w:sz w:val="24"/>
          <w:szCs w:val="24"/>
          <w:highlight w:val="none"/>
          <w14:textFill>
            <w14:solidFill>
              <w14:schemeClr w14:val="tx1"/>
            </w14:solidFill>
          </w14:textFill>
        </w:rPr>
        <w:t>钢筋工、</w:t>
      </w: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电工、手工木工、架子工、焊工、测量工、塔吊司机、起重工等专业工种，每专业不少于1名专家）</w:t>
      </w:r>
      <w:r>
        <w:rPr>
          <w:rFonts w:ascii="Times New Roman" w:hAnsi="Times New Roman" w:eastAsia="宋体" w:cs="Times New Roman"/>
          <w:color w:val="000000" w:themeColor="text1"/>
          <w:spacing w:val="6"/>
          <w:sz w:val="24"/>
          <w:szCs w:val="24"/>
          <w:highlight w:val="none"/>
          <w14:textFill>
            <w14:solidFill>
              <w14:schemeClr w14:val="tx1"/>
            </w14:solidFill>
          </w14:textFill>
        </w:rPr>
        <w:t>开展</w:t>
      </w: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培育与评选，专家应</w:t>
      </w:r>
      <w:r>
        <w:rPr>
          <w:rFonts w:ascii="Times New Roman" w:hAnsi="Times New Roman" w:eastAsia="宋体" w:cs="Times New Roman"/>
          <w:color w:val="000000" w:themeColor="text1"/>
          <w:spacing w:val="6"/>
          <w:sz w:val="24"/>
          <w:szCs w:val="24"/>
          <w:highlight w:val="none"/>
          <w14:textFill>
            <w14:solidFill>
              <w14:schemeClr w14:val="tx1"/>
            </w14:solidFill>
          </w14:textFill>
        </w:rPr>
        <w:t>持有高级技工及以上职业资格证书</w:t>
      </w: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或具有高级工程师职称</w:t>
      </w:r>
      <w:r>
        <w:rPr>
          <w:rFonts w:ascii="Times New Roman" w:hAnsi="Times New Roman" w:eastAsia="宋体" w:cs="Times New Roman"/>
          <w:color w:val="000000" w:themeColor="text1"/>
          <w:spacing w:val="6"/>
          <w:sz w:val="24"/>
          <w:szCs w:val="24"/>
          <w:highlight w:val="none"/>
          <w14:textFill>
            <w14:solidFill>
              <w14:schemeClr w14:val="tx1"/>
            </w14:solidFill>
          </w14:textFill>
        </w:rPr>
        <w:t>，具有5年及以上工作经验。</w:t>
      </w:r>
      <w:r>
        <w:rPr>
          <w:rFonts w:hint="eastAsia" w:ascii="Times New Roman" w:hAnsi="Times New Roman" w:eastAsia="宋体" w:cs="Times New Roman"/>
          <w:color w:val="000000" w:themeColor="text1"/>
          <w:sz w:val="24"/>
          <w:szCs w:val="24"/>
          <w:highlight w:val="none"/>
          <w14:textFill>
            <w14:solidFill>
              <w14:schemeClr w14:val="tx1"/>
            </w14:solidFill>
          </w14:textFill>
        </w:rPr>
        <w:t>拟安排</w:t>
      </w:r>
      <w:r>
        <w:rPr>
          <w:rFonts w:ascii="Times New Roman" w:hAnsi="Times New Roman" w:eastAsia="宋体" w:cs="Times New Roman"/>
          <w:color w:val="000000" w:themeColor="text1"/>
          <w:sz w:val="24"/>
          <w:szCs w:val="24"/>
          <w:highlight w:val="none"/>
          <w14:textFill>
            <w14:solidFill>
              <w14:schemeClr w14:val="tx1"/>
            </w14:solidFill>
          </w14:textFill>
        </w:rPr>
        <w:t>人员名单在甲方确认后如需更换，乙方应事先征得甲方的同意，且接替的工作人员的职位、资历、资质应与原定工作人员相当</w:t>
      </w:r>
      <w:r>
        <w:rPr>
          <w:rFonts w:hint="eastAsia" w:ascii="Times New Roman" w:hAnsi="Times New Roman" w:eastAsia="宋体" w:cs="Times New Roman"/>
          <w:color w:val="000000" w:themeColor="text1"/>
          <w:sz w:val="24"/>
          <w:szCs w:val="24"/>
          <w:highlight w:val="none"/>
          <w14:textFill>
            <w14:solidFill>
              <w14:schemeClr w14:val="tx1"/>
            </w14:solidFill>
          </w14:textFill>
        </w:rPr>
        <w:t>。</w:t>
      </w:r>
    </w:p>
    <w:p>
      <w:pPr>
        <w:spacing w:line="360" w:lineRule="auto"/>
        <w:ind w:firstLine="504" w:firstLineChars="200"/>
        <w:rPr>
          <w:rFonts w:ascii="Times New Roman" w:hAnsi="Times New Roman" w:eastAsia="宋体" w:cs="Times New Roman"/>
          <w:color w:val="000000" w:themeColor="text1"/>
          <w:spacing w:val="6"/>
          <w:sz w:val="24"/>
          <w:szCs w:val="24"/>
          <w:highlight w:val="none"/>
          <w14:textFill>
            <w14:solidFill>
              <w14:schemeClr w14:val="tx1"/>
            </w14:solidFill>
          </w14:textFill>
        </w:rPr>
      </w:pPr>
      <w:r>
        <w:rPr>
          <w:rFonts w:ascii="Times New Roman" w:hAnsi="Times New Roman" w:eastAsia="宋体" w:cs="Times New Roman"/>
          <w:color w:val="000000" w:themeColor="text1"/>
          <w:spacing w:val="6"/>
          <w:sz w:val="24"/>
          <w:szCs w:val="24"/>
          <w:highlight w:val="none"/>
          <w14:textFill>
            <w14:solidFill>
              <w14:schemeClr w14:val="tx1"/>
            </w14:solidFill>
          </w14:textFill>
        </w:rPr>
        <w:t>2.</w:t>
      </w: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工作内容</w:t>
      </w:r>
    </w:p>
    <w:p>
      <w:pPr>
        <w:spacing w:line="360" w:lineRule="auto"/>
        <w:ind w:firstLine="504" w:firstLineChars="200"/>
        <w:rPr>
          <w:rFonts w:ascii="宋体" w:hAnsi="宋体" w:eastAsia="宋体" w:cs="Times New Roman"/>
          <w:color w:val="000000" w:themeColor="text1"/>
          <w:spacing w:val="6"/>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（1）</w:t>
      </w:r>
      <w:r>
        <w:rPr>
          <w:rFonts w:ascii="宋体" w:hAnsi="宋体" w:eastAsia="宋体" w:cs="Times New Roman"/>
          <w:color w:val="000000" w:themeColor="text1"/>
          <w:spacing w:val="6"/>
          <w:sz w:val="24"/>
          <w:szCs w:val="24"/>
          <w:highlight w:val="none"/>
          <w14:textFill>
            <w14:solidFill>
              <w14:schemeClr w14:val="tx1"/>
            </w14:solidFill>
          </w14:textFill>
        </w:rPr>
        <w:t>“前海工匠”培育工作</w:t>
      </w:r>
    </w:p>
    <w:p>
      <w:pPr>
        <w:spacing w:line="360" w:lineRule="auto"/>
        <w:ind w:firstLine="504" w:firstLineChars="200"/>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pPr>
      <w:r>
        <w:rPr>
          <w:rFonts w:ascii="宋体" w:hAnsi="宋体" w:eastAsia="宋体" w:cs="Times New Roman"/>
          <w:color w:val="000000" w:themeColor="text1"/>
          <w:spacing w:val="6"/>
          <w:sz w:val="24"/>
          <w:szCs w:val="24"/>
          <w:highlight w:val="none"/>
          <w14:textFill>
            <w14:solidFill>
              <w14:schemeClr w14:val="tx1"/>
            </w14:solidFill>
          </w14:textFill>
        </w:rPr>
        <w:t>“</w:t>
      </w:r>
      <w:r>
        <w:rPr>
          <w:rFonts w:hint="eastAsia" w:ascii="宋体" w:hAnsi="宋体" w:eastAsia="宋体" w:cs="Times New Roman"/>
          <w:color w:val="000000" w:themeColor="text1"/>
          <w:spacing w:val="6"/>
          <w:sz w:val="24"/>
          <w:szCs w:val="24"/>
          <w:highlight w:val="none"/>
          <w14:textFill>
            <w14:solidFill>
              <w14:schemeClr w14:val="tx1"/>
            </w14:solidFill>
          </w14:textFill>
        </w:rPr>
        <w:t>前海工匠</w:t>
      </w:r>
      <w:r>
        <w:rPr>
          <w:rFonts w:ascii="宋体" w:hAnsi="宋体" w:eastAsia="宋体" w:cs="Times New Roman"/>
          <w:color w:val="000000" w:themeColor="text1"/>
          <w:spacing w:val="6"/>
          <w:sz w:val="24"/>
          <w:szCs w:val="24"/>
          <w:highlight w:val="none"/>
          <w14:textFill>
            <w14:solidFill>
              <w14:schemeClr w14:val="tx1"/>
            </w14:solidFill>
          </w14:textFill>
        </w:rPr>
        <w:t>”</w:t>
      </w:r>
      <w:r>
        <w:rPr>
          <w:rFonts w:hint="eastAsia" w:ascii="宋体" w:hAnsi="宋体" w:eastAsia="宋体" w:cs="Times New Roman"/>
          <w:color w:val="000000" w:themeColor="text1"/>
          <w:spacing w:val="6"/>
          <w:sz w:val="24"/>
          <w:szCs w:val="24"/>
          <w:highlight w:val="none"/>
          <w14:textFill>
            <w14:solidFill>
              <w14:schemeClr w14:val="tx1"/>
            </w14:solidFill>
          </w14:textFill>
        </w:rPr>
        <w:t>培育</w:t>
      </w: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工作，分专业开展以实操为主的技能指导，指导方式应以现场演示操作过程为主，且课程设置每专业不应少于2次，累计不少于1</w:t>
      </w:r>
      <w:r>
        <w:rPr>
          <w:rFonts w:ascii="Times New Roman" w:hAnsi="Times New Roman" w:eastAsia="宋体" w:cs="Times New Roman"/>
          <w:color w:val="000000" w:themeColor="text1"/>
          <w:spacing w:val="6"/>
          <w:sz w:val="24"/>
          <w:szCs w:val="24"/>
          <w:highlight w:val="none"/>
          <w14:textFill>
            <w14:solidFill>
              <w14:schemeClr w14:val="tx1"/>
            </w14:solidFill>
          </w14:textFill>
        </w:rPr>
        <w:t>4</w:t>
      </w: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场（塔吊司机、起重工两工种同1场进行），培育对象为各项目施工单位技术工人，累计培育不少于</w:t>
      </w:r>
      <w:r>
        <w:rPr>
          <w:rFonts w:ascii="Times New Roman" w:hAnsi="Times New Roman" w:eastAsia="宋体" w:cs="Times New Roman"/>
          <w:color w:val="000000" w:themeColor="text1"/>
          <w:spacing w:val="6"/>
          <w:sz w:val="24"/>
          <w:szCs w:val="24"/>
          <w:highlight w:val="none"/>
          <w14:textFill>
            <w14:solidFill>
              <w14:schemeClr w14:val="tx1"/>
            </w14:solidFill>
          </w14:textFill>
        </w:rPr>
        <w:t>2</w:t>
      </w: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00人次，并设置“技能比武”环节，现场考核参加评选的技术工人实操水平，选出态度端正、操作规范、具有潜质的优秀学员，名单报甲方审核，结合项目推荐择优遴选，</w:t>
      </w:r>
      <w:r>
        <w:rPr>
          <w:rFonts w:hint="eastAsia" w:ascii="宋体" w:hAnsi="宋体" w:eastAsia="宋体" w:cs="Times New Roman"/>
          <w:color w:val="000000" w:themeColor="text1"/>
          <w:spacing w:val="6"/>
          <w:sz w:val="24"/>
          <w:szCs w:val="24"/>
          <w:highlight w:val="none"/>
          <w14:textFill>
            <w14:solidFill>
              <w14:schemeClr w14:val="tx1"/>
            </w14:solidFill>
          </w14:textFill>
        </w:rPr>
        <w:t>选出</w:t>
      </w:r>
      <w:r>
        <w:rPr>
          <w:rFonts w:ascii="宋体" w:hAnsi="宋体" w:eastAsia="宋体" w:cs="Times New Roman"/>
          <w:color w:val="000000" w:themeColor="text1"/>
          <w:spacing w:val="6"/>
          <w:sz w:val="24"/>
          <w:szCs w:val="24"/>
          <w:highlight w:val="none"/>
          <w14:textFill>
            <w14:solidFill>
              <w14:schemeClr w14:val="tx1"/>
            </w14:solidFill>
          </w14:textFill>
        </w:rPr>
        <w:t>“</w:t>
      </w:r>
      <w:r>
        <w:rPr>
          <w:rFonts w:hint="eastAsia" w:ascii="宋体" w:hAnsi="宋体" w:eastAsia="宋体" w:cs="Times New Roman"/>
          <w:color w:val="000000" w:themeColor="text1"/>
          <w:spacing w:val="6"/>
          <w:sz w:val="24"/>
          <w:szCs w:val="24"/>
          <w:highlight w:val="none"/>
          <w14:textFill>
            <w14:solidFill>
              <w14:schemeClr w14:val="tx1"/>
            </w14:solidFill>
          </w14:textFill>
        </w:rPr>
        <w:t>工匠种子</w:t>
      </w:r>
      <w:r>
        <w:rPr>
          <w:rFonts w:ascii="宋体" w:hAnsi="宋体" w:eastAsia="宋体" w:cs="Times New Roman"/>
          <w:color w:val="000000" w:themeColor="text1"/>
          <w:spacing w:val="6"/>
          <w:sz w:val="24"/>
          <w:szCs w:val="24"/>
          <w:highlight w:val="none"/>
          <w14:textFill>
            <w14:solidFill>
              <w14:schemeClr w14:val="tx1"/>
            </w14:solidFill>
          </w14:textFill>
        </w:rPr>
        <w:t>”</w:t>
      </w: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7</w:t>
      </w:r>
      <w:r>
        <w:rPr>
          <w:rFonts w:ascii="Times New Roman" w:hAnsi="Times New Roman" w:eastAsia="宋体" w:cs="Times New Roman"/>
          <w:color w:val="000000" w:themeColor="text1"/>
          <w:spacing w:val="6"/>
          <w:sz w:val="24"/>
          <w:szCs w:val="24"/>
          <w:highlight w:val="none"/>
          <w14:textFill>
            <w14:solidFill>
              <w14:schemeClr w14:val="tx1"/>
            </w14:solidFill>
          </w14:textFill>
        </w:rPr>
        <w:t>0</w:t>
      </w: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人，其中钢筋工、架子工、手工木工各1</w:t>
      </w:r>
      <w:r>
        <w:rPr>
          <w:rFonts w:ascii="Times New Roman" w:hAnsi="Times New Roman" w:eastAsia="宋体" w:cs="Times New Roman"/>
          <w:color w:val="000000" w:themeColor="text1"/>
          <w:spacing w:val="6"/>
          <w:sz w:val="24"/>
          <w:szCs w:val="24"/>
          <w:highlight w:val="none"/>
          <w14:textFill>
            <w14:solidFill>
              <w14:schemeClr w14:val="tx1"/>
            </w14:solidFill>
          </w14:textFill>
        </w:rPr>
        <w:t>0</w:t>
      </w: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人，电工、测量工、焊工、塔吊司机、起重工各8人，</w:t>
      </w:r>
      <w:r>
        <w:rPr>
          <w:rFonts w:hint="eastAsia" w:ascii="宋体" w:hAnsi="宋体" w:eastAsia="宋体" w:cs="Times New Roman"/>
          <w:color w:val="000000" w:themeColor="text1"/>
          <w:spacing w:val="6"/>
          <w:sz w:val="24"/>
          <w:szCs w:val="24"/>
          <w:highlight w:val="none"/>
          <w14:textFill>
            <w14:solidFill>
              <w14:schemeClr w14:val="tx1"/>
            </w14:solidFill>
          </w14:textFill>
        </w:rPr>
        <w:t>进</w:t>
      </w: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行重点培养。</w:t>
      </w:r>
    </w:p>
    <w:p>
      <w:pPr>
        <w:spacing w:line="360" w:lineRule="auto"/>
        <w:ind w:firstLine="504" w:firstLineChars="200"/>
        <w:rPr>
          <w:rFonts w:ascii="Times New Roman" w:hAnsi="Times New Roman" w:eastAsia="宋体" w:cs="Times New Roman"/>
          <w:color w:val="000000" w:themeColor="text1"/>
          <w:spacing w:val="6"/>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w:t>
      </w:r>
      <w:r>
        <w:rPr>
          <w:rFonts w:ascii="Times New Roman" w:hAnsi="Times New Roman" w:eastAsia="宋体" w:cs="Times New Roman"/>
          <w:color w:val="000000" w:themeColor="text1"/>
          <w:spacing w:val="6"/>
          <w:sz w:val="24"/>
          <w:szCs w:val="24"/>
          <w:highlight w:val="none"/>
          <w14:textFill>
            <w14:solidFill>
              <w14:schemeClr w14:val="tx1"/>
            </w14:solidFill>
          </w14:textFill>
        </w:rPr>
        <w:t>2</w:t>
      </w: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）“前海工匠”评选工作及颁奖活动</w:t>
      </w:r>
    </w:p>
    <w:p>
      <w:pPr>
        <w:spacing w:line="360" w:lineRule="auto"/>
        <w:ind w:firstLine="504" w:firstLineChars="200"/>
        <w:rPr>
          <w:rFonts w:ascii="Times New Roman" w:hAnsi="Times New Roman" w:eastAsia="宋体" w:cs="Times New Roman"/>
          <w:color w:val="000000" w:themeColor="text1"/>
          <w:spacing w:val="6"/>
          <w:sz w:val="24"/>
          <w:szCs w:val="24"/>
          <w:highlight w:val="none"/>
          <w14:textFill>
            <w14:solidFill>
              <w14:schemeClr w14:val="tx1"/>
            </w14:solidFill>
          </w14:textFill>
        </w:rPr>
      </w:pPr>
      <w:r>
        <w:rPr>
          <w:rFonts w:ascii="Times New Roman" w:hAnsi="Times New Roman" w:eastAsia="宋体" w:cs="Times New Roman"/>
          <w:color w:val="000000" w:themeColor="text1"/>
          <w:spacing w:val="6"/>
          <w:sz w:val="24"/>
          <w:szCs w:val="24"/>
          <w:highlight w:val="none"/>
          <w14:textFill>
            <w14:solidFill>
              <w14:schemeClr w14:val="tx1"/>
            </w14:solidFill>
          </w14:textFill>
        </w:rPr>
        <w:t>在组织开展旨在提升一线技术工人操作水平的</w:t>
      </w: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w:t>
      </w:r>
      <w:r>
        <w:rPr>
          <w:rFonts w:ascii="Times New Roman" w:hAnsi="Times New Roman" w:eastAsia="宋体" w:cs="Times New Roman"/>
          <w:color w:val="000000" w:themeColor="text1"/>
          <w:spacing w:val="6"/>
          <w:sz w:val="24"/>
          <w:szCs w:val="24"/>
          <w:highlight w:val="none"/>
          <w14:textFill>
            <w14:solidFill>
              <w14:schemeClr w14:val="tx1"/>
            </w14:solidFill>
          </w14:textFill>
        </w:rPr>
        <w:t>前海工匠</w:t>
      </w: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w:t>
      </w:r>
      <w:r>
        <w:rPr>
          <w:rFonts w:ascii="Times New Roman" w:hAnsi="Times New Roman" w:eastAsia="宋体" w:cs="Times New Roman"/>
          <w:color w:val="000000" w:themeColor="text1"/>
          <w:spacing w:val="6"/>
          <w:sz w:val="24"/>
          <w:szCs w:val="24"/>
          <w:highlight w:val="none"/>
          <w14:textFill>
            <w14:solidFill>
              <w14:schemeClr w14:val="tx1"/>
            </w14:solidFill>
          </w14:textFill>
        </w:rPr>
        <w:t>培育工作后，为验收工匠培育工作成果，弘扬</w:t>
      </w: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w:t>
      </w:r>
      <w:r>
        <w:rPr>
          <w:rFonts w:ascii="Times New Roman" w:hAnsi="Times New Roman" w:eastAsia="宋体" w:cs="Times New Roman"/>
          <w:color w:val="000000" w:themeColor="text1"/>
          <w:spacing w:val="6"/>
          <w:sz w:val="24"/>
          <w:szCs w:val="24"/>
          <w:highlight w:val="none"/>
          <w14:textFill>
            <w14:solidFill>
              <w14:schemeClr w14:val="tx1"/>
            </w14:solidFill>
          </w14:textFill>
        </w:rPr>
        <w:t>精雕细琢、精耕细作</w:t>
      </w: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w:t>
      </w:r>
      <w:r>
        <w:rPr>
          <w:rFonts w:ascii="Times New Roman" w:hAnsi="Times New Roman" w:eastAsia="宋体" w:cs="Times New Roman"/>
          <w:color w:val="000000" w:themeColor="text1"/>
          <w:spacing w:val="6"/>
          <w:sz w:val="24"/>
          <w:szCs w:val="24"/>
          <w:highlight w:val="none"/>
          <w14:textFill>
            <w14:solidFill>
              <w14:schemeClr w14:val="tx1"/>
            </w14:solidFill>
          </w14:textFill>
        </w:rPr>
        <w:t>精神，拟举办年度“前海工匠”评选活动。以评优推先的方式选出专业技能高超、操作水平突出的一线技术工人，在合作区内营造精益求精、追求卓越的良好氛围，打造前海质量品牌，进一步推动前海建设工程质量品质的提升。</w:t>
      </w:r>
    </w:p>
    <w:p>
      <w:pPr>
        <w:spacing w:line="360" w:lineRule="auto"/>
        <w:ind w:firstLine="504" w:firstLineChars="200"/>
        <w:rPr>
          <w:rFonts w:ascii="Times New Roman" w:hAnsi="Times New Roman" w:eastAsia="宋体" w:cs="Times New Roman"/>
          <w:color w:val="000000" w:themeColor="text1"/>
          <w:spacing w:val="6"/>
          <w:sz w:val="24"/>
          <w:szCs w:val="24"/>
          <w:highlight w:val="none"/>
          <w14:textFill>
            <w14:solidFill>
              <w14:schemeClr w14:val="tx1"/>
            </w14:solidFill>
          </w14:textFill>
        </w:rPr>
      </w:pPr>
      <w:r>
        <w:rPr>
          <w:rFonts w:ascii="Times New Roman" w:hAnsi="Times New Roman" w:eastAsia="宋体" w:cs="Times New Roman"/>
          <w:color w:val="000000" w:themeColor="text1"/>
          <w:spacing w:val="6"/>
          <w:sz w:val="24"/>
          <w:szCs w:val="24"/>
          <w:highlight w:val="none"/>
          <w14:textFill>
            <w14:solidFill>
              <w14:schemeClr w14:val="tx1"/>
            </w14:solidFill>
          </w14:textFill>
        </w:rPr>
        <w:t>评选活动在前期工匠培育范围内进行，采取理论考核与实际操作相结合的方式进行。</w:t>
      </w: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在8个工种中评选出专业技能娴熟、操作水平高超的一线施工技术工人，每工种评选出前三名，第一名进入年度“前海工匠”名单，并举办不少于</w:t>
      </w:r>
      <w:r>
        <w:rPr>
          <w:rFonts w:ascii="Times New Roman" w:hAnsi="Times New Roman" w:eastAsia="宋体" w:cs="Times New Roman"/>
          <w:color w:val="000000" w:themeColor="text1"/>
          <w:spacing w:val="6"/>
          <w:sz w:val="24"/>
          <w:szCs w:val="24"/>
          <w:highlight w:val="none"/>
          <w14:textFill>
            <w14:solidFill>
              <w14:schemeClr w14:val="tx1"/>
            </w14:solidFill>
          </w14:textFill>
        </w:rPr>
        <w:t>100</w:t>
      </w: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人参加的颁奖仪式活动，现场授予评比优秀选手年度“前海工匠”荣誉称号。</w:t>
      </w:r>
      <w:r>
        <w:rPr>
          <w:rFonts w:ascii="Times New Roman" w:hAnsi="Times New Roman" w:eastAsia="宋体" w:cs="Times New Roman"/>
          <w:color w:val="000000" w:themeColor="text1"/>
          <w:spacing w:val="6"/>
          <w:sz w:val="24"/>
          <w:szCs w:val="24"/>
          <w:highlight w:val="none"/>
          <w14:textFill>
            <w14:solidFill>
              <w14:schemeClr w14:val="tx1"/>
            </w14:solidFill>
          </w14:textFill>
        </w:rPr>
        <w:t>乙方应提前制定活动方案，提报甲方审核。</w:t>
      </w:r>
    </w:p>
    <w:p>
      <w:pPr>
        <w:widowControl/>
        <w:spacing w:before="0" w:beforeAutospacing="0" w:after="0" w:afterAutospacing="0" w:line="360" w:lineRule="auto"/>
        <w:ind w:firstLine="504" w:firstLineChars="200"/>
        <w:jc w:val="both"/>
        <w:rPr>
          <w:rFonts w:ascii="Times New Roman" w:hAnsi="Times New Roman" w:eastAsia="宋体" w:cs="Times New Roman"/>
          <w:color w:val="000000" w:themeColor="text1"/>
          <w:spacing w:val="6"/>
          <w:kern w:val="0"/>
          <w:sz w:val="24"/>
          <w:szCs w:val="24"/>
          <w:highlight w:val="none"/>
          <w:lang w:val="en-US" w:eastAsia="zh-CN" w:bidi="ar-SA"/>
          <w14:textFill>
            <w14:solidFill>
              <w14:schemeClr w14:val="tx1"/>
            </w14:solidFill>
          </w14:textFill>
        </w:rPr>
      </w:pPr>
      <w:r>
        <w:rPr>
          <w:rFonts w:ascii="Times New Roman" w:hAnsi="Times New Roman" w:eastAsia="宋体" w:cs="Times New Roman"/>
          <w:color w:val="000000" w:themeColor="text1"/>
          <w:spacing w:val="6"/>
          <w:kern w:val="0"/>
          <w:sz w:val="24"/>
          <w:szCs w:val="24"/>
          <w:highlight w:val="none"/>
          <w:lang w:val="en-US" w:eastAsia="zh-CN" w:bidi="ar-SA"/>
          <w14:textFill>
            <w14:solidFill>
              <w14:schemeClr w14:val="tx1"/>
            </w14:solidFill>
          </w14:textFill>
        </w:rPr>
        <w:t>（二）工作成果及验收要求</w:t>
      </w:r>
    </w:p>
    <w:tbl>
      <w:tblPr>
        <w:tblStyle w:val="2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4394"/>
        <w:gridCol w:w="2836"/>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pPr>
            <w:r>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t>序号</w:t>
            </w:r>
          </w:p>
        </w:tc>
        <w:tc>
          <w:tcPr>
            <w:tcW w:w="4394" w:type="dxa"/>
            <w:noWrap w:val="0"/>
            <w:vAlign w:val="center"/>
          </w:tcPr>
          <w:p>
            <w:pPr>
              <w:spacing w:line="360" w:lineRule="auto"/>
              <w:jc w:val="center"/>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pPr>
            <w:r>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t>成果文件或服务</w:t>
            </w:r>
          </w:p>
        </w:tc>
        <w:tc>
          <w:tcPr>
            <w:tcW w:w="2836" w:type="dxa"/>
            <w:noWrap w:val="0"/>
            <w:vAlign w:val="center"/>
          </w:tcPr>
          <w:p>
            <w:pPr>
              <w:spacing w:line="360" w:lineRule="auto"/>
              <w:jc w:val="center"/>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4"/>
                <w:highlight w:val="none"/>
                <w14:textFill>
                  <w14:solidFill>
                    <w14:schemeClr w14:val="tx1"/>
                  </w14:solidFill>
                </w14:textFill>
              </w:rPr>
              <w:t>执行</w:t>
            </w:r>
            <w:r>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t>时间及要求</w:t>
            </w:r>
          </w:p>
        </w:tc>
        <w:tc>
          <w:tcPr>
            <w:tcW w:w="708" w:type="dxa"/>
            <w:noWrap w:val="0"/>
            <w:vAlign w:val="center"/>
          </w:tcPr>
          <w:p>
            <w:pPr>
              <w:spacing w:line="360" w:lineRule="auto"/>
              <w:jc w:val="center"/>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pPr>
            <w:r>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4"/>
                <w:highlight w:val="none"/>
                <w14:textFill>
                  <w14:solidFill>
                    <w14:schemeClr w14:val="tx1"/>
                  </w14:solidFill>
                </w14:textFill>
              </w:rPr>
              <w:t>1</w:t>
            </w:r>
          </w:p>
        </w:tc>
        <w:tc>
          <w:tcPr>
            <w:tcW w:w="4394" w:type="dxa"/>
            <w:noWrap w:val="0"/>
            <w:vAlign w:val="center"/>
          </w:tcPr>
          <w:p>
            <w:pPr>
              <w:spacing w:line="360" w:lineRule="auto"/>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“前海工匠”培育</w:t>
            </w:r>
            <w:r>
              <w:rPr>
                <w:rFonts w:ascii="Times New Roman" w:hAnsi="Times New Roman" w:eastAsia="宋体" w:cs="Times New Roman"/>
                <w:color w:val="000000" w:themeColor="text1"/>
                <w:sz w:val="24"/>
                <w:szCs w:val="24"/>
                <w:highlight w:val="none"/>
                <w14:textFill>
                  <w14:solidFill>
                    <w14:schemeClr w14:val="tx1"/>
                  </w14:solidFill>
                </w14:textFill>
              </w:rPr>
              <w:t>工作</w:t>
            </w:r>
            <w:r>
              <w:rPr>
                <w:rFonts w:ascii="Times New Roman" w:hAnsi="Times New Roman" w:eastAsia="宋体" w:cs="Times New Roman"/>
                <w:color w:val="000000" w:themeColor="text1"/>
                <w:spacing w:val="6"/>
                <w:sz w:val="24"/>
                <w:szCs w:val="24"/>
                <w:highlight w:val="none"/>
                <w14:textFill>
                  <w14:solidFill>
                    <w14:schemeClr w14:val="tx1"/>
                  </w14:solidFill>
                </w14:textFill>
              </w:rPr>
              <w:t>：完成</w:t>
            </w:r>
            <w:r>
              <w:rPr>
                <w:rFonts w:ascii="Times New Roman" w:hAnsi="Times New Roman" w:eastAsia="宋体" w:cs="Times New Roman"/>
                <w:color w:val="000000" w:themeColor="text1"/>
                <w:sz w:val="24"/>
                <w:szCs w:val="24"/>
                <w:highlight w:val="none"/>
                <w14:textFill>
                  <w14:solidFill>
                    <w14:schemeClr w14:val="tx1"/>
                  </w14:solidFill>
                </w14:textFill>
              </w:rPr>
              <w:t>累计不少于</w:t>
            </w:r>
            <w:r>
              <w:rPr>
                <w:rFonts w:hint="eastAsia" w:ascii="Times New Roman" w:hAnsi="Times New Roman" w:eastAsia="宋体" w:cs="Times New Roman"/>
                <w:color w:val="000000" w:themeColor="text1"/>
                <w:sz w:val="24"/>
                <w:szCs w:val="24"/>
                <w:highlight w:val="none"/>
                <w14:textFill>
                  <w14:solidFill>
                    <w14:schemeClr w14:val="tx1"/>
                  </w14:solidFill>
                </w14:textFill>
              </w:rPr>
              <w:t>14</w:t>
            </w:r>
            <w:r>
              <w:rPr>
                <w:rFonts w:ascii="Times New Roman" w:hAnsi="Times New Roman" w:eastAsia="宋体" w:cs="Times New Roman"/>
                <w:color w:val="000000" w:themeColor="text1"/>
                <w:sz w:val="24"/>
                <w:szCs w:val="24"/>
                <w:highlight w:val="none"/>
                <w14:textFill>
                  <w14:solidFill>
                    <w14:schemeClr w14:val="tx1"/>
                  </w14:solidFill>
                </w14:textFill>
              </w:rPr>
              <w:t>场</w:t>
            </w:r>
            <w:r>
              <w:rPr>
                <w:rFonts w:hint="eastAsia" w:ascii="Times New Roman" w:hAnsi="Times New Roman" w:eastAsia="宋体" w:cs="Times New Roman"/>
                <w:color w:val="000000" w:themeColor="text1"/>
                <w:sz w:val="24"/>
                <w:szCs w:val="24"/>
                <w:highlight w:val="none"/>
                <w14:textFill>
                  <w14:solidFill>
                    <w14:schemeClr w14:val="tx1"/>
                  </w14:solidFill>
                </w14:textFill>
              </w:rPr>
              <w:t>（塔吊司机、起重工两工种同1场进行）</w:t>
            </w:r>
            <w:r>
              <w:rPr>
                <w:rFonts w:ascii="Times New Roman" w:hAnsi="Times New Roman" w:eastAsia="宋体" w:cs="Times New Roman"/>
                <w:color w:val="000000" w:themeColor="text1"/>
                <w:sz w:val="24"/>
                <w:szCs w:val="24"/>
                <w:highlight w:val="none"/>
                <w14:textFill>
                  <w14:solidFill>
                    <w14:schemeClr w14:val="tx1"/>
                  </w14:solidFill>
                </w14:textFill>
              </w:rPr>
              <w:t>的专业技能现场操作课程，其中包</w:t>
            </w:r>
            <w:r>
              <w:rPr>
                <w:rFonts w:ascii="宋体" w:hAnsi="宋体" w:eastAsia="宋体" w:cs="Times New Roman"/>
                <w:color w:val="000000" w:themeColor="text1"/>
                <w:sz w:val="24"/>
                <w:szCs w:val="24"/>
                <w:highlight w:val="none"/>
                <w14:textFill>
                  <w14:solidFill>
                    <w14:schemeClr w14:val="tx1"/>
                  </w14:solidFill>
                </w14:textFill>
              </w:rPr>
              <w:t>括“技能比武”环节</w:t>
            </w:r>
            <w:r>
              <w:rPr>
                <w:rFonts w:ascii="Times New Roman" w:hAnsi="Times New Roman" w:eastAsia="宋体" w:cs="Times New Roman"/>
                <w:color w:val="000000" w:themeColor="text1"/>
                <w:sz w:val="24"/>
                <w:szCs w:val="24"/>
                <w:highlight w:val="none"/>
                <w14:textFill>
                  <w14:solidFill>
                    <w14:schemeClr w14:val="tx1"/>
                  </w14:solidFill>
                </w14:textFill>
              </w:rPr>
              <w:t>，</w:t>
            </w:r>
            <w:r>
              <w:rPr>
                <w:rFonts w:hint="eastAsia" w:ascii="Times New Roman" w:hAnsi="Times New Roman" w:eastAsia="宋体" w:cs="Times New Roman"/>
                <w:color w:val="000000" w:themeColor="text1"/>
                <w:sz w:val="24"/>
                <w:szCs w:val="24"/>
                <w:highlight w:val="none"/>
                <w14:textFill>
                  <w14:solidFill>
                    <w14:schemeClr w14:val="tx1"/>
                  </w14:solidFill>
                </w14:textFill>
              </w:rPr>
              <w:t>培育</w:t>
            </w:r>
            <w:r>
              <w:rPr>
                <w:rFonts w:ascii="Times New Roman" w:hAnsi="Times New Roman" w:eastAsia="宋体" w:cs="Times New Roman"/>
                <w:color w:val="000000" w:themeColor="text1"/>
                <w:sz w:val="24"/>
                <w:szCs w:val="24"/>
                <w:highlight w:val="none"/>
                <w14:textFill>
                  <w14:solidFill>
                    <w14:schemeClr w14:val="tx1"/>
                  </w14:solidFill>
                </w14:textFill>
              </w:rPr>
              <w:t>对象为各项目施工单位技术工人</w:t>
            </w:r>
          </w:p>
        </w:tc>
        <w:tc>
          <w:tcPr>
            <w:tcW w:w="2836" w:type="dxa"/>
            <w:noWrap w:val="0"/>
            <w:vAlign w:val="center"/>
          </w:tcPr>
          <w:p>
            <w:pPr>
              <w:spacing w:line="360" w:lineRule="auto"/>
              <w:jc w:val="left"/>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4"/>
                <w:highlight w:val="none"/>
                <w14:textFill>
                  <w14:solidFill>
                    <w14:schemeClr w14:val="tx1"/>
                  </w14:solidFill>
                </w14:textFill>
              </w:rPr>
              <w:t>202</w:t>
            </w:r>
            <w:r>
              <w:rPr>
                <w:rFonts w:hint="default" w:ascii="Times New Roman" w:hAnsi="Times New Roman" w:eastAsia="宋体" w:cs="Times New Roman"/>
                <w:snapToGrid w:val="0"/>
                <w:color w:val="000000" w:themeColor="text1"/>
                <w:kern w:val="0"/>
                <w:sz w:val="24"/>
                <w:szCs w:val="24"/>
                <w:highlight w:val="none"/>
                <w14:textFill>
                  <w14:solidFill>
                    <w14:schemeClr w14:val="tx1"/>
                  </w14:solidFill>
                </w14:textFill>
              </w:rPr>
              <w:t>3</w:t>
            </w:r>
            <w:r>
              <w:rPr>
                <w:rFonts w:hint="eastAsia" w:ascii="Times New Roman" w:hAnsi="Times New Roman" w:eastAsia="宋体" w:cs="Times New Roman"/>
                <w:snapToGrid w:val="0"/>
                <w:color w:val="000000" w:themeColor="text1"/>
                <w:kern w:val="0"/>
                <w:sz w:val="24"/>
                <w:szCs w:val="24"/>
                <w:highlight w:val="none"/>
                <w14:textFill>
                  <w14:solidFill>
                    <w14:schemeClr w14:val="tx1"/>
                  </w14:solidFill>
                </w14:textFill>
              </w:rPr>
              <w:t>年11-12月，具体</w:t>
            </w:r>
            <w:r>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t>按甲方要求开展，</w:t>
            </w:r>
            <w:r>
              <w:rPr>
                <w:rFonts w:ascii="Times New Roman" w:hAnsi="Times New Roman" w:eastAsia="宋体" w:cs="Times New Roman"/>
                <w:color w:val="000000" w:themeColor="text1"/>
                <w:spacing w:val="6"/>
                <w:sz w:val="24"/>
                <w:szCs w:val="24"/>
                <w:highlight w:val="none"/>
                <w14:textFill>
                  <w14:solidFill>
                    <w14:schemeClr w14:val="tx1"/>
                  </w14:solidFill>
                </w14:textFill>
              </w:rPr>
              <w:t>报送甲</w:t>
            </w:r>
            <w:r>
              <w:rPr>
                <w:rFonts w:ascii="宋体" w:hAnsi="宋体" w:eastAsia="宋体" w:cs="Times New Roman"/>
                <w:color w:val="000000" w:themeColor="text1"/>
                <w:spacing w:val="6"/>
                <w:sz w:val="24"/>
                <w:szCs w:val="24"/>
                <w:highlight w:val="none"/>
                <w14:textFill>
                  <w14:solidFill>
                    <w14:schemeClr w14:val="tx1"/>
                  </w14:solidFill>
                </w14:textFill>
              </w:rPr>
              <w:t>方</w:t>
            </w:r>
            <w:r>
              <w:rPr>
                <w:rFonts w:hint="eastAsia" w:ascii="宋体" w:hAnsi="宋体" w:eastAsia="宋体" w:cs="Times New Roman"/>
                <w:color w:val="000000" w:themeColor="text1"/>
                <w:spacing w:val="6"/>
                <w:sz w:val="24"/>
                <w:szCs w:val="24"/>
                <w:highlight w:val="none"/>
                <w14:textFill>
                  <w14:solidFill>
                    <w14:schemeClr w14:val="tx1"/>
                  </w14:solidFill>
                </w14:textFill>
              </w:rPr>
              <w:t>7</w:t>
            </w:r>
            <w:r>
              <w:rPr>
                <w:rFonts w:ascii="宋体" w:hAnsi="宋体" w:eastAsia="宋体" w:cs="Times New Roman"/>
                <w:color w:val="000000" w:themeColor="text1"/>
                <w:spacing w:val="6"/>
                <w:sz w:val="24"/>
                <w:szCs w:val="24"/>
                <w:highlight w:val="none"/>
                <w14:textFill>
                  <w14:solidFill>
                    <w14:schemeClr w14:val="tx1"/>
                  </w14:solidFill>
                </w14:textFill>
              </w:rPr>
              <w:t>0</w:t>
            </w:r>
            <w:r>
              <w:rPr>
                <w:rFonts w:hint="eastAsia" w:ascii="宋体" w:hAnsi="宋体" w:eastAsia="宋体" w:cs="Times New Roman"/>
                <w:color w:val="000000" w:themeColor="text1"/>
                <w:spacing w:val="6"/>
                <w:sz w:val="24"/>
                <w:szCs w:val="24"/>
                <w:highlight w:val="none"/>
                <w14:textFill>
                  <w14:solidFill>
                    <w14:schemeClr w14:val="tx1"/>
                  </w14:solidFill>
                </w14:textFill>
              </w:rPr>
              <w:t>人的</w:t>
            </w:r>
            <w:r>
              <w:rPr>
                <w:rFonts w:ascii="Times New Roman" w:hAnsi="Times New Roman" w:eastAsia="宋体" w:cs="Times New Roman"/>
                <w:bCs/>
                <w:color w:val="000000" w:themeColor="text1"/>
                <w:sz w:val="24"/>
                <w:szCs w:val="24"/>
                <w:highlight w:val="none"/>
                <w14:textFill>
                  <w14:solidFill>
                    <w14:schemeClr w14:val="tx1"/>
                  </w14:solidFill>
                </w14:textFill>
              </w:rPr>
              <w:t>《“前海工匠”种子名单》</w:t>
            </w:r>
          </w:p>
        </w:tc>
        <w:tc>
          <w:tcPr>
            <w:tcW w:w="708" w:type="dxa"/>
            <w:noWrap w:val="0"/>
            <w:vAlign w:val="center"/>
          </w:tcPr>
          <w:p>
            <w:pPr>
              <w:spacing w:line="360" w:lineRule="auto"/>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4"/>
                <w:highlight w:val="none"/>
                <w14:textFill>
                  <w14:solidFill>
                    <w14:schemeClr w14:val="tx1"/>
                  </w14:solidFill>
                </w14:textFill>
              </w:rPr>
              <w:t>2</w:t>
            </w:r>
          </w:p>
        </w:tc>
        <w:tc>
          <w:tcPr>
            <w:tcW w:w="4394" w:type="dxa"/>
            <w:noWrap w:val="0"/>
            <w:vAlign w:val="center"/>
          </w:tcPr>
          <w:p>
            <w:pPr>
              <w:spacing w:line="360" w:lineRule="auto"/>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spacing w:val="6"/>
                <w:sz w:val="24"/>
                <w:szCs w:val="24"/>
                <w:highlight w:val="none"/>
                <w14:textFill>
                  <w14:solidFill>
                    <w14:schemeClr w14:val="tx1"/>
                  </w14:solidFill>
                </w14:textFill>
              </w:rPr>
              <w:t>“前海工匠”评选</w:t>
            </w:r>
            <w:r>
              <w:rPr>
                <w:rFonts w:ascii="Times New Roman" w:hAnsi="Times New Roman" w:eastAsia="宋体" w:cs="Times New Roman"/>
                <w:color w:val="000000" w:themeColor="text1"/>
                <w:spacing w:val="6"/>
                <w:sz w:val="24"/>
                <w:szCs w:val="24"/>
                <w:highlight w:val="none"/>
                <w14:textFill>
                  <w14:solidFill>
                    <w14:schemeClr w14:val="tx1"/>
                  </w14:solidFill>
                </w14:textFill>
              </w:rPr>
              <w:t>活动：完成包括活动方案的拟定、活动策划、场地的准备和布置、宣传条幅海报及展板的设计及制作、参评工人的资格审定、评委选任、评选活动的现场组织、证书奖杯的制作等工作，形成正式评比成果</w:t>
            </w:r>
          </w:p>
        </w:tc>
        <w:tc>
          <w:tcPr>
            <w:tcW w:w="2836" w:type="dxa"/>
            <w:noWrap w:val="0"/>
            <w:vAlign w:val="center"/>
          </w:tcPr>
          <w:p>
            <w:pPr>
              <w:spacing w:line="360" w:lineRule="auto"/>
              <w:jc w:val="left"/>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4"/>
                <w:highlight w:val="none"/>
                <w14:textFill>
                  <w14:solidFill>
                    <w14:schemeClr w14:val="tx1"/>
                  </w14:solidFill>
                </w14:textFill>
              </w:rPr>
              <w:t>202</w:t>
            </w:r>
            <w:r>
              <w:rPr>
                <w:rFonts w:hint="default" w:ascii="Times New Roman" w:hAnsi="Times New Roman" w:eastAsia="宋体" w:cs="Times New Roman"/>
                <w:snapToGrid w:val="0"/>
                <w:color w:val="000000" w:themeColor="text1"/>
                <w:kern w:val="0"/>
                <w:sz w:val="24"/>
                <w:szCs w:val="24"/>
                <w:highlight w:val="none"/>
                <w14:textFill>
                  <w14:solidFill>
                    <w14:schemeClr w14:val="tx1"/>
                  </w14:solidFill>
                </w14:textFill>
              </w:rPr>
              <w:t>3</w:t>
            </w:r>
            <w:r>
              <w:rPr>
                <w:rFonts w:hint="eastAsia" w:ascii="Times New Roman" w:hAnsi="Times New Roman" w:eastAsia="宋体" w:cs="Times New Roman"/>
                <w:snapToGrid w:val="0"/>
                <w:color w:val="000000" w:themeColor="text1"/>
                <w:kern w:val="0"/>
                <w:sz w:val="24"/>
                <w:szCs w:val="24"/>
                <w:highlight w:val="none"/>
                <w14:textFill>
                  <w14:solidFill>
                    <w14:schemeClr w14:val="tx1"/>
                  </w14:solidFill>
                </w14:textFill>
              </w:rPr>
              <w:t>年12月</w:t>
            </w:r>
            <w:r>
              <w:rPr>
                <w:rFonts w:hint="default" w:cs="Times New Roman"/>
                <w:snapToGrid w:val="0"/>
                <w:color w:val="000000" w:themeColor="text1"/>
                <w:kern w:val="0"/>
                <w:sz w:val="24"/>
                <w:szCs w:val="24"/>
                <w:highlight w:val="none"/>
                <w14:textFill>
                  <w14:solidFill>
                    <w14:schemeClr w14:val="tx1"/>
                  </w14:solidFill>
                </w14:textFill>
              </w:rPr>
              <w:t>中</w:t>
            </w:r>
            <w:r>
              <w:rPr>
                <w:rFonts w:hint="eastAsia" w:ascii="Times New Roman" w:hAnsi="Times New Roman" w:eastAsia="宋体" w:cs="Times New Roman"/>
                <w:snapToGrid w:val="0"/>
                <w:color w:val="000000" w:themeColor="text1"/>
                <w:kern w:val="0"/>
                <w:sz w:val="24"/>
                <w:szCs w:val="24"/>
                <w:highlight w:val="none"/>
                <w14:textFill>
                  <w14:solidFill>
                    <w14:schemeClr w14:val="tx1"/>
                  </w14:solidFill>
                </w14:textFill>
              </w:rPr>
              <w:t>旬，具体</w:t>
            </w:r>
            <w:r>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t>按甲方要求开展，提报甲方《“前海工匠”评选活动报告》</w:t>
            </w:r>
          </w:p>
        </w:tc>
        <w:tc>
          <w:tcPr>
            <w:tcW w:w="708" w:type="dxa"/>
            <w:noWrap w:val="0"/>
            <w:vAlign w:val="center"/>
          </w:tcPr>
          <w:p>
            <w:pPr>
              <w:spacing w:line="360" w:lineRule="auto"/>
              <w:ind w:firstLine="480" w:firstLineChars="200"/>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pPr>
          </w:p>
        </w:tc>
      </w:tr>
    </w:tbl>
    <w:p>
      <w:pPr>
        <w:spacing w:line="360" w:lineRule="auto"/>
        <w:ind w:firstLine="480" w:firstLineChars="200"/>
        <w:rPr>
          <w:rFonts w:ascii="Times New Roman" w:hAnsi="Times New Roman" w:eastAsia="宋体" w:cs="Times New Roman"/>
          <w:bCs/>
          <w:color w:val="000000" w:themeColor="text1"/>
          <w:sz w:val="24"/>
          <w:szCs w:val="24"/>
          <w:highlight w:val="none"/>
          <w14:textFill>
            <w14:solidFill>
              <w14:schemeClr w14:val="tx1"/>
            </w14:solidFill>
          </w14:textFill>
        </w:rPr>
      </w:pPr>
      <w:r>
        <w:rPr>
          <w:rFonts w:ascii="Times New Roman" w:hAnsi="Times New Roman" w:eastAsia="宋体" w:cs="Times New Roman"/>
          <w:bCs/>
          <w:color w:val="000000" w:themeColor="text1"/>
          <w:sz w:val="24"/>
          <w:szCs w:val="24"/>
          <w:highlight w:val="none"/>
          <w14:textFill>
            <w14:solidFill>
              <w14:schemeClr w14:val="tx1"/>
            </w14:solidFill>
          </w14:textFill>
        </w:rPr>
        <w:t>（三）成果格式</w:t>
      </w:r>
    </w:p>
    <w:p>
      <w:pPr>
        <w:spacing w:line="360" w:lineRule="auto"/>
        <w:ind w:firstLine="480" w:firstLineChars="200"/>
        <w:rPr>
          <w:rFonts w:ascii="Times New Roman" w:hAnsi="Times New Roman" w:eastAsia="宋体" w:cs="Times New Roman"/>
          <w:bCs/>
          <w:color w:val="000000" w:themeColor="text1"/>
          <w:sz w:val="24"/>
          <w:szCs w:val="24"/>
          <w:highlight w:val="none"/>
          <w14:textFill>
            <w14:solidFill>
              <w14:schemeClr w14:val="tx1"/>
            </w14:solidFill>
          </w14:textFill>
        </w:rPr>
      </w:pPr>
      <w:r>
        <w:rPr>
          <w:rFonts w:ascii="Times New Roman" w:hAnsi="Times New Roman" w:eastAsia="宋体" w:cs="Times New Roman"/>
          <w:bCs/>
          <w:color w:val="000000" w:themeColor="text1"/>
          <w:sz w:val="24"/>
          <w:szCs w:val="24"/>
          <w:highlight w:val="none"/>
          <w14:textFill>
            <w14:solidFill>
              <w14:schemeClr w14:val="tx1"/>
            </w14:solidFill>
          </w14:textFill>
        </w:rPr>
        <w:t>1.本项目成果包括《“前海工匠”种子名单》及《“前海工匠”评选活动报告》，纸质材料（含文本及附图），A4尺寸装订成册（实际数量以业主需求为准）；</w:t>
      </w:r>
    </w:p>
    <w:p>
      <w:pPr>
        <w:spacing w:line="360" w:lineRule="auto"/>
        <w:ind w:firstLine="480" w:firstLineChars="200"/>
        <w:rPr>
          <w:rFonts w:ascii="Times New Roman" w:hAnsi="Times New Roman" w:eastAsia="宋体" w:cs="Times New Roman"/>
          <w:bCs/>
          <w:color w:val="000000" w:themeColor="text1"/>
          <w:sz w:val="24"/>
          <w:szCs w:val="24"/>
          <w:highlight w:val="none"/>
          <w14:textFill>
            <w14:solidFill>
              <w14:schemeClr w14:val="tx1"/>
            </w14:solidFill>
          </w14:textFill>
        </w:rPr>
      </w:pPr>
      <w:r>
        <w:rPr>
          <w:rFonts w:ascii="Times New Roman" w:hAnsi="Times New Roman" w:eastAsia="宋体" w:cs="Times New Roman"/>
          <w:bCs/>
          <w:color w:val="000000" w:themeColor="text1"/>
          <w:sz w:val="24"/>
          <w:szCs w:val="24"/>
          <w:highlight w:val="none"/>
          <w14:textFill>
            <w14:solidFill>
              <w14:schemeClr w14:val="tx1"/>
            </w14:solidFill>
          </w14:textFill>
        </w:rPr>
        <w:t>2.电子文件：文本</w:t>
      </w:r>
      <w:r>
        <w:rPr>
          <w:rFonts w:hint="eastAsia" w:ascii="Times New Roman" w:hAnsi="Times New Roman" w:eastAsia="宋体" w:cs="Times New Roman"/>
          <w:bCs/>
          <w:color w:val="000000" w:themeColor="text1"/>
          <w:sz w:val="24"/>
          <w:szCs w:val="24"/>
          <w:highlight w:val="none"/>
          <w14:textFill>
            <w14:solidFill>
              <w14:schemeClr w14:val="tx1"/>
            </w14:solidFill>
          </w14:textFill>
        </w:rPr>
        <w:t>、</w:t>
      </w:r>
      <w:r>
        <w:rPr>
          <w:rFonts w:ascii="Times New Roman" w:hAnsi="Times New Roman" w:eastAsia="宋体" w:cs="Times New Roman"/>
          <w:bCs/>
          <w:color w:val="000000" w:themeColor="text1"/>
          <w:sz w:val="24"/>
          <w:szCs w:val="24"/>
          <w:highlight w:val="none"/>
          <w14:textFill>
            <w14:solidFill>
              <w14:schemeClr w14:val="tx1"/>
            </w14:solidFill>
          </w14:textFill>
        </w:rPr>
        <w:t>附图和多媒体成果，光盘2套。（注：文本为DOC格式文件，效果图为JPG格式文件）。</w:t>
      </w:r>
    </w:p>
    <w:p>
      <w:pPr>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第二条  服务期限</w:t>
      </w:r>
      <w:r>
        <w:rPr>
          <w:rFonts w:hint="eastAsia" w:ascii="宋体" w:hAnsi="宋体" w:cs="宋体"/>
          <w:b/>
          <w:bCs/>
          <w:color w:val="000000" w:themeColor="text1"/>
          <w:kern w:val="0"/>
          <w:sz w:val="24"/>
          <w:szCs w:val="24"/>
          <w:highlight w:val="none"/>
          <w14:textFill>
            <w14:solidFill>
              <w14:schemeClr w14:val="tx1"/>
            </w14:solidFill>
          </w14:textFill>
        </w:rPr>
        <w:t>及后续服务</w:t>
      </w:r>
    </w:p>
    <w:p>
      <w:pPr>
        <w:widowControl/>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1.服务期限</w:t>
      </w:r>
    </w:p>
    <w:p>
      <w:pPr>
        <w:widowControl/>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项目服务期限：</w:t>
      </w:r>
      <w:r>
        <w:rPr>
          <w:rFonts w:hint="eastAsia"/>
          <w:bCs/>
          <w:color w:val="000000" w:themeColor="text1"/>
          <w:sz w:val="24"/>
          <w:szCs w:val="24"/>
          <w:highlight w:val="none"/>
          <w14:textFill>
            <w14:solidFill>
              <w14:schemeClr w14:val="tx1"/>
            </w14:solidFill>
          </w14:textFill>
        </w:rPr>
        <w:t>202</w:t>
      </w:r>
      <w:r>
        <w:rPr>
          <w:rFonts w:hint="default"/>
          <w:bCs/>
          <w:color w:val="000000" w:themeColor="text1"/>
          <w:sz w:val="24"/>
          <w:szCs w:val="24"/>
          <w:highlight w:val="none"/>
          <w14:textFill>
            <w14:solidFill>
              <w14:schemeClr w14:val="tx1"/>
            </w14:solidFill>
          </w14:textFill>
        </w:rPr>
        <w:t>3</w:t>
      </w:r>
      <w:r>
        <w:rPr>
          <w:rFonts w:hint="eastAsia"/>
          <w:bCs/>
          <w:color w:val="000000" w:themeColor="text1"/>
          <w:sz w:val="24"/>
          <w:szCs w:val="24"/>
          <w:highlight w:val="none"/>
          <w14:textFill>
            <w14:solidFill>
              <w14:schemeClr w14:val="tx1"/>
            </w14:solidFill>
          </w14:textFill>
        </w:rPr>
        <w:t>年11月X日至202</w:t>
      </w:r>
      <w:r>
        <w:rPr>
          <w:rFonts w:hint="default"/>
          <w:bCs/>
          <w:color w:val="000000" w:themeColor="text1"/>
          <w:sz w:val="24"/>
          <w:szCs w:val="24"/>
          <w:highlight w:val="none"/>
          <w14:textFill>
            <w14:solidFill>
              <w14:schemeClr w14:val="tx1"/>
            </w14:solidFill>
          </w14:textFill>
        </w:rPr>
        <w:t>4</w:t>
      </w:r>
      <w:r>
        <w:rPr>
          <w:rFonts w:hint="eastAsia"/>
          <w:bCs/>
          <w:color w:val="000000" w:themeColor="text1"/>
          <w:sz w:val="24"/>
          <w:szCs w:val="24"/>
          <w:highlight w:val="none"/>
          <w14:textFill>
            <w14:solidFill>
              <w14:schemeClr w14:val="tx1"/>
            </w14:solidFill>
          </w14:textFill>
        </w:rPr>
        <w:t>年</w:t>
      </w:r>
      <w:r>
        <w:rPr>
          <w:bCs/>
          <w:color w:val="000000" w:themeColor="text1"/>
          <w:sz w:val="24"/>
          <w:szCs w:val="24"/>
          <w:highlight w:val="none"/>
          <w14:textFill>
            <w14:solidFill>
              <w14:schemeClr w14:val="tx1"/>
            </w14:solidFill>
          </w14:textFill>
        </w:rPr>
        <w:t>1</w:t>
      </w:r>
      <w:r>
        <w:rPr>
          <w:rFonts w:hint="eastAsia"/>
          <w:bCs/>
          <w:color w:val="000000" w:themeColor="text1"/>
          <w:sz w:val="24"/>
          <w:szCs w:val="24"/>
          <w:highlight w:val="none"/>
          <w14:textFill>
            <w14:solidFill>
              <w14:schemeClr w14:val="tx1"/>
            </w14:solidFill>
          </w14:textFill>
        </w:rPr>
        <w:t>月3</w:t>
      </w:r>
      <w:r>
        <w:rPr>
          <w:bCs/>
          <w:color w:val="000000" w:themeColor="text1"/>
          <w:sz w:val="24"/>
          <w:szCs w:val="24"/>
          <w:highlight w:val="none"/>
          <w14:textFill>
            <w14:solidFill>
              <w14:schemeClr w14:val="tx1"/>
            </w14:solidFill>
          </w14:textFill>
        </w:rPr>
        <w:t>1</w:t>
      </w:r>
      <w:r>
        <w:rPr>
          <w:rFonts w:hint="eastAsia"/>
          <w:bCs/>
          <w:color w:val="000000" w:themeColor="text1"/>
          <w:sz w:val="24"/>
          <w:szCs w:val="24"/>
          <w:highlight w:val="none"/>
          <w14:textFill>
            <w14:solidFill>
              <w14:schemeClr w14:val="tx1"/>
            </w14:solidFill>
          </w14:textFill>
        </w:rPr>
        <w:t>日，2</w:t>
      </w:r>
      <w:r>
        <w:rPr>
          <w:bCs/>
          <w:color w:val="000000" w:themeColor="text1"/>
          <w:sz w:val="24"/>
          <w:szCs w:val="24"/>
          <w:highlight w:val="none"/>
          <w14:textFill>
            <w14:solidFill>
              <w14:schemeClr w14:val="tx1"/>
            </w14:solidFill>
          </w14:textFill>
        </w:rPr>
        <w:t>02</w:t>
      </w:r>
      <w:r>
        <w:rPr>
          <w:rFonts w:hint="default"/>
          <w:bCs/>
          <w:color w:val="000000" w:themeColor="text1"/>
          <w:sz w:val="24"/>
          <w:szCs w:val="24"/>
          <w:highlight w:val="none"/>
          <w14:textFill>
            <w14:solidFill>
              <w14:schemeClr w14:val="tx1"/>
            </w14:solidFill>
          </w14:textFill>
        </w:rPr>
        <w:t>3</w:t>
      </w:r>
      <w:r>
        <w:rPr>
          <w:rFonts w:hint="eastAsia"/>
          <w:bCs/>
          <w:color w:val="000000" w:themeColor="text1"/>
          <w:sz w:val="24"/>
          <w:szCs w:val="24"/>
          <w:highlight w:val="none"/>
          <w14:textFill>
            <w14:solidFill>
              <w14:schemeClr w14:val="tx1"/>
            </w14:solidFill>
          </w14:textFill>
        </w:rPr>
        <w:t>年1</w:t>
      </w:r>
      <w:r>
        <w:rPr>
          <w:bCs/>
          <w:color w:val="000000" w:themeColor="text1"/>
          <w:sz w:val="24"/>
          <w:szCs w:val="24"/>
          <w:highlight w:val="none"/>
          <w14:textFill>
            <w14:solidFill>
              <w14:schemeClr w14:val="tx1"/>
            </w14:solidFill>
          </w14:textFill>
        </w:rPr>
        <w:t>2</w:t>
      </w:r>
      <w:r>
        <w:rPr>
          <w:rFonts w:hint="eastAsia"/>
          <w:bCs/>
          <w:color w:val="000000" w:themeColor="text1"/>
          <w:sz w:val="24"/>
          <w:szCs w:val="24"/>
          <w:highlight w:val="none"/>
          <w14:textFill>
            <w14:solidFill>
              <w14:schemeClr w14:val="tx1"/>
            </w14:solidFill>
          </w14:textFill>
        </w:rPr>
        <w:t>月</w:t>
      </w:r>
      <w:r>
        <w:rPr>
          <w:rFonts w:hint="default"/>
          <w:bCs/>
          <w:color w:val="000000" w:themeColor="text1"/>
          <w:sz w:val="24"/>
          <w:szCs w:val="24"/>
          <w:highlight w:val="none"/>
          <w14:textFill>
            <w14:solidFill>
              <w14:schemeClr w14:val="tx1"/>
            </w14:solidFill>
          </w14:textFill>
        </w:rPr>
        <w:t>10</w:t>
      </w:r>
      <w:r>
        <w:rPr>
          <w:rFonts w:hint="eastAsia"/>
          <w:bCs/>
          <w:color w:val="000000" w:themeColor="text1"/>
          <w:sz w:val="24"/>
          <w:szCs w:val="24"/>
          <w:highlight w:val="none"/>
          <w14:textFill>
            <w14:solidFill>
              <w14:schemeClr w14:val="tx1"/>
            </w14:solidFill>
          </w14:textFill>
        </w:rPr>
        <w:t>日前提交《“前海工匠”种子名单》，2</w:t>
      </w:r>
      <w:r>
        <w:rPr>
          <w:bCs/>
          <w:color w:val="000000" w:themeColor="text1"/>
          <w:sz w:val="24"/>
          <w:szCs w:val="24"/>
          <w:highlight w:val="none"/>
          <w14:textFill>
            <w14:solidFill>
              <w14:schemeClr w14:val="tx1"/>
            </w14:solidFill>
          </w14:textFill>
        </w:rPr>
        <w:t>023</w:t>
      </w:r>
      <w:r>
        <w:rPr>
          <w:rFonts w:hint="eastAsia"/>
          <w:bCs/>
          <w:color w:val="000000" w:themeColor="text1"/>
          <w:sz w:val="24"/>
          <w:szCs w:val="24"/>
          <w:highlight w:val="none"/>
          <w14:textFill>
            <w14:solidFill>
              <w14:schemeClr w14:val="tx1"/>
            </w14:solidFill>
          </w14:textFill>
        </w:rPr>
        <w:t>年</w:t>
      </w:r>
      <w:r>
        <w:rPr>
          <w:bCs/>
          <w:color w:val="000000" w:themeColor="text1"/>
          <w:sz w:val="24"/>
          <w:szCs w:val="24"/>
          <w:highlight w:val="none"/>
          <w14:textFill>
            <w14:solidFill>
              <w14:schemeClr w14:val="tx1"/>
            </w14:solidFill>
          </w14:textFill>
        </w:rPr>
        <w:t>12</w:t>
      </w:r>
      <w:r>
        <w:rPr>
          <w:rFonts w:hint="eastAsia"/>
          <w:bCs/>
          <w:color w:val="000000" w:themeColor="text1"/>
          <w:sz w:val="24"/>
          <w:szCs w:val="24"/>
          <w:highlight w:val="none"/>
          <w14:textFill>
            <w14:solidFill>
              <w14:schemeClr w14:val="tx1"/>
            </w14:solidFill>
          </w14:textFill>
        </w:rPr>
        <w:t>月</w:t>
      </w:r>
      <w:r>
        <w:rPr>
          <w:rFonts w:hint="default"/>
          <w:bCs/>
          <w:color w:val="000000" w:themeColor="text1"/>
          <w:sz w:val="24"/>
          <w:szCs w:val="24"/>
          <w:highlight w:val="none"/>
          <w14:textFill>
            <w14:solidFill>
              <w14:schemeClr w14:val="tx1"/>
            </w14:solidFill>
          </w14:textFill>
        </w:rPr>
        <w:t>31</w:t>
      </w:r>
      <w:r>
        <w:rPr>
          <w:rFonts w:hint="eastAsia"/>
          <w:bCs/>
          <w:color w:val="000000" w:themeColor="text1"/>
          <w:sz w:val="24"/>
          <w:szCs w:val="24"/>
          <w:highlight w:val="none"/>
          <w14:textFill>
            <w14:solidFill>
              <w14:schemeClr w14:val="tx1"/>
            </w14:solidFill>
          </w14:textFill>
        </w:rPr>
        <w:t>日之前提交</w:t>
      </w:r>
      <w:r>
        <w:rPr>
          <w:snapToGrid w:val="0"/>
          <w:color w:val="000000" w:themeColor="text1"/>
          <w:kern w:val="0"/>
          <w:sz w:val="24"/>
          <w:szCs w:val="24"/>
          <w:highlight w:val="none"/>
          <w14:textFill>
            <w14:solidFill>
              <w14:schemeClr w14:val="tx1"/>
            </w14:solidFill>
          </w14:textFill>
        </w:rPr>
        <w:t>《“前海工匠”</w:t>
      </w:r>
      <w:r>
        <w:rPr>
          <w:rFonts w:hint="eastAsia" w:ascii="宋体" w:hAnsi="宋体" w:eastAsia="宋体" w:cs="宋体"/>
          <w:color w:val="000000" w:themeColor="text1"/>
          <w:sz w:val="24"/>
          <w:szCs w:val="24"/>
          <w:highlight w:val="none"/>
          <w14:textFill>
            <w14:solidFill>
              <w14:schemeClr w14:val="tx1"/>
            </w14:solidFill>
          </w14:textFill>
        </w:rPr>
        <w:t>评选活动报告》。</w:t>
      </w:r>
    </w:p>
    <w:p>
      <w:pPr>
        <w:widowControl/>
        <w:spacing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后续服务</w:t>
      </w:r>
    </w:p>
    <w:p>
      <w:pPr>
        <w:widowControl/>
        <w:spacing w:line="360" w:lineRule="auto"/>
        <w:ind w:firstLine="480" w:firstLineChars="200"/>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highlight w:val="none"/>
          <w:lang w:val="zh-CN"/>
          <w14:textFill>
            <w14:solidFill>
              <w14:schemeClr w14:val="tx1"/>
            </w14:solidFill>
          </w14:textFill>
        </w:rPr>
        <w:t>项目售后服务期限自最终成果通过</w:t>
      </w:r>
      <w:r>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甲方</w:t>
      </w:r>
      <w:r>
        <w:rPr>
          <w:rFonts w:hint="eastAsia" w:ascii="Times New Roman" w:hAnsi="Times New Roman" w:eastAsia="宋体" w:cs="Times New Roman"/>
          <w:bCs/>
          <w:color w:val="000000" w:themeColor="text1"/>
          <w:sz w:val="24"/>
          <w:szCs w:val="24"/>
          <w:highlight w:val="none"/>
          <w:lang w:val="zh-CN"/>
          <w14:textFill>
            <w14:solidFill>
              <w14:schemeClr w14:val="tx1"/>
            </w14:solidFill>
          </w14:textFill>
        </w:rPr>
        <w:t>审查之日起的</w:t>
      </w:r>
      <w:r>
        <w:rPr>
          <w:rFonts w:hint="eastAsia" w:ascii="Times New Roman" w:hAnsi="Times New Roman" w:eastAsia="宋体" w:cs="Times New Roman"/>
          <w:bCs/>
          <w:color w:val="000000" w:themeColor="text1"/>
          <w:sz w:val="24"/>
          <w:szCs w:val="24"/>
          <w:highlight w:val="none"/>
          <w14:textFill>
            <w14:solidFill>
              <w14:schemeClr w14:val="tx1"/>
            </w14:solidFill>
          </w14:textFill>
        </w:rPr>
        <w:t>1</w:t>
      </w:r>
      <w:r>
        <w:rPr>
          <w:rFonts w:hint="eastAsia" w:ascii="Times New Roman" w:hAnsi="Times New Roman" w:eastAsia="宋体" w:cs="Times New Roman"/>
          <w:bCs/>
          <w:color w:val="000000" w:themeColor="text1"/>
          <w:sz w:val="24"/>
          <w:szCs w:val="24"/>
          <w:highlight w:val="none"/>
          <w:lang w:val="zh-CN"/>
          <w14:textFill>
            <w14:solidFill>
              <w14:schemeClr w14:val="tx1"/>
            </w14:solidFill>
          </w14:textFill>
        </w:rPr>
        <w:t>年内，</w:t>
      </w:r>
      <w:r>
        <w:rPr>
          <w:rFonts w:hint="eastAsia" w:ascii="Times New Roman" w:hAnsi="Times New Roman" w:eastAsia="宋体" w:cs="Times New Roman"/>
          <w:bCs/>
          <w:color w:val="000000" w:themeColor="text1"/>
          <w:sz w:val="24"/>
          <w:szCs w:val="24"/>
          <w:highlight w:val="none"/>
          <w14:textFill>
            <w14:solidFill>
              <w14:schemeClr w14:val="tx1"/>
            </w14:solidFill>
          </w14:textFill>
        </w:rPr>
        <w:t>服务期内</w:t>
      </w:r>
      <w:r>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乙方</w:t>
      </w:r>
      <w:r>
        <w:rPr>
          <w:rFonts w:hint="eastAsia" w:ascii="Times New Roman" w:hAnsi="Times New Roman" w:eastAsia="宋体" w:cs="Times New Roman"/>
          <w:bCs/>
          <w:color w:val="000000" w:themeColor="text1"/>
          <w:sz w:val="24"/>
          <w:szCs w:val="24"/>
          <w:highlight w:val="none"/>
          <w14:textFill>
            <w14:solidFill>
              <w14:schemeClr w14:val="tx1"/>
            </w14:solidFill>
          </w14:textFill>
        </w:rPr>
        <w:t>应向</w:t>
      </w:r>
      <w:r>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甲方</w:t>
      </w:r>
      <w:r>
        <w:rPr>
          <w:rFonts w:hint="eastAsia" w:ascii="Times New Roman" w:hAnsi="Times New Roman" w:eastAsia="宋体" w:cs="Times New Roman"/>
          <w:bCs/>
          <w:color w:val="000000" w:themeColor="text1"/>
          <w:sz w:val="24"/>
          <w:szCs w:val="24"/>
          <w:highlight w:val="none"/>
          <w14:textFill>
            <w14:solidFill>
              <w14:schemeClr w14:val="tx1"/>
            </w14:solidFill>
          </w14:textFill>
        </w:rPr>
        <w:t>提供后续的专业技术支持与咨询服务，并协助</w:t>
      </w:r>
      <w:r>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甲方</w:t>
      </w:r>
      <w:r>
        <w:rPr>
          <w:rFonts w:hint="eastAsia" w:ascii="Times New Roman" w:hAnsi="Times New Roman" w:eastAsia="宋体" w:cs="Times New Roman"/>
          <w:bCs/>
          <w:color w:val="000000" w:themeColor="text1"/>
          <w:sz w:val="24"/>
          <w:szCs w:val="24"/>
          <w:highlight w:val="none"/>
          <w14:textFill>
            <w14:solidFill>
              <w14:schemeClr w14:val="tx1"/>
            </w14:solidFill>
          </w14:textFill>
        </w:rPr>
        <w:t>完成各种后续审计、评估等工作</w:t>
      </w:r>
      <w:r>
        <w:rPr>
          <w:rFonts w:hint="eastAsia" w:ascii="Times New Roman" w:hAnsi="Times New Roman" w:eastAsia="宋体" w:cs="Times New Roman"/>
          <w:bCs/>
          <w:color w:val="000000" w:themeColor="text1"/>
          <w:sz w:val="24"/>
          <w:szCs w:val="24"/>
          <w:highlight w:val="none"/>
          <w:lang w:eastAsia="zh-CN"/>
          <w14:textFill>
            <w14:solidFill>
              <w14:schemeClr w14:val="tx1"/>
            </w14:solidFill>
          </w14:textFill>
        </w:rPr>
        <w:t>。</w:t>
      </w:r>
    </w:p>
    <w:p>
      <w:pPr>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第三条  项目资料归属</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1.所有提交给甲方的项目材料及相关资料的</w:t>
      </w:r>
      <w:r>
        <w:rPr>
          <w:rFonts w:ascii="宋体" w:hAnsi="宋体" w:cs="宋体"/>
          <w:color w:val="000000" w:themeColor="text1"/>
          <w:sz w:val="24"/>
          <w:szCs w:val="24"/>
          <w:highlight w:val="none"/>
          <w14:textFill>
            <w14:solidFill>
              <w14:schemeClr w14:val="tx1"/>
            </w14:solidFill>
          </w14:textFill>
        </w:rPr>
        <w:t>阶段性成果及</w:t>
      </w:r>
      <w:r>
        <w:rPr>
          <w:rFonts w:hint="eastAsia" w:ascii="宋体" w:hAnsi="宋体" w:cs="宋体"/>
          <w:color w:val="000000" w:themeColor="text1"/>
          <w:sz w:val="24"/>
          <w:szCs w:val="24"/>
          <w:highlight w:val="none"/>
          <w14:textFill>
            <w14:solidFill>
              <w14:schemeClr w14:val="tx1"/>
            </w14:solidFill>
          </w14:textFill>
        </w:rPr>
        <w:t>最后文本，包括为履行服务范围所编制的计划和证明资料等，都属于甲方</w:t>
      </w:r>
      <w:r>
        <w:rPr>
          <w:rFonts w:ascii="宋体" w:hAnsi="宋体" w:cs="宋体"/>
          <w:color w:val="000000" w:themeColor="text1"/>
          <w:sz w:val="24"/>
          <w:szCs w:val="24"/>
          <w:highlight w:val="none"/>
          <w14:textFill>
            <w14:solidFill>
              <w14:schemeClr w14:val="tx1"/>
            </w14:solidFill>
          </w14:textFill>
        </w:rPr>
        <w:t>所有</w:t>
      </w:r>
      <w:r>
        <w:rPr>
          <w:rFonts w:hint="eastAsia" w:ascii="宋体" w:hAnsi="宋体" w:cs="宋体"/>
          <w:color w:val="000000" w:themeColor="text1"/>
          <w:sz w:val="24"/>
          <w:szCs w:val="24"/>
          <w:highlight w:val="none"/>
          <w14:textFill>
            <w14:solidFill>
              <w14:schemeClr w14:val="tx1"/>
            </w14:solidFill>
          </w14:textFill>
        </w:rPr>
        <w:t>，乙方在提交给甲方之前应将上述资料进行整理归类和编制索引。</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2.乙方未经甲方的书面同意，不得将上述资料用于与本项目之外的任何项目，也不得将其泄露或授权给第三方使用。</w:t>
      </w:r>
    </w:p>
    <w:p>
      <w:pPr>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第四条  各方的权利义务</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（一）甲方的权利义务</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1.甲方有权向乙方询问项目工作进展及相关情况，并要求乙方在指定时间内做出答复。</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2.甲方有权对乙方提供的服务</w:t>
      </w:r>
      <w:r>
        <w:rPr>
          <w:rFonts w:hint="eastAsia" w:ascii="Times New Roman" w:hAnsi="Times New Roman" w:eastAsia="宋体" w:cs="Times New Roman"/>
          <w:color w:val="000000" w:themeColor="text1"/>
          <w:sz w:val="24"/>
          <w:szCs w:val="24"/>
          <w:highlight w:val="none"/>
          <w14:textFill>
            <w14:solidFill>
              <w14:schemeClr w14:val="tx1"/>
            </w14:solidFill>
          </w14:textFill>
        </w:rPr>
        <w:t>（包括工匠培育、评选</w:t>
      </w:r>
      <w:r>
        <w:rPr>
          <w:rFonts w:ascii="Times New Roman" w:hAnsi="Times New Roman" w:eastAsia="宋体" w:cs="Times New Roman"/>
          <w:color w:val="000000" w:themeColor="text1"/>
          <w:sz w:val="24"/>
          <w:szCs w:val="24"/>
          <w:highlight w:val="none"/>
          <w14:textFill>
            <w14:solidFill>
              <w14:schemeClr w14:val="tx1"/>
            </w14:solidFill>
          </w14:textFill>
        </w:rPr>
        <w:t>工作及颁奖活动</w:t>
      </w:r>
      <w:r>
        <w:rPr>
          <w:rFonts w:hint="eastAsia" w:ascii="Times New Roman" w:hAnsi="Times New Roman" w:eastAsia="宋体" w:cs="Times New Roman"/>
          <w:color w:val="000000" w:themeColor="text1"/>
          <w:sz w:val="24"/>
          <w:szCs w:val="24"/>
          <w:highlight w:val="none"/>
          <w14:textFill>
            <w14:solidFill>
              <w14:schemeClr w14:val="tx1"/>
            </w14:solidFill>
          </w14:textFill>
        </w:rPr>
        <w:t>）进行</w:t>
      </w:r>
      <w:r>
        <w:rPr>
          <w:rFonts w:ascii="Times New Roman" w:hAnsi="Times New Roman" w:eastAsia="宋体" w:cs="Times New Roman"/>
          <w:color w:val="000000" w:themeColor="text1"/>
          <w:sz w:val="24"/>
          <w:szCs w:val="24"/>
          <w:highlight w:val="none"/>
          <w14:textFill>
            <w14:solidFill>
              <w14:schemeClr w14:val="tx1"/>
            </w14:solidFill>
          </w14:textFill>
        </w:rPr>
        <w:t>验收，有权对乙方提交的</w:t>
      </w:r>
      <w:r>
        <w:rPr>
          <w:rFonts w:hint="eastAsia" w:ascii="Times New Roman" w:hAnsi="Times New Roman" w:eastAsia="宋体" w:cs="Times New Roman"/>
          <w:color w:val="000000" w:themeColor="text1"/>
          <w:sz w:val="24"/>
          <w:szCs w:val="24"/>
          <w:highlight w:val="none"/>
          <w14:textFill>
            <w14:solidFill>
              <w14:schemeClr w14:val="tx1"/>
            </w14:solidFill>
          </w14:textFill>
        </w:rPr>
        <w:t>项目成果</w:t>
      </w:r>
      <w:r>
        <w:rPr>
          <w:rFonts w:ascii="Times New Roman" w:hAnsi="Times New Roman" w:eastAsia="宋体" w:cs="Times New Roman"/>
          <w:color w:val="000000" w:themeColor="text1"/>
          <w:sz w:val="24"/>
          <w:szCs w:val="24"/>
          <w:highlight w:val="none"/>
          <w14:textFill>
            <w14:solidFill>
              <w14:schemeClr w14:val="tx1"/>
            </w14:solidFill>
          </w14:textFill>
        </w:rPr>
        <w:t>文件进行审核并提出修改意见。</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3.如甲方确认乙方工作人员未按照本合同要求履行职责，甲方有权要求乙方限期更换人员，直至终止合同并要求乙方承担相应赔偿责任。</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4.甲方对乙方在委托权限范围内完成委托事项有指导、监督权利。</w:t>
      </w:r>
    </w:p>
    <w:p>
      <w:pPr>
        <w:tabs>
          <w:tab w:val="left" w:pos="4111"/>
        </w:tabs>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5.如乙方所提供的服务</w:t>
      </w:r>
      <w:r>
        <w:rPr>
          <w:rFonts w:hint="eastAsia" w:ascii="Times New Roman" w:hAnsi="Times New Roman" w:eastAsia="宋体" w:cs="Times New Roman"/>
          <w:color w:val="000000" w:themeColor="text1"/>
          <w:sz w:val="24"/>
          <w:szCs w:val="24"/>
          <w:highlight w:val="none"/>
          <w14:textFill>
            <w14:solidFill>
              <w14:schemeClr w14:val="tx1"/>
            </w14:solidFill>
          </w14:textFill>
        </w:rPr>
        <w:t>（包括技能工匠培育、评选</w:t>
      </w:r>
      <w:r>
        <w:rPr>
          <w:rFonts w:ascii="Times New Roman" w:hAnsi="Times New Roman" w:eastAsia="宋体" w:cs="Times New Roman"/>
          <w:color w:val="000000" w:themeColor="text1"/>
          <w:sz w:val="24"/>
          <w:szCs w:val="24"/>
          <w:highlight w:val="none"/>
          <w14:textFill>
            <w14:solidFill>
              <w14:schemeClr w14:val="tx1"/>
            </w14:solidFill>
          </w14:textFill>
        </w:rPr>
        <w:t>工作及颁奖活动</w:t>
      </w:r>
      <w:r>
        <w:rPr>
          <w:rFonts w:hint="eastAsia" w:ascii="Times New Roman" w:hAnsi="Times New Roman" w:eastAsia="宋体" w:cs="Times New Roman"/>
          <w:color w:val="000000" w:themeColor="text1"/>
          <w:sz w:val="24"/>
          <w:szCs w:val="24"/>
          <w:highlight w:val="none"/>
          <w14:textFill>
            <w14:solidFill>
              <w14:schemeClr w14:val="tx1"/>
            </w14:solidFill>
          </w14:textFill>
        </w:rPr>
        <w:t>）</w:t>
      </w:r>
      <w:r>
        <w:rPr>
          <w:rFonts w:ascii="Times New Roman" w:hAnsi="Times New Roman" w:eastAsia="宋体" w:cs="Times New Roman"/>
          <w:color w:val="000000" w:themeColor="text1"/>
          <w:sz w:val="24"/>
          <w:szCs w:val="24"/>
          <w:highlight w:val="none"/>
          <w14:textFill>
            <w14:solidFill>
              <w14:schemeClr w14:val="tx1"/>
            </w14:solidFill>
          </w14:textFill>
        </w:rPr>
        <w:t>、最终成果报告</w:t>
      </w:r>
      <w:r>
        <w:rPr>
          <w:rFonts w:hint="eastAsia" w:ascii="Times New Roman" w:hAnsi="Times New Roman" w:eastAsia="宋体" w:cs="Times New Roman"/>
          <w:color w:val="000000" w:themeColor="text1"/>
          <w:sz w:val="24"/>
          <w:szCs w:val="24"/>
          <w:highlight w:val="none"/>
          <w14:textFill>
            <w14:solidFill>
              <w14:schemeClr w14:val="tx1"/>
            </w14:solidFill>
          </w14:textFill>
        </w:rPr>
        <w:t>等</w:t>
      </w:r>
      <w:r>
        <w:rPr>
          <w:rFonts w:ascii="Times New Roman" w:hAnsi="Times New Roman" w:eastAsia="宋体" w:cs="Times New Roman"/>
          <w:color w:val="000000" w:themeColor="text1"/>
          <w:sz w:val="24"/>
          <w:szCs w:val="24"/>
          <w:highlight w:val="none"/>
          <w14:textFill>
            <w14:solidFill>
              <w14:schemeClr w14:val="tx1"/>
            </w14:solidFill>
          </w14:textFill>
        </w:rPr>
        <w:t>不符合本合同的要求，甲方有权要求乙方重新执行相应的工作服务，由此产生的全部费用由乙方自行承担，同时，甲方的付款时间相应顺延。</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6.甲方有权要求乙方全面履行合同。甲方不接受部分履行，如本合同项下部分成果文件未能按时交付则视为整体延误。</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7.甲方要求乙方比本合同约定时间提前交付成果时，须征得乙方同意。因此而增加工作量，经协商确认，甲方应向乙方支付必要的费用。</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8. 甲方应将项目所需相关档案资料、信息数据等移交给乙方，并要求乙方签收甲方提供的材料清单。</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9.甲方应按照本合同的约定向乙方支付服务费用。</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 xml:space="preserve">10.甲方指定项目联系人： </w:t>
      </w:r>
    </w:p>
    <w:p>
      <w:pPr>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姓名：</w:t>
      </w:r>
      <w:r>
        <w:rPr>
          <w:rFonts w:hint="default" w:ascii="Times New Roman" w:hAnsi="Times New Roman" w:eastAsia="宋体" w:cs="Times New Roman"/>
          <w:color w:val="000000" w:themeColor="text1"/>
          <w:sz w:val="24"/>
          <w:szCs w:val="24"/>
          <w:highlight w:val="none"/>
          <w14:textFill>
            <w14:solidFill>
              <w14:schemeClr w14:val="tx1"/>
            </w14:solidFill>
          </w14:textFill>
        </w:rPr>
        <w:t>肖</w:t>
      </w:r>
      <w:r>
        <w:rPr>
          <w:rFonts w:hint="default" w:cs="Times New Roman"/>
          <w:color w:val="000000" w:themeColor="text1"/>
          <w:sz w:val="24"/>
          <w:szCs w:val="24"/>
          <w:highlight w:val="none"/>
          <w14:textFill>
            <w14:solidFill>
              <w14:schemeClr w14:val="tx1"/>
            </w14:solidFill>
          </w14:textFill>
        </w:rPr>
        <w:t>工</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联系方式：</w:t>
      </w:r>
      <w:r>
        <w:rPr>
          <w:rFonts w:hint="eastAsia" w:ascii="Times New Roman" w:hAnsi="Times New Roman" w:eastAsia="宋体" w:cs="Times New Roman"/>
          <w:color w:val="000000" w:themeColor="text1"/>
          <w:sz w:val="24"/>
          <w:szCs w:val="24"/>
          <w:highlight w:val="none"/>
          <w14:textFill>
            <w14:solidFill>
              <w14:schemeClr w14:val="tx1"/>
            </w14:solidFill>
          </w14:textFill>
        </w:rPr>
        <w:t>0755-</w:t>
      </w:r>
      <w:r>
        <w:rPr>
          <w:rFonts w:ascii="Times New Roman" w:hAnsi="Times New Roman" w:eastAsia="宋体" w:cs="Times New Roman"/>
          <w:color w:val="000000" w:themeColor="text1"/>
          <w:sz w:val="24"/>
          <w:szCs w:val="24"/>
          <w:highlight w:val="none"/>
          <w14:textFill>
            <w14:solidFill>
              <w14:schemeClr w14:val="tx1"/>
            </w14:solidFill>
          </w14:textFill>
        </w:rPr>
        <w:t>88105206</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（二）乙方的权利义务</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1</w:t>
      </w:r>
      <w:r>
        <w:rPr>
          <w:rFonts w:ascii="Times New Roman" w:hAnsi="Times New Roman" w:eastAsia="宋体" w:cs="Times New Roman"/>
          <w:color w:val="000000" w:themeColor="text1"/>
          <w:sz w:val="24"/>
          <w:szCs w:val="24"/>
          <w:highlight w:val="none"/>
          <w14:textFill>
            <w14:solidFill>
              <w14:schemeClr w14:val="tx1"/>
            </w14:solidFill>
          </w14:textFill>
        </w:rPr>
        <w:t>.乙方所提供的建议、请示、报告和通知均应采用书面形式</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2</w:t>
      </w:r>
      <w:r>
        <w:rPr>
          <w:rFonts w:ascii="Times New Roman" w:hAnsi="Times New Roman" w:eastAsia="宋体" w:cs="Times New Roman"/>
          <w:color w:val="000000" w:themeColor="text1"/>
          <w:sz w:val="24"/>
          <w:szCs w:val="24"/>
          <w:highlight w:val="none"/>
          <w14:textFill>
            <w14:solidFill>
              <w14:schemeClr w14:val="tx1"/>
            </w14:solidFill>
          </w14:textFill>
        </w:rPr>
        <w:t>.乙方不得接受</w:t>
      </w:r>
      <w:r>
        <w:rPr>
          <w:rFonts w:hint="eastAsia" w:ascii="Times New Roman" w:hAnsi="Times New Roman" w:eastAsia="宋体" w:cs="Times New Roman"/>
          <w:color w:val="000000" w:themeColor="text1"/>
          <w:sz w:val="24"/>
          <w:szCs w:val="24"/>
          <w:highlight w:val="none"/>
          <w14:textFill>
            <w14:solidFill>
              <w14:schemeClr w14:val="tx1"/>
            </w14:solidFill>
          </w14:textFill>
        </w:rPr>
        <w:t>参加培育与评选活动的单位</w:t>
      </w:r>
      <w:r>
        <w:rPr>
          <w:rFonts w:ascii="Times New Roman" w:hAnsi="Times New Roman" w:eastAsia="宋体" w:cs="Times New Roman"/>
          <w:color w:val="000000" w:themeColor="text1"/>
          <w:sz w:val="24"/>
          <w:szCs w:val="24"/>
          <w:highlight w:val="none"/>
          <w14:textFill>
            <w14:solidFill>
              <w14:schemeClr w14:val="tx1"/>
            </w14:solidFill>
          </w14:textFill>
        </w:rPr>
        <w:t>的礼品馈赠、宴请及其它不当利益，若经甲方查证发生此类不当行为，甲方有权终止合同，并视情节移交廉政部门。</w:t>
      </w:r>
    </w:p>
    <w:p>
      <w:pPr>
        <w:adjustRightInd w:val="0"/>
        <w:snapToGrid w:val="0"/>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3</w:t>
      </w:r>
      <w:r>
        <w:rPr>
          <w:rFonts w:ascii="Times New Roman" w:hAnsi="Times New Roman" w:eastAsia="宋体" w:cs="Times New Roman"/>
          <w:color w:val="000000" w:themeColor="text1"/>
          <w:sz w:val="24"/>
          <w:szCs w:val="24"/>
          <w:highlight w:val="none"/>
          <w14:textFill>
            <w14:solidFill>
              <w14:schemeClr w14:val="tx1"/>
            </w14:solidFill>
          </w14:textFill>
        </w:rPr>
        <w:t>.乙方应充分了解甲方意图和思路，认真研讨工作方案，开展各项工作。</w:t>
      </w:r>
    </w:p>
    <w:p>
      <w:pPr>
        <w:adjustRightInd w:val="0"/>
        <w:snapToGrid w:val="0"/>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4</w:t>
      </w:r>
      <w:r>
        <w:rPr>
          <w:rFonts w:ascii="Times New Roman" w:hAnsi="Times New Roman" w:eastAsia="宋体" w:cs="Times New Roman"/>
          <w:color w:val="000000" w:themeColor="text1"/>
          <w:sz w:val="24"/>
          <w:szCs w:val="24"/>
          <w:highlight w:val="none"/>
          <w14:textFill>
            <w14:solidFill>
              <w14:schemeClr w14:val="tx1"/>
            </w14:solidFill>
          </w14:textFill>
        </w:rPr>
        <w:t>.乙方应及时完成各项工作，并充分考虑甲方评审所需时间要求。</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5</w:t>
      </w:r>
      <w:r>
        <w:rPr>
          <w:rFonts w:ascii="Times New Roman" w:hAnsi="Times New Roman" w:eastAsia="宋体" w:cs="Times New Roman"/>
          <w:color w:val="000000" w:themeColor="text1"/>
          <w:sz w:val="24"/>
          <w:szCs w:val="24"/>
          <w:highlight w:val="none"/>
          <w14:textFill>
            <w14:solidFill>
              <w14:schemeClr w14:val="tx1"/>
            </w14:solidFill>
          </w14:textFill>
        </w:rPr>
        <w:t>.乙方应充分协调内部资源，保证工作质量。</w:t>
      </w:r>
    </w:p>
    <w:p>
      <w:pPr>
        <w:spacing w:line="360" w:lineRule="auto"/>
        <w:ind w:firstLine="480" w:firstLineChars="200"/>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6. 为保证项目成果的质量，乙方在合同履行期间，应按照本项目工作内容要求，成立项目团队。项目负责人负责对项目实施全过程进行组织和指导，并承担项目的实质性工作。负责人及相关工作人员名单在甲方确认后如需更换，乙方应事先征得甲方的书面同意，且接替的工作人员的职位、资历、资质应与原定工作人员相当。</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7．乙方应接受甲方对工作进展的询问、监督和指导，严格按本合同约定的内容、标准和期限完成项目工作，并向甲方提交</w:t>
      </w:r>
      <w:r>
        <w:rPr>
          <w:rFonts w:ascii="Times New Roman" w:hAnsi="Times New Roman" w:eastAsia="宋体" w:cs="Times New Roman"/>
          <w:bCs/>
          <w:color w:val="000000" w:themeColor="text1"/>
          <w:sz w:val="24"/>
          <w:szCs w:val="24"/>
          <w:highlight w:val="none"/>
          <w14:textFill>
            <w14:solidFill>
              <w14:schemeClr w14:val="tx1"/>
            </w14:solidFill>
          </w14:textFill>
        </w:rPr>
        <w:t>《“前海工匠”种子名单》及《“前海工匠”评选活动报告》</w:t>
      </w:r>
      <w:r>
        <w:rPr>
          <w:rFonts w:ascii="Times New Roman" w:hAnsi="Times New Roman" w:eastAsia="宋体" w:cs="Times New Roman"/>
          <w:color w:val="000000" w:themeColor="text1"/>
          <w:sz w:val="24"/>
          <w:szCs w:val="24"/>
          <w:highlight w:val="none"/>
          <w14:textFill>
            <w14:solidFill>
              <w14:schemeClr w14:val="tx1"/>
            </w14:solidFill>
          </w14:textFill>
        </w:rPr>
        <w:t>。项目工作完成后，乙方应按照甲方要求将完成本项目的工作总结交给甲方。</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8.乙方应采取必要措施配合甲方验收人员的工作</w:t>
      </w:r>
      <w:r>
        <w:rPr>
          <w:rFonts w:hint="eastAsia" w:ascii="Times New Roman" w:hAnsi="Times New Roman" w:eastAsia="宋体" w:cs="Times New Roman"/>
          <w:color w:val="000000" w:themeColor="text1"/>
          <w:sz w:val="24"/>
          <w:szCs w:val="24"/>
          <w:highlight w:val="none"/>
          <w14:textFill>
            <w14:solidFill>
              <w14:schemeClr w14:val="tx1"/>
            </w14:solidFill>
          </w14:textFill>
        </w:rPr>
        <w:t>，</w:t>
      </w:r>
      <w:r>
        <w:rPr>
          <w:rFonts w:ascii="Times New Roman" w:hAnsi="Times New Roman" w:eastAsia="宋体" w:cs="Times New Roman"/>
          <w:color w:val="000000" w:themeColor="text1"/>
          <w:sz w:val="24"/>
          <w:szCs w:val="24"/>
          <w:highlight w:val="none"/>
          <w14:textFill>
            <w14:solidFill>
              <w14:schemeClr w14:val="tx1"/>
            </w14:solidFill>
          </w14:textFill>
        </w:rPr>
        <w:t>对于验收过程中发现的问题，乙方应在发现问题之日起3天内进行改正和调整，以符合甲方的需要。</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9.乙方有维护甲方声誉的义务，乙方不能以甲方名义从事与本项目无关的任何事务，否则甲方有权追究其相关责任。</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10.乙方应独立完成本项目。未经甲方书面在先同意，乙方不得向任何第三方全部或部分转让本项目。</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11.本合同期满或提前解除、终止后，乙方应将甲方的档案资料、信息数据等交还甲方，并应销毁或删除所有备份。</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12.乙方对其工作人员在合同履行期间的一切行为负责，期间发生的一切安全事故责任、其他人身损害意外及因此发生的人身损害赔偿和其他费用由乙方自行承担，概与甲方无关。若因乙方工作人员的行为导致甲方支付赔偿或其他费用，甲方有权要求乙方全部偿还。</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13.乙方在完成本项目过程中，不得损害其他任何第三方的知识产权等合法权益，否则由此造成的相关责任应当由乙方自行承担，与甲方无关。</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14.针对甲方就乙方提交的工作报告等相关文件提出的修改意见，乙方应当在甲方指定的修改时间内完成修改。</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15.乙方指定项目联系人：</w:t>
      </w:r>
    </w:p>
    <w:p>
      <w:pPr>
        <w:spacing w:line="360" w:lineRule="auto"/>
        <w:ind w:firstLine="480" w:firstLineChars="200"/>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姓名：</w:t>
      </w:r>
      <w:r>
        <w:rPr>
          <w:rFonts w:hint="eastAsia"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联系方式：</w:t>
      </w:r>
      <w:r>
        <w:rPr>
          <w:rFonts w:hint="eastAsia"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eastAsia"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p>
    <w:p>
      <w:pPr>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第五条  人员要求</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以下为本项目核心领导团队。</w:t>
      </w:r>
    </w:p>
    <w:tbl>
      <w:tblPr>
        <w:tblStyle w:val="24"/>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序号</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姓名</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性别</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年龄</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学历</w:t>
            </w: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职称、职务</w:t>
            </w: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拟任</w:t>
            </w:r>
            <w:r>
              <w:rPr>
                <w:rFonts w:ascii="宋体" w:hAnsi="宋体" w:cs="宋体"/>
                <w:color w:val="000000" w:themeColor="text1"/>
                <w:sz w:val="24"/>
                <w:szCs w:val="24"/>
                <w:highlight w:val="none"/>
                <w14:textFill>
                  <w14:solidFill>
                    <w14:schemeClr w14:val="tx1"/>
                  </w14:solidFill>
                </w14:textFill>
              </w:rPr>
              <w:t>团队</w:t>
            </w:r>
            <w:r>
              <w:rPr>
                <w:rFonts w:hint="eastAsia" w:ascii="宋体" w:hAnsi="宋体" w:cs="宋体"/>
                <w:color w:val="000000" w:themeColor="text1"/>
                <w:sz w:val="24"/>
                <w:szCs w:val="24"/>
                <w:highlight w:val="none"/>
                <w14:textFill>
                  <w14:solidFill>
                    <w14:schemeClr w14:val="tx1"/>
                  </w14:solidFill>
                </w14:textFill>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000000" w:themeColor="text1"/>
                <w:sz w:val="24"/>
                <w:szCs w:val="24"/>
                <w:highlight w:val="none"/>
                <w14:textFill>
                  <w14:solidFill>
                    <w14:schemeClr w14:val="tx1"/>
                  </w14:solidFill>
                </w14:textFill>
              </w:rPr>
            </w:pPr>
          </w:p>
        </w:tc>
      </w:tr>
    </w:tbl>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1.参加本项目编制的人员配置若需调整需经甲方</w:t>
      </w:r>
      <w:r>
        <w:rPr>
          <w:rFonts w:ascii="宋体" w:hAnsi="宋体" w:cs="宋体"/>
          <w:color w:val="000000" w:themeColor="text1"/>
          <w:sz w:val="24"/>
          <w:szCs w:val="24"/>
          <w:highlight w:val="none"/>
          <w14:textFill>
            <w14:solidFill>
              <w14:schemeClr w14:val="tx1"/>
            </w14:solidFill>
          </w14:textFill>
        </w:rPr>
        <w:t>书面</w:t>
      </w:r>
      <w:r>
        <w:rPr>
          <w:rFonts w:hint="eastAsia" w:ascii="宋体" w:hAnsi="宋体" w:cs="宋体"/>
          <w:color w:val="000000" w:themeColor="text1"/>
          <w:sz w:val="24"/>
          <w:szCs w:val="24"/>
          <w:highlight w:val="none"/>
          <w14:textFill>
            <w14:solidFill>
              <w14:schemeClr w14:val="tx1"/>
            </w14:solidFill>
          </w14:textFill>
        </w:rPr>
        <w:t>同意后，方可变更。</w:t>
      </w:r>
    </w:p>
    <w:p>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2.必须以乙方直属人员</w:t>
      </w:r>
      <w:r>
        <w:rPr>
          <w:rFonts w:ascii="宋体" w:hAnsi="宋体" w:cs="宋体"/>
          <w:color w:val="000000" w:themeColor="text1"/>
          <w:sz w:val="24"/>
          <w:szCs w:val="24"/>
          <w:highlight w:val="none"/>
          <w14:textFill>
            <w14:solidFill>
              <w14:schemeClr w14:val="tx1"/>
            </w14:solidFill>
          </w14:textFill>
        </w:rPr>
        <w:t>（直属人员指</w:t>
      </w:r>
      <w:r>
        <w:rPr>
          <w:rFonts w:hint="eastAsia" w:ascii="宋体" w:hAnsi="宋体" w:cs="宋体"/>
          <w:color w:val="000000" w:themeColor="text1"/>
          <w:sz w:val="24"/>
          <w:szCs w:val="24"/>
          <w:highlight w:val="none"/>
          <w14:textFill>
            <w14:solidFill>
              <w14:schemeClr w14:val="tx1"/>
            </w14:solidFill>
          </w14:textFill>
        </w:rPr>
        <w:t>劳动合同、社会保险等劳动关系</w:t>
      </w:r>
      <w:r>
        <w:rPr>
          <w:rFonts w:ascii="宋体" w:hAnsi="宋体" w:cs="宋体"/>
          <w:color w:val="000000" w:themeColor="text1"/>
          <w:sz w:val="24"/>
          <w:szCs w:val="24"/>
          <w:highlight w:val="none"/>
          <w14:textFill>
            <w14:solidFill>
              <w14:schemeClr w14:val="tx1"/>
            </w14:solidFill>
          </w14:textFill>
        </w:rPr>
        <w:t>在乙方</w:t>
      </w:r>
      <w:r>
        <w:rPr>
          <w:rFonts w:ascii="宋体" w:hAnsi="宋体" w:eastAsia="宋体" w:cs="宋体"/>
          <w:color w:val="000000" w:themeColor="text1"/>
          <w:sz w:val="24"/>
          <w:szCs w:val="24"/>
          <w:highlight w:val="none"/>
          <w14:textFill>
            <w14:solidFill>
              <w14:schemeClr w14:val="tx1"/>
            </w14:solidFill>
          </w14:textFill>
        </w:rPr>
        <w:t>的人员）</w:t>
      </w:r>
      <w:r>
        <w:rPr>
          <w:rFonts w:hint="eastAsia" w:ascii="宋体" w:hAnsi="宋体" w:eastAsia="宋体" w:cs="宋体"/>
          <w:color w:val="000000" w:themeColor="text1"/>
          <w:sz w:val="24"/>
          <w:szCs w:val="24"/>
          <w:highlight w:val="none"/>
          <w14:textFill>
            <w14:solidFill>
              <w14:schemeClr w14:val="tx1"/>
            </w14:solidFill>
          </w14:textFill>
        </w:rPr>
        <w:t>参与本项目服务，不得使用挂靠队伍。</w:t>
      </w:r>
    </w:p>
    <w:p>
      <w:pPr>
        <w:spacing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项目团队成员不少于6人（含1名项目负责人）。</w:t>
      </w:r>
    </w:p>
    <w:p>
      <w:pPr>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第六条 成果权属与知识产权</w:t>
      </w:r>
    </w:p>
    <w:p>
      <w:pPr>
        <w:widowControl/>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1.双方对本合同有关的知识产权以及与之相关的所有权利归属约定如下： 本项目全部阶段性成果和最终成果（包括为后续服务范围所编制的材料）的知识产权以及与之相关的所有权利归甲方所有；本合同签署前双方已经拥有的知识产权权利，仍归各自所有。</w:t>
      </w:r>
    </w:p>
    <w:p>
      <w:pPr>
        <w:widowControl/>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双方确定，甲方有权利用乙方按照本合同约定提供的研究开发成果，进行后续改进。由此产生的具有实质性或创造性技术进步特征的新的技术成果及其权利归属，全部由甲方享有。具体相关利益的分配办法如下：甲方100%。</w:t>
      </w:r>
    </w:p>
    <w:p>
      <w:pPr>
        <w:widowControl/>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乙方所提交的全部中间成果和最终成果材料及任何数据、资料、软件等不得侵犯任何第三方的知识产权或其他权利，由于该等文件、材料、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未经甲方书面在先同意，乙方不得将本项目的中间成果和最终成果材料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5.乙方完成本合同项目的研究开发人员享有在有关技术成果材料上写明技术成果完成者的权利和与甲方共同获得有关荣誉证书、奖励的权利。</w:t>
      </w:r>
    </w:p>
    <w:p>
      <w:pPr>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第七条  保密条款</w:t>
      </w:r>
    </w:p>
    <w:p>
      <w:pPr>
        <w:widowControl/>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bookmarkStart w:id="13" w:name="_Toc216520223"/>
      <w:r>
        <w:rPr>
          <w:rFonts w:hint="eastAsia" w:ascii="宋体" w:hAnsi="宋体" w:cs="宋体"/>
          <w:color w:val="000000" w:themeColor="text1"/>
          <w:sz w:val="24"/>
          <w:szCs w:val="24"/>
          <w:highlight w:val="none"/>
          <w14:textFill>
            <w14:solidFill>
              <w14:schemeClr w14:val="tx1"/>
            </w14:solidFill>
          </w14:textFill>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13"/>
    </w:p>
    <w:p>
      <w:pPr>
        <w:widowControl/>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乙方须以保密方式处理在编制本项目成果材料过程中自甲方、甲方工作人员或甲方关联机构获得的相关信息、资料、图纸、数据等，或由甲方在履行本合同过程中明确指明为秘密的任何信息,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4.乙方实施项目的程序应符合国家安全、保密的有关规定和标准。</w:t>
      </w:r>
    </w:p>
    <w:p>
      <w:pPr>
        <w:widowControl/>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bookmarkStart w:id="14" w:name="_Toc216520224"/>
      <w:r>
        <w:rPr>
          <w:rFonts w:hint="eastAsia" w:ascii="宋体" w:hAnsi="宋体" w:cs="宋体"/>
          <w:color w:val="000000" w:themeColor="text1"/>
          <w:sz w:val="24"/>
          <w:szCs w:val="24"/>
          <w:highlight w:val="none"/>
          <w14:textFill>
            <w14:solidFill>
              <w14:schemeClr w14:val="tx1"/>
            </w14:solidFill>
          </w14:textFill>
        </w:rPr>
        <w:t>5</w:t>
      </w:r>
      <w:bookmarkEnd w:id="14"/>
      <w:bookmarkStart w:id="15" w:name="_Toc216520226"/>
      <w:r>
        <w:rPr>
          <w:rFonts w:hint="eastAsia" w:ascii="宋体" w:hAnsi="宋体" w:cs="宋体"/>
          <w:color w:val="000000" w:themeColor="text1"/>
          <w:sz w:val="24"/>
          <w:szCs w:val="24"/>
          <w:highlight w:val="none"/>
          <w14:textFill>
            <w14:solidFill>
              <w14:schemeClr w14:val="tx1"/>
            </w14:solidFill>
          </w14:textFill>
        </w:rPr>
        <w:t>.上述保密义务不适用以下情况：</w:t>
      </w:r>
      <w:bookmarkEnd w:id="15"/>
    </w:p>
    <w:p>
      <w:pPr>
        <w:widowControl/>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（1）获取的信息已被合法公开；</w:t>
      </w:r>
    </w:p>
    <w:p>
      <w:pPr>
        <w:widowControl/>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（2）获得信息拥有方书面许可并在该许可范围内披露；</w:t>
      </w:r>
    </w:p>
    <w:p>
      <w:pPr>
        <w:widowControl/>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（3）国家法律、法规规定的情形。</w:t>
      </w:r>
    </w:p>
    <w:p>
      <w:pPr>
        <w:widowControl/>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如乙方违反上述保密条款，甲方有权解除本合同，乙方应在合同解除通知发出之日起10日内向甲方支付本合同服务费总金额20%的违约金，如果违约金无法弥补甲方损失，甲方保留要求乙方赔偿全部损失的权利，包括但不限于前述责任所产生的诉讼费用、律师费用、鉴定评估费用、调查费用、和解金额或生效法律文书中规定的赔偿金额。</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7.无论本合同或本合同其他条款是否有效，本保密条款始终约束双方。国家秘密的保密期限由国家有关部门确定，工作秘密的保密期限由甲方确定。</w:t>
      </w:r>
    </w:p>
    <w:p>
      <w:pPr>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第八条  验收方式</w:t>
      </w:r>
    </w:p>
    <w:p>
      <w:pPr>
        <w:widowControl/>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项目最终成果验收合格的标志为通过</w:t>
      </w:r>
      <w:r>
        <w:rPr>
          <w:rFonts w:hint="eastAsia" w:ascii="宋体" w:hAnsi="宋体" w:cs="宋体"/>
          <w:color w:val="000000" w:themeColor="text1"/>
          <w:sz w:val="24"/>
          <w:szCs w:val="24"/>
          <w:highlight w:val="none"/>
          <w:lang w:val="en-US" w:eastAsia="zh-CN"/>
          <w14:textFill>
            <w14:solidFill>
              <w14:schemeClr w14:val="tx1"/>
            </w14:solidFill>
          </w14:textFill>
        </w:rPr>
        <w:t>甲方</w:t>
      </w:r>
      <w:r>
        <w:rPr>
          <w:rFonts w:hint="eastAsia" w:ascii="宋体" w:hAnsi="宋体" w:cs="宋体"/>
          <w:color w:val="000000" w:themeColor="text1"/>
          <w:sz w:val="24"/>
          <w:szCs w:val="24"/>
          <w:highlight w:val="none"/>
          <w14:textFill>
            <w14:solidFill>
              <w14:schemeClr w14:val="tx1"/>
            </w14:solidFill>
          </w14:textFill>
        </w:rPr>
        <w:t>验收。</w:t>
      </w:r>
    </w:p>
    <w:p>
      <w:pPr>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第九条  项目服务费用及付款方式</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（一）本合同项下服务费总金额共计人民币</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cs="Times New Roman"/>
          <w:color w:val="000000" w:themeColor="text1"/>
          <w:sz w:val="24"/>
          <w:szCs w:val="24"/>
          <w:highlight w:val="none"/>
          <w:u w:val="single"/>
          <w14:textFill>
            <w14:solidFill>
              <w14:schemeClr w14:val="tx1"/>
            </w14:solidFill>
          </w14:textFill>
        </w:rPr>
        <w:t>XXXX</w:t>
      </w:r>
      <w:r>
        <w:rPr>
          <w:rFonts w:hint="eastAsia"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eastAsia" w:ascii="Times New Roman" w:hAnsi="Times New Roman" w:eastAsia="宋体" w:cs="Times New Roman"/>
          <w:color w:val="000000" w:themeColor="text1"/>
          <w:sz w:val="24"/>
          <w:szCs w:val="24"/>
          <w:highlight w:val="none"/>
          <w14:textFill>
            <w14:solidFill>
              <w14:schemeClr w14:val="tx1"/>
            </w14:solidFill>
          </w14:textFill>
        </w:rPr>
        <w:t>元整（￥</w:t>
      </w:r>
      <w:r>
        <w:rPr>
          <w:rFonts w:hint="default" w:cs="Times New Roman"/>
          <w:color w:val="000000" w:themeColor="text1"/>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z w:val="24"/>
          <w:szCs w:val="24"/>
          <w:highlight w:val="none"/>
          <w14:textFill>
            <w14:solidFill>
              <w14:schemeClr w14:val="tx1"/>
            </w14:solidFill>
          </w14:textFill>
        </w:rPr>
        <w:t>）</w:t>
      </w:r>
      <w:r>
        <w:rPr>
          <w:rFonts w:ascii="Times New Roman" w:hAnsi="Times New Roman" w:eastAsia="宋体" w:cs="Times New Roman"/>
          <w:color w:val="000000" w:themeColor="text1"/>
          <w:sz w:val="24"/>
          <w:szCs w:val="24"/>
          <w:highlight w:val="none"/>
          <w14:textFill>
            <w14:solidFill>
              <w14:schemeClr w14:val="tx1"/>
            </w14:solidFill>
          </w14:textFill>
        </w:rPr>
        <w:t>。服务费</w:t>
      </w:r>
      <w:r>
        <w:rPr>
          <w:rFonts w:hint="eastAsia" w:ascii="宋体" w:hAnsi="宋体" w:cs="宋体"/>
          <w:color w:val="000000" w:themeColor="text1"/>
          <w:sz w:val="24"/>
          <w:highlight w:val="none"/>
          <w:lang w:eastAsia="zh-CN"/>
          <w14:textFill>
            <w14:solidFill>
              <w14:schemeClr w14:val="tx1"/>
            </w14:solidFill>
          </w14:textFill>
        </w:rPr>
        <w:t>包括但不限于培训费、活动组织费、场地费用、宣传费、资料费、税金、人员费用、差旅费、后续服务等所有费用</w:t>
      </w:r>
      <w:r>
        <w:rPr>
          <w:rFonts w:hint="eastAsia" w:ascii="宋体" w:hAnsi="宋体" w:cs="宋体"/>
          <w:color w:val="000000" w:themeColor="text1"/>
          <w:sz w:val="24"/>
          <w:highlight w:val="none"/>
          <w14:textFill>
            <w14:solidFill>
              <w14:schemeClr w14:val="tx1"/>
            </w14:solidFill>
          </w14:textFill>
        </w:rPr>
        <w:t>，并提供合同要求的有关成果材料，以及其它相关服务的全部费用</w:t>
      </w:r>
      <w:r>
        <w:rPr>
          <w:rFonts w:ascii="Times New Roman" w:hAnsi="Times New Roman" w:eastAsia="宋体" w:cs="Times New Roman"/>
          <w:color w:val="000000" w:themeColor="text1"/>
          <w:sz w:val="24"/>
          <w:szCs w:val="24"/>
          <w:highlight w:val="none"/>
          <w14:textFill>
            <w14:solidFill>
              <w14:schemeClr w14:val="tx1"/>
            </w14:solidFill>
          </w14:textFill>
        </w:rPr>
        <w:t>。</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（二）付款方式：</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合同价款由甲方分3期付至乙方指定银行账户：</w:t>
      </w:r>
    </w:p>
    <w:p>
      <w:pPr>
        <w:spacing w:line="360" w:lineRule="auto"/>
        <w:ind w:firstLine="480" w:firstLineChars="200"/>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w:t>
      </w:r>
      <w:r>
        <w:rPr>
          <w:rFonts w:hint="eastAsia" w:ascii="Times New Roman" w:hAnsi="Times New Roman" w:eastAsia="宋体" w:cs="Times New Roman"/>
          <w:color w:val="000000" w:themeColor="text1"/>
          <w:sz w:val="24"/>
          <w:szCs w:val="24"/>
          <w:highlight w:val="none"/>
          <w14:textFill>
            <w14:solidFill>
              <w14:schemeClr w14:val="tx1"/>
            </w14:solidFill>
          </w14:textFill>
        </w:rPr>
        <w:t>乙方报送“前海工匠”培育与评选活动方案获批后，根据乙方提出的付款申请，支付合同价款的</w:t>
      </w:r>
      <w:r>
        <w:rPr>
          <w:rFonts w:hint="default" w:cs="Times New Roman"/>
          <w:color w:val="000000" w:themeColor="text1"/>
          <w:sz w:val="24"/>
          <w:szCs w:val="24"/>
          <w:highlight w:val="none"/>
          <w14:textFill>
            <w14:solidFill>
              <w14:schemeClr w14:val="tx1"/>
            </w14:solidFill>
          </w14:textFill>
        </w:rPr>
        <w:t>3</w:t>
      </w:r>
      <w:r>
        <w:rPr>
          <w:rFonts w:ascii="Times New Roman" w:hAnsi="Times New Roman" w:eastAsia="宋体" w:cs="Times New Roman"/>
          <w:color w:val="000000" w:themeColor="text1"/>
          <w:sz w:val="24"/>
          <w:szCs w:val="24"/>
          <w:highlight w:val="none"/>
          <w14:textFill>
            <w14:solidFill>
              <w14:schemeClr w14:val="tx1"/>
            </w14:solidFill>
          </w14:textFill>
        </w:rPr>
        <w:t>0</w:t>
      </w:r>
      <w:r>
        <w:rPr>
          <w:rFonts w:hint="eastAsia" w:ascii="Times New Roman" w:hAnsi="Times New Roman" w:eastAsia="宋体" w:cs="Times New Roman"/>
          <w:color w:val="000000" w:themeColor="text1"/>
          <w:sz w:val="24"/>
          <w:szCs w:val="24"/>
          <w:highlight w:val="none"/>
          <w14:textFill>
            <w14:solidFill>
              <w14:schemeClr w14:val="tx1"/>
            </w14:solidFill>
          </w14:textFill>
        </w:rPr>
        <w:t>%（人民币：，￥）作为项目启动费用；</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w:t>
      </w:r>
      <w:r>
        <w:rPr>
          <w:rFonts w:hint="eastAsia" w:ascii="Times New Roman" w:hAnsi="Times New Roman" w:eastAsia="宋体" w:cs="Times New Roman"/>
          <w:color w:val="000000" w:themeColor="text1"/>
          <w:sz w:val="24"/>
          <w:szCs w:val="24"/>
          <w:highlight w:val="none"/>
          <w14:textFill>
            <w14:solidFill>
              <w14:schemeClr w14:val="tx1"/>
            </w14:solidFill>
          </w14:textFill>
        </w:rPr>
        <w:t>完成“前海工匠”培育工作，提交</w:t>
      </w:r>
      <w:r>
        <w:rPr>
          <w:rFonts w:ascii="Times New Roman" w:hAnsi="Times New Roman" w:eastAsia="宋体" w:cs="Times New Roman"/>
          <w:bCs/>
          <w:color w:val="000000" w:themeColor="text1"/>
          <w:sz w:val="24"/>
          <w:szCs w:val="24"/>
          <w:highlight w:val="none"/>
          <w14:textFill>
            <w14:solidFill>
              <w14:schemeClr w14:val="tx1"/>
            </w14:solidFill>
          </w14:textFill>
        </w:rPr>
        <w:t>《“前海工匠”种子名单》</w:t>
      </w:r>
      <w:r>
        <w:rPr>
          <w:rFonts w:hint="eastAsia" w:ascii="Times New Roman" w:hAnsi="Times New Roman" w:eastAsia="宋体" w:cs="Times New Roman"/>
          <w:color w:val="000000" w:themeColor="text1"/>
          <w:sz w:val="24"/>
          <w:szCs w:val="24"/>
          <w:highlight w:val="none"/>
          <w14:textFill>
            <w14:solidFill>
              <w14:schemeClr w14:val="tx1"/>
            </w14:solidFill>
          </w14:textFill>
        </w:rPr>
        <w:t>，经甲方审核合格后，根据</w:t>
      </w:r>
      <w:r>
        <w:rPr>
          <w:rFonts w:ascii="Times New Roman" w:hAnsi="Times New Roman" w:eastAsia="宋体" w:cs="Times New Roman"/>
          <w:color w:val="000000" w:themeColor="text1"/>
          <w:sz w:val="24"/>
          <w:szCs w:val="24"/>
          <w:highlight w:val="none"/>
          <w14:textFill>
            <w14:solidFill>
              <w14:schemeClr w14:val="tx1"/>
            </w14:solidFill>
          </w14:textFill>
        </w:rPr>
        <w:t>乙方提出的付款申请，支付</w:t>
      </w:r>
      <w:r>
        <w:rPr>
          <w:rFonts w:hint="eastAsia" w:ascii="Times New Roman" w:hAnsi="Times New Roman" w:eastAsia="宋体" w:cs="Times New Roman"/>
          <w:color w:val="000000" w:themeColor="text1"/>
          <w:sz w:val="24"/>
          <w:szCs w:val="24"/>
          <w:highlight w:val="none"/>
          <w14:textFill>
            <w14:solidFill>
              <w14:schemeClr w14:val="tx1"/>
            </w14:solidFill>
          </w14:textFill>
        </w:rPr>
        <w:t>合同价款的</w:t>
      </w:r>
      <w:r>
        <w:rPr>
          <w:rFonts w:hint="default" w:cs="Times New Roman"/>
          <w:color w:val="000000" w:themeColor="text1"/>
          <w:sz w:val="24"/>
          <w:szCs w:val="24"/>
          <w:highlight w:val="none"/>
          <w14:textFill>
            <w14:solidFill>
              <w14:schemeClr w14:val="tx1"/>
            </w14:solidFill>
          </w14:textFill>
        </w:rPr>
        <w:t>4</w:t>
      </w:r>
      <w:r>
        <w:rPr>
          <w:rFonts w:ascii="Times New Roman" w:hAnsi="Times New Roman" w:eastAsia="宋体" w:cs="Times New Roman"/>
          <w:color w:val="000000" w:themeColor="text1"/>
          <w:sz w:val="24"/>
          <w:szCs w:val="24"/>
          <w:highlight w:val="none"/>
          <w14:textFill>
            <w14:solidFill>
              <w14:schemeClr w14:val="tx1"/>
            </w14:solidFill>
          </w14:textFill>
        </w:rPr>
        <w:t>0</w:t>
      </w:r>
      <w:r>
        <w:rPr>
          <w:rFonts w:hint="eastAsia" w:ascii="Times New Roman" w:hAnsi="Times New Roman" w:eastAsia="宋体" w:cs="Times New Roman"/>
          <w:color w:val="000000" w:themeColor="text1"/>
          <w:sz w:val="24"/>
          <w:szCs w:val="24"/>
          <w:highlight w:val="none"/>
          <w14:textFill>
            <w14:solidFill>
              <w14:schemeClr w14:val="tx1"/>
            </w14:solidFill>
          </w14:textFill>
        </w:rPr>
        <w:t>%（人民币：，￥）；</w:t>
      </w:r>
    </w:p>
    <w:p>
      <w:pPr>
        <w:spacing w:line="360" w:lineRule="auto"/>
        <w:ind w:firstLine="480" w:firstLineChars="200"/>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3.</w:t>
      </w:r>
      <w:r>
        <w:rPr>
          <w:rFonts w:hint="eastAsia" w:ascii="Times New Roman" w:hAnsi="Times New Roman" w:eastAsia="宋体" w:cs="Times New Roman"/>
          <w:color w:val="000000" w:themeColor="text1"/>
          <w:sz w:val="24"/>
          <w:szCs w:val="24"/>
          <w:highlight w:val="none"/>
          <w14:textFill>
            <w14:solidFill>
              <w14:schemeClr w14:val="tx1"/>
            </w14:solidFill>
          </w14:textFill>
        </w:rPr>
        <w:t>完成“前海工匠”评选工作</w:t>
      </w:r>
      <w:r>
        <w:rPr>
          <w:rFonts w:hint="default" w:cs="Times New Roman"/>
          <w:color w:val="000000" w:themeColor="text1"/>
          <w:sz w:val="24"/>
          <w:szCs w:val="24"/>
          <w:highlight w:val="none"/>
          <w14:textFill>
            <w14:solidFill>
              <w14:schemeClr w14:val="tx1"/>
            </w14:solidFill>
          </w14:textFill>
        </w:rPr>
        <w:t>和颁奖典礼</w:t>
      </w:r>
      <w:r>
        <w:rPr>
          <w:rFonts w:hint="eastAsia" w:ascii="Times New Roman" w:hAnsi="Times New Roman" w:eastAsia="宋体" w:cs="Times New Roman"/>
          <w:color w:val="000000" w:themeColor="text1"/>
          <w:sz w:val="24"/>
          <w:szCs w:val="24"/>
          <w:highlight w:val="none"/>
          <w14:textFill>
            <w14:solidFill>
              <w14:schemeClr w14:val="tx1"/>
            </w14:solidFill>
          </w14:textFill>
        </w:rPr>
        <w:t>，提交</w:t>
      </w:r>
      <w:r>
        <w:rPr>
          <w:rFonts w:ascii="Times New Roman" w:hAnsi="Times New Roman" w:eastAsia="宋体" w:cs="Times New Roman"/>
          <w:bCs/>
          <w:color w:val="000000" w:themeColor="text1"/>
          <w:sz w:val="24"/>
          <w:szCs w:val="24"/>
          <w:highlight w:val="none"/>
          <w14:textFill>
            <w14:solidFill>
              <w14:schemeClr w14:val="tx1"/>
            </w14:solidFill>
          </w14:textFill>
        </w:rPr>
        <w:t>《“前海工匠”评选活动报告》</w:t>
      </w: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w:t>
      </w:r>
      <w:r>
        <w:rPr>
          <w:rFonts w:hint="eastAsia" w:ascii="Times New Roman" w:hAnsi="Times New Roman" w:eastAsia="宋体" w:cs="Times New Roman"/>
          <w:color w:val="000000" w:themeColor="text1"/>
          <w:sz w:val="24"/>
          <w:szCs w:val="24"/>
          <w:highlight w:val="none"/>
          <w14:textFill>
            <w14:solidFill>
              <w14:schemeClr w14:val="tx1"/>
            </w14:solidFill>
          </w14:textFill>
        </w:rPr>
        <w:t>经甲方审核合格后，根据</w:t>
      </w:r>
      <w:r>
        <w:rPr>
          <w:rFonts w:ascii="Times New Roman" w:hAnsi="Times New Roman" w:eastAsia="宋体" w:cs="Times New Roman"/>
          <w:color w:val="000000" w:themeColor="text1"/>
          <w:sz w:val="24"/>
          <w:szCs w:val="24"/>
          <w:highlight w:val="none"/>
          <w14:textFill>
            <w14:solidFill>
              <w14:schemeClr w14:val="tx1"/>
            </w14:solidFill>
          </w14:textFill>
        </w:rPr>
        <w:t>乙方提出的付款申请，支付</w:t>
      </w:r>
      <w:r>
        <w:rPr>
          <w:rFonts w:hint="eastAsia" w:ascii="Times New Roman" w:hAnsi="Times New Roman" w:eastAsia="宋体" w:cs="Times New Roman"/>
          <w:color w:val="000000" w:themeColor="text1"/>
          <w:sz w:val="24"/>
          <w:szCs w:val="24"/>
          <w:highlight w:val="none"/>
          <w14:textFill>
            <w14:solidFill>
              <w14:schemeClr w14:val="tx1"/>
            </w14:solidFill>
          </w14:textFill>
        </w:rPr>
        <w:t>剩余全部合同价款（人民币：，￥）。</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上述每期款项均在满足付款条件，且采购人收到中标人开具的载明相应金额的合格发票后15个工作日内付至中标人指定银行账户。如未及时收到发票，则采购人相应付款时间顺延。若因</w:t>
      </w:r>
      <w:r>
        <w:rPr>
          <w:rFonts w:ascii="宋体" w:hAnsi="宋体" w:cs="宋体"/>
          <w:color w:val="000000" w:themeColor="text1"/>
          <w:sz w:val="24"/>
          <w:highlight w:val="none"/>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付款审批影响支付进度，请</w:t>
      </w:r>
      <w:r>
        <w:rPr>
          <w:rFonts w:ascii="宋体" w:hAnsi="宋体" w:cs="宋体"/>
          <w:color w:val="000000" w:themeColor="text1"/>
          <w:sz w:val="24"/>
          <w:highlight w:val="none"/>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予以谅解，并不得就此向</w:t>
      </w:r>
      <w:r>
        <w:rPr>
          <w:rFonts w:ascii="宋体" w:hAnsi="宋体" w:cs="宋体"/>
          <w:color w:val="000000" w:themeColor="text1"/>
          <w:sz w:val="24"/>
          <w:highlight w:val="none"/>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索赔</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本合同执行中相关的一切税费均由乙方承担。</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（三）乙方银行账户信息：</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开户银行：</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户名：</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hint="default" w:ascii="Times New Roman" w:hAnsi="Times New Roman" w:eastAsia="宋体" w:cs="Times New Roman"/>
          <w:color w:val="000000" w:themeColor="text1"/>
          <w:sz w:val="24"/>
          <w:szCs w:val="24"/>
          <w:highlight w:val="none"/>
          <w:u w:val="singl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账号：</w:t>
      </w:r>
      <w:r>
        <w:rPr>
          <w:rFonts w:hint="eastAsia"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p>
    <w:p>
      <w:pPr>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第十条 合同提前终止</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（一）双方协商同意提前终止本合同的，按双方协商约定的方式进行清算执行。</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（二）</w:t>
      </w:r>
      <w:r>
        <w:rPr>
          <w:rFonts w:hint="eastAsia" w:ascii="Times New Roman" w:hAnsi="Times New Roman" w:eastAsia="宋体" w:cs="Times New Roman"/>
          <w:color w:val="000000" w:themeColor="text1"/>
          <w:sz w:val="24"/>
          <w:szCs w:val="24"/>
          <w:highlight w:val="none"/>
          <w14:textFill>
            <w14:solidFill>
              <w14:schemeClr w14:val="tx1"/>
            </w14:solidFill>
          </w14:textFill>
        </w:rPr>
        <w:t>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（三）有下列情形之一的，本合同自甲方向乙方发出书面通知之日起终止：</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1.甲方的职能发生转变，不再具有委托职能。</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2.本合同签订时适用的法律法规或政策发生变化，且对本合同的继续履行造成重大影响。</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发生以上情形，甲方已向乙方支付的款项不退还，尚未支付的款项不再支付，同时乙方应向甲方提交在合同终止日前完成的所有项目文件和相关资料。</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（四）如发生不可抗力或其他超出合同双方控制的事件，致使一方无法履行合同，本合同解除。</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 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 发生不可抗力，甲乙双方承担各自的损失。由于其中一方迟延履行合同义务后发生不可抗力的，其违约责任不能免除。</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3. 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第十一条  争议解决办法</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因本合同的履行发生的或与本合同有关的争议或纠纷，由甲乙双方协商解决。协商不成的，任意一方有权向深圳前海合作区人民法院提起诉讼。</w:t>
      </w:r>
    </w:p>
    <w:p>
      <w:pPr>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第十二条 项目变更</w:t>
      </w:r>
    </w:p>
    <w:p>
      <w:pPr>
        <w:spacing w:line="600" w:lineRule="exact"/>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（一）本合同履行过程中的需求变更和进度调整，以甲乙双方达成一致的书面文件为准。</w:t>
      </w:r>
    </w:p>
    <w:p>
      <w:pPr>
        <w:spacing w:line="600" w:lineRule="exact"/>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（二）乙方遇到不能按期完成工作的情况，应及时以书面形式将不能按期完成工作的理由、延误时间通知甲方。甲方在收到乙方通知后，根据情况决定是否延长完成时间。如同意延长，则乙方责任期也相应延长。</w:t>
      </w:r>
    </w:p>
    <w:p>
      <w:pPr>
        <w:spacing w:line="600" w:lineRule="exact"/>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（三）因非乙方责任造成项目进度推迟或延误，无法按照本合同约定的日期完成相应工作，双方经过协商可以进一步约定完成的日期，乙方的责任期也随之顺延。</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（四）在本项目进展过程中，经双方同意的研究、编制内容等方面的增减，如所涉增加费用的金额不超过本合同项下服务费总金额的10%，由双方商定变更内容及具体价格后签订书面补充协议予以确认。</w:t>
      </w:r>
    </w:p>
    <w:p>
      <w:pPr>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第十三条 风险责任</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乙方应完全地按照【</w:t>
      </w:r>
      <w:r>
        <w:rPr>
          <w:rFonts w:hint="eastAsia" w:ascii="宋体" w:hAnsi="宋体" w:cs="宋体"/>
          <w:color w:val="000000" w:themeColor="text1"/>
          <w:sz w:val="24"/>
          <w:szCs w:val="24"/>
          <w:highlight w:val="none"/>
          <w:lang w:eastAsia="zh-CN"/>
          <w14:textFill>
            <w14:solidFill>
              <w14:schemeClr w14:val="tx1"/>
            </w14:solidFill>
          </w14:textFill>
        </w:rPr>
        <w:t>QH2023126</w:t>
      </w:r>
      <w:r>
        <w:rPr>
          <w:rFonts w:hint="eastAsia" w:ascii="宋体" w:hAnsi="宋体" w:cs="宋体"/>
          <w:color w:val="000000" w:themeColor="text1"/>
          <w:sz w:val="24"/>
          <w:szCs w:val="24"/>
          <w:highlight w:val="none"/>
          <w14:textFill>
            <w14:solidFill>
              <w14:schemeClr w14:val="tx1"/>
            </w14:solidFill>
          </w14:textFill>
        </w:rPr>
        <w:t>】号招标文件的要求和乙方投标文件的承诺完成本项目，出于自身财务、技术、人力等原因导致项目失败的，应承担全部责任。</w:t>
      </w:r>
    </w:p>
    <w:p>
      <w:pPr>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第十四条  违约责任</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（一）如乙方未按照本合同约定的时间完成本项目各阶段工作，每迟延一日，甲方有权自尚未支付的合同款项中扣除本合同服务费总金额的1‰的逾期违约金。</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（二）本合同履行期间，发生下述情形时，甲方有权解除本合同，乙方除应退还甲方已支付的全部款项外, 还应在合同解除通知发出之日起10日内向甲方支付合同总价款10%的违约金。乙方应同时将已完成的项目成果移交给甲方，并将全部有关资料退还甲方：</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1.乙方未能按合同约定的日期(含协商延缓的日期)完成</w:t>
      </w:r>
      <w:r>
        <w:rPr>
          <w:rFonts w:hint="eastAsia" w:ascii="Times New Roman" w:hAnsi="Times New Roman" w:eastAsia="宋体" w:cs="Times New Roman"/>
          <w:color w:val="000000" w:themeColor="text1"/>
          <w:sz w:val="24"/>
          <w:szCs w:val="24"/>
          <w:highlight w:val="none"/>
          <w14:textFill>
            <w14:solidFill>
              <w14:schemeClr w14:val="tx1"/>
            </w14:solidFill>
          </w14:textFill>
        </w:rPr>
        <w:t>经甲方审核通过的</w:t>
      </w:r>
      <w:r>
        <w:rPr>
          <w:rFonts w:ascii="Times New Roman" w:hAnsi="Times New Roman" w:eastAsia="宋体" w:cs="Times New Roman"/>
          <w:bCs/>
          <w:color w:val="000000" w:themeColor="text1"/>
          <w:sz w:val="24"/>
          <w:szCs w:val="24"/>
          <w:highlight w:val="none"/>
          <w14:textFill>
            <w14:solidFill>
              <w14:schemeClr w14:val="tx1"/>
            </w14:solidFill>
          </w14:textFill>
        </w:rPr>
        <w:t>《“前海工匠”种子名单》及《“前海工匠”评选活动报告》</w:t>
      </w:r>
      <w:r>
        <w:rPr>
          <w:rFonts w:ascii="Times New Roman" w:hAnsi="Times New Roman" w:eastAsia="宋体" w:cs="Times New Roman"/>
          <w:color w:val="000000" w:themeColor="text1"/>
          <w:sz w:val="24"/>
          <w:szCs w:val="24"/>
          <w:highlight w:val="none"/>
          <w14:textFill>
            <w14:solidFill>
              <w14:schemeClr w14:val="tx1"/>
            </w14:solidFill>
          </w14:textFill>
        </w:rPr>
        <w:t>，延误时间超过10个工作日；</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2.因乙方工作的错误或遗漏造成成果质量不符合本合同要求，且乙方未按甲方要求采取及时有效的补救措施的；</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3.乙方虽如期提报</w:t>
      </w:r>
      <w:r>
        <w:rPr>
          <w:rFonts w:hint="eastAsia" w:ascii="Times New Roman" w:hAnsi="Times New Roman" w:eastAsia="宋体" w:cs="Times New Roman"/>
          <w:color w:val="000000" w:themeColor="text1"/>
          <w:sz w:val="24"/>
          <w:szCs w:val="24"/>
          <w:highlight w:val="none"/>
          <w14:textFill>
            <w14:solidFill>
              <w14:schemeClr w14:val="tx1"/>
            </w14:solidFill>
          </w14:textFill>
        </w:rPr>
        <w:t>活动方案、阶段成果、活动总结</w:t>
      </w:r>
      <w:r>
        <w:rPr>
          <w:rFonts w:ascii="Times New Roman" w:hAnsi="Times New Roman" w:eastAsia="宋体" w:cs="Times New Roman"/>
          <w:color w:val="000000" w:themeColor="text1"/>
          <w:sz w:val="24"/>
          <w:szCs w:val="24"/>
          <w:highlight w:val="none"/>
          <w14:textFill>
            <w14:solidFill>
              <w14:schemeClr w14:val="tx1"/>
            </w14:solidFill>
          </w14:textFill>
        </w:rPr>
        <w:t>等总结性成果资料，但最终成果连续二次未能通过甲方验收的；</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4.未经甲方书面在先同意，乙方擅自将本合同项目与任何第三方合作，或将本合同标的的全部或部分擅自转包或分包给任何第三方，且未按甲方的要求终止与第三方的协议的；</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5</w:t>
      </w:r>
      <w:r>
        <w:rPr>
          <w:rFonts w:ascii="Times New Roman" w:hAnsi="Times New Roman" w:eastAsia="宋体" w:cs="Times New Roman"/>
          <w:color w:val="000000" w:themeColor="text1"/>
          <w:sz w:val="24"/>
          <w:szCs w:val="24"/>
          <w:highlight w:val="none"/>
          <w14:textFill>
            <w14:solidFill>
              <w14:schemeClr w14:val="tx1"/>
            </w14:solidFill>
          </w14:textFill>
        </w:rPr>
        <w:t>.发现乙方或乙方工作人员出现全部或部分丧失履行委托服务能力的情况，甲方有权通知乙方限期整改或更换工作人员，期限届满乙方并未进行改善的；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6</w:t>
      </w:r>
      <w:r>
        <w:rPr>
          <w:rFonts w:ascii="Times New Roman" w:hAnsi="Times New Roman" w:eastAsia="宋体" w:cs="Times New Roman"/>
          <w:color w:val="000000" w:themeColor="text1"/>
          <w:sz w:val="24"/>
          <w:szCs w:val="24"/>
          <w:highlight w:val="none"/>
          <w14:textFill>
            <w14:solidFill>
              <w14:schemeClr w14:val="tx1"/>
            </w14:solidFill>
          </w14:textFill>
        </w:rPr>
        <w:t>.乙方明确表示或者以自己的行为表明不履行本合同的。</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三）如甲方未按照本合同约定的时间支付服务费，乙方书面催告甲方并给予不少于30个工作日的履行期限后甲方仍未支付的，乙方有权自该期限届满之日起要求甲方支付该阶段应付而未付合同价款每日1‰的逾期违约金。如甲方无正当理由拒绝接受服务，到期明确表示拒付服务款项，乙方有权要求甲方支付本合同项下服务费总金额10%的违约金。</w:t>
      </w:r>
    </w:p>
    <w:p>
      <w:pPr>
        <w:spacing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（四）上述违约责任各自独立且可累加。如本合同所约定的违约金无法弥补因违约行为所造成的损失，违约方应补偿上述不足部分的损失</w:t>
      </w:r>
      <w:r>
        <w:rPr>
          <w:rFonts w:hint="eastAsia" w:ascii="Times New Roman" w:hAnsi="Times New Roman" w:eastAsia="宋体" w:cs="Times New Roman"/>
          <w:color w:val="000000" w:themeColor="text1"/>
          <w:sz w:val="24"/>
          <w:szCs w:val="24"/>
          <w:highlight w:val="none"/>
          <w14:textFill>
            <w14:solidFill>
              <w14:schemeClr w14:val="tx1"/>
            </w14:solidFill>
          </w14:textFill>
        </w:rPr>
        <w:t>，包括但不限于上述索赔或责任所产生的诉讼费用、合理的律师费用、鉴定评估费用、调查费用、和解金额或生效法律文书中规定的赔偿金额</w:t>
      </w:r>
      <w:r>
        <w:rPr>
          <w:rFonts w:hint="eastAsia" w:cs="Times New Roman"/>
          <w:color w:val="000000" w:themeColor="text1"/>
          <w:sz w:val="24"/>
          <w:szCs w:val="24"/>
          <w:highlight w:val="none"/>
          <w:lang w:val="en-US" w:eastAsia="zh-CN"/>
          <w14:textFill>
            <w14:solidFill>
              <w14:schemeClr w14:val="tx1"/>
            </w14:solidFill>
          </w14:textFill>
        </w:rPr>
        <w:t>。</w:t>
      </w:r>
    </w:p>
    <w:p>
      <w:pPr>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第十五条  其他</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w:t>
      </w:r>
      <w:r>
        <w:rPr>
          <w:rFonts w:hint="eastAsia" w:ascii="Times New Roman" w:hAnsi="Times New Roman" w:eastAsia="宋体" w:cs="Times New Roman"/>
          <w:color w:val="000000" w:themeColor="text1"/>
          <w:sz w:val="24"/>
          <w:szCs w:val="24"/>
          <w:highlight w:val="none"/>
          <w14:textFill>
            <w14:solidFill>
              <w14:schemeClr w14:val="tx1"/>
            </w14:solidFill>
          </w14:textFill>
        </w:rPr>
        <w:t>一</w:t>
      </w:r>
      <w:r>
        <w:rPr>
          <w:rFonts w:ascii="Times New Roman" w:hAnsi="Times New Roman" w:eastAsia="宋体" w:cs="Times New Roman"/>
          <w:color w:val="000000" w:themeColor="text1"/>
          <w:sz w:val="24"/>
          <w:szCs w:val="24"/>
          <w:highlight w:val="none"/>
          <w14:textFill>
            <w14:solidFill>
              <w14:schemeClr w14:val="tx1"/>
            </w14:solidFill>
          </w14:textFill>
        </w:rPr>
        <w:t>）本合同替代此前双方所有关于本合同事项的口头或书面的纪要、备忘录、合同、协议。</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w:t>
      </w:r>
      <w:r>
        <w:rPr>
          <w:rFonts w:hint="eastAsia" w:ascii="Times New Roman" w:hAnsi="Times New Roman" w:eastAsia="宋体" w:cs="Times New Roman"/>
          <w:color w:val="000000" w:themeColor="text1"/>
          <w:sz w:val="24"/>
          <w:szCs w:val="24"/>
          <w:highlight w:val="none"/>
          <w14:textFill>
            <w14:solidFill>
              <w14:schemeClr w14:val="tx1"/>
            </w14:solidFill>
          </w14:textFill>
        </w:rPr>
        <w:t>二</w:t>
      </w:r>
      <w:r>
        <w:rPr>
          <w:rFonts w:ascii="Times New Roman" w:hAnsi="Times New Roman" w:eastAsia="宋体" w:cs="Times New Roman"/>
          <w:color w:val="000000" w:themeColor="text1"/>
          <w:sz w:val="24"/>
          <w:szCs w:val="24"/>
          <w:highlight w:val="none"/>
          <w14:textFill>
            <w14:solidFill>
              <w14:schemeClr w14:val="tx1"/>
            </w14:solidFill>
          </w14:textFill>
        </w:rPr>
        <w:t>）本合同附件为合同不可分割的组成部分，与本合同一并加盖骑缝章后具有同等法律效力。若附件与合同正文有任何冲突，以合同正文为准。</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w:t>
      </w:r>
      <w:r>
        <w:rPr>
          <w:rFonts w:hint="eastAsia" w:ascii="Times New Roman" w:hAnsi="Times New Roman" w:eastAsia="宋体" w:cs="Times New Roman"/>
          <w:color w:val="000000" w:themeColor="text1"/>
          <w:sz w:val="24"/>
          <w:szCs w:val="24"/>
          <w:highlight w:val="none"/>
          <w14:textFill>
            <w14:solidFill>
              <w14:schemeClr w14:val="tx1"/>
            </w14:solidFill>
          </w14:textFill>
        </w:rPr>
        <w:t>三</w:t>
      </w:r>
      <w:r>
        <w:rPr>
          <w:rFonts w:ascii="Times New Roman" w:hAnsi="Times New Roman" w:eastAsia="宋体" w:cs="Times New Roman"/>
          <w:color w:val="000000" w:themeColor="text1"/>
          <w:sz w:val="24"/>
          <w:szCs w:val="24"/>
          <w:highlight w:val="none"/>
          <w14:textFill>
            <w14:solidFill>
              <w14:schemeClr w14:val="tx1"/>
            </w14:solidFill>
          </w14:textFill>
        </w:rPr>
        <w:t>）本合同各条标题仅为提示之用，应以条文内容确定各方的权利义务。</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w:t>
      </w:r>
      <w:r>
        <w:rPr>
          <w:rFonts w:hint="eastAsia" w:ascii="Times New Roman" w:hAnsi="Times New Roman" w:eastAsia="宋体" w:cs="Times New Roman"/>
          <w:color w:val="000000" w:themeColor="text1"/>
          <w:sz w:val="24"/>
          <w:szCs w:val="24"/>
          <w:highlight w:val="none"/>
          <w14:textFill>
            <w14:solidFill>
              <w14:schemeClr w14:val="tx1"/>
            </w14:solidFill>
          </w14:textFill>
        </w:rPr>
        <w:t>四</w:t>
      </w:r>
      <w:r>
        <w:rPr>
          <w:rFonts w:ascii="Times New Roman" w:hAnsi="Times New Roman" w:eastAsia="宋体" w:cs="Times New Roman"/>
          <w:color w:val="000000" w:themeColor="text1"/>
          <w:sz w:val="24"/>
          <w:szCs w:val="24"/>
          <w:highlight w:val="none"/>
          <w14:textFill>
            <w14:solidFill>
              <w14:schemeClr w14:val="tx1"/>
            </w14:solidFill>
          </w14:textFill>
        </w:rPr>
        <w:t>）本合同未尽事宜，由双方协商签订补充协议进行约定。补充协议应以书面形式作成，经双方法定代表人或其授权代表签字、盖章后与本合同具有同等法律效力。</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w:t>
      </w:r>
      <w:r>
        <w:rPr>
          <w:rFonts w:hint="eastAsia" w:ascii="Times New Roman" w:hAnsi="Times New Roman" w:eastAsia="宋体" w:cs="Times New Roman"/>
          <w:color w:val="000000" w:themeColor="text1"/>
          <w:sz w:val="24"/>
          <w:szCs w:val="24"/>
          <w:highlight w:val="none"/>
          <w14:textFill>
            <w14:solidFill>
              <w14:schemeClr w14:val="tx1"/>
            </w14:solidFill>
          </w14:textFill>
        </w:rPr>
        <w:t>五</w:t>
      </w:r>
      <w:r>
        <w:rPr>
          <w:rFonts w:ascii="Times New Roman" w:hAnsi="Times New Roman" w:eastAsia="宋体" w:cs="Times New Roman"/>
          <w:color w:val="000000" w:themeColor="text1"/>
          <w:sz w:val="24"/>
          <w:szCs w:val="24"/>
          <w:highlight w:val="none"/>
          <w14:textFill>
            <w14:solidFill>
              <w14:schemeClr w14:val="tx1"/>
            </w14:solidFill>
          </w14:textFill>
        </w:rPr>
        <w:t>）本合同约定的权利和义务不因合同双方发生收购、兼并、重组、分立而发生变化。如果发生上述情形，则本合同约定的权利和义务随之转移至收购、兼并、重组或分立后成立的单位。</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w:t>
      </w:r>
      <w:r>
        <w:rPr>
          <w:rFonts w:hint="eastAsia" w:ascii="Times New Roman" w:hAnsi="Times New Roman" w:eastAsia="宋体" w:cs="Times New Roman"/>
          <w:color w:val="000000" w:themeColor="text1"/>
          <w:sz w:val="24"/>
          <w:szCs w:val="24"/>
          <w:highlight w:val="none"/>
          <w14:textFill>
            <w14:solidFill>
              <w14:schemeClr w14:val="tx1"/>
            </w14:solidFill>
          </w14:textFill>
        </w:rPr>
        <w:t>六</w:t>
      </w:r>
      <w:r>
        <w:rPr>
          <w:rFonts w:ascii="Times New Roman" w:hAnsi="Times New Roman" w:eastAsia="宋体" w:cs="Times New Roman"/>
          <w:color w:val="000000" w:themeColor="text1"/>
          <w:sz w:val="24"/>
          <w:szCs w:val="24"/>
          <w:highlight w:val="none"/>
          <w14:textFill>
            <w14:solidFill>
              <w14:schemeClr w14:val="tx1"/>
            </w14:solidFill>
          </w14:textFill>
        </w:rPr>
        <w:t>）本合同在国家法律、法规和规章规定的范围内执行。当国家法律、法规和规章发生变化导致本合同有关条款与之抵触时，双方协商变更或废止该条款，在此情况下，双方互不承担责任。</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w:t>
      </w:r>
      <w:r>
        <w:rPr>
          <w:rFonts w:hint="eastAsia" w:ascii="Times New Roman" w:hAnsi="Times New Roman" w:eastAsia="宋体" w:cs="Times New Roman"/>
          <w:color w:val="000000" w:themeColor="text1"/>
          <w:sz w:val="24"/>
          <w:szCs w:val="24"/>
          <w:highlight w:val="none"/>
          <w14:textFill>
            <w14:solidFill>
              <w14:schemeClr w14:val="tx1"/>
            </w14:solidFill>
          </w14:textFill>
        </w:rPr>
        <w:t>七</w:t>
      </w:r>
      <w:r>
        <w:rPr>
          <w:rFonts w:ascii="Times New Roman" w:hAnsi="Times New Roman" w:eastAsia="宋体" w:cs="Times New Roman"/>
          <w:color w:val="000000" w:themeColor="text1"/>
          <w:sz w:val="24"/>
          <w:szCs w:val="24"/>
          <w:highlight w:val="none"/>
          <w14:textFill>
            <w14:solidFill>
              <w14:schemeClr w14:val="tx1"/>
            </w14:solidFill>
          </w14:textFill>
        </w:rPr>
        <w:t>）如果本合同的任何条款在任何时候变成不合法、无效或不可强制执行而不从根本上影响本合同的效力时，本合同的其他条款不受影响。</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w:t>
      </w:r>
      <w:r>
        <w:rPr>
          <w:rFonts w:hint="eastAsia" w:ascii="Times New Roman" w:hAnsi="Times New Roman" w:eastAsia="宋体" w:cs="Times New Roman"/>
          <w:color w:val="000000" w:themeColor="text1"/>
          <w:sz w:val="24"/>
          <w:szCs w:val="24"/>
          <w:highlight w:val="none"/>
          <w14:textFill>
            <w14:solidFill>
              <w14:schemeClr w14:val="tx1"/>
            </w14:solidFill>
          </w14:textFill>
        </w:rPr>
        <w:t>八</w:t>
      </w:r>
      <w:r>
        <w:rPr>
          <w:rFonts w:ascii="Times New Roman" w:hAnsi="Times New Roman" w:eastAsia="宋体" w:cs="Times New Roman"/>
          <w:color w:val="000000" w:themeColor="text1"/>
          <w:sz w:val="24"/>
          <w:szCs w:val="24"/>
          <w:highlight w:val="none"/>
          <w14:textFill>
            <w14:solidFill>
              <w14:schemeClr w14:val="tx1"/>
            </w14:solidFill>
          </w14:textFill>
        </w:rPr>
        <w:t>）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w:t>
      </w:r>
      <w:r>
        <w:rPr>
          <w:rFonts w:hint="eastAsia" w:ascii="Times New Roman" w:hAnsi="Times New Roman" w:eastAsia="宋体" w:cs="Times New Roman"/>
          <w:color w:val="000000" w:themeColor="text1"/>
          <w:sz w:val="24"/>
          <w:szCs w:val="24"/>
          <w:highlight w:val="none"/>
          <w14:textFill>
            <w14:solidFill>
              <w14:schemeClr w14:val="tx1"/>
            </w14:solidFill>
          </w14:textFill>
        </w:rPr>
        <w:t>九</w:t>
      </w:r>
      <w:r>
        <w:rPr>
          <w:rFonts w:ascii="Times New Roman" w:hAnsi="Times New Roman" w:eastAsia="宋体" w:cs="Times New Roman"/>
          <w:color w:val="000000" w:themeColor="text1"/>
          <w:sz w:val="24"/>
          <w:szCs w:val="24"/>
          <w:highlight w:val="none"/>
          <w14:textFill>
            <w14:solidFill>
              <w14:schemeClr w14:val="tx1"/>
            </w14:solidFill>
          </w14:textFill>
        </w:rPr>
        <w:t>）本合同的任何内容不应被视为或解释为双方之间具有合资、合伙、代理关系。</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（十）任何一方未经另一方同意不得向任何第三方透露本合同的签订及其内容。甲方向其关联公司透露前述内容的，不受此限。</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（十</w:t>
      </w:r>
      <w:r>
        <w:rPr>
          <w:rFonts w:hint="eastAsia" w:ascii="Times New Roman" w:hAnsi="Times New Roman" w:eastAsia="宋体" w:cs="Times New Roman"/>
          <w:color w:val="000000" w:themeColor="text1"/>
          <w:sz w:val="24"/>
          <w:szCs w:val="24"/>
          <w:highlight w:val="none"/>
          <w14:textFill>
            <w14:solidFill>
              <w14:schemeClr w14:val="tx1"/>
            </w14:solidFill>
          </w14:textFill>
        </w:rPr>
        <w:t>一</w:t>
      </w:r>
      <w:r>
        <w:rPr>
          <w:rFonts w:ascii="Times New Roman" w:hAnsi="Times New Roman" w:eastAsia="宋体" w:cs="Times New Roman"/>
          <w:color w:val="000000" w:themeColor="text1"/>
          <w:sz w:val="24"/>
          <w:szCs w:val="24"/>
          <w:highlight w:val="none"/>
          <w14:textFill>
            <w14:solidFill>
              <w14:schemeClr w14:val="tx1"/>
            </w14:solidFill>
          </w14:textFill>
        </w:rPr>
        <w:t>）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（十</w:t>
      </w:r>
      <w:r>
        <w:rPr>
          <w:rFonts w:hint="eastAsia" w:cs="Times New Roman"/>
          <w:color w:val="000000" w:themeColor="text1"/>
          <w:sz w:val="24"/>
          <w:szCs w:val="24"/>
          <w:highlight w:val="none"/>
          <w:lang w:val="en-US" w:eastAsia="zh-CN"/>
          <w14:textFill>
            <w14:solidFill>
              <w14:schemeClr w14:val="tx1"/>
            </w14:solidFill>
          </w14:textFill>
        </w:rPr>
        <w:t>二</w:t>
      </w:r>
      <w:r>
        <w:rPr>
          <w:rFonts w:ascii="Times New Roman" w:hAnsi="Times New Roman" w:eastAsia="宋体" w:cs="Times New Roman"/>
          <w:color w:val="000000" w:themeColor="text1"/>
          <w:sz w:val="24"/>
          <w:szCs w:val="24"/>
          <w:highlight w:val="none"/>
          <w14:textFill>
            <w14:solidFill>
              <w14:schemeClr w14:val="tx1"/>
            </w14:solidFill>
          </w14:textFill>
        </w:rPr>
        <w:t>）本合同自双方法定代表人或其授权代表签字、盖章之日起生效，有效期至</w:t>
      </w:r>
      <w:r>
        <w:rPr>
          <w:rFonts w:hint="eastAsia" w:ascii="Times New Roman" w:hAnsi="Times New Roman" w:eastAsia="宋体" w:cs="Times New Roman"/>
          <w:color w:val="000000" w:themeColor="text1"/>
          <w:sz w:val="24"/>
          <w:szCs w:val="24"/>
          <w:highlight w:val="none"/>
          <w14:textFill>
            <w14:solidFill>
              <w14:schemeClr w14:val="tx1"/>
            </w14:solidFill>
          </w14:textFill>
        </w:rPr>
        <w:t>约定</w:t>
      </w:r>
      <w:r>
        <w:rPr>
          <w:rFonts w:ascii="Times New Roman" w:hAnsi="Times New Roman" w:eastAsia="宋体" w:cs="Times New Roman"/>
          <w:color w:val="000000" w:themeColor="text1"/>
          <w:sz w:val="24"/>
          <w:szCs w:val="24"/>
          <w:highlight w:val="none"/>
          <w14:textFill>
            <w14:solidFill>
              <w14:schemeClr w14:val="tx1"/>
            </w14:solidFill>
          </w14:textFill>
        </w:rPr>
        <w:t>服务期</w:t>
      </w:r>
      <w:r>
        <w:rPr>
          <w:rFonts w:hint="eastAsia" w:ascii="Times New Roman" w:hAnsi="Times New Roman" w:eastAsia="宋体" w:cs="Times New Roman"/>
          <w:color w:val="000000" w:themeColor="text1"/>
          <w:sz w:val="24"/>
          <w:szCs w:val="24"/>
          <w:highlight w:val="none"/>
          <w14:textFill>
            <w14:solidFill>
              <w14:schemeClr w14:val="tx1"/>
            </w14:solidFill>
          </w14:textFill>
        </w:rPr>
        <w:t>限</w:t>
      </w:r>
      <w:r>
        <w:rPr>
          <w:rFonts w:ascii="Times New Roman" w:hAnsi="Times New Roman" w:eastAsia="宋体" w:cs="Times New Roman"/>
          <w:color w:val="000000" w:themeColor="text1"/>
          <w:sz w:val="24"/>
          <w:szCs w:val="24"/>
          <w:highlight w:val="none"/>
          <w14:textFill>
            <w14:solidFill>
              <w14:schemeClr w14:val="tx1"/>
            </w14:solidFill>
          </w14:textFill>
        </w:rPr>
        <w:t>满之日止。</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（十</w:t>
      </w:r>
      <w:r>
        <w:rPr>
          <w:rFonts w:hint="eastAsia" w:cs="Times New Roman"/>
          <w:color w:val="000000" w:themeColor="text1"/>
          <w:sz w:val="24"/>
          <w:szCs w:val="24"/>
          <w:highlight w:val="none"/>
          <w:lang w:val="en-US" w:eastAsia="zh-CN"/>
          <w14:textFill>
            <w14:solidFill>
              <w14:schemeClr w14:val="tx1"/>
            </w14:solidFill>
          </w14:textFill>
        </w:rPr>
        <w:t>三</w:t>
      </w:r>
      <w:r>
        <w:rPr>
          <w:rFonts w:ascii="Times New Roman" w:hAnsi="Times New Roman" w:eastAsia="宋体" w:cs="Times New Roman"/>
          <w:color w:val="000000" w:themeColor="text1"/>
          <w:sz w:val="24"/>
          <w:szCs w:val="24"/>
          <w:highlight w:val="none"/>
          <w14:textFill>
            <w14:solidFill>
              <w14:schemeClr w14:val="tx1"/>
            </w14:solidFill>
          </w14:textFill>
        </w:rPr>
        <w:t>）本合同一式四份正本，甲方与乙方各执两份，均具同等法律效力。（以下无正文，为签章栏）</w:t>
      </w: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color w:val="000000" w:themeColor="text1"/>
          <w:sz w:val="24"/>
          <w:highlight w:val="none"/>
          <w14:textFill>
            <w14:solidFill>
              <w14:schemeClr w14:val="tx1"/>
            </w14:solidFill>
          </w14:textFill>
        </w:rPr>
        <w:t>（本页为签章页）</w:t>
      </w:r>
    </w:p>
    <w:p>
      <w:pPr>
        <w:adjustRightInd w:val="0"/>
        <w:snapToGrid w:val="0"/>
        <w:spacing w:line="360" w:lineRule="auto"/>
        <w:rPr>
          <w:rFonts w:ascii="宋体" w:hAnsi="宋体" w:cs="宋体"/>
          <w:color w:val="000000" w:themeColor="text1"/>
          <w:sz w:val="24"/>
          <w:highlight w:val="none"/>
          <w14:textFill>
            <w14:solidFill>
              <w14:schemeClr w14:val="tx1"/>
            </w14:solidFill>
          </w14:textFill>
        </w:rPr>
      </w:pPr>
    </w:p>
    <w:p>
      <w:pPr>
        <w:adjustRightInd w:val="0"/>
        <w:snapToGrid w:val="0"/>
        <w:spacing w:line="360" w:lineRule="auto"/>
        <w:rPr>
          <w:rFonts w:ascii="宋体" w:hAnsi="宋体" w:cs="宋体"/>
          <w:color w:val="000000" w:themeColor="text1"/>
          <w:sz w:val="24"/>
          <w:highlight w:val="none"/>
          <w14:textFill>
            <w14:solidFill>
              <w14:schemeClr w14:val="tx1"/>
            </w14:solidFill>
          </w14:textFill>
        </w:rPr>
      </w:pPr>
    </w:p>
    <w:p>
      <w:pPr>
        <w:adjustRightInd w:val="0"/>
        <w:snapToGrid w:val="0"/>
        <w:spacing w:line="360" w:lineRule="auto"/>
        <w:rPr>
          <w:rFonts w:ascii="宋体" w:hAnsi="宋体" w:cs="宋体"/>
          <w:color w:val="000000" w:themeColor="text1"/>
          <w:sz w:val="24"/>
          <w:highlight w:val="none"/>
          <w14:textFill>
            <w14:solidFill>
              <w14:schemeClr w14:val="tx1"/>
            </w14:solidFill>
          </w14:textFill>
        </w:rPr>
      </w:pPr>
    </w:p>
    <w:p>
      <w:pPr>
        <w:adjustRightInd w:val="0"/>
        <w:snapToGrid w:val="0"/>
        <w:spacing w:line="360" w:lineRule="auto"/>
        <w:ind w:firstLine="200"/>
        <w:rPr>
          <w:rFonts w:ascii="宋体" w:hAnsi="宋体" w:cs="宋体"/>
          <w:color w:val="000000" w:themeColor="text1"/>
          <w:sz w:val="24"/>
          <w:highlight w:val="none"/>
          <w14:textFill>
            <w14:solidFill>
              <w14:schemeClr w14:val="tx1"/>
            </w14:solidFill>
          </w14:textFill>
        </w:rPr>
      </w:pPr>
    </w:p>
    <w:p>
      <w:pPr>
        <w:adjustRightInd w:val="0"/>
        <w:snapToGrid w:val="0"/>
        <w:spacing w:line="360" w:lineRule="auto"/>
        <w:ind w:left="8442" w:hanging="8312" w:hangingChars="345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甲方名称：                                 乙方名称：</w:t>
      </w:r>
    </w:p>
    <w:p>
      <w:pPr>
        <w:adjustRightInd w:val="0"/>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深圳市前海深港现代服务业合作区管理局</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     </w:t>
      </w:r>
    </w:p>
    <w:p>
      <w:pPr>
        <w:adjustRightInd w:val="0"/>
        <w:snapToGrid w:val="0"/>
        <w:spacing w:line="360" w:lineRule="auto"/>
        <w:ind w:firstLine="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（盖章）</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           （盖章）</w:t>
      </w:r>
    </w:p>
    <w:p>
      <w:pPr>
        <w:adjustRightInd w:val="0"/>
        <w:snapToGrid w:val="0"/>
        <w:spacing w:line="360" w:lineRule="auto"/>
        <w:ind w:firstLine="200"/>
        <w:rPr>
          <w:rFonts w:ascii="宋体" w:hAnsi="宋体" w:cs="宋体"/>
          <w:color w:val="000000" w:themeColor="text1"/>
          <w:sz w:val="24"/>
          <w:highlight w:val="none"/>
          <w14:textFill>
            <w14:solidFill>
              <w14:schemeClr w14:val="tx1"/>
            </w14:solidFill>
          </w14:textFill>
        </w:rPr>
      </w:pPr>
    </w:p>
    <w:p>
      <w:pPr>
        <w:adjustRightInd w:val="0"/>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法定代表人或授权代表：（签字）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     法定代表人或授权代表：（签字）</w:t>
      </w:r>
    </w:p>
    <w:p>
      <w:pPr>
        <w:widowControl/>
        <w:adjustRightInd w:val="0"/>
        <w:snapToGrid w:val="0"/>
        <w:spacing w:line="360" w:lineRule="auto"/>
        <w:ind w:firstLine="200"/>
        <w:jc w:val="left"/>
        <w:rPr>
          <w:rFonts w:ascii="宋体" w:hAnsi="宋体" w:cs="宋体"/>
          <w:color w:val="000000" w:themeColor="text1"/>
          <w:sz w:val="24"/>
          <w:highlight w:val="none"/>
          <w14:textFill>
            <w14:solidFill>
              <w14:schemeClr w14:val="tx1"/>
            </w14:solidFill>
          </w14:textFill>
        </w:rPr>
      </w:pPr>
    </w:p>
    <w:p>
      <w:pPr>
        <w:adjustRightInd w:val="0"/>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                                       日期：</w:t>
      </w:r>
    </w:p>
    <w:p>
      <w:pPr>
        <w:adjustRightInd w:val="0"/>
        <w:snapToGrid w:val="0"/>
        <w:spacing w:line="360" w:lineRule="auto"/>
        <w:ind w:firstLine="720" w:firstLineChars="300"/>
        <w:rPr>
          <w:rFonts w:ascii="宋体" w:hAnsi="宋体" w:cs="宋体"/>
          <w:color w:val="000000" w:themeColor="text1"/>
          <w:sz w:val="24"/>
          <w:highlight w:val="none"/>
          <w14:textFill>
            <w14:solidFill>
              <w14:schemeClr w14:val="tx1"/>
            </w14:solidFill>
          </w14:textFill>
        </w:rPr>
      </w:pPr>
    </w:p>
    <w:p>
      <w:pPr>
        <w:adjustRightInd w:val="0"/>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注：本合同样本仅供参考，非实质性条款内容可由采购人和中标人协商确定。</w:t>
      </w:r>
    </w:p>
    <w:p>
      <w:pPr>
        <w:snapToGrid w:val="0"/>
        <w:spacing w:line="360" w:lineRule="auto"/>
        <w:rPr>
          <w:rFonts w:ascii="宋体" w:hAnsi="宋体" w:cs="宋体"/>
          <w:color w:val="000000" w:themeColor="text1"/>
          <w:sz w:val="24"/>
          <w:highlight w:val="none"/>
          <w14:textFill>
            <w14:solidFill>
              <w14:schemeClr w14:val="tx1"/>
            </w14:solidFill>
          </w14:textFill>
        </w:rPr>
      </w:pPr>
    </w:p>
    <w:p>
      <w:pPr>
        <w:numPr>
          <w:ilvl w:val="0"/>
          <w:numId w:val="1"/>
        </w:numPr>
        <w:spacing w:line="360" w:lineRule="auto"/>
        <w:jc w:val="center"/>
        <w:outlineLvl w:val="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br w:type="page"/>
      </w:r>
      <w:r>
        <w:rPr>
          <w:rFonts w:hint="eastAsia" w:ascii="宋体" w:hAnsi="宋体" w:cs="宋体"/>
          <w:b/>
          <w:bCs/>
          <w:color w:val="000000" w:themeColor="text1"/>
          <w:sz w:val="24"/>
          <w:highlight w:val="none"/>
          <w14:textFill>
            <w14:solidFill>
              <w14:schemeClr w14:val="tx1"/>
            </w14:solidFill>
          </w14:textFill>
        </w:rPr>
        <w:t xml:space="preserve"> </w:t>
      </w:r>
      <w:bookmarkStart w:id="16" w:name="_Toc25518"/>
      <w:r>
        <w:rPr>
          <w:rFonts w:hint="eastAsia" w:ascii="宋体" w:hAnsi="宋体" w:cs="宋体"/>
          <w:b/>
          <w:bCs/>
          <w:color w:val="000000" w:themeColor="text1"/>
          <w:sz w:val="24"/>
          <w:highlight w:val="none"/>
          <w14:textFill>
            <w14:solidFill>
              <w14:schemeClr w14:val="tx1"/>
            </w14:solidFill>
          </w14:textFill>
        </w:rPr>
        <w:t>用户需求书</w:t>
      </w:r>
      <w:bookmarkEnd w:id="16"/>
    </w:p>
    <w:p>
      <w:pPr>
        <w:pStyle w:val="53"/>
        <w:tabs>
          <w:tab w:val="left" w:pos="720"/>
        </w:tabs>
        <w:autoSpaceDE w:val="0"/>
        <w:autoSpaceDN w:val="0"/>
        <w:adjustRightInd w:val="0"/>
        <w:spacing w:line="360" w:lineRule="auto"/>
        <w:ind w:right="17" w:firstLine="489"/>
        <w:jc w:val="left"/>
        <w:outlineLvl w:val="1"/>
        <w:rPr>
          <w:rFonts w:ascii="宋体" w:hAnsi="宋体" w:cs="宋体"/>
          <w:b/>
          <w:color w:val="000000" w:themeColor="text1"/>
          <w:sz w:val="24"/>
          <w:highlight w:val="none"/>
          <w14:textFill>
            <w14:solidFill>
              <w14:schemeClr w14:val="tx1"/>
            </w14:solidFill>
          </w14:textFill>
        </w:rPr>
      </w:pPr>
      <w:bookmarkStart w:id="17" w:name="_Toc11045"/>
      <w:bookmarkStart w:id="18" w:name="_Toc23726"/>
      <w:r>
        <w:rPr>
          <w:rFonts w:hint="eastAsia" w:ascii="宋体" w:hAnsi="宋体" w:cs="宋体"/>
          <w:b/>
          <w:color w:val="000000" w:themeColor="text1"/>
          <w:sz w:val="24"/>
          <w:highlight w:val="none"/>
          <w14:textFill>
            <w14:solidFill>
              <w14:schemeClr w14:val="tx1"/>
            </w14:solidFill>
          </w14:textFill>
        </w:rPr>
        <w:t>一、</w:t>
      </w:r>
      <w:bookmarkEnd w:id="17"/>
      <w:bookmarkEnd w:id="18"/>
      <w:bookmarkStart w:id="19" w:name="_Toc51746099"/>
      <w:r>
        <w:rPr>
          <w:rFonts w:hint="eastAsia" w:ascii="宋体" w:hAnsi="宋体" w:cs="宋体"/>
          <w:b/>
          <w:color w:val="000000" w:themeColor="text1"/>
          <w:sz w:val="24"/>
          <w:highlight w:val="none"/>
          <w:lang w:val="zh-CN"/>
          <w14:textFill>
            <w14:solidFill>
              <w14:schemeClr w14:val="tx1"/>
            </w14:solidFill>
          </w14:textFill>
        </w:rPr>
        <w:t>项目</w:t>
      </w:r>
      <w:r>
        <w:rPr>
          <w:rFonts w:hint="eastAsia" w:ascii="宋体" w:hAnsi="宋体" w:cs="宋体"/>
          <w:b/>
          <w:color w:val="000000" w:themeColor="text1"/>
          <w:sz w:val="24"/>
          <w:highlight w:val="none"/>
          <w14:textFill>
            <w14:solidFill>
              <w14:schemeClr w14:val="tx1"/>
            </w14:solidFill>
          </w14:textFill>
        </w:rPr>
        <w:t>背景</w:t>
      </w:r>
    </w:p>
    <w:bookmarkEnd w:id="19"/>
    <w:p>
      <w:pPr>
        <w:pStyle w:val="2"/>
        <w:spacing w:after="0" w:line="360" w:lineRule="auto"/>
        <w:ind w:firstLine="480" w:firstLineChars="200"/>
        <w:rPr>
          <w:rFonts w:hint="eastAsia"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lang w:eastAsia="zh-CN"/>
          <w14:textFill>
            <w14:solidFill>
              <w14:schemeClr w14:val="tx1"/>
            </w14:solidFill>
          </w14:textFill>
        </w:rPr>
        <w:t>（</w:t>
      </w:r>
      <w:r>
        <w:rPr>
          <w:rFonts w:hint="eastAsia" w:ascii="宋体" w:hAnsi="宋体" w:cs="宋体"/>
          <w:color w:val="000000" w:themeColor="text1"/>
          <w:szCs w:val="32"/>
          <w:highlight w:val="none"/>
          <w:lang w:val="en-US" w:eastAsia="zh-CN"/>
          <w14:textFill>
            <w14:solidFill>
              <w14:schemeClr w14:val="tx1"/>
            </w14:solidFill>
          </w14:textFill>
        </w:rPr>
        <w:t>一</w:t>
      </w:r>
      <w:r>
        <w:rPr>
          <w:rFonts w:hint="eastAsia" w:ascii="宋体" w:hAnsi="宋体" w:cs="宋体"/>
          <w:color w:val="000000" w:themeColor="text1"/>
          <w:szCs w:val="32"/>
          <w:highlight w:val="none"/>
          <w:lang w:eastAsia="zh-CN"/>
          <w14:textFill>
            <w14:solidFill>
              <w14:schemeClr w14:val="tx1"/>
            </w14:solidFill>
          </w14:textFill>
        </w:rPr>
        <w:t>）</w:t>
      </w:r>
      <w:r>
        <w:rPr>
          <w:rFonts w:hint="eastAsia" w:ascii="宋体" w:hAnsi="宋体" w:cs="宋体"/>
          <w:color w:val="000000" w:themeColor="text1"/>
          <w:szCs w:val="32"/>
          <w:highlight w:val="none"/>
          <w14:textFill>
            <w14:solidFill>
              <w14:schemeClr w14:val="tx1"/>
            </w14:solidFill>
          </w14:textFill>
        </w:rPr>
        <w:t>前海作为新时代改革开放国家级重大战略平台，是“特区中的特区”。认真学习习近平总书记关于质量工作的重要论述，贯彻落实《中共中央国务院关于开展质量提升行动的指导意见》《国务院办公厅关于促进建筑业持续健康发展的意见》，高质量建设前海，是践行</w:t>
      </w:r>
      <w:bookmarkStart w:id="32" w:name="_GoBack"/>
      <w:bookmarkEnd w:id="32"/>
      <w:r>
        <w:rPr>
          <w:rFonts w:hint="eastAsia" w:ascii="宋体" w:hAnsi="宋体" w:cs="宋体"/>
          <w:color w:val="000000" w:themeColor="text1"/>
          <w:szCs w:val="32"/>
          <w:highlight w:val="none"/>
          <w:lang w:eastAsia="zh-CN"/>
          <w14:textFill>
            <w14:solidFill>
              <w14:schemeClr w14:val="tx1"/>
            </w14:solidFill>
          </w14:textFill>
        </w:rPr>
        <w:t>习近平总书记</w:t>
      </w:r>
      <w:r>
        <w:rPr>
          <w:rFonts w:hint="eastAsia" w:ascii="宋体" w:hAnsi="宋体" w:cs="宋体"/>
          <w:color w:val="000000" w:themeColor="text1"/>
          <w:szCs w:val="32"/>
          <w:highlight w:val="none"/>
          <w14:textFill>
            <w14:solidFill>
              <w14:schemeClr w14:val="tx1"/>
            </w14:solidFill>
          </w14:textFill>
        </w:rPr>
        <w:t>“一张白纸画出最美最好的图画”嘱托的最好方式。</w:t>
      </w:r>
    </w:p>
    <w:p>
      <w:pPr>
        <w:pStyle w:val="2"/>
        <w:spacing w:after="0" w:line="360" w:lineRule="auto"/>
        <w:ind w:firstLine="480" w:firstLineChars="200"/>
        <w:rPr>
          <w:rFonts w:hint="eastAsia"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lang w:eastAsia="zh-CN"/>
          <w14:textFill>
            <w14:solidFill>
              <w14:schemeClr w14:val="tx1"/>
            </w14:solidFill>
          </w14:textFill>
        </w:rPr>
        <w:t>（</w:t>
      </w:r>
      <w:r>
        <w:rPr>
          <w:rFonts w:hint="eastAsia" w:ascii="宋体" w:hAnsi="宋体" w:cs="宋体"/>
          <w:color w:val="000000" w:themeColor="text1"/>
          <w:szCs w:val="32"/>
          <w:highlight w:val="none"/>
          <w:lang w:val="en-US" w:eastAsia="zh-CN"/>
          <w14:textFill>
            <w14:solidFill>
              <w14:schemeClr w14:val="tx1"/>
            </w14:solidFill>
          </w14:textFill>
        </w:rPr>
        <w:t>二</w:t>
      </w:r>
      <w:r>
        <w:rPr>
          <w:rFonts w:hint="eastAsia" w:ascii="宋体" w:hAnsi="宋体" w:cs="宋体"/>
          <w:color w:val="000000" w:themeColor="text1"/>
          <w:szCs w:val="32"/>
          <w:highlight w:val="none"/>
          <w:lang w:eastAsia="zh-CN"/>
          <w14:textFill>
            <w14:solidFill>
              <w14:schemeClr w14:val="tx1"/>
            </w14:solidFill>
          </w14:textFill>
        </w:rPr>
        <w:t>）</w:t>
      </w:r>
      <w:r>
        <w:rPr>
          <w:rFonts w:hint="eastAsia" w:ascii="宋体" w:hAnsi="宋体" w:cs="宋体"/>
          <w:color w:val="000000" w:themeColor="text1"/>
          <w:szCs w:val="32"/>
          <w:highlight w:val="none"/>
          <w14:textFill>
            <w14:solidFill>
              <w14:schemeClr w14:val="tx1"/>
            </w14:solidFill>
          </w14:textFill>
        </w:rPr>
        <w:t>为进一步落实高质量发展要求，推动前海建设工程质量品质提升，提高施工现场作业人员专业技能水平，我处从2018年开始，成功举办了5届“前海工匠”培育及评选活动，得到了各相关单位的高度认可和大力支持，累计一线工人参加培育受教育约1800人次,选拔“工匠种子”约300人次，在营造争先创优、比学赶超的势头和氛围方面发挥了积极作用。</w:t>
      </w:r>
    </w:p>
    <w:p>
      <w:pPr>
        <w:pStyle w:val="2"/>
        <w:spacing w:after="0" w:line="360" w:lineRule="auto"/>
        <w:ind w:firstLine="480" w:firstLineChars="200"/>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lang w:eastAsia="zh-CN"/>
          <w14:textFill>
            <w14:solidFill>
              <w14:schemeClr w14:val="tx1"/>
            </w14:solidFill>
          </w14:textFill>
        </w:rPr>
        <w:t>（</w:t>
      </w:r>
      <w:r>
        <w:rPr>
          <w:rFonts w:hint="eastAsia" w:ascii="宋体" w:hAnsi="宋体" w:cs="宋体"/>
          <w:color w:val="000000" w:themeColor="text1"/>
          <w:szCs w:val="32"/>
          <w:highlight w:val="none"/>
          <w:lang w:val="en-US" w:eastAsia="zh-CN"/>
          <w14:textFill>
            <w14:solidFill>
              <w14:schemeClr w14:val="tx1"/>
            </w14:solidFill>
          </w14:textFill>
        </w:rPr>
        <w:t>三</w:t>
      </w:r>
      <w:r>
        <w:rPr>
          <w:rFonts w:hint="eastAsia" w:ascii="宋体" w:hAnsi="宋体" w:cs="宋体"/>
          <w:color w:val="000000" w:themeColor="text1"/>
          <w:szCs w:val="32"/>
          <w:highlight w:val="none"/>
          <w:lang w:eastAsia="zh-CN"/>
          <w14:textFill>
            <w14:solidFill>
              <w14:schemeClr w14:val="tx1"/>
            </w14:solidFill>
          </w14:textFill>
        </w:rPr>
        <w:t>）</w:t>
      </w:r>
      <w:r>
        <w:rPr>
          <w:rFonts w:hint="eastAsia" w:ascii="宋体" w:hAnsi="宋体" w:cs="宋体"/>
          <w:color w:val="000000" w:themeColor="text1"/>
          <w:szCs w:val="32"/>
          <w:highlight w:val="none"/>
          <w14:textFill>
            <w14:solidFill>
              <w14:schemeClr w14:val="tx1"/>
            </w14:solidFill>
          </w14:textFill>
        </w:rPr>
        <w:t>开展“前海工匠”培育及评选活动项目，通过针对施工一线技术人员开展劳动专业技能培育，按照评优推先的方式，选出专业技能高超、操作水平突出的一线技术工人，并授予“前海工匠”荣誉称号，积极引导合作区内在建项目培育精益求精、优中更优的质量精神和质量文化，督促和引导前海建设领域全面贯彻新发展理念，坚定不移走高质量发展之路，有必要继续开展“前海工匠”培育及评选活动。</w:t>
      </w:r>
    </w:p>
    <w:p>
      <w:pPr>
        <w:pStyle w:val="53"/>
        <w:tabs>
          <w:tab w:val="left" w:pos="720"/>
        </w:tabs>
        <w:autoSpaceDE w:val="0"/>
        <w:autoSpaceDN w:val="0"/>
        <w:adjustRightInd w:val="0"/>
        <w:spacing w:line="360" w:lineRule="auto"/>
        <w:ind w:right="17" w:firstLine="489"/>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二、工作目标</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本项目旨在通过针对一线技术人员开展劳动专业技能培训，大力弘扬“精雕细琢、精耕细作”工匠文化，发挥优秀技能人才的示范引领作用，营造建设工程前海质量品牌氛围，为确保前海新城建设提供有力保障。</w:t>
      </w:r>
    </w:p>
    <w:p>
      <w:pPr>
        <w:spacing w:line="500" w:lineRule="exact"/>
        <w:ind w:firstLine="482" w:firstLineChars="200"/>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三、项目</w:t>
      </w:r>
      <w:r>
        <w:rPr>
          <w:rFonts w:hint="eastAsia" w:ascii="宋体" w:hAnsi="宋体" w:cs="宋体"/>
          <w:b/>
          <w:bCs/>
          <w:color w:val="000000" w:themeColor="text1"/>
          <w:sz w:val="24"/>
          <w:highlight w:val="none"/>
          <w:lang w:val="en-US" w:eastAsia="zh-CN"/>
          <w14:textFill>
            <w14:solidFill>
              <w14:schemeClr w14:val="tx1"/>
            </w14:solidFill>
          </w14:textFill>
        </w:rPr>
        <w:t>范围</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面向前海合作区内所有在建项目（2023年11月为195个，据实变动）一线技术工人，分专业开展以实操为主的专业技能培育，主要包括8个施工作业工种：钢筋工、电工、木工、架子工、焊工、测量工、塔吊司机、起重工。各工种报名人数基于各项目实际情况确定，预计约培育200人次，参加“前海工匠”评比及颁奖仪式约为100人。</w:t>
      </w:r>
    </w:p>
    <w:p>
      <w:pPr>
        <w:spacing w:line="500" w:lineRule="exact"/>
        <w:ind w:firstLine="482" w:firstLineChars="200"/>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四、</w:t>
      </w:r>
      <w:r>
        <w:rPr>
          <w:rFonts w:hint="eastAsia" w:ascii="宋体" w:hAnsi="宋体" w:cs="宋体"/>
          <w:b/>
          <w:bCs/>
          <w:color w:val="000000" w:themeColor="text1"/>
          <w:sz w:val="24"/>
          <w:highlight w:val="none"/>
          <w:lang w:val="en-US" w:eastAsia="zh-CN"/>
          <w14:textFill>
            <w14:solidFill>
              <w14:schemeClr w14:val="tx1"/>
            </w14:solidFill>
          </w14:textFill>
        </w:rPr>
        <w:t>项目内容</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（一）主要内容</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1.技能培育授课人员安排</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应按</w:t>
      </w:r>
      <w:r>
        <w:rPr>
          <w:rFonts w:hint="eastAsia" w:ascii="宋体" w:hAnsi="宋体" w:cs="宋体"/>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要求安排不少于8名专家（包括钢筋工、电工、手工木工、架子工、焊工、测量工、塔吊司机、起重工等专业工种，每专业不少于1名专家）开展培育与评选，专家应持有高级技工及以上职业资格证书或具有高级工程师职称，具有5年及以上工作经验。拟安排人员名单在</w:t>
      </w:r>
      <w:r>
        <w:rPr>
          <w:rFonts w:hint="eastAsia" w:ascii="宋体" w:hAnsi="宋体" w:cs="宋体"/>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确认后如需更换，</w:t>
      </w:r>
      <w:r>
        <w:rPr>
          <w:rFonts w:hint="eastAsia" w:ascii="宋体" w:hAnsi="宋体" w:cs="宋体"/>
          <w:color w:val="000000" w:themeColor="text1"/>
          <w:sz w:val="24"/>
          <w:szCs w:val="24"/>
          <w:highlight w:val="none"/>
          <w:lang w:val="en-US"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应事先征得</w:t>
      </w:r>
      <w:r>
        <w:rPr>
          <w:rFonts w:hint="eastAsia" w:ascii="宋体" w:hAnsi="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的同意，且接替的工作人员的职位、资历、资质应与原定工作人员相当。</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2.工作内容</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（1）“前海工匠”培育工作</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前海工匠”培育工作，分专业开展以实操为主的技能指导，指导方式应以现场演示操作过程为主，且课程设置每专业不应少于2次，累计不少于14场（塔吊司机、起重工两工种同1场进行），培育对象为各项目施工单位技术工人，累计培育不少于200人次，并设置“技能比武”环节，现场考核参加评选的技术工人实操水平，选出态度端正、操作规范、具有潜质的优秀学员，名单报</w:t>
      </w:r>
      <w:r>
        <w:rPr>
          <w:rFonts w:hint="eastAsia" w:ascii="宋体" w:hAnsi="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审核，结合项目推荐择优遴选，选出“工匠种子”70人，其中钢筋工、架子工、手工木工各10人，电工、测量工、焊工、塔吊司机、起重工各8人，进行重点培养。</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（2）“前海工匠”评选工作及颁奖活动</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组织开展旨在提升一线技术工人操作水平的“前海工匠”培育工作后，为验收工匠培育工作成果，弘扬“精雕细琢、精耕细作”精神，拟举办年度“前海工匠”评选活动。以评优推先的方式选出专业技能高超、操作水平突出的一线技术工人，在合作区内营造精益求精、追求卓越的良好氛围，打造前海质量品牌，进一步推动前海建设工程质量品质的提升。</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评选活动在前期工匠培育范围内进行，采取理论考核与实际操作相结合的方式进行。在8个工种中评选出专业技能娴熟、操作水平高超的一线施工技术工人，每工种评选出前三名，第一名进入年度“前海工匠”名单，并举办不少于100人参加的颁奖仪式活动，现场授予评比优秀选手年度“前海工匠”荣誉称号。</w:t>
      </w:r>
      <w:r>
        <w:rPr>
          <w:rFonts w:hint="eastAsia" w:ascii="宋体" w:hAnsi="宋体" w:cs="宋体"/>
          <w:color w:val="000000" w:themeColor="text1"/>
          <w:sz w:val="24"/>
          <w:szCs w:val="24"/>
          <w:highlight w:val="none"/>
          <w:lang w:eastAsia="zh-CN"/>
          <w14:textFill>
            <w14:solidFill>
              <w14:schemeClr w14:val="tx1"/>
            </w14:solidFill>
          </w14:textFill>
        </w:rPr>
        <w:t>中标人</w:t>
      </w:r>
      <w:r>
        <w:rPr>
          <w:rFonts w:hint="eastAsia" w:ascii="宋体" w:hAnsi="宋体" w:eastAsia="宋体" w:cs="宋体"/>
          <w:color w:val="000000" w:themeColor="text1"/>
          <w:sz w:val="24"/>
          <w:szCs w:val="24"/>
          <w:highlight w:val="none"/>
          <w14:textFill>
            <w14:solidFill>
              <w14:schemeClr w14:val="tx1"/>
            </w14:solidFill>
          </w14:textFill>
        </w:rPr>
        <w:t>应提前制定活动方案，提报</w:t>
      </w:r>
      <w:r>
        <w:rPr>
          <w:rFonts w:hint="eastAsia" w:ascii="宋体" w:hAnsi="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审核。</w:t>
      </w:r>
    </w:p>
    <w:p>
      <w:pPr>
        <w:pStyle w:val="53"/>
        <w:tabs>
          <w:tab w:val="left" w:pos="720"/>
        </w:tabs>
        <w:autoSpaceDE w:val="0"/>
        <w:autoSpaceDN w:val="0"/>
        <w:adjustRightInd w:val="0"/>
        <w:spacing w:line="360" w:lineRule="auto"/>
        <w:ind w:right="17" w:firstLine="489"/>
        <w:jc w:val="left"/>
        <w:outlineLvl w:val="1"/>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五、工作成果及验收要求</w:t>
      </w:r>
    </w:p>
    <w:tbl>
      <w:tblPr>
        <w:tblStyle w:val="2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4394"/>
        <w:gridCol w:w="2836"/>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noWrap w:val="0"/>
            <w:vAlign w:val="center"/>
          </w:tcPr>
          <w:p>
            <w:pPr>
              <w:spacing w:line="360" w:lineRule="auto"/>
              <w:jc w:val="center"/>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pPr>
            <w:r>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t>序号</w:t>
            </w:r>
          </w:p>
        </w:tc>
        <w:tc>
          <w:tcPr>
            <w:tcW w:w="4394" w:type="dxa"/>
            <w:noWrap w:val="0"/>
            <w:vAlign w:val="center"/>
          </w:tcPr>
          <w:p>
            <w:pPr>
              <w:spacing w:line="360" w:lineRule="auto"/>
              <w:jc w:val="center"/>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pPr>
            <w:r>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t>成果文件或服务</w:t>
            </w:r>
          </w:p>
        </w:tc>
        <w:tc>
          <w:tcPr>
            <w:tcW w:w="2836" w:type="dxa"/>
            <w:noWrap w:val="0"/>
            <w:vAlign w:val="center"/>
          </w:tcPr>
          <w:p>
            <w:pPr>
              <w:spacing w:line="360" w:lineRule="auto"/>
              <w:jc w:val="center"/>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4"/>
                <w:highlight w:val="none"/>
                <w14:textFill>
                  <w14:solidFill>
                    <w14:schemeClr w14:val="tx1"/>
                  </w14:solidFill>
                </w14:textFill>
              </w:rPr>
              <w:t>执行</w:t>
            </w:r>
            <w:r>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t>时间及要求</w:t>
            </w:r>
          </w:p>
        </w:tc>
        <w:tc>
          <w:tcPr>
            <w:tcW w:w="708" w:type="dxa"/>
            <w:noWrap w:val="0"/>
            <w:vAlign w:val="center"/>
          </w:tcPr>
          <w:p>
            <w:pPr>
              <w:spacing w:line="360" w:lineRule="auto"/>
              <w:jc w:val="center"/>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pPr>
            <w:r>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4"/>
                <w:highlight w:val="none"/>
                <w14:textFill>
                  <w14:solidFill>
                    <w14:schemeClr w14:val="tx1"/>
                  </w14:solidFill>
                </w14:textFill>
              </w:rPr>
              <w:t>1</w:t>
            </w:r>
          </w:p>
        </w:tc>
        <w:tc>
          <w:tcPr>
            <w:tcW w:w="4394" w:type="dxa"/>
            <w:noWrap w:val="0"/>
            <w:vAlign w:val="center"/>
          </w:tcPr>
          <w:p>
            <w:pPr>
              <w:spacing w:line="360" w:lineRule="auto"/>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“前海工匠”培育</w:t>
            </w:r>
            <w:r>
              <w:rPr>
                <w:rFonts w:ascii="Times New Roman" w:hAnsi="Times New Roman" w:eastAsia="宋体" w:cs="Times New Roman"/>
                <w:color w:val="000000" w:themeColor="text1"/>
                <w:sz w:val="24"/>
                <w:szCs w:val="24"/>
                <w:highlight w:val="none"/>
                <w14:textFill>
                  <w14:solidFill>
                    <w14:schemeClr w14:val="tx1"/>
                  </w14:solidFill>
                </w14:textFill>
              </w:rPr>
              <w:t>工作</w:t>
            </w:r>
            <w:r>
              <w:rPr>
                <w:rFonts w:ascii="Times New Roman" w:hAnsi="Times New Roman" w:eastAsia="宋体" w:cs="Times New Roman"/>
                <w:color w:val="000000" w:themeColor="text1"/>
                <w:spacing w:val="6"/>
                <w:sz w:val="24"/>
                <w:szCs w:val="24"/>
                <w:highlight w:val="none"/>
                <w14:textFill>
                  <w14:solidFill>
                    <w14:schemeClr w14:val="tx1"/>
                  </w14:solidFill>
                </w14:textFill>
              </w:rPr>
              <w:t>：完成</w:t>
            </w:r>
            <w:r>
              <w:rPr>
                <w:rFonts w:ascii="Times New Roman" w:hAnsi="Times New Roman" w:eastAsia="宋体" w:cs="Times New Roman"/>
                <w:color w:val="000000" w:themeColor="text1"/>
                <w:sz w:val="24"/>
                <w:szCs w:val="24"/>
                <w:highlight w:val="none"/>
                <w14:textFill>
                  <w14:solidFill>
                    <w14:schemeClr w14:val="tx1"/>
                  </w14:solidFill>
                </w14:textFill>
              </w:rPr>
              <w:t>累计不少于</w:t>
            </w:r>
            <w:r>
              <w:rPr>
                <w:rFonts w:hint="eastAsia" w:ascii="Times New Roman" w:hAnsi="Times New Roman" w:eastAsia="宋体" w:cs="Times New Roman"/>
                <w:color w:val="000000" w:themeColor="text1"/>
                <w:sz w:val="24"/>
                <w:szCs w:val="24"/>
                <w:highlight w:val="none"/>
                <w14:textFill>
                  <w14:solidFill>
                    <w14:schemeClr w14:val="tx1"/>
                  </w14:solidFill>
                </w14:textFill>
              </w:rPr>
              <w:t>14</w:t>
            </w:r>
            <w:r>
              <w:rPr>
                <w:rFonts w:ascii="Times New Roman" w:hAnsi="Times New Roman" w:eastAsia="宋体" w:cs="Times New Roman"/>
                <w:color w:val="000000" w:themeColor="text1"/>
                <w:sz w:val="24"/>
                <w:szCs w:val="24"/>
                <w:highlight w:val="none"/>
                <w14:textFill>
                  <w14:solidFill>
                    <w14:schemeClr w14:val="tx1"/>
                  </w14:solidFill>
                </w14:textFill>
              </w:rPr>
              <w:t>场</w:t>
            </w:r>
            <w:r>
              <w:rPr>
                <w:rFonts w:hint="eastAsia" w:ascii="Times New Roman" w:hAnsi="Times New Roman" w:eastAsia="宋体" w:cs="Times New Roman"/>
                <w:color w:val="000000" w:themeColor="text1"/>
                <w:sz w:val="24"/>
                <w:szCs w:val="24"/>
                <w:highlight w:val="none"/>
                <w14:textFill>
                  <w14:solidFill>
                    <w14:schemeClr w14:val="tx1"/>
                  </w14:solidFill>
                </w14:textFill>
              </w:rPr>
              <w:t>（塔吊司机、起重工两工种同1场进行）</w:t>
            </w:r>
            <w:r>
              <w:rPr>
                <w:rFonts w:ascii="Times New Roman" w:hAnsi="Times New Roman" w:eastAsia="宋体" w:cs="Times New Roman"/>
                <w:color w:val="000000" w:themeColor="text1"/>
                <w:sz w:val="24"/>
                <w:szCs w:val="24"/>
                <w:highlight w:val="none"/>
                <w14:textFill>
                  <w14:solidFill>
                    <w14:schemeClr w14:val="tx1"/>
                  </w14:solidFill>
                </w14:textFill>
              </w:rPr>
              <w:t>的专业技能现场操作课程，其中包</w:t>
            </w:r>
            <w:r>
              <w:rPr>
                <w:rFonts w:ascii="宋体" w:hAnsi="宋体" w:eastAsia="宋体" w:cs="Times New Roman"/>
                <w:color w:val="000000" w:themeColor="text1"/>
                <w:sz w:val="24"/>
                <w:szCs w:val="24"/>
                <w:highlight w:val="none"/>
                <w14:textFill>
                  <w14:solidFill>
                    <w14:schemeClr w14:val="tx1"/>
                  </w14:solidFill>
                </w14:textFill>
              </w:rPr>
              <w:t>括“技能比武”环节</w:t>
            </w:r>
            <w:r>
              <w:rPr>
                <w:rFonts w:ascii="Times New Roman" w:hAnsi="Times New Roman" w:eastAsia="宋体" w:cs="Times New Roman"/>
                <w:color w:val="000000" w:themeColor="text1"/>
                <w:sz w:val="24"/>
                <w:szCs w:val="24"/>
                <w:highlight w:val="none"/>
                <w14:textFill>
                  <w14:solidFill>
                    <w14:schemeClr w14:val="tx1"/>
                  </w14:solidFill>
                </w14:textFill>
              </w:rPr>
              <w:t>，</w:t>
            </w:r>
            <w:r>
              <w:rPr>
                <w:rFonts w:hint="eastAsia" w:ascii="Times New Roman" w:hAnsi="Times New Roman" w:eastAsia="宋体" w:cs="Times New Roman"/>
                <w:color w:val="000000" w:themeColor="text1"/>
                <w:sz w:val="24"/>
                <w:szCs w:val="24"/>
                <w:highlight w:val="none"/>
                <w14:textFill>
                  <w14:solidFill>
                    <w14:schemeClr w14:val="tx1"/>
                  </w14:solidFill>
                </w14:textFill>
              </w:rPr>
              <w:t>培育</w:t>
            </w:r>
            <w:r>
              <w:rPr>
                <w:rFonts w:ascii="Times New Roman" w:hAnsi="Times New Roman" w:eastAsia="宋体" w:cs="Times New Roman"/>
                <w:color w:val="000000" w:themeColor="text1"/>
                <w:sz w:val="24"/>
                <w:szCs w:val="24"/>
                <w:highlight w:val="none"/>
                <w14:textFill>
                  <w14:solidFill>
                    <w14:schemeClr w14:val="tx1"/>
                  </w14:solidFill>
                </w14:textFill>
              </w:rPr>
              <w:t>对象为各项目施工单位技术工人</w:t>
            </w:r>
          </w:p>
        </w:tc>
        <w:tc>
          <w:tcPr>
            <w:tcW w:w="2836" w:type="dxa"/>
            <w:noWrap w:val="0"/>
            <w:vAlign w:val="center"/>
          </w:tcPr>
          <w:p>
            <w:pPr>
              <w:spacing w:line="360" w:lineRule="auto"/>
              <w:jc w:val="left"/>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4"/>
                <w:highlight w:val="none"/>
                <w14:textFill>
                  <w14:solidFill>
                    <w14:schemeClr w14:val="tx1"/>
                  </w14:solidFill>
                </w14:textFill>
              </w:rPr>
              <w:t>202</w:t>
            </w:r>
            <w:r>
              <w:rPr>
                <w:rFonts w:hint="default" w:ascii="Times New Roman" w:hAnsi="Times New Roman" w:eastAsia="宋体" w:cs="Times New Roman"/>
                <w:snapToGrid w:val="0"/>
                <w:color w:val="000000" w:themeColor="text1"/>
                <w:kern w:val="0"/>
                <w:sz w:val="24"/>
                <w:szCs w:val="24"/>
                <w:highlight w:val="none"/>
                <w14:textFill>
                  <w14:solidFill>
                    <w14:schemeClr w14:val="tx1"/>
                  </w14:solidFill>
                </w14:textFill>
              </w:rPr>
              <w:t>3</w:t>
            </w:r>
            <w:r>
              <w:rPr>
                <w:rFonts w:hint="eastAsia" w:ascii="Times New Roman" w:hAnsi="Times New Roman" w:eastAsia="宋体" w:cs="Times New Roman"/>
                <w:snapToGrid w:val="0"/>
                <w:color w:val="000000" w:themeColor="text1"/>
                <w:kern w:val="0"/>
                <w:sz w:val="24"/>
                <w:szCs w:val="24"/>
                <w:highlight w:val="none"/>
                <w14:textFill>
                  <w14:solidFill>
                    <w14:schemeClr w14:val="tx1"/>
                  </w14:solidFill>
                </w14:textFill>
              </w:rPr>
              <w:t>年11-12月，具体</w:t>
            </w:r>
            <w:r>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t>按</w:t>
            </w:r>
            <w:r>
              <w:rPr>
                <w:rFonts w:hint="eastAsia" w:eastAsia="宋体" w:cs="Times New Roman"/>
                <w:snapToGrid w:val="0"/>
                <w:color w:val="000000" w:themeColor="text1"/>
                <w:kern w:val="0"/>
                <w:sz w:val="24"/>
                <w:szCs w:val="24"/>
                <w:highlight w:val="none"/>
                <w:lang w:eastAsia="zh-CN"/>
                <w14:textFill>
                  <w14:solidFill>
                    <w14:schemeClr w14:val="tx1"/>
                  </w14:solidFill>
                </w14:textFill>
              </w:rPr>
              <w:t>采购人</w:t>
            </w:r>
            <w:r>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t>要求开展，</w:t>
            </w:r>
            <w:r>
              <w:rPr>
                <w:rFonts w:ascii="Times New Roman" w:hAnsi="Times New Roman" w:eastAsia="宋体" w:cs="Times New Roman"/>
                <w:color w:val="000000" w:themeColor="text1"/>
                <w:spacing w:val="6"/>
                <w:sz w:val="24"/>
                <w:szCs w:val="24"/>
                <w:highlight w:val="none"/>
                <w14:textFill>
                  <w14:solidFill>
                    <w14:schemeClr w14:val="tx1"/>
                  </w14:solidFill>
                </w14:textFill>
              </w:rPr>
              <w:t>报送</w:t>
            </w:r>
            <w:r>
              <w:rPr>
                <w:rFonts w:hint="eastAsia" w:eastAsia="宋体" w:cs="Times New Roman"/>
                <w:color w:val="000000" w:themeColor="text1"/>
                <w:spacing w:val="6"/>
                <w:sz w:val="24"/>
                <w:szCs w:val="24"/>
                <w:highlight w:val="none"/>
                <w:lang w:eastAsia="zh-CN"/>
                <w14:textFill>
                  <w14:solidFill>
                    <w14:schemeClr w14:val="tx1"/>
                  </w14:solidFill>
                </w14:textFill>
              </w:rPr>
              <w:t>采购人</w:t>
            </w:r>
            <w:r>
              <w:rPr>
                <w:rFonts w:hint="eastAsia" w:ascii="宋体" w:hAnsi="宋体" w:eastAsia="宋体" w:cs="Times New Roman"/>
                <w:color w:val="000000" w:themeColor="text1"/>
                <w:spacing w:val="6"/>
                <w:sz w:val="24"/>
                <w:szCs w:val="24"/>
                <w:highlight w:val="none"/>
                <w14:textFill>
                  <w14:solidFill>
                    <w14:schemeClr w14:val="tx1"/>
                  </w14:solidFill>
                </w14:textFill>
              </w:rPr>
              <w:t>7</w:t>
            </w:r>
            <w:r>
              <w:rPr>
                <w:rFonts w:ascii="宋体" w:hAnsi="宋体" w:eastAsia="宋体" w:cs="Times New Roman"/>
                <w:color w:val="000000" w:themeColor="text1"/>
                <w:spacing w:val="6"/>
                <w:sz w:val="24"/>
                <w:szCs w:val="24"/>
                <w:highlight w:val="none"/>
                <w14:textFill>
                  <w14:solidFill>
                    <w14:schemeClr w14:val="tx1"/>
                  </w14:solidFill>
                </w14:textFill>
              </w:rPr>
              <w:t>0</w:t>
            </w:r>
            <w:r>
              <w:rPr>
                <w:rFonts w:hint="eastAsia" w:ascii="宋体" w:hAnsi="宋体" w:eastAsia="宋体" w:cs="Times New Roman"/>
                <w:color w:val="000000" w:themeColor="text1"/>
                <w:spacing w:val="6"/>
                <w:sz w:val="24"/>
                <w:szCs w:val="24"/>
                <w:highlight w:val="none"/>
                <w14:textFill>
                  <w14:solidFill>
                    <w14:schemeClr w14:val="tx1"/>
                  </w14:solidFill>
                </w14:textFill>
              </w:rPr>
              <w:t>人的</w:t>
            </w:r>
            <w:r>
              <w:rPr>
                <w:rFonts w:ascii="Times New Roman" w:hAnsi="Times New Roman" w:eastAsia="宋体" w:cs="Times New Roman"/>
                <w:bCs/>
                <w:color w:val="000000" w:themeColor="text1"/>
                <w:sz w:val="24"/>
                <w:szCs w:val="24"/>
                <w:highlight w:val="none"/>
                <w14:textFill>
                  <w14:solidFill>
                    <w14:schemeClr w14:val="tx1"/>
                  </w14:solidFill>
                </w14:textFill>
              </w:rPr>
              <w:t>《“前海工匠”种子名单》</w:t>
            </w:r>
          </w:p>
        </w:tc>
        <w:tc>
          <w:tcPr>
            <w:tcW w:w="708" w:type="dxa"/>
            <w:noWrap w:val="0"/>
            <w:vAlign w:val="center"/>
          </w:tcPr>
          <w:p>
            <w:pPr>
              <w:spacing w:line="360" w:lineRule="auto"/>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4"/>
                <w:highlight w:val="none"/>
                <w14:textFill>
                  <w14:solidFill>
                    <w14:schemeClr w14:val="tx1"/>
                  </w14:solidFill>
                </w14:textFill>
              </w:rPr>
              <w:t>2</w:t>
            </w:r>
          </w:p>
        </w:tc>
        <w:tc>
          <w:tcPr>
            <w:tcW w:w="4394" w:type="dxa"/>
            <w:noWrap w:val="0"/>
            <w:vAlign w:val="center"/>
          </w:tcPr>
          <w:p>
            <w:pPr>
              <w:spacing w:line="360" w:lineRule="auto"/>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spacing w:val="6"/>
                <w:sz w:val="24"/>
                <w:szCs w:val="24"/>
                <w:highlight w:val="none"/>
                <w14:textFill>
                  <w14:solidFill>
                    <w14:schemeClr w14:val="tx1"/>
                  </w14:solidFill>
                </w14:textFill>
              </w:rPr>
              <w:t>“前海工匠”评选</w:t>
            </w:r>
            <w:r>
              <w:rPr>
                <w:rFonts w:ascii="Times New Roman" w:hAnsi="Times New Roman" w:eastAsia="宋体" w:cs="Times New Roman"/>
                <w:color w:val="000000" w:themeColor="text1"/>
                <w:spacing w:val="6"/>
                <w:sz w:val="24"/>
                <w:szCs w:val="24"/>
                <w:highlight w:val="none"/>
                <w14:textFill>
                  <w14:solidFill>
                    <w14:schemeClr w14:val="tx1"/>
                  </w14:solidFill>
                </w14:textFill>
              </w:rPr>
              <w:t>活动：完成包括活动方案的拟定、活动策划、场地的准备和布置、宣传条幅海报及展板的设计及制作、参评工人的资格审定、评委选任、评选活动的现场组织、证书奖杯的制作等工作，形成正式评比成果</w:t>
            </w:r>
          </w:p>
        </w:tc>
        <w:tc>
          <w:tcPr>
            <w:tcW w:w="2836" w:type="dxa"/>
            <w:noWrap w:val="0"/>
            <w:vAlign w:val="center"/>
          </w:tcPr>
          <w:p>
            <w:pPr>
              <w:spacing w:line="360" w:lineRule="auto"/>
              <w:jc w:val="left"/>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4"/>
                <w:highlight w:val="none"/>
                <w14:textFill>
                  <w14:solidFill>
                    <w14:schemeClr w14:val="tx1"/>
                  </w14:solidFill>
                </w14:textFill>
              </w:rPr>
              <w:t>202</w:t>
            </w:r>
            <w:r>
              <w:rPr>
                <w:rFonts w:hint="default" w:ascii="Times New Roman" w:hAnsi="Times New Roman" w:eastAsia="宋体" w:cs="Times New Roman"/>
                <w:snapToGrid w:val="0"/>
                <w:color w:val="000000" w:themeColor="text1"/>
                <w:kern w:val="0"/>
                <w:sz w:val="24"/>
                <w:szCs w:val="24"/>
                <w:highlight w:val="none"/>
                <w14:textFill>
                  <w14:solidFill>
                    <w14:schemeClr w14:val="tx1"/>
                  </w14:solidFill>
                </w14:textFill>
              </w:rPr>
              <w:t>3</w:t>
            </w:r>
            <w:r>
              <w:rPr>
                <w:rFonts w:hint="eastAsia" w:ascii="Times New Roman" w:hAnsi="Times New Roman" w:eastAsia="宋体" w:cs="Times New Roman"/>
                <w:snapToGrid w:val="0"/>
                <w:color w:val="000000" w:themeColor="text1"/>
                <w:kern w:val="0"/>
                <w:sz w:val="24"/>
                <w:szCs w:val="24"/>
                <w:highlight w:val="none"/>
                <w14:textFill>
                  <w14:solidFill>
                    <w14:schemeClr w14:val="tx1"/>
                  </w14:solidFill>
                </w14:textFill>
              </w:rPr>
              <w:t>年12月</w:t>
            </w:r>
            <w:r>
              <w:rPr>
                <w:rFonts w:hint="default" w:cs="Times New Roman"/>
                <w:snapToGrid w:val="0"/>
                <w:color w:val="000000" w:themeColor="text1"/>
                <w:kern w:val="0"/>
                <w:sz w:val="24"/>
                <w:szCs w:val="24"/>
                <w:highlight w:val="none"/>
                <w14:textFill>
                  <w14:solidFill>
                    <w14:schemeClr w14:val="tx1"/>
                  </w14:solidFill>
                </w14:textFill>
              </w:rPr>
              <w:t>中</w:t>
            </w:r>
            <w:r>
              <w:rPr>
                <w:rFonts w:hint="eastAsia" w:ascii="Times New Roman" w:hAnsi="Times New Roman" w:eastAsia="宋体" w:cs="Times New Roman"/>
                <w:snapToGrid w:val="0"/>
                <w:color w:val="000000" w:themeColor="text1"/>
                <w:kern w:val="0"/>
                <w:sz w:val="24"/>
                <w:szCs w:val="24"/>
                <w:highlight w:val="none"/>
                <w14:textFill>
                  <w14:solidFill>
                    <w14:schemeClr w14:val="tx1"/>
                  </w14:solidFill>
                </w14:textFill>
              </w:rPr>
              <w:t>旬，具体</w:t>
            </w:r>
            <w:r>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t>按</w:t>
            </w:r>
            <w:r>
              <w:rPr>
                <w:rFonts w:hint="eastAsia" w:eastAsia="宋体" w:cs="Times New Roman"/>
                <w:snapToGrid w:val="0"/>
                <w:color w:val="000000" w:themeColor="text1"/>
                <w:kern w:val="0"/>
                <w:sz w:val="24"/>
                <w:szCs w:val="24"/>
                <w:highlight w:val="none"/>
                <w:lang w:eastAsia="zh-CN"/>
                <w14:textFill>
                  <w14:solidFill>
                    <w14:schemeClr w14:val="tx1"/>
                  </w14:solidFill>
                </w14:textFill>
              </w:rPr>
              <w:t>采购人</w:t>
            </w:r>
            <w:r>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t>要求开展，提报</w:t>
            </w:r>
            <w:r>
              <w:rPr>
                <w:rFonts w:hint="eastAsia" w:eastAsia="宋体" w:cs="Times New Roman"/>
                <w:snapToGrid w:val="0"/>
                <w:color w:val="000000" w:themeColor="text1"/>
                <w:kern w:val="0"/>
                <w:sz w:val="24"/>
                <w:szCs w:val="24"/>
                <w:highlight w:val="none"/>
                <w:lang w:eastAsia="zh-CN"/>
                <w14:textFill>
                  <w14:solidFill>
                    <w14:schemeClr w14:val="tx1"/>
                  </w14:solidFill>
                </w14:textFill>
              </w:rPr>
              <w:t>采购人</w:t>
            </w:r>
            <w:r>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t>《“前海工匠”评选活动报告》</w:t>
            </w:r>
          </w:p>
        </w:tc>
        <w:tc>
          <w:tcPr>
            <w:tcW w:w="708" w:type="dxa"/>
            <w:noWrap w:val="0"/>
            <w:vAlign w:val="center"/>
          </w:tcPr>
          <w:p>
            <w:pPr>
              <w:spacing w:line="360" w:lineRule="auto"/>
              <w:ind w:firstLine="480" w:firstLineChars="200"/>
              <w:rPr>
                <w:rFonts w:ascii="Times New Roman" w:hAnsi="Times New Roman" w:eastAsia="宋体" w:cs="Times New Roman"/>
                <w:snapToGrid w:val="0"/>
                <w:color w:val="000000" w:themeColor="text1"/>
                <w:kern w:val="0"/>
                <w:sz w:val="24"/>
                <w:szCs w:val="24"/>
                <w:highlight w:val="none"/>
                <w14:textFill>
                  <w14:solidFill>
                    <w14:schemeClr w14:val="tx1"/>
                  </w14:solidFill>
                </w14:textFill>
              </w:rPr>
            </w:pPr>
          </w:p>
        </w:tc>
      </w:tr>
    </w:tbl>
    <w:p>
      <w:pPr>
        <w:pStyle w:val="5"/>
        <w:numPr>
          <w:ilvl w:val="0"/>
          <w:numId w:val="0"/>
        </w:numPr>
        <w:spacing w:before="0" w:after="0" w:line="360" w:lineRule="auto"/>
        <w:ind w:left="420" w:leftChars="0"/>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六、</w:t>
      </w:r>
      <w:r>
        <w:rPr>
          <w:rFonts w:hint="eastAsia" w:ascii="宋体" w:hAnsi="宋体" w:eastAsia="宋体" w:cs="宋体"/>
          <w:b/>
          <w:bCs/>
          <w:color w:val="000000" w:themeColor="text1"/>
          <w:sz w:val="24"/>
          <w:szCs w:val="24"/>
          <w:highlight w:val="none"/>
          <w14:textFill>
            <w14:solidFill>
              <w14:schemeClr w14:val="tx1"/>
            </w14:solidFill>
          </w14:textFill>
        </w:rPr>
        <w:t>成果格式</w:t>
      </w:r>
    </w:p>
    <w:p>
      <w:pPr>
        <w:tabs>
          <w:tab w:val="left" w:pos="720"/>
        </w:tabs>
        <w:autoSpaceDE w:val="0"/>
        <w:autoSpaceDN w:val="0"/>
        <w:adjustRightInd w:val="0"/>
        <w:spacing w:line="360" w:lineRule="auto"/>
        <w:ind w:left="0" w:leftChars="0" w:right="17" w:firstLine="638" w:firstLineChars="266"/>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(一)</w:t>
      </w:r>
      <w:r>
        <w:rPr>
          <w:rFonts w:hint="eastAsia" w:ascii="宋体" w:hAnsi="宋体" w:eastAsia="宋体" w:cs="宋体"/>
          <w:color w:val="000000" w:themeColor="text1"/>
          <w:kern w:val="0"/>
          <w:sz w:val="24"/>
          <w:szCs w:val="24"/>
          <w:highlight w:val="none"/>
          <w14:textFill>
            <w14:solidFill>
              <w14:schemeClr w14:val="tx1"/>
            </w14:solidFill>
          </w14:textFill>
        </w:rPr>
        <w:t>本项目成果包括《“前海工匠”种子名单》及《“前海工匠”评选活动报告》，纸质材料（含文本及附图），A4尺寸装订成册（实际数量以业主需求为准）；</w:t>
      </w:r>
    </w:p>
    <w:p>
      <w:pPr>
        <w:tabs>
          <w:tab w:val="left" w:pos="720"/>
        </w:tabs>
        <w:autoSpaceDE w:val="0"/>
        <w:autoSpaceDN w:val="0"/>
        <w:adjustRightInd w:val="0"/>
        <w:spacing w:line="360" w:lineRule="auto"/>
        <w:ind w:left="0" w:leftChars="0" w:right="17" w:firstLine="638" w:firstLineChars="26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二</w:t>
      </w:r>
      <w:r>
        <w:rPr>
          <w:rFonts w:hint="eastAsia" w:ascii="宋体" w:hAnsi="宋体" w:eastAsia="宋体" w:cs="宋体"/>
          <w:b w:val="0"/>
          <w:bCs w:val="0"/>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电子文件：文本、附图和多媒体成果，光盘2套。（注：文本为DOC格式文件，效果图为JPG格式文件）。</w:t>
      </w:r>
    </w:p>
    <w:p>
      <w:pPr>
        <w:pStyle w:val="53"/>
        <w:tabs>
          <w:tab w:val="left" w:pos="720"/>
        </w:tabs>
        <w:autoSpaceDE w:val="0"/>
        <w:autoSpaceDN w:val="0"/>
        <w:adjustRightInd w:val="0"/>
        <w:spacing w:line="360" w:lineRule="auto"/>
        <w:ind w:right="17" w:firstLine="489"/>
        <w:jc w:val="left"/>
        <w:outlineLvl w:val="1"/>
        <w:rPr>
          <w:rFonts w:hint="default" w:ascii="宋体" w:hAnsi="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七、人员要求</w:t>
      </w:r>
    </w:p>
    <w:p>
      <w:pPr>
        <w:pStyle w:val="53"/>
        <w:tabs>
          <w:tab w:val="left" w:pos="720"/>
        </w:tabs>
        <w:autoSpaceDE w:val="0"/>
        <w:autoSpaceDN w:val="0"/>
        <w:adjustRightInd w:val="0"/>
        <w:spacing w:line="360" w:lineRule="auto"/>
        <w:ind w:right="17" w:firstLine="489"/>
        <w:jc w:val="left"/>
        <w:outlineLvl w:val="1"/>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项目团队成员不少于6人（含1名项目负责人）</w:t>
      </w:r>
      <w:r>
        <w:rPr>
          <w:rFonts w:hint="eastAsia" w:ascii="宋体" w:hAnsi="宋体" w:cs="宋体"/>
          <w:b w:val="0"/>
          <w:bCs/>
          <w:color w:val="000000" w:themeColor="text1"/>
          <w:sz w:val="24"/>
          <w:highlight w:val="none"/>
          <w:lang w:eastAsia="zh-CN"/>
          <w14:textFill>
            <w14:solidFill>
              <w14:schemeClr w14:val="tx1"/>
            </w14:solidFill>
          </w14:textFill>
        </w:rPr>
        <w:t>。</w:t>
      </w:r>
    </w:p>
    <w:p>
      <w:pPr>
        <w:pStyle w:val="53"/>
        <w:tabs>
          <w:tab w:val="left" w:pos="720"/>
        </w:tabs>
        <w:autoSpaceDE w:val="0"/>
        <w:autoSpaceDN w:val="0"/>
        <w:adjustRightInd w:val="0"/>
        <w:spacing w:line="360" w:lineRule="auto"/>
        <w:ind w:right="17" w:firstLine="489"/>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八</w:t>
      </w:r>
      <w:r>
        <w:rPr>
          <w:rFonts w:hint="eastAsia" w:ascii="宋体" w:hAnsi="宋体" w:cs="宋体"/>
          <w:b/>
          <w:color w:val="000000" w:themeColor="text1"/>
          <w:sz w:val="24"/>
          <w:highlight w:val="none"/>
          <w14:textFill>
            <w14:solidFill>
              <w14:schemeClr w14:val="tx1"/>
            </w14:solidFill>
          </w14:textFill>
        </w:rPr>
        <w:t>、后续服务</w:t>
      </w:r>
    </w:p>
    <w:p>
      <w:pPr>
        <w:pStyle w:val="53"/>
        <w:tabs>
          <w:tab w:val="left" w:pos="720"/>
        </w:tabs>
        <w:autoSpaceDE w:val="0"/>
        <w:autoSpaceDN w:val="0"/>
        <w:adjustRightInd w:val="0"/>
        <w:spacing w:line="360" w:lineRule="auto"/>
        <w:ind w:right="17" w:firstLine="480"/>
        <w:jc w:val="left"/>
        <w:outlineLvl w:val="1"/>
        <w:rPr>
          <w:rFonts w:ascii="宋体" w:hAnsi="宋体" w:cs="宋体"/>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项目售后服务期限自最终成果通过采购人审查之日起的</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年内，</w:t>
      </w:r>
      <w:r>
        <w:rPr>
          <w:rFonts w:hint="eastAsia" w:ascii="宋体" w:hAnsi="宋体" w:cs="宋体"/>
          <w:color w:val="000000" w:themeColor="text1"/>
          <w:sz w:val="24"/>
          <w:highlight w:val="none"/>
          <w14:textFill>
            <w14:solidFill>
              <w14:schemeClr w14:val="tx1"/>
            </w14:solidFill>
          </w14:textFill>
        </w:rPr>
        <w:t>服务期内中标人应向采购人提供后续的专业技术支持与咨询服务，并协助采购人完成各种后续审计、评估等工作</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w:t>
      </w:r>
    </w:p>
    <w:p>
      <w:pPr>
        <w:pStyle w:val="53"/>
        <w:tabs>
          <w:tab w:val="left" w:pos="720"/>
        </w:tabs>
        <w:autoSpaceDE w:val="0"/>
        <w:autoSpaceDN w:val="0"/>
        <w:adjustRightInd w:val="0"/>
        <w:spacing w:line="360" w:lineRule="auto"/>
        <w:ind w:right="17" w:firstLine="489"/>
        <w:jc w:val="left"/>
        <w:outlineLvl w:val="1"/>
        <w:rPr>
          <w:rFonts w:hint="default"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九</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验收方式</w:t>
      </w:r>
    </w:p>
    <w:p>
      <w:pPr>
        <w:pStyle w:val="53"/>
        <w:tabs>
          <w:tab w:val="left" w:pos="720"/>
        </w:tabs>
        <w:autoSpaceDE w:val="0"/>
        <w:autoSpaceDN w:val="0"/>
        <w:adjustRightInd w:val="0"/>
        <w:spacing w:line="360" w:lineRule="auto"/>
        <w:ind w:right="17" w:firstLine="489"/>
        <w:jc w:val="left"/>
        <w:outlineLvl w:val="1"/>
        <w:rPr>
          <w:rFonts w:hint="eastAsia" w:ascii="宋体" w:hAnsi="宋体" w:cs="宋体"/>
          <w:b/>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项目最终成果验收合格的标志为通过采购人验收。</w:t>
      </w:r>
    </w:p>
    <w:p>
      <w:pPr>
        <w:pStyle w:val="53"/>
        <w:tabs>
          <w:tab w:val="left" w:pos="720"/>
        </w:tabs>
        <w:autoSpaceDE w:val="0"/>
        <w:autoSpaceDN w:val="0"/>
        <w:adjustRightInd w:val="0"/>
        <w:spacing w:line="360" w:lineRule="auto"/>
        <w:ind w:right="17" w:firstLine="489"/>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十、</w:t>
      </w:r>
      <w:r>
        <w:rPr>
          <w:rFonts w:hint="eastAsia" w:ascii="宋体" w:hAnsi="宋体" w:cs="宋体"/>
          <w:b/>
          <w:color w:val="000000" w:themeColor="text1"/>
          <w:sz w:val="24"/>
          <w:highlight w:val="none"/>
          <w14:textFill>
            <w14:solidFill>
              <w14:schemeClr w14:val="tx1"/>
            </w14:solidFill>
          </w14:textFill>
        </w:rPr>
        <w:t>商务要求</w:t>
      </w:r>
    </w:p>
    <w:p>
      <w:pPr>
        <w:tabs>
          <w:tab w:val="left" w:pos="720"/>
        </w:tabs>
        <w:autoSpaceDE w:val="0"/>
        <w:autoSpaceDN w:val="0"/>
        <w:adjustRightInd w:val="0"/>
        <w:spacing w:line="360" w:lineRule="auto"/>
        <w:ind w:right="17" w:firstLine="482" w:firstLineChars="200"/>
        <w:outlineLvl w:val="2"/>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（一）服务期限</w:t>
      </w:r>
    </w:p>
    <w:p>
      <w:pPr>
        <w:spacing w:after="156" w:afterLines="50"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本项目服务期限自签订合同之日起</w:t>
      </w:r>
      <w:r>
        <w:rPr>
          <w:rFonts w:hint="eastAsia" w:ascii="宋体" w:hAnsi="宋体" w:cs="宋体"/>
          <w:color w:val="000000" w:themeColor="text1"/>
          <w:sz w:val="24"/>
          <w:highlight w:val="none"/>
          <w:lang w:val="en-US" w:eastAsia="zh-CN"/>
          <w14:textFill>
            <w14:solidFill>
              <w14:schemeClr w14:val="tx1"/>
            </w14:solidFill>
          </w14:textFill>
        </w:rPr>
        <w:t>至</w:t>
      </w:r>
      <w:r>
        <w:rPr>
          <w:rFonts w:hint="eastAsia"/>
          <w:bCs/>
          <w:color w:val="000000" w:themeColor="text1"/>
          <w:sz w:val="24"/>
          <w:szCs w:val="24"/>
          <w:highlight w:val="none"/>
          <w14:textFill>
            <w14:solidFill>
              <w14:schemeClr w14:val="tx1"/>
            </w14:solidFill>
          </w14:textFill>
        </w:rPr>
        <w:t>202</w:t>
      </w:r>
      <w:r>
        <w:rPr>
          <w:rFonts w:hint="default"/>
          <w:bCs/>
          <w:color w:val="000000" w:themeColor="text1"/>
          <w:sz w:val="24"/>
          <w:szCs w:val="24"/>
          <w:highlight w:val="none"/>
          <w14:textFill>
            <w14:solidFill>
              <w14:schemeClr w14:val="tx1"/>
            </w14:solidFill>
          </w14:textFill>
        </w:rPr>
        <w:t>4</w:t>
      </w:r>
      <w:r>
        <w:rPr>
          <w:rFonts w:hint="eastAsia"/>
          <w:bCs/>
          <w:color w:val="000000" w:themeColor="text1"/>
          <w:sz w:val="24"/>
          <w:szCs w:val="24"/>
          <w:highlight w:val="none"/>
          <w14:textFill>
            <w14:solidFill>
              <w14:schemeClr w14:val="tx1"/>
            </w14:solidFill>
          </w14:textFill>
        </w:rPr>
        <w:t>年</w:t>
      </w:r>
      <w:r>
        <w:rPr>
          <w:bCs/>
          <w:color w:val="000000" w:themeColor="text1"/>
          <w:sz w:val="24"/>
          <w:szCs w:val="24"/>
          <w:highlight w:val="none"/>
          <w14:textFill>
            <w14:solidFill>
              <w14:schemeClr w14:val="tx1"/>
            </w14:solidFill>
          </w14:textFill>
        </w:rPr>
        <w:t>1</w:t>
      </w:r>
      <w:r>
        <w:rPr>
          <w:rFonts w:hint="eastAsia"/>
          <w:bCs/>
          <w:color w:val="000000" w:themeColor="text1"/>
          <w:sz w:val="24"/>
          <w:szCs w:val="24"/>
          <w:highlight w:val="none"/>
          <w14:textFill>
            <w14:solidFill>
              <w14:schemeClr w14:val="tx1"/>
            </w14:solidFill>
          </w14:textFill>
        </w:rPr>
        <w:t>月3</w:t>
      </w:r>
      <w:r>
        <w:rPr>
          <w:bCs/>
          <w:color w:val="000000" w:themeColor="text1"/>
          <w:sz w:val="24"/>
          <w:szCs w:val="24"/>
          <w:highlight w:val="none"/>
          <w14:textFill>
            <w14:solidFill>
              <w14:schemeClr w14:val="tx1"/>
            </w14:solidFill>
          </w14:textFill>
        </w:rPr>
        <w:t>1</w:t>
      </w:r>
      <w:r>
        <w:rPr>
          <w:rFonts w:hint="eastAsia"/>
          <w:bCs/>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w:t>
      </w:r>
    </w:p>
    <w:p>
      <w:pPr>
        <w:tabs>
          <w:tab w:val="left" w:pos="720"/>
        </w:tabs>
        <w:autoSpaceDE w:val="0"/>
        <w:autoSpaceDN w:val="0"/>
        <w:adjustRightInd w:val="0"/>
        <w:spacing w:line="360" w:lineRule="auto"/>
        <w:ind w:right="17" w:firstLine="482" w:firstLineChars="200"/>
        <w:outlineLvl w:val="2"/>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（二）报价要求</w:t>
      </w:r>
    </w:p>
    <w:p>
      <w:pPr>
        <w:widowControl/>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1.本次投标为总价包干，投标报价总价作为中标人与采购人签定的合同金额。项目预算控制</w:t>
      </w:r>
      <w:r>
        <w:rPr>
          <w:rFonts w:hint="eastAsia" w:ascii="宋体" w:hAnsi="宋体" w:cs="宋体"/>
          <w:color w:val="000000" w:themeColor="text1"/>
          <w:sz w:val="24"/>
          <w:highlight w:val="none"/>
          <w:lang w:eastAsia="zh-CN"/>
          <w14:textFill>
            <w14:solidFill>
              <w14:schemeClr w14:val="tx1"/>
            </w14:solidFill>
          </w14:textFill>
        </w:rPr>
        <w:t>30万元以内</w:t>
      </w:r>
      <w:r>
        <w:rPr>
          <w:rFonts w:hint="eastAsia" w:ascii="宋体" w:hAnsi="宋体" w:cs="宋体"/>
          <w:color w:val="000000" w:themeColor="text1"/>
          <w:sz w:val="24"/>
          <w:highlight w:val="none"/>
          <w14:textFill>
            <w14:solidFill>
              <w14:schemeClr w14:val="tx1"/>
            </w14:solidFill>
          </w14:textFill>
        </w:rPr>
        <w:t>，投标人的报价不可高于预算（限价），否则投标人的投标文件视同无效。项目服务费</w:t>
      </w:r>
      <w:r>
        <w:rPr>
          <w:rFonts w:hint="eastAsia" w:ascii="宋体" w:hAnsi="宋体" w:cs="宋体"/>
          <w:color w:val="000000" w:themeColor="text1"/>
          <w:sz w:val="24"/>
          <w:highlight w:val="none"/>
          <w:lang w:eastAsia="zh-CN"/>
          <w14:textFill>
            <w14:solidFill>
              <w14:schemeClr w14:val="tx1"/>
            </w14:solidFill>
          </w14:textFill>
        </w:rPr>
        <w:t>包括但不限于培训费、活动组织费、场地费用、宣传费、资料费、税金、人员费用、差旅费、后续服务等所有费用</w:t>
      </w:r>
      <w:r>
        <w:rPr>
          <w:rFonts w:hint="eastAsia" w:ascii="宋体" w:hAnsi="宋体" w:cs="宋体"/>
          <w:color w:val="000000" w:themeColor="text1"/>
          <w:sz w:val="24"/>
          <w:highlight w:val="none"/>
          <w14:textFill>
            <w14:solidFill>
              <w14:schemeClr w14:val="tx1"/>
            </w14:solidFill>
          </w14:textFill>
        </w:rPr>
        <w:t>，并提供合同要求的有关成果材料，以及其它相关服务的全部费用。</w:t>
      </w:r>
    </w:p>
    <w:p>
      <w:pPr>
        <w:widowControl/>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（三）付款方式</w:t>
      </w:r>
    </w:p>
    <w:p>
      <w:pPr>
        <w:widowControl/>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项目资金分</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期支付至中标人指定银行账户：</w:t>
      </w:r>
    </w:p>
    <w:p>
      <w:pPr>
        <w:spacing w:line="360" w:lineRule="auto"/>
        <w:ind w:firstLine="480" w:firstLineChars="200"/>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中标人</w:t>
      </w:r>
      <w:r>
        <w:rPr>
          <w:rFonts w:hint="eastAsia" w:ascii="Times New Roman" w:hAnsi="Times New Roman" w:eastAsia="宋体" w:cs="Times New Roman"/>
          <w:color w:val="000000" w:themeColor="text1"/>
          <w:sz w:val="24"/>
          <w:szCs w:val="24"/>
          <w:highlight w:val="none"/>
          <w14:textFill>
            <w14:solidFill>
              <w14:schemeClr w14:val="tx1"/>
            </w14:solidFill>
          </w14:textFill>
        </w:rPr>
        <w:t>报送“前海工匠”培育与评选活动方案获批后，根据</w:t>
      </w:r>
      <w:r>
        <w:rPr>
          <w:rFonts w:hint="eastAsia" w:ascii="宋体" w:hAnsi="宋体" w:cs="宋体"/>
          <w:color w:val="000000" w:themeColor="text1"/>
          <w:sz w:val="24"/>
          <w:highlight w:val="none"/>
          <w14:textFill>
            <w14:solidFill>
              <w14:schemeClr w14:val="tx1"/>
            </w14:solidFill>
          </w14:textFill>
        </w:rPr>
        <w:t>中标人</w:t>
      </w:r>
      <w:r>
        <w:rPr>
          <w:rFonts w:hint="eastAsia" w:ascii="Times New Roman" w:hAnsi="Times New Roman" w:eastAsia="宋体" w:cs="Times New Roman"/>
          <w:color w:val="000000" w:themeColor="text1"/>
          <w:sz w:val="24"/>
          <w:szCs w:val="24"/>
          <w:highlight w:val="none"/>
          <w14:textFill>
            <w14:solidFill>
              <w14:schemeClr w14:val="tx1"/>
            </w14:solidFill>
          </w14:textFill>
        </w:rPr>
        <w:t>提出的付款申请，支付合同价款的</w:t>
      </w:r>
      <w:r>
        <w:rPr>
          <w:rFonts w:hint="default" w:cs="Times New Roman"/>
          <w:color w:val="000000" w:themeColor="text1"/>
          <w:sz w:val="24"/>
          <w:szCs w:val="24"/>
          <w:highlight w:val="none"/>
          <w14:textFill>
            <w14:solidFill>
              <w14:schemeClr w14:val="tx1"/>
            </w14:solidFill>
          </w14:textFill>
        </w:rPr>
        <w:t>3</w:t>
      </w:r>
      <w:r>
        <w:rPr>
          <w:rFonts w:ascii="Times New Roman" w:hAnsi="Times New Roman" w:eastAsia="宋体" w:cs="Times New Roman"/>
          <w:color w:val="000000" w:themeColor="text1"/>
          <w:sz w:val="24"/>
          <w:szCs w:val="24"/>
          <w:highlight w:val="none"/>
          <w14:textFill>
            <w14:solidFill>
              <w14:schemeClr w14:val="tx1"/>
            </w14:solidFill>
          </w14:textFill>
        </w:rPr>
        <w:t>0</w:t>
      </w:r>
      <w:r>
        <w:rPr>
          <w:rFonts w:hint="eastAsia" w:ascii="Times New Roman" w:hAnsi="Times New Roman" w:eastAsia="宋体" w:cs="Times New Roman"/>
          <w:color w:val="000000" w:themeColor="text1"/>
          <w:sz w:val="24"/>
          <w:szCs w:val="24"/>
          <w:highlight w:val="none"/>
          <w14:textFill>
            <w14:solidFill>
              <w14:schemeClr w14:val="tx1"/>
            </w14:solidFill>
          </w14:textFill>
        </w:rPr>
        <w:t>%作为项目启动费用；</w:t>
      </w:r>
    </w:p>
    <w:p>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w:t>
      </w:r>
      <w:r>
        <w:rPr>
          <w:rFonts w:hint="eastAsia" w:ascii="Times New Roman" w:hAnsi="Times New Roman" w:eastAsia="宋体" w:cs="Times New Roman"/>
          <w:color w:val="000000" w:themeColor="text1"/>
          <w:sz w:val="24"/>
          <w:szCs w:val="24"/>
          <w:highlight w:val="none"/>
          <w14:textFill>
            <w14:solidFill>
              <w14:schemeClr w14:val="tx1"/>
            </w14:solidFill>
          </w14:textFill>
        </w:rPr>
        <w:t>完成“前海工匠”培育工作，提交</w:t>
      </w:r>
      <w:r>
        <w:rPr>
          <w:rFonts w:ascii="Times New Roman" w:hAnsi="Times New Roman" w:eastAsia="宋体" w:cs="Times New Roman"/>
          <w:bCs/>
          <w:color w:val="000000" w:themeColor="text1"/>
          <w:sz w:val="24"/>
          <w:szCs w:val="24"/>
          <w:highlight w:val="none"/>
          <w14:textFill>
            <w14:solidFill>
              <w14:schemeClr w14:val="tx1"/>
            </w14:solidFill>
          </w14:textFill>
        </w:rPr>
        <w:t>《“前海工匠”种子名单》</w:t>
      </w:r>
      <w:r>
        <w:rPr>
          <w:rFonts w:hint="eastAsia" w:ascii="Times New Roman" w:hAnsi="Times New Roman" w:eastAsia="宋体" w:cs="Times New Roman"/>
          <w:color w:val="000000" w:themeColor="text1"/>
          <w:sz w:val="24"/>
          <w:szCs w:val="24"/>
          <w:highlight w:val="none"/>
          <w14:textFill>
            <w14:solidFill>
              <w14:schemeClr w14:val="tx1"/>
            </w14:solidFill>
          </w14:textFill>
        </w:rPr>
        <w:t>，经</w:t>
      </w:r>
      <w:r>
        <w:rPr>
          <w:rFonts w:hint="eastAsia" w:cs="Times New Roman"/>
          <w:color w:val="000000" w:themeColor="text1"/>
          <w:sz w:val="24"/>
          <w:szCs w:val="24"/>
          <w:highlight w:val="none"/>
          <w:lang w:val="en-US" w:eastAsia="zh-CN"/>
          <w14:textFill>
            <w14:solidFill>
              <w14:schemeClr w14:val="tx1"/>
            </w14:solidFill>
          </w14:textFill>
        </w:rPr>
        <w:t>采购人</w:t>
      </w:r>
      <w:r>
        <w:rPr>
          <w:rFonts w:hint="eastAsia" w:ascii="Times New Roman" w:hAnsi="Times New Roman" w:eastAsia="宋体" w:cs="Times New Roman"/>
          <w:color w:val="000000" w:themeColor="text1"/>
          <w:sz w:val="24"/>
          <w:szCs w:val="24"/>
          <w:highlight w:val="none"/>
          <w14:textFill>
            <w14:solidFill>
              <w14:schemeClr w14:val="tx1"/>
            </w14:solidFill>
          </w14:textFill>
        </w:rPr>
        <w:t>审核合格后，根据</w:t>
      </w:r>
      <w:r>
        <w:rPr>
          <w:rFonts w:hint="eastAsia" w:ascii="宋体" w:hAnsi="宋体" w:cs="宋体"/>
          <w:color w:val="000000" w:themeColor="text1"/>
          <w:sz w:val="24"/>
          <w:highlight w:val="none"/>
          <w14:textFill>
            <w14:solidFill>
              <w14:schemeClr w14:val="tx1"/>
            </w14:solidFill>
          </w14:textFill>
        </w:rPr>
        <w:t>中标人</w:t>
      </w:r>
      <w:r>
        <w:rPr>
          <w:rFonts w:ascii="Times New Roman" w:hAnsi="Times New Roman" w:eastAsia="宋体" w:cs="Times New Roman"/>
          <w:color w:val="000000" w:themeColor="text1"/>
          <w:sz w:val="24"/>
          <w:szCs w:val="24"/>
          <w:highlight w:val="none"/>
          <w14:textFill>
            <w14:solidFill>
              <w14:schemeClr w14:val="tx1"/>
            </w14:solidFill>
          </w14:textFill>
        </w:rPr>
        <w:t>提出的付款申请，支付</w:t>
      </w:r>
      <w:r>
        <w:rPr>
          <w:rFonts w:hint="eastAsia" w:ascii="Times New Roman" w:hAnsi="Times New Roman" w:eastAsia="宋体" w:cs="Times New Roman"/>
          <w:color w:val="000000" w:themeColor="text1"/>
          <w:sz w:val="24"/>
          <w:szCs w:val="24"/>
          <w:highlight w:val="none"/>
          <w14:textFill>
            <w14:solidFill>
              <w14:schemeClr w14:val="tx1"/>
            </w14:solidFill>
          </w14:textFill>
        </w:rPr>
        <w:t>合同价款的</w:t>
      </w:r>
      <w:r>
        <w:rPr>
          <w:rFonts w:hint="default" w:cs="Times New Roman"/>
          <w:color w:val="000000" w:themeColor="text1"/>
          <w:sz w:val="24"/>
          <w:szCs w:val="24"/>
          <w:highlight w:val="none"/>
          <w14:textFill>
            <w14:solidFill>
              <w14:schemeClr w14:val="tx1"/>
            </w14:solidFill>
          </w14:textFill>
        </w:rPr>
        <w:t>4</w:t>
      </w:r>
      <w:r>
        <w:rPr>
          <w:rFonts w:ascii="Times New Roman" w:hAnsi="Times New Roman" w:eastAsia="宋体" w:cs="Times New Roman"/>
          <w:color w:val="000000" w:themeColor="text1"/>
          <w:sz w:val="24"/>
          <w:szCs w:val="24"/>
          <w:highlight w:val="none"/>
          <w14:textFill>
            <w14:solidFill>
              <w14:schemeClr w14:val="tx1"/>
            </w14:solidFill>
          </w14:textFill>
        </w:rPr>
        <w:t>0</w:t>
      </w:r>
      <w:r>
        <w:rPr>
          <w:rFonts w:hint="eastAsia" w:ascii="Times New Roman" w:hAnsi="Times New Roman" w:eastAsia="宋体" w:cs="Times New Roman"/>
          <w:color w:val="000000" w:themeColor="text1"/>
          <w:sz w:val="24"/>
          <w:szCs w:val="24"/>
          <w:highlight w:val="none"/>
          <w14:textFill>
            <w14:solidFill>
              <w14:schemeClr w14:val="tx1"/>
            </w14:solidFill>
          </w14:textFill>
        </w:rPr>
        <w:t>%；</w:t>
      </w:r>
    </w:p>
    <w:p>
      <w:pPr>
        <w:widowControl/>
        <w:spacing w:line="360" w:lineRule="auto"/>
        <w:ind w:firstLine="480" w:firstLineChars="200"/>
        <w:rPr>
          <w:rFonts w:hint="eastAsia"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3.</w:t>
      </w:r>
      <w:r>
        <w:rPr>
          <w:rFonts w:hint="eastAsia" w:ascii="Times New Roman" w:hAnsi="Times New Roman" w:eastAsia="宋体" w:cs="Times New Roman"/>
          <w:color w:val="000000" w:themeColor="text1"/>
          <w:sz w:val="24"/>
          <w:szCs w:val="24"/>
          <w:highlight w:val="none"/>
          <w14:textFill>
            <w14:solidFill>
              <w14:schemeClr w14:val="tx1"/>
            </w14:solidFill>
          </w14:textFill>
        </w:rPr>
        <w:t>完成“前海工匠”评选工作</w:t>
      </w:r>
      <w:r>
        <w:rPr>
          <w:rFonts w:hint="default" w:cs="Times New Roman"/>
          <w:color w:val="000000" w:themeColor="text1"/>
          <w:sz w:val="24"/>
          <w:szCs w:val="24"/>
          <w:highlight w:val="none"/>
          <w14:textFill>
            <w14:solidFill>
              <w14:schemeClr w14:val="tx1"/>
            </w14:solidFill>
          </w14:textFill>
        </w:rPr>
        <w:t>和颁奖典礼</w:t>
      </w:r>
      <w:r>
        <w:rPr>
          <w:rFonts w:hint="eastAsia" w:ascii="Times New Roman" w:hAnsi="Times New Roman" w:eastAsia="宋体" w:cs="Times New Roman"/>
          <w:color w:val="000000" w:themeColor="text1"/>
          <w:sz w:val="24"/>
          <w:szCs w:val="24"/>
          <w:highlight w:val="none"/>
          <w14:textFill>
            <w14:solidFill>
              <w14:schemeClr w14:val="tx1"/>
            </w14:solidFill>
          </w14:textFill>
        </w:rPr>
        <w:t>，提交</w:t>
      </w:r>
      <w:r>
        <w:rPr>
          <w:rFonts w:ascii="Times New Roman" w:hAnsi="Times New Roman" w:eastAsia="宋体" w:cs="Times New Roman"/>
          <w:bCs/>
          <w:color w:val="000000" w:themeColor="text1"/>
          <w:sz w:val="24"/>
          <w:szCs w:val="24"/>
          <w:highlight w:val="none"/>
          <w14:textFill>
            <w14:solidFill>
              <w14:schemeClr w14:val="tx1"/>
            </w14:solidFill>
          </w14:textFill>
        </w:rPr>
        <w:t>《“前海工匠”评选活动报告》</w:t>
      </w:r>
      <w:r>
        <w:rPr>
          <w:rFonts w:hint="eastAsia" w:ascii="Times New Roman" w:hAnsi="Times New Roman" w:eastAsia="宋体" w:cs="Times New Roman"/>
          <w:color w:val="000000" w:themeColor="text1"/>
          <w:spacing w:val="6"/>
          <w:sz w:val="24"/>
          <w:szCs w:val="24"/>
          <w:highlight w:val="none"/>
          <w14:textFill>
            <w14:solidFill>
              <w14:schemeClr w14:val="tx1"/>
            </w14:solidFill>
          </w14:textFill>
        </w:rPr>
        <w:t>，</w:t>
      </w:r>
      <w:r>
        <w:rPr>
          <w:rFonts w:hint="eastAsia" w:ascii="Times New Roman" w:hAnsi="Times New Roman" w:eastAsia="宋体" w:cs="Times New Roman"/>
          <w:color w:val="000000" w:themeColor="text1"/>
          <w:sz w:val="24"/>
          <w:szCs w:val="24"/>
          <w:highlight w:val="none"/>
          <w14:textFill>
            <w14:solidFill>
              <w14:schemeClr w14:val="tx1"/>
            </w14:solidFill>
          </w14:textFill>
        </w:rPr>
        <w:t>经</w:t>
      </w:r>
      <w:r>
        <w:rPr>
          <w:rFonts w:hint="eastAsia" w:cs="Times New Roman"/>
          <w:color w:val="000000" w:themeColor="text1"/>
          <w:sz w:val="24"/>
          <w:szCs w:val="24"/>
          <w:highlight w:val="none"/>
          <w:lang w:val="en-US" w:eastAsia="zh-CN"/>
          <w14:textFill>
            <w14:solidFill>
              <w14:schemeClr w14:val="tx1"/>
            </w14:solidFill>
          </w14:textFill>
        </w:rPr>
        <w:t>采购人</w:t>
      </w:r>
      <w:r>
        <w:rPr>
          <w:rFonts w:hint="eastAsia" w:ascii="Times New Roman" w:hAnsi="Times New Roman" w:eastAsia="宋体" w:cs="Times New Roman"/>
          <w:color w:val="000000" w:themeColor="text1"/>
          <w:sz w:val="24"/>
          <w:szCs w:val="24"/>
          <w:highlight w:val="none"/>
          <w14:textFill>
            <w14:solidFill>
              <w14:schemeClr w14:val="tx1"/>
            </w14:solidFill>
          </w14:textFill>
        </w:rPr>
        <w:t>审核合格后，根据</w:t>
      </w:r>
      <w:r>
        <w:rPr>
          <w:rFonts w:hint="eastAsia" w:ascii="宋体" w:hAnsi="宋体" w:cs="宋体"/>
          <w:color w:val="000000" w:themeColor="text1"/>
          <w:sz w:val="24"/>
          <w:highlight w:val="none"/>
          <w14:textFill>
            <w14:solidFill>
              <w14:schemeClr w14:val="tx1"/>
            </w14:solidFill>
          </w14:textFill>
        </w:rPr>
        <w:t>中标人</w:t>
      </w:r>
      <w:r>
        <w:rPr>
          <w:rFonts w:ascii="Times New Roman" w:hAnsi="Times New Roman" w:eastAsia="宋体" w:cs="Times New Roman"/>
          <w:color w:val="000000" w:themeColor="text1"/>
          <w:sz w:val="24"/>
          <w:szCs w:val="24"/>
          <w:highlight w:val="none"/>
          <w14:textFill>
            <w14:solidFill>
              <w14:schemeClr w14:val="tx1"/>
            </w14:solidFill>
          </w14:textFill>
        </w:rPr>
        <w:t>提出的付款申请，支付</w:t>
      </w:r>
      <w:r>
        <w:rPr>
          <w:rFonts w:hint="eastAsia" w:ascii="Times New Roman" w:hAnsi="Times New Roman" w:eastAsia="宋体" w:cs="Times New Roman"/>
          <w:color w:val="000000" w:themeColor="text1"/>
          <w:sz w:val="24"/>
          <w:szCs w:val="24"/>
          <w:highlight w:val="none"/>
          <w14:textFill>
            <w14:solidFill>
              <w14:schemeClr w14:val="tx1"/>
            </w14:solidFill>
          </w14:textFill>
        </w:rPr>
        <w:t>剩余全部合同价款。</w:t>
      </w:r>
    </w:p>
    <w:p>
      <w:pPr>
        <w:widowControl/>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上述每期款项均在满足付款条件，且采购人收到中标人开具的载明相应金额的合格发票后15个工作日内付至中标人指定银行账户。如未及时收到发票，则采购人相应付款时间顺延。若因</w:t>
      </w:r>
      <w:r>
        <w:rPr>
          <w:rFonts w:ascii="宋体" w:hAnsi="宋体" w:cs="宋体"/>
          <w:color w:val="000000" w:themeColor="text1"/>
          <w:sz w:val="24"/>
          <w:highlight w:val="none"/>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付款审批影响支付进度，请</w:t>
      </w:r>
      <w:r>
        <w:rPr>
          <w:rFonts w:ascii="宋体" w:hAnsi="宋体" w:cs="宋体"/>
          <w:color w:val="000000" w:themeColor="text1"/>
          <w:sz w:val="24"/>
          <w:highlight w:val="none"/>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予以谅解，并不得就此向</w:t>
      </w:r>
      <w:r>
        <w:rPr>
          <w:rFonts w:ascii="宋体" w:hAnsi="宋体" w:cs="宋体"/>
          <w:color w:val="000000" w:themeColor="text1"/>
          <w:sz w:val="24"/>
          <w:highlight w:val="none"/>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索赔。</w:t>
      </w:r>
    </w:p>
    <w:p>
      <w:pPr>
        <w:tabs>
          <w:tab w:val="left" w:pos="720"/>
        </w:tabs>
        <w:autoSpaceDE w:val="0"/>
        <w:autoSpaceDN w:val="0"/>
        <w:adjustRightInd w:val="0"/>
        <w:spacing w:line="360" w:lineRule="auto"/>
        <w:ind w:right="17" w:firstLine="482" w:firstLineChars="200"/>
        <w:outlineLvl w:val="2"/>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（四）成果权属与知识产权</w:t>
      </w:r>
    </w:p>
    <w:p>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1.双方对本合同有关的知识产权以及与之相关的所有权利归属约定如下： 本项目全部阶段性成果和最终成果（包括为后续服务范围所编制的材料）的知识产权以及与之相关的所有权利归</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所有；本合同签署前双方已经拥有的知识产权权利，仍归各自所有。</w:t>
      </w:r>
    </w:p>
    <w:p>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2.双方确定，</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有权利用</w:t>
      </w:r>
      <w:r>
        <w:rPr>
          <w:rFonts w:hint="eastAsia" w:ascii="宋体" w:hAnsi="宋体" w:cs="宋体"/>
          <w:color w:val="000000" w:themeColor="text1"/>
          <w:sz w:val="24"/>
          <w:highlight w:val="none"/>
          <w:lang w:eastAsia="zh-CN"/>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按照本合同约定提供的研究开发成果，进行后续改进。由此产生的具有实质性或创造性技术进步特征的新的技术成果及其权利归属，全部由</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享有。具体相关利益的分配办法如下：</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100%。</w:t>
      </w:r>
    </w:p>
    <w:p>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所提交的全部中间成果和最终成果材料及任何数据、资料、软件等不得侵犯任何第三方的知识产权或其他权利，由于该等文件、材料、数据、资料、软件侵权所导致的任何索赔或责任均由</w:t>
      </w:r>
      <w:r>
        <w:rPr>
          <w:rFonts w:hint="eastAsia" w:ascii="宋体" w:hAnsi="宋体" w:cs="宋体"/>
          <w:color w:val="000000" w:themeColor="text1"/>
          <w:sz w:val="24"/>
          <w:highlight w:val="none"/>
          <w:lang w:eastAsia="zh-CN"/>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承担，同时，</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保留要求</w:t>
      </w:r>
      <w:r>
        <w:rPr>
          <w:rFonts w:hint="eastAsia" w:ascii="宋体" w:hAnsi="宋体" w:cs="宋体"/>
          <w:color w:val="000000" w:themeColor="text1"/>
          <w:sz w:val="24"/>
          <w:highlight w:val="none"/>
          <w:lang w:eastAsia="zh-CN"/>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4.未经</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书面在先同意，</w:t>
      </w:r>
      <w:r>
        <w:rPr>
          <w:rFonts w:hint="eastAsia" w:ascii="宋体" w:hAnsi="宋体" w:cs="宋体"/>
          <w:color w:val="000000" w:themeColor="text1"/>
          <w:sz w:val="24"/>
          <w:highlight w:val="none"/>
          <w:lang w:eastAsia="zh-CN"/>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不得将本项目的中间成果和最终成果材料及任何数据、资料、软件向任何第三方转让、授权任何第三方使用或用于本合同项目外的其他项目。如发生以上情况，</w:t>
      </w:r>
      <w:r>
        <w:rPr>
          <w:rFonts w:hint="eastAsia" w:ascii="宋体" w:hAnsi="宋体" w:cs="宋体"/>
          <w:color w:val="000000" w:themeColor="text1"/>
          <w:sz w:val="24"/>
          <w:highlight w:val="none"/>
          <w:lang w:eastAsia="zh-CN"/>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应向</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支付本合同总价款20%的违约金，如果违约金无法弥补</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的损失，</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有权要求</w:t>
      </w:r>
      <w:r>
        <w:rPr>
          <w:rFonts w:hint="eastAsia" w:ascii="宋体" w:hAnsi="宋体" w:cs="宋体"/>
          <w:color w:val="000000" w:themeColor="text1"/>
          <w:sz w:val="24"/>
          <w:highlight w:val="none"/>
          <w:lang w:eastAsia="zh-CN"/>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赔偿全部损失，包括但不限于上述索赔或责任所产生的诉讼费用、合理的律师费用、鉴定评估费用、调查费用、和解金额或生效法律文书中规定的赔偿金额。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eastAsia="zh-CN"/>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完成本合同项目的研究开发人员享有在有关技术成果材料上写明技术成果完成者的权利和与</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共同获得有关荣誉证书、奖励的权利。</w:t>
      </w:r>
    </w:p>
    <w:p>
      <w:pPr>
        <w:widowControl/>
        <w:spacing w:line="360"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（五）</w:t>
      </w:r>
      <w:r>
        <w:rPr>
          <w:rFonts w:hint="eastAsia" w:ascii="宋体" w:hAnsi="宋体" w:cs="宋体"/>
          <w:b/>
          <w:bCs/>
          <w:color w:val="000000" w:themeColor="text1"/>
          <w:sz w:val="24"/>
          <w:highlight w:val="none"/>
          <w14:textFill>
            <w14:solidFill>
              <w14:schemeClr w14:val="tx1"/>
            </w14:solidFill>
          </w14:textFill>
        </w:rPr>
        <w:t>保密条款</w:t>
      </w:r>
    </w:p>
    <w:p>
      <w:pPr>
        <w:widowControl/>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w:t>
      </w:r>
      <w:r>
        <w:rPr>
          <w:rFonts w:hint="eastAsia" w:ascii="宋体" w:hAnsi="宋体" w:cs="宋体"/>
          <w:color w:val="000000" w:themeColor="text1"/>
          <w:sz w:val="24"/>
          <w:szCs w:val="24"/>
          <w:highlight w:val="none"/>
          <w:lang w:eastAsia="zh-CN"/>
          <w14:textFill>
            <w14:solidFill>
              <w14:schemeClr w14:val="tx1"/>
            </w14:solidFill>
          </w14:textFill>
        </w:rPr>
        <w:t>中标人</w:t>
      </w:r>
      <w:r>
        <w:rPr>
          <w:rFonts w:hint="eastAsia" w:ascii="宋体" w:hAnsi="宋体" w:cs="宋体"/>
          <w:color w:val="000000" w:themeColor="text1"/>
          <w:sz w:val="24"/>
          <w:szCs w:val="24"/>
          <w:highlight w:val="none"/>
          <w14:textFill>
            <w14:solidFill>
              <w14:schemeClr w14:val="tx1"/>
            </w14:solidFill>
          </w14:textFill>
        </w:rPr>
        <w:t>在履行本合同过程中所获得或接触到的任何</w:t>
      </w:r>
      <w:r>
        <w:rPr>
          <w:rFonts w:hint="eastAsia" w:ascii="宋体" w:hAnsi="宋体" w:cs="宋体"/>
          <w:color w:val="000000" w:themeColor="text1"/>
          <w:sz w:val="24"/>
          <w:szCs w:val="24"/>
          <w:highlight w:val="none"/>
          <w:lang w:eastAsia="zh-CN"/>
          <w14:textFill>
            <w14:solidFill>
              <w14:schemeClr w14:val="tx1"/>
            </w14:solidFill>
          </w14:textFill>
        </w:rPr>
        <w:t>采购人</w:t>
      </w:r>
      <w:r>
        <w:rPr>
          <w:rFonts w:hint="eastAsia" w:ascii="宋体" w:hAnsi="宋体" w:cs="宋体"/>
          <w:color w:val="000000" w:themeColor="text1"/>
          <w:sz w:val="24"/>
          <w:szCs w:val="24"/>
          <w:highlight w:val="none"/>
          <w14:textFill>
            <w14:solidFill>
              <w14:schemeClr w14:val="tx1"/>
            </w14:solidFill>
          </w14:textFill>
        </w:rPr>
        <w:t>内部数据资料。</w:t>
      </w:r>
    </w:p>
    <w:p>
      <w:pPr>
        <w:widowControl/>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中标人</w:t>
      </w:r>
      <w:r>
        <w:rPr>
          <w:rFonts w:hint="eastAsia" w:ascii="宋体" w:hAnsi="宋体" w:cs="宋体"/>
          <w:color w:val="000000" w:themeColor="text1"/>
          <w:sz w:val="24"/>
          <w:szCs w:val="24"/>
          <w:highlight w:val="none"/>
          <w14:textFill>
            <w14:solidFill>
              <w14:schemeClr w14:val="tx1"/>
            </w14:solidFill>
          </w14:textFill>
        </w:rPr>
        <w:t>须以保密方式处理在编制本项目成果材料过程中自</w:t>
      </w:r>
      <w:r>
        <w:rPr>
          <w:rFonts w:hint="eastAsia" w:ascii="宋体" w:hAnsi="宋体" w:cs="宋体"/>
          <w:color w:val="000000" w:themeColor="text1"/>
          <w:sz w:val="24"/>
          <w:szCs w:val="24"/>
          <w:highlight w:val="none"/>
          <w:lang w:eastAsia="zh-CN"/>
          <w14:textFill>
            <w14:solidFill>
              <w14:schemeClr w14:val="tx1"/>
            </w14:solidFill>
          </w14:textFill>
        </w:rPr>
        <w:t>采购人</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采购人</w:t>
      </w:r>
      <w:r>
        <w:rPr>
          <w:rFonts w:hint="eastAsia" w:ascii="宋体" w:hAnsi="宋体" w:cs="宋体"/>
          <w:color w:val="000000" w:themeColor="text1"/>
          <w:sz w:val="24"/>
          <w:szCs w:val="24"/>
          <w:highlight w:val="none"/>
          <w14:textFill>
            <w14:solidFill>
              <w14:schemeClr w14:val="tx1"/>
            </w14:solidFill>
          </w14:textFill>
        </w:rPr>
        <w:t>工作人员或</w:t>
      </w:r>
      <w:r>
        <w:rPr>
          <w:rFonts w:hint="eastAsia" w:ascii="宋体" w:hAnsi="宋体" w:cs="宋体"/>
          <w:color w:val="000000" w:themeColor="text1"/>
          <w:sz w:val="24"/>
          <w:szCs w:val="24"/>
          <w:highlight w:val="none"/>
          <w:lang w:eastAsia="zh-CN"/>
          <w14:textFill>
            <w14:solidFill>
              <w14:schemeClr w14:val="tx1"/>
            </w14:solidFill>
          </w14:textFill>
        </w:rPr>
        <w:t>采购人</w:t>
      </w:r>
      <w:r>
        <w:rPr>
          <w:rFonts w:hint="eastAsia" w:ascii="宋体" w:hAnsi="宋体" w:cs="宋体"/>
          <w:color w:val="000000" w:themeColor="text1"/>
          <w:sz w:val="24"/>
          <w:szCs w:val="24"/>
          <w:highlight w:val="none"/>
          <w14:textFill>
            <w14:solidFill>
              <w14:schemeClr w14:val="tx1"/>
            </w14:solidFill>
          </w14:textFill>
        </w:rPr>
        <w:t>关联机构获得的相关信息、资料、图纸、数据等，或由</w:t>
      </w:r>
      <w:r>
        <w:rPr>
          <w:rFonts w:hint="eastAsia" w:ascii="宋体" w:hAnsi="宋体" w:cs="宋体"/>
          <w:color w:val="000000" w:themeColor="text1"/>
          <w:sz w:val="24"/>
          <w:szCs w:val="24"/>
          <w:highlight w:val="none"/>
          <w:lang w:eastAsia="zh-CN"/>
          <w14:textFill>
            <w14:solidFill>
              <w14:schemeClr w14:val="tx1"/>
            </w14:solidFill>
          </w14:textFill>
        </w:rPr>
        <w:t>采购人</w:t>
      </w:r>
      <w:r>
        <w:rPr>
          <w:rFonts w:hint="eastAsia" w:ascii="宋体" w:hAnsi="宋体" w:cs="宋体"/>
          <w:color w:val="000000" w:themeColor="text1"/>
          <w:sz w:val="24"/>
          <w:szCs w:val="24"/>
          <w:highlight w:val="none"/>
          <w14:textFill>
            <w14:solidFill>
              <w14:schemeClr w14:val="tx1"/>
            </w14:solidFill>
          </w14:textFill>
        </w:rPr>
        <w:t>在履行本合同过程中明确指明为秘密的任何信息,以及</w:t>
      </w:r>
      <w:r>
        <w:rPr>
          <w:rFonts w:hint="eastAsia" w:ascii="宋体" w:hAnsi="宋体" w:cs="宋体"/>
          <w:color w:val="000000" w:themeColor="text1"/>
          <w:sz w:val="24"/>
          <w:szCs w:val="24"/>
          <w:highlight w:val="none"/>
          <w:lang w:eastAsia="zh-CN"/>
          <w14:textFill>
            <w14:solidFill>
              <w14:schemeClr w14:val="tx1"/>
            </w14:solidFill>
          </w14:textFill>
        </w:rPr>
        <w:t>中标人</w:t>
      </w:r>
      <w:r>
        <w:rPr>
          <w:rFonts w:hint="eastAsia" w:ascii="宋体" w:hAnsi="宋体" w:cs="宋体"/>
          <w:color w:val="000000" w:themeColor="text1"/>
          <w:sz w:val="24"/>
          <w:szCs w:val="24"/>
          <w:highlight w:val="none"/>
          <w14:textFill>
            <w14:solidFill>
              <w14:schemeClr w14:val="tx1"/>
            </w14:solidFill>
          </w14:textFill>
        </w:rPr>
        <w:t>因本项目工作所直接或间接取得、处理或接触的任何其他资料。未经</w:t>
      </w:r>
      <w:r>
        <w:rPr>
          <w:rFonts w:hint="eastAsia" w:ascii="宋体" w:hAnsi="宋体" w:cs="宋体"/>
          <w:color w:val="000000" w:themeColor="text1"/>
          <w:sz w:val="24"/>
          <w:szCs w:val="24"/>
          <w:highlight w:val="none"/>
          <w:lang w:eastAsia="zh-CN"/>
          <w14:textFill>
            <w14:solidFill>
              <w14:schemeClr w14:val="tx1"/>
            </w14:solidFill>
          </w14:textFill>
        </w:rPr>
        <w:t>采购人</w:t>
      </w:r>
      <w:r>
        <w:rPr>
          <w:rFonts w:hint="eastAsia" w:ascii="宋体" w:hAnsi="宋体" w:cs="宋体"/>
          <w:color w:val="000000" w:themeColor="text1"/>
          <w:sz w:val="24"/>
          <w:szCs w:val="24"/>
          <w:highlight w:val="none"/>
          <w14:textFill>
            <w14:solidFill>
              <w14:schemeClr w14:val="tx1"/>
            </w14:solidFill>
          </w14:textFill>
        </w:rPr>
        <w:t>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lang w:eastAsia="zh-CN"/>
          <w14:textFill>
            <w14:solidFill>
              <w14:schemeClr w14:val="tx1"/>
            </w14:solidFill>
          </w14:textFill>
        </w:rPr>
        <w:t>中标人</w:t>
      </w:r>
      <w:r>
        <w:rPr>
          <w:rFonts w:hint="eastAsia" w:ascii="宋体" w:hAnsi="宋体" w:cs="宋体"/>
          <w:color w:val="000000" w:themeColor="text1"/>
          <w:sz w:val="24"/>
          <w:szCs w:val="24"/>
          <w:highlight w:val="none"/>
          <w14:textFill>
            <w14:solidFill>
              <w14:schemeClr w14:val="tx1"/>
            </w14:solidFill>
          </w14:textFill>
        </w:rPr>
        <w:t>实施项目的程序应符合国家安全、保密的有关规定和标准。</w:t>
      </w:r>
    </w:p>
    <w:p>
      <w:pPr>
        <w:widowControl/>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5.上述保密义务不适用以下情况：</w:t>
      </w:r>
    </w:p>
    <w:p>
      <w:pPr>
        <w:widowControl/>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（1）获取的信息已被合法公开；</w:t>
      </w:r>
    </w:p>
    <w:p>
      <w:pPr>
        <w:widowControl/>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（2）获得信息拥有方书面许可并在该许可范围内披露；</w:t>
      </w:r>
    </w:p>
    <w:p>
      <w:pPr>
        <w:widowControl/>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（3）国家法律、法规规定的情形。</w:t>
      </w:r>
    </w:p>
    <w:p>
      <w:pPr>
        <w:widowControl/>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6.如</w:t>
      </w:r>
      <w:r>
        <w:rPr>
          <w:rFonts w:hint="eastAsia" w:ascii="宋体" w:hAnsi="宋体" w:cs="宋体"/>
          <w:color w:val="000000" w:themeColor="text1"/>
          <w:sz w:val="24"/>
          <w:szCs w:val="24"/>
          <w:highlight w:val="none"/>
          <w:lang w:eastAsia="zh-CN"/>
          <w14:textFill>
            <w14:solidFill>
              <w14:schemeClr w14:val="tx1"/>
            </w14:solidFill>
          </w14:textFill>
        </w:rPr>
        <w:t>中标人</w:t>
      </w:r>
      <w:r>
        <w:rPr>
          <w:rFonts w:hint="eastAsia" w:ascii="宋体" w:hAnsi="宋体" w:cs="宋体"/>
          <w:color w:val="000000" w:themeColor="text1"/>
          <w:sz w:val="24"/>
          <w:szCs w:val="24"/>
          <w:highlight w:val="none"/>
          <w14:textFill>
            <w14:solidFill>
              <w14:schemeClr w14:val="tx1"/>
            </w14:solidFill>
          </w14:textFill>
        </w:rPr>
        <w:t>违反上述保密条款，</w:t>
      </w:r>
      <w:r>
        <w:rPr>
          <w:rFonts w:hint="eastAsia" w:ascii="宋体" w:hAnsi="宋体" w:cs="宋体"/>
          <w:color w:val="000000" w:themeColor="text1"/>
          <w:sz w:val="24"/>
          <w:szCs w:val="24"/>
          <w:highlight w:val="none"/>
          <w:lang w:eastAsia="zh-CN"/>
          <w14:textFill>
            <w14:solidFill>
              <w14:schemeClr w14:val="tx1"/>
            </w14:solidFill>
          </w14:textFill>
        </w:rPr>
        <w:t>采购人</w:t>
      </w:r>
      <w:r>
        <w:rPr>
          <w:rFonts w:hint="eastAsia" w:ascii="宋体" w:hAnsi="宋体" w:cs="宋体"/>
          <w:color w:val="000000" w:themeColor="text1"/>
          <w:sz w:val="24"/>
          <w:szCs w:val="24"/>
          <w:highlight w:val="none"/>
          <w14:textFill>
            <w14:solidFill>
              <w14:schemeClr w14:val="tx1"/>
            </w14:solidFill>
          </w14:textFill>
        </w:rPr>
        <w:t>有权解除本合同，</w:t>
      </w:r>
      <w:r>
        <w:rPr>
          <w:rFonts w:hint="eastAsia" w:ascii="宋体" w:hAnsi="宋体" w:cs="宋体"/>
          <w:color w:val="000000" w:themeColor="text1"/>
          <w:sz w:val="24"/>
          <w:szCs w:val="24"/>
          <w:highlight w:val="none"/>
          <w:lang w:eastAsia="zh-CN"/>
          <w14:textFill>
            <w14:solidFill>
              <w14:schemeClr w14:val="tx1"/>
            </w14:solidFill>
          </w14:textFill>
        </w:rPr>
        <w:t>中标人</w:t>
      </w:r>
      <w:r>
        <w:rPr>
          <w:rFonts w:hint="eastAsia" w:ascii="宋体" w:hAnsi="宋体" w:cs="宋体"/>
          <w:color w:val="000000" w:themeColor="text1"/>
          <w:sz w:val="24"/>
          <w:szCs w:val="24"/>
          <w:highlight w:val="none"/>
          <w14:textFill>
            <w14:solidFill>
              <w14:schemeClr w14:val="tx1"/>
            </w14:solidFill>
          </w14:textFill>
        </w:rPr>
        <w:t>应在合同解除通知发出之日起10日内向</w:t>
      </w:r>
      <w:r>
        <w:rPr>
          <w:rFonts w:hint="eastAsia" w:ascii="宋体" w:hAnsi="宋体" w:cs="宋体"/>
          <w:color w:val="000000" w:themeColor="text1"/>
          <w:sz w:val="24"/>
          <w:szCs w:val="24"/>
          <w:highlight w:val="none"/>
          <w:lang w:eastAsia="zh-CN"/>
          <w14:textFill>
            <w14:solidFill>
              <w14:schemeClr w14:val="tx1"/>
            </w14:solidFill>
          </w14:textFill>
        </w:rPr>
        <w:t>采购人</w:t>
      </w:r>
      <w:r>
        <w:rPr>
          <w:rFonts w:hint="eastAsia" w:ascii="宋体" w:hAnsi="宋体" w:cs="宋体"/>
          <w:color w:val="000000" w:themeColor="text1"/>
          <w:sz w:val="24"/>
          <w:szCs w:val="24"/>
          <w:highlight w:val="none"/>
          <w14:textFill>
            <w14:solidFill>
              <w14:schemeClr w14:val="tx1"/>
            </w14:solidFill>
          </w14:textFill>
        </w:rPr>
        <w:t>支付本合同服务费总金额20%的违约金，如果违约金无法弥补</w:t>
      </w:r>
      <w:r>
        <w:rPr>
          <w:rFonts w:hint="eastAsia" w:ascii="宋体" w:hAnsi="宋体" w:cs="宋体"/>
          <w:color w:val="000000" w:themeColor="text1"/>
          <w:sz w:val="24"/>
          <w:szCs w:val="24"/>
          <w:highlight w:val="none"/>
          <w:lang w:eastAsia="zh-CN"/>
          <w14:textFill>
            <w14:solidFill>
              <w14:schemeClr w14:val="tx1"/>
            </w14:solidFill>
          </w14:textFill>
        </w:rPr>
        <w:t>采购人</w:t>
      </w:r>
      <w:r>
        <w:rPr>
          <w:rFonts w:hint="eastAsia" w:ascii="宋体" w:hAnsi="宋体" w:cs="宋体"/>
          <w:color w:val="000000" w:themeColor="text1"/>
          <w:sz w:val="24"/>
          <w:szCs w:val="24"/>
          <w:highlight w:val="none"/>
          <w14:textFill>
            <w14:solidFill>
              <w14:schemeClr w14:val="tx1"/>
            </w14:solidFill>
          </w14:textFill>
        </w:rPr>
        <w:t>损失，</w:t>
      </w:r>
      <w:r>
        <w:rPr>
          <w:rFonts w:hint="eastAsia" w:ascii="宋体" w:hAnsi="宋体" w:cs="宋体"/>
          <w:color w:val="000000" w:themeColor="text1"/>
          <w:sz w:val="24"/>
          <w:szCs w:val="24"/>
          <w:highlight w:val="none"/>
          <w:lang w:eastAsia="zh-CN"/>
          <w14:textFill>
            <w14:solidFill>
              <w14:schemeClr w14:val="tx1"/>
            </w14:solidFill>
          </w14:textFill>
        </w:rPr>
        <w:t>采购人</w:t>
      </w:r>
      <w:r>
        <w:rPr>
          <w:rFonts w:hint="eastAsia" w:ascii="宋体" w:hAnsi="宋体" w:cs="宋体"/>
          <w:color w:val="000000" w:themeColor="text1"/>
          <w:sz w:val="24"/>
          <w:szCs w:val="24"/>
          <w:highlight w:val="none"/>
          <w14:textFill>
            <w14:solidFill>
              <w14:schemeClr w14:val="tx1"/>
            </w14:solidFill>
          </w14:textFill>
        </w:rPr>
        <w:t>保留要求</w:t>
      </w:r>
      <w:r>
        <w:rPr>
          <w:rFonts w:hint="eastAsia" w:ascii="宋体" w:hAnsi="宋体" w:cs="宋体"/>
          <w:color w:val="000000" w:themeColor="text1"/>
          <w:sz w:val="24"/>
          <w:szCs w:val="24"/>
          <w:highlight w:val="none"/>
          <w:lang w:eastAsia="zh-CN"/>
          <w14:textFill>
            <w14:solidFill>
              <w14:schemeClr w14:val="tx1"/>
            </w14:solidFill>
          </w14:textFill>
        </w:rPr>
        <w:t>中标人</w:t>
      </w:r>
      <w:r>
        <w:rPr>
          <w:rFonts w:hint="eastAsia" w:ascii="宋体" w:hAnsi="宋体" w:cs="宋体"/>
          <w:color w:val="000000" w:themeColor="text1"/>
          <w:sz w:val="24"/>
          <w:szCs w:val="24"/>
          <w:highlight w:val="none"/>
          <w14:textFill>
            <w14:solidFill>
              <w14:schemeClr w14:val="tx1"/>
            </w14:solidFill>
          </w14:textFill>
        </w:rPr>
        <w:t>赔偿全部损失的权利，包括但不限于前述责任所产生的诉讼费用、律师费用、鉴定评估费用、调查费用、和解金额或生效法律文书中规定的赔偿金额。</w:t>
      </w:r>
    </w:p>
    <w:p>
      <w:pPr>
        <w:widowControl/>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7.无论本合同或本合同其他条款是否有效，本保密条款始终约束双方。国家秘密的保密期限由国家有关部门确定，工作秘密的保密期限由</w:t>
      </w:r>
      <w:r>
        <w:rPr>
          <w:rFonts w:hint="eastAsia" w:ascii="宋体" w:hAnsi="宋体" w:cs="宋体"/>
          <w:color w:val="000000" w:themeColor="text1"/>
          <w:sz w:val="24"/>
          <w:szCs w:val="24"/>
          <w:highlight w:val="none"/>
          <w:lang w:eastAsia="zh-CN"/>
          <w14:textFill>
            <w14:solidFill>
              <w14:schemeClr w14:val="tx1"/>
            </w14:solidFill>
          </w14:textFill>
        </w:rPr>
        <w:t>采购人</w:t>
      </w:r>
      <w:r>
        <w:rPr>
          <w:rFonts w:hint="eastAsia" w:ascii="宋体" w:hAnsi="宋体" w:cs="宋体"/>
          <w:color w:val="000000" w:themeColor="text1"/>
          <w:sz w:val="24"/>
          <w:szCs w:val="24"/>
          <w:highlight w:val="none"/>
          <w14:textFill>
            <w14:solidFill>
              <w14:schemeClr w14:val="tx1"/>
            </w14:solidFill>
          </w14:textFill>
        </w:rPr>
        <w:t>确定</w:t>
      </w:r>
      <w:r>
        <w:rPr>
          <w:rFonts w:hint="eastAsia" w:ascii="宋体" w:hAnsi="宋体" w:cs="宋体"/>
          <w:color w:val="000000" w:themeColor="text1"/>
          <w:sz w:val="24"/>
          <w:highlight w:val="none"/>
          <w14:textFill>
            <w14:solidFill>
              <w14:schemeClr w14:val="tx1"/>
            </w14:solidFill>
          </w14:textFill>
        </w:rPr>
        <w:t>。</w:t>
      </w:r>
    </w:p>
    <w:p>
      <w:pPr>
        <w:widowControl/>
        <w:spacing w:line="360"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（六）</w:t>
      </w:r>
      <w:r>
        <w:rPr>
          <w:rFonts w:hint="eastAsia" w:ascii="宋体" w:hAnsi="宋体" w:cs="宋体"/>
          <w:b/>
          <w:bCs/>
          <w:color w:val="000000" w:themeColor="text1"/>
          <w:sz w:val="24"/>
          <w:highlight w:val="none"/>
          <w14:textFill>
            <w14:solidFill>
              <w14:schemeClr w14:val="tx1"/>
            </w14:solidFill>
          </w14:textFill>
        </w:rPr>
        <w:t>违约责任</w:t>
      </w:r>
    </w:p>
    <w:p>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（一）如</w:t>
      </w:r>
      <w:r>
        <w:rPr>
          <w:rFonts w:hint="eastAsia" w:ascii="宋体" w:hAnsi="宋体" w:cs="宋体"/>
          <w:color w:val="000000" w:themeColor="text1"/>
          <w:sz w:val="24"/>
          <w:highlight w:val="none"/>
          <w:lang w:eastAsia="zh-CN"/>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未按照本合同约定的时间完成本项目各阶段工作，每迟延一日，</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有权自尚未支付的合同款项中扣除本合同服务费总金额的1‰的逾期违约金。</w:t>
      </w:r>
    </w:p>
    <w:p>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（二）本合同履行期间，发生下述情形时，</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有权解除本合同，</w:t>
      </w:r>
      <w:r>
        <w:rPr>
          <w:rFonts w:hint="eastAsia" w:ascii="宋体" w:hAnsi="宋体" w:cs="宋体"/>
          <w:color w:val="000000" w:themeColor="text1"/>
          <w:sz w:val="24"/>
          <w:highlight w:val="none"/>
          <w:lang w:eastAsia="zh-CN"/>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除应退还</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已支付的全部款项外, 还应在合同解除通知发出之日起10日内向</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支付合同总价款10%的违约金。</w:t>
      </w:r>
      <w:r>
        <w:rPr>
          <w:rFonts w:hint="eastAsia" w:ascii="宋体" w:hAnsi="宋体" w:cs="宋体"/>
          <w:color w:val="000000" w:themeColor="text1"/>
          <w:sz w:val="24"/>
          <w:highlight w:val="none"/>
          <w:lang w:eastAsia="zh-CN"/>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应同时将已完成的项目成果移交给</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，并将全部有关资料退还</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w:t>
      </w:r>
    </w:p>
    <w:p>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未能按合同约定的日期(含协商延缓的日期)完成经</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审核通过的《“前海工匠”种子名单》及《“前海工匠”评选活动报告》，延误时间超过10个工作日；</w:t>
      </w:r>
    </w:p>
    <w:p>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2.因</w:t>
      </w:r>
      <w:r>
        <w:rPr>
          <w:rFonts w:hint="eastAsia" w:ascii="宋体" w:hAnsi="宋体" w:cs="宋体"/>
          <w:color w:val="000000" w:themeColor="text1"/>
          <w:sz w:val="24"/>
          <w:highlight w:val="none"/>
          <w:lang w:eastAsia="zh-CN"/>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工作的错误或遗漏造成成果质量不符合本合同要求，且</w:t>
      </w:r>
      <w:r>
        <w:rPr>
          <w:rFonts w:hint="eastAsia" w:ascii="宋体" w:hAnsi="宋体" w:cs="宋体"/>
          <w:color w:val="000000" w:themeColor="text1"/>
          <w:sz w:val="24"/>
          <w:highlight w:val="none"/>
          <w:lang w:eastAsia="zh-CN"/>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未按</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要求采取及时有效的补救措施的；</w:t>
      </w:r>
    </w:p>
    <w:p>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虽如期提报活动方案、阶段成果、活动总结等总结性成果资料，但最终成果连续二次未能通过</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验收的；</w:t>
      </w:r>
    </w:p>
    <w:p>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4.未经</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书面在先同意，</w:t>
      </w:r>
      <w:r>
        <w:rPr>
          <w:rFonts w:hint="eastAsia" w:ascii="宋体" w:hAnsi="宋体" w:cs="宋体"/>
          <w:color w:val="000000" w:themeColor="text1"/>
          <w:sz w:val="24"/>
          <w:highlight w:val="none"/>
          <w:lang w:eastAsia="zh-CN"/>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擅自将本合同项目与任何第三方合作，或将本合同标的的全部或部分擅自转包或分包给任何第三方，且未按</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的要求终止与第三方的协议的；</w:t>
      </w:r>
    </w:p>
    <w:p>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5.发现</w:t>
      </w:r>
      <w:r>
        <w:rPr>
          <w:rFonts w:hint="eastAsia" w:ascii="宋体" w:hAnsi="宋体" w:cs="宋体"/>
          <w:color w:val="000000" w:themeColor="text1"/>
          <w:sz w:val="24"/>
          <w:highlight w:val="none"/>
          <w:lang w:eastAsia="zh-CN"/>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或</w:t>
      </w:r>
      <w:r>
        <w:rPr>
          <w:rFonts w:hint="eastAsia" w:ascii="宋体" w:hAnsi="宋体" w:cs="宋体"/>
          <w:color w:val="000000" w:themeColor="text1"/>
          <w:sz w:val="24"/>
          <w:highlight w:val="none"/>
          <w:lang w:eastAsia="zh-CN"/>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工作人员出现全部或部分丧失履行委托服务能力的情况，</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有权通知</w:t>
      </w:r>
      <w:r>
        <w:rPr>
          <w:rFonts w:hint="eastAsia" w:ascii="宋体" w:hAnsi="宋体" w:cs="宋体"/>
          <w:color w:val="000000" w:themeColor="text1"/>
          <w:sz w:val="24"/>
          <w:highlight w:val="none"/>
          <w:lang w:eastAsia="zh-CN"/>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限期整改或更换工作人员，期限届满</w:t>
      </w:r>
      <w:r>
        <w:rPr>
          <w:rFonts w:hint="eastAsia" w:ascii="宋体" w:hAnsi="宋体" w:cs="宋体"/>
          <w:color w:val="000000" w:themeColor="text1"/>
          <w:sz w:val="24"/>
          <w:highlight w:val="none"/>
          <w:lang w:eastAsia="zh-CN"/>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并未进行改善的；</w:t>
      </w:r>
    </w:p>
    <w:p>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lang w:eastAsia="zh-CN"/>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明确表示或者以自己的行为表明不履行本合同的。</w:t>
      </w:r>
    </w:p>
    <w:p>
      <w:pPr>
        <w:widowControl/>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（三）如</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未按照本合同约定的时间支付服务费，</w:t>
      </w:r>
      <w:r>
        <w:rPr>
          <w:rFonts w:hint="eastAsia" w:ascii="宋体" w:hAnsi="宋体" w:cs="宋体"/>
          <w:color w:val="000000" w:themeColor="text1"/>
          <w:sz w:val="24"/>
          <w:highlight w:val="none"/>
          <w:lang w:eastAsia="zh-CN"/>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书面催告</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并给予不少于30个工作日的履行期限后</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仍未支付的，</w:t>
      </w:r>
      <w:r>
        <w:rPr>
          <w:rFonts w:hint="eastAsia" w:ascii="宋体" w:hAnsi="宋体" w:cs="宋体"/>
          <w:color w:val="000000" w:themeColor="text1"/>
          <w:sz w:val="24"/>
          <w:highlight w:val="none"/>
          <w:lang w:eastAsia="zh-CN"/>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有权自该期限届满之日起要求</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支付该阶段应付而未付合同价款每日1‰的逾期违约金。如</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无正当理由拒绝接受服务，到期明确表示拒付服务款项，</w:t>
      </w:r>
      <w:r>
        <w:rPr>
          <w:rFonts w:hint="eastAsia" w:ascii="宋体" w:hAnsi="宋体" w:cs="宋体"/>
          <w:color w:val="000000" w:themeColor="text1"/>
          <w:sz w:val="24"/>
          <w:highlight w:val="none"/>
          <w:lang w:eastAsia="zh-CN"/>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有权要求</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支付本合同项下服务费总金额10%的违约金。</w:t>
      </w:r>
    </w:p>
    <w:p>
      <w:pPr>
        <w:widowControl/>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上述违约责任各自独立且可累加。如本合同所约定的违约金无法弥补因违约行为所造成的损失，违约方应补偿上述不足部分的损失，包括但不限于上述索赔或责任所产生的诉讼费用、合理的律师费用、鉴定评估费用、调查费用、和解金额或生效法律文书中规定的赔偿金额</w:t>
      </w:r>
    </w:p>
    <w:p>
      <w:pPr>
        <w:widowControl/>
        <w:spacing w:line="360" w:lineRule="auto"/>
        <w:ind w:firstLine="480" w:firstLineChars="200"/>
        <w:jc w:val="center"/>
        <w:rPr>
          <w:rFonts w:asci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20" w:name="_Toc23822"/>
      <w:r>
        <w:rPr>
          <w:rFonts w:hint="eastAsia" w:ascii="宋体" w:cs="宋体"/>
          <w:b/>
          <w:bCs/>
          <w:color w:val="000000" w:themeColor="text1"/>
          <w:sz w:val="24"/>
          <w:highlight w:val="none"/>
          <w14:textFill>
            <w14:solidFill>
              <w14:schemeClr w14:val="tx1"/>
            </w14:solidFill>
          </w14:textFill>
        </w:rPr>
        <w:t>第六章 投标文件初审及招标项目评分表</w:t>
      </w:r>
      <w:bookmarkEnd w:id="20"/>
    </w:p>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投标文件初审表（不可偏离条款）</w:t>
      </w:r>
    </w:p>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（凡有下列情形之一的，投标文件无效，投标作废标处理）</w:t>
      </w:r>
    </w:p>
    <w:tbl>
      <w:tblPr>
        <w:tblStyle w:val="2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7108" w:type="dxa"/>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7108" w:type="dxa"/>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7108" w:type="dxa"/>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7108" w:type="dxa"/>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7108" w:type="dxa"/>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分项报价或投标总价高于预算金额（最高投标限价）或投标报价有严重缺漏项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7108" w:type="dxa"/>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7108" w:type="dxa"/>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7108" w:type="dxa"/>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7108" w:type="dxa"/>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7108" w:type="dxa"/>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法律、法规规定的其他情形</w:t>
            </w:r>
          </w:p>
        </w:tc>
      </w:tr>
    </w:tbl>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br w:type="page"/>
      </w:r>
      <w:r>
        <w:rPr>
          <w:rFonts w:hint="eastAsia" w:ascii="宋体" w:hAnsi="宋体" w:cs="宋体"/>
          <w:b/>
          <w:bCs/>
          <w:color w:val="000000" w:themeColor="text1"/>
          <w:sz w:val="24"/>
          <w:highlight w:val="none"/>
          <w14:textFill>
            <w14:solidFill>
              <w14:schemeClr w14:val="tx1"/>
            </w14:solidFill>
          </w14:textFill>
        </w:rPr>
        <w:t>招标项目评分表</w:t>
      </w:r>
    </w:p>
    <w:tbl>
      <w:tblPr>
        <w:tblStyle w:val="24"/>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907"/>
        <w:gridCol w:w="860"/>
        <w:gridCol w:w="11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ascii="宋体" w:hAnsi="宋体" w:cs="宋体"/>
                <w:b/>
                <w:color w:val="000000" w:themeColor="text1"/>
                <w:sz w:val="24"/>
                <w:highlight w:val="none"/>
                <w:lang w:val="zh-CN"/>
                <w14:textFill>
                  <w14:solidFill>
                    <w14:schemeClr w14:val="tx1"/>
                  </w14:solidFill>
                </w14:textFill>
              </w:rPr>
            </w:pPr>
            <w:r>
              <w:rPr>
                <w:rFonts w:hint="eastAsia" w:ascii="宋体" w:hAnsi="宋体" w:cs="宋体"/>
                <w:b/>
                <w:color w:val="000000" w:themeColor="text1"/>
                <w:sz w:val="24"/>
                <w:highlight w:val="none"/>
                <w:lang w:val="zh-CN"/>
                <w14:textFill>
                  <w14:solidFill>
                    <w14:schemeClr w14:val="tx1"/>
                  </w14:solidFill>
                </w14:textFill>
              </w:rPr>
              <w:t>一、价格部分（</w:t>
            </w:r>
            <w:r>
              <w:rPr>
                <w:rFonts w:hint="eastAsia" w:ascii="宋体" w:hAnsi="宋体" w:cs="宋体"/>
                <w:b/>
                <w:color w:val="000000" w:themeColor="text1"/>
                <w:sz w:val="24"/>
                <w:highlight w:val="none"/>
                <w14:textFill>
                  <w14:solidFill>
                    <w14:schemeClr w14:val="tx1"/>
                  </w14:solidFill>
                </w14:textFill>
              </w:rPr>
              <w:t>10</w:t>
            </w:r>
            <w:r>
              <w:rPr>
                <w:rFonts w:hint="eastAsia" w:ascii="宋体" w:hAnsi="宋体" w:cs="宋体"/>
                <w:b/>
                <w:color w:val="000000" w:themeColor="text1"/>
                <w:sz w:val="24"/>
                <w:highlight w:val="none"/>
                <w:lang w:val="zh-CN"/>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序号</w:t>
            </w:r>
          </w:p>
        </w:tc>
        <w:tc>
          <w:tcPr>
            <w:tcW w:w="1168" w:type="dxa"/>
            <w:vAlign w:val="center"/>
          </w:tcPr>
          <w:p>
            <w:pPr>
              <w:autoSpaceDE w:val="0"/>
              <w:autoSpaceDN w:val="0"/>
              <w:adjustRightIn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内容</w:t>
            </w:r>
          </w:p>
        </w:tc>
        <w:tc>
          <w:tcPr>
            <w:tcW w:w="5907" w:type="dxa"/>
            <w:vAlign w:val="center"/>
          </w:tcPr>
          <w:p>
            <w:pPr>
              <w:autoSpaceDE w:val="0"/>
              <w:autoSpaceDN w:val="0"/>
              <w:adjustRightIn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评分规则</w:t>
            </w:r>
          </w:p>
        </w:tc>
        <w:tc>
          <w:tcPr>
            <w:tcW w:w="860" w:type="dxa"/>
            <w:vAlign w:val="center"/>
          </w:tcPr>
          <w:p>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权重</w:t>
            </w:r>
          </w:p>
        </w:tc>
        <w:tc>
          <w:tcPr>
            <w:tcW w:w="1120" w:type="dxa"/>
            <w:vAlign w:val="center"/>
          </w:tcPr>
          <w:p>
            <w:pPr>
              <w:autoSpaceDE w:val="0"/>
              <w:autoSpaceDN w:val="0"/>
              <w:adjustRightIn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vAlign w:val="center"/>
          </w:tcPr>
          <w:p>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w:t>
            </w:r>
          </w:p>
        </w:tc>
        <w:tc>
          <w:tcPr>
            <w:tcW w:w="1168" w:type="dxa"/>
            <w:vAlign w:val="center"/>
          </w:tcPr>
          <w:p>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w:t>
            </w:r>
          </w:p>
        </w:tc>
        <w:tc>
          <w:tcPr>
            <w:tcW w:w="5907" w:type="dxa"/>
            <w:vAlign w:val="center"/>
          </w:tcPr>
          <w:p>
            <w:pPr>
              <w:pStyle w:val="1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采用低价优先法计算，即满足招标文件要求且投标价格最低的投标报价为评标基准价，其价格分为满分。其他投标人的价格分统一按照下列公式计算：</w:t>
            </w:r>
            <w:r>
              <w:rPr>
                <w:rFonts w:hint="eastAsia" w:ascii="宋体" w:hAnsi="宋体" w:cs="宋体"/>
                <w:color w:val="000000" w:themeColor="text1"/>
                <w:kern w:val="0"/>
                <w:sz w:val="24"/>
                <w:highlight w:val="none"/>
                <w14:textFill>
                  <w14:solidFill>
                    <w14:schemeClr w14:val="tx1"/>
                  </w14:solidFill>
                </w14:textFill>
              </w:rPr>
              <w:br w:type="textWrapping"/>
            </w:r>
            <w:r>
              <w:rPr>
                <w:rFonts w:hint="eastAsia" w:ascii="宋体" w:hAnsi="宋体" w:cs="宋体"/>
                <w:b/>
                <w:bCs/>
                <w:color w:val="000000" w:themeColor="text1"/>
                <w:kern w:val="0"/>
                <w:sz w:val="24"/>
                <w:highlight w:val="none"/>
                <w14:textFill>
                  <w14:solidFill>
                    <w14:schemeClr w14:val="tx1"/>
                  </w14:solidFill>
                </w14:textFill>
              </w:rPr>
              <w:t>投标报价得分=(评标基准价／投标报价)×10</w:t>
            </w:r>
          </w:p>
          <w:p>
            <w:pPr>
              <w:numPr>
                <w:ilvl w:val="0"/>
                <w:numId w:val="7"/>
              </w:numPr>
              <w:spacing w:line="360" w:lineRule="auto"/>
              <w:ind w:left="250" w:hanging="249" w:hangingChars="104"/>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价格评分仅限于有效投标人，</w:t>
            </w:r>
            <w:r>
              <w:rPr>
                <w:rFonts w:hint="eastAsia" w:ascii="宋体" w:hAnsi="宋体" w:cs="宋体"/>
                <w:color w:val="000000" w:themeColor="text1"/>
                <w:sz w:val="24"/>
                <w:highlight w:val="none"/>
                <w14:textFill>
                  <w14:solidFill>
                    <w14:schemeClr w14:val="tx1"/>
                  </w14:solidFill>
                </w14:textFill>
              </w:rPr>
              <w:t>当价格分&lt;0时，取0。</w:t>
            </w:r>
          </w:p>
          <w:p>
            <w:pPr>
              <w:numPr>
                <w:ilvl w:val="0"/>
                <w:numId w:val="7"/>
              </w:numPr>
              <w:spacing w:line="360" w:lineRule="auto"/>
              <w:ind w:left="250" w:hanging="249" w:hangingChars="104"/>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根据财库〔2020〕46号、财库〔2014〕68号及财库〔2017〕141号及（深财购〔2022〕31号）文件规定：本项目非专门面向中小企业的项目，对小型和微型企业、监狱企业或残疾人福利性企业产品的价格给予10%的扣除，用扣除后的价格即为“经评审合格的投标报价”参与价格评审。</w:t>
            </w:r>
          </w:p>
          <w:p>
            <w:pPr>
              <w:pStyle w:val="10"/>
              <w:spacing w:line="360" w:lineRule="auto"/>
              <w:ind w:left="216" w:leftChars="103"/>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监狱企业应当提供由省级以上监狱管理局、戒毒管理局（含新疆生产建设兵团）出具的属于监狱企业的证明文件，中小企业提供中小企业声明函，残疾人福利性企业提供残疾人福利性企业声明函。</w:t>
            </w:r>
          </w:p>
        </w:tc>
        <w:tc>
          <w:tcPr>
            <w:tcW w:w="860" w:type="dxa"/>
            <w:vAlign w:val="center"/>
          </w:tcPr>
          <w:p>
            <w:pPr>
              <w:autoSpaceDE w:val="0"/>
              <w:autoSpaceDN w:val="0"/>
              <w:adjustRightIn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120" w:type="dxa"/>
            <w:vAlign w:val="center"/>
          </w:tcPr>
          <w:p>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ascii="宋体" w:hAnsi="宋体" w:cs="宋体"/>
                <w:b/>
                <w:color w:val="000000" w:themeColor="text1"/>
                <w:sz w:val="24"/>
                <w:highlight w:val="none"/>
                <w:lang w:val="zh-CN"/>
                <w14:textFill>
                  <w14:solidFill>
                    <w14:schemeClr w14:val="tx1"/>
                  </w14:solidFill>
                </w14:textFill>
              </w:rPr>
            </w:pPr>
            <w:r>
              <w:rPr>
                <w:rFonts w:hint="eastAsia" w:ascii="宋体" w:hAnsi="宋体" w:cs="宋体"/>
                <w:b/>
                <w:color w:val="000000" w:themeColor="text1"/>
                <w:sz w:val="24"/>
                <w:highlight w:val="none"/>
                <w:lang w:val="zh-CN"/>
                <w14:textFill>
                  <w14:solidFill>
                    <w14:schemeClr w14:val="tx1"/>
                  </w14:solidFill>
                </w14:textFill>
              </w:rPr>
              <w:t>二、商务部分（</w:t>
            </w:r>
            <w:r>
              <w:rPr>
                <w:rFonts w:hint="eastAsia" w:ascii="宋体" w:hAnsi="宋体" w:cs="宋体"/>
                <w:b/>
                <w:color w:val="000000" w:themeColor="text1"/>
                <w:sz w:val="24"/>
                <w:highlight w:val="none"/>
                <w14:textFill>
                  <w14:solidFill>
                    <w14:schemeClr w14:val="tx1"/>
                  </w14:solidFill>
                </w14:textFill>
              </w:rPr>
              <w:t>50</w:t>
            </w:r>
            <w:r>
              <w:rPr>
                <w:rFonts w:hint="eastAsia" w:ascii="宋体" w:hAnsi="宋体" w:cs="宋体"/>
                <w:b/>
                <w:color w:val="000000" w:themeColor="text1"/>
                <w:sz w:val="24"/>
                <w:highlight w:val="none"/>
                <w:lang w:val="zh-CN"/>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序号</w:t>
            </w:r>
          </w:p>
        </w:tc>
        <w:tc>
          <w:tcPr>
            <w:tcW w:w="1168" w:type="dxa"/>
            <w:vAlign w:val="center"/>
          </w:tcPr>
          <w:p>
            <w:pPr>
              <w:autoSpaceDE w:val="0"/>
              <w:autoSpaceDN w:val="0"/>
              <w:adjustRightIn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内容</w:t>
            </w:r>
          </w:p>
        </w:tc>
        <w:tc>
          <w:tcPr>
            <w:tcW w:w="5907" w:type="dxa"/>
            <w:vAlign w:val="center"/>
          </w:tcPr>
          <w:p>
            <w:pPr>
              <w:autoSpaceDE w:val="0"/>
              <w:autoSpaceDN w:val="0"/>
              <w:adjustRightIn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评分规则</w:t>
            </w:r>
          </w:p>
        </w:tc>
        <w:tc>
          <w:tcPr>
            <w:tcW w:w="860" w:type="dxa"/>
            <w:vAlign w:val="center"/>
          </w:tcPr>
          <w:p>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权重</w:t>
            </w:r>
          </w:p>
        </w:tc>
        <w:tc>
          <w:tcPr>
            <w:tcW w:w="1120" w:type="dxa"/>
            <w:vAlign w:val="center"/>
          </w:tcPr>
          <w:p>
            <w:pPr>
              <w:autoSpaceDE w:val="0"/>
              <w:autoSpaceDN w:val="0"/>
              <w:adjustRightIn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168" w:type="dxa"/>
            <w:vAlign w:val="center"/>
          </w:tcPr>
          <w:p>
            <w:pPr>
              <w:spacing w:line="360" w:lineRule="auto"/>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投标人同类项目业绩</w:t>
            </w:r>
          </w:p>
        </w:tc>
        <w:tc>
          <w:tcPr>
            <w:tcW w:w="5907" w:type="dxa"/>
            <w:vAlign w:val="center"/>
          </w:tcPr>
          <w:p>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（一）评分内容：</w:t>
            </w:r>
          </w:p>
          <w:p>
            <w:pPr>
              <w:spacing w:line="360" w:lineRule="auto"/>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投标人近</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年（20</w:t>
            </w:r>
            <w:r>
              <w:rPr>
                <w:rFonts w:ascii="宋体" w:hAnsi="宋体" w:cs="宋体"/>
                <w:color w:val="000000" w:themeColor="text1"/>
                <w:sz w:val="24"/>
                <w:highlight w:val="none"/>
                <w14:textFill>
                  <w14:solidFill>
                    <w14:schemeClr w14:val="tx1"/>
                  </w14:solidFill>
                </w14:textFill>
              </w:rPr>
              <w:t>18</w:t>
            </w:r>
            <w:r>
              <w:rPr>
                <w:rFonts w:hint="eastAsia" w:ascii="宋体" w:hAnsi="宋体" w:cs="宋体"/>
                <w:color w:val="000000" w:themeColor="text1"/>
                <w:sz w:val="24"/>
                <w:highlight w:val="none"/>
                <w14:textFill>
                  <w14:solidFill>
                    <w14:schemeClr w14:val="tx1"/>
                  </w14:solidFill>
                </w14:textFill>
              </w:rPr>
              <w:t>年8月1日至投标截止时间，以合同签订时间为准）具有同类项目经验，有提供一项得</w:t>
            </w:r>
            <w:r>
              <w:rPr>
                <w:rFonts w:hint="default"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分,本项最高得</w:t>
            </w:r>
            <w:r>
              <w:rPr>
                <w:rFonts w:ascii="宋体" w:hAnsi="宋体" w:cs="宋体"/>
                <w:color w:val="000000" w:themeColor="text1"/>
                <w:sz w:val="24"/>
                <w:highlight w:val="none"/>
                <w14:textFill>
                  <w14:solidFill>
                    <w14:schemeClr w14:val="tx1"/>
                  </w14:solidFill>
                </w14:textFill>
              </w:rPr>
              <w:t>1</w:t>
            </w:r>
            <w:r>
              <w:rPr>
                <w:rFonts w:hint="default"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分。</w:t>
            </w:r>
          </w:p>
          <w:p>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（二）评分依据：</w:t>
            </w:r>
          </w:p>
          <w:p>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1.要求提供合同关键信息（内容页、签订时间、签章页）作为得分依据。</w:t>
            </w:r>
          </w:p>
          <w:p>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2.通过合同关键信息无法判断是否得分的，还须同时提供能证明得分的其他证明资料，如项目报告或合同甲方出具的证明文件等。</w:t>
            </w:r>
          </w:p>
          <w:p>
            <w:pPr>
              <w:spacing w:line="360" w:lineRule="auto"/>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认可同类工程业绩指：在建项目从业人员培育或评比</w:t>
            </w:r>
            <w:r>
              <w:rPr>
                <w:rFonts w:hint="eastAsia" w:ascii="宋体" w:hAnsi="宋体" w:cs="宋体"/>
                <w:color w:val="000000" w:themeColor="text1"/>
                <w:sz w:val="24"/>
                <w:highlight w:val="none"/>
                <w:lang w:val="en-US" w:eastAsia="zh-CN"/>
                <w14:textFill>
                  <w14:solidFill>
                    <w14:schemeClr w14:val="tx1"/>
                  </w14:solidFill>
                </w14:textFill>
              </w:rPr>
              <w:t>相关</w:t>
            </w:r>
            <w:r>
              <w:rPr>
                <w:rFonts w:hint="eastAsia" w:ascii="宋体" w:hAnsi="宋体" w:cs="宋体"/>
                <w:color w:val="000000" w:themeColor="text1"/>
                <w:sz w:val="24"/>
                <w:highlight w:val="none"/>
                <w14:textFill>
                  <w14:solidFill>
                    <w14:schemeClr w14:val="tx1"/>
                  </w14:solidFill>
                </w14:textFill>
              </w:rPr>
              <w:t>项目。</w:t>
            </w:r>
          </w:p>
          <w:p>
            <w:pPr>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.评分中若出现无证明资料或无法凭所提供资料判断是否得分的情况，一律作不得分处理。</w:t>
            </w:r>
          </w:p>
        </w:tc>
        <w:tc>
          <w:tcPr>
            <w:tcW w:w="860" w:type="dxa"/>
            <w:vAlign w:val="center"/>
          </w:tcPr>
          <w:p>
            <w:pPr>
              <w:spacing w:line="360" w:lineRule="auto"/>
              <w:jc w:val="center"/>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default" w:ascii="宋体" w:hAnsi="宋体" w:cs="宋体"/>
                <w:color w:val="000000" w:themeColor="text1"/>
                <w:sz w:val="24"/>
                <w:highlight w:val="none"/>
                <w14:textFill>
                  <w14:solidFill>
                    <w14:schemeClr w14:val="tx1"/>
                  </w14:solidFill>
                </w14:textFill>
              </w:rPr>
              <w:t>5</w:t>
            </w:r>
          </w:p>
        </w:tc>
        <w:tc>
          <w:tcPr>
            <w:tcW w:w="1120" w:type="dxa"/>
            <w:vAlign w:val="center"/>
          </w:tcPr>
          <w:p>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722" w:type="dxa"/>
            <w:vAlign w:val="center"/>
          </w:tcPr>
          <w:p>
            <w:pPr>
              <w:autoSpaceDE w:val="0"/>
              <w:autoSpaceDN w:val="0"/>
              <w:adjustRightIn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168" w:type="dxa"/>
            <w:vAlign w:val="center"/>
          </w:tcPr>
          <w:p>
            <w:pPr>
              <w:spacing w:line="360" w:lineRule="auto"/>
              <w:jc w:val="center"/>
              <w:rPr>
                <w:rFonts w:ascii="宋体" w:hAnsi="宋体" w:cs="宋体"/>
                <w:color w:val="000000" w:themeColor="text1"/>
                <w:sz w:val="24"/>
                <w:highlight w:val="none"/>
                <w:lang w:val="zh-CN"/>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获奖</w:t>
            </w:r>
            <w:r>
              <w:rPr>
                <w:rFonts w:hint="eastAsia" w:ascii="宋体" w:hAnsi="宋体" w:cs="宋体"/>
                <w:color w:val="000000" w:themeColor="text1"/>
                <w:sz w:val="24"/>
                <w:highlight w:val="none"/>
                <w14:textFill>
                  <w14:solidFill>
                    <w14:schemeClr w14:val="tx1"/>
                  </w14:solidFill>
                </w14:textFill>
              </w:rPr>
              <w:t>情况</w:t>
            </w:r>
          </w:p>
        </w:tc>
        <w:tc>
          <w:tcPr>
            <w:tcW w:w="5907" w:type="dxa"/>
            <w:vAlign w:val="center"/>
          </w:tcPr>
          <w:p>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（一）评分内容：</w:t>
            </w:r>
          </w:p>
          <w:p>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1.投标人近5年来（自201</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月1日起至招标公告发布日止），获国家</w:t>
            </w:r>
            <w:r>
              <w:rPr>
                <w:rFonts w:hint="eastAsia" w:ascii="宋体" w:hAnsi="宋体" w:cs="宋体"/>
                <w:color w:val="000000" w:themeColor="text1"/>
                <w:sz w:val="24"/>
                <w:highlight w:val="none"/>
                <w:lang w:val="en-US" w:eastAsia="zh-CN"/>
                <w14:textFill>
                  <w14:solidFill>
                    <w14:schemeClr w14:val="tx1"/>
                  </w14:solidFill>
                </w14:textFill>
              </w:rPr>
              <w:t>级奖项（含</w:t>
            </w:r>
            <w:r>
              <w:rPr>
                <w:rFonts w:hint="eastAsia" w:ascii="宋体" w:hAnsi="宋体" w:cs="宋体"/>
                <w:color w:val="000000" w:themeColor="text1"/>
                <w:sz w:val="24"/>
                <w:highlight w:val="none"/>
                <w14:textFill>
                  <w14:solidFill>
                    <w14:schemeClr w14:val="tx1"/>
                  </w14:solidFill>
                </w14:textFill>
              </w:rPr>
              <w:t>表彰或表扬</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的每项得3分、获省级</w:t>
            </w:r>
            <w:r>
              <w:rPr>
                <w:color w:val="000000" w:themeColor="text1"/>
                <w:sz w:val="24"/>
                <w:szCs w:val="24"/>
                <w:highlight w:val="none"/>
                <w14:textFill>
                  <w14:solidFill>
                    <w14:schemeClr w14:val="tx1"/>
                  </w14:solidFill>
                </w14:textFill>
              </w:rPr>
              <w:t>（含副省级）</w:t>
            </w:r>
            <w:r>
              <w:rPr>
                <w:rFonts w:hint="eastAsia" w:ascii="宋体" w:hAnsi="宋体" w:cs="宋体"/>
                <w:color w:val="000000" w:themeColor="text1"/>
                <w:sz w:val="24"/>
                <w:highlight w:val="none"/>
                <w:lang w:val="en-US" w:eastAsia="zh-CN"/>
                <w14:textFill>
                  <w14:solidFill>
                    <w14:schemeClr w14:val="tx1"/>
                  </w14:solidFill>
                </w14:textFill>
              </w:rPr>
              <w:t>奖项（含</w:t>
            </w:r>
            <w:r>
              <w:rPr>
                <w:rFonts w:hint="eastAsia" w:ascii="宋体" w:hAnsi="宋体" w:cs="宋体"/>
                <w:color w:val="000000" w:themeColor="text1"/>
                <w:sz w:val="24"/>
                <w:highlight w:val="none"/>
                <w14:textFill>
                  <w14:solidFill>
                    <w14:schemeClr w14:val="tx1"/>
                  </w14:solidFill>
                </w14:textFill>
              </w:rPr>
              <w:t>表彰或表扬</w:t>
            </w:r>
            <w:r>
              <w:rPr>
                <w:rFonts w:hint="eastAsia" w:ascii="宋体" w:hAnsi="宋体" w:cs="宋体"/>
                <w:color w:val="000000" w:themeColor="text1"/>
                <w:sz w:val="24"/>
                <w:highlight w:val="none"/>
                <w:lang w:val="en-US" w:eastAsia="zh-CN"/>
                <w14:textFill>
                  <w14:solidFill>
                    <w14:schemeClr w14:val="tx1"/>
                  </w14:solidFill>
                </w14:textFill>
              </w:rPr>
              <w:t>）的</w:t>
            </w:r>
            <w:r>
              <w:rPr>
                <w:rFonts w:hint="eastAsia" w:ascii="宋体" w:hAnsi="宋体" w:cs="宋体"/>
                <w:color w:val="000000" w:themeColor="text1"/>
                <w:sz w:val="24"/>
                <w:highlight w:val="none"/>
                <w14:textFill>
                  <w14:solidFill>
                    <w14:schemeClr w14:val="tx1"/>
                  </w14:solidFill>
                </w14:textFill>
              </w:rPr>
              <w:t>每项得2分，获市级</w:t>
            </w:r>
            <w:r>
              <w:rPr>
                <w:rFonts w:hint="eastAsia" w:ascii="宋体" w:hAnsi="宋体" w:cs="宋体"/>
                <w:color w:val="000000" w:themeColor="text1"/>
                <w:sz w:val="24"/>
                <w:highlight w:val="none"/>
                <w:lang w:val="en-US" w:eastAsia="zh-CN"/>
                <w14:textFill>
                  <w14:solidFill>
                    <w14:schemeClr w14:val="tx1"/>
                  </w14:solidFill>
                </w14:textFill>
              </w:rPr>
              <w:t>奖项（含</w:t>
            </w:r>
            <w:r>
              <w:rPr>
                <w:rFonts w:hint="eastAsia" w:ascii="宋体" w:hAnsi="宋体" w:cs="宋体"/>
                <w:color w:val="000000" w:themeColor="text1"/>
                <w:sz w:val="24"/>
                <w:highlight w:val="none"/>
                <w14:textFill>
                  <w14:solidFill>
                    <w14:schemeClr w14:val="tx1"/>
                  </w14:solidFill>
                </w14:textFill>
              </w:rPr>
              <w:t>表彰或表扬</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的每项得1分；</w:t>
            </w:r>
          </w:p>
          <w:p>
            <w:pPr>
              <w:spacing w:line="360" w:lineRule="auto"/>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2.以上得分可累加，最高分为</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分</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 xml:space="preserve"> </w:t>
            </w:r>
          </w:p>
          <w:p>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（二）评分依据：</w:t>
            </w:r>
          </w:p>
          <w:p>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1.要求提供相关证书、信件等证明材料复印件并加盖投标人公章（或官方网站截图），原件备查。</w:t>
            </w:r>
          </w:p>
          <w:p>
            <w:pPr>
              <w:spacing w:line="360" w:lineRule="auto"/>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国家级要求颁发单位为国务院（或其直接所属的行政机关）或全国性行业协会（学会）；省级要求颁发单位为省（自治区、直辖市）人民政府（或其直接所属的行政机关）或行业协会（学会）：市级要求颁发单位为市（地级，或以上级别）人民政府（或其直接所属的行政机关）或行业协会（学会）</w:t>
            </w:r>
            <w:r>
              <w:rPr>
                <w:rFonts w:hint="eastAsia" w:ascii="宋体" w:hAnsi="宋体" w:cs="宋体"/>
                <w:color w:val="000000" w:themeColor="text1"/>
                <w:sz w:val="24"/>
                <w:highlight w:val="none"/>
                <w:lang w:eastAsia="zh-CN"/>
                <w14:textFill>
                  <w14:solidFill>
                    <w14:schemeClr w14:val="tx1"/>
                  </w14:solidFill>
                </w14:textFill>
              </w:rPr>
              <w:t>。由社会组织颁发的证书，还需提供该组织在“中国社会组织政务服务平台”的已合法登记且状态正常截图。</w:t>
            </w:r>
          </w:p>
          <w:p>
            <w:pPr>
              <w:spacing w:line="360" w:lineRule="auto"/>
              <w:jc w:val="lef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3.副省级（或以上）城市指：4个直辖市（北京、上海、天津、重庆）以及15个副省级城市（广州、武汉、哈尔滨、沈阳、成都、南京、西安、长春、济南、杭州、大连、青岛、深圳、厦门、宁波）</w:t>
            </w:r>
          </w:p>
          <w:p>
            <w:pPr>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评分中出现无证明资料或专家无法凭所提供资料判断是否得分的情况，一律作不得分处理。</w:t>
            </w:r>
          </w:p>
        </w:tc>
        <w:tc>
          <w:tcPr>
            <w:tcW w:w="860" w:type="dxa"/>
            <w:vAlign w:val="center"/>
          </w:tcPr>
          <w:p>
            <w:pPr>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10</w:t>
            </w:r>
          </w:p>
        </w:tc>
        <w:tc>
          <w:tcPr>
            <w:tcW w:w="1120" w:type="dxa"/>
            <w:vAlign w:val="center"/>
          </w:tcPr>
          <w:p>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168"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投标人认证情况</w:t>
            </w:r>
          </w:p>
        </w:tc>
        <w:tc>
          <w:tcPr>
            <w:tcW w:w="5907" w:type="dxa"/>
            <w:vAlign w:val="center"/>
          </w:tcPr>
          <w:p>
            <w:pPr>
              <w:numPr>
                <w:ilvl w:val="0"/>
                <w:numId w:val="8"/>
              </w:num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评分内容</w:t>
            </w:r>
          </w:p>
          <w:p>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投标人获得质量管理体系认证、环境管理体系认证、职业健康管理体系认证</w:t>
            </w:r>
            <w:r>
              <w:rPr>
                <w:rFonts w:hint="eastAsia" w:ascii="宋体" w:hAnsi="宋体" w:cs="宋体"/>
                <w:color w:val="000000" w:themeColor="text1"/>
                <w:sz w:val="24"/>
                <w:highlight w:val="none"/>
                <w14:textFill>
                  <w14:solidFill>
                    <w14:schemeClr w14:val="tx1"/>
                  </w14:solidFill>
                </w14:textFill>
              </w:rPr>
              <w:t>，认证范围与工程管理、咨询、评估、巡检等任意一项相关。以上认证</w:t>
            </w:r>
            <w:r>
              <w:rPr>
                <w:rFonts w:hint="eastAsia" w:ascii="宋体" w:hAnsi="宋体" w:cs="宋体"/>
                <w:color w:val="000000" w:themeColor="text1"/>
                <w:sz w:val="24"/>
                <w:highlight w:val="none"/>
                <w:lang w:val="en-US" w:eastAsia="zh-CN"/>
                <w14:textFill>
                  <w14:solidFill>
                    <w14:schemeClr w14:val="tx1"/>
                  </w14:solidFill>
                </w14:textFill>
              </w:rPr>
              <w:t>证书</w:t>
            </w:r>
            <w:r>
              <w:rPr>
                <w:rFonts w:hint="eastAsia" w:ascii="宋体" w:hAnsi="宋体" w:cs="宋体"/>
                <w:color w:val="000000" w:themeColor="text1"/>
                <w:sz w:val="24"/>
                <w:highlight w:val="none"/>
                <w14:textFill>
                  <w14:solidFill>
                    <w14:schemeClr w14:val="tx1"/>
                  </w14:solidFill>
                </w14:textFill>
              </w:rPr>
              <w:t>获得任意1项得1分、任意2项得3分、全部获得得5分。</w:t>
            </w:r>
          </w:p>
          <w:p>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（二）评分依据</w:t>
            </w:r>
          </w:p>
          <w:p>
            <w:pPr>
              <w:widowControl/>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要求提供有效期内认证证书复印件</w:t>
            </w:r>
            <w:r>
              <w:rPr>
                <w:rFonts w:hint="eastAsia" w:ascii="宋体" w:hAnsi="宋体" w:cs="宋体"/>
                <w:color w:val="000000" w:themeColor="text1"/>
                <w:sz w:val="24"/>
                <w:highlight w:val="none"/>
                <w:lang w:val="en-US" w:eastAsia="zh-CN"/>
                <w14:textFill>
                  <w14:solidFill>
                    <w14:schemeClr w14:val="tx1"/>
                  </w14:solidFill>
                </w14:textFill>
              </w:rPr>
              <w:t>以及</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中国</w:t>
            </w:r>
          </w:p>
          <w:p>
            <w:pPr>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国家认证认可监督管理委员会(http://www.cnca.gov.cn/)查询截图</w:t>
            </w:r>
            <w:r>
              <w:rPr>
                <w:rFonts w:hint="eastAsia" w:ascii="宋体" w:hAnsi="宋体" w:cs="宋体"/>
                <w:color w:val="000000" w:themeColor="text1"/>
                <w:sz w:val="24"/>
                <w:highlight w:val="none"/>
                <w14:textFill>
                  <w14:solidFill>
                    <w14:schemeClr w14:val="tx1"/>
                  </w14:solidFill>
                </w14:textFill>
              </w:rPr>
              <w:t>加盖投标人公章，原件备查。评分中出现无证明资料或专家无法凭所提供资料判断是否得分的情况，一律作不得分处理。</w:t>
            </w:r>
          </w:p>
        </w:tc>
        <w:tc>
          <w:tcPr>
            <w:tcW w:w="860" w:type="dxa"/>
            <w:vAlign w:val="center"/>
          </w:tcPr>
          <w:p>
            <w:pPr>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p>
        </w:tc>
        <w:tc>
          <w:tcPr>
            <w:tcW w:w="1120" w:type="dxa"/>
            <w:vAlign w:val="center"/>
          </w:tcPr>
          <w:p>
            <w:pPr>
              <w:autoSpaceDE w:val="0"/>
              <w:autoSpaceDN w:val="0"/>
              <w:adjustRightInd w:val="0"/>
              <w:spacing w:line="360" w:lineRule="auto"/>
              <w:jc w:val="center"/>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p>
        </w:tc>
        <w:tc>
          <w:tcPr>
            <w:tcW w:w="1168" w:type="dxa"/>
            <w:vAlign w:val="center"/>
          </w:tcPr>
          <w:p>
            <w:pPr>
              <w:spacing w:line="360" w:lineRule="auto"/>
              <w:jc w:val="center"/>
              <w:rPr>
                <w:rFonts w:hint="eastAsia" w:ascii="宋体" w:hAnsi="宋体" w:cs="宋体"/>
                <w:color w:val="000000" w:themeColor="text1"/>
                <w:sz w:val="24"/>
                <w:highlight w:val="none"/>
                <w:lang w:val="en-US"/>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拟安排的项目负责人情况</w:t>
            </w:r>
          </w:p>
        </w:tc>
        <w:tc>
          <w:tcPr>
            <w:tcW w:w="5907" w:type="dxa"/>
            <w:vAlign w:val="center"/>
          </w:tcPr>
          <w:p>
            <w:pPr>
              <w:spacing w:line="360" w:lineRule="auto"/>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一</w:t>
            </w:r>
            <w:r>
              <w:rPr>
                <w:rFonts w:hint="eastAsia" w:ascii="宋体" w:hAnsi="宋体" w:cs="宋体"/>
                <w:color w:val="000000" w:themeColor="text1"/>
                <w:sz w:val="24"/>
                <w:highlight w:val="none"/>
                <w:lang w:val="zh-CN"/>
                <w14:textFill>
                  <w14:solidFill>
                    <w14:schemeClr w14:val="tx1"/>
                  </w14:solidFill>
                </w14:textFill>
              </w:rPr>
              <w:t>）评分标准：</w:t>
            </w:r>
            <w:r>
              <w:rPr>
                <w:rFonts w:hint="eastAsia" w:ascii="宋体" w:hAnsi="宋体" w:cs="宋体"/>
                <w:color w:val="000000" w:themeColor="text1"/>
                <w:sz w:val="24"/>
                <w:highlight w:val="none"/>
                <w:lang w:val="en-US" w:eastAsia="zh-CN"/>
                <w14:textFill>
                  <w14:solidFill>
                    <w14:schemeClr w14:val="tx1"/>
                  </w14:solidFill>
                </w14:textFill>
              </w:rPr>
              <w:t>项目负责人仅一人：</w:t>
            </w:r>
          </w:p>
          <w:p>
            <w:pPr>
              <w:spacing w:line="360" w:lineRule="auto"/>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具有</w:t>
            </w:r>
            <w:r>
              <w:rPr>
                <w:rFonts w:hint="eastAsia" w:ascii="宋体" w:hAnsi="宋体" w:cs="宋体"/>
                <w:color w:val="000000" w:themeColor="text1"/>
                <w:sz w:val="24"/>
                <w:highlight w:val="none"/>
                <w:lang w:val="zh-CN"/>
                <w14:textFill>
                  <w14:solidFill>
                    <w14:schemeClr w14:val="tx1"/>
                  </w14:solidFill>
                </w14:textFill>
              </w:rPr>
              <w:t>以下注册执业证书：国家一级注册建造师、国家一级注册结构工程师、国家注册安全工程师、国家注册岩土工程师、国家注册消防工程师，国家注册监理工程师，获得1项</w:t>
            </w:r>
            <w:r>
              <w:rPr>
                <w:rFonts w:hint="eastAsia" w:ascii="宋体" w:hAnsi="宋体" w:cs="宋体"/>
                <w:color w:val="000000" w:themeColor="text1"/>
                <w:sz w:val="24"/>
                <w:highlight w:val="none"/>
                <w:lang w:val="en-US" w:eastAsia="zh-CN"/>
                <w14:textFill>
                  <w14:solidFill>
                    <w14:schemeClr w14:val="tx1"/>
                  </w14:solidFill>
                </w14:textFill>
              </w:rPr>
              <w:t>或</w:t>
            </w:r>
            <w:r>
              <w:rPr>
                <w:rFonts w:hint="eastAsia" w:ascii="宋体" w:hAnsi="宋体" w:cs="宋体"/>
                <w:color w:val="000000" w:themeColor="text1"/>
                <w:sz w:val="24"/>
                <w:highlight w:val="none"/>
                <w:lang w:val="zh-CN"/>
                <w14:textFill>
                  <w14:solidFill>
                    <w14:schemeClr w14:val="tx1"/>
                  </w14:solidFill>
                </w14:textFill>
              </w:rPr>
              <w:t>以上的得1分；</w:t>
            </w:r>
            <w:r>
              <w:rPr>
                <w:rFonts w:hint="eastAsia" w:ascii="宋体" w:hAnsi="宋体" w:cs="宋体"/>
                <w:color w:val="000000" w:themeColor="text1"/>
                <w:sz w:val="24"/>
                <w:highlight w:val="none"/>
                <w:lang w:val="en-US" w:eastAsia="zh-CN"/>
                <w14:textFill>
                  <w14:solidFill>
                    <w14:schemeClr w14:val="tx1"/>
                  </w14:solidFill>
                </w14:textFill>
              </w:rPr>
              <w:t>本项满分1分；</w:t>
            </w:r>
          </w:p>
          <w:p>
            <w:pPr>
              <w:spacing w:line="360" w:lineRule="auto"/>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.具备</w:t>
            </w:r>
            <w:r>
              <w:rPr>
                <w:color w:val="000000" w:themeColor="text1"/>
                <w:sz w:val="24"/>
                <w:highlight w:val="none"/>
                <w14:textFill>
                  <w14:solidFill>
                    <w14:schemeClr w14:val="tx1"/>
                  </w14:solidFill>
                </w14:textFill>
              </w:rPr>
              <w:t>建设工程相关专业</w:t>
            </w:r>
            <w:r>
              <w:rPr>
                <w:rFonts w:hint="eastAsia" w:ascii="宋体" w:hAnsi="宋体" w:cs="宋体"/>
                <w:color w:val="000000" w:themeColor="text1"/>
                <w:sz w:val="24"/>
                <w:highlight w:val="none"/>
                <w:lang w:val="zh-CN"/>
                <w14:textFill>
                  <w14:solidFill>
                    <w14:schemeClr w14:val="tx1"/>
                  </w14:solidFill>
                </w14:textFill>
              </w:rPr>
              <w:t>高级工程师或以上专业技术职称，可得</w:t>
            </w:r>
            <w:r>
              <w:rPr>
                <w:rFonts w:ascii="宋体" w:hAnsi="宋体" w:cs="宋体"/>
                <w:color w:val="000000" w:themeColor="text1"/>
                <w:sz w:val="24"/>
                <w:highlight w:val="none"/>
                <w:lang w:val="zh-CN"/>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分；</w:t>
            </w:r>
            <w:r>
              <w:rPr>
                <w:rFonts w:hint="eastAsia" w:ascii="宋体" w:hAnsi="宋体" w:cs="宋体"/>
                <w:color w:val="000000" w:themeColor="text1"/>
                <w:sz w:val="24"/>
                <w:highlight w:val="none"/>
                <w:lang w:val="en-US" w:eastAsia="zh-CN"/>
                <w14:textFill>
                  <w14:solidFill>
                    <w14:schemeClr w14:val="tx1"/>
                  </w14:solidFill>
                </w14:textFill>
              </w:rPr>
              <w:t>本项满分2分；</w:t>
            </w:r>
          </w:p>
          <w:p>
            <w:pPr>
              <w:spacing w:line="360" w:lineRule="auto"/>
              <w:jc w:val="left"/>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lang w:val="zh-CN"/>
                <w14:textFill>
                  <w14:solidFill>
                    <w14:schemeClr w14:val="tx1"/>
                  </w14:solidFill>
                </w14:textFill>
              </w:rPr>
              <w:t>.有类似服务相关项目经验的</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认可同类工程业绩指：在建项目从业人员培育或评比</w:t>
            </w:r>
            <w:r>
              <w:rPr>
                <w:rFonts w:hint="eastAsia" w:ascii="宋体" w:hAnsi="宋体" w:cs="宋体"/>
                <w:color w:val="000000" w:themeColor="text1"/>
                <w:sz w:val="24"/>
                <w:highlight w:val="none"/>
                <w:lang w:val="en-US" w:eastAsia="zh-CN"/>
                <w14:textFill>
                  <w14:solidFill>
                    <w14:schemeClr w14:val="tx1"/>
                  </w14:solidFill>
                </w14:textFill>
              </w:rPr>
              <w:t>相关</w:t>
            </w:r>
            <w:r>
              <w:rPr>
                <w:rFonts w:hint="eastAsia" w:ascii="宋体" w:hAnsi="宋体" w:cs="宋体"/>
                <w:color w:val="000000" w:themeColor="text1"/>
                <w:sz w:val="24"/>
                <w:highlight w:val="none"/>
                <w14:textFill>
                  <w14:solidFill>
                    <w14:schemeClr w14:val="tx1"/>
                  </w14:solidFill>
                </w14:textFill>
              </w:rPr>
              <w:t>项目</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zh-CN"/>
                <w14:textFill>
                  <w14:solidFill>
                    <w14:schemeClr w14:val="tx1"/>
                  </w14:solidFill>
                </w14:textFill>
              </w:rPr>
              <w:t>得2分；</w:t>
            </w:r>
            <w:r>
              <w:rPr>
                <w:rFonts w:hint="eastAsia" w:ascii="宋体" w:hAnsi="宋体" w:cs="宋体"/>
                <w:color w:val="000000" w:themeColor="text1"/>
                <w:sz w:val="24"/>
                <w:highlight w:val="none"/>
                <w:lang w:val="en-US" w:eastAsia="zh-CN"/>
                <w14:textFill>
                  <w14:solidFill>
                    <w14:schemeClr w14:val="tx1"/>
                  </w14:solidFill>
                </w14:textFill>
              </w:rPr>
              <w:t>本项满分2分。</w:t>
            </w:r>
          </w:p>
          <w:p>
            <w:pPr>
              <w:spacing w:line="360" w:lineRule="auto"/>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（二）评分依据</w:t>
            </w:r>
          </w:p>
          <w:p>
            <w:pPr>
              <w:spacing w:line="360" w:lineRule="auto"/>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1.要求提供拟安排的项目负责人职称证书、资格证书、近6个月内任意1个月社保证明（网页或窗口打印资料均可）</w:t>
            </w:r>
            <w:r>
              <w:rPr>
                <w:rFonts w:hint="eastAsia" w:ascii="宋体" w:hAnsi="宋体" w:cs="宋体"/>
                <w:color w:val="000000" w:themeColor="text1"/>
                <w:sz w:val="24"/>
                <w:highlight w:val="none"/>
                <w:lang w:val="en-US" w:eastAsia="zh-CN"/>
                <w14:textFill>
                  <w14:solidFill>
                    <w14:schemeClr w14:val="tx1"/>
                  </w14:solidFill>
                </w14:textFill>
              </w:rPr>
              <w:t>或加盖投标单位公章的社保</w:t>
            </w:r>
            <w:r>
              <w:rPr>
                <w:rFonts w:hint="eastAsia" w:ascii="宋体" w:hAnsi="宋体" w:cs="宋体"/>
                <w:color w:val="000000" w:themeColor="text1"/>
                <w:sz w:val="24"/>
                <w:highlight w:val="none"/>
                <w:lang w:val="zh-CN"/>
                <w14:textFill>
                  <w14:solidFill>
                    <w14:schemeClr w14:val="tx1"/>
                  </w14:solidFill>
                </w14:textFill>
              </w:rPr>
              <w:t>承诺函。</w:t>
            </w:r>
          </w:p>
          <w:p>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业绩经验要求提供项目合同关键信息，包括但不限于合同封面、合作内容、合作时间、双方盖章页等（体现人员名称）作为得分依据，通过合同关键信息无法判断是否得分的，还须同时提供合同甲方出具的证明文件。</w:t>
            </w:r>
          </w:p>
          <w:p>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.评分中若出现无证明资料或无法凭所提供资料判断是否得分的情况，一律作不得分处理。</w:t>
            </w:r>
          </w:p>
        </w:tc>
        <w:tc>
          <w:tcPr>
            <w:tcW w:w="860"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120" w:type="dxa"/>
            <w:vAlign w:val="center"/>
          </w:tcPr>
          <w:p>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168" w:type="dxa"/>
            <w:vAlign w:val="center"/>
          </w:tcPr>
          <w:p>
            <w:pPr>
              <w:spacing w:line="360" w:lineRule="auto"/>
              <w:jc w:val="center"/>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拟安排的项目团队情况（除项目负责人外）</w:t>
            </w:r>
          </w:p>
        </w:tc>
        <w:tc>
          <w:tcPr>
            <w:tcW w:w="5907" w:type="dxa"/>
            <w:vAlign w:val="center"/>
          </w:tcPr>
          <w:p>
            <w:pPr>
              <w:pStyle w:val="53"/>
              <w:numPr>
                <w:ilvl w:val="0"/>
                <w:numId w:val="9"/>
              </w:numPr>
              <w:spacing w:line="360" w:lineRule="auto"/>
              <w:ind w:firstLineChars="0"/>
              <w:jc w:val="lef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评分内容</w:t>
            </w:r>
          </w:p>
          <w:p>
            <w:pPr>
              <w:spacing w:line="360" w:lineRule="auto"/>
              <w:jc w:val="lef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拟安排的项目团队成员不少于</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人（项目负责人</w:t>
            </w:r>
            <w:r>
              <w:rPr>
                <w:rFonts w:hint="eastAsia" w:ascii="宋体" w:hAnsi="宋体" w:cs="宋体"/>
                <w:color w:val="000000" w:themeColor="text1"/>
                <w:sz w:val="24"/>
                <w:highlight w:val="none"/>
                <w:lang w:val="en-US" w:eastAsia="zh-CN"/>
                <w14:textFill>
                  <w14:solidFill>
                    <w14:schemeClr w14:val="tx1"/>
                  </w14:solidFill>
                </w14:textFill>
              </w:rPr>
              <w:t>除外</w:t>
            </w:r>
            <w:r>
              <w:rPr>
                <w:rFonts w:hint="eastAsia" w:ascii="宋体" w:hAnsi="宋体" w:cs="宋体"/>
                <w:color w:val="000000" w:themeColor="text1"/>
                <w:sz w:val="24"/>
                <w:highlight w:val="none"/>
                <w14:textFill>
                  <w14:solidFill>
                    <w14:schemeClr w14:val="tx1"/>
                  </w14:solidFill>
                </w14:textFill>
              </w:rPr>
              <w:t>），少于</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人的本项不得分；在此基础上：</w:t>
            </w:r>
          </w:p>
          <w:p>
            <w:pPr>
              <w:spacing w:line="360" w:lineRule="auto"/>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1.团队成员（项目负责人除外）具备</w:t>
            </w:r>
            <w:r>
              <w:rPr>
                <w:rFonts w:hint="default" w:ascii="宋体" w:hAnsi="宋体" w:cs="宋体"/>
                <w:color w:val="000000" w:themeColor="text1"/>
                <w:sz w:val="24"/>
                <w:highlight w:val="none"/>
                <w14:textFill>
                  <w14:solidFill>
                    <w14:schemeClr w14:val="tx1"/>
                  </w14:solidFill>
                </w14:textFill>
              </w:rPr>
              <w:t>建设</w:t>
            </w:r>
            <w:r>
              <w:rPr>
                <w:rFonts w:hint="eastAsia" w:ascii="宋体" w:hAnsi="宋体" w:cs="宋体"/>
                <w:color w:val="000000" w:themeColor="text1"/>
                <w:sz w:val="24"/>
                <w:highlight w:val="none"/>
                <w:lang w:val="zh-CN"/>
                <w14:textFill>
                  <w14:solidFill>
                    <w14:schemeClr w14:val="tx1"/>
                  </w14:solidFill>
                </w14:textFill>
              </w:rPr>
              <w:t>工程</w:t>
            </w:r>
            <w:r>
              <w:rPr>
                <w:rFonts w:hint="eastAsia" w:ascii="宋体" w:hAnsi="宋体" w:cs="宋体"/>
                <w:color w:val="000000" w:themeColor="text1"/>
                <w:sz w:val="24"/>
                <w:highlight w:val="none"/>
                <w:lang w:val="en-US" w:eastAsia="zh-CN"/>
                <w14:textFill>
                  <w14:solidFill>
                    <w14:schemeClr w14:val="tx1"/>
                  </w14:solidFill>
                </w14:textFill>
              </w:rPr>
              <w:t>相关</w:t>
            </w:r>
            <w:r>
              <w:rPr>
                <w:rFonts w:hint="eastAsia" w:ascii="宋体" w:hAnsi="宋体" w:cs="宋体"/>
                <w:color w:val="000000" w:themeColor="text1"/>
                <w:sz w:val="24"/>
                <w:highlight w:val="none"/>
                <w:lang w:val="zh-CN"/>
                <w14:textFill>
                  <w14:solidFill>
                    <w14:schemeClr w14:val="tx1"/>
                  </w14:solidFill>
                </w14:textFill>
              </w:rPr>
              <w:t>专业高级工程师职称或获得以下任一注册执业证书：一级注册建造师、一级注册结构工程师、注册安全工程师、注册岩土工程师、注册消防工程师、注册监理工程师。每含一名持证书的团队成员得1分，同一名成员持有多个证书可以重复计分，本项最高得5分。</w:t>
            </w:r>
          </w:p>
          <w:p>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2.项目组成员有完成过同类项目经验的</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认可同类工程业绩指：在建项目从业人员培育或评比</w:t>
            </w:r>
            <w:r>
              <w:rPr>
                <w:rFonts w:hint="eastAsia" w:ascii="宋体" w:hAnsi="宋体" w:cs="宋体"/>
                <w:color w:val="000000" w:themeColor="text1"/>
                <w:sz w:val="24"/>
                <w:highlight w:val="none"/>
                <w:lang w:val="en-US" w:eastAsia="zh-CN"/>
                <w14:textFill>
                  <w14:solidFill>
                    <w14:schemeClr w14:val="tx1"/>
                  </w14:solidFill>
                </w14:textFill>
              </w:rPr>
              <w:t>相关</w:t>
            </w:r>
            <w:r>
              <w:rPr>
                <w:rFonts w:hint="eastAsia" w:ascii="宋体" w:hAnsi="宋体" w:cs="宋体"/>
                <w:color w:val="000000" w:themeColor="text1"/>
                <w:sz w:val="24"/>
                <w:highlight w:val="none"/>
                <w14:textFill>
                  <w14:solidFill>
                    <w14:schemeClr w14:val="tx1"/>
                  </w14:solidFill>
                </w14:textFill>
              </w:rPr>
              <w:t>项目</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，每含一名有业绩的团队成员得</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分，同一业绩有多个成员可以重复计分，本项最高得</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分。</w:t>
            </w:r>
          </w:p>
          <w:p>
            <w:pPr>
              <w:spacing w:line="360" w:lineRule="auto"/>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（二）评分依据</w:t>
            </w:r>
          </w:p>
          <w:p>
            <w:pPr>
              <w:spacing w:line="360" w:lineRule="auto"/>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1.要求提供拟安排的项目团队成员职称证书、资格证书、近6个月内任意1个月社保证明（网页或窗口打印资料均可）</w:t>
            </w:r>
            <w:r>
              <w:rPr>
                <w:rFonts w:hint="eastAsia" w:ascii="宋体" w:hAnsi="宋体" w:cs="宋体"/>
                <w:color w:val="000000" w:themeColor="text1"/>
                <w:sz w:val="24"/>
                <w:highlight w:val="none"/>
                <w:lang w:val="en-US" w:eastAsia="zh-CN"/>
                <w14:textFill>
                  <w14:solidFill>
                    <w14:schemeClr w14:val="tx1"/>
                  </w14:solidFill>
                </w14:textFill>
              </w:rPr>
              <w:t>或加盖投标单位公章的社保</w:t>
            </w:r>
            <w:r>
              <w:rPr>
                <w:rFonts w:hint="eastAsia" w:ascii="宋体" w:hAnsi="宋体" w:cs="宋体"/>
                <w:color w:val="000000" w:themeColor="text1"/>
                <w:sz w:val="24"/>
                <w:highlight w:val="none"/>
                <w:lang w:val="zh-CN"/>
                <w14:textFill>
                  <w14:solidFill>
                    <w14:schemeClr w14:val="tx1"/>
                  </w14:solidFill>
                </w14:textFill>
              </w:rPr>
              <w:t>承诺函。</w:t>
            </w:r>
          </w:p>
          <w:p>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业绩经验要求提供项目合同关键信息，包括但不限于合同封面、合作内容、合作时间、双方盖章页等（体现人员名称）作为得分依据，通过合同关键信息无法判断是否得分的，还须同时提供合同甲方出具的证明文件。</w:t>
            </w:r>
          </w:p>
          <w:p>
            <w:pPr>
              <w:spacing w:line="360" w:lineRule="auto"/>
              <w:jc w:val="left"/>
              <w:rPr>
                <w:rFonts w:hint="eastAsia" w:ascii="宋体" w:hAnsi="宋体" w:cs="宋体"/>
                <w:color w:val="000000" w:themeColor="text1"/>
                <w:sz w:val="24"/>
                <w:highlight w:val="none"/>
                <w:lang w:val="en-US"/>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.评分中若出现无证明资料或无法凭所提供资料判断是否得分的情况，一律作不得分处理。</w:t>
            </w:r>
          </w:p>
        </w:tc>
        <w:tc>
          <w:tcPr>
            <w:tcW w:w="860" w:type="dxa"/>
            <w:vAlign w:val="center"/>
          </w:tcPr>
          <w:p>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0</w:t>
            </w:r>
          </w:p>
        </w:tc>
        <w:tc>
          <w:tcPr>
            <w:tcW w:w="1120" w:type="dxa"/>
            <w:vAlign w:val="center"/>
          </w:tcPr>
          <w:p>
            <w:pPr>
              <w:autoSpaceDE w:val="0"/>
              <w:autoSpaceDN w:val="0"/>
              <w:adjustRightInd w:val="0"/>
              <w:spacing w:line="360" w:lineRule="auto"/>
              <w:jc w:val="center"/>
              <w:rPr>
                <w:rFonts w:hint="eastAsia" w:ascii="宋体" w:hAnsi="宋体" w:cs="宋体"/>
                <w:color w:val="000000" w:themeColor="text1"/>
                <w:sz w:val="24"/>
                <w:highlight w:val="none"/>
                <w:lang w:val="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p>
        </w:tc>
        <w:tc>
          <w:tcPr>
            <w:tcW w:w="1168" w:type="dxa"/>
            <w:vAlign w:val="center"/>
          </w:tcPr>
          <w:p>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诚信声明与承诺</w:t>
            </w:r>
          </w:p>
        </w:tc>
        <w:tc>
          <w:tcPr>
            <w:tcW w:w="5907" w:type="dxa"/>
            <w:vAlign w:val="center"/>
          </w:tcPr>
          <w:p>
            <w:pPr>
              <w:wordWrap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投标人在参与政府采购活动中存在诚信相关问题且在主管部门相关处理措施实施期限内的，本项不得分，否则得满分。投标人按招标文件格式要求提供《诚信声明与承诺》的得满分，其他不得分。</w:t>
            </w:r>
          </w:p>
        </w:tc>
        <w:tc>
          <w:tcPr>
            <w:tcW w:w="860"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120" w:type="dxa"/>
            <w:vAlign w:val="center"/>
          </w:tcPr>
          <w:p>
            <w:pPr>
              <w:spacing w:line="360" w:lineRule="auto"/>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ascii="宋体" w:hAnsi="宋体" w:cs="宋体"/>
                <w:b/>
                <w:color w:val="000000" w:themeColor="text1"/>
                <w:sz w:val="24"/>
                <w:highlight w:val="none"/>
                <w:lang w:val="zh-CN"/>
                <w14:textFill>
                  <w14:solidFill>
                    <w14:schemeClr w14:val="tx1"/>
                  </w14:solidFill>
                </w14:textFill>
              </w:rPr>
            </w:pPr>
            <w:r>
              <w:rPr>
                <w:rFonts w:hint="eastAsia" w:ascii="宋体" w:hAnsi="宋体" w:cs="宋体"/>
                <w:b/>
                <w:color w:val="000000" w:themeColor="text1"/>
                <w:sz w:val="24"/>
                <w:highlight w:val="none"/>
                <w:lang w:val="zh-CN"/>
                <w14:textFill>
                  <w14:solidFill>
                    <w14:schemeClr w14:val="tx1"/>
                  </w14:solidFill>
                </w14:textFill>
              </w:rPr>
              <w:t>三、技术部分（</w:t>
            </w:r>
            <w:r>
              <w:rPr>
                <w:rFonts w:hint="eastAsia" w:ascii="宋体" w:hAnsi="宋体" w:cs="宋体"/>
                <w:b/>
                <w:color w:val="000000" w:themeColor="text1"/>
                <w:sz w:val="24"/>
                <w:highlight w:val="none"/>
                <w14:textFill>
                  <w14:solidFill>
                    <w14:schemeClr w14:val="tx1"/>
                  </w14:solidFill>
                </w14:textFill>
              </w:rPr>
              <w:t>40</w:t>
            </w:r>
            <w:r>
              <w:rPr>
                <w:rFonts w:hint="eastAsia" w:ascii="宋体" w:hAnsi="宋体" w:cs="宋体"/>
                <w:b/>
                <w:color w:val="000000" w:themeColor="text1"/>
                <w:sz w:val="24"/>
                <w:highlight w:val="none"/>
                <w:lang w:val="zh-CN"/>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序号</w:t>
            </w:r>
          </w:p>
        </w:tc>
        <w:tc>
          <w:tcPr>
            <w:tcW w:w="1168" w:type="dxa"/>
            <w:vAlign w:val="center"/>
          </w:tcPr>
          <w:p>
            <w:pPr>
              <w:autoSpaceDE w:val="0"/>
              <w:autoSpaceDN w:val="0"/>
              <w:adjustRightIn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内容</w:t>
            </w:r>
          </w:p>
        </w:tc>
        <w:tc>
          <w:tcPr>
            <w:tcW w:w="5907" w:type="dxa"/>
            <w:vAlign w:val="center"/>
          </w:tcPr>
          <w:p>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评分规则</w:t>
            </w:r>
          </w:p>
        </w:tc>
        <w:tc>
          <w:tcPr>
            <w:tcW w:w="860" w:type="dxa"/>
            <w:vAlign w:val="center"/>
          </w:tcPr>
          <w:p>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权重</w:t>
            </w:r>
          </w:p>
        </w:tc>
        <w:tc>
          <w:tcPr>
            <w:tcW w:w="1120" w:type="dxa"/>
            <w:vAlign w:val="center"/>
          </w:tcPr>
          <w:p>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w:t>
            </w:r>
          </w:p>
        </w:tc>
        <w:tc>
          <w:tcPr>
            <w:tcW w:w="1168" w:type="dxa"/>
            <w:vAlign w:val="center"/>
          </w:tcPr>
          <w:p>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对项目需求的解析</w:t>
            </w:r>
          </w:p>
        </w:tc>
        <w:tc>
          <w:tcPr>
            <w:tcW w:w="5907" w:type="dxa"/>
            <w:vAlign w:val="center"/>
          </w:tcPr>
          <w:p>
            <w:pPr>
              <w:pStyle w:val="52"/>
              <w:widowControl/>
              <w:spacing w:line="360" w:lineRule="auto"/>
              <w:ind w:firstLine="0" w:firstLineChars="0"/>
              <w:jc w:val="lef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（一）评审内容：</w:t>
            </w:r>
          </w:p>
          <w:p>
            <w:pPr>
              <w:pStyle w:val="52"/>
              <w:widowControl/>
              <w:spacing w:line="360" w:lineRule="auto"/>
              <w:ind w:firstLine="0" w:firstLineChars="0"/>
              <w:jc w:val="lef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根据投标文件里</w:t>
            </w:r>
            <w:r>
              <w:rPr>
                <w:rFonts w:hint="eastAsia" w:ascii="宋体" w:hAnsi="宋体" w:cs="宋体"/>
                <w:color w:val="000000" w:themeColor="text1"/>
                <w:sz w:val="24"/>
                <w:highlight w:val="none"/>
                <w14:textFill>
                  <w14:solidFill>
                    <w14:schemeClr w14:val="tx1"/>
                  </w14:solidFill>
                </w14:textFill>
              </w:rPr>
              <w:t>分析</w:t>
            </w:r>
            <w:r>
              <w:rPr>
                <w:rFonts w:hint="eastAsia" w:ascii="宋体" w:hAnsi="宋体" w:cs="宋体"/>
                <w:color w:val="000000" w:themeColor="text1"/>
                <w:sz w:val="24"/>
                <w:highlight w:val="none"/>
                <w:lang w:val="zh-CN"/>
                <w14:textFill>
                  <w14:solidFill>
                    <w14:schemeClr w14:val="tx1"/>
                  </w14:solidFill>
                </w14:textFill>
              </w:rPr>
              <w:t>方案的判断情况比较得分：</w:t>
            </w:r>
          </w:p>
          <w:p>
            <w:pPr>
              <w:pStyle w:val="52"/>
              <w:widowControl/>
              <w:spacing w:line="360" w:lineRule="auto"/>
              <w:ind w:firstLine="0" w:firstLineChars="0"/>
              <w:jc w:val="lef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1.对背景的理解；</w:t>
            </w:r>
          </w:p>
          <w:p>
            <w:pPr>
              <w:pStyle w:val="52"/>
              <w:widowControl/>
              <w:spacing w:line="360" w:lineRule="auto"/>
              <w:ind w:firstLine="0" w:firstLineChars="0"/>
              <w:jc w:val="lef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2.对项目需求及目的解读；</w:t>
            </w:r>
          </w:p>
          <w:p>
            <w:pPr>
              <w:pStyle w:val="52"/>
              <w:widowControl/>
              <w:spacing w:line="360" w:lineRule="auto"/>
              <w:ind w:firstLine="0" w:firstLineChars="0"/>
              <w:jc w:val="lef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（二）评审标准：</w:t>
            </w:r>
          </w:p>
          <w:p>
            <w:pPr>
              <w:pStyle w:val="52"/>
              <w:widowControl/>
              <w:spacing w:line="360" w:lineRule="auto"/>
              <w:ind w:firstLine="0" w:firstLineChars="0"/>
              <w:jc w:val="lef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满足</w:t>
            </w:r>
            <w:r>
              <w:rPr>
                <w:rFonts w:hint="eastAsia" w:ascii="宋体" w:hAnsi="宋体" w:cs="宋体"/>
                <w:color w:val="000000" w:themeColor="text1"/>
                <w:sz w:val="24"/>
                <w:highlight w:val="none"/>
                <w:lang w:val="en-US" w:eastAsia="zh-CN"/>
                <w14:textFill>
                  <w14:solidFill>
                    <w14:schemeClr w14:val="tx1"/>
                  </w14:solidFill>
                </w14:textFill>
              </w:rPr>
              <w:t>两</w:t>
            </w:r>
            <w:r>
              <w:rPr>
                <w:rFonts w:hint="eastAsia" w:ascii="宋体" w:hAnsi="宋体" w:cs="宋体"/>
                <w:color w:val="000000" w:themeColor="text1"/>
                <w:sz w:val="24"/>
                <w:highlight w:val="none"/>
                <w:lang w:val="zh-CN"/>
                <w14:textFill>
                  <w14:solidFill>
                    <w14:schemeClr w14:val="tx1"/>
                  </w14:solidFill>
                </w14:textFill>
              </w:rPr>
              <w:t>点得</w:t>
            </w: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zh-CN"/>
                <w14:textFill>
                  <w14:solidFill>
                    <w14:schemeClr w14:val="tx1"/>
                  </w14:solidFill>
                </w14:textFill>
              </w:rPr>
              <w:t>分，满足任意一点得</w:t>
            </w: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lang w:val="zh-CN"/>
                <w14:textFill>
                  <w14:solidFill>
                    <w14:schemeClr w14:val="tx1"/>
                  </w14:solidFill>
                </w14:textFill>
              </w:rPr>
              <w:t>分，</w:t>
            </w:r>
            <w:r>
              <w:rPr>
                <w:rFonts w:ascii="宋体" w:hAnsi="宋体" w:cs="宋体"/>
                <w:color w:val="000000" w:themeColor="text1"/>
                <w:sz w:val="24"/>
                <w:highlight w:val="none"/>
                <w14:textFill>
                  <w14:solidFill>
                    <w14:schemeClr w14:val="tx1"/>
                  </w14:solidFill>
                </w14:textFill>
              </w:rPr>
              <w:t>均</w:t>
            </w:r>
            <w:r>
              <w:rPr>
                <w:rFonts w:hint="eastAsia" w:ascii="宋体" w:hAnsi="宋体" w:cs="宋体"/>
                <w:color w:val="000000" w:themeColor="text1"/>
                <w:sz w:val="24"/>
                <w:highlight w:val="none"/>
                <w:lang w:val="zh-CN"/>
                <w14:textFill>
                  <w14:solidFill>
                    <w14:schemeClr w14:val="tx1"/>
                  </w14:solidFill>
                </w14:textFill>
              </w:rPr>
              <w:t>未满足不得分。</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在此基础上，专家根据各供应商的具体响应内容按照方案的完整性、规范性及内容的合理性进一步评审：</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①投标文件响应内容全面；</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②投标文件响应内容具体；</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③投标文件响应内容针对性强；</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④投标文件响应内容科学合理；</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⑤投标文件响应内容可操作性强。</w:t>
            </w:r>
          </w:p>
          <w:p>
            <w:pPr>
              <w:pStyle w:val="52"/>
              <w:widowControl/>
              <w:spacing w:line="360" w:lineRule="auto"/>
              <w:ind w:firstLine="0" w:firstLineChars="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满足以上5项的评价为优加7分；满足以上4项的评价为良加4分；满足以上3项的评价为中加1分；其他情况评价为差不加分。</w:t>
            </w:r>
          </w:p>
        </w:tc>
        <w:tc>
          <w:tcPr>
            <w:tcW w:w="860" w:type="dxa"/>
            <w:vAlign w:val="center"/>
          </w:tcPr>
          <w:p>
            <w:pPr>
              <w:autoSpaceDE w:val="0"/>
              <w:autoSpaceDN w:val="0"/>
              <w:adjustRightIn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120" w:type="dxa"/>
            <w:vAlign w:val="center"/>
          </w:tcPr>
          <w:p>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2</w:t>
            </w:r>
          </w:p>
        </w:tc>
        <w:tc>
          <w:tcPr>
            <w:tcW w:w="1168" w:type="dxa"/>
            <w:vAlign w:val="center"/>
          </w:tcPr>
          <w:p>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实施方案</w:t>
            </w:r>
          </w:p>
        </w:tc>
        <w:tc>
          <w:tcPr>
            <w:tcW w:w="5907" w:type="dxa"/>
            <w:vAlign w:val="center"/>
          </w:tcPr>
          <w:p>
            <w:pPr>
              <w:spacing w:line="360" w:lineRule="auto"/>
              <w:ind w:right="-107" w:rightChars="-5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（一）评分内容：</w:t>
            </w:r>
          </w:p>
          <w:p>
            <w:pPr>
              <w:spacing w:line="360" w:lineRule="auto"/>
              <w:ind w:right="-107" w:rightChars="-5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考察投标人针对本项目的实施方案，需包括但不仅限于以下内容：</w:t>
            </w:r>
          </w:p>
          <w:p>
            <w:pPr>
              <w:spacing w:line="360" w:lineRule="auto"/>
              <w:ind w:right="-107" w:rightChars="-5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1、项目管理方案(包括人员安排)；</w:t>
            </w:r>
          </w:p>
          <w:p>
            <w:pPr>
              <w:spacing w:line="360" w:lineRule="auto"/>
              <w:ind w:right="-107" w:rightChars="-5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工作内容</w:t>
            </w:r>
            <w:r>
              <w:rPr>
                <w:rFonts w:hint="eastAsia" w:ascii="宋体" w:hAnsi="宋体" w:cs="宋体"/>
                <w:color w:val="000000" w:themeColor="text1"/>
                <w:sz w:val="24"/>
                <w:highlight w:val="none"/>
                <w14:textFill>
                  <w14:solidFill>
                    <w14:schemeClr w14:val="tx1"/>
                  </w14:solidFill>
                </w14:textFill>
              </w:rPr>
              <w:t>与</w:t>
            </w:r>
            <w:r>
              <w:rPr>
                <w:rFonts w:hint="eastAsia" w:ascii="宋体" w:hAnsi="宋体" w:cs="宋体"/>
                <w:color w:val="000000" w:themeColor="text1"/>
                <w:sz w:val="24"/>
                <w:highlight w:val="none"/>
                <w:lang w:val="zh-CN"/>
                <w14:textFill>
                  <w14:solidFill>
                    <w14:schemeClr w14:val="tx1"/>
                  </w14:solidFill>
                </w14:textFill>
              </w:rPr>
              <w:t>方案思路</w:t>
            </w:r>
            <w:r>
              <w:rPr>
                <w:rFonts w:hint="eastAsia" w:ascii="宋体" w:hAnsi="宋体" w:cs="宋体"/>
                <w:color w:val="000000" w:themeColor="text1"/>
                <w:sz w:val="24"/>
                <w:highlight w:val="none"/>
                <w14:textFill>
                  <w14:solidFill>
                    <w14:schemeClr w14:val="tx1"/>
                  </w14:solidFill>
                </w14:textFill>
              </w:rPr>
              <w:t>；</w:t>
            </w:r>
          </w:p>
          <w:p>
            <w:pPr>
              <w:spacing w:line="360" w:lineRule="auto"/>
              <w:ind w:right="-107" w:rightChars="-5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3、进度计划。</w:t>
            </w:r>
          </w:p>
          <w:p>
            <w:pPr>
              <w:spacing w:line="360" w:lineRule="auto"/>
              <w:ind w:right="-107" w:rightChars="-5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（二）评分依据：</w:t>
            </w:r>
          </w:p>
          <w:p>
            <w:pPr>
              <w:spacing w:line="360" w:lineRule="auto"/>
              <w:ind w:right="-107" w:rightChars="-5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考察以上三点得3分，满足任意两点得2分，满足一点得1分，其他情况不得分。</w:t>
            </w:r>
          </w:p>
          <w:p>
            <w:pPr>
              <w:spacing w:line="360" w:lineRule="auto"/>
              <w:ind w:right="-107" w:rightChars="-5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在此基础上，根据各供应商的具体响应内容按照方案的完整性、规范性及内容的合理性进一步评审：</w:t>
            </w:r>
          </w:p>
          <w:p>
            <w:pPr>
              <w:spacing w:line="360" w:lineRule="auto"/>
              <w:ind w:right="-107" w:rightChars="-5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①投标文件响应内容全面；</w:t>
            </w:r>
          </w:p>
          <w:p>
            <w:pPr>
              <w:spacing w:line="360" w:lineRule="auto"/>
              <w:ind w:right="-107" w:rightChars="-5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②投标文件响应内容具体；</w:t>
            </w:r>
          </w:p>
          <w:p>
            <w:pPr>
              <w:spacing w:line="360" w:lineRule="auto"/>
              <w:ind w:right="-107" w:rightChars="-5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③投标文件响应内容针对性强；</w:t>
            </w:r>
          </w:p>
          <w:p>
            <w:pPr>
              <w:spacing w:line="360" w:lineRule="auto"/>
              <w:ind w:right="-107" w:rightChars="-5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④投标文件响应内容科学合理；</w:t>
            </w:r>
          </w:p>
          <w:p>
            <w:pPr>
              <w:spacing w:line="360" w:lineRule="auto"/>
              <w:ind w:right="-107" w:rightChars="-5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⑤投标文件响应内容可操作性强。</w:t>
            </w:r>
          </w:p>
          <w:p>
            <w:pPr>
              <w:pStyle w:val="52"/>
              <w:widowControl/>
              <w:spacing w:line="360" w:lineRule="auto"/>
              <w:ind w:firstLine="0" w:firstLineChars="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满足以上5项的评价为优加7分；满足以上4项的评价为良加4分；满足以上3项的评价为中加1分；其他情况评价为差不加分。</w:t>
            </w:r>
          </w:p>
        </w:tc>
        <w:tc>
          <w:tcPr>
            <w:tcW w:w="860" w:type="dxa"/>
            <w:vAlign w:val="center"/>
          </w:tcPr>
          <w:p>
            <w:pPr>
              <w:autoSpaceDE w:val="0"/>
              <w:autoSpaceDN w:val="0"/>
              <w:adjustRightIn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120" w:type="dxa"/>
            <w:vAlign w:val="center"/>
          </w:tcPr>
          <w:p>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3</w:t>
            </w:r>
          </w:p>
        </w:tc>
        <w:tc>
          <w:tcPr>
            <w:tcW w:w="1168" w:type="dxa"/>
            <w:vAlign w:val="center"/>
          </w:tcPr>
          <w:p>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项目重点、难点及解决方案</w:t>
            </w:r>
          </w:p>
        </w:tc>
        <w:tc>
          <w:tcPr>
            <w:tcW w:w="5907" w:type="dxa"/>
            <w:vAlign w:val="center"/>
          </w:tcPr>
          <w:p>
            <w:pPr>
              <w:pStyle w:val="52"/>
              <w:widowControl/>
              <w:spacing w:line="360" w:lineRule="auto"/>
              <w:ind w:firstLine="0" w:firstLineChars="0"/>
              <w:jc w:val="lef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（一）评审内容：</w:t>
            </w:r>
          </w:p>
          <w:p>
            <w:pPr>
              <w:pStyle w:val="52"/>
              <w:widowControl/>
              <w:spacing w:line="360" w:lineRule="auto"/>
              <w:ind w:firstLine="0" w:firstLineChars="0"/>
              <w:jc w:val="lef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根据招标文件的需求和投标文件响应情况，编制项目重点、难点及解决方案。包含但不限于以下内容：</w:t>
            </w:r>
          </w:p>
          <w:p>
            <w:pPr>
              <w:pStyle w:val="52"/>
              <w:widowControl/>
              <w:spacing w:line="360" w:lineRule="auto"/>
              <w:ind w:firstLine="0" w:firstLineChars="0"/>
              <w:jc w:val="lef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1、对重点难点问题的把握与分析</w:t>
            </w:r>
            <w:r>
              <w:rPr>
                <w:rFonts w:hint="eastAsia" w:ascii="宋体" w:hAnsi="宋体" w:cs="宋体"/>
                <w:color w:val="000000" w:themeColor="text1"/>
                <w:sz w:val="24"/>
                <w:highlight w:val="none"/>
                <w:lang w:val="zh-CN"/>
                <w14:textFill>
                  <w14:solidFill>
                    <w14:schemeClr w14:val="tx1"/>
                  </w14:solidFill>
                </w14:textFill>
              </w:rPr>
              <w:t>；</w:t>
            </w:r>
          </w:p>
          <w:p>
            <w:pPr>
              <w:pStyle w:val="52"/>
              <w:widowControl/>
              <w:spacing w:line="360" w:lineRule="auto"/>
              <w:ind w:firstLine="0" w:firstLineChars="0"/>
              <w:jc w:val="lef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2、对重点难点问题的应对措施和合理化建议</w:t>
            </w:r>
            <w:r>
              <w:rPr>
                <w:rFonts w:hint="eastAsia" w:ascii="宋体" w:hAnsi="宋体" w:cs="宋体"/>
                <w:color w:val="000000" w:themeColor="text1"/>
                <w:sz w:val="24"/>
                <w:highlight w:val="none"/>
                <w:lang w:val="zh-CN"/>
                <w14:textFill>
                  <w14:solidFill>
                    <w14:schemeClr w14:val="tx1"/>
                  </w14:solidFill>
                </w14:textFill>
              </w:rPr>
              <w:t>。</w:t>
            </w:r>
          </w:p>
          <w:p>
            <w:pPr>
              <w:pStyle w:val="52"/>
              <w:widowControl/>
              <w:spacing w:line="360" w:lineRule="auto"/>
              <w:ind w:firstLine="0" w:firstLineChars="0"/>
              <w:jc w:val="lef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（二）评分标准： </w:t>
            </w:r>
          </w:p>
          <w:p>
            <w:pPr>
              <w:pStyle w:val="52"/>
              <w:widowControl/>
              <w:spacing w:line="360" w:lineRule="auto"/>
              <w:ind w:firstLine="0" w:firstLineChars="0"/>
              <w:jc w:val="lef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满足</w:t>
            </w:r>
            <w:r>
              <w:rPr>
                <w:rFonts w:hint="eastAsia" w:ascii="宋体" w:hAnsi="宋体" w:cs="宋体"/>
                <w:color w:val="000000" w:themeColor="text1"/>
                <w:sz w:val="24"/>
                <w:highlight w:val="none"/>
                <w14:textFill>
                  <w14:solidFill>
                    <w14:schemeClr w14:val="tx1"/>
                  </w14:solidFill>
                </w14:textFill>
              </w:rPr>
              <w:t>两</w:t>
            </w:r>
            <w:r>
              <w:rPr>
                <w:rFonts w:hint="eastAsia" w:ascii="宋体" w:hAnsi="宋体" w:cs="宋体"/>
                <w:color w:val="000000" w:themeColor="text1"/>
                <w:sz w:val="24"/>
                <w:highlight w:val="none"/>
                <w:lang w:val="zh-CN"/>
                <w14:textFill>
                  <w14:solidFill>
                    <w14:schemeClr w14:val="tx1"/>
                  </w14:solidFill>
                </w14:textFill>
              </w:rPr>
              <w:t>点得</w:t>
            </w: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zh-CN"/>
                <w14:textFill>
                  <w14:solidFill>
                    <w14:schemeClr w14:val="tx1"/>
                  </w14:solidFill>
                </w14:textFill>
              </w:rPr>
              <w:t>分，满足任意一点得</w:t>
            </w:r>
            <w:r>
              <w:rPr>
                <w:rFonts w:hint="eastAsia" w:ascii="宋体" w:hAnsi="宋体" w:cs="宋体"/>
                <w:color w:val="000000" w:themeColor="text1"/>
                <w:sz w:val="24"/>
                <w:highlight w:val="none"/>
                <w14:textFill>
                  <w14:solidFill>
                    <w14:schemeClr w14:val="tx1"/>
                  </w14:solidFill>
                </w14:textFill>
              </w:rPr>
              <w:t>1.5</w:t>
            </w:r>
            <w:r>
              <w:rPr>
                <w:rFonts w:hint="eastAsia" w:ascii="宋体" w:hAnsi="宋体" w:cs="宋体"/>
                <w:color w:val="000000" w:themeColor="text1"/>
                <w:sz w:val="24"/>
                <w:highlight w:val="none"/>
                <w:lang w:val="zh-CN"/>
                <w14:textFill>
                  <w14:solidFill>
                    <w14:schemeClr w14:val="tx1"/>
                  </w14:solidFill>
                </w14:textFill>
              </w:rPr>
              <w:t>分，</w:t>
            </w:r>
            <w:r>
              <w:rPr>
                <w:rFonts w:ascii="宋体" w:hAnsi="宋体" w:cs="宋体"/>
                <w:color w:val="000000" w:themeColor="text1"/>
                <w:sz w:val="24"/>
                <w:highlight w:val="none"/>
                <w14:textFill>
                  <w14:solidFill>
                    <w14:schemeClr w14:val="tx1"/>
                  </w14:solidFill>
                </w14:textFill>
              </w:rPr>
              <w:t>均</w:t>
            </w:r>
            <w:r>
              <w:rPr>
                <w:rFonts w:hint="eastAsia" w:ascii="宋体" w:hAnsi="宋体" w:cs="宋体"/>
                <w:color w:val="000000" w:themeColor="text1"/>
                <w:sz w:val="24"/>
                <w:highlight w:val="none"/>
                <w:lang w:val="zh-CN"/>
                <w14:textFill>
                  <w14:solidFill>
                    <w14:schemeClr w14:val="tx1"/>
                  </w14:solidFill>
                </w14:textFill>
              </w:rPr>
              <w:t xml:space="preserve">未满足不得分。 </w:t>
            </w:r>
          </w:p>
          <w:p>
            <w:pPr>
              <w:pStyle w:val="52"/>
              <w:widowControl/>
              <w:spacing w:line="360" w:lineRule="auto"/>
              <w:ind w:firstLine="0" w:firstLineChars="0"/>
              <w:jc w:val="lef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在此基础上，专家根据各供应商的具体响应内容进一步评审： </w:t>
            </w:r>
          </w:p>
          <w:p>
            <w:pPr>
              <w:spacing w:line="360" w:lineRule="auto"/>
              <w:ind w:right="-107" w:rightChars="-5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①投标文件响应内容全面；</w:t>
            </w:r>
          </w:p>
          <w:p>
            <w:pPr>
              <w:spacing w:line="360" w:lineRule="auto"/>
              <w:ind w:right="-107" w:rightChars="-5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②投标文件响应内容具体；</w:t>
            </w:r>
          </w:p>
          <w:p>
            <w:pPr>
              <w:spacing w:line="360" w:lineRule="auto"/>
              <w:ind w:right="-107" w:rightChars="-5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③投标文件响应内容针对性强；</w:t>
            </w:r>
          </w:p>
          <w:p>
            <w:pPr>
              <w:spacing w:line="360" w:lineRule="auto"/>
              <w:ind w:right="-107" w:rightChars="-5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④投标文件响应内容科学合理；</w:t>
            </w:r>
          </w:p>
          <w:p>
            <w:pPr>
              <w:spacing w:line="360" w:lineRule="auto"/>
              <w:ind w:right="-107" w:rightChars="-5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⑤投标文件响应内容可操作性强。</w:t>
            </w:r>
          </w:p>
          <w:p>
            <w:pPr>
              <w:pStyle w:val="52"/>
              <w:widowControl/>
              <w:spacing w:line="360" w:lineRule="auto"/>
              <w:ind w:firstLine="0" w:firstLineChars="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满足以上5项的评价为优加7分；满足以上4项的评价为良加3分；满足以上3项的评价为中加1分；其他情况评价为差不加分。</w:t>
            </w:r>
          </w:p>
        </w:tc>
        <w:tc>
          <w:tcPr>
            <w:tcW w:w="860" w:type="dxa"/>
            <w:vAlign w:val="center"/>
          </w:tcPr>
          <w:p>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120" w:type="dxa"/>
            <w:vAlign w:val="center"/>
          </w:tcPr>
          <w:p>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168" w:type="dxa"/>
            <w:vAlign w:val="center"/>
          </w:tcPr>
          <w:p>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项目质量保障措施和售后服务计划</w:t>
            </w:r>
          </w:p>
        </w:tc>
        <w:tc>
          <w:tcPr>
            <w:tcW w:w="5907" w:type="dxa"/>
            <w:vAlign w:val="center"/>
          </w:tcPr>
          <w:p>
            <w:pPr>
              <w:spacing w:line="360" w:lineRule="auto"/>
              <w:ind w:right="-107" w:rightChars="-5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（一）评分内容：</w:t>
            </w:r>
          </w:p>
          <w:p>
            <w:pPr>
              <w:spacing w:line="360" w:lineRule="auto"/>
              <w:ind w:right="-107" w:rightChars="-5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考察投标人针对本项目的保障</w:t>
            </w:r>
            <w:r>
              <w:rPr>
                <w:rFonts w:hint="eastAsia" w:ascii="宋体" w:hAnsi="宋体" w:cs="宋体"/>
                <w:color w:val="000000" w:themeColor="text1"/>
                <w:sz w:val="24"/>
                <w:highlight w:val="none"/>
                <w:lang w:val="zh-CN"/>
                <w14:textFill>
                  <w14:solidFill>
                    <w14:schemeClr w14:val="tx1"/>
                  </w14:solidFill>
                </w14:textFill>
              </w:rPr>
              <w:t>措施和售后服务计划</w:t>
            </w:r>
            <w:r>
              <w:rPr>
                <w:rFonts w:hint="eastAsia" w:ascii="宋体" w:hAnsi="宋体" w:cs="宋体"/>
                <w:color w:val="000000" w:themeColor="text1"/>
                <w:sz w:val="24"/>
                <w:highlight w:val="none"/>
                <w14:textFill>
                  <w14:solidFill>
                    <w14:schemeClr w14:val="tx1"/>
                  </w14:solidFill>
                </w14:textFill>
              </w:rPr>
              <w:t>，需包括但不仅限于以下内容：</w:t>
            </w:r>
          </w:p>
          <w:p>
            <w:pPr>
              <w:spacing w:line="360" w:lineRule="auto"/>
              <w:ind w:right="-107" w:rightChars="-5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1、质量、进度管理保证措施；</w:t>
            </w:r>
          </w:p>
          <w:p>
            <w:pPr>
              <w:spacing w:line="360" w:lineRule="auto"/>
              <w:ind w:right="-107" w:rightChars="-5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2、售后服务方案。</w:t>
            </w:r>
          </w:p>
          <w:p>
            <w:pPr>
              <w:spacing w:line="360" w:lineRule="auto"/>
              <w:ind w:right="-107" w:rightChars="-5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考察以上两点，满足一点得2分，最高得4分。</w:t>
            </w:r>
          </w:p>
          <w:p>
            <w:pPr>
              <w:spacing w:line="360" w:lineRule="auto"/>
              <w:ind w:right="-107" w:rightChars="-5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（二）评分依据：</w:t>
            </w:r>
          </w:p>
          <w:p>
            <w:pPr>
              <w:spacing w:line="360" w:lineRule="auto"/>
              <w:ind w:right="-107" w:rightChars="-5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在此基础上，根据各供应商的具体响应内容按照方案的完整性、规范性及内容的合理性进一步评审：</w:t>
            </w:r>
          </w:p>
          <w:p>
            <w:pPr>
              <w:spacing w:line="360" w:lineRule="auto"/>
              <w:ind w:right="-107" w:rightChars="-5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①投标文件响应内容全面；</w:t>
            </w:r>
          </w:p>
          <w:p>
            <w:pPr>
              <w:spacing w:line="360" w:lineRule="auto"/>
              <w:ind w:right="-107" w:rightChars="-5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②投标文件响应内容具体；</w:t>
            </w:r>
          </w:p>
          <w:p>
            <w:pPr>
              <w:spacing w:line="360" w:lineRule="auto"/>
              <w:ind w:right="-107" w:rightChars="-5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③投标文件响应内容针对性强；</w:t>
            </w:r>
          </w:p>
          <w:p>
            <w:pPr>
              <w:spacing w:line="360" w:lineRule="auto"/>
              <w:ind w:right="-107" w:rightChars="-5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④投标文件响应内容科学合理；</w:t>
            </w:r>
          </w:p>
          <w:p>
            <w:pPr>
              <w:spacing w:line="360" w:lineRule="auto"/>
              <w:ind w:right="-107" w:rightChars="-5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⑤投标文件响应内容可操作性强。</w:t>
            </w:r>
          </w:p>
          <w:p>
            <w:pPr>
              <w:pStyle w:val="52"/>
              <w:widowControl/>
              <w:spacing w:line="360" w:lineRule="auto"/>
              <w:ind w:firstLine="0" w:firstLineChars="0"/>
              <w:jc w:val="lef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满足以上5项的评价为优加6分；满足以上4项的评价为良加3分；满足以上3项的评价为中加1分；其他情况评价为差不加分。</w:t>
            </w:r>
          </w:p>
        </w:tc>
        <w:tc>
          <w:tcPr>
            <w:tcW w:w="860" w:type="dxa"/>
            <w:vAlign w:val="center"/>
          </w:tcPr>
          <w:p>
            <w:pPr>
              <w:autoSpaceDE w:val="0"/>
              <w:autoSpaceDN w:val="0"/>
              <w:adjustRightIn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120" w:type="dxa"/>
            <w:vAlign w:val="center"/>
          </w:tcPr>
          <w:p>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评审委员打分</w:t>
            </w:r>
          </w:p>
        </w:tc>
      </w:tr>
    </w:tbl>
    <w:p>
      <w:pPr>
        <w:rPr>
          <w:color w:val="000000" w:themeColor="text1"/>
          <w:highlight w:val="none"/>
          <w14:textFill>
            <w14:solidFill>
              <w14:schemeClr w14:val="tx1"/>
            </w14:solidFill>
          </w14:textFill>
        </w:rPr>
      </w:pPr>
    </w:p>
    <w:p>
      <w:pPr>
        <w:pStyle w:val="5"/>
        <w:jc w:val="both"/>
        <w:rPr>
          <w:rFonts w:ascii="宋体" w:eastAsia="宋体" w:cs="宋体"/>
          <w:b/>
          <w:bCs/>
          <w:color w:val="000000" w:themeColor="text1"/>
          <w:sz w:val="24"/>
          <w:szCs w:val="24"/>
          <w:highlight w:val="none"/>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spacing w:line="360" w:lineRule="auto"/>
        <w:jc w:val="center"/>
        <w:outlineLvl w:val="0"/>
        <w:rPr>
          <w:rFonts w:ascii="宋体" w:hAnsi="宋体" w:cs="宋体"/>
          <w:b/>
          <w:bCs/>
          <w:color w:val="000000" w:themeColor="text1"/>
          <w:sz w:val="24"/>
          <w:highlight w:val="none"/>
          <w14:textFill>
            <w14:solidFill>
              <w14:schemeClr w14:val="tx1"/>
            </w14:solidFill>
          </w14:textFill>
        </w:rPr>
      </w:pPr>
      <w:bookmarkStart w:id="21" w:name="_Toc9548"/>
      <w:bookmarkStart w:id="22" w:name="_Hlk28269117"/>
      <w:r>
        <w:rPr>
          <w:rFonts w:hint="eastAsia" w:ascii="宋体" w:hAnsi="宋体" w:cs="宋体"/>
          <w:b/>
          <w:bCs/>
          <w:color w:val="000000" w:themeColor="text1"/>
          <w:sz w:val="24"/>
          <w:highlight w:val="none"/>
          <w14:textFill>
            <w14:solidFill>
              <w14:schemeClr w14:val="tx1"/>
            </w14:solidFill>
          </w14:textFill>
        </w:rPr>
        <w:t>第七章 附件（投标文件格式）</w:t>
      </w:r>
      <w:bookmarkEnd w:id="21"/>
    </w:p>
    <w:p>
      <w:pPr>
        <w:keepNext/>
        <w:keepLines/>
        <w:spacing w:before="260" w:after="260" w:line="440" w:lineRule="exact"/>
        <w:jc w:val="center"/>
        <w:outlineLvl w:val="1"/>
        <w:rPr>
          <w:rFonts w:ascii="宋体" w:hAnsi="宋体" w:cs="宋体"/>
          <w:b/>
          <w:bCs/>
          <w:color w:val="000000" w:themeColor="text1"/>
          <w:sz w:val="24"/>
          <w:highlight w:val="none"/>
          <w14:textFill>
            <w14:solidFill>
              <w14:schemeClr w14:val="tx1"/>
            </w14:solidFill>
          </w14:textFill>
        </w:rPr>
      </w:pPr>
      <w:bookmarkStart w:id="23" w:name="_Toc31827"/>
      <w:bookmarkStart w:id="24" w:name="_Toc5116"/>
      <w:bookmarkStart w:id="25" w:name="_Toc19494"/>
      <w:bookmarkStart w:id="26" w:name="_Toc6548"/>
      <w:r>
        <w:rPr>
          <w:rFonts w:hint="eastAsia" w:ascii="宋体" w:hAnsi="宋体" w:cs="宋体"/>
          <w:b/>
          <w:bCs/>
          <w:color w:val="000000" w:themeColor="text1"/>
          <w:sz w:val="24"/>
          <w:highlight w:val="none"/>
          <w14:textFill>
            <w14:solidFill>
              <w14:schemeClr w14:val="tx1"/>
            </w14:solidFill>
          </w14:textFill>
        </w:rPr>
        <w:t>1、投标文件密封袋/封面参考</w:t>
      </w:r>
      <w:bookmarkEnd w:id="23"/>
      <w:bookmarkEnd w:id="24"/>
      <w:bookmarkEnd w:id="25"/>
      <w:bookmarkEnd w:id="26"/>
    </w:p>
    <w:tbl>
      <w:tblPr>
        <w:tblStyle w:val="24"/>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2"/>
              <w:tabs>
                <w:tab w:val="left" w:pos="562"/>
                <w:tab w:val="left" w:pos="3372"/>
                <w:tab w:val="left" w:pos="3653"/>
              </w:tabs>
              <w:spacing w:line="360" w:lineRule="auto"/>
              <w:rPr>
                <w:rFonts w:ascii="仿宋_GB2312" w:eastAsia="仿宋_GB2312"/>
                <w:b/>
                <w:color w:val="000000" w:themeColor="text1"/>
                <w:sz w:val="32"/>
                <w:highlight w:val="none"/>
                <w14:textFill>
                  <w14:solidFill>
                    <w14:schemeClr w14:val="tx1"/>
                  </w14:solidFill>
                </w14:textFill>
              </w:rPr>
            </w:pPr>
          </w:p>
          <w:p>
            <w:pPr>
              <w:pStyle w:val="2"/>
              <w:tabs>
                <w:tab w:val="left" w:pos="562"/>
                <w:tab w:val="left" w:pos="3372"/>
                <w:tab w:val="left" w:pos="3653"/>
              </w:tabs>
              <w:spacing w:line="360" w:lineRule="auto"/>
              <w:jc w:val="center"/>
              <w:rPr>
                <w:rFonts w:ascii="黑体" w:eastAsia="黑体"/>
                <w:b/>
                <w:color w:val="000000" w:themeColor="text1"/>
                <w:sz w:val="72"/>
                <w:szCs w:val="72"/>
                <w:highlight w:val="none"/>
                <w14:textFill>
                  <w14:solidFill>
                    <w14:schemeClr w14:val="tx1"/>
                  </w14:solidFill>
                </w14:textFill>
              </w:rPr>
            </w:pPr>
          </w:p>
          <w:p>
            <w:pPr>
              <w:pStyle w:val="2"/>
              <w:tabs>
                <w:tab w:val="left" w:pos="562"/>
                <w:tab w:val="left" w:pos="3372"/>
                <w:tab w:val="left" w:pos="3653"/>
              </w:tabs>
              <w:spacing w:line="360" w:lineRule="auto"/>
              <w:jc w:val="center"/>
              <w:rPr>
                <w:rFonts w:ascii="黑体" w:eastAsia="黑体"/>
                <w:b/>
                <w:color w:val="000000" w:themeColor="text1"/>
                <w:sz w:val="72"/>
                <w:szCs w:val="72"/>
                <w:highlight w:val="none"/>
                <w14:textFill>
                  <w14:solidFill>
                    <w14:schemeClr w14:val="tx1"/>
                  </w14:solidFill>
                </w14:textFill>
              </w:rPr>
            </w:pPr>
            <w:r>
              <w:rPr>
                <w:rFonts w:hint="eastAsia" w:ascii="黑体" w:eastAsia="黑体"/>
                <w:b/>
                <w:color w:val="000000" w:themeColor="text1"/>
                <w:sz w:val="72"/>
                <w:szCs w:val="72"/>
                <w:highlight w:val="none"/>
                <w14:textFill>
                  <w14:solidFill>
                    <w14:schemeClr w14:val="tx1"/>
                  </w14:solidFill>
                </w14:textFill>
              </w:rPr>
              <w:t>投 标 文 件</w:t>
            </w:r>
          </w:p>
          <w:p>
            <w:pPr>
              <w:pStyle w:val="2"/>
              <w:tabs>
                <w:tab w:val="left" w:pos="562"/>
                <w:tab w:val="left" w:pos="3372"/>
                <w:tab w:val="left" w:pos="3653"/>
              </w:tabs>
              <w:spacing w:line="360" w:lineRule="auto"/>
              <w:jc w:val="center"/>
              <w:rPr>
                <w:rFonts w:ascii="黑体" w:eastAsia="黑体"/>
                <w:b/>
                <w:strike/>
                <w:color w:val="000000" w:themeColor="text1"/>
                <w:sz w:val="32"/>
                <w:highlight w:val="none"/>
                <w14:textFill>
                  <w14:solidFill>
                    <w14:schemeClr w14:val="tx1"/>
                  </w14:solidFill>
                </w14:textFill>
              </w:rPr>
            </w:pPr>
          </w:p>
          <w:p>
            <w:pPr>
              <w:spacing w:after="120" w:line="360" w:lineRule="auto"/>
              <w:ind w:firstLine="3385" w:firstLineChars="651"/>
              <w:textAlignment w:val="baseline"/>
              <w:rPr>
                <w:rFonts w:ascii="黑体" w:eastAsia="黑体"/>
                <w:color w:val="000000" w:themeColor="text1"/>
                <w:sz w:val="32"/>
                <w:highlight w:val="none"/>
                <w14:textFill>
                  <w14:solidFill>
                    <w14:schemeClr w14:val="tx1"/>
                  </w14:solidFill>
                </w14:textFill>
              </w:rPr>
            </w:pPr>
            <w:r>
              <w:rPr>
                <w:rFonts w:hint="eastAsia" w:ascii="黑体" w:eastAsia="黑体"/>
                <w:color w:val="000000" w:themeColor="text1"/>
                <w:sz w:val="52"/>
                <w:szCs w:val="52"/>
                <w:highlight w:val="none"/>
                <w14:textFill>
                  <w14:solidFill>
                    <w14:schemeClr w14:val="tx1"/>
                  </w14:solidFill>
                </w14:textFill>
              </w:rPr>
              <w:t xml:space="preserve">口 </w:t>
            </w:r>
            <w:r>
              <w:rPr>
                <w:rFonts w:hint="eastAsia" w:ascii="黑体" w:eastAsia="黑体"/>
                <w:color w:val="000000" w:themeColor="text1"/>
                <w:sz w:val="32"/>
                <w:highlight w:val="none"/>
                <w14:textFill>
                  <w14:solidFill>
                    <w14:schemeClr w14:val="tx1"/>
                  </w14:solidFill>
                </w14:textFill>
              </w:rPr>
              <w:t>正本</w:t>
            </w:r>
          </w:p>
          <w:p>
            <w:pPr>
              <w:spacing w:after="120" w:line="360" w:lineRule="auto"/>
              <w:ind w:firstLine="3385" w:firstLineChars="651"/>
              <w:textAlignment w:val="baseline"/>
              <w:rPr>
                <w:rFonts w:ascii="黑体" w:eastAsia="黑体"/>
                <w:color w:val="000000" w:themeColor="text1"/>
                <w:sz w:val="32"/>
                <w:highlight w:val="none"/>
                <w14:textFill>
                  <w14:solidFill>
                    <w14:schemeClr w14:val="tx1"/>
                  </w14:solidFill>
                </w14:textFill>
              </w:rPr>
            </w:pPr>
            <w:r>
              <w:rPr>
                <w:rFonts w:hint="eastAsia" w:ascii="黑体" w:eastAsia="黑体"/>
                <w:color w:val="000000" w:themeColor="text1"/>
                <w:sz w:val="52"/>
                <w:szCs w:val="52"/>
                <w:highlight w:val="none"/>
                <w14:textFill>
                  <w14:solidFill>
                    <w14:schemeClr w14:val="tx1"/>
                  </w14:solidFill>
                </w14:textFill>
              </w:rPr>
              <w:t xml:space="preserve">口 </w:t>
            </w:r>
            <w:r>
              <w:rPr>
                <w:rFonts w:hint="eastAsia" w:ascii="黑体" w:eastAsia="黑体"/>
                <w:color w:val="000000" w:themeColor="text1"/>
                <w:sz w:val="32"/>
                <w:highlight w:val="none"/>
                <w14:textFill>
                  <w14:solidFill>
                    <w14:schemeClr w14:val="tx1"/>
                  </w14:solidFill>
                </w14:textFill>
              </w:rPr>
              <w:t>副本</w:t>
            </w:r>
          </w:p>
          <w:p>
            <w:pPr>
              <w:pStyle w:val="2"/>
              <w:tabs>
                <w:tab w:val="left" w:pos="562"/>
                <w:tab w:val="left" w:pos="3372"/>
                <w:tab w:val="left" w:pos="3653"/>
              </w:tabs>
              <w:spacing w:line="360" w:lineRule="auto"/>
              <w:rPr>
                <w:rFonts w:ascii="仿宋_GB2312" w:eastAsia="仿宋_GB2312"/>
                <w:b/>
                <w:color w:val="000000" w:themeColor="text1"/>
                <w:sz w:val="32"/>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tabs>
                <w:tab w:val="left" w:pos="562"/>
                <w:tab w:val="left" w:pos="3372"/>
                <w:tab w:val="left" w:pos="3653"/>
              </w:tabs>
              <w:spacing w:line="400" w:lineRule="exact"/>
              <w:ind w:firstLine="900" w:firstLineChars="320"/>
              <w:rPr>
                <w:rFonts w:ascii="仿宋_GB2312" w:eastAsia="仿宋_GB2312"/>
                <w:b/>
                <w:color w:val="000000" w:themeColor="text1"/>
                <w:sz w:val="28"/>
                <w:szCs w:val="28"/>
                <w:highlight w:val="none"/>
                <w14:textFill>
                  <w14:solidFill>
                    <w14:schemeClr w14:val="tx1"/>
                  </w14:solidFill>
                </w14:textFill>
              </w:rPr>
            </w:pPr>
          </w:p>
          <w:p>
            <w:pPr>
              <w:pStyle w:val="2"/>
              <w:tabs>
                <w:tab w:val="left" w:pos="562"/>
                <w:tab w:val="left" w:pos="3372"/>
                <w:tab w:val="left" w:pos="3653"/>
              </w:tabs>
              <w:spacing w:line="400" w:lineRule="exact"/>
              <w:ind w:firstLine="900" w:firstLineChars="320"/>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项目编号：</w:t>
            </w:r>
            <w:r>
              <w:rPr>
                <w:rFonts w:hint="eastAsia" w:ascii="宋体" w:hAnsi="宋体" w:cs="Arial"/>
                <w:b/>
                <w:bCs/>
                <w:color w:val="000000" w:themeColor="text1"/>
                <w:sz w:val="28"/>
                <w:szCs w:val="28"/>
                <w:highlight w:val="none"/>
                <w:u w:val="single"/>
                <w14:textFill>
                  <w14:solidFill>
                    <w14:schemeClr w14:val="tx1"/>
                  </w14:solidFill>
                </w14:textFill>
              </w:rPr>
              <w:t xml:space="preserve">                                   </w:t>
            </w:r>
          </w:p>
          <w:p>
            <w:pPr>
              <w:pStyle w:val="2"/>
              <w:tabs>
                <w:tab w:val="left" w:pos="562"/>
                <w:tab w:val="left" w:pos="3372"/>
                <w:tab w:val="left" w:pos="3653"/>
              </w:tabs>
              <w:spacing w:line="400" w:lineRule="exact"/>
              <w:ind w:firstLine="900" w:firstLineChars="320"/>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项目名称：</w:t>
            </w:r>
            <w:r>
              <w:rPr>
                <w:rFonts w:hint="eastAsia" w:ascii="宋体" w:hAnsi="宋体" w:cs="Arial"/>
                <w:b/>
                <w:bCs/>
                <w:color w:val="000000" w:themeColor="text1"/>
                <w:sz w:val="28"/>
                <w:szCs w:val="28"/>
                <w:highlight w:val="none"/>
                <w:u w:val="single"/>
                <w14:textFill>
                  <w14:solidFill>
                    <w14:schemeClr w14:val="tx1"/>
                  </w14:solidFill>
                </w14:textFill>
              </w:rPr>
              <w:t xml:space="preserve">                                   </w:t>
            </w:r>
          </w:p>
          <w:p>
            <w:pPr>
              <w:pStyle w:val="2"/>
              <w:tabs>
                <w:tab w:val="left" w:pos="562"/>
                <w:tab w:val="left" w:pos="3372"/>
                <w:tab w:val="left" w:pos="3653"/>
              </w:tabs>
              <w:spacing w:line="400" w:lineRule="exact"/>
              <w:ind w:firstLine="900" w:firstLineChars="320"/>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投标人名称：</w:t>
            </w:r>
            <w:r>
              <w:rPr>
                <w:rFonts w:hint="eastAsia" w:ascii="宋体" w:hAnsi="宋体" w:cs="Arial"/>
                <w:b/>
                <w:bCs/>
                <w:color w:val="000000" w:themeColor="text1"/>
                <w:sz w:val="28"/>
                <w:szCs w:val="28"/>
                <w:highlight w:val="none"/>
                <w:u w:val="single"/>
                <w14:textFill>
                  <w14:solidFill>
                    <w14:schemeClr w14:val="tx1"/>
                  </w14:solidFill>
                </w14:textFill>
              </w:rPr>
              <w:t xml:space="preserve">                     （加盖公章）</w:t>
            </w:r>
          </w:p>
          <w:p>
            <w:pPr>
              <w:pStyle w:val="2"/>
              <w:tabs>
                <w:tab w:val="left" w:pos="562"/>
                <w:tab w:val="left" w:pos="3372"/>
                <w:tab w:val="left" w:pos="3653"/>
              </w:tabs>
              <w:spacing w:line="400" w:lineRule="exact"/>
              <w:ind w:firstLine="900" w:firstLineChars="320"/>
              <w:rPr>
                <w:rFonts w:ascii="宋体" w:hAnsi="宋体" w:cs="Arial"/>
                <w:b/>
                <w:bCs/>
                <w:color w:val="000000" w:themeColor="text1"/>
                <w:sz w:val="28"/>
                <w:szCs w:val="28"/>
                <w:highlight w:val="none"/>
                <w:u w:val="singl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投标人地址：</w:t>
            </w:r>
            <w:r>
              <w:rPr>
                <w:rFonts w:hint="eastAsia" w:ascii="宋体" w:hAnsi="宋体" w:cs="Arial"/>
                <w:b/>
                <w:bCs/>
                <w:color w:val="000000" w:themeColor="text1"/>
                <w:sz w:val="28"/>
                <w:szCs w:val="28"/>
                <w:highlight w:val="none"/>
                <w:u w:val="single"/>
                <w14:textFill>
                  <w14:solidFill>
                    <w14:schemeClr w14:val="tx1"/>
                  </w14:solidFill>
                </w14:textFill>
              </w:rPr>
              <w:t xml:space="preserve">                                 </w:t>
            </w:r>
          </w:p>
          <w:p>
            <w:pPr>
              <w:pStyle w:val="2"/>
              <w:tabs>
                <w:tab w:val="left" w:pos="562"/>
                <w:tab w:val="left" w:pos="3372"/>
                <w:tab w:val="left" w:pos="3653"/>
              </w:tabs>
              <w:spacing w:line="400" w:lineRule="exact"/>
              <w:ind w:firstLine="900" w:firstLineChars="320"/>
              <w:rPr>
                <w:rFonts w:ascii="宋体" w:hAnsi="宋体" w:cs="Arial"/>
                <w:b/>
                <w:bCs/>
                <w:color w:val="000000" w:themeColor="text1"/>
                <w:sz w:val="28"/>
                <w:szCs w:val="28"/>
                <w:highlight w:val="none"/>
                <w:u w:val="single"/>
                <w14:textFill>
                  <w14:solidFill>
                    <w14:schemeClr w14:val="tx1"/>
                  </w14:solidFill>
                </w14:textFill>
              </w:rPr>
            </w:pPr>
            <w:r>
              <w:rPr>
                <w:rFonts w:hint="eastAsia" w:ascii="宋体" w:hAnsi="宋体" w:cs="Arial"/>
                <w:b/>
                <w:bCs/>
                <w:color w:val="000000" w:themeColor="text1"/>
                <w:sz w:val="28"/>
                <w:szCs w:val="28"/>
                <w:highlight w:val="none"/>
                <w14:textFill>
                  <w14:solidFill>
                    <w14:schemeClr w14:val="tx1"/>
                  </w14:solidFill>
                </w14:textFill>
              </w:rPr>
              <w:t>法定代表人/被授权人：</w:t>
            </w:r>
            <w:r>
              <w:rPr>
                <w:rFonts w:hint="eastAsia" w:ascii="宋体" w:hAnsi="宋体" w:cs="Arial"/>
                <w:b/>
                <w:bCs/>
                <w:color w:val="000000" w:themeColor="text1"/>
                <w:sz w:val="28"/>
                <w:szCs w:val="28"/>
                <w:highlight w:val="none"/>
                <w:u w:val="single"/>
                <w14:textFill>
                  <w14:solidFill>
                    <w14:schemeClr w14:val="tx1"/>
                  </w14:solidFill>
                </w14:textFill>
              </w:rPr>
              <w:t xml:space="preserve">                        </w:t>
            </w:r>
          </w:p>
          <w:p>
            <w:pPr>
              <w:pStyle w:val="2"/>
              <w:tabs>
                <w:tab w:val="left" w:pos="562"/>
                <w:tab w:val="left" w:pos="3372"/>
                <w:tab w:val="left" w:pos="3653"/>
              </w:tabs>
              <w:spacing w:line="400" w:lineRule="exact"/>
              <w:ind w:firstLine="900" w:firstLineChars="320"/>
              <w:rPr>
                <w:rFonts w:ascii="宋体" w:hAnsi="宋体" w:cs="宋体"/>
                <w:b/>
                <w:color w:val="000000" w:themeColor="text1"/>
                <w:sz w:val="28"/>
                <w:szCs w:val="28"/>
                <w:highlight w:val="none"/>
                <w14:textFill>
                  <w14:solidFill>
                    <w14:schemeClr w14:val="tx1"/>
                  </w14:solidFill>
                </w14:textFill>
              </w:rPr>
            </w:pPr>
            <w:r>
              <w:rPr>
                <w:rFonts w:hint="eastAsia" w:ascii="宋体" w:hAnsi="宋体" w:cs="Arial"/>
                <w:b/>
                <w:bCs/>
                <w:color w:val="000000" w:themeColor="text1"/>
                <w:sz w:val="28"/>
                <w:szCs w:val="28"/>
                <w:highlight w:val="none"/>
                <w14:textFill>
                  <w14:solidFill>
                    <w14:schemeClr w14:val="tx1"/>
                  </w14:solidFill>
                </w14:textFill>
              </w:rPr>
              <w:t>联系电话：</w:t>
            </w:r>
            <w:r>
              <w:rPr>
                <w:rFonts w:hint="eastAsia" w:ascii="宋体" w:hAnsi="宋体" w:cs="Arial"/>
                <w:b/>
                <w:bCs/>
                <w:color w:val="000000" w:themeColor="text1"/>
                <w:sz w:val="28"/>
                <w:szCs w:val="28"/>
                <w:highlight w:val="none"/>
                <w:u w:val="single"/>
                <w14:textFill>
                  <w14:solidFill>
                    <w14:schemeClr w14:val="tx1"/>
                  </w14:solidFill>
                </w14:textFill>
              </w:rPr>
              <w:t xml:space="preserve">                                   </w:t>
            </w:r>
          </w:p>
          <w:p>
            <w:pPr>
              <w:spacing w:line="360" w:lineRule="auto"/>
              <w:jc w:val="center"/>
              <w:rPr>
                <w:rFonts w:ascii="宋体" w:hAnsi="宋体" w:cs="Arial"/>
                <w:b/>
                <w:bCs/>
                <w:color w:val="000000" w:themeColor="text1"/>
                <w:sz w:val="28"/>
                <w:szCs w:val="28"/>
                <w:highlight w:val="none"/>
                <w14:textFill>
                  <w14:solidFill>
                    <w14:schemeClr w14:val="tx1"/>
                  </w14:solidFill>
                </w14:textFill>
              </w:rPr>
            </w:pPr>
          </w:p>
          <w:p>
            <w:pPr>
              <w:spacing w:line="360" w:lineRule="auto"/>
              <w:jc w:val="center"/>
              <w:rPr>
                <w:rFonts w:ascii="宋体" w:hAnsi="宋体" w:cs="Arial"/>
                <w:b/>
                <w:bCs/>
                <w:color w:val="000000" w:themeColor="text1"/>
                <w:sz w:val="28"/>
                <w:szCs w:val="28"/>
                <w:highlight w:val="none"/>
                <w14:textFill>
                  <w14:solidFill>
                    <w14:schemeClr w14:val="tx1"/>
                  </w14:solidFill>
                </w14:textFill>
              </w:rPr>
            </w:pPr>
          </w:p>
          <w:p>
            <w:pPr>
              <w:spacing w:line="360" w:lineRule="auto"/>
              <w:jc w:val="center"/>
              <w:rPr>
                <w:rFonts w:ascii="仿宋_GB2312" w:eastAsia="仿宋_GB2312"/>
                <w:b/>
                <w:color w:val="000000" w:themeColor="text1"/>
                <w:sz w:val="32"/>
                <w:highlight w:val="none"/>
                <w14:textFill>
                  <w14:solidFill>
                    <w14:schemeClr w14:val="tx1"/>
                  </w14:solidFill>
                </w14:textFill>
              </w:rPr>
            </w:pPr>
            <w:r>
              <w:rPr>
                <w:rFonts w:hint="eastAsia" w:ascii="宋体" w:hAnsi="宋体" w:cs="Arial"/>
                <w:b/>
                <w:bCs/>
                <w:color w:val="000000" w:themeColor="text1"/>
                <w:sz w:val="28"/>
                <w:szCs w:val="28"/>
                <w:highlight w:val="none"/>
                <w14:textFill>
                  <w14:solidFill>
                    <w14:schemeClr w14:val="tx1"/>
                  </w14:solidFill>
                </w14:textFill>
              </w:rPr>
              <w:t>【年月日时分之前不得启封。】</w:t>
            </w:r>
          </w:p>
        </w:tc>
      </w:tr>
    </w:tbl>
    <w:p>
      <w:pPr>
        <w:spacing w:line="360" w:lineRule="auto"/>
        <w:jc w:val="center"/>
        <w:rPr>
          <w:rFonts w:ascii="宋体" w:hAnsi="宋体" w:cs="宋体"/>
          <w:b/>
          <w:bCs/>
          <w:color w:val="000000" w:themeColor="text1"/>
          <w:sz w:val="24"/>
          <w:highlight w:val="none"/>
          <w14:textFill>
            <w14:solidFill>
              <w14:schemeClr w14:val="tx1"/>
            </w14:solidFill>
          </w14:textFill>
        </w:rPr>
      </w:pPr>
    </w:p>
    <w:p>
      <w:pPr>
        <w:spacing w:before="100" w:beforeAutospacing="1" w:after="100" w:afterAutospacing="1"/>
        <w:jc w:val="center"/>
        <w:outlineLvl w:val="1"/>
        <w:rPr>
          <w:rFonts w:ascii="宋体" w:hAnsi="宋体" w:cs="宋体"/>
          <w:b/>
          <w:color w:val="000000" w:themeColor="text1"/>
          <w:sz w:val="24"/>
          <w:highlight w:val="none"/>
          <w14:textFill>
            <w14:solidFill>
              <w14:schemeClr w14:val="tx1"/>
            </w14:solidFill>
          </w14:textFill>
        </w:rPr>
      </w:pPr>
      <w:bookmarkStart w:id="27" w:name="_Toc16724"/>
      <w:r>
        <w:rPr>
          <w:rFonts w:hint="eastAsia" w:ascii="宋体" w:hAnsi="宋体" w:cs="宋体"/>
          <w:b/>
          <w:color w:val="000000" w:themeColor="text1"/>
          <w:sz w:val="24"/>
          <w:highlight w:val="none"/>
          <w14:textFill>
            <w14:solidFill>
              <w14:schemeClr w14:val="tx1"/>
            </w14:solidFill>
          </w14:textFill>
        </w:rPr>
        <w:t>2、投标文件—目录</w:t>
      </w:r>
      <w:bookmarkEnd w:id="27"/>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w:t>
      </w:r>
      <w:r>
        <w:rPr>
          <w:rFonts w:hint="eastAsia" w:ascii="宋体" w:hAnsi="宋体" w:cs="宋体"/>
          <w:b/>
          <w:bCs/>
          <w:color w:val="000000" w:themeColor="text1"/>
          <w:sz w:val="24"/>
          <w:highlight w:val="none"/>
          <w:lang w:val="zh-CN"/>
          <w14:textFill>
            <w14:solidFill>
              <w14:schemeClr w14:val="tx1"/>
            </w14:solidFill>
          </w14:textFill>
        </w:rPr>
        <w:t>价格部分</w:t>
      </w:r>
    </w:p>
    <w:p>
      <w:pPr>
        <w:numPr>
          <w:ilvl w:val="0"/>
          <w:numId w:val="10"/>
        </w:numPr>
        <w:tabs>
          <w:tab w:val="left" w:pos="640"/>
          <w:tab w:val="clear" w:pos="425"/>
        </w:tabs>
        <w:spacing w:line="360" w:lineRule="auto"/>
        <w:ind w:left="625" w:hanging="62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投标一览表；</w:t>
      </w:r>
    </w:p>
    <w:p>
      <w:pPr>
        <w:numPr>
          <w:ilvl w:val="0"/>
          <w:numId w:val="10"/>
        </w:numPr>
        <w:tabs>
          <w:tab w:val="left" w:pos="640"/>
          <w:tab w:val="clear" w:pos="425"/>
        </w:tabs>
        <w:spacing w:line="360" w:lineRule="auto"/>
        <w:ind w:left="625" w:hanging="62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分类报价明细表；</w:t>
      </w:r>
    </w:p>
    <w:p>
      <w:pPr>
        <w:spacing w:line="360" w:lineRule="auto"/>
        <w:rPr>
          <w:rFonts w:ascii="宋体" w:hAnsi="宋体" w:cs="宋体"/>
          <w:b/>
          <w:bCs/>
          <w:color w:val="000000" w:themeColor="text1"/>
          <w:sz w:val="24"/>
          <w:highlight w:val="none"/>
          <w:u w:val="wav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（二）商务部分</w:t>
      </w:r>
    </w:p>
    <w:p>
      <w:pPr>
        <w:numPr>
          <w:ilvl w:val="0"/>
          <w:numId w:val="11"/>
        </w:numPr>
        <w:tabs>
          <w:tab w:val="left" w:pos="640"/>
          <w:tab w:val="left" w:pos="1260"/>
          <w:tab w:val="left" w:pos="1418"/>
        </w:tabs>
        <w:spacing w:line="360" w:lineRule="auto"/>
        <w:ind w:left="845" w:hanging="84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p>
      <w:pPr>
        <w:numPr>
          <w:ilvl w:val="0"/>
          <w:numId w:val="11"/>
        </w:numPr>
        <w:tabs>
          <w:tab w:val="left" w:pos="640"/>
          <w:tab w:val="left" w:pos="1260"/>
          <w:tab w:val="left" w:pos="1418"/>
        </w:tabs>
        <w:spacing w:line="360" w:lineRule="auto"/>
        <w:ind w:left="645" w:hanging="645"/>
        <w:rPr>
          <w:rFonts w:ascii="宋体" w:hAnsi="宋体" w:cs="宋体"/>
          <w:color w:val="000000" w:themeColor="text1"/>
          <w:sz w:val="24"/>
          <w:highlight w:val="none"/>
          <w:lang w:val="fr-CH"/>
          <w14:textFill>
            <w14:solidFill>
              <w14:schemeClr w14:val="tx1"/>
            </w14:solidFill>
          </w14:textFill>
        </w:rPr>
      </w:pPr>
      <w:r>
        <w:rPr>
          <w:rFonts w:hint="eastAsia" w:ascii="宋体" w:hAnsi="宋体" w:cs="宋体"/>
          <w:color w:val="000000" w:themeColor="text1"/>
          <w:sz w:val="24"/>
          <w:highlight w:val="none"/>
          <w:lang w:val="fr-CH"/>
          <w14:textFill>
            <w14:solidFill>
              <w14:schemeClr w14:val="tx1"/>
            </w14:solidFill>
          </w14:textFill>
        </w:rPr>
        <w:t>营业执照【其他组织提供《事业单位法人证书》或《民办非企业单位登记证书》】及税务登记册证副本复印件(加盖投标人公章，若提供的营业执照为三证合一，则税务登记证可不单独提供)；</w:t>
      </w:r>
    </w:p>
    <w:p>
      <w:pPr>
        <w:numPr>
          <w:ilvl w:val="0"/>
          <w:numId w:val="11"/>
        </w:numPr>
        <w:tabs>
          <w:tab w:val="left" w:pos="640"/>
          <w:tab w:val="left" w:pos="1260"/>
          <w:tab w:val="left" w:pos="1418"/>
        </w:tabs>
        <w:spacing w:line="360" w:lineRule="auto"/>
        <w:ind w:left="645" w:hanging="645"/>
        <w:rPr>
          <w:rFonts w:ascii="宋体" w:hAnsi="宋体" w:cs="宋体"/>
          <w:color w:val="000000" w:themeColor="text1"/>
          <w:sz w:val="24"/>
          <w:highlight w:val="none"/>
          <w:lang w:val="fr-CH"/>
          <w14:textFill>
            <w14:solidFill>
              <w14:schemeClr w14:val="tx1"/>
            </w14:solidFill>
          </w14:textFill>
        </w:rPr>
      </w:pPr>
      <w:r>
        <w:rPr>
          <w:rFonts w:hint="eastAsia" w:ascii="宋体" w:hAnsi="宋体" w:cs="宋体"/>
          <w:color w:val="000000" w:themeColor="text1"/>
          <w:sz w:val="24"/>
          <w:highlight w:val="none"/>
          <w:lang w:val="fr-CH"/>
          <w14:textFill>
            <w14:solidFill>
              <w14:schemeClr w14:val="tx1"/>
            </w14:solidFill>
          </w14:textFill>
        </w:rPr>
        <w:t>政府采购投标及履约承诺函；</w:t>
      </w:r>
    </w:p>
    <w:p>
      <w:pPr>
        <w:numPr>
          <w:ilvl w:val="0"/>
          <w:numId w:val="11"/>
        </w:numPr>
        <w:tabs>
          <w:tab w:val="left" w:pos="640"/>
          <w:tab w:val="left" w:pos="1260"/>
          <w:tab w:val="left" w:pos="1418"/>
        </w:tabs>
        <w:spacing w:line="360" w:lineRule="auto"/>
        <w:ind w:left="645" w:hanging="645"/>
        <w:rPr>
          <w:rFonts w:ascii="宋体" w:hAnsi="宋体" w:cs="宋体"/>
          <w:color w:val="000000" w:themeColor="text1"/>
          <w:sz w:val="24"/>
          <w:highlight w:val="none"/>
          <w:lang w:val="fr-CH"/>
          <w14:textFill>
            <w14:solidFill>
              <w14:schemeClr w14:val="tx1"/>
            </w14:solidFill>
          </w14:textFill>
        </w:rPr>
      </w:pPr>
      <w:r>
        <w:rPr>
          <w:rFonts w:hint="eastAsia" w:ascii="宋体" w:hAnsi="宋体" w:cs="宋体"/>
          <w:color w:val="000000" w:themeColor="text1"/>
          <w:sz w:val="24"/>
          <w:highlight w:val="none"/>
          <w:lang w:val="fr-CH"/>
          <w14:textFill>
            <w14:solidFill>
              <w14:schemeClr w14:val="tx1"/>
            </w14:solidFill>
          </w14:textFill>
        </w:rPr>
        <w:t>关于资格的声明函；</w:t>
      </w:r>
    </w:p>
    <w:p>
      <w:pPr>
        <w:numPr>
          <w:ilvl w:val="0"/>
          <w:numId w:val="11"/>
        </w:numPr>
        <w:tabs>
          <w:tab w:val="left" w:pos="640"/>
          <w:tab w:val="left" w:pos="1260"/>
          <w:tab w:val="left" w:pos="1418"/>
        </w:tabs>
        <w:spacing w:line="360" w:lineRule="auto"/>
        <w:ind w:left="645" w:hanging="645"/>
        <w:rPr>
          <w:rFonts w:ascii="宋体" w:hAnsi="宋体" w:cs="宋体"/>
          <w:color w:val="000000" w:themeColor="text1"/>
          <w:sz w:val="24"/>
          <w:highlight w:val="none"/>
          <w:lang w:val="fr-CH"/>
          <w14:textFill>
            <w14:solidFill>
              <w14:schemeClr w14:val="tx1"/>
            </w14:solidFill>
          </w14:textFill>
        </w:rPr>
      </w:pPr>
      <w:r>
        <w:rPr>
          <w:rFonts w:hint="eastAsia" w:ascii="宋体" w:hAnsi="宋体" w:cs="宋体"/>
          <w:color w:val="000000" w:themeColor="text1"/>
          <w:sz w:val="24"/>
          <w:highlight w:val="none"/>
          <w:lang w:val="fr-CH"/>
          <w14:textFill>
            <w14:solidFill>
              <w14:schemeClr w14:val="tx1"/>
            </w14:solidFill>
          </w14:textFill>
        </w:rPr>
        <w:t>法人代表证明书及身份证明；</w:t>
      </w:r>
    </w:p>
    <w:p>
      <w:pPr>
        <w:numPr>
          <w:ilvl w:val="0"/>
          <w:numId w:val="11"/>
        </w:numPr>
        <w:tabs>
          <w:tab w:val="left" w:pos="640"/>
          <w:tab w:val="left" w:pos="1260"/>
          <w:tab w:val="left" w:pos="1418"/>
        </w:tabs>
        <w:spacing w:line="360" w:lineRule="auto"/>
        <w:ind w:left="845" w:hanging="845"/>
        <w:rPr>
          <w:rFonts w:ascii="宋体" w:hAnsi="宋体" w:cs="宋体"/>
          <w:color w:val="000000" w:themeColor="text1"/>
          <w:sz w:val="24"/>
          <w:highlight w:val="none"/>
          <w:lang w:val="fr-CH"/>
          <w14:textFill>
            <w14:solidFill>
              <w14:schemeClr w14:val="tx1"/>
            </w14:solidFill>
          </w14:textFill>
        </w:rPr>
      </w:pPr>
      <w:r>
        <w:rPr>
          <w:rFonts w:hint="eastAsia" w:ascii="宋体" w:hAnsi="宋体" w:cs="宋体"/>
          <w:color w:val="000000" w:themeColor="text1"/>
          <w:sz w:val="24"/>
          <w:highlight w:val="none"/>
          <w:lang w:val="fr-CH"/>
          <w14:textFill>
            <w14:solidFill>
              <w14:schemeClr w14:val="tx1"/>
            </w14:solidFill>
          </w14:textFill>
        </w:rPr>
        <w:t>法定代表人授权书及身份证明；</w:t>
      </w:r>
    </w:p>
    <w:p>
      <w:pPr>
        <w:numPr>
          <w:ilvl w:val="0"/>
          <w:numId w:val="11"/>
        </w:numPr>
        <w:tabs>
          <w:tab w:val="left" w:pos="640"/>
          <w:tab w:val="left" w:pos="1260"/>
          <w:tab w:val="left" w:pos="1418"/>
        </w:tabs>
        <w:spacing w:line="360" w:lineRule="auto"/>
        <w:ind w:left="845" w:hanging="845"/>
        <w:rPr>
          <w:rFonts w:ascii="宋体" w:hAnsi="宋体" w:cs="宋体"/>
          <w:color w:val="000000" w:themeColor="text1"/>
          <w:sz w:val="24"/>
          <w:highlight w:val="none"/>
          <w:lang w:val="fr-CH"/>
          <w14:textFill>
            <w14:solidFill>
              <w14:schemeClr w14:val="tx1"/>
            </w14:solidFill>
          </w14:textFill>
        </w:rPr>
      </w:pPr>
      <w:r>
        <w:rPr>
          <w:rFonts w:hint="eastAsia" w:ascii="宋体" w:hAnsi="宋体" w:cs="宋体"/>
          <w:color w:val="000000" w:themeColor="text1"/>
          <w:sz w:val="24"/>
          <w:highlight w:val="none"/>
          <w:lang w:val="fr-CH"/>
          <w14:textFill>
            <w14:solidFill>
              <w14:schemeClr w14:val="tx1"/>
            </w14:solidFill>
          </w14:textFill>
        </w:rPr>
        <w:t>招标代理服务费承诺书；</w:t>
      </w:r>
    </w:p>
    <w:p>
      <w:pPr>
        <w:numPr>
          <w:ilvl w:val="0"/>
          <w:numId w:val="11"/>
        </w:numPr>
        <w:tabs>
          <w:tab w:val="left" w:pos="640"/>
          <w:tab w:val="left" w:pos="1260"/>
          <w:tab w:val="left" w:pos="1418"/>
        </w:tabs>
        <w:spacing w:line="360" w:lineRule="auto"/>
        <w:ind w:left="845" w:hanging="845"/>
        <w:rPr>
          <w:rFonts w:ascii="宋体" w:hAnsi="宋体" w:cs="宋体"/>
          <w:color w:val="000000" w:themeColor="text1"/>
          <w:sz w:val="24"/>
          <w:highlight w:val="none"/>
          <w:lang w:val="fr-CH"/>
          <w14:textFill>
            <w14:solidFill>
              <w14:schemeClr w14:val="tx1"/>
            </w14:solidFill>
          </w14:textFill>
        </w:rPr>
      </w:pPr>
      <w:r>
        <w:rPr>
          <w:rFonts w:hint="eastAsia" w:ascii="宋体" w:hAnsi="宋体" w:cs="宋体"/>
          <w:color w:val="000000" w:themeColor="text1"/>
          <w:sz w:val="24"/>
          <w:highlight w:val="none"/>
          <w:lang w:val="fr-CH"/>
          <w14:textFill>
            <w14:solidFill>
              <w14:schemeClr w14:val="tx1"/>
            </w14:solidFill>
          </w14:textFill>
        </w:rPr>
        <w:t>投标人简介；</w:t>
      </w:r>
    </w:p>
    <w:p>
      <w:pPr>
        <w:numPr>
          <w:ilvl w:val="0"/>
          <w:numId w:val="11"/>
        </w:numPr>
        <w:tabs>
          <w:tab w:val="left" w:pos="640"/>
          <w:tab w:val="left" w:pos="840"/>
          <w:tab w:val="left" w:pos="1260"/>
          <w:tab w:val="left" w:pos="1418"/>
        </w:tabs>
        <w:spacing w:line="360" w:lineRule="auto"/>
        <w:ind w:left="845" w:hanging="845"/>
        <w:rPr>
          <w:rFonts w:hint="eastAsia" w:ascii="宋体" w:hAnsi="宋体" w:cs="宋体"/>
          <w:color w:val="000000" w:themeColor="text1"/>
          <w:sz w:val="24"/>
          <w:highlight w:val="none"/>
          <w:lang w:val="fr-CH"/>
          <w14:textFill>
            <w14:solidFill>
              <w14:schemeClr w14:val="tx1"/>
            </w14:solidFill>
          </w14:textFill>
        </w:rPr>
      </w:pPr>
      <w:r>
        <w:rPr>
          <w:rFonts w:hint="eastAsia" w:ascii="宋体" w:hAnsi="宋体" w:cs="宋体"/>
          <w:color w:val="000000" w:themeColor="text1"/>
          <w:sz w:val="24"/>
          <w:highlight w:val="none"/>
          <w:lang w:val="fr-CH"/>
          <w14:textFill>
            <w14:solidFill>
              <w14:schemeClr w14:val="tx1"/>
            </w14:solidFill>
          </w14:textFill>
        </w:rPr>
        <w:t>投标人同类项目业绩；</w:t>
      </w:r>
    </w:p>
    <w:p>
      <w:pPr>
        <w:numPr>
          <w:ilvl w:val="0"/>
          <w:numId w:val="11"/>
        </w:numPr>
        <w:tabs>
          <w:tab w:val="left" w:pos="640"/>
          <w:tab w:val="left" w:pos="840"/>
          <w:tab w:val="left" w:pos="1260"/>
          <w:tab w:val="left" w:pos="1418"/>
        </w:tabs>
        <w:spacing w:line="360" w:lineRule="auto"/>
        <w:ind w:left="845" w:hanging="845"/>
        <w:rPr>
          <w:rFonts w:hint="eastAsia" w:ascii="宋体" w:hAnsi="宋体" w:cs="宋体"/>
          <w:color w:val="000000" w:themeColor="text1"/>
          <w:sz w:val="24"/>
          <w:highlight w:val="none"/>
          <w:lang w:val="fr-CH"/>
          <w14:textFill>
            <w14:solidFill>
              <w14:schemeClr w14:val="tx1"/>
            </w14:solidFill>
          </w14:textFill>
        </w:rPr>
      </w:pPr>
      <w:r>
        <w:rPr>
          <w:rFonts w:hint="eastAsia" w:ascii="宋体" w:hAnsi="宋体" w:cs="宋体"/>
          <w:color w:val="000000" w:themeColor="text1"/>
          <w:sz w:val="24"/>
          <w:highlight w:val="none"/>
          <w:lang w:val="fr-CH"/>
          <w14:textFill>
            <w14:solidFill>
              <w14:schemeClr w14:val="tx1"/>
            </w14:solidFill>
          </w14:textFill>
        </w:rPr>
        <w:t>获奖情况；</w:t>
      </w:r>
    </w:p>
    <w:p>
      <w:pPr>
        <w:numPr>
          <w:ilvl w:val="0"/>
          <w:numId w:val="11"/>
        </w:numPr>
        <w:tabs>
          <w:tab w:val="left" w:pos="640"/>
          <w:tab w:val="left" w:pos="840"/>
          <w:tab w:val="left" w:pos="1260"/>
          <w:tab w:val="left" w:pos="1418"/>
        </w:tabs>
        <w:spacing w:line="360" w:lineRule="auto"/>
        <w:ind w:left="845" w:hanging="845"/>
        <w:rPr>
          <w:rFonts w:hint="eastAsia" w:ascii="宋体" w:hAnsi="宋体" w:cs="宋体"/>
          <w:color w:val="000000" w:themeColor="text1"/>
          <w:sz w:val="24"/>
          <w:highlight w:val="none"/>
          <w:lang w:val="fr-CH"/>
          <w14:textFill>
            <w14:solidFill>
              <w14:schemeClr w14:val="tx1"/>
            </w14:solidFill>
          </w14:textFill>
        </w:rPr>
      </w:pPr>
      <w:r>
        <w:rPr>
          <w:rFonts w:hint="eastAsia" w:ascii="宋体" w:hAnsi="宋体" w:cs="宋体"/>
          <w:color w:val="000000" w:themeColor="text1"/>
          <w:sz w:val="24"/>
          <w:highlight w:val="none"/>
          <w:lang w:val="fr-CH"/>
          <w14:textFill>
            <w14:solidFill>
              <w14:schemeClr w14:val="tx1"/>
            </w14:solidFill>
          </w14:textFill>
        </w:rPr>
        <w:t>投标人认证情况；</w:t>
      </w:r>
    </w:p>
    <w:p>
      <w:pPr>
        <w:numPr>
          <w:ilvl w:val="0"/>
          <w:numId w:val="11"/>
        </w:numPr>
        <w:tabs>
          <w:tab w:val="left" w:pos="640"/>
          <w:tab w:val="left" w:pos="840"/>
          <w:tab w:val="left" w:pos="1260"/>
          <w:tab w:val="left" w:pos="1418"/>
        </w:tabs>
        <w:spacing w:line="360" w:lineRule="auto"/>
        <w:ind w:left="845" w:hanging="845"/>
        <w:rPr>
          <w:rFonts w:hint="eastAsia" w:ascii="宋体" w:hAnsi="宋体" w:cs="宋体"/>
          <w:color w:val="000000" w:themeColor="text1"/>
          <w:sz w:val="24"/>
          <w:highlight w:val="none"/>
          <w:lang w:val="fr-CH"/>
          <w14:textFill>
            <w14:solidFill>
              <w14:schemeClr w14:val="tx1"/>
            </w14:solidFill>
          </w14:textFill>
        </w:rPr>
      </w:pPr>
      <w:r>
        <w:rPr>
          <w:rFonts w:hint="eastAsia" w:ascii="宋体" w:hAnsi="宋体" w:cs="宋体"/>
          <w:color w:val="000000" w:themeColor="text1"/>
          <w:sz w:val="24"/>
          <w:highlight w:val="none"/>
          <w:lang w:val="fr-CH"/>
          <w14:textFill>
            <w14:solidFill>
              <w14:schemeClr w14:val="tx1"/>
            </w14:solidFill>
          </w14:textFill>
        </w:rPr>
        <w:t>拟安排的项目负责人情况；</w:t>
      </w:r>
    </w:p>
    <w:p>
      <w:pPr>
        <w:numPr>
          <w:ilvl w:val="0"/>
          <w:numId w:val="11"/>
        </w:numPr>
        <w:tabs>
          <w:tab w:val="left" w:pos="640"/>
          <w:tab w:val="left" w:pos="840"/>
          <w:tab w:val="left" w:pos="1260"/>
          <w:tab w:val="left" w:pos="1418"/>
        </w:tabs>
        <w:spacing w:line="360" w:lineRule="auto"/>
        <w:ind w:left="845" w:hanging="845"/>
        <w:rPr>
          <w:rFonts w:ascii="宋体" w:hAnsi="宋体" w:cs="宋体"/>
          <w:color w:val="000000" w:themeColor="text1"/>
          <w:sz w:val="24"/>
          <w:highlight w:val="none"/>
          <w:lang w:val="fr-CH"/>
          <w14:textFill>
            <w14:solidFill>
              <w14:schemeClr w14:val="tx1"/>
            </w14:solidFill>
          </w14:textFill>
        </w:rPr>
      </w:pPr>
      <w:r>
        <w:rPr>
          <w:rFonts w:hint="eastAsia" w:ascii="宋体" w:hAnsi="宋体" w:cs="宋体"/>
          <w:color w:val="000000" w:themeColor="text1"/>
          <w:sz w:val="24"/>
          <w:highlight w:val="none"/>
          <w:lang w:val="fr-CH"/>
          <w14:textFill>
            <w14:solidFill>
              <w14:schemeClr w14:val="tx1"/>
            </w14:solidFill>
          </w14:textFill>
        </w:rPr>
        <w:t>拟安排的项目团队情况（除项目负责人外）；</w:t>
      </w:r>
    </w:p>
    <w:p>
      <w:pPr>
        <w:numPr>
          <w:ilvl w:val="0"/>
          <w:numId w:val="11"/>
        </w:numPr>
        <w:tabs>
          <w:tab w:val="left" w:pos="640"/>
          <w:tab w:val="left" w:pos="840"/>
          <w:tab w:val="left" w:pos="1260"/>
          <w:tab w:val="left" w:pos="1418"/>
        </w:tabs>
        <w:spacing w:line="360" w:lineRule="auto"/>
        <w:ind w:left="845" w:hanging="845"/>
        <w:rPr>
          <w:rFonts w:ascii="宋体" w:hAnsi="宋体" w:cs="宋体"/>
          <w:color w:val="000000" w:themeColor="text1"/>
          <w:sz w:val="24"/>
          <w:highlight w:val="none"/>
          <w:lang w:val="fr-CH"/>
          <w14:textFill>
            <w14:solidFill>
              <w14:schemeClr w14:val="tx1"/>
            </w14:solidFill>
          </w14:textFill>
        </w:rPr>
      </w:pPr>
      <w:r>
        <w:rPr>
          <w:rFonts w:hint="eastAsia" w:ascii="宋体" w:hAnsi="宋体" w:cs="宋体"/>
          <w:color w:val="000000" w:themeColor="text1"/>
          <w:sz w:val="24"/>
          <w:highlight w:val="none"/>
          <w:lang w:val="fr-CH"/>
          <w14:textFill>
            <w14:solidFill>
              <w14:schemeClr w14:val="tx1"/>
            </w14:solidFill>
          </w14:textFill>
        </w:rPr>
        <w:t>诚信声明与承诺；</w:t>
      </w:r>
    </w:p>
    <w:p>
      <w:pPr>
        <w:numPr>
          <w:ilvl w:val="0"/>
          <w:numId w:val="11"/>
        </w:numPr>
        <w:tabs>
          <w:tab w:val="left" w:pos="640"/>
          <w:tab w:val="left" w:pos="840"/>
          <w:tab w:val="left" w:pos="1260"/>
          <w:tab w:val="left" w:pos="1418"/>
        </w:tabs>
        <w:spacing w:line="360" w:lineRule="auto"/>
        <w:ind w:left="845" w:hanging="84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投标人认为有必要提供的其他材料。</w:t>
      </w: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（三）技术部分</w:t>
      </w:r>
    </w:p>
    <w:p>
      <w:pPr>
        <w:numPr>
          <w:ilvl w:val="0"/>
          <w:numId w:val="12"/>
        </w:numPr>
        <w:tabs>
          <w:tab w:val="left" w:pos="640"/>
          <w:tab w:val="left" w:pos="1260"/>
          <w:tab w:val="left" w:pos="1418"/>
        </w:tabs>
        <w:spacing w:line="360" w:lineRule="auto"/>
        <w:ind w:left="640" w:right="-420" w:rightChars="-200" w:hanging="640"/>
        <w:rPr>
          <w:rFonts w:ascii="宋体" w:hAnsi="宋体" w:cs="宋体"/>
          <w:color w:val="000000" w:themeColor="text1"/>
          <w:sz w:val="24"/>
          <w:highlight w:val="none"/>
          <w:lang w:val="fr-CH"/>
          <w14:textFill>
            <w14:solidFill>
              <w14:schemeClr w14:val="tx1"/>
            </w14:solidFill>
          </w14:textFill>
        </w:rPr>
      </w:pPr>
      <w:r>
        <w:rPr>
          <w:rFonts w:hint="eastAsia" w:ascii="宋体" w:hAnsi="宋体" w:cs="宋体"/>
          <w:color w:val="000000" w:themeColor="text1"/>
          <w:sz w:val="24"/>
          <w:highlight w:val="none"/>
          <w:lang w:val="fr-CH"/>
          <w14:textFill>
            <w14:solidFill>
              <w14:schemeClr w14:val="tx1"/>
            </w14:solidFill>
          </w14:textFill>
        </w:rPr>
        <w:t>用户需求响应表；</w:t>
      </w:r>
    </w:p>
    <w:p>
      <w:pPr>
        <w:numPr>
          <w:ilvl w:val="0"/>
          <w:numId w:val="12"/>
        </w:numPr>
        <w:tabs>
          <w:tab w:val="left" w:pos="640"/>
          <w:tab w:val="left" w:pos="1260"/>
          <w:tab w:val="left" w:pos="1418"/>
        </w:tabs>
        <w:spacing w:line="360" w:lineRule="auto"/>
        <w:ind w:left="845" w:right="-420" w:rightChars="-200" w:hanging="845"/>
        <w:rPr>
          <w:rFonts w:ascii="宋体" w:hAnsi="宋体" w:cs="宋体"/>
          <w:color w:val="000000" w:themeColor="text1"/>
          <w:sz w:val="24"/>
          <w:highlight w:val="none"/>
          <w:lang w:val="fr-CH"/>
          <w14:textFill>
            <w14:solidFill>
              <w14:schemeClr w14:val="tx1"/>
            </w14:solidFill>
          </w14:textFill>
        </w:rPr>
      </w:pPr>
      <w:r>
        <w:rPr>
          <w:rFonts w:hint="eastAsia" w:ascii="宋体" w:hAnsi="宋体" w:cs="宋体"/>
          <w:color w:val="000000" w:themeColor="text1"/>
          <w:sz w:val="24"/>
          <w:highlight w:val="none"/>
          <w:lang w:val="fr-CH"/>
          <w14:textFill>
            <w14:solidFill>
              <w14:schemeClr w14:val="tx1"/>
            </w14:solidFill>
          </w14:textFill>
        </w:rPr>
        <w:t>对项目需求的解析；</w:t>
      </w:r>
    </w:p>
    <w:p>
      <w:pPr>
        <w:numPr>
          <w:ilvl w:val="0"/>
          <w:numId w:val="12"/>
        </w:numPr>
        <w:tabs>
          <w:tab w:val="left" w:pos="640"/>
          <w:tab w:val="left" w:pos="1260"/>
          <w:tab w:val="left" w:pos="1418"/>
        </w:tabs>
        <w:spacing w:line="360" w:lineRule="auto"/>
        <w:ind w:left="845" w:right="-420" w:rightChars="-200" w:hanging="845"/>
        <w:rPr>
          <w:rFonts w:ascii="宋体" w:hAnsi="宋体" w:cs="宋体"/>
          <w:color w:val="000000" w:themeColor="text1"/>
          <w:sz w:val="24"/>
          <w:highlight w:val="none"/>
          <w:lang w:val="fr-CH"/>
          <w14:textFill>
            <w14:solidFill>
              <w14:schemeClr w14:val="tx1"/>
            </w14:solidFill>
          </w14:textFill>
        </w:rPr>
      </w:pPr>
      <w:r>
        <w:rPr>
          <w:rFonts w:hint="eastAsia" w:ascii="宋体" w:hAnsi="宋体" w:cs="宋体"/>
          <w:color w:val="000000" w:themeColor="text1"/>
          <w:sz w:val="24"/>
          <w:highlight w:val="none"/>
          <w:lang w:val="fr-CH"/>
          <w14:textFill>
            <w14:solidFill>
              <w14:schemeClr w14:val="tx1"/>
            </w14:solidFill>
          </w14:textFill>
        </w:rPr>
        <w:t>实施方案；</w:t>
      </w:r>
    </w:p>
    <w:p>
      <w:pPr>
        <w:numPr>
          <w:ilvl w:val="0"/>
          <w:numId w:val="12"/>
        </w:numPr>
        <w:tabs>
          <w:tab w:val="left" w:pos="640"/>
          <w:tab w:val="left" w:pos="1260"/>
          <w:tab w:val="left" w:pos="1418"/>
        </w:tabs>
        <w:spacing w:line="360" w:lineRule="auto"/>
        <w:ind w:left="845" w:right="-420" w:rightChars="-200" w:hanging="845"/>
        <w:rPr>
          <w:rFonts w:ascii="宋体" w:hAnsi="宋体" w:cs="宋体"/>
          <w:color w:val="000000" w:themeColor="text1"/>
          <w:sz w:val="24"/>
          <w:highlight w:val="none"/>
          <w:lang w:val="fr-CH"/>
          <w14:textFill>
            <w14:solidFill>
              <w14:schemeClr w14:val="tx1"/>
            </w14:solidFill>
          </w14:textFill>
        </w:rPr>
      </w:pPr>
      <w:r>
        <w:rPr>
          <w:rFonts w:hint="eastAsia" w:ascii="宋体" w:hAnsi="宋体" w:cs="宋体"/>
          <w:color w:val="000000" w:themeColor="text1"/>
          <w:sz w:val="24"/>
          <w:highlight w:val="none"/>
          <w:lang w:val="fr-CH"/>
          <w14:textFill>
            <w14:solidFill>
              <w14:schemeClr w14:val="tx1"/>
            </w14:solidFill>
          </w14:textFill>
        </w:rPr>
        <w:t>项目重点、难点及解决方案；</w:t>
      </w:r>
    </w:p>
    <w:p>
      <w:pPr>
        <w:numPr>
          <w:ilvl w:val="0"/>
          <w:numId w:val="12"/>
        </w:numPr>
        <w:tabs>
          <w:tab w:val="left" w:pos="640"/>
          <w:tab w:val="left" w:pos="1260"/>
          <w:tab w:val="left" w:pos="1418"/>
        </w:tabs>
        <w:spacing w:line="360" w:lineRule="auto"/>
        <w:ind w:left="845" w:right="-420" w:rightChars="-200" w:hanging="845"/>
        <w:rPr>
          <w:rFonts w:ascii="宋体" w:hAnsi="宋体" w:cs="宋体"/>
          <w:color w:val="000000" w:themeColor="text1"/>
          <w:sz w:val="24"/>
          <w:highlight w:val="none"/>
          <w:lang w:val="fr-CH"/>
          <w14:textFill>
            <w14:solidFill>
              <w14:schemeClr w14:val="tx1"/>
            </w14:solidFill>
          </w14:textFill>
        </w:rPr>
      </w:pPr>
      <w:r>
        <w:rPr>
          <w:rFonts w:hint="eastAsia" w:ascii="宋体" w:hAnsi="宋体" w:cs="宋体"/>
          <w:color w:val="000000" w:themeColor="text1"/>
          <w:sz w:val="24"/>
          <w:highlight w:val="none"/>
          <w:lang w:val="fr-CH"/>
          <w14:textFill>
            <w14:solidFill>
              <w14:schemeClr w14:val="tx1"/>
            </w14:solidFill>
          </w14:textFill>
        </w:rPr>
        <w:t>项目质量保障措施和售后服务计划；</w:t>
      </w:r>
    </w:p>
    <w:p>
      <w:pPr>
        <w:numPr>
          <w:ilvl w:val="0"/>
          <w:numId w:val="12"/>
        </w:numPr>
        <w:tabs>
          <w:tab w:val="left" w:pos="640"/>
          <w:tab w:val="left" w:pos="1260"/>
          <w:tab w:val="left" w:pos="1418"/>
        </w:tabs>
        <w:spacing w:line="360" w:lineRule="auto"/>
        <w:ind w:left="845" w:right="-420" w:rightChars="-200" w:hanging="845"/>
        <w:rPr>
          <w:rFonts w:ascii="宋体" w:hAnsi="宋体" w:cs="宋体"/>
          <w:color w:val="000000" w:themeColor="text1"/>
          <w:sz w:val="24"/>
          <w:highlight w:val="none"/>
          <w:lang w:val="fr-CH"/>
          <w14:textFill>
            <w14:solidFill>
              <w14:schemeClr w14:val="tx1"/>
            </w14:solidFill>
          </w14:textFill>
        </w:rPr>
      </w:pPr>
      <w:r>
        <w:rPr>
          <w:rFonts w:hint="eastAsia" w:ascii="宋体" w:hAnsi="宋体" w:cs="宋体"/>
          <w:color w:val="000000" w:themeColor="text1"/>
          <w:sz w:val="24"/>
          <w:highlight w:val="none"/>
          <w:lang w:val="fr-CH"/>
          <w14:textFill>
            <w14:solidFill>
              <w14:schemeClr w14:val="tx1"/>
            </w14:solidFill>
          </w14:textFill>
        </w:rPr>
        <w:t>投标人认为有必要提供的其他材料。</w:t>
      </w:r>
    </w:p>
    <w:p>
      <w:pPr>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br w:type="page"/>
      </w:r>
      <w:r>
        <w:rPr>
          <w:rFonts w:hint="eastAsia" w:ascii="宋体" w:hAnsi="宋体" w:cs="宋体"/>
          <w:b/>
          <w:bCs/>
          <w:color w:val="000000" w:themeColor="text1"/>
          <w:sz w:val="24"/>
          <w:highlight w:val="none"/>
          <w14:textFill>
            <w14:solidFill>
              <w14:schemeClr w14:val="tx1"/>
            </w14:solidFill>
          </w14:textFill>
        </w:rPr>
        <w:t>（一）</w:t>
      </w:r>
      <w:r>
        <w:rPr>
          <w:rFonts w:hint="eastAsia" w:ascii="宋体" w:hAnsi="宋体" w:cs="宋体"/>
          <w:b/>
          <w:bCs/>
          <w:color w:val="000000" w:themeColor="text1"/>
          <w:sz w:val="24"/>
          <w:highlight w:val="none"/>
          <w:lang w:val="zh-CN"/>
          <w14:textFill>
            <w14:solidFill>
              <w14:schemeClr w14:val="tx1"/>
            </w14:solidFill>
          </w14:textFill>
        </w:rPr>
        <w:t>价格部分</w:t>
      </w:r>
    </w:p>
    <w:p>
      <w:pPr>
        <w:numPr>
          <w:ilvl w:val="0"/>
          <w:numId w:val="13"/>
        </w:numPr>
        <w:tabs>
          <w:tab w:val="left" w:pos="640"/>
          <w:tab w:val="clear" w:pos="425"/>
        </w:tabs>
        <w:ind w:left="625" w:hanging="62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投标一览表；</w:t>
      </w:r>
    </w:p>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投标一览表</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投标供应商名称：（公章）</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u w:val="single"/>
          <w14:textFill>
            <w14:solidFill>
              <w14:schemeClr w14:val="tx1"/>
            </w14:solidFill>
          </w14:textFill>
        </w:rPr>
        <w:t xml:space="preserve">                                      </w:t>
      </w:r>
    </w:p>
    <w:tbl>
      <w:tblPr>
        <w:tblStyle w:val="24"/>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vAlign w:val="center"/>
          </w:tcPr>
          <w:p>
            <w:pPr>
              <w:spacing w:after="60"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p>
        </w:tc>
        <w:tc>
          <w:tcPr>
            <w:tcW w:w="2896" w:type="dxa"/>
            <w:vAlign w:val="center"/>
          </w:tcPr>
          <w:p>
            <w:pPr>
              <w:spacing w:after="60"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投标价</w:t>
            </w:r>
          </w:p>
          <w:p>
            <w:pPr>
              <w:spacing w:after="60"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（人民币）</w:t>
            </w:r>
          </w:p>
        </w:tc>
        <w:tc>
          <w:tcPr>
            <w:tcW w:w="1318" w:type="dxa"/>
            <w:vAlign w:val="center"/>
          </w:tcPr>
          <w:p>
            <w:pPr>
              <w:spacing w:after="60"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vAlign w:val="center"/>
          </w:tcPr>
          <w:p>
            <w:pPr>
              <w:spacing w:line="360" w:lineRule="auto"/>
              <w:jc w:val="center"/>
              <w:rPr>
                <w:rFonts w:ascii="宋体" w:hAnsi="宋体" w:cs="宋体"/>
                <w:color w:val="000000" w:themeColor="text1"/>
                <w:sz w:val="24"/>
                <w:highlight w:val="none"/>
                <w:u w:val="single"/>
                <w14:textFill>
                  <w14:solidFill>
                    <w14:schemeClr w14:val="tx1"/>
                  </w14:solidFill>
                </w14:textFill>
              </w:rPr>
            </w:pPr>
          </w:p>
        </w:tc>
        <w:tc>
          <w:tcPr>
            <w:tcW w:w="2896" w:type="dxa"/>
            <w:vAlign w:val="center"/>
          </w:tcPr>
          <w:p>
            <w:pPr>
              <w:spacing w:line="360" w:lineRule="auto"/>
              <w:jc w:val="center"/>
              <w:rPr>
                <w:rFonts w:ascii="宋体" w:hAnsi="宋体" w:cs="宋体"/>
                <w:color w:val="000000" w:themeColor="text1"/>
                <w:sz w:val="24"/>
                <w:highlight w:val="none"/>
                <w:u w:val="single"/>
                <w14:textFill>
                  <w14:solidFill>
                    <w14:schemeClr w14:val="tx1"/>
                  </w14:solidFill>
                </w14:textFill>
              </w:rPr>
            </w:pPr>
          </w:p>
        </w:tc>
        <w:tc>
          <w:tcPr>
            <w:tcW w:w="1318" w:type="dxa"/>
            <w:vAlign w:val="center"/>
          </w:tcPr>
          <w:p>
            <w:pPr>
              <w:spacing w:line="360" w:lineRule="auto"/>
              <w:jc w:val="center"/>
              <w:rPr>
                <w:rFonts w:ascii="宋体" w:hAnsi="宋体" w:cs="宋体"/>
                <w:color w:val="000000" w:themeColor="text1"/>
                <w:sz w:val="24"/>
                <w:highlight w:val="none"/>
                <w:u w:val="single"/>
                <w14:textFill>
                  <w14:solidFill>
                    <w14:schemeClr w14:val="tx1"/>
                  </w14:solidFill>
                </w14:textFill>
              </w:rPr>
            </w:pPr>
          </w:p>
        </w:tc>
      </w:tr>
    </w:tbl>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投标供应商授权代表：</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r>
        <w:rPr>
          <w:rFonts w:hint="eastAsia" w:ascii="宋体" w:hAnsi="宋体" w:cs="宋体"/>
          <w:color w:val="000000" w:themeColor="text1"/>
          <w:sz w:val="24"/>
          <w:highlight w:val="none"/>
          <w:u w:val="single"/>
          <w14:textFill>
            <w14:solidFill>
              <w14:schemeClr w14:val="tx1"/>
            </w14:solidFill>
          </w14:textFill>
        </w:rPr>
        <w:t xml:space="preserve">                   </w:t>
      </w:r>
    </w:p>
    <w:p>
      <w:pPr>
        <w:pStyle w:val="2"/>
        <w:rPr>
          <w:color w:val="000000" w:themeColor="text1"/>
          <w:highlight w:val="none"/>
          <w14:textFill>
            <w14:solidFill>
              <w14:schemeClr w14:val="tx1"/>
            </w14:solidFill>
          </w14:textFill>
        </w:rPr>
      </w:pPr>
    </w:p>
    <w:p>
      <w:pPr>
        <w:numPr>
          <w:ilvl w:val="0"/>
          <w:numId w:val="13"/>
        </w:numPr>
        <w:tabs>
          <w:tab w:val="left" w:pos="640"/>
          <w:tab w:val="clear" w:pos="425"/>
        </w:tabs>
        <w:ind w:left="625" w:hanging="62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color w:val="000000" w:themeColor="text1"/>
          <w:sz w:val="24"/>
          <w:highlight w:val="none"/>
          <w14:textFill>
            <w14:solidFill>
              <w14:schemeClr w14:val="tx1"/>
            </w14:solidFill>
          </w14:textFill>
        </w:rPr>
        <w:t>分项报价清单；</w:t>
      </w:r>
    </w:p>
    <w:p>
      <w:pP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分项报价清单</w:t>
      </w:r>
    </w:p>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投标供应商名称：（公章）</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p>
    <w:tbl>
      <w:tblPr>
        <w:tblStyle w:val="2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vAlign w:val="bottom"/>
          </w:tcPr>
          <w:p>
            <w:pPr>
              <w:pStyle w:val="12"/>
              <w:spacing w:line="360" w:lineRule="auto"/>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序号</w:t>
            </w:r>
          </w:p>
        </w:tc>
        <w:tc>
          <w:tcPr>
            <w:tcW w:w="2212" w:type="dxa"/>
            <w:vAlign w:val="center"/>
          </w:tcPr>
          <w:p>
            <w:pPr>
              <w:pStyle w:val="12"/>
              <w:spacing w:line="360" w:lineRule="auto"/>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项目名称、内容</w:t>
            </w:r>
          </w:p>
        </w:tc>
        <w:tc>
          <w:tcPr>
            <w:tcW w:w="720" w:type="dxa"/>
            <w:vAlign w:val="center"/>
          </w:tcPr>
          <w:p>
            <w:pPr>
              <w:pStyle w:val="12"/>
              <w:spacing w:line="360" w:lineRule="auto"/>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单位</w:t>
            </w:r>
          </w:p>
        </w:tc>
        <w:tc>
          <w:tcPr>
            <w:tcW w:w="1800" w:type="dxa"/>
            <w:vAlign w:val="center"/>
          </w:tcPr>
          <w:p>
            <w:pPr>
              <w:pStyle w:val="12"/>
              <w:spacing w:line="360" w:lineRule="auto"/>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数量（工作量）</w:t>
            </w:r>
          </w:p>
        </w:tc>
        <w:tc>
          <w:tcPr>
            <w:tcW w:w="1620" w:type="dxa"/>
            <w:vAlign w:val="center"/>
          </w:tcPr>
          <w:p>
            <w:pPr>
              <w:pStyle w:val="12"/>
              <w:spacing w:line="360" w:lineRule="auto"/>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单价</w:t>
            </w:r>
          </w:p>
        </w:tc>
        <w:tc>
          <w:tcPr>
            <w:tcW w:w="1620" w:type="dxa"/>
            <w:vAlign w:val="center"/>
          </w:tcPr>
          <w:p>
            <w:pPr>
              <w:pStyle w:val="12"/>
              <w:spacing w:line="360" w:lineRule="auto"/>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vAlign w:val="bottom"/>
          </w:tcPr>
          <w:p>
            <w:pPr>
              <w:pStyle w:val="12"/>
              <w:spacing w:line="360" w:lineRule="auto"/>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w:t>
            </w:r>
          </w:p>
        </w:tc>
        <w:tc>
          <w:tcPr>
            <w:tcW w:w="2212" w:type="dxa"/>
            <w:vAlign w:val="center"/>
          </w:tcPr>
          <w:p>
            <w:pPr>
              <w:pStyle w:val="12"/>
              <w:spacing w:line="360" w:lineRule="auto"/>
              <w:jc w:val="center"/>
              <w:rPr>
                <w:rFonts w:hAnsi="宋体" w:cs="宋体"/>
                <w:color w:val="000000" w:themeColor="text1"/>
                <w:sz w:val="24"/>
                <w:highlight w:val="none"/>
                <w14:textFill>
                  <w14:solidFill>
                    <w14:schemeClr w14:val="tx1"/>
                  </w14:solidFill>
                </w14:textFill>
              </w:rPr>
            </w:pPr>
          </w:p>
        </w:tc>
        <w:tc>
          <w:tcPr>
            <w:tcW w:w="720" w:type="dxa"/>
            <w:vAlign w:val="center"/>
          </w:tcPr>
          <w:p>
            <w:pPr>
              <w:pStyle w:val="12"/>
              <w:spacing w:line="360" w:lineRule="auto"/>
              <w:jc w:val="center"/>
              <w:rPr>
                <w:rFonts w:hAnsi="宋体" w:cs="宋体"/>
                <w:color w:val="000000" w:themeColor="text1"/>
                <w:sz w:val="24"/>
                <w:highlight w:val="none"/>
                <w14:textFill>
                  <w14:solidFill>
                    <w14:schemeClr w14:val="tx1"/>
                  </w14:solidFill>
                </w14:textFill>
              </w:rPr>
            </w:pPr>
          </w:p>
        </w:tc>
        <w:tc>
          <w:tcPr>
            <w:tcW w:w="1800" w:type="dxa"/>
            <w:vAlign w:val="center"/>
          </w:tcPr>
          <w:p>
            <w:pPr>
              <w:pStyle w:val="12"/>
              <w:spacing w:line="360" w:lineRule="auto"/>
              <w:jc w:val="center"/>
              <w:rPr>
                <w:rFonts w:hAnsi="宋体" w:cs="宋体"/>
                <w:color w:val="000000" w:themeColor="text1"/>
                <w:sz w:val="24"/>
                <w:highlight w:val="none"/>
                <w14:textFill>
                  <w14:solidFill>
                    <w14:schemeClr w14:val="tx1"/>
                  </w14:solidFill>
                </w14:textFill>
              </w:rPr>
            </w:pPr>
          </w:p>
        </w:tc>
        <w:tc>
          <w:tcPr>
            <w:tcW w:w="1620" w:type="dxa"/>
            <w:vAlign w:val="center"/>
          </w:tcPr>
          <w:p>
            <w:pPr>
              <w:pStyle w:val="12"/>
              <w:spacing w:line="360" w:lineRule="auto"/>
              <w:jc w:val="center"/>
              <w:rPr>
                <w:rFonts w:hAnsi="宋体" w:cs="宋体"/>
                <w:color w:val="000000" w:themeColor="text1"/>
                <w:sz w:val="24"/>
                <w:highlight w:val="none"/>
                <w14:textFill>
                  <w14:solidFill>
                    <w14:schemeClr w14:val="tx1"/>
                  </w14:solidFill>
                </w14:textFill>
              </w:rPr>
            </w:pPr>
          </w:p>
        </w:tc>
        <w:tc>
          <w:tcPr>
            <w:tcW w:w="1620" w:type="dxa"/>
            <w:vAlign w:val="center"/>
          </w:tcPr>
          <w:p>
            <w:pPr>
              <w:pStyle w:val="12"/>
              <w:spacing w:line="360" w:lineRule="auto"/>
              <w:jc w:val="center"/>
              <w:rPr>
                <w:rFonts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vAlign w:val="bottom"/>
          </w:tcPr>
          <w:p>
            <w:pPr>
              <w:pStyle w:val="12"/>
              <w:spacing w:line="360" w:lineRule="auto"/>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w:t>
            </w:r>
          </w:p>
        </w:tc>
        <w:tc>
          <w:tcPr>
            <w:tcW w:w="2212" w:type="dxa"/>
            <w:vAlign w:val="center"/>
          </w:tcPr>
          <w:p>
            <w:pPr>
              <w:autoSpaceDE w:val="0"/>
              <w:autoSpaceDN w:val="0"/>
              <w:adjustRightInd w:val="0"/>
              <w:spacing w:line="360" w:lineRule="auto"/>
              <w:jc w:val="center"/>
              <w:rPr>
                <w:rFonts w:ascii="宋体" w:hAnsi="宋体" w:cs="宋体"/>
                <w:color w:val="000000" w:themeColor="text1"/>
                <w:sz w:val="24"/>
                <w:highlight w:val="none"/>
                <w14:textFill>
                  <w14:solidFill>
                    <w14:schemeClr w14:val="tx1"/>
                  </w14:solidFill>
                </w14:textFill>
              </w:rPr>
            </w:pPr>
          </w:p>
        </w:tc>
        <w:tc>
          <w:tcPr>
            <w:tcW w:w="720" w:type="dxa"/>
            <w:vAlign w:val="center"/>
          </w:tcPr>
          <w:p>
            <w:pPr>
              <w:pStyle w:val="12"/>
              <w:spacing w:line="360" w:lineRule="auto"/>
              <w:jc w:val="center"/>
              <w:rPr>
                <w:rFonts w:hAnsi="宋体" w:cs="宋体"/>
                <w:color w:val="000000" w:themeColor="text1"/>
                <w:sz w:val="24"/>
                <w:highlight w:val="none"/>
                <w14:textFill>
                  <w14:solidFill>
                    <w14:schemeClr w14:val="tx1"/>
                  </w14:solidFill>
                </w14:textFill>
              </w:rPr>
            </w:pPr>
          </w:p>
        </w:tc>
        <w:tc>
          <w:tcPr>
            <w:tcW w:w="1800" w:type="dxa"/>
            <w:vAlign w:val="center"/>
          </w:tcPr>
          <w:p>
            <w:pPr>
              <w:pStyle w:val="12"/>
              <w:spacing w:line="360" w:lineRule="auto"/>
              <w:jc w:val="center"/>
              <w:rPr>
                <w:rFonts w:hAnsi="宋体" w:cs="宋体"/>
                <w:color w:val="000000" w:themeColor="text1"/>
                <w:sz w:val="24"/>
                <w:highlight w:val="none"/>
                <w14:textFill>
                  <w14:solidFill>
                    <w14:schemeClr w14:val="tx1"/>
                  </w14:solidFill>
                </w14:textFill>
              </w:rPr>
            </w:pPr>
          </w:p>
        </w:tc>
        <w:tc>
          <w:tcPr>
            <w:tcW w:w="1620" w:type="dxa"/>
            <w:vAlign w:val="center"/>
          </w:tcPr>
          <w:p>
            <w:pPr>
              <w:pStyle w:val="12"/>
              <w:spacing w:line="360" w:lineRule="auto"/>
              <w:jc w:val="center"/>
              <w:rPr>
                <w:rFonts w:hAnsi="宋体" w:cs="宋体"/>
                <w:color w:val="000000" w:themeColor="text1"/>
                <w:sz w:val="24"/>
                <w:highlight w:val="none"/>
                <w14:textFill>
                  <w14:solidFill>
                    <w14:schemeClr w14:val="tx1"/>
                  </w14:solidFill>
                </w14:textFill>
              </w:rPr>
            </w:pPr>
          </w:p>
        </w:tc>
        <w:tc>
          <w:tcPr>
            <w:tcW w:w="1620" w:type="dxa"/>
            <w:vAlign w:val="center"/>
          </w:tcPr>
          <w:p>
            <w:pPr>
              <w:pStyle w:val="12"/>
              <w:spacing w:line="360" w:lineRule="auto"/>
              <w:jc w:val="center"/>
              <w:rPr>
                <w:rFonts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vAlign w:val="bottom"/>
          </w:tcPr>
          <w:p>
            <w:pPr>
              <w:pStyle w:val="12"/>
              <w:spacing w:line="360" w:lineRule="auto"/>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w:t>
            </w:r>
          </w:p>
        </w:tc>
        <w:tc>
          <w:tcPr>
            <w:tcW w:w="2212" w:type="dxa"/>
            <w:vAlign w:val="center"/>
          </w:tcPr>
          <w:p>
            <w:pPr>
              <w:autoSpaceDE w:val="0"/>
              <w:autoSpaceDN w:val="0"/>
              <w:adjustRightInd w:val="0"/>
              <w:spacing w:line="360" w:lineRule="auto"/>
              <w:jc w:val="center"/>
              <w:rPr>
                <w:rFonts w:ascii="宋体" w:hAnsi="宋体" w:cs="宋体"/>
                <w:color w:val="000000" w:themeColor="text1"/>
                <w:sz w:val="24"/>
                <w:highlight w:val="none"/>
                <w14:textFill>
                  <w14:solidFill>
                    <w14:schemeClr w14:val="tx1"/>
                  </w14:solidFill>
                </w14:textFill>
              </w:rPr>
            </w:pPr>
          </w:p>
        </w:tc>
        <w:tc>
          <w:tcPr>
            <w:tcW w:w="720" w:type="dxa"/>
            <w:vAlign w:val="center"/>
          </w:tcPr>
          <w:p>
            <w:pPr>
              <w:pStyle w:val="12"/>
              <w:spacing w:line="360" w:lineRule="auto"/>
              <w:jc w:val="center"/>
              <w:rPr>
                <w:rFonts w:hAnsi="宋体" w:cs="宋体"/>
                <w:color w:val="000000" w:themeColor="text1"/>
                <w:sz w:val="24"/>
                <w:highlight w:val="none"/>
                <w14:textFill>
                  <w14:solidFill>
                    <w14:schemeClr w14:val="tx1"/>
                  </w14:solidFill>
                </w14:textFill>
              </w:rPr>
            </w:pPr>
          </w:p>
        </w:tc>
        <w:tc>
          <w:tcPr>
            <w:tcW w:w="1800" w:type="dxa"/>
            <w:vAlign w:val="center"/>
          </w:tcPr>
          <w:p>
            <w:pPr>
              <w:pStyle w:val="12"/>
              <w:spacing w:line="360" w:lineRule="auto"/>
              <w:jc w:val="center"/>
              <w:rPr>
                <w:rFonts w:hAnsi="宋体" w:cs="宋体"/>
                <w:color w:val="000000" w:themeColor="text1"/>
                <w:sz w:val="24"/>
                <w:highlight w:val="none"/>
                <w14:textFill>
                  <w14:solidFill>
                    <w14:schemeClr w14:val="tx1"/>
                  </w14:solidFill>
                </w14:textFill>
              </w:rPr>
            </w:pPr>
          </w:p>
        </w:tc>
        <w:tc>
          <w:tcPr>
            <w:tcW w:w="1620" w:type="dxa"/>
            <w:vAlign w:val="center"/>
          </w:tcPr>
          <w:p>
            <w:pPr>
              <w:pStyle w:val="12"/>
              <w:spacing w:line="360" w:lineRule="auto"/>
              <w:jc w:val="center"/>
              <w:rPr>
                <w:rFonts w:hAnsi="宋体" w:cs="宋体"/>
                <w:color w:val="000000" w:themeColor="text1"/>
                <w:sz w:val="24"/>
                <w:highlight w:val="none"/>
                <w14:textFill>
                  <w14:solidFill>
                    <w14:schemeClr w14:val="tx1"/>
                  </w14:solidFill>
                </w14:textFill>
              </w:rPr>
            </w:pPr>
          </w:p>
        </w:tc>
        <w:tc>
          <w:tcPr>
            <w:tcW w:w="1620" w:type="dxa"/>
            <w:vAlign w:val="center"/>
          </w:tcPr>
          <w:p>
            <w:pPr>
              <w:pStyle w:val="12"/>
              <w:spacing w:line="360" w:lineRule="auto"/>
              <w:jc w:val="center"/>
              <w:rPr>
                <w:rFonts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vAlign w:val="bottom"/>
          </w:tcPr>
          <w:p>
            <w:pPr>
              <w:pStyle w:val="12"/>
              <w:spacing w:line="360" w:lineRule="auto"/>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w:t>
            </w:r>
          </w:p>
        </w:tc>
        <w:tc>
          <w:tcPr>
            <w:tcW w:w="2212" w:type="dxa"/>
            <w:vAlign w:val="center"/>
          </w:tcPr>
          <w:p>
            <w:pPr>
              <w:autoSpaceDE w:val="0"/>
              <w:autoSpaceDN w:val="0"/>
              <w:adjustRightInd w:val="0"/>
              <w:spacing w:line="360" w:lineRule="auto"/>
              <w:jc w:val="center"/>
              <w:rPr>
                <w:rFonts w:ascii="宋体" w:hAnsi="宋体" w:cs="宋体"/>
                <w:color w:val="000000" w:themeColor="text1"/>
                <w:sz w:val="24"/>
                <w:highlight w:val="none"/>
                <w14:textFill>
                  <w14:solidFill>
                    <w14:schemeClr w14:val="tx1"/>
                  </w14:solidFill>
                </w14:textFill>
              </w:rPr>
            </w:pPr>
          </w:p>
        </w:tc>
        <w:tc>
          <w:tcPr>
            <w:tcW w:w="720" w:type="dxa"/>
            <w:vAlign w:val="center"/>
          </w:tcPr>
          <w:p>
            <w:pPr>
              <w:pStyle w:val="12"/>
              <w:spacing w:line="360" w:lineRule="auto"/>
              <w:jc w:val="center"/>
              <w:rPr>
                <w:rFonts w:hAnsi="宋体" w:cs="宋体"/>
                <w:color w:val="000000" w:themeColor="text1"/>
                <w:sz w:val="24"/>
                <w:highlight w:val="none"/>
                <w14:textFill>
                  <w14:solidFill>
                    <w14:schemeClr w14:val="tx1"/>
                  </w14:solidFill>
                </w14:textFill>
              </w:rPr>
            </w:pPr>
          </w:p>
        </w:tc>
        <w:tc>
          <w:tcPr>
            <w:tcW w:w="1800" w:type="dxa"/>
            <w:vAlign w:val="center"/>
          </w:tcPr>
          <w:p>
            <w:pPr>
              <w:pStyle w:val="12"/>
              <w:spacing w:line="360" w:lineRule="auto"/>
              <w:jc w:val="center"/>
              <w:rPr>
                <w:rFonts w:hAnsi="宋体" w:cs="宋体"/>
                <w:color w:val="000000" w:themeColor="text1"/>
                <w:sz w:val="24"/>
                <w:highlight w:val="none"/>
                <w14:textFill>
                  <w14:solidFill>
                    <w14:schemeClr w14:val="tx1"/>
                  </w14:solidFill>
                </w14:textFill>
              </w:rPr>
            </w:pPr>
          </w:p>
        </w:tc>
        <w:tc>
          <w:tcPr>
            <w:tcW w:w="1620" w:type="dxa"/>
            <w:vAlign w:val="center"/>
          </w:tcPr>
          <w:p>
            <w:pPr>
              <w:pStyle w:val="12"/>
              <w:spacing w:line="360" w:lineRule="auto"/>
              <w:jc w:val="center"/>
              <w:rPr>
                <w:rFonts w:hAnsi="宋体" w:cs="宋体"/>
                <w:color w:val="000000" w:themeColor="text1"/>
                <w:sz w:val="24"/>
                <w:highlight w:val="none"/>
                <w14:textFill>
                  <w14:solidFill>
                    <w14:schemeClr w14:val="tx1"/>
                  </w14:solidFill>
                </w14:textFill>
              </w:rPr>
            </w:pPr>
          </w:p>
        </w:tc>
        <w:tc>
          <w:tcPr>
            <w:tcW w:w="1620" w:type="dxa"/>
            <w:vAlign w:val="center"/>
          </w:tcPr>
          <w:p>
            <w:pPr>
              <w:pStyle w:val="12"/>
              <w:spacing w:line="360" w:lineRule="auto"/>
              <w:jc w:val="center"/>
              <w:rPr>
                <w:rFonts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spacing w:line="360" w:lineRule="auto"/>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w:t>
            </w:r>
          </w:p>
        </w:tc>
        <w:tc>
          <w:tcPr>
            <w:tcW w:w="2212" w:type="dxa"/>
            <w:vAlign w:val="center"/>
          </w:tcPr>
          <w:p>
            <w:pPr>
              <w:autoSpaceDE w:val="0"/>
              <w:autoSpaceDN w:val="0"/>
              <w:adjustRightInd w:val="0"/>
              <w:spacing w:line="360" w:lineRule="auto"/>
              <w:jc w:val="center"/>
              <w:rPr>
                <w:rFonts w:ascii="宋体" w:hAnsi="宋体" w:cs="宋体"/>
                <w:color w:val="000000" w:themeColor="text1"/>
                <w:sz w:val="24"/>
                <w:highlight w:val="none"/>
                <w14:textFill>
                  <w14:solidFill>
                    <w14:schemeClr w14:val="tx1"/>
                  </w14:solidFill>
                </w14:textFill>
              </w:rPr>
            </w:pPr>
          </w:p>
        </w:tc>
        <w:tc>
          <w:tcPr>
            <w:tcW w:w="720" w:type="dxa"/>
            <w:vAlign w:val="center"/>
          </w:tcPr>
          <w:p>
            <w:pPr>
              <w:pStyle w:val="12"/>
              <w:spacing w:line="360" w:lineRule="auto"/>
              <w:jc w:val="center"/>
              <w:rPr>
                <w:rFonts w:hAnsi="宋体" w:cs="宋体"/>
                <w:color w:val="000000" w:themeColor="text1"/>
                <w:sz w:val="24"/>
                <w:highlight w:val="none"/>
                <w14:textFill>
                  <w14:solidFill>
                    <w14:schemeClr w14:val="tx1"/>
                  </w14:solidFill>
                </w14:textFill>
              </w:rPr>
            </w:pPr>
          </w:p>
        </w:tc>
        <w:tc>
          <w:tcPr>
            <w:tcW w:w="1800" w:type="dxa"/>
            <w:vAlign w:val="center"/>
          </w:tcPr>
          <w:p>
            <w:pPr>
              <w:pStyle w:val="12"/>
              <w:spacing w:line="360" w:lineRule="auto"/>
              <w:jc w:val="center"/>
              <w:rPr>
                <w:rFonts w:hAnsi="宋体" w:cs="宋体"/>
                <w:color w:val="000000" w:themeColor="text1"/>
                <w:sz w:val="24"/>
                <w:highlight w:val="none"/>
                <w14:textFill>
                  <w14:solidFill>
                    <w14:schemeClr w14:val="tx1"/>
                  </w14:solidFill>
                </w14:textFill>
              </w:rPr>
            </w:pPr>
          </w:p>
        </w:tc>
        <w:tc>
          <w:tcPr>
            <w:tcW w:w="1620" w:type="dxa"/>
            <w:vAlign w:val="center"/>
          </w:tcPr>
          <w:p>
            <w:pPr>
              <w:pStyle w:val="12"/>
              <w:spacing w:line="360" w:lineRule="auto"/>
              <w:jc w:val="center"/>
              <w:rPr>
                <w:rFonts w:hAnsi="宋体" w:cs="宋体"/>
                <w:color w:val="000000" w:themeColor="text1"/>
                <w:sz w:val="24"/>
                <w:highlight w:val="none"/>
                <w14:textFill>
                  <w14:solidFill>
                    <w14:schemeClr w14:val="tx1"/>
                  </w14:solidFill>
                </w14:textFill>
              </w:rPr>
            </w:pPr>
          </w:p>
        </w:tc>
        <w:tc>
          <w:tcPr>
            <w:tcW w:w="1620" w:type="dxa"/>
            <w:vAlign w:val="center"/>
          </w:tcPr>
          <w:p>
            <w:pPr>
              <w:pStyle w:val="12"/>
              <w:spacing w:line="360" w:lineRule="auto"/>
              <w:jc w:val="center"/>
              <w:rPr>
                <w:rFonts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spacing w:line="360" w:lineRule="auto"/>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6</w:t>
            </w:r>
          </w:p>
        </w:tc>
        <w:tc>
          <w:tcPr>
            <w:tcW w:w="2212" w:type="dxa"/>
            <w:vAlign w:val="center"/>
          </w:tcPr>
          <w:p>
            <w:pPr>
              <w:autoSpaceDE w:val="0"/>
              <w:autoSpaceDN w:val="0"/>
              <w:adjustRightInd w:val="0"/>
              <w:spacing w:line="360" w:lineRule="auto"/>
              <w:jc w:val="center"/>
              <w:rPr>
                <w:rFonts w:ascii="宋体" w:hAnsi="宋体" w:cs="宋体"/>
                <w:color w:val="000000" w:themeColor="text1"/>
                <w:sz w:val="24"/>
                <w:highlight w:val="none"/>
                <w14:textFill>
                  <w14:solidFill>
                    <w14:schemeClr w14:val="tx1"/>
                  </w14:solidFill>
                </w14:textFill>
              </w:rPr>
            </w:pPr>
          </w:p>
        </w:tc>
        <w:tc>
          <w:tcPr>
            <w:tcW w:w="720" w:type="dxa"/>
            <w:vAlign w:val="center"/>
          </w:tcPr>
          <w:p>
            <w:pPr>
              <w:pStyle w:val="12"/>
              <w:spacing w:line="360" w:lineRule="auto"/>
              <w:jc w:val="center"/>
              <w:rPr>
                <w:rFonts w:hAnsi="宋体" w:cs="宋体"/>
                <w:color w:val="000000" w:themeColor="text1"/>
                <w:sz w:val="24"/>
                <w:highlight w:val="none"/>
                <w14:textFill>
                  <w14:solidFill>
                    <w14:schemeClr w14:val="tx1"/>
                  </w14:solidFill>
                </w14:textFill>
              </w:rPr>
            </w:pPr>
          </w:p>
        </w:tc>
        <w:tc>
          <w:tcPr>
            <w:tcW w:w="1800" w:type="dxa"/>
            <w:vAlign w:val="center"/>
          </w:tcPr>
          <w:p>
            <w:pPr>
              <w:pStyle w:val="12"/>
              <w:spacing w:line="360" w:lineRule="auto"/>
              <w:jc w:val="center"/>
              <w:rPr>
                <w:rFonts w:hAnsi="宋体" w:cs="宋体"/>
                <w:color w:val="000000" w:themeColor="text1"/>
                <w:sz w:val="24"/>
                <w:highlight w:val="none"/>
                <w14:textFill>
                  <w14:solidFill>
                    <w14:schemeClr w14:val="tx1"/>
                  </w14:solidFill>
                </w14:textFill>
              </w:rPr>
            </w:pPr>
          </w:p>
        </w:tc>
        <w:tc>
          <w:tcPr>
            <w:tcW w:w="1620" w:type="dxa"/>
            <w:vAlign w:val="center"/>
          </w:tcPr>
          <w:p>
            <w:pPr>
              <w:pStyle w:val="12"/>
              <w:spacing w:line="360" w:lineRule="auto"/>
              <w:jc w:val="center"/>
              <w:rPr>
                <w:rFonts w:hAnsi="宋体" w:cs="宋体"/>
                <w:color w:val="000000" w:themeColor="text1"/>
                <w:sz w:val="24"/>
                <w:highlight w:val="none"/>
                <w14:textFill>
                  <w14:solidFill>
                    <w14:schemeClr w14:val="tx1"/>
                  </w14:solidFill>
                </w14:textFill>
              </w:rPr>
            </w:pPr>
          </w:p>
        </w:tc>
        <w:tc>
          <w:tcPr>
            <w:tcW w:w="1620" w:type="dxa"/>
            <w:vAlign w:val="center"/>
          </w:tcPr>
          <w:p>
            <w:pPr>
              <w:pStyle w:val="12"/>
              <w:spacing w:line="360" w:lineRule="auto"/>
              <w:jc w:val="center"/>
              <w:rPr>
                <w:rFonts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spacing w:line="360" w:lineRule="auto"/>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7</w:t>
            </w:r>
          </w:p>
        </w:tc>
        <w:tc>
          <w:tcPr>
            <w:tcW w:w="2212" w:type="dxa"/>
            <w:vAlign w:val="center"/>
          </w:tcPr>
          <w:p>
            <w:pPr>
              <w:autoSpaceDE w:val="0"/>
              <w:autoSpaceDN w:val="0"/>
              <w:adjustRightInd w:val="0"/>
              <w:spacing w:line="360" w:lineRule="auto"/>
              <w:jc w:val="center"/>
              <w:rPr>
                <w:rFonts w:ascii="宋体" w:hAnsi="宋体" w:cs="宋体"/>
                <w:color w:val="000000" w:themeColor="text1"/>
                <w:sz w:val="24"/>
                <w:highlight w:val="none"/>
                <w14:textFill>
                  <w14:solidFill>
                    <w14:schemeClr w14:val="tx1"/>
                  </w14:solidFill>
                </w14:textFill>
              </w:rPr>
            </w:pPr>
          </w:p>
        </w:tc>
        <w:tc>
          <w:tcPr>
            <w:tcW w:w="720" w:type="dxa"/>
            <w:vAlign w:val="center"/>
          </w:tcPr>
          <w:p>
            <w:pPr>
              <w:pStyle w:val="12"/>
              <w:spacing w:line="360" w:lineRule="auto"/>
              <w:jc w:val="center"/>
              <w:rPr>
                <w:rFonts w:hAnsi="宋体" w:cs="宋体"/>
                <w:color w:val="000000" w:themeColor="text1"/>
                <w:sz w:val="24"/>
                <w:highlight w:val="none"/>
                <w14:textFill>
                  <w14:solidFill>
                    <w14:schemeClr w14:val="tx1"/>
                  </w14:solidFill>
                </w14:textFill>
              </w:rPr>
            </w:pPr>
          </w:p>
        </w:tc>
        <w:tc>
          <w:tcPr>
            <w:tcW w:w="1800" w:type="dxa"/>
            <w:vAlign w:val="center"/>
          </w:tcPr>
          <w:p>
            <w:pPr>
              <w:pStyle w:val="12"/>
              <w:spacing w:line="360" w:lineRule="auto"/>
              <w:jc w:val="center"/>
              <w:rPr>
                <w:rFonts w:hAnsi="宋体" w:cs="宋体"/>
                <w:color w:val="000000" w:themeColor="text1"/>
                <w:sz w:val="24"/>
                <w:highlight w:val="none"/>
                <w14:textFill>
                  <w14:solidFill>
                    <w14:schemeClr w14:val="tx1"/>
                  </w14:solidFill>
                </w14:textFill>
              </w:rPr>
            </w:pPr>
          </w:p>
        </w:tc>
        <w:tc>
          <w:tcPr>
            <w:tcW w:w="1620" w:type="dxa"/>
            <w:vAlign w:val="center"/>
          </w:tcPr>
          <w:p>
            <w:pPr>
              <w:pStyle w:val="12"/>
              <w:spacing w:line="360" w:lineRule="auto"/>
              <w:jc w:val="center"/>
              <w:rPr>
                <w:rFonts w:hAnsi="宋体" w:cs="宋体"/>
                <w:color w:val="000000" w:themeColor="text1"/>
                <w:sz w:val="24"/>
                <w:highlight w:val="none"/>
                <w14:textFill>
                  <w14:solidFill>
                    <w14:schemeClr w14:val="tx1"/>
                  </w14:solidFill>
                </w14:textFill>
              </w:rPr>
            </w:pPr>
          </w:p>
        </w:tc>
        <w:tc>
          <w:tcPr>
            <w:tcW w:w="1620" w:type="dxa"/>
            <w:vAlign w:val="center"/>
          </w:tcPr>
          <w:p>
            <w:pPr>
              <w:pStyle w:val="12"/>
              <w:spacing w:line="360" w:lineRule="auto"/>
              <w:jc w:val="center"/>
              <w:rPr>
                <w:rFonts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spacing w:line="360" w:lineRule="auto"/>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8</w:t>
            </w:r>
          </w:p>
        </w:tc>
        <w:tc>
          <w:tcPr>
            <w:tcW w:w="2212" w:type="dxa"/>
            <w:vAlign w:val="center"/>
          </w:tcPr>
          <w:p>
            <w:pPr>
              <w:autoSpaceDE w:val="0"/>
              <w:autoSpaceDN w:val="0"/>
              <w:adjustRightInd w:val="0"/>
              <w:spacing w:line="360" w:lineRule="auto"/>
              <w:jc w:val="center"/>
              <w:rPr>
                <w:rFonts w:ascii="宋体" w:hAnsi="宋体" w:cs="宋体"/>
                <w:color w:val="000000" w:themeColor="text1"/>
                <w:sz w:val="24"/>
                <w:highlight w:val="none"/>
                <w14:textFill>
                  <w14:solidFill>
                    <w14:schemeClr w14:val="tx1"/>
                  </w14:solidFill>
                </w14:textFill>
              </w:rPr>
            </w:pPr>
          </w:p>
        </w:tc>
        <w:tc>
          <w:tcPr>
            <w:tcW w:w="720" w:type="dxa"/>
            <w:vAlign w:val="center"/>
          </w:tcPr>
          <w:p>
            <w:pPr>
              <w:pStyle w:val="12"/>
              <w:spacing w:line="360" w:lineRule="auto"/>
              <w:jc w:val="center"/>
              <w:rPr>
                <w:rFonts w:hAnsi="宋体" w:cs="宋体"/>
                <w:color w:val="000000" w:themeColor="text1"/>
                <w:sz w:val="24"/>
                <w:highlight w:val="none"/>
                <w14:textFill>
                  <w14:solidFill>
                    <w14:schemeClr w14:val="tx1"/>
                  </w14:solidFill>
                </w14:textFill>
              </w:rPr>
            </w:pPr>
          </w:p>
        </w:tc>
        <w:tc>
          <w:tcPr>
            <w:tcW w:w="1800" w:type="dxa"/>
            <w:vAlign w:val="center"/>
          </w:tcPr>
          <w:p>
            <w:pPr>
              <w:pStyle w:val="12"/>
              <w:spacing w:line="360" w:lineRule="auto"/>
              <w:jc w:val="center"/>
              <w:rPr>
                <w:rFonts w:hAnsi="宋体" w:cs="宋体"/>
                <w:color w:val="000000" w:themeColor="text1"/>
                <w:sz w:val="24"/>
                <w:highlight w:val="none"/>
                <w14:textFill>
                  <w14:solidFill>
                    <w14:schemeClr w14:val="tx1"/>
                  </w14:solidFill>
                </w14:textFill>
              </w:rPr>
            </w:pPr>
          </w:p>
        </w:tc>
        <w:tc>
          <w:tcPr>
            <w:tcW w:w="1620" w:type="dxa"/>
            <w:vAlign w:val="center"/>
          </w:tcPr>
          <w:p>
            <w:pPr>
              <w:pStyle w:val="12"/>
              <w:spacing w:line="360" w:lineRule="auto"/>
              <w:jc w:val="center"/>
              <w:rPr>
                <w:rFonts w:hAnsi="宋体" w:cs="宋体"/>
                <w:color w:val="000000" w:themeColor="text1"/>
                <w:sz w:val="24"/>
                <w:highlight w:val="none"/>
                <w14:textFill>
                  <w14:solidFill>
                    <w14:schemeClr w14:val="tx1"/>
                  </w14:solidFill>
                </w14:textFill>
              </w:rPr>
            </w:pPr>
          </w:p>
        </w:tc>
        <w:tc>
          <w:tcPr>
            <w:tcW w:w="1620" w:type="dxa"/>
            <w:vAlign w:val="center"/>
          </w:tcPr>
          <w:p>
            <w:pPr>
              <w:pStyle w:val="12"/>
              <w:spacing w:line="360" w:lineRule="auto"/>
              <w:jc w:val="center"/>
              <w:rPr>
                <w:rFonts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spacing w:line="360" w:lineRule="auto"/>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9</w:t>
            </w:r>
          </w:p>
        </w:tc>
        <w:tc>
          <w:tcPr>
            <w:tcW w:w="2212" w:type="dxa"/>
            <w:vAlign w:val="center"/>
          </w:tcPr>
          <w:p>
            <w:pPr>
              <w:autoSpaceDE w:val="0"/>
              <w:autoSpaceDN w:val="0"/>
              <w:adjustRightInd w:val="0"/>
              <w:spacing w:line="360" w:lineRule="auto"/>
              <w:jc w:val="center"/>
              <w:rPr>
                <w:rFonts w:ascii="宋体" w:hAnsi="宋体" w:cs="宋体"/>
                <w:color w:val="000000" w:themeColor="text1"/>
                <w:sz w:val="24"/>
                <w:highlight w:val="none"/>
                <w14:textFill>
                  <w14:solidFill>
                    <w14:schemeClr w14:val="tx1"/>
                  </w14:solidFill>
                </w14:textFill>
              </w:rPr>
            </w:pPr>
          </w:p>
        </w:tc>
        <w:tc>
          <w:tcPr>
            <w:tcW w:w="720" w:type="dxa"/>
            <w:vAlign w:val="center"/>
          </w:tcPr>
          <w:p>
            <w:pPr>
              <w:pStyle w:val="12"/>
              <w:spacing w:line="360" w:lineRule="auto"/>
              <w:jc w:val="center"/>
              <w:rPr>
                <w:rFonts w:hAnsi="宋体" w:cs="宋体"/>
                <w:color w:val="000000" w:themeColor="text1"/>
                <w:sz w:val="24"/>
                <w:highlight w:val="none"/>
                <w14:textFill>
                  <w14:solidFill>
                    <w14:schemeClr w14:val="tx1"/>
                  </w14:solidFill>
                </w14:textFill>
              </w:rPr>
            </w:pPr>
          </w:p>
        </w:tc>
        <w:tc>
          <w:tcPr>
            <w:tcW w:w="1800" w:type="dxa"/>
            <w:vAlign w:val="center"/>
          </w:tcPr>
          <w:p>
            <w:pPr>
              <w:pStyle w:val="12"/>
              <w:spacing w:line="360" w:lineRule="auto"/>
              <w:jc w:val="center"/>
              <w:rPr>
                <w:rFonts w:hAnsi="宋体" w:cs="宋体"/>
                <w:color w:val="000000" w:themeColor="text1"/>
                <w:sz w:val="24"/>
                <w:highlight w:val="none"/>
                <w14:textFill>
                  <w14:solidFill>
                    <w14:schemeClr w14:val="tx1"/>
                  </w14:solidFill>
                </w14:textFill>
              </w:rPr>
            </w:pPr>
          </w:p>
        </w:tc>
        <w:tc>
          <w:tcPr>
            <w:tcW w:w="1620" w:type="dxa"/>
            <w:vAlign w:val="center"/>
          </w:tcPr>
          <w:p>
            <w:pPr>
              <w:pStyle w:val="12"/>
              <w:spacing w:line="360" w:lineRule="auto"/>
              <w:jc w:val="center"/>
              <w:rPr>
                <w:rFonts w:hAnsi="宋体" w:cs="宋体"/>
                <w:color w:val="000000" w:themeColor="text1"/>
                <w:sz w:val="24"/>
                <w:highlight w:val="none"/>
                <w14:textFill>
                  <w14:solidFill>
                    <w14:schemeClr w14:val="tx1"/>
                  </w14:solidFill>
                </w14:textFill>
              </w:rPr>
            </w:pPr>
          </w:p>
        </w:tc>
        <w:tc>
          <w:tcPr>
            <w:tcW w:w="1620" w:type="dxa"/>
            <w:vAlign w:val="center"/>
          </w:tcPr>
          <w:p>
            <w:pPr>
              <w:pStyle w:val="12"/>
              <w:spacing w:line="360" w:lineRule="auto"/>
              <w:jc w:val="center"/>
              <w:rPr>
                <w:rFonts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spacing w:line="360" w:lineRule="auto"/>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w:t>
            </w:r>
          </w:p>
        </w:tc>
        <w:tc>
          <w:tcPr>
            <w:tcW w:w="2212" w:type="dxa"/>
            <w:vAlign w:val="center"/>
          </w:tcPr>
          <w:p>
            <w:pPr>
              <w:pStyle w:val="12"/>
              <w:spacing w:line="360" w:lineRule="auto"/>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w:t>
            </w:r>
          </w:p>
        </w:tc>
        <w:tc>
          <w:tcPr>
            <w:tcW w:w="720" w:type="dxa"/>
            <w:vAlign w:val="center"/>
          </w:tcPr>
          <w:p>
            <w:pPr>
              <w:pStyle w:val="12"/>
              <w:spacing w:line="360" w:lineRule="auto"/>
              <w:jc w:val="center"/>
              <w:rPr>
                <w:rFonts w:hAnsi="宋体" w:cs="宋体"/>
                <w:color w:val="000000" w:themeColor="text1"/>
                <w:sz w:val="24"/>
                <w:highlight w:val="none"/>
                <w14:textFill>
                  <w14:solidFill>
                    <w14:schemeClr w14:val="tx1"/>
                  </w14:solidFill>
                </w14:textFill>
              </w:rPr>
            </w:pPr>
          </w:p>
        </w:tc>
        <w:tc>
          <w:tcPr>
            <w:tcW w:w="1800" w:type="dxa"/>
            <w:vAlign w:val="center"/>
          </w:tcPr>
          <w:p>
            <w:pPr>
              <w:pStyle w:val="12"/>
              <w:spacing w:line="360" w:lineRule="auto"/>
              <w:jc w:val="center"/>
              <w:rPr>
                <w:rFonts w:hAnsi="宋体" w:cs="宋体"/>
                <w:color w:val="000000" w:themeColor="text1"/>
                <w:sz w:val="24"/>
                <w:highlight w:val="none"/>
                <w14:textFill>
                  <w14:solidFill>
                    <w14:schemeClr w14:val="tx1"/>
                  </w14:solidFill>
                </w14:textFill>
              </w:rPr>
            </w:pPr>
          </w:p>
        </w:tc>
        <w:tc>
          <w:tcPr>
            <w:tcW w:w="1620" w:type="dxa"/>
            <w:vAlign w:val="center"/>
          </w:tcPr>
          <w:p>
            <w:pPr>
              <w:pStyle w:val="12"/>
              <w:spacing w:line="360" w:lineRule="auto"/>
              <w:jc w:val="center"/>
              <w:rPr>
                <w:rFonts w:hAnsi="宋体" w:cs="宋体"/>
                <w:color w:val="000000" w:themeColor="text1"/>
                <w:sz w:val="24"/>
                <w:highlight w:val="none"/>
                <w14:textFill>
                  <w14:solidFill>
                    <w14:schemeClr w14:val="tx1"/>
                  </w14:solidFill>
                </w14:textFill>
              </w:rPr>
            </w:pPr>
          </w:p>
        </w:tc>
        <w:tc>
          <w:tcPr>
            <w:tcW w:w="1620" w:type="dxa"/>
            <w:vAlign w:val="center"/>
          </w:tcPr>
          <w:p>
            <w:pPr>
              <w:pStyle w:val="12"/>
              <w:spacing w:line="360" w:lineRule="auto"/>
              <w:jc w:val="center"/>
              <w:rPr>
                <w:rFonts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tcPr>
          <w:p>
            <w:pPr>
              <w:pStyle w:val="12"/>
              <w:spacing w:line="360" w:lineRule="auto"/>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报价合计</w:t>
            </w:r>
          </w:p>
        </w:tc>
      </w:tr>
    </w:tbl>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投标供应商授权代表： ________________________</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outlineLvl w:val="2"/>
        <w:rPr>
          <w:rFonts w:ascii="宋体" w:hAnsi="宋体" w:cs="宋体"/>
          <w:b/>
          <w:bCs/>
          <w:color w:val="000000" w:themeColor="text1"/>
          <w:sz w:val="24"/>
          <w:highlight w:val="none"/>
          <w:u w:val="wav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br w:type="page"/>
      </w:r>
      <w:r>
        <w:rPr>
          <w:rFonts w:hint="eastAsia" w:ascii="宋体" w:hAnsi="宋体" w:cs="宋体"/>
          <w:b/>
          <w:bCs/>
          <w:color w:val="000000" w:themeColor="text1"/>
          <w:sz w:val="24"/>
          <w:highlight w:val="none"/>
          <w14:textFill>
            <w14:solidFill>
              <w14:schemeClr w14:val="tx1"/>
            </w14:solidFill>
          </w14:textFill>
        </w:rPr>
        <w:t>（二）商务部分</w:t>
      </w:r>
    </w:p>
    <w:p>
      <w:pPr>
        <w:numPr>
          <w:ilvl w:val="0"/>
          <w:numId w:val="14"/>
        </w:numPr>
        <w:tabs>
          <w:tab w:val="left" w:pos="640"/>
          <w:tab w:val="left" w:pos="1260"/>
          <w:tab w:val="left" w:pos="1418"/>
        </w:tabs>
        <w:spacing w:line="360" w:lineRule="auto"/>
        <w:ind w:left="845" w:hanging="84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投标响应书；</w:t>
      </w:r>
    </w:p>
    <w:p>
      <w:pP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投标响应书</w:t>
      </w:r>
    </w:p>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94" w:firstLineChars="20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根据贵方为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项目采购的邀请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（招标文件编号         ），签字代表</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（全名、职务）经正式授权并代表供应商</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（供应商方名称、地址）提交</w:t>
      </w:r>
      <w:r>
        <w:rPr>
          <w:rFonts w:hint="eastAsia" w:ascii="宋体" w:hAnsi="宋体" w:cs="宋体"/>
          <w:b/>
          <w:color w:val="000000" w:themeColor="text1"/>
          <w:sz w:val="24"/>
          <w:highlight w:val="none"/>
          <w14:textFill>
            <w14:solidFill>
              <w14:schemeClr w14:val="tx1"/>
            </w14:solidFill>
          </w14:textFill>
        </w:rPr>
        <w:t>一份正本四份副本以及1份电子文档的</w:t>
      </w:r>
      <w:r>
        <w:rPr>
          <w:rFonts w:hint="eastAsia" w:ascii="宋体" w:hAnsi="宋体" w:cs="宋体"/>
          <w:color w:val="000000" w:themeColor="text1"/>
          <w:sz w:val="24"/>
          <w:highlight w:val="none"/>
          <w14:textFill>
            <w14:solidFill>
              <w14:schemeClr w14:val="tx1"/>
            </w14:solidFill>
          </w14:textFill>
        </w:rPr>
        <w:t>投标文件。</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据此函，签字代表宣布同意如下：</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1、供应商方将按招标文件的规定履行合同责任和义务。</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3、与本投标项目有关的一切正式往来通讯请寄：</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邮编：</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传真：</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邮箱：</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投标供应商授权代表、职务（印刷体）：</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投标供应商名称：</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（公  章）：</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投标供应商授权代表：</w:t>
      </w:r>
      <w:r>
        <w:rPr>
          <w:rFonts w:hint="eastAsia" w:ascii="宋体" w:hAnsi="宋体" w:cs="宋体"/>
          <w:color w:val="000000" w:themeColor="text1"/>
          <w:sz w:val="24"/>
          <w:highlight w:val="none"/>
          <w:u w:val="single"/>
          <w14:textFill>
            <w14:solidFill>
              <w14:schemeClr w14:val="tx1"/>
            </w14:solidFill>
          </w14:textFill>
        </w:rPr>
        <w:t xml:space="preserve">                           </w:t>
      </w:r>
    </w:p>
    <w:p>
      <w:pPr>
        <w:pStyle w:val="2"/>
        <w:rPr>
          <w:color w:val="000000" w:themeColor="text1"/>
          <w:highlight w:val="none"/>
          <w14:textFill>
            <w14:solidFill>
              <w14:schemeClr w14:val="tx1"/>
            </w14:solidFill>
          </w14:textFill>
        </w:rPr>
      </w:pPr>
    </w:p>
    <w:p>
      <w:pPr>
        <w:numPr>
          <w:ilvl w:val="0"/>
          <w:numId w:val="14"/>
        </w:numPr>
        <w:tabs>
          <w:tab w:val="left" w:pos="640"/>
          <w:tab w:val="left" w:pos="1260"/>
          <w:tab w:val="left" w:pos="1418"/>
        </w:tabs>
        <w:spacing w:line="360" w:lineRule="auto"/>
        <w:ind w:left="645" w:hanging="645"/>
        <w:rPr>
          <w:rFonts w:ascii="宋体" w:hAnsi="宋体" w:cs="宋体"/>
          <w:color w:val="000000" w:themeColor="text1"/>
          <w:sz w:val="24"/>
          <w:highlight w:val="none"/>
          <w:lang w:val="fr-CH"/>
          <w14:textFill>
            <w14:solidFill>
              <w14:schemeClr w14:val="tx1"/>
            </w14:solidFill>
          </w14:textFill>
        </w:rPr>
      </w:pPr>
      <w:r>
        <w:rPr>
          <w:rFonts w:hint="eastAsia" w:ascii="宋体" w:hAnsi="宋体" w:cs="宋体"/>
          <w:color w:val="000000" w:themeColor="text1"/>
          <w:sz w:val="24"/>
          <w:highlight w:val="none"/>
          <w:lang w:val="fr-CH"/>
          <w14:textFill>
            <w14:solidFill>
              <w14:schemeClr w14:val="tx1"/>
            </w14:solidFill>
          </w14:textFill>
        </w:rPr>
        <w:br w:type="page"/>
      </w:r>
      <w:r>
        <w:rPr>
          <w:rFonts w:hint="eastAsia" w:ascii="宋体" w:hAnsi="宋体" w:cs="宋体"/>
          <w:color w:val="000000" w:themeColor="text1"/>
          <w:sz w:val="24"/>
          <w:highlight w:val="none"/>
          <w:lang w:val="fr-CH"/>
          <w14:textFill>
            <w14:solidFill>
              <w14:schemeClr w14:val="tx1"/>
            </w14:solidFill>
          </w14:textFill>
        </w:rPr>
        <w:t>营业执照【其他组织提供《事业单位法人证书》或《民办非企业单位登记证书》】及税务登记册证副本复印件(加盖投标人公章，若提供的营业执照为三证合一，则税务登记证可不单独提供)；</w:t>
      </w:r>
    </w:p>
    <w:p>
      <w:pPr>
        <w:numPr>
          <w:ilvl w:val="0"/>
          <w:numId w:val="14"/>
        </w:numPr>
        <w:tabs>
          <w:tab w:val="left" w:pos="640"/>
          <w:tab w:val="left" w:pos="1260"/>
          <w:tab w:val="left" w:pos="1418"/>
        </w:tabs>
        <w:spacing w:line="360" w:lineRule="auto"/>
        <w:ind w:left="645" w:hanging="645"/>
        <w:rPr>
          <w:rFonts w:ascii="宋体" w:hAnsi="宋体" w:cs="宋体"/>
          <w:color w:val="000000" w:themeColor="text1"/>
          <w:sz w:val="24"/>
          <w:highlight w:val="none"/>
          <w:lang w:val="fr-CH"/>
          <w14:textFill>
            <w14:solidFill>
              <w14:schemeClr w14:val="tx1"/>
            </w14:solidFill>
          </w14:textFill>
        </w:rPr>
      </w:pPr>
      <w:r>
        <w:rPr>
          <w:rFonts w:hint="eastAsia" w:ascii="宋体" w:hAnsi="宋体" w:cs="宋体"/>
          <w:color w:val="000000" w:themeColor="text1"/>
          <w:sz w:val="24"/>
          <w:highlight w:val="none"/>
          <w:lang w:val="fr-CH"/>
          <w14:textFill>
            <w14:solidFill>
              <w14:schemeClr w14:val="tx1"/>
            </w14:solidFill>
          </w14:textFill>
        </w:rPr>
        <w:br w:type="page"/>
      </w:r>
      <w:r>
        <w:rPr>
          <w:rFonts w:hint="eastAsia" w:ascii="宋体" w:hAnsi="宋体" w:cs="宋体"/>
          <w:color w:val="000000" w:themeColor="text1"/>
          <w:sz w:val="24"/>
          <w:highlight w:val="none"/>
          <w:lang w:val="fr-CH"/>
          <w14:textFill>
            <w14:solidFill>
              <w14:schemeClr w14:val="tx1"/>
            </w14:solidFill>
          </w14:textFill>
        </w:rPr>
        <w:t>政府采购投标及履约承诺函；</w:t>
      </w:r>
    </w:p>
    <w:p>
      <w:pPr>
        <w:spacing w:line="360" w:lineRule="auto"/>
        <w:jc w:val="center"/>
        <w:rPr>
          <w:rFonts w:ascii="宋体" w:hAnsi="宋体" w:cs="宋体"/>
          <w:b/>
          <w:bCs/>
          <w:color w:val="000000" w:themeColor="text1"/>
          <w:sz w:val="24"/>
          <w:highlight w:val="none"/>
          <w:lang w:val="fr-CH"/>
          <w14:textFill>
            <w14:solidFill>
              <w14:schemeClr w14:val="tx1"/>
            </w14:solidFill>
          </w14:textFill>
        </w:rPr>
      </w:pPr>
      <w:r>
        <w:rPr>
          <w:rFonts w:hint="eastAsia" w:ascii="宋体" w:hAnsi="宋体" w:cs="宋体"/>
          <w:b/>
          <w:bCs/>
          <w:color w:val="000000" w:themeColor="text1"/>
          <w:sz w:val="24"/>
          <w:highlight w:val="none"/>
          <w:lang w:val="fr-CH"/>
          <w14:textFill>
            <w14:solidFill>
              <w14:schemeClr w14:val="tx1"/>
            </w14:solidFill>
          </w14:textFill>
        </w:rPr>
        <w:t>政府采购投标及履约承诺函</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（采购单位名称/代理机构名称）：</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我单位深知本项目对贵局的重要性和紧迫性，亦了解贵局对廉政建设的相关要求，因此我单位承诺如下：</w:t>
      </w:r>
    </w:p>
    <w:p>
      <w:pPr>
        <w:numPr>
          <w:ilvl w:val="0"/>
          <w:numId w:val="15"/>
        </w:num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我单位本招标项目所提供的货物或服务未侵犯知识产权。</w:t>
      </w:r>
    </w:p>
    <w:p>
      <w:pPr>
        <w:widowControl/>
        <w:numPr>
          <w:ilvl w:val="0"/>
          <w:numId w:val="15"/>
        </w:numPr>
        <w:spacing w:line="360" w:lineRule="auto"/>
        <w:ind w:right="-4"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我单位</w:t>
      </w:r>
      <w:r>
        <w:rPr>
          <w:rFonts w:hint="eastAsia" w:ascii="宋体" w:hAnsi="宋体" w:cs="宋体"/>
          <w:color w:val="000000" w:themeColor="text1"/>
          <w:kern w:val="0"/>
          <w:sz w:val="24"/>
          <w:highlight w:val="none"/>
          <w14:textFill>
            <w14:solidFill>
              <w14:schemeClr w14:val="tx1"/>
            </w14:solidFill>
          </w14:textFill>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5"/>
        </w:numPr>
        <w:spacing w:line="360" w:lineRule="auto"/>
        <w:ind w:right="-4"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我单位</w:t>
      </w:r>
      <w:r>
        <w:rPr>
          <w:rFonts w:hint="eastAsia" w:ascii="宋体" w:hAnsi="宋体" w:cs="宋体"/>
          <w:color w:val="000000" w:themeColor="text1"/>
          <w:kern w:val="0"/>
          <w:sz w:val="24"/>
          <w:highlight w:val="none"/>
          <w14:textFill>
            <w14:solidFill>
              <w14:schemeClr w14:val="tx1"/>
            </w14:solidFill>
          </w14:textFill>
        </w:rPr>
        <w:t>及其法定代表人近三年内（投标人成立不足三年的可从成立之日起算）无行贿犯罪记录；</w:t>
      </w:r>
    </w:p>
    <w:p>
      <w:pPr>
        <w:numPr>
          <w:ilvl w:val="0"/>
          <w:numId w:val="15"/>
        </w:num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我单位具备《中华人民共和国政府采购法》第二十二条第一款的条件。</w:t>
      </w:r>
    </w:p>
    <w:p>
      <w:pPr>
        <w:numPr>
          <w:ilvl w:val="0"/>
          <w:numId w:val="15"/>
        </w:num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符合财政部和深圳市财政局关于诚信管理的要求，</w:t>
      </w:r>
      <w:r>
        <w:rPr>
          <w:rFonts w:hint="eastAsia" w:ascii="宋体" w:hAnsi="宋体" w:cs="宋体"/>
          <w:color w:val="000000" w:themeColor="text1"/>
          <w:kern w:val="0"/>
          <w:sz w:val="24"/>
          <w:highlight w:val="none"/>
          <w14:textFill>
            <w14:solidFill>
              <w14:schemeClr w14:val="tx1"/>
            </w14:solidFill>
          </w14:textFill>
        </w:rPr>
        <w:t>至投标截止时间，我单位未有在“信用中国”网（www.creditchina.gov.cn）、中国政府采购网（www.ccgp.gov.cn）、深圳市政府采购监督管理网（zfcg.sz.gov.cn）和“国家企业信用信息公示系统（www.gsxt.gov.cn）4个官网中列入“失信被执行人、重大税收违法失信主体、政府采购严重违法失信行为记录名单”</w:t>
      </w:r>
      <w:r>
        <w:rPr>
          <w:rFonts w:hint="eastAsia" w:ascii="宋体" w:hAnsi="宋体" w:cs="宋体"/>
          <w:color w:val="000000" w:themeColor="text1"/>
          <w:sz w:val="24"/>
          <w:highlight w:val="none"/>
          <w14:textFill>
            <w14:solidFill>
              <w14:schemeClr w14:val="tx1"/>
            </w14:solidFill>
          </w14:textFill>
        </w:rPr>
        <w:t>。</w:t>
      </w:r>
    </w:p>
    <w:p>
      <w:pPr>
        <w:numPr>
          <w:ilvl w:val="0"/>
          <w:numId w:val="15"/>
        </w:num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我单位不存在单位法定代表人（负责人）为同一人或者存在直接控股、管理关系的不同供应商，同时参加本项目投标之情形；我公司未为本项目提供过整体设计、规范编制或者项目管理、监理、检测等服务。</w:t>
      </w:r>
    </w:p>
    <w:p>
      <w:pPr>
        <w:numPr>
          <w:ilvl w:val="0"/>
          <w:numId w:val="15"/>
        </w:num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5"/>
        </w:num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我单位如果中标，做到诚实守信，依照本项目招标文件需求内容、签署的采购合同及本单位在投标中所作的一切承诺履约；不非法转包、分包。</w:t>
      </w:r>
    </w:p>
    <w:p>
      <w:pPr>
        <w:numPr>
          <w:ilvl w:val="0"/>
          <w:numId w:val="15"/>
        </w:num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5"/>
        </w:num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5"/>
        </w:num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我单位承诺未参与本项目的采购需求、技术指标、商务指标等内容的设定，不存在对其他投标单位不公平的行为。</w:t>
      </w:r>
    </w:p>
    <w:p>
      <w:pPr>
        <w:numPr>
          <w:ilvl w:val="0"/>
          <w:numId w:val="15"/>
        </w:num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以上承诺，如有违反，愿依照国家相关法律处理，并承担由此给采购人带来的损失。</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tabs>
          <w:tab w:val="left" w:pos="4860"/>
        </w:tabs>
        <w:adjustRightInd w:val="0"/>
        <w:snapToGrid w:val="0"/>
        <w:spacing w:line="360" w:lineRule="auto"/>
        <w:ind w:right="105" w:rightChars="50"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投标供应商名称（盖章）：</w:t>
      </w:r>
    </w:p>
    <w:p>
      <w:pPr>
        <w:tabs>
          <w:tab w:val="left" w:pos="4860"/>
        </w:tabs>
        <w:adjustRightInd w:val="0"/>
        <w:snapToGrid w:val="0"/>
        <w:spacing w:line="360" w:lineRule="auto"/>
        <w:ind w:right="105" w:rightChars="50"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   年  月   日</w:t>
      </w:r>
    </w:p>
    <w:p>
      <w:pPr>
        <w:numPr>
          <w:ilvl w:val="0"/>
          <w:numId w:val="14"/>
        </w:numPr>
        <w:tabs>
          <w:tab w:val="left" w:pos="640"/>
          <w:tab w:val="left" w:pos="1260"/>
          <w:tab w:val="left" w:pos="1418"/>
        </w:tabs>
        <w:spacing w:line="360" w:lineRule="auto"/>
        <w:ind w:left="645" w:hanging="645"/>
        <w:rPr>
          <w:rFonts w:ascii="宋体" w:hAnsi="宋体" w:cs="宋体"/>
          <w:color w:val="000000" w:themeColor="text1"/>
          <w:sz w:val="24"/>
          <w:highlight w:val="none"/>
          <w:lang w:val="fr-CH"/>
          <w14:textFill>
            <w14:solidFill>
              <w14:schemeClr w14:val="tx1"/>
            </w14:solidFill>
          </w14:textFill>
        </w:rPr>
      </w:pPr>
      <w:r>
        <w:rPr>
          <w:rFonts w:hint="eastAsia" w:hAnsi="宋体" w:cs="宋体"/>
          <w:color w:val="000000" w:themeColor="text1"/>
          <w:highlight w:val="none"/>
          <w14:textFill>
            <w14:solidFill>
              <w14:schemeClr w14:val="tx1"/>
            </w14:solidFill>
          </w14:textFill>
        </w:rPr>
        <w:br w:type="page"/>
      </w:r>
      <w:r>
        <w:rPr>
          <w:rFonts w:hint="eastAsia" w:ascii="宋体" w:hAnsi="宋体" w:cs="宋体"/>
          <w:color w:val="000000" w:themeColor="text1"/>
          <w:sz w:val="24"/>
          <w:highlight w:val="none"/>
          <w14:textFill>
            <w14:solidFill>
              <w14:schemeClr w14:val="tx1"/>
            </w14:solidFill>
          </w14:textFill>
        </w:rPr>
        <w:t>关于资格的声明函；</w:t>
      </w:r>
    </w:p>
    <w:p>
      <w:pP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关于资格的声明函</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（采购单位名称/代理机构名称）：</w:t>
      </w:r>
    </w:p>
    <w:p>
      <w:pPr>
        <w:spacing w:line="360" w:lineRule="auto"/>
        <w:ind w:firstLine="566" w:firstLineChars="23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 投标人名称）    </w:t>
      </w:r>
      <w:r>
        <w:rPr>
          <w:rFonts w:hint="eastAsia" w:ascii="宋体" w:hAnsi="宋体" w:cs="宋体"/>
          <w:color w:val="000000" w:themeColor="text1"/>
          <w:sz w:val="24"/>
          <w:highlight w:val="none"/>
          <w14:textFill>
            <w14:solidFill>
              <w14:schemeClr w14:val="tx1"/>
            </w14:solidFill>
          </w14:textFill>
        </w:rPr>
        <w:t xml:space="preserve"> 参与了</w:t>
      </w:r>
      <w:r>
        <w:rPr>
          <w:rFonts w:hint="eastAsia" w:ascii="宋体" w:hAnsi="宋体" w:cs="宋体"/>
          <w:color w:val="000000" w:themeColor="text1"/>
          <w:sz w:val="24"/>
          <w:highlight w:val="none"/>
          <w:u w:val="single"/>
          <w14:textFill>
            <w14:solidFill>
              <w14:schemeClr w14:val="tx1"/>
            </w14:solidFill>
          </w14:textFill>
        </w:rPr>
        <w:t xml:space="preserve"> （项目名称 、招标编号） </w:t>
      </w:r>
      <w:r>
        <w:rPr>
          <w:rFonts w:hint="eastAsia" w:ascii="宋体" w:hAnsi="宋体" w:cs="宋体"/>
          <w:color w:val="000000" w:themeColor="text1"/>
          <w:sz w:val="24"/>
          <w:highlight w:val="none"/>
          <w14:textFill>
            <w14:solidFill>
              <w14:schemeClr w14:val="tx1"/>
            </w14:solidFill>
          </w14:textFill>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特此承诺！</w:t>
      </w:r>
    </w:p>
    <w:p>
      <w:pPr>
        <w:spacing w:line="360" w:lineRule="auto"/>
        <w:ind w:left="420"/>
        <w:rPr>
          <w:rFonts w:ascii="宋体" w:hAnsi="宋体" w:cs="宋体"/>
          <w:color w:val="000000" w:themeColor="text1"/>
          <w:sz w:val="24"/>
          <w:highlight w:val="none"/>
          <w14:textFill>
            <w14:solidFill>
              <w14:schemeClr w14:val="tx1"/>
            </w14:solidFill>
          </w14:textFill>
        </w:rPr>
      </w:pPr>
    </w:p>
    <w:p>
      <w:pPr>
        <w:tabs>
          <w:tab w:val="left" w:pos="4860"/>
        </w:tabs>
        <w:adjustRightInd w:val="0"/>
        <w:snapToGrid w:val="0"/>
        <w:spacing w:line="360" w:lineRule="auto"/>
        <w:ind w:right="105" w:rightChars="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投标供应商名称（盖章）：</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   年     月     日</w:t>
      </w:r>
    </w:p>
    <w:p>
      <w:pPr>
        <w:numPr>
          <w:ilvl w:val="0"/>
          <w:numId w:val="14"/>
        </w:numPr>
        <w:tabs>
          <w:tab w:val="left" w:pos="640"/>
          <w:tab w:val="left" w:pos="1260"/>
          <w:tab w:val="left" w:pos="1418"/>
        </w:tabs>
        <w:spacing w:line="360" w:lineRule="auto"/>
        <w:ind w:left="645" w:hanging="645"/>
        <w:rPr>
          <w:rFonts w:ascii="宋体" w:hAnsi="宋体" w:cs="宋体"/>
          <w:color w:val="000000" w:themeColor="text1"/>
          <w:sz w:val="24"/>
          <w:highlight w:val="none"/>
          <w:lang w:val="fr-CH"/>
          <w14:textFill>
            <w14:solidFill>
              <w14:schemeClr w14:val="tx1"/>
            </w14:solidFill>
          </w14:textFill>
        </w:rPr>
      </w:pPr>
      <w:r>
        <w:rPr>
          <w:rFonts w:hint="eastAsia" w:ascii="宋体" w:hAnsi="宋体" w:cs="宋体"/>
          <w:color w:val="000000" w:themeColor="text1"/>
          <w:sz w:val="24"/>
          <w:highlight w:val="none"/>
          <w:lang w:val="fr-CH"/>
          <w14:textFill>
            <w14:solidFill>
              <w14:schemeClr w14:val="tx1"/>
            </w14:solidFill>
          </w14:textFill>
        </w:rPr>
        <w:br w:type="page"/>
      </w:r>
      <w:r>
        <w:rPr>
          <w:rFonts w:hint="eastAsia" w:ascii="宋体" w:hAnsi="宋体" w:cs="宋体"/>
          <w:color w:val="000000" w:themeColor="text1"/>
          <w:sz w:val="24"/>
          <w:highlight w:val="none"/>
          <w:lang w:val="fr-CH"/>
          <w14:textFill>
            <w14:solidFill>
              <w14:schemeClr w14:val="tx1"/>
            </w14:solidFill>
          </w14:textFill>
        </w:rPr>
        <w:t>法</w:t>
      </w:r>
      <w:r>
        <w:rPr>
          <w:rFonts w:ascii="宋体" w:hAnsi="宋体" w:cs="宋体"/>
          <w:color w:val="000000" w:themeColor="text1"/>
          <w:sz w:val="24"/>
          <w:highlight w:val="none"/>
          <w14:textFill>
            <w14:solidFill>
              <w14:schemeClr w14:val="tx1"/>
            </w14:solidFill>
          </w14:textFill>
        </w:rPr>
        <w:t>定代表</w:t>
      </w:r>
      <w:r>
        <w:rPr>
          <w:rFonts w:hint="eastAsia" w:ascii="宋体" w:hAnsi="宋体" w:cs="宋体"/>
          <w:color w:val="000000" w:themeColor="text1"/>
          <w:sz w:val="24"/>
          <w:highlight w:val="none"/>
          <w:lang w:val="fr-CH"/>
          <w14:textFill>
            <w14:solidFill>
              <w14:schemeClr w14:val="tx1"/>
            </w14:solidFill>
          </w14:textFill>
        </w:rPr>
        <w:t>人证明书及身份证明；</w:t>
      </w:r>
    </w:p>
    <w:p>
      <w:pPr>
        <w:spacing w:before="120" w:after="120" w:line="360" w:lineRule="auto"/>
        <w:jc w:val="center"/>
        <w:rPr>
          <w:rFonts w:ascii="宋体" w:hAnsi="宋体" w:cs="宋体"/>
          <w:b/>
          <w:color w:val="000000" w:themeColor="text1"/>
          <w:sz w:val="24"/>
          <w:highlight w:val="none"/>
          <w14:textFill>
            <w14:solidFill>
              <w14:schemeClr w14:val="tx1"/>
            </w14:solidFill>
          </w14:textFill>
        </w:rPr>
      </w:pPr>
    </w:p>
    <w:p>
      <w:pPr>
        <w:spacing w:before="120" w:after="120" w:line="360" w:lineRule="auto"/>
        <w:jc w:val="center"/>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法定代表人证明书</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同志，现任我单位职务，为法定代表人，特此证明。</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签发日期：             有效日期：         单位：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附：代表人性别：   年龄：      身份证号码：</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营业执照号码：                 经济性质：</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主营（产）：</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兼营（产）：</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进口物品经营许可证号码：</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主营：</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兼营：</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说明：1、法定代表人为企业事业单位、国家机关、社会团体的主要行政负责人。</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2、内容必须填写真实、清楚，涂改无效，不得转让、买卖.</w:t>
      </w:r>
    </w:p>
    <w:p>
      <w:pPr>
        <w:tabs>
          <w:tab w:val="left" w:pos="378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投标供应商名称（盖章）：</w:t>
      </w:r>
    </w:p>
    <w:p>
      <w:pPr>
        <w:tabs>
          <w:tab w:val="left" w:pos="378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法定代表人（签字或签章）：</w:t>
      </w:r>
    </w:p>
    <w:p>
      <w:pPr>
        <w:spacing w:before="120" w:after="120"/>
        <w:jc w:val="left"/>
        <w:rPr>
          <w:rFonts w:ascii="宋体" w:hAnsi="宋体" w:cs="宋体"/>
          <w:color w:val="000000" w:themeColor="text1"/>
          <w:szCs w:val="21"/>
          <w:highlight w:val="none"/>
          <w14:textFill>
            <w14:solidFill>
              <w14:schemeClr w14:val="tx1"/>
            </w14:solidFill>
          </w14:textFill>
        </w:rPr>
      </w:pPr>
    </w:p>
    <w:p>
      <w:pPr>
        <w:spacing w:before="120" w:after="120"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附身份证正反面</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tcPr>
          <w:p>
            <w:pPr>
              <w:pStyle w:val="12"/>
              <w:spacing w:line="360" w:lineRule="auto"/>
              <w:rPr>
                <w:rFonts w:ascii="Arial Narrow" w:hAnsi="Arial Narrow"/>
                <w:b/>
                <w:bCs/>
                <w:color w:val="000000" w:themeColor="text1"/>
                <w:szCs w:val="21"/>
                <w:highlight w:val="none"/>
                <w14:textFill>
                  <w14:solidFill>
                    <w14:schemeClr w14:val="tx1"/>
                  </w14:solidFill>
                </w14:textFill>
              </w:rPr>
            </w:pPr>
          </w:p>
        </w:tc>
        <w:tc>
          <w:tcPr>
            <w:tcW w:w="4240" w:type="dxa"/>
          </w:tcPr>
          <w:p>
            <w:pPr>
              <w:pStyle w:val="12"/>
              <w:spacing w:line="360" w:lineRule="auto"/>
              <w:rPr>
                <w:rFonts w:ascii="Arial Narrow" w:hAnsi="Arial Narrow"/>
                <w:b/>
                <w:bCs/>
                <w:color w:val="000000" w:themeColor="text1"/>
                <w:szCs w:val="21"/>
                <w:highlight w:val="none"/>
                <w14:textFill>
                  <w14:solidFill>
                    <w14:schemeClr w14:val="tx1"/>
                  </w14:solidFill>
                </w14:textFill>
              </w:rPr>
            </w:pPr>
          </w:p>
        </w:tc>
      </w:tr>
    </w:tbl>
    <w:p>
      <w:pPr>
        <w:pStyle w:val="2"/>
        <w:rPr>
          <w:color w:val="000000" w:themeColor="text1"/>
          <w:highlight w:val="none"/>
          <w:lang w:val="fr-CH"/>
          <w14:textFill>
            <w14:solidFill>
              <w14:schemeClr w14:val="tx1"/>
            </w14:solidFill>
          </w14:textFill>
        </w:rPr>
      </w:pPr>
    </w:p>
    <w:p>
      <w:pPr>
        <w:numPr>
          <w:ilvl w:val="0"/>
          <w:numId w:val="14"/>
        </w:numPr>
        <w:tabs>
          <w:tab w:val="left" w:pos="640"/>
          <w:tab w:val="left" w:pos="1260"/>
          <w:tab w:val="left" w:pos="1418"/>
        </w:tabs>
        <w:spacing w:line="360" w:lineRule="auto"/>
        <w:ind w:left="845" w:hanging="845"/>
        <w:rPr>
          <w:rFonts w:ascii="宋体" w:hAnsi="宋体" w:cs="宋体"/>
          <w:color w:val="000000" w:themeColor="text1"/>
          <w:sz w:val="24"/>
          <w:highlight w:val="none"/>
          <w:lang w:val="fr-CH"/>
          <w14:textFill>
            <w14:solidFill>
              <w14:schemeClr w14:val="tx1"/>
            </w14:solidFill>
          </w14:textFill>
        </w:rPr>
      </w:pPr>
      <w:r>
        <w:rPr>
          <w:rFonts w:hint="eastAsia" w:ascii="宋体" w:hAnsi="宋体" w:cs="宋体"/>
          <w:color w:val="000000" w:themeColor="text1"/>
          <w:sz w:val="24"/>
          <w:highlight w:val="none"/>
          <w:lang w:val="fr-CH"/>
          <w14:textFill>
            <w14:solidFill>
              <w14:schemeClr w14:val="tx1"/>
            </w14:solidFill>
          </w14:textFill>
        </w:rPr>
        <w:br w:type="page"/>
      </w:r>
      <w:r>
        <w:rPr>
          <w:rFonts w:hint="eastAsia" w:ascii="宋体" w:hAnsi="宋体" w:cs="宋体"/>
          <w:color w:val="000000" w:themeColor="text1"/>
          <w:sz w:val="24"/>
          <w:highlight w:val="none"/>
          <w:lang w:val="fr-CH"/>
          <w14:textFill>
            <w14:solidFill>
              <w14:schemeClr w14:val="tx1"/>
            </w14:solidFill>
          </w14:textFill>
        </w:rPr>
        <w:t>法定代表人授权书及身份证明；</w:t>
      </w:r>
    </w:p>
    <w:p>
      <w:pPr>
        <w:pStyle w:val="12"/>
        <w:spacing w:line="360" w:lineRule="auto"/>
        <w:jc w:val="center"/>
        <w:rPr>
          <w:rFonts w:hAnsi="宋体" w:cs="宋体"/>
          <w:b/>
          <w:color w:val="000000" w:themeColor="text1"/>
          <w:sz w:val="24"/>
          <w:highlight w:val="none"/>
          <w14:textFill>
            <w14:solidFill>
              <w14:schemeClr w14:val="tx1"/>
            </w14:solidFill>
          </w14:textFill>
        </w:rPr>
      </w:pPr>
    </w:p>
    <w:p>
      <w:pPr>
        <w:pStyle w:val="12"/>
        <w:spacing w:line="360" w:lineRule="auto"/>
        <w:jc w:val="center"/>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法定代表人授权书</w:t>
      </w:r>
    </w:p>
    <w:p>
      <w:pPr>
        <w:pStyle w:val="12"/>
        <w:spacing w:line="360" w:lineRule="auto"/>
        <w:rPr>
          <w:rFonts w:hAnsi="宋体" w:cs="宋体"/>
          <w:color w:val="000000" w:themeColor="text1"/>
          <w:sz w:val="24"/>
          <w:highlight w:val="none"/>
          <w14:textFill>
            <w14:solidFill>
              <w14:schemeClr w14:val="tx1"/>
            </w14:solidFill>
          </w14:textFill>
        </w:rPr>
      </w:pPr>
    </w:p>
    <w:p>
      <w:pPr>
        <w:pStyle w:val="12"/>
        <w:spacing w:line="360" w:lineRule="auto"/>
        <w:rPr>
          <w:rFonts w:hAnsi="宋体" w:cs="宋体"/>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深圳市前海深港现代服务业合作区管理局：</w:t>
      </w:r>
    </w:p>
    <w:p>
      <w:pPr>
        <w:pStyle w:val="12"/>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本授权书声明：注册于</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（国家或地区）的</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（投标人名称）的在下面签字的</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 xml:space="preserve"> （法定代表人姓名、职务）代表本公司授权在下面签字的</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（被授权人的姓名、职务）为本公司的合法代表人，就</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[招标编号为：</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]的投标和合同执行，以我方的名义处理一切与之有关的事宜。</w:t>
      </w:r>
    </w:p>
    <w:p>
      <w:pPr>
        <w:pStyle w:val="12"/>
        <w:spacing w:line="360" w:lineRule="auto"/>
        <w:rPr>
          <w:rFonts w:hAnsi="宋体" w:cs="宋体"/>
          <w:color w:val="000000" w:themeColor="text1"/>
          <w:sz w:val="24"/>
          <w:highlight w:val="none"/>
          <w14:textFill>
            <w14:solidFill>
              <w14:schemeClr w14:val="tx1"/>
            </w14:solidFill>
          </w14:textFill>
        </w:rPr>
      </w:pPr>
    </w:p>
    <w:p>
      <w:pPr>
        <w:spacing w:line="360" w:lineRule="auto"/>
        <w:ind w:firstLine="57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本授权书于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日签字生效，特此声明。</w:t>
      </w:r>
    </w:p>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tabs>
          <w:tab w:val="left" w:pos="378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投标供应商名称（盖章）：</w:t>
      </w:r>
    </w:p>
    <w:p>
      <w:pPr>
        <w:tabs>
          <w:tab w:val="left" w:pos="378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法定代表人（签字或签章）：</w:t>
      </w:r>
    </w:p>
    <w:p>
      <w:pPr>
        <w:tabs>
          <w:tab w:val="left" w:pos="378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被授权人代表（签字或签章）：</w:t>
      </w:r>
    </w:p>
    <w:p>
      <w:pPr>
        <w:tabs>
          <w:tab w:val="left" w:pos="640"/>
          <w:tab w:val="left" w:pos="1260"/>
          <w:tab w:val="left" w:pos="1418"/>
        </w:tabs>
        <w:spacing w:line="360" w:lineRule="auto"/>
        <w:rPr>
          <w:rFonts w:ascii="宋体" w:hAnsi="宋体" w:cs="宋体"/>
          <w:b/>
          <w:color w:val="000000" w:themeColor="text1"/>
          <w:sz w:val="24"/>
          <w:highlight w:val="none"/>
          <w14:textFill>
            <w14:solidFill>
              <w14:schemeClr w14:val="tx1"/>
            </w14:solidFill>
          </w14:textFill>
        </w:rPr>
      </w:pPr>
    </w:p>
    <w:p>
      <w:pPr>
        <w:tabs>
          <w:tab w:val="left" w:pos="640"/>
          <w:tab w:val="left" w:pos="1260"/>
          <w:tab w:val="left" w:pos="1418"/>
        </w:tabs>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附身份证正反面</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5" w:hRule="atLeast"/>
          <w:jc w:val="center"/>
        </w:trPr>
        <w:tc>
          <w:tcPr>
            <w:tcW w:w="4677" w:type="dxa"/>
          </w:tcPr>
          <w:p>
            <w:pPr>
              <w:pStyle w:val="12"/>
              <w:spacing w:line="360" w:lineRule="auto"/>
              <w:rPr>
                <w:rFonts w:ascii="Arial Narrow" w:hAnsi="Arial Narrow"/>
                <w:b/>
                <w:bCs/>
                <w:color w:val="000000" w:themeColor="text1"/>
                <w:szCs w:val="21"/>
                <w:highlight w:val="none"/>
                <w14:textFill>
                  <w14:solidFill>
                    <w14:schemeClr w14:val="tx1"/>
                  </w14:solidFill>
                </w14:textFill>
              </w:rPr>
            </w:pPr>
          </w:p>
        </w:tc>
        <w:tc>
          <w:tcPr>
            <w:tcW w:w="4677" w:type="dxa"/>
          </w:tcPr>
          <w:p>
            <w:pPr>
              <w:pStyle w:val="12"/>
              <w:spacing w:line="360" w:lineRule="auto"/>
              <w:rPr>
                <w:rFonts w:ascii="Arial Narrow" w:hAnsi="Arial Narrow"/>
                <w:b/>
                <w:bCs/>
                <w:color w:val="000000" w:themeColor="text1"/>
                <w:szCs w:val="21"/>
                <w:highlight w:val="none"/>
                <w14:textFill>
                  <w14:solidFill>
                    <w14:schemeClr w14:val="tx1"/>
                  </w14:solidFill>
                </w14:textFill>
              </w:rPr>
            </w:pPr>
          </w:p>
        </w:tc>
      </w:tr>
    </w:tbl>
    <w:p>
      <w:pPr>
        <w:tabs>
          <w:tab w:val="left" w:pos="640"/>
          <w:tab w:val="left" w:pos="1260"/>
          <w:tab w:val="left" w:pos="1418"/>
        </w:tabs>
        <w:spacing w:line="360" w:lineRule="auto"/>
        <w:rPr>
          <w:rFonts w:ascii="宋体" w:hAnsi="宋体" w:cs="宋体"/>
          <w:color w:val="000000" w:themeColor="text1"/>
          <w:sz w:val="24"/>
          <w:highlight w:val="none"/>
          <w:lang w:val="fr-CH"/>
          <w14:textFill>
            <w14:solidFill>
              <w14:schemeClr w14:val="tx1"/>
            </w14:solidFill>
          </w14:textFill>
        </w:rPr>
      </w:pPr>
      <w:r>
        <w:rPr>
          <w:rFonts w:hint="eastAsia" w:ascii="宋体" w:hAnsi="宋体" w:cs="宋体"/>
          <w:color w:val="000000" w:themeColor="text1"/>
          <w:sz w:val="24"/>
          <w:highlight w:val="none"/>
          <w:lang w:val="fr-CH"/>
          <w14:textFill>
            <w14:solidFill>
              <w14:schemeClr w14:val="tx1"/>
            </w14:solidFill>
          </w14:textFill>
        </w:rPr>
        <w:br w:type="page"/>
      </w:r>
    </w:p>
    <w:p>
      <w:pPr>
        <w:numPr>
          <w:ilvl w:val="0"/>
          <w:numId w:val="14"/>
        </w:numPr>
        <w:tabs>
          <w:tab w:val="left" w:pos="640"/>
          <w:tab w:val="left" w:pos="1260"/>
          <w:tab w:val="left" w:pos="1418"/>
        </w:tabs>
        <w:spacing w:line="360" w:lineRule="auto"/>
        <w:ind w:left="640" w:hanging="640"/>
        <w:rPr>
          <w:rFonts w:ascii="宋体" w:hAnsi="宋体" w:cs="宋体"/>
          <w:color w:val="000000" w:themeColor="text1"/>
          <w:sz w:val="24"/>
          <w:highlight w:val="none"/>
          <w:lang w:val="fr-CH"/>
          <w14:textFill>
            <w14:solidFill>
              <w14:schemeClr w14:val="tx1"/>
            </w14:solidFill>
          </w14:textFill>
        </w:rPr>
      </w:pPr>
      <w:r>
        <w:rPr>
          <w:rFonts w:hint="eastAsia" w:ascii="宋体" w:hAnsi="宋体" w:cs="宋体"/>
          <w:color w:val="000000" w:themeColor="text1"/>
          <w:sz w:val="24"/>
          <w:highlight w:val="none"/>
          <w:lang w:val="fr-CH"/>
          <w14:textFill>
            <w14:solidFill>
              <w14:schemeClr w14:val="tx1"/>
            </w14:solidFill>
          </w14:textFill>
        </w:rPr>
        <w:t>招标代理服务费承诺书；</w:t>
      </w:r>
    </w:p>
    <w:p>
      <w:pPr>
        <w:widowControl/>
        <w:autoSpaceDE w:val="0"/>
        <w:autoSpaceDN w:val="0"/>
        <w:spacing w:line="360" w:lineRule="auto"/>
        <w:ind w:left="359" w:right="26" w:hanging="357"/>
        <w:jc w:val="center"/>
        <w:textAlignment w:val="bottom"/>
        <w:rPr>
          <w:rFonts w:ascii="宋体" w:hAnsi="宋体" w:cs="宋体"/>
          <w:b/>
          <w:bCs/>
          <w:color w:val="000000" w:themeColor="text1"/>
          <w:sz w:val="24"/>
          <w:highlight w:val="none"/>
          <w:lang w:val="fr-CH"/>
          <w14:textFill>
            <w14:solidFill>
              <w14:schemeClr w14:val="tx1"/>
            </w14:solidFill>
          </w14:textFill>
        </w:rPr>
      </w:pPr>
    </w:p>
    <w:p>
      <w:pPr>
        <w:widowControl/>
        <w:autoSpaceDE w:val="0"/>
        <w:autoSpaceDN w:val="0"/>
        <w:spacing w:line="360" w:lineRule="auto"/>
        <w:ind w:left="359" w:right="26" w:hanging="357"/>
        <w:jc w:val="center"/>
        <w:textAlignment w:val="bottom"/>
        <w:rPr>
          <w:rFonts w:ascii="宋体" w:hAnsi="宋体" w:cs="宋体"/>
          <w:b/>
          <w:bCs/>
          <w:color w:val="000000" w:themeColor="text1"/>
          <w:sz w:val="24"/>
          <w:highlight w:val="none"/>
          <w:lang w:val="fr-CH"/>
          <w14:textFill>
            <w14:solidFill>
              <w14:schemeClr w14:val="tx1"/>
            </w14:solidFill>
          </w14:textFill>
        </w:rPr>
      </w:pPr>
      <w:r>
        <w:rPr>
          <w:rFonts w:hint="eastAsia" w:ascii="宋体" w:hAnsi="宋体" w:cs="宋体"/>
          <w:b/>
          <w:bCs/>
          <w:color w:val="000000" w:themeColor="text1"/>
          <w:sz w:val="24"/>
          <w:highlight w:val="none"/>
          <w:lang w:val="fr-CH"/>
          <w14:textFill>
            <w14:solidFill>
              <w14:schemeClr w14:val="tx1"/>
            </w14:solidFill>
          </w14:textFill>
        </w:rPr>
        <w:t>招标代理服务费承诺书</w:t>
      </w:r>
    </w:p>
    <w:p>
      <w:pPr>
        <w:widowControl/>
        <w:autoSpaceDE w:val="0"/>
        <w:autoSpaceDN w:val="0"/>
        <w:spacing w:line="360" w:lineRule="auto"/>
        <w:ind w:left="359" w:right="26" w:hanging="357"/>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致：中国远东国际招标有限公司</w:t>
      </w:r>
    </w:p>
    <w:p>
      <w:pPr>
        <w:widowControl/>
        <w:autoSpaceDE w:val="0"/>
        <w:autoSpaceDN w:val="0"/>
        <w:spacing w:line="360" w:lineRule="auto"/>
        <w:ind w:right="26" w:firstLine="54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我们在贵司代理的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项目（招标编号：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）（货物/服务/工程）招标中若获中标，我们保证在收到中标通知书后5日内按招标文件的规定，以现金或电汇向贵公司指定的银行帐号支付全额招标代理服务费。招标代理服务费按照</w:t>
      </w:r>
      <w:r>
        <w:rPr>
          <w:rFonts w:hint="eastAsia" w:ascii="宋体" w:hAnsi="宋体" w:cs="宋体"/>
          <w:color w:val="000000" w:themeColor="text1"/>
          <w:sz w:val="24"/>
          <w:highlight w:val="none"/>
          <w:u w:val="single"/>
          <w14:textFill>
            <w14:solidFill>
              <w14:schemeClr w14:val="tx1"/>
            </w14:solidFill>
          </w14:textFill>
        </w:rPr>
        <w:t>招标文件中的规定</w:t>
      </w:r>
      <w:r>
        <w:rPr>
          <w:rFonts w:hint="eastAsia" w:ascii="宋体" w:hAnsi="宋体" w:cs="宋体"/>
          <w:color w:val="000000" w:themeColor="text1"/>
          <w:sz w:val="24"/>
          <w:highlight w:val="none"/>
          <w14:textFill>
            <w14:solidFill>
              <w14:schemeClr w14:val="tx1"/>
            </w14:solidFill>
          </w14:textFill>
        </w:rPr>
        <w:t>计算。</w:t>
      </w:r>
    </w:p>
    <w:p>
      <w:pPr>
        <w:widowControl/>
        <w:autoSpaceDE w:val="0"/>
        <w:autoSpaceDN w:val="0"/>
        <w:spacing w:line="360" w:lineRule="auto"/>
        <w:ind w:right="26" w:firstLine="54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特此承诺。</w:t>
      </w:r>
    </w:p>
    <w:p>
      <w:pPr>
        <w:tabs>
          <w:tab w:val="left" w:pos="3780"/>
        </w:tabs>
        <w:spacing w:line="360" w:lineRule="auto"/>
        <w:jc w:val="left"/>
        <w:rPr>
          <w:rFonts w:ascii="宋体" w:hAnsi="宋体" w:cs="宋体"/>
          <w:color w:val="000000" w:themeColor="text1"/>
          <w:sz w:val="24"/>
          <w:highlight w:val="none"/>
          <w14:textFill>
            <w14:solidFill>
              <w14:schemeClr w14:val="tx1"/>
            </w14:solidFill>
          </w14:textFill>
        </w:rPr>
      </w:pPr>
    </w:p>
    <w:p>
      <w:pPr>
        <w:tabs>
          <w:tab w:val="left" w:pos="378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投标供应商名称（盖章）：</w:t>
      </w:r>
    </w:p>
    <w:p>
      <w:pPr>
        <w:widowControl/>
        <w:autoSpaceDE w:val="0"/>
        <w:autoSpaceDN w:val="0"/>
        <w:spacing w:line="360" w:lineRule="auto"/>
        <w:ind w:left="359" w:right="26" w:hanging="357"/>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投标供应商地址：</w:t>
      </w:r>
    </w:p>
    <w:p>
      <w:pPr>
        <w:widowControl/>
        <w:autoSpaceDE w:val="0"/>
        <w:autoSpaceDN w:val="0"/>
        <w:spacing w:line="360" w:lineRule="auto"/>
        <w:ind w:left="359" w:right="26" w:hanging="357"/>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电话：         </w:t>
      </w:r>
    </w:p>
    <w:p>
      <w:pPr>
        <w:widowControl/>
        <w:autoSpaceDE w:val="0"/>
        <w:autoSpaceDN w:val="0"/>
        <w:spacing w:line="360" w:lineRule="auto"/>
        <w:ind w:left="359" w:right="26" w:hanging="357"/>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w:t>
      </w:r>
    </w:p>
    <w:p>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   年     月     日</w:t>
      </w:r>
    </w:p>
    <w:p>
      <w:pPr>
        <w:pStyle w:val="2"/>
        <w:rPr>
          <w:color w:val="000000" w:themeColor="text1"/>
          <w:highlight w:val="none"/>
          <w:lang w:val="fr-CH"/>
          <w14:textFill>
            <w14:solidFill>
              <w14:schemeClr w14:val="tx1"/>
            </w14:solidFill>
          </w14:textFill>
        </w:rPr>
      </w:pPr>
    </w:p>
    <w:p>
      <w:pPr>
        <w:tabs>
          <w:tab w:val="left" w:pos="640"/>
          <w:tab w:val="left" w:pos="1260"/>
          <w:tab w:val="left" w:pos="1418"/>
        </w:tabs>
        <w:spacing w:line="360" w:lineRule="auto"/>
        <w:rPr>
          <w:rFonts w:ascii="宋体" w:hAnsi="宋体" w:cs="宋体"/>
          <w:color w:val="000000" w:themeColor="text1"/>
          <w:sz w:val="24"/>
          <w:highlight w:val="none"/>
          <w:lang w:val="fr-CH"/>
          <w14:textFill>
            <w14:solidFill>
              <w14:schemeClr w14:val="tx1"/>
            </w14:solidFill>
          </w14:textFill>
        </w:rPr>
      </w:pPr>
    </w:p>
    <w:p>
      <w:pPr>
        <w:numPr>
          <w:ilvl w:val="0"/>
          <w:numId w:val="14"/>
        </w:numPr>
        <w:tabs>
          <w:tab w:val="left" w:pos="640"/>
          <w:tab w:val="left" w:pos="1260"/>
          <w:tab w:val="left" w:pos="1418"/>
        </w:tabs>
        <w:spacing w:line="360" w:lineRule="auto"/>
        <w:ind w:left="845" w:hanging="845"/>
        <w:rPr>
          <w:rFonts w:ascii="宋体" w:hAnsi="宋体" w:cs="宋体"/>
          <w:color w:val="000000" w:themeColor="text1"/>
          <w:sz w:val="24"/>
          <w:highlight w:val="none"/>
          <w:lang w:val="fr-CH"/>
          <w14:textFill>
            <w14:solidFill>
              <w14:schemeClr w14:val="tx1"/>
            </w14:solidFill>
          </w14:textFill>
        </w:rPr>
      </w:pPr>
      <w:r>
        <w:rPr>
          <w:rFonts w:hint="eastAsia" w:ascii="宋体" w:hAnsi="宋体" w:cs="宋体"/>
          <w:color w:val="000000" w:themeColor="text1"/>
          <w:sz w:val="24"/>
          <w:highlight w:val="none"/>
          <w:lang w:val="fr-CH"/>
          <w14:textFill>
            <w14:solidFill>
              <w14:schemeClr w14:val="tx1"/>
            </w14:solidFill>
          </w14:textFill>
        </w:rPr>
        <w:br w:type="page"/>
      </w:r>
      <w:r>
        <w:rPr>
          <w:rFonts w:hint="eastAsia" w:ascii="宋体" w:hAnsi="宋体" w:cs="宋体"/>
          <w:color w:val="000000" w:themeColor="text1"/>
          <w:sz w:val="24"/>
          <w:highlight w:val="none"/>
          <w14:textFill>
            <w14:solidFill>
              <w14:schemeClr w14:val="tx1"/>
            </w14:solidFill>
          </w14:textFill>
        </w:rPr>
        <w:t>供应商</w:t>
      </w:r>
      <w:r>
        <w:rPr>
          <w:rFonts w:hint="eastAsia" w:ascii="宋体" w:hAnsi="宋体" w:cs="宋体"/>
          <w:color w:val="000000" w:themeColor="text1"/>
          <w:sz w:val="24"/>
          <w:highlight w:val="none"/>
          <w:lang w:val="fr-CH"/>
          <w14:textFill>
            <w14:solidFill>
              <w14:schemeClr w14:val="tx1"/>
            </w14:solidFill>
          </w14:textFill>
        </w:rPr>
        <w:t>简介；</w:t>
      </w:r>
    </w:p>
    <w:p>
      <w:pPr>
        <w:pStyle w:val="12"/>
        <w:spacing w:line="360" w:lineRule="auto"/>
        <w:jc w:val="center"/>
        <w:rPr>
          <w:rFonts w:hAnsi="宋体" w:cs="宋体"/>
          <w:b/>
          <w:bCs/>
          <w:color w:val="000000" w:themeColor="text1"/>
          <w:sz w:val="24"/>
          <w:highlight w:val="none"/>
          <w14:textFill>
            <w14:solidFill>
              <w14:schemeClr w14:val="tx1"/>
            </w14:solidFill>
          </w14:textFill>
        </w:rPr>
      </w:pPr>
      <w:r>
        <w:rPr>
          <w:rFonts w:hint="eastAsia" w:hAnsi="宋体" w:cs="宋体"/>
          <w:b/>
          <w:bCs/>
          <w:color w:val="000000" w:themeColor="text1"/>
          <w:sz w:val="24"/>
          <w:highlight w:val="none"/>
          <w14:textFill>
            <w14:solidFill>
              <w14:schemeClr w14:val="tx1"/>
            </w14:solidFill>
          </w14:textFill>
        </w:rPr>
        <w:t>供应商基本情况一览表</w:t>
      </w:r>
    </w:p>
    <w:p>
      <w:pPr>
        <w:pStyle w:val="12"/>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1．名称及概况：</w:t>
      </w:r>
    </w:p>
    <w:p>
      <w:pPr>
        <w:pStyle w:val="12"/>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（1）供应商名称：_______________________________________</w:t>
      </w:r>
    </w:p>
    <w:p>
      <w:pPr>
        <w:pStyle w:val="12"/>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（2）地址：______________________________________________</w:t>
      </w:r>
    </w:p>
    <w:p>
      <w:pPr>
        <w:pStyle w:val="12"/>
        <w:spacing w:line="360" w:lineRule="auto"/>
        <w:ind w:firstLine="660" w:firstLineChars="275"/>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邮政编码：___________________________________________</w:t>
      </w:r>
    </w:p>
    <w:p>
      <w:pPr>
        <w:pStyle w:val="12"/>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电话号码：___________________________________________ </w:t>
      </w:r>
    </w:p>
    <w:p>
      <w:pPr>
        <w:pStyle w:val="12"/>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传真号码：___________________________________________ </w:t>
      </w:r>
    </w:p>
    <w:p>
      <w:pPr>
        <w:pStyle w:val="12"/>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（3）成立和／或注册日期：_________________________________</w:t>
      </w:r>
    </w:p>
    <w:p>
      <w:pPr>
        <w:pStyle w:val="12"/>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（4）法人代表：___________________________________________</w:t>
      </w:r>
    </w:p>
    <w:p>
      <w:pPr>
        <w:pStyle w:val="12"/>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（5）开户银行：___________________________________________</w:t>
      </w:r>
    </w:p>
    <w:p>
      <w:pPr>
        <w:pStyle w:val="12"/>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（6）开户帐号：___________________________________________</w:t>
      </w:r>
    </w:p>
    <w:p>
      <w:pPr>
        <w:pStyle w:val="12"/>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（7）注册资金：___________________________________________</w:t>
      </w:r>
    </w:p>
    <w:p>
      <w:pPr>
        <w:pStyle w:val="12"/>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（8）近两年财务基本情况</w:t>
      </w:r>
    </w:p>
    <w:p>
      <w:pPr>
        <w:pStyle w:val="12"/>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①货币资金期末数：_____________________________________</w:t>
      </w:r>
    </w:p>
    <w:p>
      <w:pPr>
        <w:pStyle w:val="12"/>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③年营业总额（值）：___________________________________</w:t>
      </w:r>
    </w:p>
    <w:p>
      <w:pPr>
        <w:pStyle w:val="12"/>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③资产负债率：_________________________________________</w:t>
      </w:r>
    </w:p>
    <w:p>
      <w:pPr>
        <w:pStyle w:val="12"/>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④销售利润率：_________________________________________</w:t>
      </w:r>
    </w:p>
    <w:p>
      <w:pPr>
        <w:pStyle w:val="12"/>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⑤资本收益率：_________________________________________</w:t>
      </w:r>
    </w:p>
    <w:p>
      <w:pPr>
        <w:pStyle w:val="12"/>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（9）项目主要联系人（姓名、职务、通讯）：</w:t>
      </w:r>
    </w:p>
    <w:p>
      <w:pPr>
        <w:pStyle w:val="12"/>
        <w:spacing w:line="360" w:lineRule="auto"/>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_____________________________________________________________________</w:t>
      </w:r>
    </w:p>
    <w:p>
      <w:pPr>
        <w:pStyle w:val="12"/>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（10）公司概况；</w:t>
      </w:r>
    </w:p>
    <w:p>
      <w:pPr>
        <w:pStyle w:val="12"/>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（11）公司组织机构；</w:t>
      </w:r>
    </w:p>
    <w:p>
      <w:pPr>
        <w:pStyle w:val="12"/>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兹证明上述说明是真实、正确的，并提供了全部能提供的资料和数据，我们同意遵照贵方要求出示有关证明文件。</w:t>
      </w:r>
    </w:p>
    <w:p>
      <w:pPr>
        <w:tabs>
          <w:tab w:val="left" w:pos="3780"/>
        </w:tabs>
        <w:spacing w:line="360" w:lineRule="auto"/>
        <w:jc w:val="left"/>
        <w:rPr>
          <w:rFonts w:ascii="宋体" w:hAnsi="宋体" w:cs="宋体"/>
          <w:color w:val="000000" w:themeColor="text1"/>
          <w:sz w:val="24"/>
          <w:highlight w:val="none"/>
          <w14:textFill>
            <w14:solidFill>
              <w14:schemeClr w14:val="tx1"/>
            </w14:solidFill>
          </w14:textFill>
        </w:rPr>
      </w:pPr>
    </w:p>
    <w:p>
      <w:pPr>
        <w:tabs>
          <w:tab w:val="left" w:pos="378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投标供应商名称（盖章）：</w:t>
      </w:r>
    </w:p>
    <w:p>
      <w:pPr>
        <w:tabs>
          <w:tab w:val="left" w:pos="378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  年  月   日</w:t>
      </w:r>
    </w:p>
    <w:p>
      <w:pPr>
        <w:pStyle w:val="2"/>
        <w:rPr>
          <w:color w:val="000000" w:themeColor="text1"/>
          <w:highlight w:val="none"/>
          <w:lang w:val="fr-CH"/>
          <w14:textFill>
            <w14:solidFill>
              <w14:schemeClr w14:val="tx1"/>
            </w14:solidFill>
          </w14:textFill>
        </w:rPr>
      </w:pPr>
    </w:p>
    <w:p>
      <w:pPr>
        <w:numPr>
          <w:ilvl w:val="0"/>
          <w:numId w:val="14"/>
        </w:numPr>
        <w:tabs>
          <w:tab w:val="left" w:pos="640"/>
        </w:tabs>
        <w:spacing w:line="360" w:lineRule="auto"/>
        <w:ind w:left="845" w:hanging="845"/>
        <w:rPr>
          <w:rFonts w:hint="eastAsia" w:ascii="宋体" w:hAnsi="宋体" w:cs="宋体"/>
          <w:color w:val="000000" w:themeColor="text1"/>
          <w:sz w:val="24"/>
          <w:highlight w:val="none"/>
          <w:lang w:val="fr-CH"/>
          <w14:textFill>
            <w14:solidFill>
              <w14:schemeClr w14:val="tx1"/>
            </w14:solidFill>
          </w14:textFill>
        </w:rPr>
      </w:pPr>
      <w:r>
        <w:rPr>
          <w:rFonts w:hint="eastAsia" w:ascii="宋体" w:hAnsi="宋体" w:cs="宋体"/>
          <w:color w:val="000000" w:themeColor="text1"/>
          <w:sz w:val="24"/>
          <w:highlight w:val="none"/>
          <w:lang w:val="fr-CH"/>
          <w14:textFill>
            <w14:solidFill>
              <w14:schemeClr w14:val="tx1"/>
            </w14:solidFill>
          </w14:textFill>
        </w:rPr>
        <w:br w:type="page"/>
      </w:r>
      <w:r>
        <w:rPr>
          <w:rFonts w:hint="eastAsia" w:ascii="宋体" w:hAnsi="宋体" w:cs="宋体"/>
          <w:color w:val="000000" w:themeColor="text1"/>
          <w:sz w:val="24"/>
          <w:highlight w:val="none"/>
          <w:lang w:val="fr-CH"/>
          <w14:textFill>
            <w14:solidFill>
              <w14:schemeClr w14:val="tx1"/>
            </w14:solidFill>
          </w14:textFill>
        </w:rPr>
        <w:t>投标人同类项目业绩</w:t>
      </w:r>
      <w:r>
        <w:rPr>
          <w:rFonts w:hint="eastAsia" w:ascii="宋体" w:hAnsi="宋体" w:cs="宋体"/>
          <w:color w:val="000000" w:themeColor="text1"/>
          <w:sz w:val="24"/>
          <w:highlight w:val="none"/>
          <w14:textFill>
            <w14:solidFill>
              <w14:schemeClr w14:val="tx1"/>
            </w14:solidFill>
          </w14:textFill>
        </w:rPr>
        <w:t>；</w:t>
      </w:r>
    </w:p>
    <w:p>
      <w:pPr>
        <w:numPr>
          <w:ilvl w:val="0"/>
          <w:numId w:val="14"/>
        </w:numPr>
        <w:tabs>
          <w:tab w:val="left" w:pos="640"/>
        </w:tabs>
        <w:spacing w:line="360" w:lineRule="auto"/>
        <w:ind w:left="845" w:hanging="845"/>
        <w:rPr>
          <w:rFonts w:hint="eastAsia" w:ascii="宋体" w:hAnsi="宋体" w:cs="宋体"/>
          <w:color w:val="000000" w:themeColor="text1"/>
          <w:sz w:val="24"/>
          <w:highlight w:val="none"/>
          <w:lang w:val="fr-CH"/>
          <w14:textFill>
            <w14:solidFill>
              <w14:schemeClr w14:val="tx1"/>
            </w14:solidFill>
          </w14:textFill>
        </w:rPr>
      </w:pPr>
      <w:r>
        <w:rPr>
          <w:rFonts w:hint="eastAsia" w:ascii="宋体" w:hAnsi="宋体" w:cs="宋体"/>
          <w:color w:val="000000" w:themeColor="text1"/>
          <w:sz w:val="24"/>
          <w:highlight w:val="none"/>
          <w:lang w:val="fr-CH"/>
          <w14:textFill>
            <w14:solidFill>
              <w14:schemeClr w14:val="tx1"/>
            </w14:solidFill>
          </w14:textFill>
        </w:rPr>
        <w:t>获奖情况</w:t>
      </w:r>
      <w:r>
        <w:rPr>
          <w:rFonts w:hint="eastAsia" w:ascii="宋体" w:hAnsi="宋体" w:cs="宋体"/>
          <w:color w:val="000000" w:themeColor="text1"/>
          <w:sz w:val="24"/>
          <w:highlight w:val="none"/>
          <w14:textFill>
            <w14:solidFill>
              <w14:schemeClr w14:val="tx1"/>
            </w14:solidFill>
          </w14:textFill>
        </w:rPr>
        <w:t>；</w:t>
      </w:r>
    </w:p>
    <w:p>
      <w:pPr>
        <w:numPr>
          <w:ilvl w:val="0"/>
          <w:numId w:val="14"/>
        </w:numPr>
        <w:tabs>
          <w:tab w:val="left" w:pos="640"/>
        </w:tabs>
        <w:spacing w:line="360" w:lineRule="auto"/>
        <w:ind w:left="845" w:hanging="845"/>
        <w:rPr>
          <w:rFonts w:hint="eastAsia" w:ascii="宋体" w:hAnsi="宋体" w:cs="宋体"/>
          <w:color w:val="000000" w:themeColor="text1"/>
          <w:sz w:val="24"/>
          <w:highlight w:val="none"/>
          <w:lang w:val="fr-CH"/>
          <w14:textFill>
            <w14:solidFill>
              <w14:schemeClr w14:val="tx1"/>
            </w14:solidFill>
          </w14:textFill>
        </w:rPr>
      </w:pPr>
      <w:r>
        <w:rPr>
          <w:rFonts w:hint="eastAsia" w:ascii="宋体" w:hAnsi="宋体" w:cs="宋体"/>
          <w:color w:val="000000" w:themeColor="text1"/>
          <w:sz w:val="24"/>
          <w:highlight w:val="none"/>
          <w:lang w:val="fr-CH"/>
          <w14:textFill>
            <w14:solidFill>
              <w14:schemeClr w14:val="tx1"/>
            </w14:solidFill>
          </w14:textFill>
        </w:rPr>
        <w:t>投标人认证情况</w:t>
      </w:r>
      <w:r>
        <w:rPr>
          <w:rFonts w:hint="eastAsia" w:ascii="宋体" w:hAnsi="宋体" w:cs="宋体"/>
          <w:color w:val="000000" w:themeColor="text1"/>
          <w:sz w:val="24"/>
          <w:highlight w:val="none"/>
          <w14:textFill>
            <w14:solidFill>
              <w14:schemeClr w14:val="tx1"/>
            </w14:solidFill>
          </w14:textFill>
        </w:rPr>
        <w:t>；</w:t>
      </w:r>
    </w:p>
    <w:p>
      <w:pPr>
        <w:numPr>
          <w:ilvl w:val="0"/>
          <w:numId w:val="14"/>
        </w:numPr>
        <w:tabs>
          <w:tab w:val="left" w:pos="640"/>
        </w:tabs>
        <w:spacing w:line="360" w:lineRule="auto"/>
        <w:ind w:left="845" w:hanging="845"/>
        <w:rPr>
          <w:rFonts w:hint="eastAsia" w:ascii="宋体" w:hAnsi="宋体" w:cs="宋体"/>
          <w:color w:val="000000" w:themeColor="text1"/>
          <w:sz w:val="24"/>
          <w:highlight w:val="none"/>
          <w:lang w:val="fr-CH"/>
          <w14:textFill>
            <w14:solidFill>
              <w14:schemeClr w14:val="tx1"/>
            </w14:solidFill>
          </w14:textFill>
        </w:rPr>
      </w:pPr>
      <w:r>
        <w:rPr>
          <w:rFonts w:hint="eastAsia" w:ascii="宋体" w:hAnsi="宋体" w:cs="宋体"/>
          <w:color w:val="000000" w:themeColor="text1"/>
          <w:sz w:val="24"/>
          <w:highlight w:val="none"/>
          <w:lang w:val="fr-CH"/>
          <w14:textFill>
            <w14:solidFill>
              <w14:schemeClr w14:val="tx1"/>
            </w14:solidFill>
          </w14:textFill>
        </w:rPr>
        <w:t>拟安排的项目负责人情况</w:t>
      </w:r>
      <w:r>
        <w:rPr>
          <w:rFonts w:hint="eastAsia" w:ascii="宋体" w:hAnsi="宋体" w:cs="宋体"/>
          <w:color w:val="000000" w:themeColor="text1"/>
          <w:sz w:val="24"/>
          <w:highlight w:val="none"/>
          <w14:textFill>
            <w14:solidFill>
              <w14:schemeClr w14:val="tx1"/>
            </w14:solidFill>
          </w14:textFill>
        </w:rPr>
        <w:t>；</w:t>
      </w:r>
    </w:p>
    <w:p>
      <w:pPr>
        <w:numPr>
          <w:ilvl w:val="0"/>
          <w:numId w:val="14"/>
        </w:numPr>
        <w:tabs>
          <w:tab w:val="left" w:pos="640"/>
        </w:tabs>
        <w:spacing w:line="360" w:lineRule="auto"/>
        <w:ind w:left="845" w:hanging="84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fr-CH"/>
          <w14:textFill>
            <w14:solidFill>
              <w14:schemeClr w14:val="tx1"/>
            </w14:solidFill>
          </w14:textFill>
        </w:rPr>
        <w:t>拟安排的项目团队情况（除项目负责人外）</w:t>
      </w:r>
      <w:r>
        <w:rPr>
          <w:rFonts w:hint="eastAsia" w:ascii="宋体" w:hAnsi="宋体" w:cs="宋体"/>
          <w:color w:val="000000" w:themeColor="text1"/>
          <w:sz w:val="24"/>
          <w:highlight w:val="none"/>
          <w14:textFill>
            <w14:solidFill>
              <w14:schemeClr w14:val="tx1"/>
            </w14:solidFill>
          </w14:textFill>
        </w:rPr>
        <w:t>；</w:t>
      </w:r>
    </w:p>
    <w:p>
      <w:pPr>
        <w:tabs>
          <w:tab w:val="left" w:pos="640"/>
          <w:tab w:val="left" w:pos="1260"/>
          <w:tab w:val="left" w:pos="1418"/>
        </w:tabs>
        <w:jc w:val="center"/>
        <w:rPr>
          <w:rFonts w:ascii="宋体" w:hAnsi="宋体" w:cs="宋体"/>
          <w:b/>
          <w:bCs/>
          <w:color w:val="000000" w:themeColor="text1"/>
          <w:szCs w:val="21"/>
          <w:highlight w:val="none"/>
          <w14:textFill>
            <w14:solidFill>
              <w14:schemeClr w14:val="tx1"/>
            </w14:solidFill>
          </w14:textFill>
        </w:rPr>
      </w:pPr>
    </w:p>
    <w:p>
      <w:pPr>
        <w:tabs>
          <w:tab w:val="left" w:pos="640"/>
          <w:tab w:val="left" w:pos="1260"/>
          <w:tab w:val="left" w:pos="1418"/>
        </w:tabs>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注：以上各项请根据“招标项目评分表”中的要求自行填写并提供相应的证明材料。</w:t>
      </w:r>
    </w:p>
    <w:p>
      <w:pPr>
        <w:numPr>
          <w:ilvl w:val="0"/>
          <w:numId w:val="14"/>
        </w:numPr>
        <w:tabs>
          <w:tab w:val="left" w:pos="640"/>
          <w:tab w:val="left" w:pos="840"/>
          <w:tab w:val="left" w:pos="1260"/>
          <w:tab w:val="left" w:pos="1418"/>
        </w:tabs>
        <w:spacing w:line="360" w:lineRule="auto"/>
        <w:ind w:left="845" w:hanging="845"/>
        <w:rPr>
          <w:rFonts w:ascii="宋体" w:hAnsi="宋体" w:cs="宋体"/>
          <w:color w:val="000000" w:themeColor="text1"/>
          <w:sz w:val="24"/>
          <w:highlight w:val="none"/>
          <w:lang w:val="fr-CH"/>
          <w14:textFill>
            <w14:solidFill>
              <w14:schemeClr w14:val="tx1"/>
            </w14:solidFill>
          </w14:textFill>
        </w:rPr>
      </w:pPr>
      <w:r>
        <w:rPr>
          <w:rFonts w:hint="eastAsia" w:ascii="宋体" w:hAnsi="宋体" w:cs="宋体"/>
          <w:color w:val="000000" w:themeColor="text1"/>
          <w:sz w:val="24"/>
          <w:highlight w:val="none"/>
          <w:lang w:val="fr-CH"/>
          <w14:textFill>
            <w14:solidFill>
              <w14:schemeClr w14:val="tx1"/>
            </w14:solidFill>
          </w14:textFill>
        </w:rPr>
        <w:br w:type="page"/>
      </w:r>
      <w:r>
        <w:rPr>
          <w:rFonts w:hint="eastAsia" w:ascii="宋体" w:hAnsi="宋体" w:cs="宋体"/>
          <w:b/>
          <w:bCs/>
          <w:color w:val="000000" w:themeColor="text1"/>
          <w:sz w:val="24"/>
          <w:highlight w:val="none"/>
          <w:lang w:val="fr-CH"/>
          <w14:textFill>
            <w14:solidFill>
              <w14:schemeClr w14:val="tx1"/>
            </w14:solidFill>
          </w14:textFill>
        </w:rPr>
        <w:t>诚信</w:t>
      </w:r>
      <w:r>
        <w:rPr>
          <w:rFonts w:hint="eastAsia" w:ascii="宋体" w:hAnsi="宋体" w:cs="宋体"/>
          <w:b/>
          <w:bCs/>
          <w:color w:val="000000" w:themeColor="text1"/>
          <w:sz w:val="24"/>
          <w:highlight w:val="none"/>
          <w14:textFill>
            <w14:solidFill>
              <w14:schemeClr w14:val="tx1"/>
            </w14:solidFill>
          </w14:textFill>
        </w:rPr>
        <w:t>声明与承诺</w:t>
      </w:r>
      <w:r>
        <w:rPr>
          <w:rFonts w:hint="eastAsia" w:ascii="宋体" w:hAnsi="宋体" w:cs="宋体"/>
          <w:b/>
          <w:bCs/>
          <w:color w:val="000000" w:themeColor="text1"/>
          <w:sz w:val="24"/>
          <w:highlight w:val="none"/>
          <w:lang w:val="fr-CH"/>
          <w14:textFill>
            <w14:solidFill>
              <w14:schemeClr w14:val="tx1"/>
            </w14:solidFill>
          </w14:textFill>
        </w:rPr>
        <w:t>；</w:t>
      </w:r>
    </w:p>
    <w:p>
      <w:pP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诚信声明与承诺</w:t>
      </w: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中国远东国际招标有限公司：</w:t>
      </w:r>
    </w:p>
    <w:p>
      <w:pPr>
        <w:spacing w:line="360" w:lineRule="auto"/>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我公司（单位）参与贵代理机构组织的项目（项目编号：）投标，现就诚信作如下声明与承诺：</w:t>
      </w:r>
    </w:p>
    <w:p>
      <w:pPr>
        <w:spacing w:line="360" w:lineRule="auto"/>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我司（单位）承诺无财政部《财政部关于在政府采购活动中查询及使用信用记录有关问题的通知》及其他相关文件中规定的予以扣分的情形。</w:t>
      </w:r>
    </w:p>
    <w:p>
      <w:pPr>
        <w:spacing w:line="360" w:lineRule="auto"/>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我司对上述内容的真实性负责。如有虚假，将依法承担相应责任。</w:t>
      </w:r>
    </w:p>
    <w:p>
      <w:pPr>
        <w:spacing w:line="360" w:lineRule="auto"/>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特此声明与承诺！</w:t>
      </w:r>
    </w:p>
    <w:p>
      <w:pPr>
        <w:spacing w:line="360" w:lineRule="auto"/>
        <w:jc w:val="left"/>
        <w:rPr>
          <w:rFonts w:ascii="宋体" w:hAnsi="宋体" w:cs="宋体"/>
          <w:color w:val="000000" w:themeColor="text1"/>
          <w:sz w:val="24"/>
          <w:highlight w:val="none"/>
          <w14:textFill>
            <w14:solidFill>
              <w14:schemeClr w14:val="tx1"/>
            </w14:solidFill>
          </w14:textFill>
        </w:rPr>
      </w:pPr>
    </w:p>
    <w:p>
      <w:pPr>
        <w:spacing w:line="360" w:lineRule="auto"/>
        <w:jc w:val="left"/>
        <w:rPr>
          <w:rFonts w:ascii="宋体" w:hAnsi="宋体" w:cs="宋体"/>
          <w:color w:val="000000" w:themeColor="text1"/>
          <w:sz w:val="24"/>
          <w:highlight w:val="none"/>
          <w14:textFill>
            <w14:solidFill>
              <w14:schemeClr w14:val="tx1"/>
            </w14:solidFill>
          </w14:textFill>
        </w:rPr>
      </w:pPr>
    </w:p>
    <w:p>
      <w:pPr>
        <w:tabs>
          <w:tab w:val="left" w:pos="378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投标供应商名称（盖章）：</w:t>
      </w:r>
    </w:p>
    <w:p>
      <w:pPr>
        <w:tabs>
          <w:tab w:val="left" w:pos="378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  年  月   日</w:t>
      </w:r>
    </w:p>
    <w:p>
      <w:pPr>
        <w:pStyle w:val="12"/>
        <w:spacing w:line="360" w:lineRule="auto"/>
        <w:jc w:val="left"/>
        <w:rPr>
          <w:rFonts w:hAnsi="宋体" w:cs="宋体"/>
          <w:color w:val="000000" w:themeColor="text1"/>
          <w:sz w:val="24"/>
          <w:highlight w:val="none"/>
          <w14:textFill>
            <w14:solidFill>
              <w14:schemeClr w14:val="tx1"/>
            </w14:solidFill>
          </w14:textFill>
        </w:rPr>
      </w:pPr>
    </w:p>
    <w:p>
      <w:pPr>
        <w:pStyle w:val="12"/>
        <w:spacing w:line="360" w:lineRule="auto"/>
        <w:jc w:val="left"/>
        <w:rPr>
          <w:rFonts w:hAnsi="宋体" w:cs="宋体"/>
          <w:color w:val="000000" w:themeColor="text1"/>
          <w:sz w:val="24"/>
          <w:highlight w:val="none"/>
          <w14:textFill>
            <w14:solidFill>
              <w14:schemeClr w14:val="tx1"/>
            </w14:solidFill>
          </w14:textFill>
        </w:rPr>
      </w:pPr>
    </w:p>
    <w:p>
      <w:pPr>
        <w:spacing w:before="100" w:beforeAutospacing="1" w:after="100" w:afterAutospacing="1"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注：近三年内，如投标人有任何违法违规、受惩罚和禁止、不良信用等记录，必须列明记载，并附网络截图（加盖公章）。</w:t>
      </w:r>
    </w:p>
    <w:p>
      <w:pPr>
        <w:pStyle w:val="2"/>
        <w:rPr>
          <w:color w:val="000000" w:themeColor="text1"/>
          <w:highlight w:val="none"/>
          <w:lang w:val="fr-CH"/>
          <w14:textFill>
            <w14:solidFill>
              <w14:schemeClr w14:val="tx1"/>
            </w14:solidFill>
          </w14:textFill>
        </w:rPr>
      </w:pPr>
    </w:p>
    <w:p>
      <w:pPr>
        <w:numPr>
          <w:ilvl w:val="0"/>
          <w:numId w:val="14"/>
        </w:numPr>
        <w:tabs>
          <w:tab w:val="left" w:pos="640"/>
          <w:tab w:val="left" w:pos="840"/>
          <w:tab w:val="left" w:pos="1260"/>
          <w:tab w:val="left" w:pos="1418"/>
        </w:tabs>
        <w:spacing w:line="360" w:lineRule="auto"/>
        <w:ind w:left="845" w:hanging="84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color w:val="000000" w:themeColor="text1"/>
          <w:sz w:val="24"/>
          <w:highlight w:val="none"/>
          <w14:textFill>
            <w14:solidFill>
              <w14:schemeClr w14:val="tx1"/>
            </w14:solidFill>
          </w14:textFill>
        </w:rPr>
        <w:t>投标人认为有必要提供的其他材料。</w:t>
      </w:r>
    </w:p>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br w:type="page"/>
      </w:r>
      <w:r>
        <w:rPr>
          <w:rFonts w:hint="eastAsia" w:ascii="宋体" w:hAnsi="宋体" w:cs="宋体"/>
          <w:b/>
          <w:bCs/>
          <w:color w:val="000000" w:themeColor="text1"/>
          <w:sz w:val="24"/>
          <w:highlight w:val="none"/>
          <w14:textFill>
            <w14:solidFill>
              <w14:schemeClr w14:val="tx1"/>
            </w14:solidFill>
          </w14:textFill>
        </w:rPr>
        <w:t>（三）技术部分</w:t>
      </w:r>
    </w:p>
    <w:p>
      <w:pPr>
        <w:numPr>
          <w:ilvl w:val="0"/>
          <w:numId w:val="16"/>
        </w:numPr>
        <w:tabs>
          <w:tab w:val="left" w:pos="640"/>
          <w:tab w:val="left" w:pos="1260"/>
          <w:tab w:val="left" w:pos="1418"/>
        </w:tabs>
        <w:spacing w:line="360" w:lineRule="auto"/>
        <w:ind w:left="640" w:right="-420" w:rightChars="-200" w:hanging="640"/>
        <w:rPr>
          <w:rFonts w:ascii="宋体" w:hAnsi="宋体" w:cs="宋体"/>
          <w:color w:val="000000" w:themeColor="text1"/>
          <w:sz w:val="24"/>
          <w:highlight w:val="none"/>
          <w:lang w:val="fr-CH"/>
          <w14:textFill>
            <w14:solidFill>
              <w14:schemeClr w14:val="tx1"/>
            </w14:solidFill>
          </w14:textFill>
        </w:rPr>
      </w:pPr>
      <w:r>
        <w:rPr>
          <w:rFonts w:hint="eastAsia" w:ascii="宋体" w:hAnsi="宋体" w:cs="宋体"/>
          <w:color w:val="000000" w:themeColor="text1"/>
          <w:sz w:val="24"/>
          <w:highlight w:val="none"/>
          <w:lang w:val="fr-CH"/>
          <w14:textFill>
            <w14:solidFill>
              <w14:schemeClr w14:val="tx1"/>
            </w14:solidFill>
          </w14:textFill>
        </w:rPr>
        <w:t>用户需求响应表；</w:t>
      </w:r>
    </w:p>
    <w:p>
      <w:pPr>
        <w:spacing w:after="78" w:line="360" w:lineRule="auto"/>
        <w:jc w:val="center"/>
        <w:rPr>
          <w:rFonts w:ascii="宋体" w:hAnsi="宋体" w:cs="宋体"/>
          <w:b/>
          <w:bCs/>
          <w:color w:val="000000" w:themeColor="text1"/>
          <w:sz w:val="24"/>
          <w:highlight w:val="none"/>
          <w:lang w:val="fr-CH"/>
          <w14:textFill>
            <w14:solidFill>
              <w14:schemeClr w14:val="tx1"/>
            </w14:solidFill>
          </w14:textFill>
        </w:rPr>
      </w:pPr>
      <w:r>
        <w:rPr>
          <w:rFonts w:hint="eastAsia" w:ascii="宋体" w:hAnsi="宋体" w:cs="宋体"/>
          <w:b/>
          <w:bCs/>
          <w:color w:val="000000" w:themeColor="text1"/>
          <w:sz w:val="24"/>
          <w:highlight w:val="none"/>
          <w:lang w:val="fr-CH"/>
          <w14:textFill>
            <w14:solidFill>
              <w14:schemeClr w14:val="tx1"/>
            </w14:solidFill>
          </w14:textFill>
        </w:rPr>
        <w:t>用户需求响应表</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投标供应商名称：（公章）</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u w:val="single"/>
          <w14:textFill>
            <w14:solidFill>
              <w14:schemeClr w14:val="tx1"/>
            </w14:solidFill>
          </w14:textFill>
        </w:rPr>
        <w:t xml:space="preserve">                                      </w:t>
      </w:r>
    </w:p>
    <w:p>
      <w:pPr>
        <w:spacing w:after="78"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据招标文件要求，我公司承诺响应如下：</w:t>
      </w:r>
    </w:p>
    <w:tbl>
      <w:tblPr>
        <w:tblStyle w:val="24"/>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序号</w:t>
            </w:r>
          </w:p>
        </w:tc>
        <w:tc>
          <w:tcPr>
            <w:tcW w:w="3507" w:type="dxa"/>
            <w:vAlign w:val="center"/>
          </w:tcPr>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招标文件要求</w:t>
            </w:r>
          </w:p>
        </w:tc>
        <w:tc>
          <w:tcPr>
            <w:tcW w:w="3241" w:type="dxa"/>
            <w:vAlign w:val="center"/>
          </w:tcPr>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投标文件响应</w:t>
            </w:r>
          </w:p>
        </w:tc>
        <w:tc>
          <w:tcPr>
            <w:tcW w:w="1917" w:type="dxa"/>
            <w:vAlign w:val="center"/>
          </w:tcPr>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w:t>
            </w:r>
          </w:p>
        </w:tc>
        <w:tc>
          <w:tcPr>
            <w:tcW w:w="3507" w:type="dxa"/>
            <w:vAlign w:val="center"/>
          </w:tcPr>
          <w:p>
            <w:pPr>
              <w:spacing w:after="78"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填写说明：此项投标人必须完全响应满足，请投标人于“投标文件响应”栏中填写“投标人完全响应满足招标文件“第五章 用户需求书”的全部内容”即可；</w:t>
            </w:r>
          </w:p>
          <w:p>
            <w:pPr>
              <w:spacing w:line="360"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无需另行编制填写内容。</w:t>
            </w:r>
          </w:p>
        </w:tc>
        <w:tc>
          <w:tcPr>
            <w:tcW w:w="1917" w:type="dxa"/>
            <w:vAlign w:val="center"/>
          </w:tcPr>
          <w:p>
            <w:pPr>
              <w:spacing w:line="360" w:lineRule="auto"/>
              <w:jc w:val="center"/>
              <w:rPr>
                <w:rFonts w:ascii="宋体" w:hAnsi="宋体" w:cs="宋体"/>
                <w:bCs/>
                <w:color w:val="000000" w:themeColor="text1"/>
                <w:sz w:val="24"/>
                <w:highlight w:val="none"/>
                <w14:textFill>
                  <w14:solidFill>
                    <w14:schemeClr w14:val="tx1"/>
                  </w14:solidFill>
                </w14:textFill>
              </w:rPr>
            </w:pPr>
          </w:p>
        </w:tc>
      </w:tr>
    </w:tbl>
    <w:p>
      <w:pPr>
        <w:spacing w:after="78" w:line="360" w:lineRule="auto"/>
        <w:rPr>
          <w:rFonts w:ascii="宋体" w:hAnsi="宋体" w:cs="宋体"/>
          <w:bCs/>
          <w:color w:val="000000" w:themeColor="text1"/>
          <w:sz w:val="24"/>
          <w:highlight w:val="none"/>
          <w14:textFill>
            <w14:solidFill>
              <w14:schemeClr w14:val="tx1"/>
            </w14:solidFill>
          </w14:textFill>
        </w:rPr>
      </w:pPr>
    </w:p>
    <w:p>
      <w:pPr>
        <w:spacing w:after="78"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若响应情况优于招标要求，应作详细说明；“偏离情况”栏中根据响应情况填写，没有达到要求的填“负偏离”，达到要求的填“符合”，优于要求的填“正偏离”。</w:t>
      </w:r>
    </w:p>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投标供应商授权代表：</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r>
        <w:rPr>
          <w:rFonts w:hint="eastAsia" w:ascii="宋体" w:hAnsi="宋体" w:cs="宋体"/>
          <w:color w:val="000000" w:themeColor="text1"/>
          <w:sz w:val="24"/>
          <w:highlight w:val="none"/>
          <w:u w:val="single"/>
          <w14:textFill>
            <w14:solidFill>
              <w14:schemeClr w14:val="tx1"/>
            </w14:solidFill>
          </w14:textFill>
        </w:rPr>
        <w:t xml:space="preserve">                   </w:t>
      </w:r>
    </w:p>
    <w:p>
      <w:pPr>
        <w:pStyle w:val="2"/>
        <w:spacing w:line="360" w:lineRule="auto"/>
        <w:rPr>
          <w:color w:val="000000" w:themeColor="text1"/>
          <w:highlight w:val="none"/>
          <w:lang w:val="fr-CH"/>
          <w14:textFill>
            <w14:solidFill>
              <w14:schemeClr w14:val="tx1"/>
            </w14:solidFill>
          </w14:textFill>
        </w:rPr>
      </w:pPr>
    </w:p>
    <w:p>
      <w:pPr>
        <w:numPr>
          <w:ilvl w:val="0"/>
          <w:numId w:val="16"/>
        </w:numPr>
        <w:tabs>
          <w:tab w:val="left" w:pos="640"/>
          <w:tab w:val="left" w:pos="1260"/>
          <w:tab w:val="left" w:pos="1418"/>
        </w:tabs>
        <w:spacing w:line="360" w:lineRule="auto"/>
        <w:ind w:left="845" w:right="-420" w:rightChars="-200" w:hanging="845"/>
        <w:rPr>
          <w:rFonts w:ascii="宋体" w:hAnsi="宋体" w:cs="宋体"/>
          <w:color w:val="000000" w:themeColor="text1"/>
          <w:sz w:val="24"/>
          <w:highlight w:val="none"/>
          <w:lang w:val="sq-AL"/>
          <w14:textFill>
            <w14:solidFill>
              <w14:schemeClr w14:val="tx1"/>
            </w14:solidFill>
          </w14:textFill>
        </w:rPr>
      </w:pPr>
      <w:r>
        <w:rPr>
          <w:rFonts w:hint="eastAsia" w:ascii="宋体" w:hAnsi="宋体" w:cs="宋体"/>
          <w:color w:val="000000" w:themeColor="text1"/>
          <w:sz w:val="24"/>
          <w:highlight w:val="none"/>
          <w:lang w:val="sq-AL"/>
          <w14:textFill>
            <w14:solidFill>
              <w14:schemeClr w14:val="tx1"/>
            </w14:solidFill>
          </w14:textFill>
        </w:rPr>
        <w:br w:type="page"/>
      </w:r>
      <w:r>
        <w:rPr>
          <w:rFonts w:hint="eastAsia" w:ascii="宋体" w:hAnsi="宋体" w:cs="宋体"/>
          <w:color w:val="000000" w:themeColor="text1"/>
          <w:sz w:val="24"/>
          <w:highlight w:val="none"/>
          <w:lang w:val="sq-AL"/>
          <w14:textFill>
            <w14:solidFill>
              <w14:schemeClr w14:val="tx1"/>
            </w14:solidFill>
          </w14:textFill>
        </w:rPr>
        <w:t>对项目需求的解析；</w:t>
      </w:r>
    </w:p>
    <w:p>
      <w:pPr>
        <w:numPr>
          <w:ilvl w:val="0"/>
          <w:numId w:val="16"/>
        </w:numPr>
        <w:tabs>
          <w:tab w:val="left" w:pos="640"/>
          <w:tab w:val="left" w:pos="1260"/>
          <w:tab w:val="left" w:pos="1418"/>
        </w:tabs>
        <w:spacing w:line="360" w:lineRule="auto"/>
        <w:ind w:left="845" w:right="-420" w:rightChars="-200" w:hanging="845"/>
        <w:rPr>
          <w:rFonts w:ascii="宋体" w:hAnsi="宋体" w:cs="宋体"/>
          <w:color w:val="000000" w:themeColor="text1"/>
          <w:sz w:val="24"/>
          <w:highlight w:val="none"/>
          <w:lang w:val="sq-AL"/>
          <w14:textFill>
            <w14:solidFill>
              <w14:schemeClr w14:val="tx1"/>
            </w14:solidFill>
          </w14:textFill>
        </w:rPr>
      </w:pPr>
      <w:r>
        <w:rPr>
          <w:rFonts w:hint="eastAsia" w:ascii="宋体" w:hAnsi="宋体" w:cs="宋体"/>
          <w:color w:val="000000" w:themeColor="text1"/>
          <w:sz w:val="24"/>
          <w:highlight w:val="none"/>
          <w:lang w:val="sq-AL"/>
          <w14:textFill>
            <w14:solidFill>
              <w14:schemeClr w14:val="tx1"/>
            </w14:solidFill>
          </w14:textFill>
        </w:rPr>
        <w:t>实施方案；</w:t>
      </w:r>
    </w:p>
    <w:p>
      <w:pPr>
        <w:numPr>
          <w:ilvl w:val="0"/>
          <w:numId w:val="16"/>
        </w:numPr>
        <w:tabs>
          <w:tab w:val="left" w:pos="640"/>
          <w:tab w:val="left" w:pos="1260"/>
          <w:tab w:val="left" w:pos="1418"/>
        </w:tabs>
        <w:spacing w:line="360" w:lineRule="auto"/>
        <w:ind w:left="845" w:right="-420" w:rightChars="-200" w:hanging="845"/>
        <w:rPr>
          <w:rFonts w:ascii="宋体" w:hAnsi="宋体" w:cs="宋体"/>
          <w:color w:val="000000" w:themeColor="text1"/>
          <w:sz w:val="24"/>
          <w:highlight w:val="none"/>
          <w:lang w:val="sq-AL"/>
          <w14:textFill>
            <w14:solidFill>
              <w14:schemeClr w14:val="tx1"/>
            </w14:solidFill>
          </w14:textFill>
        </w:rPr>
      </w:pPr>
      <w:r>
        <w:rPr>
          <w:rFonts w:hint="eastAsia" w:ascii="宋体" w:hAnsi="宋体" w:cs="宋体"/>
          <w:color w:val="000000" w:themeColor="text1"/>
          <w:sz w:val="24"/>
          <w:highlight w:val="none"/>
          <w:lang w:val="sq-AL"/>
          <w14:textFill>
            <w14:solidFill>
              <w14:schemeClr w14:val="tx1"/>
            </w14:solidFill>
          </w14:textFill>
        </w:rPr>
        <w:t>项目重点、难点及解决方案；</w:t>
      </w:r>
    </w:p>
    <w:p>
      <w:pPr>
        <w:numPr>
          <w:ilvl w:val="0"/>
          <w:numId w:val="16"/>
        </w:numPr>
        <w:tabs>
          <w:tab w:val="left" w:pos="640"/>
          <w:tab w:val="left" w:pos="1260"/>
          <w:tab w:val="left" w:pos="1418"/>
        </w:tabs>
        <w:spacing w:line="360" w:lineRule="auto"/>
        <w:ind w:left="845" w:right="-420" w:rightChars="-200" w:hanging="845"/>
        <w:rPr>
          <w:rFonts w:ascii="宋体" w:hAnsi="宋体" w:cs="宋体"/>
          <w:color w:val="000000" w:themeColor="text1"/>
          <w:sz w:val="24"/>
          <w:highlight w:val="none"/>
          <w:lang w:val="sq-AL"/>
          <w14:textFill>
            <w14:solidFill>
              <w14:schemeClr w14:val="tx1"/>
            </w14:solidFill>
          </w14:textFill>
        </w:rPr>
      </w:pPr>
      <w:r>
        <w:rPr>
          <w:rFonts w:hint="eastAsia" w:ascii="宋体" w:hAnsi="宋体" w:cs="宋体"/>
          <w:color w:val="000000" w:themeColor="text1"/>
          <w:sz w:val="24"/>
          <w:highlight w:val="none"/>
          <w:lang w:val="sq-AL"/>
          <w14:textFill>
            <w14:solidFill>
              <w14:schemeClr w14:val="tx1"/>
            </w14:solidFill>
          </w14:textFill>
        </w:rPr>
        <w:t>项目质量保障措施和售后服务计划；</w:t>
      </w:r>
    </w:p>
    <w:p>
      <w:pPr>
        <w:tabs>
          <w:tab w:val="left" w:pos="640"/>
          <w:tab w:val="left" w:pos="1260"/>
          <w:tab w:val="left" w:pos="1418"/>
        </w:tabs>
        <w:jc w:val="center"/>
        <w:rPr>
          <w:rFonts w:ascii="宋体" w:hAnsi="宋体" w:cs="宋体"/>
          <w:b/>
          <w:bCs/>
          <w:color w:val="000000" w:themeColor="text1"/>
          <w:sz w:val="24"/>
          <w:highlight w:val="none"/>
          <w14:textFill>
            <w14:solidFill>
              <w14:schemeClr w14:val="tx1"/>
            </w14:solidFill>
          </w14:textFill>
        </w:rPr>
      </w:pPr>
    </w:p>
    <w:p>
      <w:pPr>
        <w:tabs>
          <w:tab w:val="left" w:pos="640"/>
          <w:tab w:val="left" w:pos="1260"/>
          <w:tab w:val="left" w:pos="1418"/>
        </w:tabs>
        <w:jc w:val="center"/>
        <w:rPr>
          <w:rFonts w:ascii="宋体" w:hAnsi="宋体" w:cs="宋体"/>
          <w:b/>
          <w:bCs/>
          <w:color w:val="000000" w:themeColor="text1"/>
          <w:sz w:val="24"/>
          <w:highlight w:val="none"/>
          <w14:textFill>
            <w14:solidFill>
              <w14:schemeClr w14:val="tx1"/>
            </w14:solidFill>
          </w14:textFill>
        </w:rPr>
      </w:pPr>
    </w:p>
    <w:p>
      <w:pPr>
        <w:tabs>
          <w:tab w:val="left" w:pos="640"/>
          <w:tab w:val="left" w:pos="1260"/>
          <w:tab w:val="left" w:pos="1418"/>
        </w:tabs>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注：以上各项请根据“招标项目评分表”中的要求自行填写并提供相应的证明材料。</w:t>
      </w:r>
    </w:p>
    <w:p>
      <w:pPr>
        <w:numPr>
          <w:ilvl w:val="0"/>
          <w:numId w:val="16"/>
        </w:numPr>
        <w:tabs>
          <w:tab w:val="left" w:pos="640"/>
          <w:tab w:val="left" w:pos="1260"/>
          <w:tab w:val="left" w:pos="1418"/>
        </w:tabs>
        <w:spacing w:line="360" w:lineRule="auto"/>
        <w:ind w:left="845" w:right="-420" w:rightChars="-200" w:hanging="845"/>
        <w:rPr>
          <w:rFonts w:ascii="宋体" w:hAnsi="宋体" w:cs="宋体"/>
          <w:color w:val="000000" w:themeColor="text1"/>
          <w:sz w:val="24"/>
          <w:highlight w:val="none"/>
          <w:lang w:val="fr-CH"/>
          <w14:textFill>
            <w14:solidFill>
              <w14:schemeClr w14:val="tx1"/>
            </w14:solidFill>
          </w14:textFill>
        </w:rPr>
      </w:pPr>
      <w:r>
        <w:rPr>
          <w:rFonts w:hint="eastAsia" w:ascii="宋体" w:hAnsi="宋体" w:cs="宋体"/>
          <w:color w:val="000000" w:themeColor="text1"/>
          <w:sz w:val="24"/>
          <w:highlight w:val="none"/>
          <w:lang w:val="fr-CH"/>
          <w14:textFill>
            <w14:solidFill>
              <w14:schemeClr w14:val="tx1"/>
            </w14:solidFill>
          </w14:textFill>
        </w:rPr>
        <w:br w:type="page"/>
      </w:r>
      <w:r>
        <w:rPr>
          <w:rFonts w:hint="eastAsia" w:ascii="宋体" w:hAnsi="宋体" w:cs="宋体"/>
          <w:color w:val="000000" w:themeColor="text1"/>
          <w:sz w:val="24"/>
          <w:highlight w:val="none"/>
          <w:lang w:val="fr-CH"/>
          <w14:textFill>
            <w14:solidFill>
              <w14:schemeClr w14:val="tx1"/>
            </w14:solidFill>
          </w14:textFill>
        </w:rPr>
        <w:t>投标人认为有必要提供的其他材料。</w:t>
      </w:r>
      <w:bookmarkEnd w:id="22"/>
    </w:p>
    <w:p>
      <w:pPr>
        <w:tabs>
          <w:tab w:val="left" w:pos="360"/>
        </w:tabs>
        <w:spacing w:line="300" w:lineRule="auto"/>
        <w:outlineLvl w:val="0"/>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fr-CH"/>
          <w14:textFill>
            <w14:solidFill>
              <w14:schemeClr w14:val="tx1"/>
            </w14:solidFill>
          </w14:textFill>
        </w:rPr>
        <w:br w:type="page"/>
      </w:r>
      <w:bookmarkStart w:id="28" w:name="_Toc6251"/>
      <w:bookmarkStart w:id="29" w:name="_Toc742"/>
      <w:r>
        <w:rPr>
          <w:rFonts w:hint="eastAsia" w:ascii="宋体" w:hAnsi="宋体" w:cs="宋体"/>
          <w:b/>
          <w:bCs/>
          <w:color w:val="000000" w:themeColor="text1"/>
          <w:sz w:val="24"/>
          <w:highlight w:val="none"/>
          <w14:textFill>
            <w14:solidFill>
              <w14:schemeClr w14:val="tx1"/>
            </w14:solidFill>
          </w14:textFill>
        </w:rPr>
        <w:t>附件：相关政策</w:t>
      </w:r>
      <w:bookmarkEnd w:id="28"/>
      <w:bookmarkEnd w:id="29"/>
    </w:p>
    <w:p>
      <w:pPr>
        <w:tabs>
          <w:tab w:val="left" w:pos="360"/>
        </w:tabs>
        <w:outlineLvl w:val="1"/>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1、财政部、工业和信息化部《关于印发〈政府采购促进中小企业发展管理办法〉的通知》（财库〔2020〕46 号）</w:t>
      </w:r>
    </w:p>
    <w:p>
      <w:pPr>
        <w:pStyle w:val="2"/>
        <w:tabs>
          <w:tab w:val="left" w:pos="562"/>
          <w:tab w:val="left" w:pos="3372"/>
          <w:tab w:val="left" w:pos="3653"/>
        </w:tabs>
        <w:rPr>
          <w:rFonts w:ascii="宋体" w:hAnsi="宋体" w:cs="宋体"/>
          <w:color w:val="000000" w:themeColor="text1"/>
          <w:highlight w:val="none"/>
          <w14:textFill>
            <w14:solidFill>
              <w14:schemeClr w14:val="tx1"/>
            </w14:solidFill>
          </w14:textFill>
        </w:rPr>
      </w:pPr>
    </w:p>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关于印发《政府采购促进中小企业发展管理办法》的通知</w:t>
      </w:r>
    </w:p>
    <w:p>
      <w:pPr>
        <w:widowControl/>
        <w:spacing w:after="240"/>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财库〔2020〕46号</w:t>
      </w:r>
    </w:p>
    <w:p>
      <w:pPr>
        <w:widowControl/>
        <w:spacing w:after="24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各中央预算单位办公厅（室），各省、自治区、直辖市、计划单列市财政厅（局）、工业和信息化主管部门，新疆生产建设兵团财政局、工业和信息化主管部门：</w:t>
      </w:r>
    </w:p>
    <w:p>
      <w:pPr>
        <w:widowControl/>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附件：政府采购促进中小企业发展管理办法</w:t>
      </w:r>
    </w:p>
    <w:p>
      <w:pPr>
        <w:widowControl/>
        <w:jc w:val="righ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财  政  部</w:t>
      </w:r>
    </w:p>
    <w:p>
      <w:pPr>
        <w:widowControl/>
        <w:jc w:val="righ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工业和信息化部</w:t>
      </w:r>
    </w:p>
    <w:p>
      <w:pPr>
        <w:widowControl/>
        <w:jc w:val="righ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2020年12月18日</w:t>
      </w:r>
    </w:p>
    <w:p>
      <w:pPr>
        <w:autoSpaceDE w:val="0"/>
        <w:autoSpaceDN w:val="0"/>
        <w:adjustRightInd w:val="0"/>
        <w:jc w:val="left"/>
        <w:rPr>
          <w:rFonts w:ascii="宋体" w:hAnsi="宋体" w:cs="宋体"/>
          <w:color w:val="000000" w:themeColor="text1"/>
          <w:kern w:val="0"/>
          <w:sz w:val="24"/>
          <w:highlight w:val="none"/>
          <w14:textFill>
            <w14:solidFill>
              <w14:schemeClr w14:val="tx1"/>
            </w14:solidFill>
          </w14:textFill>
        </w:rPr>
      </w:pPr>
    </w:p>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政府采购促进中小企业发展管理办法</w:t>
      </w:r>
    </w:p>
    <w:p>
      <w:pPr>
        <w:pStyle w:val="2"/>
        <w:tabs>
          <w:tab w:val="left" w:pos="562"/>
          <w:tab w:val="left" w:pos="3372"/>
          <w:tab w:val="left" w:pos="3653"/>
        </w:tabs>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第一条 为了发挥政府采购的政策功能，促进中小企业健康发展，根据《中华人民共和国政府采购法》、《中华人民共和国中小企业促进法》等有关法律法规，制定本办法。</w:t>
      </w:r>
    </w:p>
    <w:p>
      <w:pPr>
        <w:pStyle w:val="2"/>
        <w:tabs>
          <w:tab w:val="left" w:pos="562"/>
          <w:tab w:val="left" w:pos="3372"/>
          <w:tab w:val="left" w:pos="3653"/>
        </w:tabs>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tabs>
          <w:tab w:val="left" w:pos="562"/>
          <w:tab w:val="left" w:pos="3372"/>
          <w:tab w:val="left" w:pos="3653"/>
        </w:tabs>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第三条 采购人在政府采购活动中应当通过加强采购需求管理，落实预留采购份额、价格评审优惠、优先采购等 措施，提高中小企业在政府采购中的份额，支持中小企业发展。</w:t>
      </w:r>
    </w:p>
    <w:p>
      <w:pPr>
        <w:pStyle w:val="2"/>
        <w:tabs>
          <w:tab w:val="left" w:pos="562"/>
          <w:tab w:val="left" w:pos="3372"/>
          <w:tab w:val="left" w:pos="3653"/>
        </w:tabs>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第四条 在政府采购活动中，供应商提供的货物、工程或者服务符合下列情形的，享受本办法规定的中小企业扶持政策：</w:t>
      </w:r>
    </w:p>
    <w:p>
      <w:pPr>
        <w:pStyle w:val="2"/>
        <w:tabs>
          <w:tab w:val="left" w:pos="562"/>
          <w:tab w:val="left" w:pos="3372"/>
          <w:tab w:val="left" w:pos="3653"/>
        </w:tabs>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（一）在货物采购项目中，货物由中小企业制造，即货 物由中小企业生产且使用该中小企业商号或者注册商标；</w:t>
      </w:r>
    </w:p>
    <w:p>
      <w:pPr>
        <w:pStyle w:val="2"/>
        <w:tabs>
          <w:tab w:val="left" w:pos="562"/>
          <w:tab w:val="left" w:pos="3372"/>
          <w:tab w:val="left" w:pos="3653"/>
        </w:tabs>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（二）在工程采购项目中，工程由中小企业承建，即工 程施工单位为中小企业；</w:t>
      </w:r>
    </w:p>
    <w:p>
      <w:pPr>
        <w:pStyle w:val="2"/>
        <w:tabs>
          <w:tab w:val="left" w:pos="562"/>
          <w:tab w:val="left" w:pos="3372"/>
          <w:tab w:val="left" w:pos="3653"/>
        </w:tabs>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（三）在服务采购项目中，服务由中小企业承接，即提供服务的人员为中小企业依照《中华人民共和国劳动合同法》订立劳动合同的从业人员。</w:t>
      </w:r>
    </w:p>
    <w:p>
      <w:pPr>
        <w:pStyle w:val="2"/>
        <w:tabs>
          <w:tab w:val="left" w:pos="562"/>
          <w:tab w:val="left" w:pos="3372"/>
          <w:tab w:val="left" w:pos="3653"/>
        </w:tabs>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在货物采购项目中，供应商提供的货物既有中小企业制造货物，也有大型企业制造货物的，不享受本办法规定的中小企业扶持政策。</w:t>
      </w:r>
    </w:p>
    <w:p>
      <w:pPr>
        <w:pStyle w:val="2"/>
        <w:tabs>
          <w:tab w:val="left" w:pos="562"/>
          <w:tab w:val="left" w:pos="3372"/>
          <w:tab w:val="left" w:pos="3653"/>
        </w:tabs>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pStyle w:val="2"/>
        <w:tabs>
          <w:tab w:val="left" w:pos="562"/>
          <w:tab w:val="left" w:pos="3372"/>
          <w:tab w:val="left" w:pos="3653"/>
        </w:tabs>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tabs>
          <w:tab w:val="left" w:pos="562"/>
          <w:tab w:val="left" w:pos="3372"/>
          <w:tab w:val="left" w:pos="3653"/>
        </w:tabs>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tabs>
          <w:tab w:val="left" w:pos="562"/>
          <w:tab w:val="left" w:pos="3372"/>
          <w:tab w:val="left" w:pos="3653"/>
        </w:tabs>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符合下列情形之一的，可不专门面向中小企业预留采购</w:t>
      </w:r>
      <w:r>
        <w:rPr>
          <w:rFonts w:hint="eastAsia" w:ascii="宋体" w:hAnsi="宋体" w:cs="宋体"/>
          <w:color w:val="000000" w:themeColor="text1"/>
          <w:highlight w:val="none"/>
          <w14:textFill>
            <w14:solidFill>
              <w14:schemeClr w14:val="tx1"/>
            </w14:solidFill>
          </w14:textFill>
        </w:rPr>
        <w:t>份额：</w:t>
      </w:r>
    </w:p>
    <w:p>
      <w:pPr>
        <w:pStyle w:val="2"/>
        <w:tabs>
          <w:tab w:val="left" w:pos="562"/>
          <w:tab w:val="left" w:pos="3372"/>
          <w:tab w:val="left" w:pos="3653"/>
        </w:tabs>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（一）法律法规和国家有关政策明确规定优先或者应当面向事业单位、社会组织等非企业主体采购的；</w:t>
      </w:r>
    </w:p>
    <w:p>
      <w:pPr>
        <w:pStyle w:val="2"/>
        <w:tabs>
          <w:tab w:val="left" w:pos="562"/>
          <w:tab w:val="left" w:pos="3372"/>
          <w:tab w:val="left" w:pos="3653"/>
        </w:tabs>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（二）因确需使用不可替代的专利、专有技术，基础设施限制，或者提供特定公共服务等原因，只能从中小企业之外的供应商处采购的；</w:t>
      </w:r>
    </w:p>
    <w:p>
      <w:pPr>
        <w:pStyle w:val="2"/>
        <w:tabs>
          <w:tab w:val="left" w:pos="562"/>
          <w:tab w:val="left" w:pos="3372"/>
          <w:tab w:val="left" w:pos="3653"/>
        </w:tabs>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（三）按照本办法规定预留采购份额无法确保充分供应、充分竞争，或者存在可能影响政府采购目标实现的情形；</w:t>
      </w:r>
    </w:p>
    <w:p>
      <w:pPr>
        <w:pStyle w:val="2"/>
        <w:tabs>
          <w:tab w:val="left" w:pos="562"/>
          <w:tab w:val="left" w:pos="3372"/>
          <w:tab w:val="left" w:pos="3653"/>
        </w:tabs>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（四）框架协议采购项目；</w:t>
      </w:r>
    </w:p>
    <w:p>
      <w:pPr>
        <w:pStyle w:val="2"/>
        <w:tabs>
          <w:tab w:val="left" w:pos="562"/>
          <w:tab w:val="left" w:pos="3372"/>
          <w:tab w:val="left" w:pos="3653"/>
        </w:tabs>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（五）省级以上人民政府财政部门规定的其他情形。 除上述情形外，其他均为适宜由中小企业提供的情形。</w:t>
      </w:r>
    </w:p>
    <w:p>
      <w:pPr>
        <w:pStyle w:val="2"/>
        <w:tabs>
          <w:tab w:val="left" w:pos="562"/>
          <w:tab w:val="left" w:pos="3372"/>
          <w:tab w:val="left" w:pos="3653"/>
        </w:tabs>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第七条采购限额标准以上，200万元以下的货物和服务采购项目、400 万元以下的工程采购项目，适宜由中小企业提供的，采购人应当专门面向中小企业采购。</w:t>
      </w:r>
    </w:p>
    <w:p>
      <w:pPr>
        <w:pStyle w:val="2"/>
        <w:tabs>
          <w:tab w:val="left" w:pos="562"/>
          <w:tab w:val="left" w:pos="3372"/>
          <w:tab w:val="left" w:pos="3653"/>
        </w:tabs>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2"/>
        <w:tabs>
          <w:tab w:val="left" w:pos="562"/>
          <w:tab w:val="left" w:pos="3372"/>
          <w:tab w:val="left" w:pos="3653"/>
        </w:tabs>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（一）将采购项目整体或者设置采购包专门面向中小企业采购；</w:t>
      </w:r>
    </w:p>
    <w:p>
      <w:pPr>
        <w:pStyle w:val="2"/>
        <w:tabs>
          <w:tab w:val="left" w:pos="562"/>
          <w:tab w:val="left" w:pos="3372"/>
          <w:tab w:val="left" w:pos="3653"/>
        </w:tabs>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（二）要求供应商以联合体形式参加采购活动，且联合体中中小企业承担的部分达到一定比例；</w:t>
      </w:r>
    </w:p>
    <w:p>
      <w:pPr>
        <w:pStyle w:val="2"/>
        <w:tabs>
          <w:tab w:val="left" w:pos="562"/>
          <w:tab w:val="left" w:pos="3372"/>
          <w:tab w:val="left" w:pos="3653"/>
        </w:tabs>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（三）要求获得采购合同的供应商将采购项目中的一定比例分包给一家或者多家中小企业。</w:t>
      </w:r>
    </w:p>
    <w:p>
      <w:pPr>
        <w:pStyle w:val="2"/>
        <w:tabs>
          <w:tab w:val="left" w:pos="562"/>
          <w:tab w:val="left" w:pos="3372"/>
          <w:tab w:val="left" w:pos="3653"/>
        </w:tabs>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组成联合体或者接受分包合同的中小企业与联合体内 其他企业、分包企业之间不得存在直接控股、管理关系。</w:t>
      </w:r>
    </w:p>
    <w:p>
      <w:pPr>
        <w:pStyle w:val="2"/>
        <w:tabs>
          <w:tab w:val="left" w:pos="562"/>
          <w:tab w:val="left" w:pos="3372"/>
          <w:tab w:val="left" w:pos="3653"/>
        </w:tabs>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tabs>
          <w:tab w:val="left" w:pos="562"/>
          <w:tab w:val="left" w:pos="3372"/>
          <w:tab w:val="left" w:pos="3653"/>
        </w:tabs>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tabs>
          <w:tab w:val="left" w:pos="562"/>
          <w:tab w:val="left" w:pos="3372"/>
          <w:tab w:val="left" w:pos="3653"/>
        </w:tabs>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tabs>
          <w:tab w:val="left" w:pos="562"/>
          <w:tab w:val="left" w:pos="3372"/>
          <w:tab w:val="left" w:pos="3653"/>
        </w:tabs>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tabs>
          <w:tab w:val="left" w:pos="562"/>
          <w:tab w:val="left" w:pos="3372"/>
          <w:tab w:val="left" w:pos="3653"/>
        </w:tabs>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tabs>
          <w:tab w:val="left" w:pos="562"/>
          <w:tab w:val="left" w:pos="3372"/>
          <w:tab w:val="left" w:pos="3653"/>
        </w:tabs>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第十二条 采购项目涉及中小企业采购的，采购文件应当明确以下内容：</w:t>
      </w:r>
    </w:p>
    <w:p>
      <w:pPr>
        <w:pStyle w:val="2"/>
        <w:tabs>
          <w:tab w:val="left" w:pos="562"/>
          <w:tab w:val="left" w:pos="3372"/>
          <w:tab w:val="left" w:pos="3653"/>
        </w:tabs>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（一）预留份额的采购项目或者采购包，明确该项目或相关采购包专门面向中小企业采购，以及相关标的及预算金额；</w:t>
      </w:r>
    </w:p>
    <w:p>
      <w:pPr>
        <w:pStyle w:val="2"/>
        <w:tabs>
          <w:tab w:val="left" w:pos="562"/>
          <w:tab w:val="left" w:pos="3372"/>
          <w:tab w:val="left" w:pos="3653"/>
        </w:tabs>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（二）要求以联合体形式参加或者合同分包的，明确联合协议或者分包意向协议中中小企业合同金额应当达到的 比例，并作为供应商资格条件；</w:t>
      </w:r>
    </w:p>
    <w:p>
      <w:pPr>
        <w:pStyle w:val="2"/>
        <w:tabs>
          <w:tab w:val="left" w:pos="562"/>
          <w:tab w:val="left" w:pos="3372"/>
          <w:tab w:val="left" w:pos="3653"/>
        </w:tabs>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（三）非预留份额的采购项目或者采购包，明确有关价格扣除比例或者价格分加分比例；</w:t>
      </w:r>
    </w:p>
    <w:p>
      <w:pPr>
        <w:pStyle w:val="2"/>
        <w:tabs>
          <w:tab w:val="left" w:pos="562"/>
          <w:tab w:val="left" w:pos="3372"/>
          <w:tab w:val="left" w:pos="3653"/>
        </w:tabs>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（四）规定依据本办法规定享受扶持政策获得政府采购合同的，小微企业不得将合同分包给大中型企业，中型企业不得将合同分包给大型企业；</w:t>
      </w:r>
    </w:p>
    <w:p>
      <w:pPr>
        <w:pStyle w:val="2"/>
        <w:tabs>
          <w:tab w:val="left" w:pos="562"/>
          <w:tab w:val="left" w:pos="3372"/>
          <w:tab w:val="left" w:pos="3653"/>
        </w:tabs>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（五）采购人认为具备相关条件的，明确对中小企业在资金支付期限、预付款比例等方面的优惠措施；</w:t>
      </w:r>
    </w:p>
    <w:p>
      <w:pPr>
        <w:pStyle w:val="2"/>
        <w:tabs>
          <w:tab w:val="left" w:pos="562"/>
          <w:tab w:val="left" w:pos="3372"/>
          <w:tab w:val="left" w:pos="3653"/>
        </w:tabs>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（六）明确采购标的对应的中小企业划分标准所属行业；</w:t>
      </w:r>
    </w:p>
    <w:p>
      <w:pPr>
        <w:pStyle w:val="2"/>
        <w:tabs>
          <w:tab w:val="left" w:pos="562"/>
          <w:tab w:val="left" w:pos="3372"/>
          <w:tab w:val="left" w:pos="3653"/>
        </w:tabs>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（七）法律法规和省级以上人民政府财政部门规定的其他事项。</w:t>
      </w:r>
    </w:p>
    <w:p>
      <w:pPr>
        <w:pStyle w:val="2"/>
        <w:tabs>
          <w:tab w:val="left" w:pos="562"/>
          <w:tab w:val="left" w:pos="3372"/>
          <w:tab w:val="left" w:pos="3653"/>
        </w:tabs>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第十三条 中标、成交供应商享受本办法规定的中小企业扶持政策的，采购人、采购代理机构应当随中标、成交结果公开中标、成交供应商的《中小企业声明函》。</w:t>
      </w:r>
    </w:p>
    <w:p>
      <w:pPr>
        <w:pStyle w:val="2"/>
        <w:tabs>
          <w:tab w:val="left" w:pos="562"/>
          <w:tab w:val="left" w:pos="3372"/>
          <w:tab w:val="left" w:pos="3653"/>
        </w:tabs>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适用招标投标法的政府采购工程建设项目，应当在公示中标候选人时公开中标候选人的《中小企业声明函》。</w:t>
      </w:r>
    </w:p>
    <w:p>
      <w:pPr>
        <w:pStyle w:val="2"/>
        <w:tabs>
          <w:tab w:val="left" w:pos="562"/>
          <w:tab w:val="left" w:pos="3372"/>
          <w:tab w:val="left" w:pos="3653"/>
        </w:tabs>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tabs>
          <w:tab w:val="left" w:pos="562"/>
          <w:tab w:val="left" w:pos="3372"/>
          <w:tab w:val="left" w:pos="3653"/>
        </w:tabs>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第十五条 鼓励各地区、各部门在采购活动中允许中小企业引入信用担保手段，为中小企业在投标（响应）保证、履约保证等方面提供专业化服务。鼓励中小企业依法合规通过政府采购合同融资。</w:t>
      </w:r>
    </w:p>
    <w:p>
      <w:pPr>
        <w:pStyle w:val="2"/>
        <w:tabs>
          <w:tab w:val="left" w:pos="562"/>
          <w:tab w:val="left" w:pos="3372"/>
          <w:tab w:val="left" w:pos="3653"/>
        </w:tabs>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第十六条 政府采购监督检查、投诉处理及政府采购行政处罚中对中小企业的认定，由货物制造商或者工程、服务供应商注册登记所在地的县级以上人民政府中小企业主管部门负责。</w:t>
      </w:r>
    </w:p>
    <w:p>
      <w:pPr>
        <w:pStyle w:val="2"/>
        <w:tabs>
          <w:tab w:val="left" w:pos="562"/>
          <w:tab w:val="left" w:pos="3372"/>
          <w:tab w:val="left" w:pos="3653"/>
        </w:tabs>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中小企业主管部门应当在收到财政部门或者有关招标 投标行政监督部门关于协助开展中小企业认定函后 10 个工作日内做出书面答复。</w:t>
      </w:r>
    </w:p>
    <w:p>
      <w:pPr>
        <w:pStyle w:val="2"/>
        <w:tabs>
          <w:tab w:val="left" w:pos="562"/>
          <w:tab w:val="left" w:pos="3372"/>
          <w:tab w:val="left" w:pos="3653"/>
        </w:tabs>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tabs>
          <w:tab w:val="left" w:pos="562"/>
          <w:tab w:val="left" w:pos="3372"/>
          <w:tab w:val="left" w:pos="3653"/>
        </w:tabs>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tabs>
          <w:tab w:val="left" w:pos="562"/>
          <w:tab w:val="left" w:pos="3372"/>
          <w:tab w:val="left" w:pos="3653"/>
        </w:tabs>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tabs>
          <w:tab w:val="left" w:pos="562"/>
          <w:tab w:val="left" w:pos="3372"/>
          <w:tab w:val="left" w:pos="3653"/>
        </w:tabs>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第二十条 供应商按照本办法规定提供声明函内容不实的，属于提供虚假材料谋取中标、成交，依照《中华人民共和国政府采购法》等国家有关规定追究相应责任。</w:t>
      </w:r>
    </w:p>
    <w:p>
      <w:pPr>
        <w:pStyle w:val="2"/>
        <w:tabs>
          <w:tab w:val="left" w:pos="562"/>
          <w:tab w:val="left" w:pos="3372"/>
          <w:tab w:val="left" w:pos="3653"/>
        </w:tabs>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适用招标投标法的政府采购工程建设项目，投标人按照 本办法规定提供声明函内容不实的，属于弄虚作假骗取中标，依照《中华人民共和国招标投标法》等国家有关规定追究相应责任。</w:t>
      </w:r>
    </w:p>
    <w:p>
      <w:pPr>
        <w:pStyle w:val="2"/>
        <w:tabs>
          <w:tab w:val="left" w:pos="562"/>
          <w:tab w:val="left" w:pos="3372"/>
          <w:tab w:val="left" w:pos="3653"/>
        </w:tabs>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tabs>
          <w:tab w:val="left" w:pos="562"/>
          <w:tab w:val="left" w:pos="3372"/>
          <w:tab w:val="left" w:pos="3653"/>
        </w:tabs>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第二十二条 对外援助项目、国家相关资格或者资质管理制度另有规定的项目，不适用本办法。</w:t>
      </w:r>
    </w:p>
    <w:p>
      <w:pPr>
        <w:pStyle w:val="2"/>
        <w:tabs>
          <w:tab w:val="left" w:pos="562"/>
          <w:tab w:val="left" w:pos="3372"/>
          <w:tab w:val="left" w:pos="3653"/>
        </w:tabs>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第二十三条 关于视同中小企业的其他主体的政府采购扶持政策，由财政部会同有关部门另行规定。</w:t>
      </w:r>
    </w:p>
    <w:p>
      <w:pPr>
        <w:pStyle w:val="2"/>
        <w:tabs>
          <w:tab w:val="left" w:pos="562"/>
          <w:tab w:val="left" w:pos="3372"/>
          <w:tab w:val="left" w:pos="3653"/>
        </w:tabs>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第二十四条 省级财政部门可以会同中小企业主管部门根据本办法的规定制定具体实施办法。</w:t>
      </w:r>
    </w:p>
    <w:p>
      <w:pPr>
        <w:pStyle w:val="2"/>
        <w:tabs>
          <w:tab w:val="left" w:pos="562"/>
          <w:tab w:val="left" w:pos="3372"/>
          <w:tab w:val="left" w:pos="3653"/>
        </w:tabs>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第二十五条 本办法自 2021 年 1 月 1 日起施行。《财政部 工业和信息化部关于印发〈政府采购促进中小企业发展暂行办法〉的通知》（财库﹝2011﹞181 号）同时废止。</w:t>
      </w:r>
    </w:p>
    <w:p>
      <w:pPr>
        <w:pStyle w:val="2"/>
        <w:tabs>
          <w:tab w:val="left" w:pos="562"/>
          <w:tab w:val="left" w:pos="3372"/>
          <w:tab w:val="left" w:pos="3653"/>
        </w:tabs>
        <w:spacing w:before="5"/>
        <w:rPr>
          <w:rFonts w:ascii="宋体" w:hAnsi="宋体" w:cs="宋体"/>
          <w:color w:val="000000" w:themeColor="text1"/>
          <w:highlight w:val="none"/>
          <w14:textFill>
            <w14:solidFill>
              <w14:schemeClr w14:val="tx1"/>
            </w14:solidFill>
          </w14:textFill>
        </w:rPr>
      </w:pPr>
    </w:p>
    <w:p>
      <w:pPr>
        <w:pStyle w:val="2"/>
        <w:tabs>
          <w:tab w:val="left" w:pos="562"/>
          <w:tab w:val="left" w:pos="3372"/>
          <w:tab w:val="left" w:pos="3653"/>
        </w:tabs>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附：1.中小企业声明函</w:t>
      </w:r>
    </w:p>
    <w:p>
      <w:pPr>
        <w:pStyle w:val="2"/>
        <w:tabs>
          <w:tab w:val="left" w:pos="562"/>
          <w:tab w:val="left" w:pos="3372"/>
          <w:tab w:val="left" w:pos="3653"/>
        </w:tabs>
        <w:ind w:firstLine="960" w:firstLineChars="4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2.面向中小企业预留项目执行情况公告</w:t>
      </w:r>
    </w:p>
    <w:p>
      <w:pPr>
        <w:pStyle w:val="2"/>
        <w:tabs>
          <w:tab w:val="left" w:pos="562"/>
          <w:tab w:val="left" w:pos="3372"/>
          <w:tab w:val="left" w:pos="3653"/>
        </w:tabs>
        <w:spacing w:before="30"/>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r>
        <w:rPr>
          <w:rFonts w:hint="eastAsia" w:ascii="宋体" w:hAnsi="宋体" w:cs="宋体"/>
          <w:b/>
          <w:bCs/>
          <w:color w:val="000000" w:themeColor="text1"/>
          <w:highlight w:val="none"/>
          <w14:textFill>
            <w14:solidFill>
              <w14:schemeClr w14:val="tx1"/>
            </w14:solidFill>
          </w14:textFill>
        </w:rPr>
        <w:t>附 1</w:t>
      </w:r>
    </w:p>
    <w:p>
      <w:pPr>
        <w:spacing w:after="319" w:afterLines="1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中小企业声明函（货物）</w:t>
      </w:r>
    </w:p>
    <w:p>
      <w:pPr>
        <w:pStyle w:val="2"/>
        <w:tabs>
          <w:tab w:val="left" w:pos="562"/>
          <w:tab w:val="left" w:pos="3372"/>
          <w:tab w:val="left" w:pos="3653"/>
        </w:tabs>
        <w:ind w:firstLine="472" w:firstLineChars="200"/>
        <w:rPr>
          <w:rFonts w:ascii="宋体" w:hAnsi="宋体" w:cs="宋体"/>
          <w:color w:val="000000" w:themeColor="text1"/>
          <w:spacing w:val="-2"/>
          <w:highlight w:val="none"/>
          <w14:textFill>
            <w14:solidFill>
              <w14:schemeClr w14:val="tx1"/>
            </w14:solidFill>
          </w14:textFill>
        </w:rPr>
      </w:pPr>
      <w:r>
        <w:rPr>
          <w:rFonts w:hint="eastAsia" w:ascii="宋体" w:hAnsi="宋体" w:cs="宋体"/>
          <w:color w:val="000000" w:themeColor="text1"/>
          <w:spacing w:val="-2"/>
          <w:highlight w:val="none"/>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pacing w:val="-2"/>
          <w:highlight w:val="none"/>
          <w:u w:val="single"/>
          <w14:textFill>
            <w14:solidFill>
              <w14:schemeClr w14:val="tx1"/>
            </w14:solidFill>
          </w14:textFill>
        </w:rPr>
        <w:t>单位名称</w:t>
      </w:r>
      <w:r>
        <w:rPr>
          <w:rFonts w:hint="eastAsia" w:ascii="宋体" w:hAnsi="宋体" w:cs="宋体"/>
          <w:color w:val="000000" w:themeColor="text1"/>
          <w:spacing w:val="-2"/>
          <w:highlight w:val="none"/>
          <w14:textFill>
            <w14:solidFill>
              <w14:schemeClr w14:val="tx1"/>
            </w14:solidFill>
          </w14:textFill>
        </w:rPr>
        <w:t>）的（</w:t>
      </w:r>
      <w:r>
        <w:rPr>
          <w:rFonts w:hint="eastAsia" w:ascii="宋体" w:hAnsi="宋体" w:cs="宋体"/>
          <w:color w:val="000000" w:themeColor="text1"/>
          <w:spacing w:val="-2"/>
          <w:highlight w:val="none"/>
          <w:u w:val="single"/>
          <w14:textFill>
            <w14:solidFill>
              <w14:schemeClr w14:val="tx1"/>
            </w14:solidFill>
          </w14:textFill>
        </w:rPr>
        <w:t>项目名称</w:t>
      </w:r>
      <w:r>
        <w:rPr>
          <w:rFonts w:hint="eastAsia" w:ascii="宋体" w:hAnsi="宋体" w:cs="宋体"/>
          <w:color w:val="000000" w:themeColor="text1"/>
          <w:spacing w:val="-2"/>
          <w:highlight w:val="none"/>
          <w14:textFill>
            <w14:solidFill>
              <w14:schemeClr w14:val="tx1"/>
            </w14:solidFill>
          </w14:textFill>
        </w:rPr>
        <w:t>）采购活动，提供的货物全部由符合政策要求的中小企业制造。相关企业（含联合体中的中小企业、签订分包意向协议的中小企业） 的具体情况如下：</w:t>
      </w:r>
    </w:p>
    <w:p>
      <w:pPr>
        <w:pStyle w:val="2"/>
        <w:tabs>
          <w:tab w:val="left" w:pos="562"/>
          <w:tab w:val="left" w:pos="3372"/>
          <w:tab w:val="left" w:pos="3653"/>
        </w:tabs>
        <w:ind w:firstLine="480" w:firstLineChars="20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u w:val="single"/>
          <w14:textFill>
            <w14:solidFill>
              <w14:schemeClr w14:val="tx1"/>
            </w14:solidFill>
          </w14:textFill>
        </w:rPr>
        <w:t>标的名称</w:t>
      </w:r>
      <w:r>
        <w:rPr>
          <w:rFonts w:hint="eastAsia" w:ascii="宋体" w:hAnsi="宋体" w:cs="宋体"/>
          <w:color w:val="000000" w:themeColor="text1"/>
          <w:kern w:val="0"/>
          <w:highlight w:val="none"/>
          <w14:textFill>
            <w14:solidFill>
              <w14:schemeClr w14:val="tx1"/>
            </w14:solidFill>
          </w14:textFill>
        </w:rPr>
        <w:t>），属于（</w:t>
      </w:r>
      <w:r>
        <w:rPr>
          <w:rFonts w:hint="eastAsia" w:ascii="宋体" w:hAnsi="宋体" w:cs="宋体"/>
          <w:color w:val="000000" w:themeColor="text1"/>
          <w:kern w:val="0"/>
          <w:highlight w:val="none"/>
          <w:u w:val="single"/>
          <w14:textFill>
            <w14:solidFill>
              <w14:schemeClr w14:val="tx1"/>
            </w14:solidFill>
          </w14:textFill>
        </w:rPr>
        <w:t>采购文件中明确的所属行业</w:t>
      </w:r>
      <w:r>
        <w:rPr>
          <w:rFonts w:hint="eastAsia" w:ascii="宋体" w:hAnsi="宋体" w:cs="宋体"/>
          <w:color w:val="000000" w:themeColor="text1"/>
          <w:kern w:val="0"/>
          <w:highlight w:val="none"/>
          <w14:textFill>
            <w14:solidFill>
              <w14:schemeClr w14:val="tx1"/>
            </w14:solidFill>
          </w14:textFill>
        </w:rPr>
        <w:t>）；制造商为（</w:t>
      </w:r>
      <w:r>
        <w:rPr>
          <w:rFonts w:hint="eastAsia" w:ascii="宋体" w:hAnsi="宋体" w:cs="宋体"/>
          <w:color w:val="000000" w:themeColor="text1"/>
          <w:kern w:val="0"/>
          <w:highlight w:val="none"/>
          <w:u w:val="single"/>
          <w14:textFill>
            <w14:solidFill>
              <w14:schemeClr w14:val="tx1"/>
            </w14:solidFill>
          </w14:textFill>
        </w:rPr>
        <w:t>企业名称</w:t>
      </w:r>
      <w:r>
        <w:rPr>
          <w:rFonts w:hint="eastAsia" w:ascii="宋体" w:hAnsi="宋体" w:cs="宋体"/>
          <w:color w:val="000000" w:themeColor="text1"/>
          <w:kern w:val="0"/>
          <w:highlight w:val="none"/>
          <w14:textFill>
            <w14:solidFill>
              <w14:schemeClr w14:val="tx1"/>
            </w14:solidFill>
          </w14:textFill>
        </w:rPr>
        <w:t>），从业人员</w:t>
      </w:r>
      <w:r>
        <w:rPr>
          <w:rFonts w:hint="eastAsia" w:ascii="宋体" w:hAnsi="宋体" w:cs="宋体"/>
          <w:color w:val="000000" w:themeColor="text1"/>
          <w:kern w:val="0"/>
          <w:highlight w:val="none"/>
          <w:u w:val="single"/>
          <w14:textFill>
            <w14:solidFill>
              <w14:schemeClr w14:val="tx1"/>
            </w14:solidFill>
          </w14:textFill>
        </w:rPr>
        <w:tab/>
      </w:r>
      <w:r>
        <w:rPr>
          <w:rFonts w:hint="eastAsia" w:ascii="宋体" w:hAnsi="宋体" w:cs="宋体"/>
          <w:color w:val="000000" w:themeColor="text1"/>
          <w:kern w:val="0"/>
          <w:highlight w:val="none"/>
          <w14:textFill>
            <w14:solidFill>
              <w14:schemeClr w14:val="tx1"/>
            </w14:solidFill>
          </w14:textFill>
        </w:rPr>
        <w:t xml:space="preserve">人，营业收入为 </w:t>
      </w:r>
      <w:r>
        <w:rPr>
          <w:rFonts w:hint="eastAsia" w:ascii="宋体" w:hAnsi="宋体" w:cs="宋体"/>
          <w:color w:val="000000" w:themeColor="text1"/>
          <w:kern w:val="0"/>
          <w:highlight w:val="none"/>
          <w:u w:val="single"/>
          <w14:textFill>
            <w14:solidFill>
              <w14:schemeClr w14:val="tx1"/>
            </w14:solidFill>
          </w14:textFill>
        </w:rPr>
        <w:tab/>
      </w:r>
      <w:r>
        <w:rPr>
          <w:rFonts w:hint="eastAsia" w:ascii="宋体" w:hAnsi="宋体" w:cs="宋体"/>
          <w:color w:val="000000" w:themeColor="text1"/>
          <w:kern w:val="0"/>
          <w:highlight w:val="none"/>
          <w14:textFill>
            <w14:solidFill>
              <w14:schemeClr w14:val="tx1"/>
            </w14:solidFill>
          </w14:textFill>
        </w:rPr>
        <w:t>万元，资产总额为</w:t>
      </w:r>
      <w:r>
        <w:rPr>
          <w:rFonts w:hint="eastAsia" w:ascii="宋体" w:hAnsi="宋体" w:cs="宋体"/>
          <w:color w:val="000000" w:themeColor="text1"/>
          <w:kern w:val="0"/>
          <w:highlight w:val="none"/>
          <w:u w:val="single"/>
          <w14:textFill>
            <w14:solidFill>
              <w14:schemeClr w14:val="tx1"/>
            </w14:solidFill>
          </w14:textFill>
        </w:rPr>
        <w:tab/>
      </w:r>
      <w:r>
        <w:rPr>
          <w:rFonts w:hint="eastAsia" w:ascii="宋体" w:hAnsi="宋体" w:cs="宋体"/>
          <w:color w:val="000000" w:themeColor="text1"/>
          <w:kern w:val="0"/>
          <w:highlight w:val="none"/>
          <w:u w:val="single"/>
          <w14:textFill>
            <w14:solidFill>
              <w14:schemeClr w14:val="tx1"/>
            </w14:solidFill>
          </w14:textFill>
        </w:rPr>
        <w:t xml:space="preserve"> </w:t>
      </w:r>
      <w:r>
        <w:rPr>
          <w:rFonts w:hint="eastAsia" w:ascii="宋体" w:hAnsi="宋体" w:cs="宋体"/>
          <w:color w:val="000000" w:themeColor="text1"/>
          <w:kern w:val="0"/>
          <w:highlight w:val="none"/>
          <w14:textFill>
            <w14:solidFill>
              <w14:schemeClr w14:val="tx1"/>
            </w14:solidFill>
          </w14:textFill>
        </w:rPr>
        <w:t>万元，属于（</w:t>
      </w:r>
      <w:r>
        <w:rPr>
          <w:rFonts w:hint="eastAsia" w:ascii="宋体" w:hAnsi="宋体" w:cs="宋体"/>
          <w:color w:val="000000" w:themeColor="text1"/>
          <w:kern w:val="0"/>
          <w:highlight w:val="none"/>
          <w:u w:val="single"/>
          <w14:textFill>
            <w14:solidFill>
              <w14:schemeClr w14:val="tx1"/>
            </w14:solidFill>
          </w14:textFill>
        </w:rPr>
        <w:t>中型企业、小型企业、微型企业</w:t>
      </w:r>
      <w:r>
        <w:rPr>
          <w:rFonts w:hint="eastAsia" w:ascii="宋体" w:hAnsi="宋体" w:cs="宋体"/>
          <w:color w:val="000000" w:themeColor="text1"/>
          <w:kern w:val="0"/>
          <w:highlight w:val="none"/>
          <w14:textFill>
            <w14:solidFill>
              <w14:schemeClr w14:val="tx1"/>
            </w14:solidFill>
          </w14:textFill>
        </w:rPr>
        <w:t>）；</w:t>
      </w:r>
    </w:p>
    <w:p>
      <w:pPr>
        <w:pStyle w:val="2"/>
        <w:tabs>
          <w:tab w:val="left" w:pos="562"/>
          <w:tab w:val="left" w:pos="3372"/>
          <w:tab w:val="left" w:pos="3653"/>
        </w:tabs>
        <w:ind w:firstLine="472" w:firstLineChars="200"/>
        <w:rPr>
          <w:rFonts w:ascii="宋体" w:hAnsi="宋体" w:cs="宋体"/>
          <w:color w:val="000000" w:themeColor="text1"/>
          <w:spacing w:val="-2"/>
          <w:highlight w:val="none"/>
          <w14:textFill>
            <w14:solidFill>
              <w14:schemeClr w14:val="tx1"/>
            </w14:solidFill>
          </w14:textFill>
        </w:rPr>
      </w:pPr>
      <w:r>
        <w:rPr>
          <w:rFonts w:hint="eastAsia" w:ascii="宋体" w:hAnsi="宋体" w:cs="宋体"/>
          <w:color w:val="000000" w:themeColor="text1"/>
          <w:spacing w:val="-2"/>
          <w:highlight w:val="none"/>
          <w14:textFill>
            <w14:solidFill>
              <w14:schemeClr w14:val="tx1"/>
            </w14:solidFill>
          </w14:textFill>
        </w:rPr>
        <w:t>2、（</w:t>
      </w:r>
      <w:r>
        <w:rPr>
          <w:rFonts w:hint="eastAsia" w:ascii="宋体" w:hAnsi="宋体" w:cs="宋体"/>
          <w:color w:val="000000" w:themeColor="text1"/>
          <w:spacing w:val="-2"/>
          <w:highlight w:val="none"/>
          <w:u w:val="single"/>
          <w14:textFill>
            <w14:solidFill>
              <w14:schemeClr w14:val="tx1"/>
            </w14:solidFill>
          </w14:textFill>
        </w:rPr>
        <w:t>标的名称</w:t>
      </w:r>
      <w:r>
        <w:rPr>
          <w:rFonts w:hint="eastAsia" w:ascii="宋体" w:hAnsi="宋体" w:cs="宋体"/>
          <w:color w:val="000000" w:themeColor="text1"/>
          <w:spacing w:val="-2"/>
          <w:highlight w:val="none"/>
          <w14:textFill>
            <w14:solidFill>
              <w14:schemeClr w14:val="tx1"/>
            </w14:solidFill>
          </w14:textFill>
        </w:rPr>
        <w:t>），属于（</w:t>
      </w:r>
      <w:r>
        <w:rPr>
          <w:rFonts w:hint="eastAsia" w:ascii="宋体" w:hAnsi="宋体" w:cs="宋体"/>
          <w:color w:val="000000" w:themeColor="text1"/>
          <w:spacing w:val="-2"/>
          <w:highlight w:val="none"/>
          <w:u w:val="single"/>
          <w14:textFill>
            <w14:solidFill>
              <w14:schemeClr w14:val="tx1"/>
            </w14:solidFill>
          </w14:textFill>
        </w:rPr>
        <w:t>采购文件中明确的所属行业</w:t>
      </w:r>
      <w:r>
        <w:rPr>
          <w:rFonts w:hint="eastAsia" w:ascii="宋体" w:hAnsi="宋体" w:cs="宋体"/>
          <w:color w:val="000000" w:themeColor="text1"/>
          <w:spacing w:val="-2"/>
          <w:highlight w:val="none"/>
          <w14:textFill>
            <w14:solidFill>
              <w14:schemeClr w14:val="tx1"/>
            </w14:solidFill>
          </w14:textFill>
        </w:rPr>
        <w:t>）；制造商为（</w:t>
      </w:r>
      <w:r>
        <w:rPr>
          <w:rFonts w:hint="eastAsia" w:ascii="宋体" w:hAnsi="宋体" w:cs="宋体"/>
          <w:color w:val="000000" w:themeColor="text1"/>
          <w:spacing w:val="-2"/>
          <w:highlight w:val="none"/>
          <w:u w:val="single"/>
          <w14:textFill>
            <w14:solidFill>
              <w14:schemeClr w14:val="tx1"/>
            </w14:solidFill>
          </w14:textFill>
        </w:rPr>
        <w:t>企业名称</w:t>
      </w:r>
      <w:r>
        <w:rPr>
          <w:rFonts w:hint="eastAsia" w:ascii="宋体" w:hAnsi="宋体" w:cs="宋体"/>
          <w:color w:val="000000" w:themeColor="text1"/>
          <w:spacing w:val="-2"/>
          <w:highlight w:val="none"/>
          <w14:textFill>
            <w14:solidFill>
              <w14:schemeClr w14:val="tx1"/>
            </w14:solidFill>
          </w14:textFill>
        </w:rPr>
        <w:t>），从业人员</w:t>
      </w:r>
      <w:r>
        <w:rPr>
          <w:rFonts w:hint="eastAsia" w:ascii="宋体" w:hAnsi="宋体" w:cs="宋体"/>
          <w:color w:val="000000" w:themeColor="text1"/>
          <w:spacing w:val="-2"/>
          <w:highlight w:val="none"/>
          <w:u w:val="single"/>
          <w14:textFill>
            <w14:solidFill>
              <w14:schemeClr w14:val="tx1"/>
            </w14:solidFill>
          </w14:textFill>
        </w:rPr>
        <w:t xml:space="preserve">    </w:t>
      </w:r>
      <w:r>
        <w:rPr>
          <w:rFonts w:hint="eastAsia" w:ascii="宋体" w:hAnsi="宋体" w:cs="宋体"/>
          <w:color w:val="000000" w:themeColor="text1"/>
          <w:spacing w:val="-2"/>
          <w:highlight w:val="none"/>
          <w14:textFill>
            <w14:solidFill>
              <w14:schemeClr w14:val="tx1"/>
            </w14:solidFill>
          </w14:textFill>
        </w:rPr>
        <w:t>人，营业收入为</w:t>
      </w:r>
      <w:r>
        <w:rPr>
          <w:rFonts w:hint="eastAsia" w:ascii="宋体" w:hAnsi="宋体" w:cs="宋体"/>
          <w:color w:val="000000" w:themeColor="text1"/>
          <w:spacing w:val="-2"/>
          <w:highlight w:val="none"/>
          <w:u w:val="single"/>
          <w14:textFill>
            <w14:solidFill>
              <w14:schemeClr w14:val="tx1"/>
            </w14:solidFill>
          </w14:textFill>
        </w:rPr>
        <w:tab/>
      </w:r>
      <w:r>
        <w:rPr>
          <w:rFonts w:hint="eastAsia" w:ascii="宋体" w:hAnsi="宋体" w:cs="宋体"/>
          <w:color w:val="000000" w:themeColor="text1"/>
          <w:spacing w:val="-2"/>
          <w:highlight w:val="none"/>
          <w14:textFill>
            <w14:solidFill>
              <w14:schemeClr w14:val="tx1"/>
            </w14:solidFill>
          </w14:textFill>
        </w:rPr>
        <w:t>万元，资产总额为</w:t>
      </w:r>
      <w:r>
        <w:rPr>
          <w:rFonts w:hint="eastAsia" w:ascii="宋体" w:hAnsi="宋体" w:cs="宋体"/>
          <w:color w:val="000000" w:themeColor="text1"/>
          <w:spacing w:val="-2"/>
          <w:highlight w:val="none"/>
          <w:u w:val="single"/>
          <w14:textFill>
            <w14:solidFill>
              <w14:schemeClr w14:val="tx1"/>
            </w14:solidFill>
          </w14:textFill>
        </w:rPr>
        <w:t xml:space="preserve">   </w:t>
      </w:r>
      <w:r>
        <w:rPr>
          <w:rFonts w:hint="eastAsia" w:ascii="宋体" w:hAnsi="宋体" w:cs="宋体"/>
          <w:color w:val="000000" w:themeColor="text1"/>
          <w:spacing w:val="-2"/>
          <w:highlight w:val="none"/>
          <w14:textFill>
            <w14:solidFill>
              <w14:schemeClr w14:val="tx1"/>
            </w14:solidFill>
          </w14:textFill>
        </w:rPr>
        <w:t>万元，属于（</w:t>
      </w:r>
      <w:r>
        <w:rPr>
          <w:rFonts w:hint="eastAsia" w:ascii="宋体" w:hAnsi="宋体" w:cs="宋体"/>
          <w:color w:val="000000" w:themeColor="text1"/>
          <w:spacing w:val="-2"/>
          <w:highlight w:val="none"/>
          <w:u w:val="single"/>
          <w14:textFill>
            <w14:solidFill>
              <w14:schemeClr w14:val="tx1"/>
            </w14:solidFill>
          </w14:textFill>
        </w:rPr>
        <w:t>中型企业、小型企业、微型企业</w:t>
      </w:r>
      <w:r>
        <w:rPr>
          <w:rFonts w:hint="eastAsia" w:ascii="宋体" w:hAnsi="宋体" w:cs="宋体"/>
          <w:color w:val="000000" w:themeColor="text1"/>
          <w:spacing w:val="-2"/>
          <w:highlight w:val="none"/>
          <w14:textFill>
            <w14:solidFill>
              <w14:schemeClr w14:val="tx1"/>
            </w14:solidFill>
          </w14:textFill>
        </w:rPr>
        <w:t>）；</w:t>
      </w:r>
    </w:p>
    <w:p>
      <w:pPr>
        <w:pStyle w:val="2"/>
        <w:tabs>
          <w:tab w:val="left" w:pos="562"/>
          <w:tab w:val="left" w:pos="3372"/>
          <w:tab w:val="left" w:pos="3653"/>
        </w:tabs>
        <w:ind w:firstLine="472" w:firstLineChars="200"/>
        <w:rPr>
          <w:rFonts w:ascii="宋体" w:hAnsi="宋体" w:cs="宋体"/>
          <w:color w:val="000000" w:themeColor="text1"/>
          <w:spacing w:val="-2"/>
          <w:highlight w:val="none"/>
          <w14:textFill>
            <w14:solidFill>
              <w14:schemeClr w14:val="tx1"/>
            </w14:solidFill>
          </w14:textFill>
        </w:rPr>
      </w:pPr>
      <w:r>
        <w:rPr>
          <w:rFonts w:hint="eastAsia" w:ascii="宋体" w:hAnsi="宋体" w:cs="宋体"/>
          <w:color w:val="000000" w:themeColor="text1"/>
          <w:spacing w:val="-2"/>
          <w:highlight w:val="none"/>
          <w14:textFill>
            <w14:solidFill>
              <w14:schemeClr w14:val="tx1"/>
            </w14:solidFill>
          </w14:textFill>
        </w:rPr>
        <w:t>……</w:t>
      </w:r>
    </w:p>
    <w:p>
      <w:pPr>
        <w:pStyle w:val="2"/>
        <w:tabs>
          <w:tab w:val="left" w:pos="562"/>
          <w:tab w:val="left" w:pos="3372"/>
          <w:tab w:val="left" w:pos="3653"/>
        </w:tabs>
        <w:ind w:firstLine="472" w:firstLineChars="200"/>
        <w:rPr>
          <w:rFonts w:ascii="宋体" w:hAnsi="宋体" w:cs="宋体"/>
          <w:color w:val="000000" w:themeColor="text1"/>
          <w:spacing w:val="-2"/>
          <w:highlight w:val="none"/>
          <w14:textFill>
            <w14:solidFill>
              <w14:schemeClr w14:val="tx1"/>
            </w14:solidFill>
          </w14:textFill>
        </w:rPr>
      </w:pPr>
      <w:r>
        <w:rPr>
          <w:rFonts w:hint="eastAsia" w:ascii="宋体" w:hAnsi="宋体" w:cs="宋体"/>
          <w:color w:val="000000" w:themeColor="text1"/>
          <w:spacing w:val="-2"/>
          <w:highlight w:val="none"/>
          <w14:textFill>
            <w14:solidFill>
              <w14:schemeClr w14:val="tx1"/>
            </w14:solidFill>
          </w14:textFill>
        </w:rPr>
        <w:t>以上企业，不属于大企业的分支机构，不存在控股股东为大企业的情形，也不存在与大企业的负责人为同一人的情形。</w:t>
      </w:r>
    </w:p>
    <w:p>
      <w:pPr>
        <w:pStyle w:val="2"/>
        <w:tabs>
          <w:tab w:val="left" w:pos="562"/>
          <w:tab w:val="left" w:pos="3372"/>
          <w:tab w:val="left" w:pos="3653"/>
        </w:tabs>
        <w:ind w:firstLine="472" w:firstLineChars="200"/>
        <w:rPr>
          <w:rFonts w:ascii="宋体" w:hAnsi="宋体" w:cs="宋体"/>
          <w:color w:val="000000" w:themeColor="text1"/>
          <w:spacing w:val="-2"/>
          <w:highlight w:val="none"/>
          <w14:textFill>
            <w14:solidFill>
              <w14:schemeClr w14:val="tx1"/>
            </w14:solidFill>
          </w14:textFill>
        </w:rPr>
      </w:pPr>
      <w:r>
        <w:rPr>
          <w:rFonts w:hint="eastAsia" w:ascii="宋体" w:hAnsi="宋体" w:cs="宋体"/>
          <w:color w:val="000000" w:themeColor="text1"/>
          <w:spacing w:val="-2"/>
          <w:highlight w:val="none"/>
          <w14:textFill>
            <w14:solidFill>
              <w14:schemeClr w14:val="tx1"/>
            </w14:solidFill>
          </w14:textFill>
        </w:rPr>
        <w:t>本企业对上述声明内容的真实性负责。如有虚假，将依法承担相应责任。</w:t>
      </w:r>
    </w:p>
    <w:p>
      <w:pPr>
        <w:pStyle w:val="2"/>
        <w:tabs>
          <w:tab w:val="left" w:pos="562"/>
          <w:tab w:val="left" w:pos="3372"/>
          <w:tab w:val="left" w:pos="3653"/>
        </w:tabs>
        <w:ind w:firstLine="472" w:firstLineChars="200"/>
        <w:rPr>
          <w:rFonts w:ascii="宋体" w:hAnsi="宋体" w:cs="宋体"/>
          <w:color w:val="000000" w:themeColor="text1"/>
          <w:spacing w:val="-2"/>
          <w:highlight w:val="none"/>
          <w14:textFill>
            <w14:solidFill>
              <w14:schemeClr w14:val="tx1"/>
            </w14:solidFill>
          </w14:textFill>
        </w:rPr>
      </w:pPr>
      <w:r>
        <w:rPr>
          <w:rFonts w:hint="eastAsia" w:ascii="宋体" w:hAnsi="宋体" w:cs="宋体"/>
          <w:color w:val="000000" w:themeColor="text1"/>
          <w:spacing w:val="-2"/>
          <w:highlight w:val="none"/>
          <w14:textFill>
            <w14:solidFill>
              <w14:schemeClr w14:val="tx1"/>
            </w14:solidFill>
          </w14:textFill>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ind w:left="4200" w:leftChars="20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pacing w:val="-2"/>
          <w:highlight w:val="none"/>
          <w14:textFill>
            <w14:solidFill>
              <w14:schemeClr w14:val="tx1"/>
            </w14:solidFill>
          </w14:textFill>
        </w:rPr>
        <w:t>企业名称（盖章）日期：</w:t>
      </w:r>
    </w:p>
    <w:p>
      <w:pPr>
        <w:pStyle w:val="2"/>
        <w:tabs>
          <w:tab w:val="left" w:pos="562"/>
          <w:tab w:val="left" w:pos="3372"/>
          <w:tab w:val="left" w:pos="3653"/>
        </w:tabs>
        <w:jc w:val="center"/>
        <w:rPr>
          <w:rFonts w:ascii="宋体" w:hAnsi="宋体" w:cs="宋体"/>
          <w:color w:val="000000" w:themeColor="text1"/>
          <w:spacing w:val="-2"/>
          <w:highlight w:val="none"/>
          <w14:textFill>
            <w14:solidFill>
              <w14:schemeClr w14:val="tx1"/>
            </w14:solidFill>
          </w14:textFill>
        </w:rPr>
      </w:pPr>
      <w:r>
        <w:rPr>
          <w:rFonts w:hint="eastAsia" w:ascii="宋体" w:hAnsi="宋体" w:cs="宋体"/>
          <w:color w:val="000000" w:themeColor="text1"/>
          <w:spacing w:val="-2"/>
          <w:highlight w:val="none"/>
          <w14:textFill>
            <w14:solidFill>
              <w14:schemeClr w14:val="tx1"/>
            </w14:solidFill>
          </w14:textFill>
        </w:rPr>
        <w:t>从业人员、营业收入、资产总额填报上一年度数据，无上一年度数据的新成立企业可不填报。</w:t>
      </w:r>
    </w:p>
    <w:p>
      <w:pPr>
        <w:spacing w:after="319" w:afterLines="1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color w:val="000000" w:themeColor="text1"/>
          <w:sz w:val="24"/>
          <w:highlight w:val="none"/>
          <w14:textFill>
            <w14:solidFill>
              <w14:schemeClr w14:val="tx1"/>
            </w14:solidFill>
          </w14:textFill>
        </w:rPr>
        <w:t>中小企业声明函（工程、服务）</w:t>
      </w:r>
    </w:p>
    <w:p>
      <w:pPr>
        <w:pStyle w:val="2"/>
        <w:tabs>
          <w:tab w:val="left" w:pos="562"/>
          <w:tab w:val="left" w:pos="3372"/>
          <w:tab w:val="left" w:pos="3653"/>
        </w:tabs>
        <w:ind w:firstLine="472" w:firstLineChars="200"/>
        <w:rPr>
          <w:rFonts w:ascii="宋体" w:hAnsi="宋体" w:cs="宋体"/>
          <w:color w:val="000000" w:themeColor="text1"/>
          <w:spacing w:val="-2"/>
          <w:highlight w:val="none"/>
          <w14:textFill>
            <w14:solidFill>
              <w14:schemeClr w14:val="tx1"/>
            </w14:solidFill>
          </w14:textFill>
        </w:rPr>
      </w:pPr>
      <w:r>
        <w:rPr>
          <w:rFonts w:hint="eastAsia" w:ascii="宋体" w:hAnsi="宋体" w:cs="宋体"/>
          <w:color w:val="000000" w:themeColor="text1"/>
          <w:spacing w:val="-2"/>
          <w:highlight w:val="none"/>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pacing w:val="-2"/>
          <w:highlight w:val="none"/>
          <w:u w:val="single"/>
          <w14:textFill>
            <w14:solidFill>
              <w14:schemeClr w14:val="tx1"/>
            </w14:solidFill>
          </w14:textFill>
        </w:rPr>
        <w:t>单位名称</w:t>
      </w:r>
      <w:r>
        <w:rPr>
          <w:rFonts w:hint="eastAsia" w:ascii="宋体" w:hAnsi="宋体" w:cs="宋体"/>
          <w:color w:val="000000" w:themeColor="text1"/>
          <w:spacing w:val="-2"/>
          <w:highlight w:val="none"/>
          <w14:textFill>
            <w14:solidFill>
              <w14:schemeClr w14:val="tx1"/>
            </w14:solidFill>
          </w14:textFill>
        </w:rPr>
        <w:t>）的（</w:t>
      </w:r>
      <w:r>
        <w:rPr>
          <w:rFonts w:hint="eastAsia" w:ascii="宋体" w:hAnsi="宋体" w:cs="宋体"/>
          <w:color w:val="000000" w:themeColor="text1"/>
          <w:spacing w:val="-2"/>
          <w:highlight w:val="none"/>
          <w:u w:val="single"/>
          <w14:textFill>
            <w14:solidFill>
              <w14:schemeClr w14:val="tx1"/>
            </w14:solidFill>
          </w14:textFill>
        </w:rPr>
        <w:t>项目名称</w:t>
      </w:r>
      <w:r>
        <w:rPr>
          <w:rFonts w:hint="eastAsia" w:ascii="宋体" w:hAnsi="宋体" w:cs="宋体"/>
          <w:color w:val="000000" w:themeColor="text1"/>
          <w:spacing w:val="-2"/>
          <w:highlight w:val="none"/>
          <w14:textFill>
            <w14:solidFill>
              <w14:schemeClr w14:val="tx1"/>
            </w14:solidFill>
          </w14:textFill>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ind w:firstLine="472" w:firstLineChars="200"/>
        <w:rPr>
          <w:rFonts w:ascii="宋体" w:hAnsi="宋体" w:cs="宋体"/>
          <w:color w:val="000000" w:themeColor="text1"/>
          <w:spacing w:val="-2"/>
          <w:highlight w:val="none"/>
          <w14:textFill>
            <w14:solidFill>
              <w14:schemeClr w14:val="tx1"/>
            </w14:solidFill>
          </w14:textFill>
        </w:rPr>
      </w:pPr>
      <w:r>
        <w:rPr>
          <w:rFonts w:hint="eastAsia" w:ascii="宋体" w:hAnsi="宋体" w:cs="宋体"/>
          <w:color w:val="000000" w:themeColor="text1"/>
          <w:spacing w:val="-2"/>
          <w:highlight w:val="none"/>
          <w14:textFill>
            <w14:solidFill>
              <w14:schemeClr w14:val="tx1"/>
            </w14:solidFill>
          </w14:textFill>
        </w:rPr>
        <w:t>1、（</w:t>
      </w:r>
      <w:r>
        <w:rPr>
          <w:rFonts w:hint="eastAsia" w:ascii="宋体" w:hAnsi="宋体" w:cs="宋体"/>
          <w:color w:val="000000" w:themeColor="text1"/>
          <w:spacing w:val="-2"/>
          <w:highlight w:val="none"/>
          <w:u w:val="single"/>
          <w14:textFill>
            <w14:solidFill>
              <w14:schemeClr w14:val="tx1"/>
            </w14:solidFill>
          </w14:textFill>
        </w:rPr>
        <w:t>标的名称</w:t>
      </w:r>
      <w:r>
        <w:rPr>
          <w:rFonts w:hint="eastAsia" w:ascii="宋体" w:hAnsi="宋体" w:cs="宋体"/>
          <w:color w:val="000000" w:themeColor="text1"/>
          <w:spacing w:val="-2"/>
          <w:highlight w:val="none"/>
          <w14:textFill>
            <w14:solidFill>
              <w14:schemeClr w14:val="tx1"/>
            </w14:solidFill>
          </w14:textFill>
        </w:rPr>
        <w:t>），属于（</w:t>
      </w:r>
      <w:r>
        <w:rPr>
          <w:rFonts w:hint="eastAsia" w:ascii="宋体" w:hAnsi="宋体" w:cs="宋体"/>
          <w:color w:val="000000" w:themeColor="text1"/>
          <w:spacing w:val="-2"/>
          <w:highlight w:val="none"/>
          <w:u w:val="single"/>
          <w14:textFill>
            <w14:solidFill>
              <w14:schemeClr w14:val="tx1"/>
            </w14:solidFill>
          </w14:textFill>
        </w:rPr>
        <w:t>采购文件中明确的所属行业</w:t>
      </w:r>
      <w:r>
        <w:rPr>
          <w:rFonts w:hint="eastAsia" w:ascii="宋体" w:hAnsi="宋体" w:cs="宋体"/>
          <w:color w:val="000000" w:themeColor="text1"/>
          <w:spacing w:val="-2"/>
          <w:highlight w:val="none"/>
          <w14:textFill>
            <w14:solidFill>
              <w14:schemeClr w14:val="tx1"/>
            </w14:solidFill>
          </w14:textFill>
        </w:rPr>
        <w:t>）；承建（承接）企业为（</w:t>
      </w:r>
      <w:r>
        <w:rPr>
          <w:rFonts w:hint="eastAsia" w:ascii="宋体" w:hAnsi="宋体" w:cs="宋体"/>
          <w:color w:val="000000" w:themeColor="text1"/>
          <w:spacing w:val="-2"/>
          <w:highlight w:val="none"/>
          <w:u w:val="single"/>
          <w14:textFill>
            <w14:solidFill>
              <w14:schemeClr w14:val="tx1"/>
            </w14:solidFill>
          </w14:textFill>
        </w:rPr>
        <w:t>企业名称</w:t>
      </w:r>
      <w:r>
        <w:rPr>
          <w:rFonts w:hint="eastAsia" w:ascii="宋体" w:hAnsi="宋体" w:cs="宋体"/>
          <w:color w:val="000000" w:themeColor="text1"/>
          <w:spacing w:val="-2"/>
          <w:highlight w:val="none"/>
          <w14:textFill>
            <w14:solidFill>
              <w14:schemeClr w14:val="tx1"/>
            </w14:solidFill>
          </w14:textFill>
        </w:rPr>
        <w:t>），从业人员</w:t>
      </w:r>
      <w:r>
        <w:rPr>
          <w:rFonts w:hint="eastAsia" w:ascii="宋体" w:hAnsi="宋体" w:cs="宋体"/>
          <w:color w:val="000000" w:themeColor="text1"/>
          <w:spacing w:val="-2"/>
          <w:highlight w:val="none"/>
          <w:u w:val="single"/>
          <w14:textFill>
            <w14:solidFill>
              <w14:schemeClr w14:val="tx1"/>
            </w14:solidFill>
          </w14:textFill>
        </w:rPr>
        <w:tab/>
      </w:r>
      <w:r>
        <w:rPr>
          <w:rFonts w:hint="eastAsia" w:ascii="宋体" w:hAnsi="宋体" w:cs="宋体"/>
          <w:color w:val="000000" w:themeColor="text1"/>
          <w:spacing w:val="-2"/>
          <w:highlight w:val="none"/>
          <w14:textFill>
            <w14:solidFill>
              <w14:schemeClr w14:val="tx1"/>
            </w14:solidFill>
          </w14:textFill>
        </w:rPr>
        <w:t>人，营业收入为</w:t>
      </w:r>
      <w:r>
        <w:rPr>
          <w:rFonts w:hint="eastAsia" w:ascii="宋体" w:hAnsi="宋体" w:cs="宋体"/>
          <w:color w:val="000000" w:themeColor="text1"/>
          <w:spacing w:val="-2"/>
          <w:highlight w:val="none"/>
          <w:u w:val="single"/>
          <w14:textFill>
            <w14:solidFill>
              <w14:schemeClr w14:val="tx1"/>
            </w14:solidFill>
          </w14:textFill>
        </w:rPr>
        <w:tab/>
      </w:r>
      <w:r>
        <w:rPr>
          <w:rFonts w:hint="eastAsia" w:ascii="宋体" w:hAnsi="宋体" w:cs="宋体"/>
          <w:color w:val="000000" w:themeColor="text1"/>
          <w:spacing w:val="-2"/>
          <w:highlight w:val="none"/>
          <w14:textFill>
            <w14:solidFill>
              <w14:schemeClr w14:val="tx1"/>
            </w14:solidFill>
          </w14:textFill>
        </w:rPr>
        <w:t>万元，资产总额为</w:t>
      </w:r>
      <w:r>
        <w:rPr>
          <w:rFonts w:hint="eastAsia" w:ascii="宋体" w:hAnsi="宋体" w:cs="宋体"/>
          <w:color w:val="000000" w:themeColor="text1"/>
          <w:spacing w:val="-2"/>
          <w:highlight w:val="none"/>
          <w:u w:val="single"/>
          <w14:textFill>
            <w14:solidFill>
              <w14:schemeClr w14:val="tx1"/>
            </w14:solidFill>
          </w14:textFill>
        </w:rPr>
        <w:tab/>
      </w:r>
      <w:r>
        <w:rPr>
          <w:rFonts w:hint="eastAsia" w:ascii="宋体" w:hAnsi="宋体" w:cs="宋体"/>
          <w:color w:val="000000" w:themeColor="text1"/>
          <w:spacing w:val="-2"/>
          <w:highlight w:val="none"/>
          <w14:textFill>
            <w14:solidFill>
              <w14:schemeClr w14:val="tx1"/>
            </w14:solidFill>
          </w14:textFill>
        </w:rPr>
        <w:t>万元，属于（</w:t>
      </w:r>
      <w:r>
        <w:rPr>
          <w:rFonts w:hint="eastAsia" w:ascii="宋体" w:hAnsi="宋体" w:cs="宋体"/>
          <w:color w:val="000000" w:themeColor="text1"/>
          <w:spacing w:val="-2"/>
          <w:highlight w:val="none"/>
          <w:u w:val="single"/>
          <w14:textFill>
            <w14:solidFill>
              <w14:schemeClr w14:val="tx1"/>
            </w14:solidFill>
          </w14:textFill>
        </w:rPr>
        <w:t>中型企业、小型企业、微型企业</w:t>
      </w:r>
      <w:r>
        <w:rPr>
          <w:rFonts w:hint="eastAsia" w:ascii="宋体" w:hAnsi="宋体" w:cs="宋体"/>
          <w:color w:val="000000" w:themeColor="text1"/>
          <w:spacing w:val="-2"/>
          <w:highlight w:val="none"/>
          <w14:textFill>
            <w14:solidFill>
              <w14:schemeClr w14:val="tx1"/>
            </w14:solidFill>
          </w14:textFill>
        </w:rPr>
        <w:t>）。</w:t>
      </w:r>
    </w:p>
    <w:p>
      <w:pPr>
        <w:pStyle w:val="2"/>
        <w:tabs>
          <w:tab w:val="left" w:pos="562"/>
          <w:tab w:val="left" w:pos="3372"/>
          <w:tab w:val="left" w:pos="3653"/>
        </w:tabs>
        <w:ind w:firstLine="472" w:firstLineChars="200"/>
        <w:rPr>
          <w:rFonts w:ascii="宋体" w:hAnsi="宋体" w:cs="宋体"/>
          <w:color w:val="000000" w:themeColor="text1"/>
          <w:spacing w:val="-2"/>
          <w:highlight w:val="none"/>
          <w14:textFill>
            <w14:solidFill>
              <w14:schemeClr w14:val="tx1"/>
            </w14:solidFill>
          </w14:textFill>
        </w:rPr>
      </w:pPr>
      <w:r>
        <w:rPr>
          <w:rFonts w:hint="eastAsia" w:ascii="宋体" w:hAnsi="宋体" w:cs="宋体"/>
          <w:color w:val="000000" w:themeColor="text1"/>
          <w:spacing w:val="-2"/>
          <w:highlight w:val="none"/>
          <w14:textFill>
            <w14:solidFill>
              <w14:schemeClr w14:val="tx1"/>
            </w14:solidFill>
          </w14:textFill>
        </w:rPr>
        <w:t>2、（</w:t>
      </w:r>
      <w:r>
        <w:rPr>
          <w:rFonts w:hint="eastAsia" w:ascii="宋体" w:hAnsi="宋体" w:cs="宋体"/>
          <w:color w:val="000000" w:themeColor="text1"/>
          <w:spacing w:val="-2"/>
          <w:highlight w:val="none"/>
          <w:u w:val="single"/>
          <w14:textFill>
            <w14:solidFill>
              <w14:schemeClr w14:val="tx1"/>
            </w14:solidFill>
          </w14:textFill>
        </w:rPr>
        <w:t>标的名称</w:t>
      </w:r>
      <w:r>
        <w:rPr>
          <w:rFonts w:hint="eastAsia" w:ascii="宋体" w:hAnsi="宋体" w:cs="宋体"/>
          <w:color w:val="000000" w:themeColor="text1"/>
          <w:spacing w:val="-2"/>
          <w:highlight w:val="none"/>
          <w14:textFill>
            <w14:solidFill>
              <w14:schemeClr w14:val="tx1"/>
            </w14:solidFill>
          </w14:textFill>
        </w:rPr>
        <w:t>），属于（</w:t>
      </w:r>
      <w:r>
        <w:rPr>
          <w:rFonts w:hint="eastAsia" w:ascii="宋体" w:hAnsi="宋体" w:cs="宋体"/>
          <w:color w:val="000000" w:themeColor="text1"/>
          <w:spacing w:val="-2"/>
          <w:highlight w:val="none"/>
          <w:u w:val="single"/>
          <w14:textFill>
            <w14:solidFill>
              <w14:schemeClr w14:val="tx1"/>
            </w14:solidFill>
          </w14:textFill>
        </w:rPr>
        <w:t>采购文件中明确的所属行业</w:t>
      </w:r>
      <w:r>
        <w:rPr>
          <w:rFonts w:hint="eastAsia" w:ascii="宋体" w:hAnsi="宋体" w:cs="宋体"/>
          <w:color w:val="000000" w:themeColor="text1"/>
          <w:spacing w:val="-2"/>
          <w:highlight w:val="none"/>
          <w14:textFill>
            <w14:solidFill>
              <w14:schemeClr w14:val="tx1"/>
            </w14:solidFill>
          </w14:textFill>
        </w:rPr>
        <w:t>） ；承建（承接）企业为（</w:t>
      </w:r>
      <w:r>
        <w:rPr>
          <w:rFonts w:hint="eastAsia" w:ascii="宋体" w:hAnsi="宋体" w:cs="宋体"/>
          <w:color w:val="000000" w:themeColor="text1"/>
          <w:spacing w:val="-2"/>
          <w:highlight w:val="none"/>
          <w:u w:val="single"/>
          <w14:textFill>
            <w14:solidFill>
              <w14:schemeClr w14:val="tx1"/>
            </w14:solidFill>
          </w14:textFill>
        </w:rPr>
        <w:t>企业名称</w:t>
      </w:r>
      <w:r>
        <w:rPr>
          <w:rFonts w:hint="eastAsia" w:ascii="宋体" w:hAnsi="宋体" w:cs="宋体"/>
          <w:color w:val="000000" w:themeColor="text1"/>
          <w:spacing w:val="-2"/>
          <w:highlight w:val="none"/>
          <w14:textFill>
            <w14:solidFill>
              <w14:schemeClr w14:val="tx1"/>
            </w14:solidFill>
          </w14:textFill>
        </w:rPr>
        <w:t>），从业人员</w:t>
      </w:r>
      <w:r>
        <w:rPr>
          <w:rFonts w:hint="eastAsia" w:ascii="宋体" w:hAnsi="宋体" w:cs="宋体"/>
          <w:color w:val="000000" w:themeColor="text1"/>
          <w:spacing w:val="-2"/>
          <w:highlight w:val="none"/>
          <w:u w:val="single"/>
          <w14:textFill>
            <w14:solidFill>
              <w14:schemeClr w14:val="tx1"/>
            </w14:solidFill>
          </w14:textFill>
        </w:rPr>
        <w:tab/>
      </w:r>
      <w:r>
        <w:rPr>
          <w:rFonts w:hint="eastAsia" w:ascii="宋体" w:hAnsi="宋体" w:cs="宋体"/>
          <w:color w:val="000000" w:themeColor="text1"/>
          <w:spacing w:val="-2"/>
          <w:highlight w:val="none"/>
          <w14:textFill>
            <w14:solidFill>
              <w14:schemeClr w14:val="tx1"/>
            </w14:solidFill>
          </w14:textFill>
        </w:rPr>
        <w:t>人，营业收入为</w:t>
      </w:r>
      <w:r>
        <w:rPr>
          <w:rFonts w:hint="eastAsia" w:ascii="宋体" w:hAnsi="宋体" w:cs="宋体"/>
          <w:color w:val="000000" w:themeColor="text1"/>
          <w:spacing w:val="-2"/>
          <w:highlight w:val="none"/>
          <w:u w:val="single"/>
          <w14:textFill>
            <w14:solidFill>
              <w14:schemeClr w14:val="tx1"/>
            </w14:solidFill>
          </w14:textFill>
        </w:rPr>
        <w:tab/>
      </w:r>
      <w:r>
        <w:rPr>
          <w:rFonts w:hint="eastAsia" w:ascii="宋体" w:hAnsi="宋体" w:cs="宋体"/>
          <w:color w:val="000000" w:themeColor="text1"/>
          <w:spacing w:val="-2"/>
          <w:highlight w:val="none"/>
          <w14:textFill>
            <w14:solidFill>
              <w14:schemeClr w14:val="tx1"/>
            </w14:solidFill>
          </w14:textFill>
        </w:rPr>
        <w:t>万元，资产总额为</w:t>
      </w:r>
      <w:r>
        <w:rPr>
          <w:rFonts w:hint="eastAsia" w:ascii="宋体" w:hAnsi="宋体" w:cs="宋体"/>
          <w:color w:val="000000" w:themeColor="text1"/>
          <w:spacing w:val="-2"/>
          <w:highlight w:val="none"/>
          <w:u w:val="single"/>
          <w14:textFill>
            <w14:solidFill>
              <w14:schemeClr w14:val="tx1"/>
            </w14:solidFill>
          </w14:textFill>
        </w:rPr>
        <w:tab/>
      </w:r>
      <w:r>
        <w:rPr>
          <w:rFonts w:hint="eastAsia" w:ascii="宋体" w:hAnsi="宋体" w:cs="宋体"/>
          <w:color w:val="000000" w:themeColor="text1"/>
          <w:spacing w:val="-2"/>
          <w:highlight w:val="none"/>
          <w14:textFill>
            <w14:solidFill>
              <w14:schemeClr w14:val="tx1"/>
            </w14:solidFill>
          </w14:textFill>
        </w:rPr>
        <w:t>万元，属于（</w:t>
      </w:r>
      <w:r>
        <w:rPr>
          <w:rFonts w:hint="eastAsia" w:ascii="宋体" w:hAnsi="宋体" w:cs="宋体"/>
          <w:color w:val="000000" w:themeColor="text1"/>
          <w:spacing w:val="-2"/>
          <w:highlight w:val="none"/>
          <w:u w:val="single"/>
          <w14:textFill>
            <w14:solidFill>
              <w14:schemeClr w14:val="tx1"/>
            </w14:solidFill>
          </w14:textFill>
        </w:rPr>
        <w:t>中型企业、小型企业、微型企业</w:t>
      </w:r>
      <w:r>
        <w:rPr>
          <w:rFonts w:hint="eastAsia" w:ascii="宋体" w:hAnsi="宋体" w:cs="宋体"/>
          <w:color w:val="000000" w:themeColor="text1"/>
          <w:spacing w:val="-2"/>
          <w:highlight w:val="none"/>
          <w14:textFill>
            <w14:solidFill>
              <w14:schemeClr w14:val="tx1"/>
            </w14:solidFill>
          </w14:textFill>
        </w:rPr>
        <w:t>）；</w:t>
      </w:r>
    </w:p>
    <w:p>
      <w:pPr>
        <w:pStyle w:val="2"/>
        <w:tabs>
          <w:tab w:val="left" w:pos="562"/>
          <w:tab w:val="left" w:pos="3372"/>
          <w:tab w:val="left" w:pos="3653"/>
        </w:tabs>
        <w:ind w:firstLine="472" w:firstLineChars="200"/>
        <w:rPr>
          <w:rFonts w:ascii="宋体" w:hAnsi="宋体" w:cs="宋体"/>
          <w:color w:val="000000" w:themeColor="text1"/>
          <w:spacing w:val="-2"/>
          <w:highlight w:val="none"/>
          <w14:textFill>
            <w14:solidFill>
              <w14:schemeClr w14:val="tx1"/>
            </w14:solidFill>
          </w14:textFill>
        </w:rPr>
      </w:pPr>
      <w:r>
        <w:rPr>
          <w:rFonts w:hint="eastAsia" w:ascii="宋体" w:hAnsi="宋体" w:cs="宋体"/>
          <w:color w:val="000000" w:themeColor="text1"/>
          <w:spacing w:val="-2"/>
          <w:highlight w:val="none"/>
          <w14:textFill>
            <w14:solidFill>
              <w14:schemeClr w14:val="tx1"/>
            </w14:solidFill>
          </w14:textFill>
        </w:rPr>
        <w:t>……</w:t>
      </w:r>
    </w:p>
    <w:p>
      <w:pPr>
        <w:pStyle w:val="2"/>
        <w:tabs>
          <w:tab w:val="left" w:pos="562"/>
          <w:tab w:val="left" w:pos="3372"/>
          <w:tab w:val="left" w:pos="3653"/>
        </w:tabs>
        <w:ind w:firstLine="472" w:firstLineChars="200"/>
        <w:rPr>
          <w:rFonts w:ascii="宋体" w:hAnsi="宋体" w:cs="宋体"/>
          <w:color w:val="000000" w:themeColor="text1"/>
          <w:spacing w:val="-2"/>
          <w:highlight w:val="none"/>
          <w14:textFill>
            <w14:solidFill>
              <w14:schemeClr w14:val="tx1"/>
            </w14:solidFill>
          </w14:textFill>
        </w:rPr>
      </w:pPr>
      <w:r>
        <w:rPr>
          <w:rFonts w:hint="eastAsia" w:ascii="宋体" w:hAnsi="宋体" w:cs="宋体"/>
          <w:color w:val="000000" w:themeColor="text1"/>
          <w:spacing w:val="-2"/>
          <w:highlight w:val="none"/>
          <w14:textFill>
            <w14:solidFill>
              <w14:schemeClr w14:val="tx1"/>
            </w14:solidFill>
          </w14:textFill>
        </w:rPr>
        <w:t>以上企业，不属于大企业的分支机构，不存在控股股东为大企业的情形，也不存在与大企业的负责人为同一人的情形。</w:t>
      </w:r>
    </w:p>
    <w:p>
      <w:pPr>
        <w:pStyle w:val="2"/>
        <w:tabs>
          <w:tab w:val="left" w:pos="562"/>
          <w:tab w:val="left" w:pos="3372"/>
          <w:tab w:val="left" w:pos="3653"/>
        </w:tabs>
        <w:ind w:firstLine="472" w:firstLineChars="200"/>
        <w:rPr>
          <w:rFonts w:ascii="宋体" w:hAnsi="宋体" w:cs="宋体"/>
          <w:color w:val="000000" w:themeColor="text1"/>
          <w:spacing w:val="-2"/>
          <w:highlight w:val="none"/>
          <w14:textFill>
            <w14:solidFill>
              <w14:schemeClr w14:val="tx1"/>
            </w14:solidFill>
          </w14:textFill>
        </w:rPr>
      </w:pPr>
      <w:r>
        <w:rPr>
          <w:rFonts w:hint="eastAsia" w:ascii="宋体" w:hAnsi="宋体" w:cs="宋体"/>
          <w:color w:val="000000" w:themeColor="text1"/>
          <w:spacing w:val="-2"/>
          <w:highlight w:val="none"/>
          <w14:textFill>
            <w14:solidFill>
              <w14:schemeClr w14:val="tx1"/>
            </w14:solidFill>
          </w14:textFill>
        </w:rPr>
        <w:t>本企业对上述声明内容的真实性负责。如有虚假，将依法承担相应责任。</w:t>
      </w:r>
    </w:p>
    <w:p>
      <w:pPr>
        <w:pStyle w:val="2"/>
        <w:tabs>
          <w:tab w:val="left" w:pos="562"/>
          <w:tab w:val="left" w:pos="3372"/>
          <w:tab w:val="left" w:pos="3653"/>
        </w:tabs>
        <w:ind w:firstLine="472" w:firstLineChars="200"/>
        <w:rPr>
          <w:rFonts w:ascii="宋体" w:hAnsi="宋体" w:cs="宋体"/>
          <w:color w:val="000000" w:themeColor="text1"/>
          <w:spacing w:val="-2"/>
          <w:highlight w:val="none"/>
          <w14:textFill>
            <w14:solidFill>
              <w14:schemeClr w14:val="tx1"/>
            </w14:solidFill>
          </w14:textFill>
        </w:rPr>
      </w:pPr>
      <w:r>
        <w:rPr>
          <w:rFonts w:hint="eastAsia" w:ascii="宋体" w:hAnsi="宋体" w:cs="宋体"/>
          <w:color w:val="000000" w:themeColor="text1"/>
          <w:spacing w:val="-2"/>
          <w:highlight w:val="none"/>
          <w14:textFill>
            <w14:solidFill>
              <w14:schemeClr w14:val="tx1"/>
            </w14:solidFill>
          </w14:textFill>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ind w:left="4200" w:leftChars="2000"/>
        <w:rPr>
          <w:rFonts w:ascii="宋体" w:hAnsi="宋体" w:cs="宋体"/>
          <w:color w:val="000000" w:themeColor="text1"/>
          <w:spacing w:val="-2"/>
          <w:highlight w:val="none"/>
          <w14:textFill>
            <w14:solidFill>
              <w14:schemeClr w14:val="tx1"/>
            </w14:solidFill>
          </w14:textFill>
        </w:rPr>
      </w:pPr>
    </w:p>
    <w:p>
      <w:pPr>
        <w:pStyle w:val="2"/>
        <w:tabs>
          <w:tab w:val="left" w:pos="562"/>
          <w:tab w:val="left" w:pos="3372"/>
          <w:tab w:val="left" w:pos="3653"/>
        </w:tabs>
        <w:ind w:left="4200" w:leftChars="2000"/>
        <w:rPr>
          <w:rFonts w:ascii="宋体" w:hAnsi="宋体" w:cs="宋体"/>
          <w:color w:val="000000" w:themeColor="text1"/>
          <w:spacing w:val="-2"/>
          <w:highlight w:val="none"/>
          <w14:textFill>
            <w14:solidFill>
              <w14:schemeClr w14:val="tx1"/>
            </w14:solidFill>
          </w14:textFill>
        </w:rPr>
      </w:pPr>
      <w:r>
        <w:rPr>
          <w:rFonts w:hint="eastAsia" w:ascii="宋体" w:hAnsi="宋体" w:cs="宋体"/>
          <w:color w:val="000000" w:themeColor="text1"/>
          <w:spacing w:val="-2"/>
          <w:highlight w:val="none"/>
          <w14:textFill>
            <w14:solidFill>
              <w14:schemeClr w14:val="tx1"/>
            </w14:solidFill>
          </w14:textFill>
        </w:rPr>
        <w:t>企业名称（盖章）日期：</w:t>
      </w:r>
    </w:p>
    <w:p>
      <w:pPr>
        <w:pStyle w:val="2"/>
        <w:tabs>
          <w:tab w:val="left" w:pos="562"/>
          <w:tab w:val="left" w:pos="3372"/>
          <w:tab w:val="left" w:pos="3653"/>
        </w:tabs>
        <w:rPr>
          <w:rFonts w:ascii="宋体" w:hAnsi="宋体" w:cs="宋体"/>
          <w:color w:val="000000" w:themeColor="text1"/>
          <w:spacing w:val="-2"/>
          <w:highlight w:val="none"/>
          <w14:textFill>
            <w14:solidFill>
              <w14:schemeClr w14:val="tx1"/>
            </w14:solidFill>
          </w14:textFill>
        </w:rPr>
      </w:pPr>
    </w:p>
    <w:p>
      <w:pPr>
        <w:pStyle w:val="2"/>
        <w:tabs>
          <w:tab w:val="left" w:pos="562"/>
          <w:tab w:val="left" w:pos="3372"/>
          <w:tab w:val="left" w:pos="3653"/>
        </w:tabs>
        <w:spacing w:before="3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pacing w:val="-2"/>
          <w:highlight w:val="none"/>
          <w14:textFill>
            <w14:solidFill>
              <w14:schemeClr w14:val="tx1"/>
            </w14:solidFill>
          </w14:textFill>
        </w:rPr>
        <w:t>从业人员、营业收入、资产总额填报上一年度数据，无上一年度数据的新成立企业可不填报。</w:t>
      </w:r>
      <w:r>
        <w:rPr>
          <w:rFonts w:hint="eastAsia" w:ascii="宋体" w:hAnsi="宋体" w:cs="宋体"/>
          <w:color w:val="000000" w:themeColor="text1"/>
          <w:highlight w:val="none"/>
          <w14:textFill>
            <w14:solidFill>
              <w14:schemeClr w14:val="tx1"/>
            </w14:solidFill>
          </w14:textFill>
        </w:rPr>
        <w:br w:type="page"/>
      </w:r>
      <w:r>
        <w:rPr>
          <w:rFonts w:hint="eastAsia" w:ascii="宋体" w:hAnsi="宋体" w:cs="宋体"/>
          <w:b/>
          <w:bCs/>
          <w:color w:val="000000" w:themeColor="text1"/>
          <w:highlight w:val="none"/>
          <w14:textFill>
            <w14:solidFill>
              <w14:schemeClr w14:val="tx1"/>
            </w14:solidFill>
          </w14:textFill>
        </w:rPr>
        <w:t>附 2</w:t>
      </w:r>
    </w:p>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pacing w:val="-3"/>
          <w:sz w:val="24"/>
          <w:highlight w:val="none"/>
          <w:u w:val="single" w:color="000000"/>
          <w14:textFill>
            <w14:solidFill>
              <w14:schemeClr w14:val="tx1"/>
            </w14:solidFill>
          </w14:textFill>
        </w:rPr>
        <w:t>（单位名称）</w:t>
      </w:r>
      <w:r>
        <w:rPr>
          <w:rFonts w:hint="eastAsia" w:ascii="宋体" w:hAnsi="宋体" w:cs="宋体"/>
          <w:color w:val="000000" w:themeColor="text1"/>
          <w:spacing w:val="-29"/>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年面向中小企业预留项目执行情况公告</w:t>
      </w:r>
    </w:p>
    <w:p>
      <w:pPr>
        <w:pStyle w:val="2"/>
        <w:tabs>
          <w:tab w:val="left" w:pos="562"/>
          <w:tab w:val="left" w:pos="3372"/>
          <w:tab w:val="left" w:pos="3653"/>
        </w:tabs>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根据《政府采购促进中小企业发展管理办法》（财库﹝2020﹞46</w:t>
      </w:r>
      <w:r>
        <w:rPr>
          <w:rFonts w:hint="eastAsia" w:ascii="宋体" w:hAnsi="宋体" w:cs="宋体"/>
          <w:color w:val="000000" w:themeColor="text1"/>
          <w:spacing w:val="-47"/>
          <w:highlight w:val="none"/>
          <w14:textFill>
            <w14:solidFill>
              <w14:schemeClr w14:val="tx1"/>
            </w14:solidFill>
          </w14:textFill>
        </w:rPr>
        <w:t xml:space="preserve"> 号</w:t>
      </w:r>
      <w:r>
        <w:rPr>
          <w:rFonts w:hint="eastAsia" w:ascii="宋体" w:hAnsi="宋体" w:cs="宋体"/>
          <w:color w:val="000000" w:themeColor="text1"/>
          <w:spacing w:val="-22"/>
          <w:highlight w:val="none"/>
          <w14:textFill>
            <w14:solidFill>
              <w14:schemeClr w14:val="tx1"/>
            </w14:solidFill>
          </w14:textFill>
        </w:rPr>
        <w:t>）</w:t>
      </w:r>
      <w:r>
        <w:rPr>
          <w:rFonts w:hint="eastAsia" w:ascii="宋体" w:hAnsi="宋体" w:cs="宋体"/>
          <w:color w:val="000000" w:themeColor="text1"/>
          <w:spacing w:val="-7"/>
          <w:highlight w:val="none"/>
          <w14:textFill>
            <w14:solidFill>
              <w14:schemeClr w14:val="tx1"/>
            </w14:solidFill>
          </w14:textFill>
        </w:rPr>
        <w:t>要求，现对本部门</w:t>
      </w:r>
      <w:r>
        <w:rPr>
          <w:rFonts w:hint="eastAsia" w:ascii="宋体" w:hAnsi="宋体" w:cs="宋体"/>
          <w:color w:val="000000" w:themeColor="text1"/>
          <w:spacing w:val="-3"/>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单位</w:t>
      </w:r>
      <w:r>
        <w:rPr>
          <w:rFonts w:hint="eastAsia" w:ascii="宋体" w:hAnsi="宋体" w:cs="宋体"/>
          <w:color w:val="000000" w:themeColor="text1"/>
          <w:spacing w:val="-7"/>
          <w:highlight w:val="none"/>
          <w14:textFill>
            <w14:solidFill>
              <w14:schemeClr w14:val="tx1"/>
            </w14:solidFill>
          </w14:textFill>
        </w:rPr>
        <w:t>）</w:t>
      </w:r>
      <w:r>
        <w:rPr>
          <w:rFonts w:hint="eastAsia" w:ascii="宋体" w:hAnsi="宋体" w:cs="宋体"/>
          <w:color w:val="000000" w:themeColor="text1"/>
          <w:spacing w:val="-4"/>
          <w:highlight w:val="none"/>
          <w14:textFill>
            <w14:solidFill>
              <w14:schemeClr w14:val="tx1"/>
            </w14:solidFill>
          </w14:textFill>
        </w:rPr>
        <w:t>××年面向中小企业预留项目执行情况公告如下：</w:t>
      </w:r>
    </w:p>
    <w:p>
      <w:pPr>
        <w:pStyle w:val="2"/>
        <w:tabs>
          <w:tab w:val="left" w:pos="562"/>
          <w:tab w:val="left" w:pos="3372"/>
          <w:tab w:val="left" w:pos="3653"/>
        </w:tabs>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本部门（单位）××年预留项目面向中小企业采购共计××万元，其中，面向小微企业采购××万元，占××%。</w:t>
      </w:r>
    </w:p>
    <w:p>
      <w:pPr>
        <w:pStyle w:val="2"/>
        <w:tabs>
          <w:tab w:val="left" w:pos="562"/>
          <w:tab w:val="left" w:pos="3372"/>
          <w:tab w:val="left" w:pos="3653"/>
        </w:tabs>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面向中小企业预留项目明细</w:t>
      </w:r>
    </w:p>
    <w:tbl>
      <w:tblPr>
        <w:tblStyle w:val="24"/>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57"/>
              <w:jc w:val="center"/>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序号</w:t>
            </w:r>
          </w:p>
        </w:tc>
        <w:tc>
          <w:tcPr>
            <w:tcW w:w="1866" w:type="dxa"/>
            <w:vAlign w:val="center"/>
          </w:tcPr>
          <w:p>
            <w:pPr>
              <w:pStyle w:val="57"/>
              <w:jc w:val="center"/>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项目名称</w:t>
            </w:r>
          </w:p>
        </w:tc>
        <w:tc>
          <w:tcPr>
            <w:tcW w:w="2010" w:type="dxa"/>
            <w:vAlign w:val="center"/>
          </w:tcPr>
          <w:p>
            <w:pPr>
              <w:pStyle w:val="57"/>
              <w:jc w:val="center"/>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预留选项</w:t>
            </w:r>
          </w:p>
        </w:tc>
        <w:tc>
          <w:tcPr>
            <w:tcW w:w="2296" w:type="dxa"/>
            <w:vAlign w:val="center"/>
          </w:tcPr>
          <w:p>
            <w:pPr>
              <w:pStyle w:val="57"/>
              <w:jc w:val="center"/>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面向中小企业采购金额</w:t>
            </w:r>
          </w:p>
        </w:tc>
        <w:tc>
          <w:tcPr>
            <w:tcW w:w="1784" w:type="dxa"/>
            <w:vAlign w:val="center"/>
          </w:tcPr>
          <w:p>
            <w:pPr>
              <w:pStyle w:val="57"/>
              <w:jc w:val="center"/>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57"/>
              <w:jc w:val="center"/>
              <w:rPr>
                <w:color w:val="000000" w:themeColor="text1"/>
                <w:sz w:val="24"/>
                <w:szCs w:val="24"/>
                <w:highlight w:val="none"/>
                <w14:textFill>
                  <w14:solidFill>
                    <w14:schemeClr w14:val="tx1"/>
                  </w14:solidFill>
                </w14:textFill>
              </w:rPr>
            </w:pPr>
          </w:p>
        </w:tc>
        <w:tc>
          <w:tcPr>
            <w:tcW w:w="1866" w:type="dxa"/>
            <w:tcBorders>
              <w:bottom w:val="nil"/>
            </w:tcBorders>
            <w:vAlign w:val="center"/>
          </w:tcPr>
          <w:p>
            <w:pPr>
              <w:pStyle w:val="57"/>
              <w:jc w:val="center"/>
              <w:rPr>
                <w:color w:val="000000" w:themeColor="text1"/>
                <w:sz w:val="24"/>
                <w:szCs w:val="24"/>
                <w:highlight w:val="none"/>
                <w14:textFill>
                  <w14:solidFill>
                    <w14:schemeClr w14:val="tx1"/>
                  </w14:solidFill>
                </w14:textFill>
              </w:rPr>
            </w:pPr>
          </w:p>
        </w:tc>
        <w:tc>
          <w:tcPr>
            <w:tcW w:w="2010" w:type="dxa"/>
            <w:tcBorders>
              <w:bottom w:val="nil"/>
            </w:tcBorders>
            <w:vAlign w:val="center"/>
          </w:tcPr>
          <w:p>
            <w:pPr>
              <w:pStyle w:val="57"/>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（填写“采购项</w:t>
            </w:r>
          </w:p>
        </w:tc>
        <w:tc>
          <w:tcPr>
            <w:tcW w:w="2296" w:type="dxa"/>
            <w:tcBorders>
              <w:bottom w:val="nil"/>
            </w:tcBorders>
            <w:vAlign w:val="center"/>
          </w:tcPr>
          <w:p>
            <w:pPr>
              <w:pStyle w:val="57"/>
              <w:jc w:val="center"/>
              <w:rPr>
                <w:color w:val="000000" w:themeColor="text1"/>
                <w:sz w:val="24"/>
                <w:szCs w:val="24"/>
                <w:highlight w:val="none"/>
                <w14:textFill>
                  <w14:solidFill>
                    <w14:schemeClr w14:val="tx1"/>
                  </w14:solidFill>
                </w14:textFill>
              </w:rPr>
            </w:pPr>
          </w:p>
        </w:tc>
        <w:tc>
          <w:tcPr>
            <w:tcW w:w="1784" w:type="dxa"/>
            <w:vMerge w:val="restart"/>
            <w:vAlign w:val="center"/>
          </w:tcPr>
          <w:p>
            <w:pPr>
              <w:pStyle w:val="57"/>
              <w:jc w:val="center"/>
              <w:rPr>
                <w:color w:val="000000" w:themeColor="text1"/>
                <w:sz w:val="24"/>
                <w:szCs w:val="24"/>
                <w:highlight w:val="none"/>
                <w14:textFill>
                  <w14:solidFill>
                    <w14:schemeClr w14:val="tx1"/>
                  </w14:solidFill>
                </w14:textFill>
              </w:rPr>
            </w:pPr>
          </w:p>
          <w:p>
            <w:pPr>
              <w:pStyle w:val="57"/>
              <w:jc w:val="center"/>
              <w:rPr>
                <w:color w:val="000000" w:themeColor="text1"/>
                <w:sz w:val="24"/>
                <w:szCs w:val="24"/>
                <w:highlight w:val="none"/>
                <w14:textFill>
                  <w14:solidFill>
                    <w14:schemeClr w14:val="tx1"/>
                  </w14:solidFill>
                </w14:textFill>
              </w:rPr>
            </w:pPr>
          </w:p>
          <w:p>
            <w:pPr>
              <w:pStyle w:val="57"/>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1866" w:type="dxa"/>
            <w:tcBorders>
              <w:top w:val="nil"/>
              <w:bottom w:val="nil"/>
            </w:tcBorders>
            <w:vAlign w:val="center"/>
          </w:tcPr>
          <w:p>
            <w:pPr>
              <w:pStyle w:val="57"/>
              <w:jc w:val="center"/>
              <w:rPr>
                <w:color w:val="000000" w:themeColor="text1"/>
                <w:sz w:val="24"/>
                <w:szCs w:val="24"/>
                <w:highlight w:val="none"/>
                <w14:textFill>
                  <w14:solidFill>
                    <w14:schemeClr w14:val="tx1"/>
                  </w14:solidFill>
                </w14:textFill>
              </w:rPr>
            </w:pPr>
          </w:p>
        </w:tc>
        <w:tc>
          <w:tcPr>
            <w:tcW w:w="2010" w:type="dxa"/>
            <w:tcBorders>
              <w:top w:val="nil"/>
              <w:bottom w:val="nil"/>
            </w:tcBorders>
            <w:vAlign w:val="center"/>
          </w:tcPr>
          <w:p>
            <w:pPr>
              <w:pStyle w:val="57"/>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目整体预留”、</w:t>
            </w:r>
          </w:p>
        </w:tc>
        <w:tc>
          <w:tcPr>
            <w:tcW w:w="2296" w:type="dxa"/>
            <w:tcBorders>
              <w:top w:val="nil"/>
              <w:bottom w:val="nil"/>
            </w:tcBorders>
            <w:vAlign w:val="center"/>
          </w:tcPr>
          <w:p>
            <w:pPr>
              <w:pStyle w:val="57"/>
              <w:jc w:val="center"/>
              <w:rPr>
                <w:color w:val="000000" w:themeColor="text1"/>
                <w:sz w:val="24"/>
                <w:szCs w:val="24"/>
                <w:highlight w:val="none"/>
                <w14:textFill>
                  <w14:solidFill>
                    <w14:schemeClr w14:val="tx1"/>
                  </w14:solidFill>
                </w14:textFill>
              </w:rPr>
            </w:pPr>
          </w:p>
        </w:tc>
        <w:tc>
          <w:tcPr>
            <w:tcW w:w="1784" w:type="dxa"/>
            <w:vMerge w:val="continue"/>
            <w:tcBorders>
              <w:top w:val="nil"/>
            </w:tcBorders>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1866" w:type="dxa"/>
            <w:tcBorders>
              <w:top w:val="nil"/>
              <w:bottom w:val="nil"/>
            </w:tcBorders>
            <w:vAlign w:val="center"/>
          </w:tcPr>
          <w:p>
            <w:pPr>
              <w:pStyle w:val="57"/>
              <w:jc w:val="center"/>
              <w:rPr>
                <w:color w:val="000000" w:themeColor="text1"/>
                <w:sz w:val="24"/>
                <w:szCs w:val="24"/>
                <w:highlight w:val="none"/>
                <w14:textFill>
                  <w14:solidFill>
                    <w14:schemeClr w14:val="tx1"/>
                  </w14:solidFill>
                </w14:textFill>
              </w:rPr>
            </w:pPr>
          </w:p>
        </w:tc>
        <w:tc>
          <w:tcPr>
            <w:tcW w:w="2010" w:type="dxa"/>
            <w:tcBorders>
              <w:top w:val="nil"/>
              <w:bottom w:val="nil"/>
            </w:tcBorders>
            <w:vAlign w:val="center"/>
          </w:tcPr>
          <w:p>
            <w:pPr>
              <w:pStyle w:val="57"/>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“设置专门采购</w:t>
            </w:r>
          </w:p>
        </w:tc>
        <w:tc>
          <w:tcPr>
            <w:tcW w:w="2296" w:type="dxa"/>
            <w:tcBorders>
              <w:top w:val="nil"/>
              <w:bottom w:val="nil"/>
            </w:tcBorders>
            <w:vAlign w:val="center"/>
          </w:tcPr>
          <w:p>
            <w:pPr>
              <w:pStyle w:val="57"/>
              <w:jc w:val="center"/>
              <w:rPr>
                <w:color w:val="000000" w:themeColor="text1"/>
                <w:sz w:val="24"/>
                <w:szCs w:val="24"/>
                <w:highlight w:val="none"/>
                <w14:textFill>
                  <w14:solidFill>
                    <w14:schemeClr w14:val="tx1"/>
                  </w14:solidFill>
                </w14:textFill>
              </w:rPr>
            </w:pPr>
          </w:p>
        </w:tc>
        <w:tc>
          <w:tcPr>
            <w:tcW w:w="1784" w:type="dxa"/>
            <w:vMerge w:val="continue"/>
            <w:tcBorders>
              <w:top w:val="nil"/>
            </w:tcBorders>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1866" w:type="dxa"/>
            <w:tcBorders>
              <w:top w:val="nil"/>
              <w:bottom w:val="nil"/>
            </w:tcBorders>
            <w:vAlign w:val="center"/>
          </w:tcPr>
          <w:p>
            <w:pPr>
              <w:pStyle w:val="57"/>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（填写集中采</w:t>
            </w:r>
          </w:p>
        </w:tc>
        <w:tc>
          <w:tcPr>
            <w:tcW w:w="2010" w:type="dxa"/>
            <w:tcBorders>
              <w:top w:val="nil"/>
              <w:bottom w:val="nil"/>
            </w:tcBorders>
            <w:vAlign w:val="center"/>
          </w:tcPr>
          <w:p>
            <w:pPr>
              <w:pStyle w:val="57"/>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包”、“要求以</w:t>
            </w:r>
          </w:p>
        </w:tc>
        <w:tc>
          <w:tcPr>
            <w:tcW w:w="2296" w:type="dxa"/>
            <w:tcBorders>
              <w:top w:val="nil"/>
              <w:bottom w:val="nil"/>
            </w:tcBorders>
            <w:vAlign w:val="center"/>
          </w:tcPr>
          <w:p>
            <w:pPr>
              <w:pStyle w:val="57"/>
              <w:jc w:val="center"/>
              <w:rPr>
                <w:color w:val="000000" w:themeColor="text1"/>
                <w:sz w:val="24"/>
                <w:szCs w:val="24"/>
                <w:highlight w:val="none"/>
                <w14:textFill>
                  <w14:solidFill>
                    <w14:schemeClr w14:val="tx1"/>
                  </w14:solidFill>
                </w14:textFill>
              </w:rPr>
            </w:pPr>
          </w:p>
        </w:tc>
        <w:tc>
          <w:tcPr>
            <w:tcW w:w="1784" w:type="dxa"/>
            <w:vMerge w:val="continue"/>
            <w:tcBorders>
              <w:top w:val="nil"/>
            </w:tcBorders>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1866" w:type="dxa"/>
            <w:tcBorders>
              <w:top w:val="nil"/>
              <w:bottom w:val="nil"/>
            </w:tcBorders>
            <w:vAlign w:val="center"/>
          </w:tcPr>
          <w:p>
            <w:pPr>
              <w:pStyle w:val="57"/>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购目录以内或</w:t>
            </w:r>
          </w:p>
        </w:tc>
        <w:tc>
          <w:tcPr>
            <w:tcW w:w="2010" w:type="dxa"/>
            <w:tcBorders>
              <w:top w:val="nil"/>
              <w:bottom w:val="nil"/>
            </w:tcBorders>
            <w:vAlign w:val="center"/>
          </w:tcPr>
          <w:p>
            <w:pPr>
              <w:pStyle w:val="57"/>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联合体形式参</w:t>
            </w:r>
          </w:p>
        </w:tc>
        <w:tc>
          <w:tcPr>
            <w:tcW w:w="2296" w:type="dxa"/>
            <w:tcBorders>
              <w:top w:val="nil"/>
              <w:bottom w:val="nil"/>
            </w:tcBorders>
            <w:vAlign w:val="center"/>
          </w:tcPr>
          <w:p>
            <w:pPr>
              <w:pStyle w:val="57"/>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（精确到万元）</w:t>
            </w:r>
          </w:p>
        </w:tc>
        <w:tc>
          <w:tcPr>
            <w:tcW w:w="1784" w:type="dxa"/>
            <w:vMerge w:val="continue"/>
            <w:tcBorders>
              <w:top w:val="nil"/>
            </w:tcBorders>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1866" w:type="dxa"/>
            <w:tcBorders>
              <w:top w:val="nil"/>
              <w:bottom w:val="nil"/>
            </w:tcBorders>
            <w:vAlign w:val="center"/>
          </w:tcPr>
          <w:p>
            <w:pPr>
              <w:pStyle w:val="57"/>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者采购限额标</w:t>
            </w:r>
          </w:p>
        </w:tc>
        <w:tc>
          <w:tcPr>
            <w:tcW w:w="2010" w:type="dxa"/>
            <w:tcBorders>
              <w:top w:val="nil"/>
              <w:bottom w:val="nil"/>
            </w:tcBorders>
            <w:vAlign w:val="center"/>
          </w:tcPr>
          <w:p>
            <w:pPr>
              <w:pStyle w:val="57"/>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加”或者“要求</w:t>
            </w:r>
          </w:p>
        </w:tc>
        <w:tc>
          <w:tcPr>
            <w:tcW w:w="2296" w:type="dxa"/>
            <w:tcBorders>
              <w:top w:val="nil"/>
              <w:bottom w:val="nil"/>
            </w:tcBorders>
            <w:vAlign w:val="center"/>
          </w:tcPr>
          <w:p>
            <w:pPr>
              <w:pStyle w:val="57"/>
              <w:jc w:val="center"/>
              <w:rPr>
                <w:color w:val="000000" w:themeColor="text1"/>
                <w:sz w:val="24"/>
                <w:szCs w:val="24"/>
                <w:highlight w:val="none"/>
                <w14:textFill>
                  <w14:solidFill>
                    <w14:schemeClr w14:val="tx1"/>
                  </w14:solidFill>
                </w14:textFill>
              </w:rPr>
            </w:pPr>
          </w:p>
        </w:tc>
        <w:tc>
          <w:tcPr>
            <w:tcW w:w="1784" w:type="dxa"/>
            <w:vMerge w:val="continue"/>
            <w:tcBorders>
              <w:top w:val="nil"/>
            </w:tcBorders>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1866" w:type="dxa"/>
            <w:tcBorders>
              <w:top w:val="nil"/>
              <w:bottom w:val="nil"/>
            </w:tcBorders>
            <w:vAlign w:val="center"/>
          </w:tcPr>
          <w:p>
            <w:pPr>
              <w:pStyle w:val="57"/>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准以上的采购项目</w:t>
            </w:r>
          </w:p>
        </w:tc>
        <w:tc>
          <w:tcPr>
            <w:tcW w:w="2010" w:type="dxa"/>
            <w:tcBorders>
              <w:top w:val="nil"/>
              <w:bottom w:val="nil"/>
            </w:tcBorders>
            <w:vAlign w:val="center"/>
          </w:tcPr>
          <w:p>
            <w:pPr>
              <w:pStyle w:val="57"/>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合同分包”，除</w:t>
            </w:r>
          </w:p>
        </w:tc>
        <w:tc>
          <w:tcPr>
            <w:tcW w:w="2296" w:type="dxa"/>
            <w:tcBorders>
              <w:top w:val="nil"/>
              <w:bottom w:val="nil"/>
            </w:tcBorders>
            <w:vAlign w:val="center"/>
          </w:tcPr>
          <w:p>
            <w:pPr>
              <w:pStyle w:val="57"/>
              <w:jc w:val="center"/>
              <w:rPr>
                <w:color w:val="000000" w:themeColor="text1"/>
                <w:sz w:val="24"/>
                <w:szCs w:val="24"/>
                <w:highlight w:val="none"/>
                <w14:textFill>
                  <w14:solidFill>
                    <w14:schemeClr w14:val="tx1"/>
                  </w14:solidFill>
                </w14:textFill>
              </w:rPr>
            </w:pPr>
          </w:p>
        </w:tc>
        <w:tc>
          <w:tcPr>
            <w:tcW w:w="1784" w:type="dxa"/>
            <w:vMerge w:val="continue"/>
            <w:tcBorders>
              <w:top w:val="nil"/>
            </w:tcBorders>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1866" w:type="dxa"/>
            <w:tcBorders>
              <w:top w:val="nil"/>
              <w:bottom w:val="nil"/>
            </w:tcBorders>
            <w:vAlign w:val="center"/>
          </w:tcPr>
          <w:p>
            <w:pPr>
              <w:pStyle w:val="57"/>
              <w:jc w:val="center"/>
              <w:rPr>
                <w:color w:val="000000" w:themeColor="text1"/>
                <w:sz w:val="24"/>
                <w:szCs w:val="24"/>
                <w:highlight w:val="none"/>
                <w14:textFill>
                  <w14:solidFill>
                    <w14:schemeClr w14:val="tx1"/>
                  </w14:solidFill>
                </w14:textFill>
              </w:rPr>
            </w:pPr>
          </w:p>
        </w:tc>
        <w:tc>
          <w:tcPr>
            <w:tcW w:w="2010" w:type="dxa"/>
            <w:tcBorders>
              <w:top w:val="nil"/>
              <w:bottom w:val="nil"/>
            </w:tcBorders>
            <w:vAlign w:val="center"/>
          </w:tcPr>
          <w:p>
            <w:pPr>
              <w:pStyle w:val="57"/>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“采购项目全部</w:t>
            </w:r>
          </w:p>
        </w:tc>
        <w:tc>
          <w:tcPr>
            <w:tcW w:w="2296" w:type="dxa"/>
            <w:tcBorders>
              <w:top w:val="nil"/>
              <w:bottom w:val="nil"/>
            </w:tcBorders>
            <w:vAlign w:val="center"/>
          </w:tcPr>
          <w:p>
            <w:pPr>
              <w:pStyle w:val="57"/>
              <w:jc w:val="center"/>
              <w:rPr>
                <w:color w:val="000000" w:themeColor="text1"/>
                <w:sz w:val="24"/>
                <w:szCs w:val="24"/>
                <w:highlight w:val="none"/>
                <w14:textFill>
                  <w14:solidFill>
                    <w14:schemeClr w14:val="tx1"/>
                  </w14:solidFill>
                </w14:textFill>
              </w:rPr>
            </w:pPr>
          </w:p>
        </w:tc>
        <w:tc>
          <w:tcPr>
            <w:tcW w:w="1784" w:type="dxa"/>
            <w:vMerge w:val="continue"/>
            <w:tcBorders>
              <w:top w:val="nil"/>
            </w:tcBorders>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1866" w:type="dxa"/>
            <w:tcBorders>
              <w:top w:val="nil"/>
              <w:bottom w:val="nil"/>
            </w:tcBorders>
            <w:vAlign w:val="center"/>
          </w:tcPr>
          <w:p>
            <w:pPr>
              <w:pStyle w:val="57"/>
              <w:jc w:val="center"/>
              <w:rPr>
                <w:color w:val="000000" w:themeColor="text1"/>
                <w:sz w:val="24"/>
                <w:szCs w:val="24"/>
                <w:highlight w:val="none"/>
                <w14:textFill>
                  <w14:solidFill>
                    <w14:schemeClr w14:val="tx1"/>
                  </w14:solidFill>
                </w14:textFill>
              </w:rPr>
            </w:pPr>
          </w:p>
        </w:tc>
        <w:tc>
          <w:tcPr>
            <w:tcW w:w="2010" w:type="dxa"/>
            <w:tcBorders>
              <w:top w:val="nil"/>
              <w:bottom w:val="nil"/>
            </w:tcBorders>
            <w:vAlign w:val="center"/>
          </w:tcPr>
          <w:p>
            <w:pPr>
              <w:pStyle w:val="57"/>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预留”外，还应</w:t>
            </w:r>
          </w:p>
        </w:tc>
        <w:tc>
          <w:tcPr>
            <w:tcW w:w="2296" w:type="dxa"/>
            <w:tcBorders>
              <w:top w:val="nil"/>
              <w:bottom w:val="nil"/>
            </w:tcBorders>
            <w:vAlign w:val="center"/>
          </w:tcPr>
          <w:p>
            <w:pPr>
              <w:pStyle w:val="57"/>
              <w:jc w:val="center"/>
              <w:rPr>
                <w:color w:val="000000" w:themeColor="text1"/>
                <w:sz w:val="24"/>
                <w:szCs w:val="24"/>
                <w:highlight w:val="none"/>
                <w14:textFill>
                  <w14:solidFill>
                    <w14:schemeClr w14:val="tx1"/>
                  </w14:solidFill>
                </w14:textFill>
              </w:rPr>
            </w:pPr>
          </w:p>
        </w:tc>
        <w:tc>
          <w:tcPr>
            <w:tcW w:w="1784" w:type="dxa"/>
            <w:vMerge w:val="continue"/>
            <w:tcBorders>
              <w:top w:val="nil"/>
            </w:tcBorders>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1866" w:type="dxa"/>
            <w:tcBorders>
              <w:top w:val="nil"/>
              <w:bottom w:val="nil"/>
            </w:tcBorders>
            <w:vAlign w:val="center"/>
          </w:tcPr>
          <w:p>
            <w:pPr>
              <w:pStyle w:val="57"/>
              <w:jc w:val="center"/>
              <w:rPr>
                <w:color w:val="000000" w:themeColor="text1"/>
                <w:sz w:val="24"/>
                <w:szCs w:val="24"/>
                <w:highlight w:val="none"/>
                <w14:textFill>
                  <w14:solidFill>
                    <w14:schemeClr w14:val="tx1"/>
                  </w14:solidFill>
                </w14:textFill>
              </w:rPr>
            </w:pPr>
          </w:p>
        </w:tc>
        <w:tc>
          <w:tcPr>
            <w:tcW w:w="2010" w:type="dxa"/>
            <w:tcBorders>
              <w:top w:val="nil"/>
              <w:bottom w:val="nil"/>
            </w:tcBorders>
            <w:vAlign w:val="center"/>
          </w:tcPr>
          <w:p>
            <w:pPr>
              <w:pStyle w:val="57"/>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当填写预留给中</w:t>
            </w:r>
          </w:p>
        </w:tc>
        <w:tc>
          <w:tcPr>
            <w:tcW w:w="2296" w:type="dxa"/>
            <w:tcBorders>
              <w:top w:val="nil"/>
              <w:bottom w:val="nil"/>
            </w:tcBorders>
            <w:vAlign w:val="center"/>
          </w:tcPr>
          <w:p>
            <w:pPr>
              <w:pStyle w:val="57"/>
              <w:jc w:val="center"/>
              <w:rPr>
                <w:color w:val="000000" w:themeColor="text1"/>
                <w:sz w:val="24"/>
                <w:szCs w:val="24"/>
                <w:highlight w:val="none"/>
                <w14:textFill>
                  <w14:solidFill>
                    <w14:schemeClr w14:val="tx1"/>
                  </w14:solidFill>
                </w14:textFill>
              </w:rPr>
            </w:pPr>
          </w:p>
        </w:tc>
        <w:tc>
          <w:tcPr>
            <w:tcW w:w="1784" w:type="dxa"/>
            <w:vMerge w:val="continue"/>
            <w:tcBorders>
              <w:top w:val="nil"/>
            </w:tcBorders>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color w:val="000000" w:themeColor="text1"/>
                <w:sz w:val="24"/>
                <w:highlight w:val="none"/>
                <w14:textFill>
                  <w14:solidFill>
                    <w14:schemeClr w14:val="tx1"/>
                  </w14:solidFill>
                </w14:textFill>
              </w:rPr>
            </w:pPr>
          </w:p>
        </w:tc>
        <w:tc>
          <w:tcPr>
            <w:tcW w:w="1866" w:type="dxa"/>
            <w:tcBorders>
              <w:top w:val="nil"/>
            </w:tcBorders>
            <w:vAlign w:val="center"/>
          </w:tcPr>
          <w:p>
            <w:pPr>
              <w:pStyle w:val="57"/>
              <w:jc w:val="center"/>
              <w:rPr>
                <w:color w:val="000000" w:themeColor="text1"/>
                <w:sz w:val="24"/>
                <w:szCs w:val="24"/>
                <w:highlight w:val="none"/>
                <w14:textFill>
                  <w14:solidFill>
                    <w14:schemeClr w14:val="tx1"/>
                  </w14:solidFill>
                </w14:textFill>
              </w:rPr>
            </w:pPr>
          </w:p>
        </w:tc>
        <w:tc>
          <w:tcPr>
            <w:tcW w:w="2010" w:type="dxa"/>
            <w:tcBorders>
              <w:top w:val="nil"/>
            </w:tcBorders>
            <w:vAlign w:val="center"/>
          </w:tcPr>
          <w:p>
            <w:pPr>
              <w:pStyle w:val="57"/>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小企业的比例）</w:t>
            </w:r>
          </w:p>
        </w:tc>
        <w:tc>
          <w:tcPr>
            <w:tcW w:w="2296" w:type="dxa"/>
            <w:tcBorders>
              <w:top w:val="nil"/>
            </w:tcBorders>
            <w:vAlign w:val="center"/>
          </w:tcPr>
          <w:p>
            <w:pPr>
              <w:pStyle w:val="57"/>
              <w:jc w:val="center"/>
              <w:rPr>
                <w:color w:val="000000" w:themeColor="text1"/>
                <w:sz w:val="24"/>
                <w:szCs w:val="24"/>
                <w:highlight w:val="none"/>
                <w14:textFill>
                  <w14:solidFill>
                    <w14:schemeClr w14:val="tx1"/>
                  </w14:solidFill>
                </w14:textFill>
              </w:rPr>
            </w:pPr>
          </w:p>
        </w:tc>
        <w:tc>
          <w:tcPr>
            <w:tcW w:w="1784" w:type="dxa"/>
            <w:vMerge w:val="continue"/>
            <w:tcBorders>
              <w:top w:val="nil"/>
            </w:tcBorders>
            <w:vAlign w:val="center"/>
          </w:tcPr>
          <w:p>
            <w:pPr>
              <w:jc w:val="center"/>
              <w:rPr>
                <w:rFonts w:ascii="宋体" w:hAnsi="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57"/>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p>
        </w:tc>
        <w:tc>
          <w:tcPr>
            <w:tcW w:w="1866" w:type="dxa"/>
            <w:vAlign w:val="center"/>
          </w:tcPr>
          <w:p>
            <w:pPr>
              <w:pStyle w:val="57"/>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p>
        </w:tc>
        <w:tc>
          <w:tcPr>
            <w:tcW w:w="2010" w:type="dxa"/>
            <w:vAlign w:val="center"/>
          </w:tcPr>
          <w:p>
            <w:pPr>
              <w:pStyle w:val="57"/>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p>
        </w:tc>
        <w:tc>
          <w:tcPr>
            <w:tcW w:w="2296" w:type="dxa"/>
            <w:vAlign w:val="center"/>
          </w:tcPr>
          <w:p>
            <w:pPr>
              <w:pStyle w:val="57"/>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p>
        </w:tc>
        <w:tc>
          <w:tcPr>
            <w:tcW w:w="1784" w:type="dxa"/>
            <w:vAlign w:val="center"/>
          </w:tcPr>
          <w:p>
            <w:pPr>
              <w:pStyle w:val="57"/>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p>
        </w:tc>
      </w:tr>
    </w:tbl>
    <w:p>
      <w:pPr>
        <w:pStyle w:val="2"/>
        <w:tabs>
          <w:tab w:val="left" w:pos="562"/>
          <w:tab w:val="left" w:pos="3372"/>
          <w:tab w:val="left" w:pos="3653"/>
        </w:tabs>
        <w:spacing w:before="128"/>
        <w:ind w:left="4220" w:right="1843"/>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部门（单位）名称： 日期：</w:t>
      </w:r>
    </w:p>
    <w:p>
      <w:pPr>
        <w:pStyle w:val="2"/>
        <w:tabs>
          <w:tab w:val="left" w:pos="562"/>
          <w:tab w:val="left" w:pos="3372"/>
          <w:tab w:val="left" w:pos="3653"/>
        </w:tabs>
        <w:rPr>
          <w:rFonts w:ascii="宋体" w:hAnsi="宋体" w:cs="宋体"/>
          <w:color w:val="000000" w:themeColor="text1"/>
          <w:highlight w:val="none"/>
          <w14:textFill>
            <w14:solidFill>
              <w14:schemeClr w14:val="tx1"/>
            </w14:solidFill>
          </w14:textFill>
        </w:rPr>
      </w:pPr>
    </w:p>
    <w:p>
      <w:pPr>
        <w:pStyle w:val="21"/>
        <w:jc w:val="both"/>
        <w:outlineLvl w:val="9"/>
        <w:rPr>
          <w:rFonts w:ascii="宋体" w:hAnsi="宋体" w:eastAsia="宋体" w:cs="宋体"/>
          <w:color w:val="000000" w:themeColor="text1"/>
          <w:sz w:val="24"/>
          <w:szCs w:val="24"/>
          <w:highlight w:val="none"/>
          <w14:textFill>
            <w14:solidFill>
              <w14:schemeClr w14:val="tx1"/>
            </w14:solidFill>
          </w14:textFill>
        </w:rPr>
      </w:pPr>
    </w:p>
    <w:p>
      <w:pPr>
        <w:tabs>
          <w:tab w:val="left" w:pos="360"/>
        </w:tabs>
        <w:outlineLvl w:val="1"/>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b/>
          <w:bCs/>
          <w:color w:val="000000" w:themeColor="text1"/>
          <w:sz w:val="24"/>
          <w:highlight w:val="none"/>
          <w14:textFill>
            <w14:solidFill>
              <w14:schemeClr w14:val="tx1"/>
            </w14:solidFill>
          </w14:textFill>
        </w:rPr>
        <w:t>2、工业和信息化部、国家统计局、国家发展和改革委员会、财政部《关于印发〈中小企业划型标准规定〉的通知》（工信部联企〔2011〕300 号）</w:t>
      </w:r>
    </w:p>
    <w:p>
      <w:pPr>
        <w:pStyle w:val="2"/>
        <w:tabs>
          <w:tab w:val="left" w:pos="562"/>
          <w:tab w:val="left" w:pos="3372"/>
          <w:tab w:val="left" w:pos="3653"/>
        </w:tabs>
        <w:rPr>
          <w:rFonts w:ascii="宋体" w:hAnsi="宋体" w:cs="宋体"/>
          <w:color w:val="000000" w:themeColor="text1"/>
          <w:highlight w:val="none"/>
          <w14:textFill>
            <w14:solidFill>
              <w14:schemeClr w14:val="tx1"/>
            </w14:solidFill>
          </w14:textFill>
        </w:rPr>
      </w:pPr>
    </w:p>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关于印发中小企业划型标准规定的通知</w:t>
      </w:r>
    </w:p>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工信部联企业〔2011〕300号</w:t>
      </w:r>
    </w:p>
    <w:p>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各省、自治区、直辖市人民政府，国务院各部委、各直属机构及有关单位： </w:t>
      </w:r>
    </w:p>
    <w:p>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工业和信息化部 国家统计局</w:t>
      </w:r>
    </w:p>
    <w:p>
      <w:pPr>
        <w:ind w:firstLine="480" w:firstLineChars="20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国家发展和改革委员会 财政部</w:t>
      </w:r>
    </w:p>
    <w:p>
      <w:pPr>
        <w:ind w:firstLine="480" w:firstLineChars="20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二○一一年六月十八日</w:t>
      </w:r>
    </w:p>
    <w:p>
      <w:pPr>
        <w:ind w:firstLine="480" w:firstLineChars="200"/>
        <w:rPr>
          <w:rFonts w:ascii="宋体" w:hAnsi="宋体" w:cs="宋体"/>
          <w:color w:val="000000" w:themeColor="text1"/>
          <w:sz w:val="24"/>
          <w:highlight w:val="none"/>
          <w14:textFill>
            <w14:solidFill>
              <w14:schemeClr w14:val="tx1"/>
            </w14:solidFill>
          </w14:textFill>
        </w:rPr>
      </w:pPr>
    </w:p>
    <w:p>
      <w:pPr>
        <w:ind w:firstLine="480" w:firstLineChars="200"/>
        <w:rPr>
          <w:rFonts w:ascii="宋体" w:hAnsi="宋体" w:cs="宋体"/>
          <w:color w:val="000000" w:themeColor="text1"/>
          <w:sz w:val="24"/>
          <w:highlight w:val="none"/>
          <w14:textFill>
            <w14:solidFill>
              <w14:schemeClr w14:val="tx1"/>
            </w14:solidFill>
          </w14:textFill>
        </w:rPr>
      </w:pPr>
    </w:p>
    <w:p>
      <w:pPr>
        <w:ind w:firstLine="480" w:firstLineChars="200"/>
        <w:rPr>
          <w:rFonts w:ascii="宋体" w:hAnsi="宋体" w:cs="宋体"/>
          <w:color w:val="000000" w:themeColor="text1"/>
          <w:sz w:val="24"/>
          <w:highlight w:val="none"/>
          <w14:textFill>
            <w14:solidFill>
              <w14:schemeClr w14:val="tx1"/>
            </w14:solidFill>
          </w14:textFill>
        </w:rPr>
      </w:pPr>
    </w:p>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中小企业划型标准规定 </w:t>
      </w:r>
    </w:p>
    <w:p>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一、根据《中华人民共和国中小企业促进法》和《国务院关于进一步促进中小企业发展的若干意见》(国发〔2009〕36号)，制定本规定。</w:t>
      </w:r>
    </w:p>
    <w:p>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二、中小企业划分为中型、小型、微型三种类型，具体标准根据企业从业人员、营业收入、资产总额等指标，结合行业特点制定。</w:t>
      </w:r>
    </w:p>
    <w:p>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四、各行业划型标准为： </w:t>
      </w:r>
    </w:p>
    <w:p>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五、企业类型的划分以统计部门的统计数据为依据。 </w:t>
      </w:r>
    </w:p>
    <w:p>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六、本规定适用于在中华人民共和国境内依法设立的各类所有制和各种组织形式的企业。个体工商户和本规定以外的行业，参照本规定进行划型。 </w:t>
      </w:r>
    </w:p>
    <w:p>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八、本规定由工业和信息化部、国家统计局会同有关部门根据《国民经济行业分类》修订情况和企业发展变化情况适时修订。 </w:t>
      </w:r>
    </w:p>
    <w:p>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九、本规定由工业和信息化部、国家统计局会同有关部门负责解释。 </w:t>
      </w:r>
    </w:p>
    <w:p>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十、本规定自发布之日起执行，原国家经贸委、原国家计委、财政部和国家统计局2003年颁布的《中小企业标准暂行规定》同时废止。</w:t>
      </w:r>
    </w:p>
    <w:p>
      <w:pPr>
        <w:ind w:firstLine="480" w:firstLineChars="200"/>
        <w:rPr>
          <w:rFonts w:ascii="宋体" w:hAnsi="宋体" w:cs="宋体"/>
          <w:color w:val="000000" w:themeColor="text1"/>
          <w:sz w:val="24"/>
          <w:highlight w:val="none"/>
          <w14:textFill>
            <w14:solidFill>
              <w14:schemeClr w14:val="tx1"/>
            </w14:solidFill>
          </w14:textFill>
        </w:rPr>
      </w:pPr>
    </w:p>
    <w:p>
      <w:pPr>
        <w:pStyle w:val="21"/>
        <w:jc w:val="both"/>
        <w:outlineLvl w:val="9"/>
        <w:rPr>
          <w:rFonts w:ascii="宋体" w:hAnsi="宋体" w:eastAsia="宋体" w:cs="宋体"/>
          <w:color w:val="000000" w:themeColor="text1"/>
          <w:sz w:val="24"/>
          <w:szCs w:val="24"/>
          <w:highlight w:val="none"/>
          <w14:textFill>
            <w14:solidFill>
              <w14:schemeClr w14:val="tx1"/>
            </w14:solidFill>
          </w14:textFill>
        </w:rPr>
      </w:pPr>
    </w:p>
    <w:p>
      <w:pPr>
        <w:pStyle w:val="21"/>
        <w:jc w:val="both"/>
        <w:outlineLvl w:val="9"/>
        <w:rPr>
          <w:rFonts w:ascii="宋体" w:hAnsi="宋体" w:eastAsia="宋体" w:cs="宋体"/>
          <w:color w:val="000000" w:themeColor="text1"/>
          <w:sz w:val="24"/>
          <w:szCs w:val="24"/>
          <w:highlight w:val="none"/>
          <w14:textFill>
            <w14:solidFill>
              <w14:schemeClr w14:val="tx1"/>
            </w14:solidFill>
          </w14:textFill>
        </w:rPr>
      </w:pPr>
    </w:p>
    <w:p>
      <w:pPr>
        <w:tabs>
          <w:tab w:val="left" w:pos="360"/>
        </w:tabs>
        <w:outlineLvl w:val="1"/>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br w:type="page"/>
      </w:r>
      <w:r>
        <w:rPr>
          <w:rFonts w:hint="eastAsia" w:ascii="宋体" w:hAnsi="宋体" w:cs="宋体"/>
          <w:b/>
          <w:bCs/>
          <w:color w:val="000000" w:themeColor="text1"/>
          <w:sz w:val="24"/>
          <w:highlight w:val="none"/>
          <w14:textFill>
            <w14:solidFill>
              <w14:schemeClr w14:val="tx1"/>
            </w14:solidFill>
          </w14:textFill>
        </w:rPr>
        <w:t>3、国家统计局《关于印发〈统计上大中小微型企业划分办法（2017）〉的通知》</w:t>
      </w:r>
    </w:p>
    <w:p>
      <w:pPr>
        <w:widowControl/>
        <w:jc w:val="center"/>
        <w:rPr>
          <w:rFonts w:ascii="宋体" w:hAnsi="宋体" w:cs="宋体"/>
          <w:b/>
          <w:bCs/>
          <w:color w:val="000000" w:themeColor="text1"/>
          <w:kern w:val="0"/>
          <w:sz w:val="24"/>
          <w:highlight w:val="none"/>
          <w14:textFill>
            <w14:solidFill>
              <w14:schemeClr w14:val="tx1"/>
            </w14:solidFill>
          </w14:textFill>
        </w:rPr>
      </w:pPr>
    </w:p>
    <w:p>
      <w:pPr>
        <w:widowControl/>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国家统计局关于印发《统计上大中小微型企业划分办法（2017）》的通知</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p>
      <w:pPr>
        <w:widowControl/>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各省、自治区、直辖市统计局，新疆生产建设兵团统计局，国务院各有关部门，国家统计局各调查总队：</w:t>
      </w:r>
    </w:p>
    <w:p>
      <w:pPr>
        <w:widowControl/>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p>
      <w:pPr>
        <w:widowControl/>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p>
      <w:pPr>
        <w:widowControl/>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附件：《统计上大中小微型企业划分办法（2017）》修订说明</w:t>
      </w:r>
    </w:p>
    <w:p>
      <w:pPr>
        <w:widowControl/>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p>
      <w:pPr>
        <w:widowControl/>
        <w:ind w:firstLine="480" w:firstLineChars="200"/>
        <w:jc w:val="righ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国家统计局</w:t>
      </w:r>
    </w:p>
    <w:p>
      <w:pPr>
        <w:widowControl/>
        <w:ind w:firstLine="480" w:firstLineChars="200"/>
        <w:jc w:val="righ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2017年12月28日</w:t>
      </w:r>
    </w:p>
    <w:p>
      <w:pPr>
        <w:widowControl/>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p>
      <w:pPr>
        <w:widowControl/>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统计上大中小微型企业划分办法（2017）</w:t>
      </w:r>
    </w:p>
    <w:p>
      <w:pPr>
        <w:widowControl/>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二、本办法适用对象为在中华人民共和国境内依法设立的各种组织形式的法人企业或单位。个体工商户参照本办法进行划分。</w:t>
      </w:r>
    </w:p>
    <w:p>
      <w:pPr>
        <w:widowControl/>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四、本办法按照行业门类、大类、中类和组合类别，依据从业人员、营业收入、资产总额等指标或替代指标，将我国的企业划分为大型、中型、小型、微型等四种类型。具体划分标准见附表。</w:t>
      </w:r>
    </w:p>
    <w:p>
      <w:pPr>
        <w:widowControl/>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五、企业划分由政府综合统计部门根据统计年报每年确定一次，定报统计原则上不进行调整。</w:t>
      </w:r>
    </w:p>
    <w:p>
      <w:pPr>
        <w:widowControl/>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六、本办法自印发之日起执行，国家统计局2011年印发的《统计上大中小微型企业划分办法》（国统字〔2011〕75号）同时废止。</w:t>
      </w:r>
    </w:p>
    <w:p>
      <w:pPr>
        <w:widowControl/>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p>
      <w:pPr>
        <w:widowControl/>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附表：统计上大中小微型企业划分标准</w:t>
      </w:r>
    </w:p>
    <w:p>
      <w:pPr>
        <w:widowControl/>
        <w:jc w:val="left"/>
        <w:rPr>
          <w:rFonts w:ascii="宋体" w:hAnsi="宋体" w:cs="宋体"/>
          <w:color w:val="000000" w:themeColor="text1"/>
          <w:kern w:val="0"/>
          <w:sz w:val="24"/>
          <w:highlight w:val="none"/>
          <w14:textFill>
            <w14:solidFill>
              <w14:schemeClr w14:val="tx1"/>
            </w14:solidFill>
          </w14:textFill>
        </w:rPr>
      </w:pP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附表：</w:t>
      </w:r>
    </w:p>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统计上大中小微型企业划分标准</w:t>
      </w:r>
    </w:p>
    <w:tbl>
      <w:tblPr>
        <w:tblStyle w:val="2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行业名称</w:t>
            </w:r>
          </w:p>
        </w:tc>
        <w:tc>
          <w:tcPr>
            <w:tcW w:w="1462"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指标名称</w:t>
            </w:r>
          </w:p>
        </w:tc>
        <w:tc>
          <w:tcPr>
            <w:tcW w:w="727" w:type="dxa"/>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计量</w:t>
            </w:r>
          </w:p>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单位</w:t>
            </w:r>
          </w:p>
        </w:tc>
        <w:tc>
          <w:tcPr>
            <w:tcW w:w="101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大型</w:t>
            </w:r>
          </w:p>
        </w:tc>
        <w:tc>
          <w:tcPr>
            <w:tcW w:w="1664"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中型</w:t>
            </w:r>
          </w:p>
        </w:tc>
        <w:tc>
          <w:tcPr>
            <w:tcW w:w="1446"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小型</w:t>
            </w:r>
          </w:p>
        </w:tc>
        <w:tc>
          <w:tcPr>
            <w:tcW w:w="793"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农、林、牧、渔业</w:t>
            </w:r>
          </w:p>
        </w:tc>
        <w:tc>
          <w:tcPr>
            <w:tcW w:w="1462"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营业收入(Y)</w:t>
            </w:r>
          </w:p>
        </w:tc>
        <w:tc>
          <w:tcPr>
            <w:tcW w:w="727"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Y≥20000</w:t>
            </w:r>
          </w:p>
        </w:tc>
        <w:tc>
          <w:tcPr>
            <w:tcW w:w="1664"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500≤Y＜20000</w:t>
            </w:r>
          </w:p>
        </w:tc>
        <w:tc>
          <w:tcPr>
            <w:tcW w:w="1446"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50≤Y＜500</w:t>
            </w:r>
          </w:p>
        </w:tc>
        <w:tc>
          <w:tcPr>
            <w:tcW w:w="793"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工业 *</w:t>
            </w:r>
          </w:p>
        </w:tc>
        <w:tc>
          <w:tcPr>
            <w:tcW w:w="1462"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从业人员(X)</w:t>
            </w:r>
          </w:p>
        </w:tc>
        <w:tc>
          <w:tcPr>
            <w:tcW w:w="727"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人</w:t>
            </w:r>
          </w:p>
        </w:tc>
        <w:tc>
          <w:tcPr>
            <w:tcW w:w="101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X≥1000</w:t>
            </w:r>
          </w:p>
        </w:tc>
        <w:tc>
          <w:tcPr>
            <w:tcW w:w="1664"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300≤X＜1000</w:t>
            </w:r>
          </w:p>
        </w:tc>
        <w:tc>
          <w:tcPr>
            <w:tcW w:w="1446"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20≤X＜300</w:t>
            </w:r>
          </w:p>
        </w:tc>
        <w:tc>
          <w:tcPr>
            <w:tcW w:w="793"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c>
          <w:tcPr>
            <w:tcW w:w="1462"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营业收入(Y)</w:t>
            </w:r>
          </w:p>
        </w:tc>
        <w:tc>
          <w:tcPr>
            <w:tcW w:w="727"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Y≥40000</w:t>
            </w:r>
          </w:p>
        </w:tc>
        <w:tc>
          <w:tcPr>
            <w:tcW w:w="1664"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2000≤Y＜40000</w:t>
            </w:r>
          </w:p>
        </w:tc>
        <w:tc>
          <w:tcPr>
            <w:tcW w:w="1446"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300≤Y＜2000</w:t>
            </w:r>
          </w:p>
        </w:tc>
        <w:tc>
          <w:tcPr>
            <w:tcW w:w="793"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建筑业</w:t>
            </w:r>
          </w:p>
        </w:tc>
        <w:tc>
          <w:tcPr>
            <w:tcW w:w="1462"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营业收入(Y)</w:t>
            </w:r>
          </w:p>
        </w:tc>
        <w:tc>
          <w:tcPr>
            <w:tcW w:w="727"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Y≥80000</w:t>
            </w:r>
          </w:p>
        </w:tc>
        <w:tc>
          <w:tcPr>
            <w:tcW w:w="1664"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6000≤Y＜80000</w:t>
            </w:r>
          </w:p>
        </w:tc>
        <w:tc>
          <w:tcPr>
            <w:tcW w:w="1446"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300≤Y＜6000</w:t>
            </w:r>
          </w:p>
        </w:tc>
        <w:tc>
          <w:tcPr>
            <w:tcW w:w="793"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c>
          <w:tcPr>
            <w:tcW w:w="1462"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资产总额(Z)</w:t>
            </w:r>
          </w:p>
        </w:tc>
        <w:tc>
          <w:tcPr>
            <w:tcW w:w="727"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Z≥80000</w:t>
            </w:r>
          </w:p>
        </w:tc>
        <w:tc>
          <w:tcPr>
            <w:tcW w:w="1664"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5000≤Z＜80000</w:t>
            </w:r>
          </w:p>
        </w:tc>
        <w:tc>
          <w:tcPr>
            <w:tcW w:w="1446"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300≤Z＜5000</w:t>
            </w:r>
          </w:p>
        </w:tc>
        <w:tc>
          <w:tcPr>
            <w:tcW w:w="793"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批发业</w:t>
            </w:r>
          </w:p>
        </w:tc>
        <w:tc>
          <w:tcPr>
            <w:tcW w:w="1462"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从业人员(X)</w:t>
            </w:r>
          </w:p>
        </w:tc>
        <w:tc>
          <w:tcPr>
            <w:tcW w:w="727"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人</w:t>
            </w:r>
          </w:p>
        </w:tc>
        <w:tc>
          <w:tcPr>
            <w:tcW w:w="101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X≥200</w:t>
            </w:r>
          </w:p>
        </w:tc>
        <w:tc>
          <w:tcPr>
            <w:tcW w:w="1664"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20≤X＜200</w:t>
            </w:r>
          </w:p>
        </w:tc>
        <w:tc>
          <w:tcPr>
            <w:tcW w:w="1446"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5≤X＜20</w:t>
            </w:r>
          </w:p>
        </w:tc>
        <w:tc>
          <w:tcPr>
            <w:tcW w:w="793"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c>
          <w:tcPr>
            <w:tcW w:w="1462"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营业收入(Y)</w:t>
            </w:r>
          </w:p>
        </w:tc>
        <w:tc>
          <w:tcPr>
            <w:tcW w:w="727"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Y≥40000</w:t>
            </w:r>
          </w:p>
        </w:tc>
        <w:tc>
          <w:tcPr>
            <w:tcW w:w="1664"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5000≤Y＜40000</w:t>
            </w:r>
          </w:p>
        </w:tc>
        <w:tc>
          <w:tcPr>
            <w:tcW w:w="1446"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1000≤Y＜5000</w:t>
            </w:r>
          </w:p>
        </w:tc>
        <w:tc>
          <w:tcPr>
            <w:tcW w:w="793"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零售业</w:t>
            </w:r>
          </w:p>
        </w:tc>
        <w:tc>
          <w:tcPr>
            <w:tcW w:w="1462"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从业人员(X)</w:t>
            </w:r>
          </w:p>
        </w:tc>
        <w:tc>
          <w:tcPr>
            <w:tcW w:w="727"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人</w:t>
            </w:r>
          </w:p>
        </w:tc>
        <w:tc>
          <w:tcPr>
            <w:tcW w:w="101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X≥300</w:t>
            </w:r>
          </w:p>
        </w:tc>
        <w:tc>
          <w:tcPr>
            <w:tcW w:w="1664"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50≤X＜300</w:t>
            </w:r>
          </w:p>
        </w:tc>
        <w:tc>
          <w:tcPr>
            <w:tcW w:w="1446"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10≤X＜50</w:t>
            </w:r>
          </w:p>
        </w:tc>
        <w:tc>
          <w:tcPr>
            <w:tcW w:w="793"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c>
          <w:tcPr>
            <w:tcW w:w="1462"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营业收入(Y)</w:t>
            </w:r>
          </w:p>
        </w:tc>
        <w:tc>
          <w:tcPr>
            <w:tcW w:w="727"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Y≥20000</w:t>
            </w:r>
          </w:p>
        </w:tc>
        <w:tc>
          <w:tcPr>
            <w:tcW w:w="1664"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500≤Y＜20000</w:t>
            </w:r>
          </w:p>
        </w:tc>
        <w:tc>
          <w:tcPr>
            <w:tcW w:w="1446"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100≤Y＜500</w:t>
            </w:r>
          </w:p>
        </w:tc>
        <w:tc>
          <w:tcPr>
            <w:tcW w:w="793"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交通运输业 *</w:t>
            </w:r>
          </w:p>
        </w:tc>
        <w:tc>
          <w:tcPr>
            <w:tcW w:w="1462"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从业人员(X)</w:t>
            </w:r>
          </w:p>
        </w:tc>
        <w:tc>
          <w:tcPr>
            <w:tcW w:w="727"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人</w:t>
            </w:r>
          </w:p>
        </w:tc>
        <w:tc>
          <w:tcPr>
            <w:tcW w:w="101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X≥1000</w:t>
            </w:r>
          </w:p>
        </w:tc>
        <w:tc>
          <w:tcPr>
            <w:tcW w:w="1664"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300≤X＜1000</w:t>
            </w:r>
          </w:p>
        </w:tc>
        <w:tc>
          <w:tcPr>
            <w:tcW w:w="1446"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20≤X＜300</w:t>
            </w:r>
          </w:p>
        </w:tc>
        <w:tc>
          <w:tcPr>
            <w:tcW w:w="793"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c>
          <w:tcPr>
            <w:tcW w:w="1462"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营业收入(Y)</w:t>
            </w:r>
          </w:p>
        </w:tc>
        <w:tc>
          <w:tcPr>
            <w:tcW w:w="727"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Y≥30000</w:t>
            </w:r>
          </w:p>
        </w:tc>
        <w:tc>
          <w:tcPr>
            <w:tcW w:w="1664"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3000≤Y＜30000</w:t>
            </w:r>
          </w:p>
        </w:tc>
        <w:tc>
          <w:tcPr>
            <w:tcW w:w="1446"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200≤Y＜3000</w:t>
            </w:r>
          </w:p>
        </w:tc>
        <w:tc>
          <w:tcPr>
            <w:tcW w:w="793"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仓储业*</w:t>
            </w:r>
          </w:p>
        </w:tc>
        <w:tc>
          <w:tcPr>
            <w:tcW w:w="1462"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从业人员(X)</w:t>
            </w:r>
          </w:p>
        </w:tc>
        <w:tc>
          <w:tcPr>
            <w:tcW w:w="727"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人</w:t>
            </w:r>
          </w:p>
        </w:tc>
        <w:tc>
          <w:tcPr>
            <w:tcW w:w="101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X≥200</w:t>
            </w:r>
          </w:p>
        </w:tc>
        <w:tc>
          <w:tcPr>
            <w:tcW w:w="1664"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100≤X＜200</w:t>
            </w:r>
          </w:p>
        </w:tc>
        <w:tc>
          <w:tcPr>
            <w:tcW w:w="1446"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20≤X＜100</w:t>
            </w:r>
          </w:p>
        </w:tc>
        <w:tc>
          <w:tcPr>
            <w:tcW w:w="793"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c>
          <w:tcPr>
            <w:tcW w:w="1462"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营业收入(Y)</w:t>
            </w:r>
          </w:p>
        </w:tc>
        <w:tc>
          <w:tcPr>
            <w:tcW w:w="727"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Y≥30000</w:t>
            </w:r>
          </w:p>
        </w:tc>
        <w:tc>
          <w:tcPr>
            <w:tcW w:w="1664"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1000≤Y＜30000</w:t>
            </w:r>
          </w:p>
        </w:tc>
        <w:tc>
          <w:tcPr>
            <w:tcW w:w="1446"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100≤Y＜1000</w:t>
            </w:r>
          </w:p>
        </w:tc>
        <w:tc>
          <w:tcPr>
            <w:tcW w:w="793"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邮政业</w:t>
            </w:r>
          </w:p>
        </w:tc>
        <w:tc>
          <w:tcPr>
            <w:tcW w:w="1462"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从业人员(X)</w:t>
            </w:r>
          </w:p>
        </w:tc>
        <w:tc>
          <w:tcPr>
            <w:tcW w:w="727"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人</w:t>
            </w:r>
          </w:p>
        </w:tc>
        <w:tc>
          <w:tcPr>
            <w:tcW w:w="101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X≥1000</w:t>
            </w:r>
          </w:p>
        </w:tc>
        <w:tc>
          <w:tcPr>
            <w:tcW w:w="1664"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300≤X＜1000</w:t>
            </w:r>
          </w:p>
        </w:tc>
        <w:tc>
          <w:tcPr>
            <w:tcW w:w="1446"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20≤X＜300</w:t>
            </w:r>
          </w:p>
        </w:tc>
        <w:tc>
          <w:tcPr>
            <w:tcW w:w="793"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c>
          <w:tcPr>
            <w:tcW w:w="1462"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营业收入(Y)</w:t>
            </w:r>
          </w:p>
        </w:tc>
        <w:tc>
          <w:tcPr>
            <w:tcW w:w="727"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Y≥30000</w:t>
            </w:r>
          </w:p>
        </w:tc>
        <w:tc>
          <w:tcPr>
            <w:tcW w:w="1664"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2000≤Y＜30000</w:t>
            </w:r>
          </w:p>
        </w:tc>
        <w:tc>
          <w:tcPr>
            <w:tcW w:w="1446"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100≤Y＜2000</w:t>
            </w:r>
          </w:p>
        </w:tc>
        <w:tc>
          <w:tcPr>
            <w:tcW w:w="793"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Y＜100</w:t>
            </w:r>
          </w:p>
        </w:tc>
      </w:tr>
      <w:tr>
        <w:tblPrEx>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住宿业</w:t>
            </w:r>
          </w:p>
        </w:tc>
        <w:tc>
          <w:tcPr>
            <w:tcW w:w="1462"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从业人员(X)</w:t>
            </w:r>
          </w:p>
        </w:tc>
        <w:tc>
          <w:tcPr>
            <w:tcW w:w="727"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人</w:t>
            </w:r>
          </w:p>
        </w:tc>
        <w:tc>
          <w:tcPr>
            <w:tcW w:w="101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X≥300</w:t>
            </w:r>
          </w:p>
        </w:tc>
        <w:tc>
          <w:tcPr>
            <w:tcW w:w="1664"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100≤X＜300</w:t>
            </w:r>
          </w:p>
        </w:tc>
        <w:tc>
          <w:tcPr>
            <w:tcW w:w="1446"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10≤X＜100</w:t>
            </w:r>
          </w:p>
        </w:tc>
        <w:tc>
          <w:tcPr>
            <w:tcW w:w="793"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c>
          <w:tcPr>
            <w:tcW w:w="1462"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营业收入(Y)</w:t>
            </w:r>
          </w:p>
        </w:tc>
        <w:tc>
          <w:tcPr>
            <w:tcW w:w="727"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Y≥10000</w:t>
            </w:r>
          </w:p>
        </w:tc>
        <w:tc>
          <w:tcPr>
            <w:tcW w:w="1664"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2000≤Y＜10000</w:t>
            </w:r>
          </w:p>
        </w:tc>
        <w:tc>
          <w:tcPr>
            <w:tcW w:w="1446"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100≤Y＜2000</w:t>
            </w:r>
          </w:p>
        </w:tc>
        <w:tc>
          <w:tcPr>
            <w:tcW w:w="793"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餐饮业</w:t>
            </w:r>
          </w:p>
        </w:tc>
        <w:tc>
          <w:tcPr>
            <w:tcW w:w="1462"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从业人员(X)</w:t>
            </w:r>
          </w:p>
        </w:tc>
        <w:tc>
          <w:tcPr>
            <w:tcW w:w="727"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人</w:t>
            </w:r>
          </w:p>
        </w:tc>
        <w:tc>
          <w:tcPr>
            <w:tcW w:w="101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X≥300</w:t>
            </w:r>
          </w:p>
        </w:tc>
        <w:tc>
          <w:tcPr>
            <w:tcW w:w="1664"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100≤X＜300</w:t>
            </w:r>
          </w:p>
        </w:tc>
        <w:tc>
          <w:tcPr>
            <w:tcW w:w="1446"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10≤X＜100</w:t>
            </w:r>
          </w:p>
        </w:tc>
        <w:tc>
          <w:tcPr>
            <w:tcW w:w="793"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c>
          <w:tcPr>
            <w:tcW w:w="1462"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营业收入(Y)</w:t>
            </w:r>
          </w:p>
        </w:tc>
        <w:tc>
          <w:tcPr>
            <w:tcW w:w="727"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Y≥10000</w:t>
            </w:r>
          </w:p>
        </w:tc>
        <w:tc>
          <w:tcPr>
            <w:tcW w:w="1664"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2000≤Y＜10000</w:t>
            </w:r>
          </w:p>
        </w:tc>
        <w:tc>
          <w:tcPr>
            <w:tcW w:w="1446"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100≤Y＜2000</w:t>
            </w:r>
          </w:p>
        </w:tc>
        <w:tc>
          <w:tcPr>
            <w:tcW w:w="793"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信息传输业 *</w:t>
            </w:r>
          </w:p>
        </w:tc>
        <w:tc>
          <w:tcPr>
            <w:tcW w:w="1462"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从业人员(X)</w:t>
            </w:r>
          </w:p>
        </w:tc>
        <w:tc>
          <w:tcPr>
            <w:tcW w:w="727"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人</w:t>
            </w:r>
          </w:p>
        </w:tc>
        <w:tc>
          <w:tcPr>
            <w:tcW w:w="101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X≥2000</w:t>
            </w:r>
          </w:p>
        </w:tc>
        <w:tc>
          <w:tcPr>
            <w:tcW w:w="1664"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100≤X＜2000</w:t>
            </w:r>
          </w:p>
        </w:tc>
        <w:tc>
          <w:tcPr>
            <w:tcW w:w="1446"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10≤X＜100</w:t>
            </w:r>
          </w:p>
        </w:tc>
        <w:tc>
          <w:tcPr>
            <w:tcW w:w="793"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c>
          <w:tcPr>
            <w:tcW w:w="1462"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营业收入(Y)</w:t>
            </w:r>
          </w:p>
        </w:tc>
        <w:tc>
          <w:tcPr>
            <w:tcW w:w="727"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Y≥100000</w:t>
            </w:r>
          </w:p>
        </w:tc>
        <w:tc>
          <w:tcPr>
            <w:tcW w:w="1664"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1000≤Y＜100000</w:t>
            </w:r>
          </w:p>
        </w:tc>
        <w:tc>
          <w:tcPr>
            <w:tcW w:w="1446"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100≤Y＜1000</w:t>
            </w:r>
          </w:p>
        </w:tc>
        <w:tc>
          <w:tcPr>
            <w:tcW w:w="793"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软件和信息技术服务业</w:t>
            </w:r>
          </w:p>
        </w:tc>
        <w:tc>
          <w:tcPr>
            <w:tcW w:w="1462"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从业人员(X)</w:t>
            </w:r>
          </w:p>
        </w:tc>
        <w:tc>
          <w:tcPr>
            <w:tcW w:w="727"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人</w:t>
            </w:r>
          </w:p>
        </w:tc>
        <w:tc>
          <w:tcPr>
            <w:tcW w:w="101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X≥300</w:t>
            </w:r>
          </w:p>
        </w:tc>
        <w:tc>
          <w:tcPr>
            <w:tcW w:w="1664"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100≤X＜300</w:t>
            </w:r>
          </w:p>
        </w:tc>
        <w:tc>
          <w:tcPr>
            <w:tcW w:w="1446"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10≤X＜100</w:t>
            </w:r>
          </w:p>
        </w:tc>
        <w:tc>
          <w:tcPr>
            <w:tcW w:w="793"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c>
          <w:tcPr>
            <w:tcW w:w="1462"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营业收入(Y)</w:t>
            </w:r>
          </w:p>
        </w:tc>
        <w:tc>
          <w:tcPr>
            <w:tcW w:w="727"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Y≥10000</w:t>
            </w:r>
          </w:p>
        </w:tc>
        <w:tc>
          <w:tcPr>
            <w:tcW w:w="1664"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1000≤Y＜10000</w:t>
            </w:r>
          </w:p>
        </w:tc>
        <w:tc>
          <w:tcPr>
            <w:tcW w:w="1446"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50≤Y＜1000</w:t>
            </w:r>
          </w:p>
        </w:tc>
        <w:tc>
          <w:tcPr>
            <w:tcW w:w="793"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房地产开发经营</w:t>
            </w:r>
          </w:p>
        </w:tc>
        <w:tc>
          <w:tcPr>
            <w:tcW w:w="1462"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营业收入(Y)</w:t>
            </w:r>
          </w:p>
        </w:tc>
        <w:tc>
          <w:tcPr>
            <w:tcW w:w="727"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Y≥200000</w:t>
            </w:r>
          </w:p>
        </w:tc>
        <w:tc>
          <w:tcPr>
            <w:tcW w:w="1664"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1000≤Y＜200000</w:t>
            </w:r>
          </w:p>
        </w:tc>
        <w:tc>
          <w:tcPr>
            <w:tcW w:w="1446"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100≤Y＜1000</w:t>
            </w:r>
          </w:p>
        </w:tc>
        <w:tc>
          <w:tcPr>
            <w:tcW w:w="793"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c>
          <w:tcPr>
            <w:tcW w:w="1462"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资产总额(Z)</w:t>
            </w:r>
          </w:p>
        </w:tc>
        <w:tc>
          <w:tcPr>
            <w:tcW w:w="727"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Z≥10000</w:t>
            </w:r>
          </w:p>
        </w:tc>
        <w:tc>
          <w:tcPr>
            <w:tcW w:w="1664"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5000≤Z＜10000</w:t>
            </w:r>
          </w:p>
        </w:tc>
        <w:tc>
          <w:tcPr>
            <w:tcW w:w="1446"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2000≤Z＜5000</w:t>
            </w:r>
          </w:p>
        </w:tc>
        <w:tc>
          <w:tcPr>
            <w:tcW w:w="793"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物业管理</w:t>
            </w:r>
          </w:p>
        </w:tc>
        <w:tc>
          <w:tcPr>
            <w:tcW w:w="1462"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从业人员(X)</w:t>
            </w:r>
          </w:p>
        </w:tc>
        <w:tc>
          <w:tcPr>
            <w:tcW w:w="727"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人</w:t>
            </w:r>
          </w:p>
        </w:tc>
        <w:tc>
          <w:tcPr>
            <w:tcW w:w="101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X≥1000</w:t>
            </w:r>
          </w:p>
        </w:tc>
        <w:tc>
          <w:tcPr>
            <w:tcW w:w="1664"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300≤X＜1000</w:t>
            </w:r>
          </w:p>
        </w:tc>
        <w:tc>
          <w:tcPr>
            <w:tcW w:w="1446"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100≤X＜300</w:t>
            </w:r>
          </w:p>
        </w:tc>
        <w:tc>
          <w:tcPr>
            <w:tcW w:w="793"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c>
          <w:tcPr>
            <w:tcW w:w="1462"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营业收入(Y)</w:t>
            </w:r>
          </w:p>
        </w:tc>
        <w:tc>
          <w:tcPr>
            <w:tcW w:w="727"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Y≥5000</w:t>
            </w:r>
          </w:p>
        </w:tc>
        <w:tc>
          <w:tcPr>
            <w:tcW w:w="1664"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1000≤Y＜5000</w:t>
            </w:r>
          </w:p>
        </w:tc>
        <w:tc>
          <w:tcPr>
            <w:tcW w:w="1446"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500≤Y＜1000</w:t>
            </w:r>
          </w:p>
        </w:tc>
        <w:tc>
          <w:tcPr>
            <w:tcW w:w="793"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租赁和商务服务业</w:t>
            </w:r>
          </w:p>
        </w:tc>
        <w:tc>
          <w:tcPr>
            <w:tcW w:w="1462"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从业人员(X)</w:t>
            </w:r>
          </w:p>
        </w:tc>
        <w:tc>
          <w:tcPr>
            <w:tcW w:w="727"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人</w:t>
            </w:r>
          </w:p>
        </w:tc>
        <w:tc>
          <w:tcPr>
            <w:tcW w:w="101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X≥300</w:t>
            </w:r>
          </w:p>
        </w:tc>
        <w:tc>
          <w:tcPr>
            <w:tcW w:w="1664"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100≤X＜300</w:t>
            </w:r>
          </w:p>
        </w:tc>
        <w:tc>
          <w:tcPr>
            <w:tcW w:w="1446"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10≤X＜100</w:t>
            </w:r>
          </w:p>
        </w:tc>
        <w:tc>
          <w:tcPr>
            <w:tcW w:w="793"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c>
          <w:tcPr>
            <w:tcW w:w="1462"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资产总额(Z)</w:t>
            </w:r>
          </w:p>
        </w:tc>
        <w:tc>
          <w:tcPr>
            <w:tcW w:w="727"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万元</w:t>
            </w:r>
          </w:p>
        </w:tc>
        <w:tc>
          <w:tcPr>
            <w:tcW w:w="101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Z≥120000</w:t>
            </w:r>
          </w:p>
        </w:tc>
        <w:tc>
          <w:tcPr>
            <w:tcW w:w="1664"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8000≤Z＜120000</w:t>
            </w:r>
          </w:p>
        </w:tc>
        <w:tc>
          <w:tcPr>
            <w:tcW w:w="1446"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100≤Z＜8000</w:t>
            </w:r>
          </w:p>
        </w:tc>
        <w:tc>
          <w:tcPr>
            <w:tcW w:w="793"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其他未列明行业 *</w:t>
            </w:r>
          </w:p>
        </w:tc>
        <w:tc>
          <w:tcPr>
            <w:tcW w:w="1462"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从业人员(X)</w:t>
            </w:r>
          </w:p>
        </w:tc>
        <w:tc>
          <w:tcPr>
            <w:tcW w:w="727"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人</w:t>
            </w:r>
          </w:p>
        </w:tc>
        <w:tc>
          <w:tcPr>
            <w:tcW w:w="101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X≥300</w:t>
            </w:r>
          </w:p>
        </w:tc>
        <w:tc>
          <w:tcPr>
            <w:tcW w:w="1664"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100≤X＜300</w:t>
            </w:r>
          </w:p>
        </w:tc>
        <w:tc>
          <w:tcPr>
            <w:tcW w:w="1446"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10≤X＜100</w:t>
            </w:r>
          </w:p>
        </w:tc>
        <w:tc>
          <w:tcPr>
            <w:tcW w:w="793"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X＜10</w:t>
            </w:r>
          </w:p>
        </w:tc>
      </w:tr>
    </w:tbl>
    <w:p>
      <w:pPr>
        <w:widowControl/>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说明：</w:t>
      </w:r>
    </w:p>
    <w:p>
      <w:pPr>
        <w:widowControl/>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1.大型、中型和小型企业须同时满足所列指标的下限，否则下划一档；微型企业只须满足所列指标中的一项即可。</w:t>
      </w:r>
    </w:p>
    <w:p>
      <w:pPr>
        <w:widowControl/>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tabs>
          <w:tab w:val="left" w:pos="562"/>
          <w:tab w:val="left" w:pos="3372"/>
          <w:tab w:val="left" w:pos="3653"/>
        </w:tabs>
        <w:rPr>
          <w:rFonts w:ascii="宋体" w:hAnsi="宋体" w:cs="宋体"/>
          <w:color w:val="000000" w:themeColor="text1"/>
          <w:highlight w:val="none"/>
          <w14:textFill>
            <w14:solidFill>
              <w14:schemeClr w14:val="tx1"/>
            </w14:solidFill>
          </w14:textFill>
        </w:rPr>
      </w:pPr>
    </w:p>
    <w:p>
      <w:pPr>
        <w:pStyle w:val="21"/>
        <w:outlineLvl w:val="9"/>
        <w:rPr>
          <w:rFonts w:ascii="宋体" w:hAnsi="宋体" w:eastAsia="宋体" w:cs="宋体"/>
          <w:color w:val="000000" w:themeColor="text1"/>
          <w:sz w:val="24"/>
          <w:szCs w:val="24"/>
          <w:highlight w:val="none"/>
          <w14:textFill>
            <w14:solidFill>
              <w14:schemeClr w14:val="tx1"/>
            </w14:solidFill>
          </w14:textFill>
        </w:rPr>
      </w:pPr>
    </w:p>
    <w:p>
      <w:pPr>
        <w:tabs>
          <w:tab w:val="left" w:pos="360"/>
        </w:tabs>
        <w:outlineLvl w:val="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b/>
          <w:bCs/>
          <w:color w:val="000000" w:themeColor="text1"/>
          <w:sz w:val="24"/>
          <w:highlight w:val="none"/>
          <w14:textFill>
            <w14:solidFill>
              <w14:schemeClr w14:val="tx1"/>
            </w14:solidFill>
          </w14:textFill>
        </w:rPr>
        <w:t>4、财政部、民政部、中国残联《关于促进残疾人就业政府采购政策的通知》（财库〔2017〕141 号）</w:t>
      </w:r>
    </w:p>
    <w:p>
      <w:pPr>
        <w:rPr>
          <w:rFonts w:ascii="宋体" w:hAnsi="宋体" w:cs="宋体"/>
          <w:bCs/>
          <w:color w:val="000000" w:themeColor="text1"/>
          <w:sz w:val="24"/>
          <w:highlight w:val="none"/>
          <w14:textFill>
            <w14:solidFill>
              <w14:schemeClr w14:val="tx1"/>
            </w14:solidFill>
          </w14:textFill>
        </w:rPr>
      </w:pPr>
    </w:p>
    <w:p>
      <w:pP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关于促进残疾人就业政府采购政策的通知</w:t>
      </w:r>
    </w:p>
    <w:p>
      <w:pPr>
        <w:pStyle w:val="20"/>
        <w:spacing w:before="0" w:beforeAutospacing="0" w:after="0" w:afterAutospacing="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bookmarkStart w:id="30" w:name="sendNo"/>
      <w:r>
        <w:rPr>
          <w:rFonts w:hint="eastAsia"/>
          <w:color w:val="000000" w:themeColor="text1"/>
          <w:highlight w:val="none"/>
          <w14:textFill>
            <w14:solidFill>
              <w14:schemeClr w14:val="tx1"/>
            </w14:solidFill>
          </w14:textFill>
        </w:rPr>
        <w:t>财库〔</w:t>
      </w:r>
      <w:bookmarkEnd w:id="30"/>
      <w:r>
        <w:rPr>
          <w:rFonts w:hint="eastAsia"/>
          <w:color w:val="000000" w:themeColor="text1"/>
          <w:highlight w:val="none"/>
          <w14:textFill>
            <w14:solidFill>
              <w14:schemeClr w14:val="tx1"/>
            </w14:solidFill>
          </w14:textFill>
        </w:rPr>
        <w:t>2017〕141号</w:t>
      </w:r>
    </w:p>
    <w:p>
      <w:pPr>
        <w:pStyle w:val="20"/>
        <w:spacing w:before="0" w:beforeAutospacing="0" w:after="0" w:afterAutospacing="0"/>
        <w:ind w:firstLine="480" w:firstLineChars="200"/>
        <w:rPr>
          <w:color w:val="000000" w:themeColor="text1"/>
          <w:highlight w:val="none"/>
          <w14:textFill>
            <w14:solidFill>
              <w14:schemeClr w14:val="tx1"/>
            </w14:solidFill>
          </w14:textFill>
        </w:rPr>
      </w:pPr>
      <w:bookmarkStart w:id="31" w:name="toDeptId"/>
      <w:r>
        <w:rPr>
          <w:rFonts w:hint="eastAsia"/>
          <w:color w:val="000000" w:themeColor="text1"/>
          <w:highlight w:val="none"/>
          <w14:textFill>
            <w14:solidFill>
              <w14:schemeClr w14:val="tx1"/>
            </w14:solidFill>
          </w14:textFill>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1"/>
      <w:r>
        <w:rPr>
          <w:rFonts w:hint="eastAsia"/>
          <w:color w:val="000000" w:themeColor="text1"/>
          <w:highlight w:val="none"/>
          <w14:textFill>
            <w14:solidFill>
              <w14:schemeClr w14:val="tx1"/>
            </w14:solidFill>
          </w14:textFill>
        </w:rPr>
        <w:t>：</w:t>
      </w:r>
    </w:p>
    <w:p>
      <w:pPr>
        <w:pStyle w:val="20"/>
        <w:spacing w:before="0" w:beforeAutospacing="0" w:after="0" w:afterAutospacing="0"/>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为了发挥政府采购促进残疾人就业的作用，进一步保障残疾人权益，依照《政府采购法》、《残疾人保障法》等法律法规及相关规定，现就促进残疾人就业政府采购政策通知如下：</w:t>
      </w:r>
    </w:p>
    <w:p>
      <w:pPr>
        <w:pStyle w:val="20"/>
        <w:spacing w:before="0" w:beforeAutospacing="0" w:after="0" w:afterAutospacing="0"/>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一、享受政府采购支持政策的残疾人福利性单位应当同时满足以下条件：</w:t>
      </w:r>
    </w:p>
    <w:p>
      <w:pPr>
        <w:pStyle w:val="20"/>
        <w:spacing w:before="0" w:beforeAutospacing="0" w:after="0" w:afterAutospacing="0"/>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（一）安置的残疾人占本单位在职职工人数的比例不低于25%（含25%），并且安置的残疾人人数不少于10人（含10人）；</w:t>
      </w:r>
    </w:p>
    <w:p>
      <w:pPr>
        <w:pStyle w:val="20"/>
        <w:spacing w:before="0" w:beforeAutospacing="0" w:after="0" w:afterAutospacing="0"/>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（二）依法与安置的每位残疾人签订了一年以上（含一年）的劳动合同或服务协议；</w:t>
      </w:r>
    </w:p>
    <w:p>
      <w:pPr>
        <w:pStyle w:val="20"/>
        <w:spacing w:before="0" w:beforeAutospacing="0" w:after="0" w:afterAutospacing="0"/>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（三）为安置的每位残疾人按月足额缴纳了基本养老保险、基本医疗保险、失业保险、工伤保险和生育保险等社会保险费；</w:t>
      </w:r>
    </w:p>
    <w:p>
      <w:pPr>
        <w:pStyle w:val="20"/>
        <w:spacing w:before="0" w:beforeAutospacing="0" w:after="0" w:afterAutospacing="0"/>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（四）通过银行等金融机构向安置的每位残疾人，按月支付了不低于单位所在区县适用的经省级人民政府批准的月最低工资标准的工资；</w:t>
      </w:r>
    </w:p>
    <w:p>
      <w:pPr>
        <w:pStyle w:val="20"/>
        <w:spacing w:before="0" w:beforeAutospacing="0" w:after="0" w:afterAutospacing="0"/>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pPr>
        <w:pStyle w:val="20"/>
        <w:spacing w:before="0" w:beforeAutospacing="0" w:after="0" w:afterAutospacing="0"/>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0"/>
        <w:spacing w:before="0" w:beforeAutospacing="0" w:after="0" w:afterAutospacing="0"/>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20"/>
        <w:spacing w:before="0" w:beforeAutospacing="0" w:after="0" w:afterAutospacing="0"/>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中标、成交供应商为残疾人福利性单位的，采购人或者其委托的采购代理机构应当随中标、成交结果同时公告其《残疾人福利性单位声明函》，接受社会监督。</w:t>
      </w:r>
    </w:p>
    <w:p>
      <w:pPr>
        <w:pStyle w:val="20"/>
        <w:spacing w:before="0" w:beforeAutospacing="0" w:after="0" w:afterAutospacing="0"/>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供应商提供的《残疾人福利性单位声明函》与事实不符的，依照《政府采购法》第七十七条第一款的规定追究法律责任。</w:t>
      </w:r>
    </w:p>
    <w:p>
      <w:pPr>
        <w:pStyle w:val="20"/>
        <w:spacing w:before="0" w:beforeAutospacing="0" w:after="0" w:afterAutospacing="0"/>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20"/>
        <w:spacing w:before="0" w:beforeAutospacing="0" w:after="0" w:afterAutospacing="0"/>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四、采购人采购公开招标数额标准以上的货物或者服务，因落实促进残疾人就业政策的需要，依法履行有关报批程序后，可采用公开招标以外的采购方式。</w:t>
      </w:r>
    </w:p>
    <w:p>
      <w:pPr>
        <w:pStyle w:val="20"/>
        <w:spacing w:before="0" w:beforeAutospacing="0" w:after="0" w:afterAutospacing="0" w:line="560" w:lineRule="exact"/>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20"/>
        <w:spacing w:before="0" w:beforeAutospacing="0" w:after="0" w:afterAutospacing="0" w:line="560" w:lineRule="exact"/>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20"/>
        <w:spacing w:before="0" w:beforeAutospacing="0" w:after="0" w:afterAutospacing="0" w:line="560" w:lineRule="exact"/>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七、本通知自2017年10月1日起执行。</w:t>
      </w:r>
    </w:p>
    <w:p>
      <w:pPr>
        <w:pStyle w:val="20"/>
        <w:spacing w:before="0" w:beforeAutospacing="0" w:after="0" w:afterAutospacing="0" w:line="560" w:lineRule="exact"/>
        <w:ind w:firstLine="480" w:firstLineChars="200"/>
        <w:jc w:val="righ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财政部 民政部 中国残疾人联合会</w:t>
      </w:r>
    </w:p>
    <w:p>
      <w:pPr>
        <w:pStyle w:val="20"/>
        <w:spacing w:before="0" w:beforeAutospacing="0" w:after="0" w:afterAutospacing="0" w:line="560" w:lineRule="exact"/>
        <w:ind w:firstLine="480" w:firstLineChars="200"/>
        <w:jc w:val="righ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2017年8月22日</w:t>
      </w:r>
    </w:p>
    <w:p>
      <w:pPr>
        <w:pStyle w:val="58"/>
        <w:spacing w:before="0" w:beforeAutospacing="0" w:after="0" w:afterAutospacing="0" w:line="560" w:lineRule="exact"/>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附件：</w:t>
      </w:r>
    </w:p>
    <w:p>
      <w:pPr>
        <w:pStyle w:val="58"/>
        <w:spacing w:before="0" w:beforeAutospacing="0" w:after="0" w:afterAutospacing="0" w:line="560" w:lineRule="exact"/>
        <w:ind w:firstLine="482" w:firstLineChars="200"/>
        <w:jc w:val="center"/>
        <w:rPr>
          <w:color w:val="000000" w:themeColor="text1"/>
          <w:highlight w:val="none"/>
          <w14:textFill>
            <w14:solidFill>
              <w14:schemeClr w14:val="tx1"/>
            </w14:solidFill>
          </w14:textFill>
        </w:rPr>
      </w:pPr>
      <w:r>
        <w:rPr>
          <w:rStyle w:val="41"/>
          <w:rFonts w:hint="eastAsia"/>
          <w:b/>
          <w:bCs/>
          <w:color w:val="000000" w:themeColor="text1"/>
          <w:highlight w:val="none"/>
          <w14:textFill>
            <w14:solidFill>
              <w14:schemeClr w14:val="tx1"/>
            </w14:solidFill>
          </w14:textFill>
        </w:rPr>
        <w:t>残疾人福利性单位声明函</w:t>
      </w:r>
    </w:p>
    <w:p>
      <w:pPr>
        <w:pStyle w:val="58"/>
        <w:spacing w:before="0" w:beforeAutospacing="0" w:after="0" w:afterAutospacing="0" w:line="560" w:lineRule="exact"/>
        <w:ind w:firstLine="480" w:firstLineChars="200"/>
        <w:jc w:val="both"/>
        <w:rPr>
          <w:color w:val="000000" w:themeColor="text1"/>
          <w:highlight w:val="none"/>
          <w14:textFill>
            <w14:solidFill>
              <w14:schemeClr w14:val="tx1"/>
            </w14:solidFill>
          </w14:textFill>
        </w:rPr>
      </w:pPr>
      <w:r>
        <w:rPr>
          <w:rStyle w:val="41"/>
          <w:rFonts w:hint="eastAsia"/>
          <w:color w:val="000000" w:themeColor="text1"/>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8"/>
        <w:spacing w:before="0" w:beforeAutospacing="0" w:after="0" w:afterAutospacing="0" w:line="560" w:lineRule="exact"/>
        <w:ind w:firstLine="480" w:firstLineChars="200"/>
        <w:jc w:val="both"/>
        <w:rPr>
          <w:color w:val="000000" w:themeColor="text1"/>
          <w:highlight w:val="none"/>
          <w14:textFill>
            <w14:solidFill>
              <w14:schemeClr w14:val="tx1"/>
            </w14:solidFill>
          </w14:textFill>
        </w:rPr>
      </w:pPr>
      <w:r>
        <w:rPr>
          <w:rStyle w:val="41"/>
          <w:rFonts w:hint="eastAsia"/>
          <w:color w:val="000000" w:themeColor="text1"/>
          <w:highlight w:val="none"/>
          <w14:textFill>
            <w14:solidFill>
              <w14:schemeClr w14:val="tx1"/>
            </w14:solidFill>
          </w14:textFill>
        </w:rPr>
        <w:t>本单位对上述声明的真实性负责。如有虚假，将依法承担相应责任。</w:t>
      </w:r>
    </w:p>
    <w:p>
      <w:pPr>
        <w:pStyle w:val="58"/>
        <w:spacing w:before="0" w:beforeAutospacing="0" w:after="0" w:afterAutospacing="0" w:line="560" w:lineRule="exact"/>
        <w:ind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投标人已知悉《关于促进残疾人就业政府采购政策的通知》（财库〔2017〕141 号）的规定，承诺提供的声明函内容是真实的，如提供声明函内容不实，则依法追究相关法律责任。</w:t>
      </w:r>
    </w:p>
    <w:p>
      <w:pPr>
        <w:pStyle w:val="58"/>
        <w:spacing w:before="0" w:beforeAutospacing="0" w:after="0" w:afterAutospacing="0" w:line="560" w:lineRule="exact"/>
        <w:ind w:right="2100" w:rightChars="1000"/>
        <w:jc w:val="right"/>
        <w:rPr>
          <w:color w:val="000000" w:themeColor="text1"/>
          <w:highlight w:val="none"/>
          <w14:textFill>
            <w14:solidFill>
              <w14:schemeClr w14:val="tx1"/>
            </w14:solidFill>
          </w14:textFill>
        </w:rPr>
      </w:pPr>
      <w:r>
        <w:rPr>
          <w:rStyle w:val="41"/>
          <w:rFonts w:hint="eastAsia"/>
          <w:color w:val="000000" w:themeColor="text1"/>
          <w:highlight w:val="none"/>
          <w14:textFill>
            <w14:solidFill>
              <w14:schemeClr w14:val="tx1"/>
            </w14:solidFill>
          </w14:textFill>
        </w:rPr>
        <w:t>单位名称（盖章）：</w:t>
      </w:r>
    </w:p>
    <w:p>
      <w:pPr>
        <w:pStyle w:val="58"/>
        <w:spacing w:before="0" w:beforeAutospacing="0" w:after="0" w:afterAutospacing="0" w:line="560" w:lineRule="exact"/>
        <w:ind w:right="2100" w:rightChars="1000"/>
        <w:jc w:val="right"/>
        <w:rPr>
          <w:color w:val="000000" w:themeColor="text1"/>
          <w:highlight w:val="none"/>
          <w:lang w:val="fr-CH"/>
          <w14:textFill>
            <w14:solidFill>
              <w14:schemeClr w14:val="tx1"/>
            </w14:solidFill>
          </w14:textFill>
        </w:rPr>
      </w:pPr>
      <w:r>
        <w:rPr>
          <w:rStyle w:val="41"/>
          <w:rFonts w:hint="eastAsia"/>
          <w:color w:val="000000" w:themeColor="text1"/>
          <w:highlight w:val="none"/>
          <w14:textFill>
            <w14:solidFill>
              <w14:schemeClr w14:val="tx1"/>
            </w14:solidFill>
          </w14:textFill>
        </w:rPr>
        <w:t>日 期：</w:t>
      </w:r>
    </w:p>
    <w:p>
      <w:pPr>
        <w:tabs>
          <w:tab w:val="left" w:pos="640"/>
          <w:tab w:val="left" w:pos="1260"/>
          <w:tab w:val="left" w:pos="1418"/>
        </w:tabs>
        <w:spacing w:line="360" w:lineRule="auto"/>
        <w:ind w:right="-420" w:rightChars="-200"/>
        <w:rPr>
          <w:rFonts w:ascii="宋体" w:hAnsi="宋体" w:cs="宋体"/>
          <w:color w:val="000000" w:themeColor="text1"/>
          <w:sz w:val="24"/>
          <w:highlight w:val="none"/>
          <w:lang w:val="fr-CH"/>
          <w14:textFill>
            <w14:solidFill>
              <w14:schemeClr w14:val="tx1"/>
            </w14:solidFill>
          </w14:textFill>
        </w:rPr>
      </w:pPr>
    </w:p>
    <w:sectPr>
      <w:pgSz w:w="11906" w:h="16838"/>
      <w:pgMar w:top="850" w:right="1803" w:bottom="709"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20B0604020202020204"/>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长城仿宋">
    <w:altName w:val="仿宋"/>
    <w:panose1 w:val="020B0604020202020204"/>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7"/>
        <w:rFonts w:ascii="宋体" w:hAnsi="宋体"/>
        <w:sz w:val="28"/>
        <w:szCs w:val="28"/>
      </w:rPr>
      <w:instrText xml:space="preserve">PAGE  </w:instrText>
    </w:r>
    <w:r>
      <w:rPr>
        <w:rFonts w:ascii="宋体" w:hAnsi="宋体"/>
        <w:sz w:val="28"/>
        <w:szCs w:val="28"/>
      </w:rPr>
      <w:fldChar w:fldCharType="separate"/>
    </w:r>
    <w:r>
      <w:rPr>
        <w:rStyle w:val="27"/>
        <w:rFonts w:ascii="宋体" w:hAnsi="宋体"/>
        <w:sz w:val="28"/>
        <w:szCs w:val="28"/>
      </w:rPr>
      <w:t>29</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7"/>
        <w:rFonts w:ascii="宋体" w:hAnsi="宋体"/>
        <w:sz w:val="28"/>
        <w:szCs w:val="28"/>
      </w:rPr>
      <w:instrText xml:space="preserve">PAGE  </w:instrText>
    </w:r>
    <w:r>
      <w:rPr>
        <w:rFonts w:ascii="宋体" w:hAnsi="宋体"/>
        <w:sz w:val="28"/>
        <w:szCs w:val="28"/>
      </w:rPr>
      <w:fldChar w:fldCharType="separate"/>
    </w:r>
    <w:r>
      <w:rPr>
        <w:rStyle w:val="27"/>
        <w:rFonts w:ascii="宋体" w:hAnsi="宋体"/>
        <w:sz w:val="28"/>
        <w:szCs w:val="28"/>
      </w:rPr>
      <w:t>28</w:t>
    </w:r>
    <w:r>
      <w:rPr>
        <w:rFonts w:ascii="宋体" w:hAnsi="宋体"/>
        <w:sz w:val="28"/>
        <w:szCs w:val="28"/>
      </w:rPr>
      <w:fldChar w:fldCharType="end"/>
    </w:r>
    <w:r>
      <w:rPr>
        <w:rFonts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60EDFBE"/>
    <w:multiLevelType w:val="singleLevel"/>
    <w:tmpl w:val="B60EDFBE"/>
    <w:lvl w:ilvl="0" w:tentative="0">
      <w:start w:val="1"/>
      <w:numFmt w:val="decimal"/>
      <w:suff w:val="nothing"/>
      <w:lvlText w:val="（%1）"/>
      <w:lvlJc w:val="left"/>
    </w:lvl>
  </w:abstractNum>
  <w:abstractNum w:abstractNumId="5">
    <w:nsid w:val="BFFEB4E7"/>
    <w:multiLevelType w:val="singleLevel"/>
    <w:tmpl w:val="BFFEB4E7"/>
    <w:lvl w:ilvl="0" w:tentative="0">
      <w:start w:val="1"/>
      <w:numFmt w:val="decimal"/>
      <w:suff w:val="nothing"/>
      <w:lvlText w:val="（%1）"/>
      <w:lvlJc w:val="left"/>
      <w:pPr>
        <w:ind w:left="480" w:firstLine="0"/>
      </w:pPr>
    </w:lvl>
  </w:abstractNum>
  <w:abstractNum w:abstractNumId="6">
    <w:nsid w:val="CBCC1AFC"/>
    <w:multiLevelType w:val="singleLevel"/>
    <w:tmpl w:val="CBCC1AFC"/>
    <w:lvl w:ilvl="0" w:tentative="0">
      <w:start w:val="5"/>
      <w:numFmt w:val="decimal"/>
      <w:suff w:val="nothing"/>
      <w:lvlText w:val="%1、"/>
      <w:lvlJc w:val="left"/>
    </w:lvl>
  </w:abstractNum>
  <w:abstractNum w:abstractNumId="7">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8">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9">
    <w:nsid w:val="0C3B375A"/>
    <w:multiLevelType w:val="singleLevel"/>
    <w:tmpl w:val="0C3B375A"/>
    <w:lvl w:ilvl="0" w:tentative="0">
      <w:start w:val="1"/>
      <w:numFmt w:val="chineseCounting"/>
      <w:suff w:val="nothing"/>
      <w:lvlText w:val="（%1）"/>
      <w:lvlJc w:val="left"/>
      <w:rPr>
        <w:rFonts w:hint="eastAsia"/>
      </w:rPr>
    </w:lvl>
  </w:abstractNum>
  <w:abstractNum w:abstractNumId="10">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11">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2">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3">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4">
    <w:nsid w:val="65135EC4"/>
    <w:multiLevelType w:val="multilevel"/>
    <w:tmpl w:val="65135EC4"/>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5">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5"/>
  </w:num>
  <w:num w:numId="2">
    <w:abstractNumId w:val="4"/>
  </w:num>
  <w:num w:numId="3">
    <w:abstractNumId w:val="2"/>
  </w:num>
  <w:num w:numId="4">
    <w:abstractNumId w:val="10"/>
  </w:num>
  <w:num w:numId="5">
    <w:abstractNumId w:val="5"/>
  </w:num>
  <w:num w:numId="6">
    <w:abstractNumId w:val="6"/>
  </w:num>
  <w:num w:numId="7">
    <w:abstractNumId w:val="11"/>
  </w:num>
  <w:num w:numId="8">
    <w:abstractNumId w:val="9"/>
  </w:num>
  <w:num w:numId="9">
    <w:abstractNumId w:val="14"/>
  </w:num>
  <w:num w:numId="10">
    <w:abstractNumId w:val="3"/>
  </w:num>
  <w:num w:numId="11">
    <w:abstractNumId w:val="7"/>
  </w:num>
  <w:num w:numId="12">
    <w:abstractNumId w:val="1"/>
  </w:num>
  <w:num w:numId="13">
    <w:abstractNumId w:val="0"/>
  </w:num>
  <w:num w:numId="14">
    <w:abstractNumId w:val="8"/>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evenAndOddHeaders w:val="1"/>
  <w:drawingGridHorizontalSpacing w:val="105"/>
  <w:drawingGridVerticalSpacing w:val="31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wNTM5YmE2YzNmYjFjZjYxZjk4YjQ2NGRhZDhkNjAifQ=="/>
  </w:docVars>
  <w:rsids>
    <w:rsidRoot w:val="009019AF"/>
    <w:rsid w:val="00000AB9"/>
    <w:rsid w:val="00001264"/>
    <w:rsid w:val="00002550"/>
    <w:rsid w:val="000025BB"/>
    <w:rsid w:val="00005408"/>
    <w:rsid w:val="00005C84"/>
    <w:rsid w:val="00005EDA"/>
    <w:rsid w:val="00007106"/>
    <w:rsid w:val="00007BA7"/>
    <w:rsid w:val="00010227"/>
    <w:rsid w:val="00010B3B"/>
    <w:rsid w:val="00011688"/>
    <w:rsid w:val="00012E5F"/>
    <w:rsid w:val="000137FE"/>
    <w:rsid w:val="00015F20"/>
    <w:rsid w:val="0001601F"/>
    <w:rsid w:val="00016E7F"/>
    <w:rsid w:val="00017572"/>
    <w:rsid w:val="000202B7"/>
    <w:rsid w:val="00020BFC"/>
    <w:rsid w:val="0002117A"/>
    <w:rsid w:val="000224FF"/>
    <w:rsid w:val="00023DBE"/>
    <w:rsid w:val="00023F1B"/>
    <w:rsid w:val="00023F96"/>
    <w:rsid w:val="00025386"/>
    <w:rsid w:val="00026265"/>
    <w:rsid w:val="000310A0"/>
    <w:rsid w:val="00031A87"/>
    <w:rsid w:val="00032953"/>
    <w:rsid w:val="000362D8"/>
    <w:rsid w:val="00037AD7"/>
    <w:rsid w:val="0004035A"/>
    <w:rsid w:val="00040D92"/>
    <w:rsid w:val="000448BB"/>
    <w:rsid w:val="0004493F"/>
    <w:rsid w:val="00045D2D"/>
    <w:rsid w:val="00046AA0"/>
    <w:rsid w:val="000504B2"/>
    <w:rsid w:val="0005157D"/>
    <w:rsid w:val="00053D50"/>
    <w:rsid w:val="00056078"/>
    <w:rsid w:val="00061AD3"/>
    <w:rsid w:val="00064C08"/>
    <w:rsid w:val="000654B8"/>
    <w:rsid w:val="000658CA"/>
    <w:rsid w:val="00067C19"/>
    <w:rsid w:val="00070BB4"/>
    <w:rsid w:val="00073E2D"/>
    <w:rsid w:val="00074F8A"/>
    <w:rsid w:val="00077143"/>
    <w:rsid w:val="0007743F"/>
    <w:rsid w:val="000775E5"/>
    <w:rsid w:val="0007776A"/>
    <w:rsid w:val="000804FB"/>
    <w:rsid w:val="0008136D"/>
    <w:rsid w:val="00083B7F"/>
    <w:rsid w:val="00084902"/>
    <w:rsid w:val="00084D07"/>
    <w:rsid w:val="000860DA"/>
    <w:rsid w:val="00091357"/>
    <w:rsid w:val="000939C6"/>
    <w:rsid w:val="00094929"/>
    <w:rsid w:val="00094CB9"/>
    <w:rsid w:val="00096DB5"/>
    <w:rsid w:val="000979A8"/>
    <w:rsid w:val="00097D08"/>
    <w:rsid w:val="00097F95"/>
    <w:rsid w:val="000A0205"/>
    <w:rsid w:val="000A0961"/>
    <w:rsid w:val="000A0BAB"/>
    <w:rsid w:val="000A168F"/>
    <w:rsid w:val="000A2248"/>
    <w:rsid w:val="000A340B"/>
    <w:rsid w:val="000A4229"/>
    <w:rsid w:val="000A5290"/>
    <w:rsid w:val="000A6360"/>
    <w:rsid w:val="000A7018"/>
    <w:rsid w:val="000A7483"/>
    <w:rsid w:val="000A7DFB"/>
    <w:rsid w:val="000B04DD"/>
    <w:rsid w:val="000B0670"/>
    <w:rsid w:val="000B07DA"/>
    <w:rsid w:val="000B1893"/>
    <w:rsid w:val="000B34A3"/>
    <w:rsid w:val="000B5397"/>
    <w:rsid w:val="000B67BF"/>
    <w:rsid w:val="000B67CE"/>
    <w:rsid w:val="000B68C5"/>
    <w:rsid w:val="000B6B36"/>
    <w:rsid w:val="000C2B9F"/>
    <w:rsid w:val="000C33BE"/>
    <w:rsid w:val="000C38EE"/>
    <w:rsid w:val="000C39EF"/>
    <w:rsid w:val="000C3B3B"/>
    <w:rsid w:val="000C3F21"/>
    <w:rsid w:val="000C60A6"/>
    <w:rsid w:val="000C668D"/>
    <w:rsid w:val="000D1981"/>
    <w:rsid w:val="000D3B08"/>
    <w:rsid w:val="000D5728"/>
    <w:rsid w:val="000D679A"/>
    <w:rsid w:val="000D6A66"/>
    <w:rsid w:val="000E1BD4"/>
    <w:rsid w:val="000E25BB"/>
    <w:rsid w:val="000E2706"/>
    <w:rsid w:val="000E41A2"/>
    <w:rsid w:val="000E4DED"/>
    <w:rsid w:val="000E6950"/>
    <w:rsid w:val="000F02CF"/>
    <w:rsid w:val="000F10A0"/>
    <w:rsid w:val="000F31DA"/>
    <w:rsid w:val="000F3EAB"/>
    <w:rsid w:val="000F4212"/>
    <w:rsid w:val="000F4A45"/>
    <w:rsid w:val="000F5BC7"/>
    <w:rsid w:val="000F65F2"/>
    <w:rsid w:val="0010340E"/>
    <w:rsid w:val="00104880"/>
    <w:rsid w:val="001052B0"/>
    <w:rsid w:val="001055A6"/>
    <w:rsid w:val="00105C01"/>
    <w:rsid w:val="001060A6"/>
    <w:rsid w:val="00107F5D"/>
    <w:rsid w:val="001104FB"/>
    <w:rsid w:val="00113B46"/>
    <w:rsid w:val="00114E12"/>
    <w:rsid w:val="00115349"/>
    <w:rsid w:val="001167AD"/>
    <w:rsid w:val="001170A0"/>
    <w:rsid w:val="00120C0F"/>
    <w:rsid w:val="001219F1"/>
    <w:rsid w:val="00122CC4"/>
    <w:rsid w:val="00126551"/>
    <w:rsid w:val="0012710C"/>
    <w:rsid w:val="001275D1"/>
    <w:rsid w:val="00130AF0"/>
    <w:rsid w:val="00132F8C"/>
    <w:rsid w:val="001332D0"/>
    <w:rsid w:val="00133771"/>
    <w:rsid w:val="00133C62"/>
    <w:rsid w:val="001346D2"/>
    <w:rsid w:val="00136645"/>
    <w:rsid w:val="001406F7"/>
    <w:rsid w:val="0014088D"/>
    <w:rsid w:val="00140C84"/>
    <w:rsid w:val="00140EDA"/>
    <w:rsid w:val="00141099"/>
    <w:rsid w:val="00143555"/>
    <w:rsid w:val="001436F3"/>
    <w:rsid w:val="0014556B"/>
    <w:rsid w:val="00146167"/>
    <w:rsid w:val="001514CE"/>
    <w:rsid w:val="00152C64"/>
    <w:rsid w:val="0015317C"/>
    <w:rsid w:val="00153705"/>
    <w:rsid w:val="001538BF"/>
    <w:rsid w:val="00154411"/>
    <w:rsid w:val="00154906"/>
    <w:rsid w:val="00154B7E"/>
    <w:rsid w:val="001579D7"/>
    <w:rsid w:val="0016036A"/>
    <w:rsid w:val="001623FD"/>
    <w:rsid w:val="00163506"/>
    <w:rsid w:val="00163757"/>
    <w:rsid w:val="00163F61"/>
    <w:rsid w:val="001646EE"/>
    <w:rsid w:val="00164AAE"/>
    <w:rsid w:val="001650A6"/>
    <w:rsid w:val="00165F2A"/>
    <w:rsid w:val="00166C2F"/>
    <w:rsid w:val="0017292D"/>
    <w:rsid w:val="00172EFE"/>
    <w:rsid w:val="00173067"/>
    <w:rsid w:val="00174DDD"/>
    <w:rsid w:val="00175536"/>
    <w:rsid w:val="001755DC"/>
    <w:rsid w:val="00175AC4"/>
    <w:rsid w:val="00175CB9"/>
    <w:rsid w:val="00176A4E"/>
    <w:rsid w:val="00181D99"/>
    <w:rsid w:val="00182CEB"/>
    <w:rsid w:val="00184339"/>
    <w:rsid w:val="00184E1A"/>
    <w:rsid w:val="00185C7A"/>
    <w:rsid w:val="00185EB3"/>
    <w:rsid w:val="00185EB5"/>
    <w:rsid w:val="00186BF0"/>
    <w:rsid w:val="00187AD2"/>
    <w:rsid w:val="00191C47"/>
    <w:rsid w:val="00192FA6"/>
    <w:rsid w:val="001930D7"/>
    <w:rsid w:val="00194363"/>
    <w:rsid w:val="00195176"/>
    <w:rsid w:val="00195F80"/>
    <w:rsid w:val="00197DD1"/>
    <w:rsid w:val="00197F0E"/>
    <w:rsid w:val="001A26B0"/>
    <w:rsid w:val="001A34B5"/>
    <w:rsid w:val="001A3A21"/>
    <w:rsid w:val="001A3AB3"/>
    <w:rsid w:val="001A4166"/>
    <w:rsid w:val="001A4902"/>
    <w:rsid w:val="001A5E2C"/>
    <w:rsid w:val="001A6191"/>
    <w:rsid w:val="001A735B"/>
    <w:rsid w:val="001A7F19"/>
    <w:rsid w:val="001B032C"/>
    <w:rsid w:val="001B0E4F"/>
    <w:rsid w:val="001B1679"/>
    <w:rsid w:val="001B1BA1"/>
    <w:rsid w:val="001B20B9"/>
    <w:rsid w:val="001B322C"/>
    <w:rsid w:val="001B3959"/>
    <w:rsid w:val="001B4492"/>
    <w:rsid w:val="001B492B"/>
    <w:rsid w:val="001B4D18"/>
    <w:rsid w:val="001B4EC8"/>
    <w:rsid w:val="001B5226"/>
    <w:rsid w:val="001B533A"/>
    <w:rsid w:val="001B5DC3"/>
    <w:rsid w:val="001B6945"/>
    <w:rsid w:val="001B6B74"/>
    <w:rsid w:val="001B7A9B"/>
    <w:rsid w:val="001C0B90"/>
    <w:rsid w:val="001C0F97"/>
    <w:rsid w:val="001C1163"/>
    <w:rsid w:val="001C1D76"/>
    <w:rsid w:val="001C2A1C"/>
    <w:rsid w:val="001C422F"/>
    <w:rsid w:val="001C4886"/>
    <w:rsid w:val="001C4B48"/>
    <w:rsid w:val="001C7739"/>
    <w:rsid w:val="001D3F68"/>
    <w:rsid w:val="001D4877"/>
    <w:rsid w:val="001D68D1"/>
    <w:rsid w:val="001D7866"/>
    <w:rsid w:val="001D7F42"/>
    <w:rsid w:val="001E00E7"/>
    <w:rsid w:val="001E0B5F"/>
    <w:rsid w:val="001E101D"/>
    <w:rsid w:val="001E40D9"/>
    <w:rsid w:val="001E527B"/>
    <w:rsid w:val="001E53DF"/>
    <w:rsid w:val="001E5476"/>
    <w:rsid w:val="001E5A95"/>
    <w:rsid w:val="001E6133"/>
    <w:rsid w:val="001E6B9F"/>
    <w:rsid w:val="001E7114"/>
    <w:rsid w:val="001E71AB"/>
    <w:rsid w:val="001F0AEF"/>
    <w:rsid w:val="001F16D2"/>
    <w:rsid w:val="001F26FA"/>
    <w:rsid w:val="001F3DBB"/>
    <w:rsid w:val="001F4CB7"/>
    <w:rsid w:val="001F5459"/>
    <w:rsid w:val="001F5AD9"/>
    <w:rsid w:val="001F6823"/>
    <w:rsid w:val="002001DF"/>
    <w:rsid w:val="0020025D"/>
    <w:rsid w:val="002012B5"/>
    <w:rsid w:val="002012E8"/>
    <w:rsid w:val="002019EE"/>
    <w:rsid w:val="00201E40"/>
    <w:rsid w:val="002029F8"/>
    <w:rsid w:val="002041D2"/>
    <w:rsid w:val="00204ADB"/>
    <w:rsid w:val="002051FD"/>
    <w:rsid w:val="00205610"/>
    <w:rsid w:val="002056F2"/>
    <w:rsid w:val="002067F8"/>
    <w:rsid w:val="0021051A"/>
    <w:rsid w:val="00210653"/>
    <w:rsid w:val="002118A2"/>
    <w:rsid w:val="00214671"/>
    <w:rsid w:val="00214FF9"/>
    <w:rsid w:val="00215020"/>
    <w:rsid w:val="002154C8"/>
    <w:rsid w:val="00215812"/>
    <w:rsid w:val="002158BC"/>
    <w:rsid w:val="00215C54"/>
    <w:rsid w:val="00216003"/>
    <w:rsid w:val="002176BA"/>
    <w:rsid w:val="00217FA7"/>
    <w:rsid w:val="00220D4C"/>
    <w:rsid w:val="0022150B"/>
    <w:rsid w:val="00221777"/>
    <w:rsid w:val="00221AE4"/>
    <w:rsid w:val="00221D29"/>
    <w:rsid w:val="0022369F"/>
    <w:rsid w:val="002236AC"/>
    <w:rsid w:val="00226910"/>
    <w:rsid w:val="00227013"/>
    <w:rsid w:val="00227611"/>
    <w:rsid w:val="00230164"/>
    <w:rsid w:val="0023084A"/>
    <w:rsid w:val="00231F8E"/>
    <w:rsid w:val="002329DD"/>
    <w:rsid w:val="0023484D"/>
    <w:rsid w:val="00235A6F"/>
    <w:rsid w:val="00236028"/>
    <w:rsid w:val="002360BE"/>
    <w:rsid w:val="0023643C"/>
    <w:rsid w:val="00237B9C"/>
    <w:rsid w:val="00237F85"/>
    <w:rsid w:val="00240328"/>
    <w:rsid w:val="002419B0"/>
    <w:rsid w:val="00242DEC"/>
    <w:rsid w:val="00243266"/>
    <w:rsid w:val="00243A7A"/>
    <w:rsid w:val="00245B4F"/>
    <w:rsid w:val="00245E6B"/>
    <w:rsid w:val="00246289"/>
    <w:rsid w:val="00251C48"/>
    <w:rsid w:val="00254A7A"/>
    <w:rsid w:val="002558DB"/>
    <w:rsid w:val="00256D4B"/>
    <w:rsid w:val="002617B3"/>
    <w:rsid w:val="002624EA"/>
    <w:rsid w:val="002625C9"/>
    <w:rsid w:val="00265059"/>
    <w:rsid w:val="00265BA1"/>
    <w:rsid w:val="00266382"/>
    <w:rsid w:val="00267B4D"/>
    <w:rsid w:val="00270F9D"/>
    <w:rsid w:val="002716C3"/>
    <w:rsid w:val="002729B1"/>
    <w:rsid w:val="002752B7"/>
    <w:rsid w:val="00275862"/>
    <w:rsid w:val="0028095D"/>
    <w:rsid w:val="00281CA3"/>
    <w:rsid w:val="00284507"/>
    <w:rsid w:val="00284818"/>
    <w:rsid w:val="002906BF"/>
    <w:rsid w:val="0029121A"/>
    <w:rsid w:val="00293014"/>
    <w:rsid w:val="002951D6"/>
    <w:rsid w:val="00296CD4"/>
    <w:rsid w:val="0029735A"/>
    <w:rsid w:val="002A0627"/>
    <w:rsid w:val="002A1DEC"/>
    <w:rsid w:val="002A3BBF"/>
    <w:rsid w:val="002A3F2E"/>
    <w:rsid w:val="002A4C47"/>
    <w:rsid w:val="002A70BF"/>
    <w:rsid w:val="002B0925"/>
    <w:rsid w:val="002B127C"/>
    <w:rsid w:val="002B247F"/>
    <w:rsid w:val="002B3118"/>
    <w:rsid w:val="002B31C6"/>
    <w:rsid w:val="002B3FB9"/>
    <w:rsid w:val="002B6BC2"/>
    <w:rsid w:val="002B72CA"/>
    <w:rsid w:val="002C0C27"/>
    <w:rsid w:val="002C12DB"/>
    <w:rsid w:val="002C2855"/>
    <w:rsid w:val="002C2F38"/>
    <w:rsid w:val="002C3E46"/>
    <w:rsid w:val="002C45A8"/>
    <w:rsid w:val="002C61F2"/>
    <w:rsid w:val="002C655B"/>
    <w:rsid w:val="002C6770"/>
    <w:rsid w:val="002C67E4"/>
    <w:rsid w:val="002C7417"/>
    <w:rsid w:val="002D0152"/>
    <w:rsid w:val="002D1B44"/>
    <w:rsid w:val="002D1E66"/>
    <w:rsid w:val="002D2E09"/>
    <w:rsid w:val="002D332B"/>
    <w:rsid w:val="002D39E4"/>
    <w:rsid w:val="002D4508"/>
    <w:rsid w:val="002D7186"/>
    <w:rsid w:val="002D79FE"/>
    <w:rsid w:val="002E0CA6"/>
    <w:rsid w:val="002E2577"/>
    <w:rsid w:val="002E4545"/>
    <w:rsid w:val="002E5238"/>
    <w:rsid w:val="002E54A2"/>
    <w:rsid w:val="002E5F35"/>
    <w:rsid w:val="002E712D"/>
    <w:rsid w:val="002F02F7"/>
    <w:rsid w:val="002F1552"/>
    <w:rsid w:val="002F182B"/>
    <w:rsid w:val="002F3722"/>
    <w:rsid w:val="002F3AF0"/>
    <w:rsid w:val="002F4C97"/>
    <w:rsid w:val="002F6CC3"/>
    <w:rsid w:val="00301EEF"/>
    <w:rsid w:val="00303034"/>
    <w:rsid w:val="003041FC"/>
    <w:rsid w:val="003066FF"/>
    <w:rsid w:val="00310559"/>
    <w:rsid w:val="003129D4"/>
    <w:rsid w:val="00313F91"/>
    <w:rsid w:val="003140E6"/>
    <w:rsid w:val="00314801"/>
    <w:rsid w:val="0031517D"/>
    <w:rsid w:val="00316584"/>
    <w:rsid w:val="00316D21"/>
    <w:rsid w:val="003176DD"/>
    <w:rsid w:val="00317D70"/>
    <w:rsid w:val="0032001E"/>
    <w:rsid w:val="0032071D"/>
    <w:rsid w:val="0032073D"/>
    <w:rsid w:val="00320929"/>
    <w:rsid w:val="00321B52"/>
    <w:rsid w:val="00322EB1"/>
    <w:rsid w:val="0032338E"/>
    <w:rsid w:val="00323D75"/>
    <w:rsid w:val="00324A70"/>
    <w:rsid w:val="003263A9"/>
    <w:rsid w:val="00326998"/>
    <w:rsid w:val="00327704"/>
    <w:rsid w:val="003279E6"/>
    <w:rsid w:val="00330A53"/>
    <w:rsid w:val="00331A81"/>
    <w:rsid w:val="0033214B"/>
    <w:rsid w:val="0033248A"/>
    <w:rsid w:val="00332FAF"/>
    <w:rsid w:val="003350AD"/>
    <w:rsid w:val="003351C0"/>
    <w:rsid w:val="00337499"/>
    <w:rsid w:val="00340293"/>
    <w:rsid w:val="00341688"/>
    <w:rsid w:val="00342C53"/>
    <w:rsid w:val="003447B9"/>
    <w:rsid w:val="003451ED"/>
    <w:rsid w:val="00347226"/>
    <w:rsid w:val="00347B54"/>
    <w:rsid w:val="00350137"/>
    <w:rsid w:val="003511B8"/>
    <w:rsid w:val="003522BD"/>
    <w:rsid w:val="00352347"/>
    <w:rsid w:val="003530B6"/>
    <w:rsid w:val="003548BF"/>
    <w:rsid w:val="00355BFF"/>
    <w:rsid w:val="0035792A"/>
    <w:rsid w:val="00357E1F"/>
    <w:rsid w:val="00357EF5"/>
    <w:rsid w:val="00361E90"/>
    <w:rsid w:val="003625B2"/>
    <w:rsid w:val="003629FA"/>
    <w:rsid w:val="00362FCD"/>
    <w:rsid w:val="00363B28"/>
    <w:rsid w:val="00364778"/>
    <w:rsid w:val="0036525F"/>
    <w:rsid w:val="00365824"/>
    <w:rsid w:val="00365943"/>
    <w:rsid w:val="00365BD9"/>
    <w:rsid w:val="0036636F"/>
    <w:rsid w:val="00366B0E"/>
    <w:rsid w:val="0037011B"/>
    <w:rsid w:val="003709A3"/>
    <w:rsid w:val="003712C9"/>
    <w:rsid w:val="0037224D"/>
    <w:rsid w:val="00372277"/>
    <w:rsid w:val="00373AEE"/>
    <w:rsid w:val="003743AE"/>
    <w:rsid w:val="00376445"/>
    <w:rsid w:val="003769E0"/>
    <w:rsid w:val="0037735E"/>
    <w:rsid w:val="00377E2C"/>
    <w:rsid w:val="00377EB2"/>
    <w:rsid w:val="00380A7E"/>
    <w:rsid w:val="00382B6F"/>
    <w:rsid w:val="0038598C"/>
    <w:rsid w:val="00386310"/>
    <w:rsid w:val="00391432"/>
    <w:rsid w:val="003926C5"/>
    <w:rsid w:val="00392ADA"/>
    <w:rsid w:val="00393068"/>
    <w:rsid w:val="0039462A"/>
    <w:rsid w:val="00394D4E"/>
    <w:rsid w:val="00394FF6"/>
    <w:rsid w:val="003956CB"/>
    <w:rsid w:val="00395F1A"/>
    <w:rsid w:val="003968B3"/>
    <w:rsid w:val="003A00A1"/>
    <w:rsid w:val="003A1168"/>
    <w:rsid w:val="003A264F"/>
    <w:rsid w:val="003A36E1"/>
    <w:rsid w:val="003A509E"/>
    <w:rsid w:val="003A6D29"/>
    <w:rsid w:val="003A730A"/>
    <w:rsid w:val="003B09B8"/>
    <w:rsid w:val="003B1AC0"/>
    <w:rsid w:val="003B3EBA"/>
    <w:rsid w:val="003B4350"/>
    <w:rsid w:val="003B5DDA"/>
    <w:rsid w:val="003B772F"/>
    <w:rsid w:val="003B7C7D"/>
    <w:rsid w:val="003C0CCB"/>
    <w:rsid w:val="003C4528"/>
    <w:rsid w:val="003C4C91"/>
    <w:rsid w:val="003C546C"/>
    <w:rsid w:val="003C5A99"/>
    <w:rsid w:val="003C5CF6"/>
    <w:rsid w:val="003C6297"/>
    <w:rsid w:val="003C69C0"/>
    <w:rsid w:val="003C7D6E"/>
    <w:rsid w:val="003D069B"/>
    <w:rsid w:val="003D0B98"/>
    <w:rsid w:val="003D10AA"/>
    <w:rsid w:val="003D147B"/>
    <w:rsid w:val="003D1CA0"/>
    <w:rsid w:val="003D2E6E"/>
    <w:rsid w:val="003D51E5"/>
    <w:rsid w:val="003D6A2A"/>
    <w:rsid w:val="003E0FDF"/>
    <w:rsid w:val="003E1455"/>
    <w:rsid w:val="003E179D"/>
    <w:rsid w:val="003E348C"/>
    <w:rsid w:val="003E3ACC"/>
    <w:rsid w:val="003E4F88"/>
    <w:rsid w:val="003E514A"/>
    <w:rsid w:val="003E58FF"/>
    <w:rsid w:val="003E5B3A"/>
    <w:rsid w:val="003E7589"/>
    <w:rsid w:val="003E7D86"/>
    <w:rsid w:val="003F04FC"/>
    <w:rsid w:val="003F111C"/>
    <w:rsid w:val="003F1120"/>
    <w:rsid w:val="003F1818"/>
    <w:rsid w:val="003F2EEC"/>
    <w:rsid w:val="003F4AE2"/>
    <w:rsid w:val="003F4B45"/>
    <w:rsid w:val="003F6229"/>
    <w:rsid w:val="003F6838"/>
    <w:rsid w:val="003F6D31"/>
    <w:rsid w:val="003F7480"/>
    <w:rsid w:val="00400EC6"/>
    <w:rsid w:val="00401B1E"/>
    <w:rsid w:val="00401F77"/>
    <w:rsid w:val="00402623"/>
    <w:rsid w:val="004031FD"/>
    <w:rsid w:val="004034B6"/>
    <w:rsid w:val="00403EF1"/>
    <w:rsid w:val="004046FC"/>
    <w:rsid w:val="00404D76"/>
    <w:rsid w:val="00405AC8"/>
    <w:rsid w:val="0040689F"/>
    <w:rsid w:val="00412D52"/>
    <w:rsid w:val="0041373D"/>
    <w:rsid w:val="00413E34"/>
    <w:rsid w:val="00414EF7"/>
    <w:rsid w:val="004150C5"/>
    <w:rsid w:val="004155E0"/>
    <w:rsid w:val="0041589D"/>
    <w:rsid w:val="00416022"/>
    <w:rsid w:val="004168D6"/>
    <w:rsid w:val="0041725B"/>
    <w:rsid w:val="00417958"/>
    <w:rsid w:val="0042262D"/>
    <w:rsid w:val="00422715"/>
    <w:rsid w:val="00423C6D"/>
    <w:rsid w:val="004241F6"/>
    <w:rsid w:val="004247AC"/>
    <w:rsid w:val="004253E1"/>
    <w:rsid w:val="00425BF8"/>
    <w:rsid w:val="00425C1D"/>
    <w:rsid w:val="004261AF"/>
    <w:rsid w:val="00427484"/>
    <w:rsid w:val="004277AD"/>
    <w:rsid w:val="00427B0C"/>
    <w:rsid w:val="00431A8F"/>
    <w:rsid w:val="0043255B"/>
    <w:rsid w:val="0043281C"/>
    <w:rsid w:val="00432942"/>
    <w:rsid w:val="00432E2B"/>
    <w:rsid w:val="00433715"/>
    <w:rsid w:val="0043428F"/>
    <w:rsid w:val="00436384"/>
    <w:rsid w:val="00436974"/>
    <w:rsid w:val="004404BE"/>
    <w:rsid w:val="00441097"/>
    <w:rsid w:val="004415B2"/>
    <w:rsid w:val="004423D8"/>
    <w:rsid w:val="00443C41"/>
    <w:rsid w:val="0044409E"/>
    <w:rsid w:val="00444FB9"/>
    <w:rsid w:val="004460A3"/>
    <w:rsid w:val="00446A78"/>
    <w:rsid w:val="00447BF8"/>
    <w:rsid w:val="00447E2A"/>
    <w:rsid w:val="0045026A"/>
    <w:rsid w:val="004522B9"/>
    <w:rsid w:val="00454536"/>
    <w:rsid w:val="00454BAD"/>
    <w:rsid w:val="00454F67"/>
    <w:rsid w:val="004552CE"/>
    <w:rsid w:val="0045561B"/>
    <w:rsid w:val="0045577C"/>
    <w:rsid w:val="00456B6E"/>
    <w:rsid w:val="00457D87"/>
    <w:rsid w:val="00457DC2"/>
    <w:rsid w:val="004603DC"/>
    <w:rsid w:val="00460CB4"/>
    <w:rsid w:val="00461CBD"/>
    <w:rsid w:val="00461FD4"/>
    <w:rsid w:val="00463217"/>
    <w:rsid w:val="00464CDA"/>
    <w:rsid w:val="00465972"/>
    <w:rsid w:val="00470679"/>
    <w:rsid w:val="00470E0F"/>
    <w:rsid w:val="0047141F"/>
    <w:rsid w:val="00472505"/>
    <w:rsid w:val="00473A5A"/>
    <w:rsid w:val="00474A3B"/>
    <w:rsid w:val="00475DBB"/>
    <w:rsid w:val="00476E2E"/>
    <w:rsid w:val="004816F9"/>
    <w:rsid w:val="00482E09"/>
    <w:rsid w:val="004832E4"/>
    <w:rsid w:val="00484F92"/>
    <w:rsid w:val="004852A1"/>
    <w:rsid w:val="00485C04"/>
    <w:rsid w:val="00490EC1"/>
    <w:rsid w:val="00491106"/>
    <w:rsid w:val="00491CAC"/>
    <w:rsid w:val="004926D4"/>
    <w:rsid w:val="00495CC5"/>
    <w:rsid w:val="00496591"/>
    <w:rsid w:val="00497EE3"/>
    <w:rsid w:val="004A0808"/>
    <w:rsid w:val="004A18E0"/>
    <w:rsid w:val="004A1D38"/>
    <w:rsid w:val="004A254F"/>
    <w:rsid w:val="004A32D1"/>
    <w:rsid w:val="004A4322"/>
    <w:rsid w:val="004A6A09"/>
    <w:rsid w:val="004A6F30"/>
    <w:rsid w:val="004A7037"/>
    <w:rsid w:val="004A79FF"/>
    <w:rsid w:val="004A7F98"/>
    <w:rsid w:val="004B2E36"/>
    <w:rsid w:val="004B310E"/>
    <w:rsid w:val="004B3B9E"/>
    <w:rsid w:val="004B46E8"/>
    <w:rsid w:val="004B4C6C"/>
    <w:rsid w:val="004B5399"/>
    <w:rsid w:val="004B59E1"/>
    <w:rsid w:val="004B7DF3"/>
    <w:rsid w:val="004C1025"/>
    <w:rsid w:val="004C1784"/>
    <w:rsid w:val="004C3AF0"/>
    <w:rsid w:val="004C3F4F"/>
    <w:rsid w:val="004C5A34"/>
    <w:rsid w:val="004C7C5F"/>
    <w:rsid w:val="004D10CA"/>
    <w:rsid w:val="004D3681"/>
    <w:rsid w:val="004D38BC"/>
    <w:rsid w:val="004D4EB2"/>
    <w:rsid w:val="004D520C"/>
    <w:rsid w:val="004D54A7"/>
    <w:rsid w:val="004D6154"/>
    <w:rsid w:val="004D68D4"/>
    <w:rsid w:val="004D6BFD"/>
    <w:rsid w:val="004D6F37"/>
    <w:rsid w:val="004D7D47"/>
    <w:rsid w:val="004D7EE5"/>
    <w:rsid w:val="004E1F6A"/>
    <w:rsid w:val="004E28C5"/>
    <w:rsid w:val="004E3CEB"/>
    <w:rsid w:val="004E3D12"/>
    <w:rsid w:val="004E46C3"/>
    <w:rsid w:val="004E4A84"/>
    <w:rsid w:val="004E4FF3"/>
    <w:rsid w:val="004E5BE8"/>
    <w:rsid w:val="004F0AE7"/>
    <w:rsid w:val="004F11DC"/>
    <w:rsid w:val="004F4159"/>
    <w:rsid w:val="004F54E5"/>
    <w:rsid w:val="004F5DA0"/>
    <w:rsid w:val="004F66E8"/>
    <w:rsid w:val="004F7492"/>
    <w:rsid w:val="0050033D"/>
    <w:rsid w:val="0050367C"/>
    <w:rsid w:val="0050483E"/>
    <w:rsid w:val="00506058"/>
    <w:rsid w:val="00506CF5"/>
    <w:rsid w:val="00507D63"/>
    <w:rsid w:val="00510529"/>
    <w:rsid w:val="00510DF7"/>
    <w:rsid w:val="005115EE"/>
    <w:rsid w:val="00513F00"/>
    <w:rsid w:val="00517584"/>
    <w:rsid w:val="00521016"/>
    <w:rsid w:val="00521059"/>
    <w:rsid w:val="00522102"/>
    <w:rsid w:val="00522356"/>
    <w:rsid w:val="0052301E"/>
    <w:rsid w:val="00523446"/>
    <w:rsid w:val="005245DD"/>
    <w:rsid w:val="00524CA4"/>
    <w:rsid w:val="005258E6"/>
    <w:rsid w:val="0052679B"/>
    <w:rsid w:val="005272F0"/>
    <w:rsid w:val="00527665"/>
    <w:rsid w:val="00531A71"/>
    <w:rsid w:val="00531B43"/>
    <w:rsid w:val="00533EB1"/>
    <w:rsid w:val="00535FF6"/>
    <w:rsid w:val="0053650C"/>
    <w:rsid w:val="00536F68"/>
    <w:rsid w:val="00540557"/>
    <w:rsid w:val="005408BD"/>
    <w:rsid w:val="00540989"/>
    <w:rsid w:val="00541D8D"/>
    <w:rsid w:val="0054268B"/>
    <w:rsid w:val="00543889"/>
    <w:rsid w:val="0054760C"/>
    <w:rsid w:val="00547BD2"/>
    <w:rsid w:val="00550E46"/>
    <w:rsid w:val="00551835"/>
    <w:rsid w:val="005521FC"/>
    <w:rsid w:val="00553350"/>
    <w:rsid w:val="00553843"/>
    <w:rsid w:val="0055551E"/>
    <w:rsid w:val="005569A9"/>
    <w:rsid w:val="00557A73"/>
    <w:rsid w:val="005604EA"/>
    <w:rsid w:val="005614AD"/>
    <w:rsid w:val="0056151C"/>
    <w:rsid w:val="00561AE0"/>
    <w:rsid w:val="00563809"/>
    <w:rsid w:val="0056789B"/>
    <w:rsid w:val="005708D1"/>
    <w:rsid w:val="00570C23"/>
    <w:rsid w:val="00571438"/>
    <w:rsid w:val="00573019"/>
    <w:rsid w:val="00574F87"/>
    <w:rsid w:val="00575746"/>
    <w:rsid w:val="00576722"/>
    <w:rsid w:val="005775FA"/>
    <w:rsid w:val="00580066"/>
    <w:rsid w:val="00581B5E"/>
    <w:rsid w:val="00582B1E"/>
    <w:rsid w:val="00582D3C"/>
    <w:rsid w:val="00583067"/>
    <w:rsid w:val="005839E8"/>
    <w:rsid w:val="00585082"/>
    <w:rsid w:val="005859B9"/>
    <w:rsid w:val="00585F90"/>
    <w:rsid w:val="005865A3"/>
    <w:rsid w:val="00590CBC"/>
    <w:rsid w:val="005914EE"/>
    <w:rsid w:val="00592323"/>
    <w:rsid w:val="00595255"/>
    <w:rsid w:val="00596B3D"/>
    <w:rsid w:val="005A019F"/>
    <w:rsid w:val="005A0E9A"/>
    <w:rsid w:val="005A1A5C"/>
    <w:rsid w:val="005A2514"/>
    <w:rsid w:val="005A264A"/>
    <w:rsid w:val="005A35EF"/>
    <w:rsid w:val="005A46F4"/>
    <w:rsid w:val="005A4A89"/>
    <w:rsid w:val="005A5777"/>
    <w:rsid w:val="005A5E2C"/>
    <w:rsid w:val="005A6556"/>
    <w:rsid w:val="005A7424"/>
    <w:rsid w:val="005A7B05"/>
    <w:rsid w:val="005B1FA3"/>
    <w:rsid w:val="005B22B6"/>
    <w:rsid w:val="005B25F6"/>
    <w:rsid w:val="005B2EB2"/>
    <w:rsid w:val="005B302C"/>
    <w:rsid w:val="005B70FC"/>
    <w:rsid w:val="005B71AC"/>
    <w:rsid w:val="005B735E"/>
    <w:rsid w:val="005B7414"/>
    <w:rsid w:val="005C0689"/>
    <w:rsid w:val="005C0AB0"/>
    <w:rsid w:val="005C0F37"/>
    <w:rsid w:val="005C2900"/>
    <w:rsid w:val="005C331C"/>
    <w:rsid w:val="005C6884"/>
    <w:rsid w:val="005C7A34"/>
    <w:rsid w:val="005C7B6F"/>
    <w:rsid w:val="005D123B"/>
    <w:rsid w:val="005D23B1"/>
    <w:rsid w:val="005D2572"/>
    <w:rsid w:val="005D4603"/>
    <w:rsid w:val="005D479F"/>
    <w:rsid w:val="005D59F7"/>
    <w:rsid w:val="005D66A2"/>
    <w:rsid w:val="005D7F57"/>
    <w:rsid w:val="005E04AE"/>
    <w:rsid w:val="005E05B2"/>
    <w:rsid w:val="005E0A8B"/>
    <w:rsid w:val="005E0E75"/>
    <w:rsid w:val="005E241E"/>
    <w:rsid w:val="005E3EC7"/>
    <w:rsid w:val="005E3F87"/>
    <w:rsid w:val="005E4BA3"/>
    <w:rsid w:val="005E4E75"/>
    <w:rsid w:val="005E5ADE"/>
    <w:rsid w:val="005E608E"/>
    <w:rsid w:val="005E719A"/>
    <w:rsid w:val="005E74F7"/>
    <w:rsid w:val="005F14A6"/>
    <w:rsid w:val="005F1A60"/>
    <w:rsid w:val="005F33FF"/>
    <w:rsid w:val="005F3BD4"/>
    <w:rsid w:val="005F4019"/>
    <w:rsid w:val="005F6E17"/>
    <w:rsid w:val="005F7129"/>
    <w:rsid w:val="005F7F22"/>
    <w:rsid w:val="006018C2"/>
    <w:rsid w:val="00602D1D"/>
    <w:rsid w:val="00605007"/>
    <w:rsid w:val="00606052"/>
    <w:rsid w:val="00606D23"/>
    <w:rsid w:val="0060749F"/>
    <w:rsid w:val="006076CA"/>
    <w:rsid w:val="00611A45"/>
    <w:rsid w:val="0061254A"/>
    <w:rsid w:val="00616285"/>
    <w:rsid w:val="00616685"/>
    <w:rsid w:val="00617C68"/>
    <w:rsid w:val="006221C2"/>
    <w:rsid w:val="0062254C"/>
    <w:rsid w:val="00623021"/>
    <w:rsid w:val="00623290"/>
    <w:rsid w:val="0062433E"/>
    <w:rsid w:val="006244F3"/>
    <w:rsid w:val="00624F85"/>
    <w:rsid w:val="006254F0"/>
    <w:rsid w:val="0062555D"/>
    <w:rsid w:val="0062799C"/>
    <w:rsid w:val="0063478F"/>
    <w:rsid w:val="0063610A"/>
    <w:rsid w:val="00636453"/>
    <w:rsid w:val="0064169B"/>
    <w:rsid w:val="00641978"/>
    <w:rsid w:val="00645991"/>
    <w:rsid w:val="00646856"/>
    <w:rsid w:val="00647099"/>
    <w:rsid w:val="00647844"/>
    <w:rsid w:val="00647AAF"/>
    <w:rsid w:val="00647B3C"/>
    <w:rsid w:val="006500AE"/>
    <w:rsid w:val="00652A93"/>
    <w:rsid w:val="00653506"/>
    <w:rsid w:val="006559D8"/>
    <w:rsid w:val="00657D0C"/>
    <w:rsid w:val="006608AE"/>
    <w:rsid w:val="006609A2"/>
    <w:rsid w:val="00661FB3"/>
    <w:rsid w:val="0066269E"/>
    <w:rsid w:val="00662740"/>
    <w:rsid w:val="0066274D"/>
    <w:rsid w:val="00663A41"/>
    <w:rsid w:val="006652F6"/>
    <w:rsid w:val="006723E0"/>
    <w:rsid w:val="006725A4"/>
    <w:rsid w:val="00673A0D"/>
    <w:rsid w:val="006773E9"/>
    <w:rsid w:val="0068015D"/>
    <w:rsid w:val="00680904"/>
    <w:rsid w:val="00680988"/>
    <w:rsid w:val="00682FB8"/>
    <w:rsid w:val="006832C3"/>
    <w:rsid w:val="006835FE"/>
    <w:rsid w:val="00683C06"/>
    <w:rsid w:val="0068442F"/>
    <w:rsid w:val="00684C24"/>
    <w:rsid w:val="00684CFC"/>
    <w:rsid w:val="00685491"/>
    <w:rsid w:val="00685746"/>
    <w:rsid w:val="006859DA"/>
    <w:rsid w:val="006874FB"/>
    <w:rsid w:val="00687E55"/>
    <w:rsid w:val="006904A7"/>
    <w:rsid w:val="0069146B"/>
    <w:rsid w:val="006916EF"/>
    <w:rsid w:val="00691F3F"/>
    <w:rsid w:val="006922DF"/>
    <w:rsid w:val="006957A3"/>
    <w:rsid w:val="00696D86"/>
    <w:rsid w:val="006971D9"/>
    <w:rsid w:val="0069786E"/>
    <w:rsid w:val="00697E65"/>
    <w:rsid w:val="006A02AE"/>
    <w:rsid w:val="006A048E"/>
    <w:rsid w:val="006A20CC"/>
    <w:rsid w:val="006A397B"/>
    <w:rsid w:val="006A45BF"/>
    <w:rsid w:val="006A512C"/>
    <w:rsid w:val="006A5B09"/>
    <w:rsid w:val="006B14C8"/>
    <w:rsid w:val="006B18E5"/>
    <w:rsid w:val="006B25F9"/>
    <w:rsid w:val="006B27FA"/>
    <w:rsid w:val="006B2B70"/>
    <w:rsid w:val="006B4B5D"/>
    <w:rsid w:val="006B5448"/>
    <w:rsid w:val="006B6655"/>
    <w:rsid w:val="006B7369"/>
    <w:rsid w:val="006B79E6"/>
    <w:rsid w:val="006B7C20"/>
    <w:rsid w:val="006C063A"/>
    <w:rsid w:val="006C0BAB"/>
    <w:rsid w:val="006C2C9A"/>
    <w:rsid w:val="006C2E25"/>
    <w:rsid w:val="006C34D9"/>
    <w:rsid w:val="006C3E2E"/>
    <w:rsid w:val="006C4808"/>
    <w:rsid w:val="006C4929"/>
    <w:rsid w:val="006C5D8C"/>
    <w:rsid w:val="006D1AB6"/>
    <w:rsid w:val="006D2509"/>
    <w:rsid w:val="006D2C2C"/>
    <w:rsid w:val="006D30F4"/>
    <w:rsid w:val="006D5BA3"/>
    <w:rsid w:val="006D5C6C"/>
    <w:rsid w:val="006D60CD"/>
    <w:rsid w:val="006D6AE4"/>
    <w:rsid w:val="006D7E24"/>
    <w:rsid w:val="006D7F35"/>
    <w:rsid w:val="006D7FD0"/>
    <w:rsid w:val="006E0256"/>
    <w:rsid w:val="006E0D91"/>
    <w:rsid w:val="006E0FBB"/>
    <w:rsid w:val="006E24DC"/>
    <w:rsid w:val="006E2BC4"/>
    <w:rsid w:val="006E5D3D"/>
    <w:rsid w:val="006E64BB"/>
    <w:rsid w:val="006E67E5"/>
    <w:rsid w:val="006F2D59"/>
    <w:rsid w:val="006F35BA"/>
    <w:rsid w:val="006F37F7"/>
    <w:rsid w:val="006F3D3C"/>
    <w:rsid w:val="00700137"/>
    <w:rsid w:val="007014FE"/>
    <w:rsid w:val="007015D2"/>
    <w:rsid w:val="00702F24"/>
    <w:rsid w:val="0070431F"/>
    <w:rsid w:val="00704921"/>
    <w:rsid w:val="00704A89"/>
    <w:rsid w:val="00704F92"/>
    <w:rsid w:val="00705668"/>
    <w:rsid w:val="007064E2"/>
    <w:rsid w:val="00707690"/>
    <w:rsid w:val="00707820"/>
    <w:rsid w:val="00707957"/>
    <w:rsid w:val="007107AD"/>
    <w:rsid w:val="007118A5"/>
    <w:rsid w:val="007121BF"/>
    <w:rsid w:val="00715260"/>
    <w:rsid w:val="00715C45"/>
    <w:rsid w:val="00715DFB"/>
    <w:rsid w:val="00715E52"/>
    <w:rsid w:val="007171CE"/>
    <w:rsid w:val="00717D90"/>
    <w:rsid w:val="00717E6D"/>
    <w:rsid w:val="007214E0"/>
    <w:rsid w:val="00721A3A"/>
    <w:rsid w:val="007224FA"/>
    <w:rsid w:val="00722D1B"/>
    <w:rsid w:val="00723846"/>
    <w:rsid w:val="0072397F"/>
    <w:rsid w:val="00724D59"/>
    <w:rsid w:val="007250E6"/>
    <w:rsid w:val="00727BA4"/>
    <w:rsid w:val="007308B5"/>
    <w:rsid w:val="007314BA"/>
    <w:rsid w:val="007337B2"/>
    <w:rsid w:val="00734AEA"/>
    <w:rsid w:val="00735921"/>
    <w:rsid w:val="00735E0C"/>
    <w:rsid w:val="00740767"/>
    <w:rsid w:val="00743E60"/>
    <w:rsid w:val="00745CE5"/>
    <w:rsid w:val="00746F9B"/>
    <w:rsid w:val="0074716C"/>
    <w:rsid w:val="007516F1"/>
    <w:rsid w:val="007531A8"/>
    <w:rsid w:val="00754C20"/>
    <w:rsid w:val="00756A27"/>
    <w:rsid w:val="00756CD3"/>
    <w:rsid w:val="007572AD"/>
    <w:rsid w:val="007573B6"/>
    <w:rsid w:val="00762138"/>
    <w:rsid w:val="007621BD"/>
    <w:rsid w:val="00762B98"/>
    <w:rsid w:val="0076356C"/>
    <w:rsid w:val="0076373B"/>
    <w:rsid w:val="00763BAA"/>
    <w:rsid w:val="00763F0C"/>
    <w:rsid w:val="00766E49"/>
    <w:rsid w:val="00767AFF"/>
    <w:rsid w:val="00767FBB"/>
    <w:rsid w:val="00770015"/>
    <w:rsid w:val="00772439"/>
    <w:rsid w:val="00772C0B"/>
    <w:rsid w:val="00772C69"/>
    <w:rsid w:val="00772FC4"/>
    <w:rsid w:val="0077420D"/>
    <w:rsid w:val="00774D03"/>
    <w:rsid w:val="0077562A"/>
    <w:rsid w:val="00776611"/>
    <w:rsid w:val="00776DD5"/>
    <w:rsid w:val="007828E8"/>
    <w:rsid w:val="00783F27"/>
    <w:rsid w:val="00784F4B"/>
    <w:rsid w:val="007857B0"/>
    <w:rsid w:val="0078672C"/>
    <w:rsid w:val="00786733"/>
    <w:rsid w:val="0078701B"/>
    <w:rsid w:val="007878EF"/>
    <w:rsid w:val="00787D89"/>
    <w:rsid w:val="00790B82"/>
    <w:rsid w:val="0079171A"/>
    <w:rsid w:val="0079232E"/>
    <w:rsid w:val="00792C81"/>
    <w:rsid w:val="00793EA1"/>
    <w:rsid w:val="007A0FA6"/>
    <w:rsid w:val="007A266A"/>
    <w:rsid w:val="007A321A"/>
    <w:rsid w:val="007A41A5"/>
    <w:rsid w:val="007A43CF"/>
    <w:rsid w:val="007A4CA6"/>
    <w:rsid w:val="007A606F"/>
    <w:rsid w:val="007A717B"/>
    <w:rsid w:val="007A79B1"/>
    <w:rsid w:val="007B03F7"/>
    <w:rsid w:val="007B06E5"/>
    <w:rsid w:val="007B3ADF"/>
    <w:rsid w:val="007B53E6"/>
    <w:rsid w:val="007B54D9"/>
    <w:rsid w:val="007B6F5E"/>
    <w:rsid w:val="007B780C"/>
    <w:rsid w:val="007C017E"/>
    <w:rsid w:val="007C0D0A"/>
    <w:rsid w:val="007C223C"/>
    <w:rsid w:val="007C25C7"/>
    <w:rsid w:val="007C2B4F"/>
    <w:rsid w:val="007C2E58"/>
    <w:rsid w:val="007C48C7"/>
    <w:rsid w:val="007C5533"/>
    <w:rsid w:val="007C6ACC"/>
    <w:rsid w:val="007D0379"/>
    <w:rsid w:val="007D0A9A"/>
    <w:rsid w:val="007D290E"/>
    <w:rsid w:val="007D36EF"/>
    <w:rsid w:val="007D37EC"/>
    <w:rsid w:val="007D4E17"/>
    <w:rsid w:val="007D6020"/>
    <w:rsid w:val="007D7134"/>
    <w:rsid w:val="007D7173"/>
    <w:rsid w:val="007D742B"/>
    <w:rsid w:val="007E16C2"/>
    <w:rsid w:val="007E21A9"/>
    <w:rsid w:val="007E25CF"/>
    <w:rsid w:val="007E2B5F"/>
    <w:rsid w:val="007E2D66"/>
    <w:rsid w:val="007E3170"/>
    <w:rsid w:val="007E4121"/>
    <w:rsid w:val="007E5089"/>
    <w:rsid w:val="007E5767"/>
    <w:rsid w:val="007E65D3"/>
    <w:rsid w:val="007E6842"/>
    <w:rsid w:val="007F00C9"/>
    <w:rsid w:val="007F0797"/>
    <w:rsid w:val="007F1820"/>
    <w:rsid w:val="007F2F33"/>
    <w:rsid w:val="007F2F58"/>
    <w:rsid w:val="007F3687"/>
    <w:rsid w:val="007F4B8C"/>
    <w:rsid w:val="007F4BEA"/>
    <w:rsid w:val="007F636A"/>
    <w:rsid w:val="008006A4"/>
    <w:rsid w:val="008008CF"/>
    <w:rsid w:val="00803D4C"/>
    <w:rsid w:val="00805F72"/>
    <w:rsid w:val="00807C0B"/>
    <w:rsid w:val="00811327"/>
    <w:rsid w:val="0081276F"/>
    <w:rsid w:val="00815165"/>
    <w:rsid w:val="008160F8"/>
    <w:rsid w:val="00816E37"/>
    <w:rsid w:val="00823A16"/>
    <w:rsid w:val="00824DF1"/>
    <w:rsid w:val="00825BEF"/>
    <w:rsid w:val="00825ED9"/>
    <w:rsid w:val="00830E7F"/>
    <w:rsid w:val="008311A1"/>
    <w:rsid w:val="00831619"/>
    <w:rsid w:val="00832487"/>
    <w:rsid w:val="008335B2"/>
    <w:rsid w:val="00833911"/>
    <w:rsid w:val="0084124D"/>
    <w:rsid w:val="00841879"/>
    <w:rsid w:val="00843C71"/>
    <w:rsid w:val="008454A4"/>
    <w:rsid w:val="00846DAF"/>
    <w:rsid w:val="0085003F"/>
    <w:rsid w:val="0085018B"/>
    <w:rsid w:val="0085028C"/>
    <w:rsid w:val="008510F6"/>
    <w:rsid w:val="008522CA"/>
    <w:rsid w:val="00852B92"/>
    <w:rsid w:val="0085585B"/>
    <w:rsid w:val="00856803"/>
    <w:rsid w:val="00857AE3"/>
    <w:rsid w:val="00860053"/>
    <w:rsid w:val="0086107D"/>
    <w:rsid w:val="0086298F"/>
    <w:rsid w:val="00863873"/>
    <w:rsid w:val="008639FD"/>
    <w:rsid w:val="00864B0F"/>
    <w:rsid w:val="00867FFD"/>
    <w:rsid w:val="00870539"/>
    <w:rsid w:val="00874CEA"/>
    <w:rsid w:val="00874DF3"/>
    <w:rsid w:val="00875A6C"/>
    <w:rsid w:val="00875B45"/>
    <w:rsid w:val="008770C5"/>
    <w:rsid w:val="0088056E"/>
    <w:rsid w:val="008830A8"/>
    <w:rsid w:val="00883BB6"/>
    <w:rsid w:val="008842F3"/>
    <w:rsid w:val="0088478C"/>
    <w:rsid w:val="00887721"/>
    <w:rsid w:val="008907CD"/>
    <w:rsid w:val="00890ECE"/>
    <w:rsid w:val="0089198E"/>
    <w:rsid w:val="00891D55"/>
    <w:rsid w:val="00891FA1"/>
    <w:rsid w:val="008954D2"/>
    <w:rsid w:val="00895C37"/>
    <w:rsid w:val="00897D53"/>
    <w:rsid w:val="008A03AD"/>
    <w:rsid w:val="008A07BF"/>
    <w:rsid w:val="008A1C3D"/>
    <w:rsid w:val="008A420B"/>
    <w:rsid w:val="008A452F"/>
    <w:rsid w:val="008A5692"/>
    <w:rsid w:val="008A57AB"/>
    <w:rsid w:val="008A5ED4"/>
    <w:rsid w:val="008A5FEB"/>
    <w:rsid w:val="008A7737"/>
    <w:rsid w:val="008B0460"/>
    <w:rsid w:val="008B04C1"/>
    <w:rsid w:val="008B0AC3"/>
    <w:rsid w:val="008B2373"/>
    <w:rsid w:val="008B24D6"/>
    <w:rsid w:val="008B257C"/>
    <w:rsid w:val="008B417B"/>
    <w:rsid w:val="008B5164"/>
    <w:rsid w:val="008B7BE7"/>
    <w:rsid w:val="008C1179"/>
    <w:rsid w:val="008C1F30"/>
    <w:rsid w:val="008C3828"/>
    <w:rsid w:val="008C55BF"/>
    <w:rsid w:val="008C5AD2"/>
    <w:rsid w:val="008C605F"/>
    <w:rsid w:val="008C64E7"/>
    <w:rsid w:val="008D143C"/>
    <w:rsid w:val="008D2B9C"/>
    <w:rsid w:val="008D2DE9"/>
    <w:rsid w:val="008D3C44"/>
    <w:rsid w:val="008D3DBB"/>
    <w:rsid w:val="008D4284"/>
    <w:rsid w:val="008D42E1"/>
    <w:rsid w:val="008D4543"/>
    <w:rsid w:val="008D65DE"/>
    <w:rsid w:val="008D73A4"/>
    <w:rsid w:val="008D7D51"/>
    <w:rsid w:val="008E1F00"/>
    <w:rsid w:val="008E255D"/>
    <w:rsid w:val="008E3C2C"/>
    <w:rsid w:val="008E490B"/>
    <w:rsid w:val="008E50ED"/>
    <w:rsid w:val="008E593B"/>
    <w:rsid w:val="008E7526"/>
    <w:rsid w:val="008F0DB8"/>
    <w:rsid w:val="008F11FB"/>
    <w:rsid w:val="008F1C94"/>
    <w:rsid w:val="008F20AB"/>
    <w:rsid w:val="008F2319"/>
    <w:rsid w:val="008F283B"/>
    <w:rsid w:val="008F3AA4"/>
    <w:rsid w:val="008F46BB"/>
    <w:rsid w:val="008F4F60"/>
    <w:rsid w:val="008F5818"/>
    <w:rsid w:val="008F6574"/>
    <w:rsid w:val="0090038C"/>
    <w:rsid w:val="009014E5"/>
    <w:rsid w:val="009015FB"/>
    <w:rsid w:val="0090196C"/>
    <w:rsid w:val="009019AF"/>
    <w:rsid w:val="00902119"/>
    <w:rsid w:val="00902547"/>
    <w:rsid w:val="009027FD"/>
    <w:rsid w:val="00903840"/>
    <w:rsid w:val="00904653"/>
    <w:rsid w:val="00904690"/>
    <w:rsid w:val="00904ACD"/>
    <w:rsid w:val="009065AA"/>
    <w:rsid w:val="00910308"/>
    <w:rsid w:val="00910581"/>
    <w:rsid w:val="00911BC5"/>
    <w:rsid w:val="009130A5"/>
    <w:rsid w:val="00913484"/>
    <w:rsid w:val="00913B03"/>
    <w:rsid w:val="00914141"/>
    <w:rsid w:val="00915DBF"/>
    <w:rsid w:val="00916D95"/>
    <w:rsid w:val="00917855"/>
    <w:rsid w:val="00917A49"/>
    <w:rsid w:val="00917EF9"/>
    <w:rsid w:val="0092083F"/>
    <w:rsid w:val="00920CE3"/>
    <w:rsid w:val="00921016"/>
    <w:rsid w:val="00922E3B"/>
    <w:rsid w:val="0092374B"/>
    <w:rsid w:val="00923762"/>
    <w:rsid w:val="00924802"/>
    <w:rsid w:val="0092491C"/>
    <w:rsid w:val="0093017A"/>
    <w:rsid w:val="009306DD"/>
    <w:rsid w:val="0093145B"/>
    <w:rsid w:val="00932BAE"/>
    <w:rsid w:val="00933418"/>
    <w:rsid w:val="0093513C"/>
    <w:rsid w:val="00936276"/>
    <w:rsid w:val="0094127A"/>
    <w:rsid w:val="00945D87"/>
    <w:rsid w:val="0094755C"/>
    <w:rsid w:val="0095029C"/>
    <w:rsid w:val="009522C3"/>
    <w:rsid w:val="00952C04"/>
    <w:rsid w:val="00953701"/>
    <w:rsid w:val="009543BB"/>
    <w:rsid w:val="00954A4A"/>
    <w:rsid w:val="00955AA4"/>
    <w:rsid w:val="00955DF5"/>
    <w:rsid w:val="00956170"/>
    <w:rsid w:val="009562AA"/>
    <w:rsid w:val="00956353"/>
    <w:rsid w:val="00956FD7"/>
    <w:rsid w:val="00957C9E"/>
    <w:rsid w:val="00963565"/>
    <w:rsid w:val="00964584"/>
    <w:rsid w:val="00966B98"/>
    <w:rsid w:val="009708B0"/>
    <w:rsid w:val="00971CE3"/>
    <w:rsid w:val="00972009"/>
    <w:rsid w:val="00972C03"/>
    <w:rsid w:val="009731EA"/>
    <w:rsid w:val="00973B60"/>
    <w:rsid w:val="009747EF"/>
    <w:rsid w:val="009753C9"/>
    <w:rsid w:val="00975CCE"/>
    <w:rsid w:val="00977D80"/>
    <w:rsid w:val="00980829"/>
    <w:rsid w:val="00981121"/>
    <w:rsid w:val="00981AB2"/>
    <w:rsid w:val="009825F1"/>
    <w:rsid w:val="0098388D"/>
    <w:rsid w:val="00983C1E"/>
    <w:rsid w:val="00983CFD"/>
    <w:rsid w:val="00984D8C"/>
    <w:rsid w:val="009859E0"/>
    <w:rsid w:val="00985CFE"/>
    <w:rsid w:val="00985F01"/>
    <w:rsid w:val="00987DB1"/>
    <w:rsid w:val="00990CD2"/>
    <w:rsid w:val="009914D0"/>
    <w:rsid w:val="00991EA0"/>
    <w:rsid w:val="00992CBC"/>
    <w:rsid w:val="00992FBE"/>
    <w:rsid w:val="00993A5F"/>
    <w:rsid w:val="00994772"/>
    <w:rsid w:val="009952E0"/>
    <w:rsid w:val="00995523"/>
    <w:rsid w:val="0099614B"/>
    <w:rsid w:val="009964E9"/>
    <w:rsid w:val="00996A8A"/>
    <w:rsid w:val="00997C5E"/>
    <w:rsid w:val="00997D36"/>
    <w:rsid w:val="00997F36"/>
    <w:rsid w:val="009A176C"/>
    <w:rsid w:val="009A3C00"/>
    <w:rsid w:val="009A47FB"/>
    <w:rsid w:val="009B01BE"/>
    <w:rsid w:val="009B1469"/>
    <w:rsid w:val="009B1912"/>
    <w:rsid w:val="009B1C1A"/>
    <w:rsid w:val="009B287E"/>
    <w:rsid w:val="009B37D7"/>
    <w:rsid w:val="009B4689"/>
    <w:rsid w:val="009B5049"/>
    <w:rsid w:val="009B5D3B"/>
    <w:rsid w:val="009B6BF1"/>
    <w:rsid w:val="009B7FFA"/>
    <w:rsid w:val="009C01CF"/>
    <w:rsid w:val="009C4972"/>
    <w:rsid w:val="009C49B9"/>
    <w:rsid w:val="009C761C"/>
    <w:rsid w:val="009D23A1"/>
    <w:rsid w:val="009D2F23"/>
    <w:rsid w:val="009D3072"/>
    <w:rsid w:val="009D34A7"/>
    <w:rsid w:val="009D36C0"/>
    <w:rsid w:val="009D4C56"/>
    <w:rsid w:val="009D61B2"/>
    <w:rsid w:val="009D79F2"/>
    <w:rsid w:val="009E1C55"/>
    <w:rsid w:val="009E1F85"/>
    <w:rsid w:val="009E3C42"/>
    <w:rsid w:val="009E4FAB"/>
    <w:rsid w:val="009E54B4"/>
    <w:rsid w:val="009E5683"/>
    <w:rsid w:val="009E5D80"/>
    <w:rsid w:val="009E5F21"/>
    <w:rsid w:val="009E647D"/>
    <w:rsid w:val="009F07C0"/>
    <w:rsid w:val="009F6F90"/>
    <w:rsid w:val="00A013D1"/>
    <w:rsid w:val="00A029A2"/>
    <w:rsid w:val="00A02C70"/>
    <w:rsid w:val="00A033FF"/>
    <w:rsid w:val="00A03665"/>
    <w:rsid w:val="00A05064"/>
    <w:rsid w:val="00A0638E"/>
    <w:rsid w:val="00A114F5"/>
    <w:rsid w:val="00A141EA"/>
    <w:rsid w:val="00A15110"/>
    <w:rsid w:val="00A17654"/>
    <w:rsid w:val="00A2021A"/>
    <w:rsid w:val="00A204DE"/>
    <w:rsid w:val="00A2122E"/>
    <w:rsid w:val="00A21AD4"/>
    <w:rsid w:val="00A23789"/>
    <w:rsid w:val="00A24A0C"/>
    <w:rsid w:val="00A30D87"/>
    <w:rsid w:val="00A31873"/>
    <w:rsid w:val="00A318EE"/>
    <w:rsid w:val="00A321E1"/>
    <w:rsid w:val="00A33B72"/>
    <w:rsid w:val="00A33FA7"/>
    <w:rsid w:val="00A34EDB"/>
    <w:rsid w:val="00A35026"/>
    <w:rsid w:val="00A41160"/>
    <w:rsid w:val="00A41E8D"/>
    <w:rsid w:val="00A43142"/>
    <w:rsid w:val="00A43BA9"/>
    <w:rsid w:val="00A43F3C"/>
    <w:rsid w:val="00A44296"/>
    <w:rsid w:val="00A447E9"/>
    <w:rsid w:val="00A448BA"/>
    <w:rsid w:val="00A44B90"/>
    <w:rsid w:val="00A45CD7"/>
    <w:rsid w:val="00A46022"/>
    <w:rsid w:val="00A4670B"/>
    <w:rsid w:val="00A46BC3"/>
    <w:rsid w:val="00A473D7"/>
    <w:rsid w:val="00A50017"/>
    <w:rsid w:val="00A5075F"/>
    <w:rsid w:val="00A53E85"/>
    <w:rsid w:val="00A54C89"/>
    <w:rsid w:val="00A553C7"/>
    <w:rsid w:val="00A55E7E"/>
    <w:rsid w:val="00A60516"/>
    <w:rsid w:val="00A61A7E"/>
    <w:rsid w:val="00A61BEA"/>
    <w:rsid w:val="00A62103"/>
    <w:rsid w:val="00A635FA"/>
    <w:rsid w:val="00A6558C"/>
    <w:rsid w:val="00A65C98"/>
    <w:rsid w:val="00A65F63"/>
    <w:rsid w:val="00A668B1"/>
    <w:rsid w:val="00A67399"/>
    <w:rsid w:val="00A67513"/>
    <w:rsid w:val="00A70085"/>
    <w:rsid w:val="00A71E9D"/>
    <w:rsid w:val="00A720BC"/>
    <w:rsid w:val="00A72171"/>
    <w:rsid w:val="00A72C11"/>
    <w:rsid w:val="00A73E7D"/>
    <w:rsid w:val="00A740DF"/>
    <w:rsid w:val="00A75211"/>
    <w:rsid w:val="00A77D9B"/>
    <w:rsid w:val="00A806B8"/>
    <w:rsid w:val="00A819E7"/>
    <w:rsid w:val="00A81A8C"/>
    <w:rsid w:val="00A81D22"/>
    <w:rsid w:val="00A81E94"/>
    <w:rsid w:val="00A821E5"/>
    <w:rsid w:val="00A82D0F"/>
    <w:rsid w:val="00A83125"/>
    <w:rsid w:val="00A83787"/>
    <w:rsid w:val="00A83A73"/>
    <w:rsid w:val="00A83CB1"/>
    <w:rsid w:val="00A841F6"/>
    <w:rsid w:val="00A86001"/>
    <w:rsid w:val="00A87731"/>
    <w:rsid w:val="00A87E27"/>
    <w:rsid w:val="00A87F47"/>
    <w:rsid w:val="00A90F32"/>
    <w:rsid w:val="00A91101"/>
    <w:rsid w:val="00A9156A"/>
    <w:rsid w:val="00A91699"/>
    <w:rsid w:val="00A942ED"/>
    <w:rsid w:val="00A95162"/>
    <w:rsid w:val="00A96265"/>
    <w:rsid w:val="00A97964"/>
    <w:rsid w:val="00A97CA8"/>
    <w:rsid w:val="00AA14D7"/>
    <w:rsid w:val="00AA1843"/>
    <w:rsid w:val="00AA1AEA"/>
    <w:rsid w:val="00AA231C"/>
    <w:rsid w:val="00AA63EC"/>
    <w:rsid w:val="00AA6BFC"/>
    <w:rsid w:val="00AA7A44"/>
    <w:rsid w:val="00AB198F"/>
    <w:rsid w:val="00AB20A8"/>
    <w:rsid w:val="00AB20E3"/>
    <w:rsid w:val="00AB25D7"/>
    <w:rsid w:val="00AB25F5"/>
    <w:rsid w:val="00AB5498"/>
    <w:rsid w:val="00AB6932"/>
    <w:rsid w:val="00AB789C"/>
    <w:rsid w:val="00AB7BD4"/>
    <w:rsid w:val="00AC24D1"/>
    <w:rsid w:val="00AC35BF"/>
    <w:rsid w:val="00AC42E2"/>
    <w:rsid w:val="00AC67C8"/>
    <w:rsid w:val="00AD11BE"/>
    <w:rsid w:val="00AD3476"/>
    <w:rsid w:val="00AD34E1"/>
    <w:rsid w:val="00AD3978"/>
    <w:rsid w:val="00AD4360"/>
    <w:rsid w:val="00AD4A13"/>
    <w:rsid w:val="00AD4A66"/>
    <w:rsid w:val="00AD5B16"/>
    <w:rsid w:val="00AD6195"/>
    <w:rsid w:val="00AD6EE2"/>
    <w:rsid w:val="00AD7338"/>
    <w:rsid w:val="00AD7373"/>
    <w:rsid w:val="00AD7CE1"/>
    <w:rsid w:val="00AE0231"/>
    <w:rsid w:val="00AE04AC"/>
    <w:rsid w:val="00AE1073"/>
    <w:rsid w:val="00AE26F2"/>
    <w:rsid w:val="00AE3C9B"/>
    <w:rsid w:val="00AE4199"/>
    <w:rsid w:val="00AE4396"/>
    <w:rsid w:val="00AE561D"/>
    <w:rsid w:val="00AE6FC5"/>
    <w:rsid w:val="00AE7E12"/>
    <w:rsid w:val="00AF0140"/>
    <w:rsid w:val="00AF01EA"/>
    <w:rsid w:val="00AF1748"/>
    <w:rsid w:val="00AF1BD3"/>
    <w:rsid w:val="00AF3620"/>
    <w:rsid w:val="00AF45E4"/>
    <w:rsid w:val="00AF4C7F"/>
    <w:rsid w:val="00AF52F9"/>
    <w:rsid w:val="00AF54B1"/>
    <w:rsid w:val="00AF5718"/>
    <w:rsid w:val="00AF6D81"/>
    <w:rsid w:val="00AF7085"/>
    <w:rsid w:val="00AF717C"/>
    <w:rsid w:val="00B0145E"/>
    <w:rsid w:val="00B01635"/>
    <w:rsid w:val="00B03247"/>
    <w:rsid w:val="00B03299"/>
    <w:rsid w:val="00B03D4C"/>
    <w:rsid w:val="00B04452"/>
    <w:rsid w:val="00B0619C"/>
    <w:rsid w:val="00B06393"/>
    <w:rsid w:val="00B1145F"/>
    <w:rsid w:val="00B11AD1"/>
    <w:rsid w:val="00B12008"/>
    <w:rsid w:val="00B12EE2"/>
    <w:rsid w:val="00B1325D"/>
    <w:rsid w:val="00B140BC"/>
    <w:rsid w:val="00B16540"/>
    <w:rsid w:val="00B16F18"/>
    <w:rsid w:val="00B17A6D"/>
    <w:rsid w:val="00B2057C"/>
    <w:rsid w:val="00B209B6"/>
    <w:rsid w:val="00B20DC1"/>
    <w:rsid w:val="00B2106B"/>
    <w:rsid w:val="00B23964"/>
    <w:rsid w:val="00B24499"/>
    <w:rsid w:val="00B2725F"/>
    <w:rsid w:val="00B27F7C"/>
    <w:rsid w:val="00B303AC"/>
    <w:rsid w:val="00B304E7"/>
    <w:rsid w:val="00B30ECE"/>
    <w:rsid w:val="00B3110A"/>
    <w:rsid w:val="00B32592"/>
    <w:rsid w:val="00B325EA"/>
    <w:rsid w:val="00B34A8D"/>
    <w:rsid w:val="00B3626C"/>
    <w:rsid w:val="00B41E4F"/>
    <w:rsid w:val="00B4244F"/>
    <w:rsid w:val="00B43342"/>
    <w:rsid w:val="00B43B3E"/>
    <w:rsid w:val="00B44E2F"/>
    <w:rsid w:val="00B4541B"/>
    <w:rsid w:val="00B456C9"/>
    <w:rsid w:val="00B45A6C"/>
    <w:rsid w:val="00B46FBD"/>
    <w:rsid w:val="00B50133"/>
    <w:rsid w:val="00B519E5"/>
    <w:rsid w:val="00B51B0B"/>
    <w:rsid w:val="00B54842"/>
    <w:rsid w:val="00B56B48"/>
    <w:rsid w:val="00B60226"/>
    <w:rsid w:val="00B64AC5"/>
    <w:rsid w:val="00B6539D"/>
    <w:rsid w:val="00B65CE0"/>
    <w:rsid w:val="00B66D2B"/>
    <w:rsid w:val="00B67326"/>
    <w:rsid w:val="00B676F1"/>
    <w:rsid w:val="00B71F5A"/>
    <w:rsid w:val="00B77E54"/>
    <w:rsid w:val="00B81A44"/>
    <w:rsid w:val="00B81B95"/>
    <w:rsid w:val="00B82799"/>
    <w:rsid w:val="00B8290E"/>
    <w:rsid w:val="00B831F2"/>
    <w:rsid w:val="00B84B26"/>
    <w:rsid w:val="00B86CF4"/>
    <w:rsid w:val="00B875E4"/>
    <w:rsid w:val="00B87754"/>
    <w:rsid w:val="00B87DFC"/>
    <w:rsid w:val="00B908AA"/>
    <w:rsid w:val="00B9196F"/>
    <w:rsid w:val="00B93814"/>
    <w:rsid w:val="00B93C4A"/>
    <w:rsid w:val="00B93D52"/>
    <w:rsid w:val="00B94333"/>
    <w:rsid w:val="00B94519"/>
    <w:rsid w:val="00B9466E"/>
    <w:rsid w:val="00B94815"/>
    <w:rsid w:val="00B95936"/>
    <w:rsid w:val="00B97FC3"/>
    <w:rsid w:val="00BA0F66"/>
    <w:rsid w:val="00BA2963"/>
    <w:rsid w:val="00BA350F"/>
    <w:rsid w:val="00BA3EBD"/>
    <w:rsid w:val="00BA41CF"/>
    <w:rsid w:val="00BA4E64"/>
    <w:rsid w:val="00BA68EA"/>
    <w:rsid w:val="00BA6E25"/>
    <w:rsid w:val="00BA7C35"/>
    <w:rsid w:val="00BB1BF0"/>
    <w:rsid w:val="00BB1C2D"/>
    <w:rsid w:val="00BB2402"/>
    <w:rsid w:val="00BB394B"/>
    <w:rsid w:val="00BB46C4"/>
    <w:rsid w:val="00BB4D3B"/>
    <w:rsid w:val="00BB6AAA"/>
    <w:rsid w:val="00BB744B"/>
    <w:rsid w:val="00BC078C"/>
    <w:rsid w:val="00BC12C4"/>
    <w:rsid w:val="00BC1781"/>
    <w:rsid w:val="00BC3A38"/>
    <w:rsid w:val="00BC3AC9"/>
    <w:rsid w:val="00BC3C81"/>
    <w:rsid w:val="00BC49D7"/>
    <w:rsid w:val="00BC6172"/>
    <w:rsid w:val="00BD257B"/>
    <w:rsid w:val="00BD2676"/>
    <w:rsid w:val="00BD5047"/>
    <w:rsid w:val="00BD666F"/>
    <w:rsid w:val="00BE0A33"/>
    <w:rsid w:val="00BE2294"/>
    <w:rsid w:val="00BE36E8"/>
    <w:rsid w:val="00BE5D8E"/>
    <w:rsid w:val="00BE66DC"/>
    <w:rsid w:val="00BE7CAA"/>
    <w:rsid w:val="00BF183C"/>
    <w:rsid w:val="00BF1CC9"/>
    <w:rsid w:val="00BF21A6"/>
    <w:rsid w:val="00BF31A9"/>
    <w:rsid w:val="00BF3F04"/>
    <w:rsid w:val="00BF4D00"/>
    <w:rsid w:val="00BF4D72"/>
    <w:rsid w:val="00BF5CD6"/>
    <w:rsid w:val="00BF7953"/>
    <w:rsid w:val="00BF7ECF"/>
    <w:rsid w:val="00C00471"/>
    <w:rsid w:val="00C00D50"/>
    <w:rsid w:val="00C01730"/>
    <w:rsid w:val="00C01B8C"/>
    <w:rsid w:val="00C01E1A"/>
    <w:rsid w:val="00C0269D"/>
    <w:rsid w:val="00C02BB4"/>
    <w:rsid w:val="00C03A55"/>
    <w:rsid w:val="00C04B0B"/>
    <w:rsid w:val="00C05DFB"/>
    <w:rsid w:val="00C06BC5"/>
    <w:rsid w:val="00C06CCD"/>
    <w:rsid w:val="00C079BA"/>
    <w:rsid w:val="00C07E0A"/>
    <w:rsid w:val="00C1081C"/>
    <w:rsid w:val="00C10ABD"/>
    <w:rsid w:val="00C11E0E"/>
    <w:rsid w:val="00C13802"/>
    <w:rsid w:val="00C15378"/>
    <w:rsid w:val="00C15B08"/>
    <w:rsid w:val="00C174FA"/>
    <w:rsid w:val="00C177DE"/>
    <w:rsid w:val="00C17CEA"/>
    <w:rsid w:val="00C2003A"/>
    <w:rsid w:val="00C2077C"/>
    <w:rsid w:val="00C21801"/>
    <w:rsid w:val="00C21DE7"/>
    <w:rsid w:val="00C228B2"/>
    <w:rsid w:val="00C22A32"/>
    <w:rsid w:val="00C22C8E"/>
    <w:rsid w:val="00C22DC5"/>
    <w:rsid w:val="00C2366D"/>
    <w:rsid w:val="00C243B6"/>
    <w:rsid w:val="00C246C7"/>
    <w:rsid w:val="00C24E3D"/>
    <w:rsid w:val="00C25B20"/>
    <w:rsid w:val="00C25DDE"/>
    <w:rsid w:val="00C265EF"/>
    <w:rsid w:val="00C30930"/>
    <w:rsid w:val="00C348DD"/>
    <w:rsid w:val="00C35676"/>
    <w:rsid w:val="00C3634F"/>
    <w:rsid w:val="00C364BB"/>
    <w:rsid w:val="00C36EE2"/>
    <w:rsid w:val="00C37581"/>
    <w:rsid w:val="00C37F78"/>
    <w:rsid w:val="00C41592"/>
    <w:rsid w:val="00C4176B"/>
    <w:rsid w:val="00C4186D"/>
    <w:rsid w:val="00C41978"/>
    <w:rsid w:val="00C420E0"/>
    <w:rsid w:val="00C4253E"/>
    <w:rsid w:val="00C43D79"/>
    <w:rsid w:val="00C44C0A"/>
    <w:rsid w:val="00C453FF"/>
    <w:rsid w:val="00C477D9"/>
    <w:rsid w:val="00C50273"/>
    <w:rsid w:val="00C509C7"/>
    <w:rsid w:val="00C50E50"/>
    <w:rsid w:val="00C50F8B"/>
    <w:rsid w:val="00C5172E"/>
    <w:rsid w:val="00C53676"/>
    <w:rsid w:val="00C54BE1"/>
    <w:rsid w:val="00C54EEA"/>
    <w:rsid w:val="00C55DEB"/>
    <w:rsid w:val="00C56091"/>
    <w:rsid w:val="00C561FF"/>
    <w:rsid w:val="00C604F8"/>
    <w:rsid w:val="00C61C49"/>
    <w:rsid w:val="00C62EA6"/>
    <w:rsid w:val="00C63078"/>
    <w:rsid w:val="00C65219"/>
    <w:rsid w:val="00C65CB5"/>
    <w:rsid w:val="00C65D33"/>
    <w:rsid w:val="00C66C9D"/>
    <w:rsid w:val="00C676BC"/>
    <w:rsid w:val="00C67CFC"/>
    <w:rsid w:val="00C67F77"/>
    <w:rsid w:val="00C7066F"/>
    <w:rsid w:val="00C70F5D"/>
    <w:rsid w:val="00C724A5"/>
    <w:rsid w:val="00C738EB"/>
    <w:rsid w:val="00C74637"/>
    <w:rsid w:val="00C74CDA"/>
    <w:rsid w:val="00C765C5"/>
    <w:rsid w:val="00C80705"/>
    <w:rsid w:val="00C80A5D"/>
    <w:rsid w:val="00C85AAA"/>
    <w:rsid w:val="00C86E8C"/>
    <w:rsid w:val="00C873B2"/>
    <w:rsid w:val="00C90FA7"/>
    <w:rsid w:val="00C91C98"/>
    <w:rsid w:val="00C93A49"/>
    <w:rsid w:val="00C9441B"/>
    <w:rsid w:val="00C94E46"/>
    <w:rsid w:val="00C96730"/>
    <w:rsid w:val="00C96EB4"/>
    <w:rsid w:val="00C97851"/>
    <w:rsid w:val="00CA012C"/>
    <w:rsid w:val="00CA1F34"/>
    <w:rsid w:val="00CA210F"/>
    <w:rsid w:val="00CA2355"/>
    <w:rsid w:val="00CA24FD"/>
    <w:rsid w:val="00CA764D"/>
    <w:rsid w:val="00CA7FB2"/>
    <w:rsid w:val="00CB1D02"/>
    <w:rsid w:val="00CB3945"/>
    <w:rsid w:val="00CB4098"/>
    <w:rsid w:val="00CB42F5"/>
    <w:rsid w:val="00CB45CD"/>
    <w:rsid w:val="00CB4EA5"/>
    <w:rsid w:val="00CB56DA"/>
    <w:rsid w:val="00CB7977"/>
    <w:rsid w:val="00CC135E"/>
    <w:rsid w:val="00CC36A8"/>
    <w:rsid w:val="00CC36F7"/>
    <w:rsid w:val="00CC37D4"/>
    <w:rsid w:val="00CC44BD"/>
    <w:rsid w:val="00CC54CB"/>
    <w:rsid w:val="00CC58FC"/>
    <w:rsid w:val="00CC671B"/>
    <w:rsid w:val="00CC6986"/>
    <w:rsid w:val="00CC725C"/>
    <w:rsid w:val="00CC74B7"/>
    <w:rsid w:val="00CD0DA5"/>
    <w:rsid w:val="00CD28B9"/>
    <w:rsid w:val="00CD30F0"/>
    <w:rsid w:val="00CD3CFB"/>
    <w:rsid w:val="00CD3F6B"/>
    <w:rsid w:val="00CD4BC2"/>
    <w:rsid w:val="00CE0537"/>
    <w:rsid w:val="00CE06D6"/>
    <w:rsid w:val="00CE416F"/>
    <w:rsid w:val="00CE41BF"/>
    <w:rsid w:val="00CE563E"/>
    <w:rsid w:val="00CE6026"/>
    <w:rsid w:val="00CE6246"/>
    <w:rsid w:val="00CE66DD"/>
    <w:rsid w:val="00CE67A1"/>
    <w:rsid w:val="00CE7494"/>
    <w:rsid w:val="00CE78A5"/>
    <w:rsid w:val="00CE7A1F"/>
    <w:rsid w:val="00CF1443"/>
    <w:rsid w:val="00CF2CF5"/>
    <w:rsid w:val="00CF7361"/>
    <w:rsid w:val="00CF7567"/>
    <w:rsid w:val="00D019BA"/>
    <w:rsid w:val="00D02C0B"/>
    <w:rsid w:val="00D033B6"/>
    <w:rsid w:val="00D045BE"/>
    <w:rsid w:val="00D05911"/>
    <w:rsid w:val="00D0706A"/>
    <w:rsid w:val="00D07E85"/>
    <w:rsid w:val="00D12E71"/>
    <w:rsid w:val="00D13480"/>
    <w:rsid w:val="00D17977"/>
    <w:rsid w:val="00D242EE"/>
    <w:rsid w:val="00D24FF0"/>
    <w:rsid w:val="00D25810"/>
    <w:rsid w:val="00D259E5"/>
    <w:rsid w:val="00D26400"/>
    <w:rsid w:val="00D266C4"/>
    <w:rsid w:val="00D3092D"/>
    <w:rsid w:val="00D31115"/>
    <w:rsid w:val="00D3275C"/>
    <w:rsid w:val="00D33134"/>
    <w:rsid w:val="00D34BBF"/>
    <w:rsid w:val="00D35F95"/>
    <w:rsid w:val="00D37565"/>
    <w:rsid w:val="00D37F3E"/>
    <w:rsid w:val="00D40D6D"/>
    <w:rsid w:val="00D427CE"/>
    <w:rsid w:val="00D4293C"/>
    <w:rsid w:val="00D4311B"/>
    <w:rsid w:val="00D4367A"/>
    <w:rsid w:val="00D4377E"/>
    <w:rsid w:val="00D4386A"/>
    <w:rsid w:val="00D4567B"/>
    <w:rsid w:val="00D45DF8"/>
    <w:rsid w:val="00D45FB0"/>
    <w:rsid w:val="00D47637"/>
    <w:rsid w:val="00D500EB"/>
    <w:rsid w:val="00D507D5"/>
    <w:rsid w:val="00D51EE8"/>
    <w:rsid w:val="00D52120"/>
    <w:rsid w:val="00D521DF"/>
    <w:rsid w:val="00D55A8D"/>
    <w:rsid w:val="00D567A2"/>
    <w:rsid w:val="00D56AD3"/>
    <w:rsid w:val="00D572DA"/>
    <w:rsid w:val="00D57810"/>
    <w:rsid w:val="00D60FE1"/>
    <w:rsid w:val="00D62A8C"/>
    <w:rsid w:val="00D65614"/>
    <w:rsid w:val="00D65DDC"/>
    <w:rsid w:val="00D70244"/>
    <w:rsid w:val="00D702A6"/>
    <w:rsid w:val="00D70E60"/>
    <w:rsid w:val="00D72580"/>
    <w:rsid w:val="00D725FF"/>
    <w:rsid w:val="00D7278A"/>
    <w:rsid w:val="00D72DAB"/>
    <w:rsid w:val="00D73274"/>
    <w:rsid w:val="00D74C9F"/>
    <w:rsid w:val="00D75092"/>
    <w:rsid w:val="00D750B4"/>
    <w:rsid w:val="00D77F60"/>
    <w:rsid w:val="00D81882"/>
    <w:rsid w:val="00D83EBD"/>
    <w:rsid w:val="00D84775"/>
    <w:rsid w:val="00D87381"/>
    <w:rsid w:val="00D87892"/>
    <w:rsid w:val="00D904EC"/>
    <w:rsid w:val="00D90F53"/>
    <w:rsid w:val="00D94DE0"/>
    <w:rsid w:val="00D9506F"/>
    <w:rsid w:val="00D969B5"/>
    <w:rsid w:val="00D9706B"/>
    <w:rsid w:val="00D97378"/>
    <w:rsid w:val="00D975E6"/>
    <w:rsid w:val="00DA16FC"/>
    <w:rsid w:val="00DA415B"/>
    <w:rsid w:val="00DA5CCE"/>
    <w:rsid w:val="00DA71ED"/>
    <w:rsid w:val="00DB0540"/>
    <w:rsid w:val="00DB59F2"/>
    <w:rsid w:val="00DB63F7"/>
    <w:rsid w:val="00DB77DA"/>
    <w:rsid w:val="00DC1B05"/>
    <w:rsid w:val="00DC3756"/>
    <w:rsid w:val="00DC3945"/>
    <w:rsid w:val="00DC3D67"/>
    <w:rsid w:val="00DC4130"/>
    <w:rsid w:val="00DC7798"/>
    <w:rsid w:val="00DD0126"/>
    <w:rsid w:val="00DD1D8A"/>
    <w:rsid w:val="00DD2EF7"/>
    <w:rsid w:val="00DD306B"/>
    <w:rsid w:val="00DD349D"/>
    <w:rsid w:val="00DD3993"/>
    <w:rsid w:val="00DD5592"/>
    <w:rsid w:val="00DD76FA"/>
    <w:rsid w:val="00DE0839"/>
    <w:rsid w:val="00DE1A5B"/>
    <w:rsid w:val="00DE2B94"/>
    <w:rsid w:val="00DE3158"/>
    <w:rsid w:val="00DE4F3C"/>
    <w:rsid w:val="00DE5C61"/>
    <w:rsid w:val="00DE5DBB"/>
    <w:rsid w:val="00DE6ED5"/>
    <w:rsid w:val="00DE7F4A"/>
    <w:rsid w:val="00DF156F"/>
    <w:rsid w:val="00DF1B2A"/>
    <w:rsid w:val="00DF1D85"/>
    <w:rsid w:val="00DF2B9D"/>
    <w:rsid w:val="00DF3736"/>
    <w:rsid w:val="00DF3979"/>
    <w:rsid w:val="00DF3C0C"/>
    <w:rsid w:val="00DF446A"/>
    <w:rsid w:val="00DF51E2"/>
    <w:rsid w:val="00DF7F2D"/>
    <w:rsid w:val="00E002C7"/>
    <w:rsid w:val="00E0245B"/>
    <w:rsid w:val="00E04D87"/>
    <w:rsid w:val="00E0543E"/>
    <w:rsid w:val="00E05E2B"/>
    <w:rsid w:val="00E0603F"/>
    <w:rsid w:val="00E060DA"/>
    <w:rsid w:val="00E078F2"/>
    <w:rsid w:val="00E13396"/>
    <w:rsid w:val="00E13486"/>
    <w:rsid w:val="00E15BC0"/>
    <w:rsid w:val="00E160F5"/>
    <w:rsid w:val="00E16544"/>
    <w:rsid w:val="00E17356"/>
    <w:rsid w:val="00E176A3"/>
    <w:rsid w:val="00E179D8"/>
    <w:rsid w:val="00E21228"/>
    <w:rsid w:val="00E21EDB"/>
    <w:rsid w:val="00E229E0"/>
    <w:rsid w:val="00E237DA"/>
    <w:rsid w:val="00E243B2"/>
    <w:rsid w:val="00E2517F"/>
    <w:rsid w:val="00E259A3"/>
    <w:rsid w:val="00E25B63"/>
    <w:rsid w:val="00E2638A"/>
    <w:rsid w:val="00E266D9"/>
    <w:rsid w:val="00E27236"/>
    <w:rsid w:val="00E27F20"/>
    <w:rsid w:val="00E3129A"/>
    <w:rsid w:val="00E320DA"/>
    <w:rsid w:val="00E33E6D"/>
    <w:rsid w:val="00E34E39"/>
    <w:rsid w:val="00E35463"/>
    <w:rsid w:val="00E354DF"/>
    <w:rsid w:val="00E35FD3"/>
    <w:rsid w:val="00E360C2"/>
    <w:rsid w:val="00E36237"/>
    <w:rsid w:val="00E408DD"/>
    <w:rsid w:val="00E426ED"/>
    <w:rsid w:val="00E438FE"/>
    <w:rsid w:val="00E45D42"/>
    <w:rsid w:val="00E4655E"/>
    <w:rsid w:val="00E465DE"/>
    <w:rsid w:val="00E4665A"/>
    <w:rsid w:val="00E46F79"/>
    <w:rsid w:val="00E472DF"/>
    <w:rsid w:val="00E50AED"/>
    <w:rsid w:val="00E51CF3"/>
    <w:rsid w:val="00E530C5"/>
    <w:rsid w:val="00E54D24"/>
    <w:rsid w:val="00E554EB"/>
    <w:rsid w:val="00E555A7"/>
    <w:rsid w:val="00E612B3"/>
    <w:rsid w:val="00E61585"/>
    <w:rsid w:val="00E62424"/>
    <w:rsid w:val="00E624DC"/>
    <w:rsid w:val="00E62826"/>
    <w:rsid w:val="00E62C53"/>
    <w:rsid w:val="00E63009"/>
    <w:rsid w:val="00E63C5C"/>
    <w:rsid w:val="00E64D81"/>
    <w:rsid w:val="00E66DDF"/>
    <w:rsid w:val="00E70373"/>
    <w:rsid w:val="00E721AF"/>
    <w:rsid w:val="00E736DE"/>
    <w:rsid w:val="00E740E2"/>
    <w:rsid w:val="00E75D58"/>
    <w:rsid w:val="00E761A9"/>
    <w:rsid w:val="00E76AEC"/>
    <w:rsid w:val="00E776B0"/>
    <w:rsid w:val="00E776E3"/>
    <w:rsid w:val="00E800B6"/>
    <w:rsid w:val="00E80AF8"/>
    <w:rsid w:val="00E84088"/>
    <w:rsid w:val="00E853D6"/>
    <w:rsid w:val="00E8651A"/>
    <w:rsid w:val="00E87BD0"/>
    <w:rsid w:val="00E903DB"/>
    <w:rsid w:val="00E91133"/>
    <w:rsid w:val="00E94072"/>
    <w:rsid w:val="00E949B0"/>
    <w:rsid w:val="00E95793"/>
    <w:rsid w:val="00E96AD0"/>
    <w:rsid w:val="00E974A1"/>
    <w:rsid w:val="00EA0CE5"/>
    <w:rsid w:val="00EA2A95"/>
    <w:rsid w:val="00EA5246"/>
    <w:rsid w:val="00EA5792"/>
    <w:rsid w:val="00EB03F2"/>
    <w:rsid w:val="00EB0AF1"/>
    <w:rsid w:val="00EB103B"/>
    <w:rsid w:val="00EB175F"/>
    <w:rsid w:val="00EB262A"/>
    <w:rsid w:val="00EB291D"/>
    <w:rsid w:val="00EB4563"/>
    <w:rsid w:val="00EB4E4E"/>
    <w:rsid w:val="00EB514A"/>
    <w:rsid w:val="00EB6783"/>
    <w:rsid w:val="00EB6D97"/>
    <w:rsid w:val="00EB71F9"/>
    <w:rsid w:val="00EC0790"/>
    <w:rsid w:val="00EC23E9"/>
    <w:rsid w:val="00EC37F6"/>
    <w:rsid w:val="00EC442D"/>
    <w:rsid w:val="00EC58F1"/>
    <w:rsid w:val="00EC71B7"/>
    <w:rsid w:val="00EC79E2"/>
    <w:rsid w:val="00ED050D"/>
    <w:rsid w:val="00ED1167"/>
    <w:rsid w:val="00ED1F66"/>
    <w:rsid w:val="00ED1FAB"/>
    <w:rsid w:val="00ED3385"/>
    <w:rsid w:val="00ED4A13"/>
    <w:rsid w:val="00ED55AC"/>
    <w:rsid w:val="00ED5F0C"/>
    <w:rsid w:val="00ED6444"/>
    <w:rsid w:val="00ED7C1A"/>
    <w:rsid w:val="00EE025F"/>
    <w:rsid w:val="00EE0880"/>
    <w:rsid w:val="00EE0C82"/>
    <w:rsid w:val="00EE0F64"/>
    <w:rsid w:val="00EE231E"/>
    <w:rsid w:val="00EE237E"/>
    <w:rsid w:val="00EE2E40"/>
    <w:rsid w:val="00EE39F0"/>
    <w:rsid w:val="00EE3FC3"/>
    <w:rsid w:val="00EE65E5"/>
    <w:rsid w:val="00EE73CE"/>
    <w:rsid w:val="00EF030F"/>
    <w:rsid w:val="00EF07E0"/>
    <w:rsid w:val="00EF12F1"/>
    <w:rsid w:val="00EF5E0C"/>
    <w:rsid w:val="00EF62C8"/>
    <w:rsid w:val="00EF63DA"/>
    <w:rsid w:val="00EF6749"/>
    <w:rsid w:val="00EF7281"/>
    <w:rsid w:val="00F00B2D"/>
    <w:rsid w:val="00F03392"/>
    <w:rsid w:val="00F039BB"/>
    <w:rsid w:val="00F05449"/>
    <w:rsid w:val="00F05E72"/>
    <w:rsid w:val="00F06773"/>
    <w:rsid w:val="00F06809"/>
    <w:rsid w:val="00F070BF"/>
    <w:rsid w:val="00F07170"/>
    <w:rsid w:val="00F07B6B"/>
    <w:rsid w:val="00F101B4"/>
    <w:rsid w:val="00F1021C"/>
    <w:rsid w:val="00F1191B"/>
    <w:rsid w:val="00F12630"/>
    <w:rsid w:val="00F16DD0"/>
    <w:rsid w:val="00F178AD"/>
    <w:rsid w:val="00F17977"/>
    <w:rsid w:val="00F2010B"/>
    <w:rsid w:val="00F21B49"/>
    <w:rsid w:val="00F24179"/>
    <w:rsid w:val="00F24280"/>
    <w:rsid w:val="00F246AF"/>
    <w:rsid w:val="00F2537D"/>
    <w:rsid w:val="00F264C5"/>
    <w:rsid w:val="00F26BF9"/>
    <w:rsid w:val="00F3076F"/>
    <w:rsid w:val="00F30A79"/>
    <w:rsid w:val="00F314B2"/>
    <w:rsid w:val="00F317EA"/>
    <w:rsid w:val="00F319EB"/>
    <w:rsid w:val="00F339E4"/>
    <w:rsid w:val="00F34857"/>
    <w:rsid w:val="00F34B2B"/>
    <w:rsid w:val="00F359E8"/>
    <w:rsid w:val="00F36E67"/>
    <w:rsid w:val="00F37AA9"/>
    <w:rsid w:val="00F37C1A"/>
    <w:rsid w:val="00F43636"/>
    <w:rsid w:val="00F43F37"/>
    <w:rsid w:val="00F44427"/>
    <w:rsid w:val="00F4461A"/>
    <w:rsid w:val="00F4550B"/>
    <w:rsid w:val="00F51E96"/>
    <w:rsid w:val="00F52181"/>
    <w:rsid w:val="00F521A8"/>
    <w:rsid w:val="00F52990"/>
    <w:rsid w:val="00F52B9C"/>
    <w:rsid w:val="00F52D34"/>
    <w:rsid w:val="00F5304E"/>
    <w:rsid w:val="00F53463"/>
    <w:rsid w:val="00F5453F"/>
    <w:rsid w:val="00F54C27"/>
    <w:rsid w:val="00F55281"/>
    <w:rsid w:val="00F5543F"/>
    <w:rsid w:val="00F5595A"/>
    <w:rsid w:val="00F568CA"/>
    <w:rsid w:val="00F624AA"/>
    <w:rsid w:val="00F6395A"/>
    <w:rsid w:val="00F63A2A"/>
    <w:rsid w:val="00F63C76"/>
    <w:rsid w:val="00F64762"/>
    <w:rsid w:val="00F64832"/>
    <w:rsid w:val="00F65D26"/>
    <w:rsid w:val="00F6660E"/>
    <w:rsid w:val="00F666DE"/>
    <w:rsid w:val="00F72170"/>
    <w:rsid w:val="00F72369"/>
    <w:rsid w:val="00F74B70"/>
    <w:rsid w:val="00F74BC9"/>
    <w:rsid w:val="00F74BCF"/>
    <w:rsid w:val="00F757F7"/>
    <w:rsid w:val="00F77E9D"/>
    <w:rsid w:val="00F81018"/>
    <w:rsid w:val="00F8139D"/>
    <w:rsid w:val="00F826D7"/>
    <w:rsid w:val="00F82F7B"/>
    <w:rsid w:val="00F84594"/>
    <w:rsid w:val="00F845E6"/>
    <w:rsid w:val="00F8462D"/>
    <w:rsid w:val="00F851D1"/>
    <w:rsid w:val="00F867CE"/>
    <w:rsid w:val="00F87CB1"/>
    <w:rsid w:val="00F9097E"/>
    <w:rsid w:val="00F916B7"/>
    <w:rsid w:val="00F92205"/>
    <w:rsid w:val="00F941DA"/>
    <w:rsid w:val="00F94D9C"/>
    <w:rsid w:val="00F95A16"/>
    <w:rsid w:val="00F960F6"/>
    <w:rsid w:val="00F97E1D"/>
    <w:rsid w:val="00FA02B0"/>
    <w:rsid w:val="00FA09C6"/>
    <w:rsid w:val="00FA0F01"/>
    <w:rsid w:val="00FA35AC"/>
    <w:rsid w:val="00FA3F2B"/>
    <w:rsid w:val="00FA5B33"/>
    <w:rsid w:val="00FA5BDB"/>
    <w:rsid w:val="00FA74A6"/>
    <w:rsid w:val="00FB1490"/>
    <w:rsid w:val="00FB1CE5"/>
    <w:rsid w:val="00FB2180"/>
    <w:rsid w:val="00FB223B"/>
    <w:rsid w:val="00FB2CAD"/>
    <w:rsid w:val="00FB4520"/>
    <w:rsid w:val="00FB4EE1"/>
    <w:rsid w:val="00FB6698"/>
    <w:rsid w:val="00FB70BC"/>
    <w:rsid w:val="00FB7732"/>
    <w:rsid w:val="00FC0E05"/>
    <w:rsid w:val="00FC1225"/>
    <w:rsid w:val="00FC1D02"/>
    <w:rsid w:val="00FC21FD"/>
    <w:rsid w:val="00FC2323"/>
    <w:rsid w:val="00FC30EE"/>
    <w:rsid w:val="00FC4BC0"/>
    <w:rsid w:val="00FC5860"/>
    <w:rsid w:val="00FC74F3"/>
    <w:rsid w:val="00FC7659"/>
    <w:rsid w:val="00FC76A9"/>
    <w:rsid w:val="00FC7BB0"/>
    <w:rsid w:val="00FD494E"/>
    <w:rsid w:val="00FD4BAE"/>
    <w:rsid w:val="00FD4D05"/>
    <w:rsid w:val="00FD4D50"/>
    <w:rsid w:val="00FD5232"/>
    <w:rsid w:val="00FD6626"/>
    <w:rsid w:val="00FE038F"/>
    <w:rsid w:val="00FE1123"/>
    <w:rsid w:val="00FE1297"/>
    <w:rsid w:val="00FE1D7D"/>
    <w:rsid w:val="00FE34E4"/>
    <w:rsid w:val="00FE3797"/>
    <w:rsid w:val="00FE38C0"/>
    <w:rsid w:val="00FE445C"/>
    <w:rsid w:val="00FE4EE5"/>
    <w:rsid w:val="00FE5DED"/>
    <w:rsid w:val="00FE7892"/>
    <w:rsid w:val="00FE7E8C"/>
    <w:rsid w:val="00FF0FE1"/>
    <w:rsid w:val="00FF13EE"/>
    <w:rsid w:val="00FF1CE5"/>
    <w:rsid w:val="00FF2AF5"/>
    <w:rsid w:val="00FF3628"/>
    <w:rsid w:val="00FF4190"/>
    <w:rsid w:val="0102240C"/>
    <w:rsid w:val="010C7F41"/>
    <w:rsid w:val="0123584C"/>
    <w:rsid w:val="012A4725"/>
    <w:rsid w:val="013211C4"/>
    <w:rsid w:val="01347A59"/>
    <w:rsid w:val="014A2DD9"/>
    <w:rsid w:val="014F5D55"/>
    <w:rsid w:val="015058DD"/>
    <w:rsid w:val="01513237"/>
    <w:rsid w:val="01522FB1"/>
    <w:rsid w:val="01527EDF"/>
    <w:rsid w:val="015737CF"/>
    <w:rsid w:val="015772A4"/>
    <w:rsid w:val="01695955"/>
    <w:rsid w:val="016C0FA1"/>
    <w:rsid w:val="01714809"/>
    <w:rsid w:val="01763BCE"/>
    <w:rsid w:val="01773F08"/>
    <w:rsid w:val="01775D86"/>
    <w:rsid w:val="01806B0D"/>
    <w:rsid w:val="018A58CB"/>
    <w:rsid w:val="018F4C90"/>
    <w:rsid w:val="019B1992"/>
    <w:rsid w:val="019C5D81"/>
    <w:rsid w:val="01AC5AA6"/>
    <w:rsid w:val="01AE364B"/>
    <w:rsid w:val="01C964EE"/>
    <w:rsid w:val="01CF7782"/>
    <w:rsid w:val="01DD3C4D"/>
    <w:rsid w:val="01DF6910"/>
    <w:rsid w:val="01E07299"/>
    <w:rsid w:val="01E41FE8"/>
    <w:rsid w:val="01E42829"/>
    <w:rsid w:val="01EA2E81"/>
    <w:rsid w:val="01EB45BC"/>
    <w:rsid w:val="01FC3894"/>
    <w:rsid w:val="020176CD"/>
    <w:rsid w:val="02074908"/>
    <w:rsid w:val="020E6899"/>
    <w:rsid w:val="020F139A"/>
    <w:rsid w:val="02105DD0"/>
    <w:rsid w:val="02140610"/>
    <w:rsid w:val="02167022"/>
    <w:rsid w:val="02191E33"/>
    <w:rsid w:val="021B163F"/>
    <w:rsid w:val="02247ACE"/>
    <w:rsid w:val="022767E5"/>
    <w:rsid w:val="022A2E24"/>
    <w:rsid w:val="023F0464"/>
    <w:rsid w:val="024431A9"/>
    <w:rsid w:val="026003DA"/>
    <w:rsid w:val="026B1259"/>
    <w:rsid w:val="02706B88"/>
    <w:rsid w:val="027951DA"/>
    <w:rsid w:val="027B0CF6"/>
    <w:rsid w:val="027F4D04"/>
    <w:rsid w:val="0281282A"/>
    <w:rsid w:val="02851E3F"/>
    <w:rsid w:val="028B65E2"/>
    <w:rsid w:val="028E13EB"/>
    <w:rsid w:val="029E1705"/>
    <w:rsid w:val="02A243E6"/>
    <w:rsid w:val="02B341A2"/>
    <w:rsid w:val="02B349AE"/>
    <w:rsid w:val="02B62046"/>
    <w:rsid w:val="02C62933"/>
    <w:rsid w:val="02D05560"/>
    <w:rsid w:val="02DB5691"/>
    <w:rsid w:val="02DD2F85"/>
    <w:rsid w:val="02E64D83"/>
    <w:rsid w:val="02ED7EC0"/>
    <w:rsid w:val="02F27FB9"/>
    <w:rsid w:val="02FC6355"/>
    <w:rsid w:val="02FF3972"/>
    <w:rsid w:val="03056415"/>
    <w:rsid w:val="0320423A"/>
    <w:rsid w:val="033318F7"/>
    <w:rsid w:val="03355182"/>
    <w:rsid w:val="03510C1F"/>
    <w:rsid w:val="03577A2F"/>
    <w:rsid w:val="03604B36"/>
    <w:rsid w:val="0364676B"/>
    <w:rsid w:val="03661A20"/>
    <w:rsid w:val="03773C2D"/>
    <w:rsid w:val="037A0B0F"/>
    <w:rsid w:val="03830824"/>
    <w:rsid w:val="03885E3A"/>
    <w:rsid w:val="038F291E"/>
    <w:rsid w:val="03914CEF"/>
    <w:rsid w:val="039474F8"/>
    <w:rsid w:val="03A8554E"/>
    <w:rsid w:val="03BD1015"/>
    <w:rsid w:val="03C065C7"/>
    <w:rsid w:val="03C52BEB"/>
    <w:rsid w:val="03C94890"/>
    <w:rsid w:val="03E05C76"/>
    <w:rsid w:val="03F4702C"/>
    <w:rsid w:val="03F84D6E"/>
    <w:rsid w:val="03FB03BA"/>
    <w:rsid w:val="04071455"/>
    <w:rsid w:val="040C1631"/>
    <w:rsid w:val="040E25E8"/>
    <w:rsid w:val="040E58BE"/>
    <w:rsid w:val="040F20B8"/>
    <w:rsid w:val="04131BA8"/>
    <w:rsid w:val="041A21CD"/>
    <w:rsid w:val="041A2F36"/>
    <w:rsid w:val="041F7AEB"/>
    <w:rsid w:val="04206073"/>
    <w:rsid w:val="042B32BF"/>
    <w:rsid w:val="042C4A18"/>
    <w:rsid w:val="043A4DFA"/>
    <w:rsid w:val="043B420D"/>
    <w:rsid w:val="043F299D"/>
    <w:rsid w:val="04525154"/>
    <w:rsid w:val="045B3AF8"/>
    <w:rsid w:val="045B52FD"/>
    <w:rsid w:val="046240FB"/>
    <w:rsid w:val="0463143E"/>
    <w:rsid w:val="046501D7"/>
    <w:rsid w:val="046A5C17"/>
    <w:rsid w:val="046B2C26"/>
    <w:rsid w:val="046E0E27"/>
    <w:rsid w:val="0482414B"/>
    <w:rsid w:val="049C7DEF"/>
    <w:rsid w:val="04A31AD1"/>
    <w:rsid w:val="04A71B2E"/>
    <w:rsid w:val="04AB071E"/>
    <w:rsid w:val="04AC4935"/>
    <w:rsid w:val="04AF022F"/>
    <w:rsid w:val="04BE29F4"/>
    <w:rsid w:val="04BF5DD5"/>
    <w:rsid w:val="04CB5867"/>
    <w:rsid w:val="04DA12DA"/>
    <w:rsid w:val="04E154E7"/>
    <w:rsid w:val="04E83035"/>
    <w:rsid w:val="04E86B91"/>
    <w:rsid w:val="04ED23F9"/>
    <w:rsid w:val="04F46F7F"/>
    <w:rsid w:val="04F5670C"/>
    <w:rsid w:val="051450D4"/>
    <w:rsid w:val="05343214"/>
    <w:rsid w:val="0541624E"/>
    <w:rsid w:val="054305F2"/>
    <w:rsid w:val="05432A54"/>
    <w:rsid w:val="05452235"/>
    <w:rsid w:val="0552282F"/>
    <w:rsid w:val="055A54B2"/>
    <w:rsid w:val="056703FD"/>
    <w:rsid w:val="05724329"/>
    <w:rsid w:val="0573173F"/>
    <w:rsid w:val="05764199"/>
    <w:rsid w:val="05922FA0"/>
    <w:rsid w:val="05927CC1"/>
    <w:rsid w:val="0599432F"/>
    <w:rsid w:val="05A54DF4"/>
    <w:rsid w:val="05AF5900"/>
    <w:rsid w:val="05B747B5"/>
    <w:rsid w:val="05C60A49"/>
    <w:rsid w:val="05D259BD"/>
    <w:rsid w:val="05DF451F"/>
    <w:rsid w:val="05E27A84"/>
    <w:rsid w:val="05E70379"/>
    <w:rsid w:val="05F32667"/>
    <w:rsid w:val="05F45A09"/>
    <w:rsid w:val="060A6FDB"/>
    <w:rsid w:val="06113EC5"/>
    <w:rsid w:val="061630C5"/>
    <w:rsid w:val="061D0E3B"/>
    <w:rsid w:val="06257970"/>
    <w:rsid w:val="063302DF"/>
    <w:rsid w:val="063C1F2E"/>
    <w:rsid w:val="063D305A"/>
    <w:rsid w:val="063D4CBA"/>
    <w:rsid w:val="063D4E23"/>
    <w:rsid w:val="064A387B"/>
    <w:rsid w:val="06672975"/>
    <w:rsid w:val="06691F53"/>
    <w:rsid w:val="066A5EA1"/>
    <w:rsid w:val="066F086A"/>
    <w:rsid w:val="06710E08"/>
    <w:rsid w:val="0673692E"/>
    <w:rsid w:val="06760C3A"/>
    <w:rsid w:val="06772778"/>
    <w:rsid w:val="067B1C86"/>
    <w:rsid w:val="06890016"/>
    <w:rsid w:val="068A3CB5"/>
    <w:rsid w:val="069114AA"/>
    <w:rsid w:val="06940436"/>
    <w:rsid w:val="06A84A1D"/>
    <w:rsid w:val="06AE3F68"/>
    <w:rsid w:val="06B6252E"/>
    <w:rsid w:val="06BE5725"/>
    <w:rsid w:val="06C273F9"/>
    <w:rsid w:val="06CD24E2"/>
    <w:rsid w:val="06DC1E81"/>
    <w:rsid w:val="06E25862"/>
    <w:rsid w:val="06E54D66"/>
    <w:rsid w:val="06E86E4E"/>
    <w:rsid w:val="06EB6E0C"/>
    <w:rsid w:val="06F537E7"/>
    <w:rsid w:val="06FF56BD"/>
    <w:rsid w:val="07030E3E"/>
    <w:rsid w:val="070B283F"/>
    <w:rsid w:val="07126147"/>
    <w:rsid w:val="072B545A"/>
    <w:rsid w:val="073312BA"/>
    <w:rsid w:val="07510B6E"/>
    <w:rsid w:val="07530B23"/>
    <w:rsid w:val="07577FFE"/>
    <w:rsid w:val="076369A2"/>
    <w:rsid w:val="07725C7E"/>
    <w:rsid w:val="07743C52"/>
    <w:rsid w:val="0776788D"/>
    <w:rsid w:val="07782CCB"/>
    <w:rsid w:val="077961C6"/>
    <w:rsid w:val="077B2B23"/>
    <w:rsid w:val="07887094"/>
    <w:rsid w:val="079E7F01"/>
    <w:rsid w:val="07A34FF1"/>
    <w:rsid w:val="07A50D69"/>
    <w:rsid w:val="07B92E8A"/>
    <w:rsid w:val="07BB67DE"/>
    <w:rsid w:val="07C1191B"/>
    <w:rsid w:val="07CA0317"/>
    <w:rsid w:val="07CC279A"/>
    <w:rsid w:val="07D548E7"/>
    <w:rsid w:val="07E6312F"/>
    <w:rsid w:val="07EC2E3C"/>
    <w:rsid w:val="07ED5C07"/>
    <w:rsid w:val="07F92694"/>
    <w:rsid w:val="0802440D"/>
    <w:rsid w:val="08027EA4"/>
    <w:rsid w:val="08041448"/>
    <w:rsid w:val="08086F7D"/>
    <w:rsid w:val="080F3625"/>
    <w:rsid w:val="08141242"/>
    <w:rsid w:val="081906D7"/>
    <w:rsid w:val="081E32D0"/>
    <w:rsid w:val="081F40B1"/>
    <w:rsid w:val="083B16CD"/>
    <w:rsid w:val="083B791F"/>
    <w:rsid w:val="084555EB"/>
    <w:rsid w:val="08464D8E"/>
    <w:rsid w:val="08495703"/>
    <w:rsid w:val="084B4ABC"/>
    <w:rsid w:val="08533184"/>
    <w:rsid w:val="08573C15"/>
    <w:rsid w:val="085F5FF9"/>
    <w:rsid w:val="086C7AD9"/>
    <w:rsid w:val="086E2EEA"/>
    <w:rsid w:val="087846CF"/>
    <w:rsid w:val="087A2048"/>
    <w:rsid w:val="087D3A94"/>
    <w:rsid w:val="087F16D6"/>
    <w:rsid w:val="088237F5"/>
    <w:rsid w:val="08836BD0"/>
    <w:rsid w:val="088376DE"/>
    <w:rsid w:val="089704AA"/>
    <w:rsid w:val="08AB663F"/>
    <w:rsid w:val="08D95826"/>
    <w:rsid w:val="08DA0EE6"/>
    <w:rsid w:val="08E44D97"/>
    <w:rsid w:val="08E9364C"/>
    <w:rsid w:val="08FB2C0B"/>
    <w:rsid w:val="08FC124B"/>
    <w:rsid w:val="08FC3E83"/>
    <w:rsid w:val="08FD305C"/>
    <w:rsid w:val="08FE4A83"/>
    <w:rsid w:val="090715AF"/>
    <w:rsid w:val="09171F73"/>
    <w:rsid w:val="091C6C5B"/>
    <w:rsid w:val="091F2D9D"/>
    <w:rsid w:val="092117BF"/>
    <w:rsid w:val="09250409"/>
    <w:rsid w:val="0925775D"/>
    <w:rsid w:val="092951A8"/>
    <w:rsid w:val="092C2F19"/>
    <w:rsid w:val="09336431"/>
    <w:rsid w:val="0934067B"/>
    <w:rsid w:val="09385C0D"/>
    <w:rsid w:val="093B4BC3"/>
    <w:rsid w:val="094265A7"/>
    <w:rsid w:val="094268E2"/>
    <w:rsid w:val="09455F12"/>
    <w:rsid w:val="09531E1A"/>
    <w:rsid w:val="09572537"/>
    <w:rsid w:val="095B4482"/>
    <w:rsid w:val="095C2F24"/>
    <w:rsid w:val="0969226A"/>
    <w:rsid w:val="0971207B"/>
    <w:rsid w:val="097E7AC3"/>
    <w:rsid w:val="09821BDC"/>
    <w:rsid w:val="098F597B"/>
    <w:rsid w:val="09932EAE"/>
    <w:rsid w:val="09953F16"/>
    <w:rsid w:val="099C619C"/>
    <w:rsid w:val="09AC6C98"/>
    <w:rsid w:val="09BE2422"/>
    <w:rsid w:val="09C27C64"/>
    <w:rsid w:val="09C37BCC"/>
    <w:rsid w:val="09D45036"/>
    <w:rsid w:val="09DE1964"/>
    <w:rsid w:val="09E11E76"/>
    <w:rsid w:val="09E35B78"/>
    <w:rsid w:val="09E85885"/>
    <w:rsid w:val="09E9348C"/>
    <w:rsid w:val="09EF6C13"/>
    <w:rsid w:val="09FE0C04"/>
    <w:rsid w:val="0A053D41"/>
    <w:rsid w:val="0A075D0B"/>
    <w:rsid w:val="0A08663A"/>
    <w:rsid w:val="0A0A3A20"/>
    <w:rsid w:val="0A0A73CC"/>
    <w:rsid w:val="0A0E2DF1"/>
    <w:rsid w:val="0A1239D7"/>
    <w:rsid w:val="0A1570FD"/>
    <w:rsid w:val="0A3B7763"/>
    <w:rsid w:val="0A3F5F36"/>
    <w:rsid w:val="0A440B24"/>
    <w:rsid w:val="0A5243CC"/>
    <w:rsid w:val="0A60422D"/>
    <w:rsid w:val="0A626247"/>
    <w:rsid w:val="0A693D18"/>
    <w:rsid w:val="0A736290"/>
    <w:rsid w:val="0A7703FB"/>
    <w:rsid w:val="0A8376D2"/>
    <w:rsid w:val="0A856C30"/>
    <w:rsid w:val="0A905A1A"/>
    <w:rsid w:val="0A917CCA"/>
    <w:rsid w:val="0A9A1B2A"/>
    <w:rsid w:val="0A9A6B7F"/>
    <w:rsid w:val="0AA572D2"/>
    <w:rsid w:val="0AAA3C19"/>
    <w:rsid w:val="0AAC60CF"/>
    <w:rsid w:val="0ABB2680"/>
    <w:rsid w:val="0ABF3657"/>
    <w:rsid w:val="0AD10DFC"/>
    <w:rsid w:val="0AD21407"/>
    <w:rsid w:val="0AD35BED"/>
    <w:rsid w:val="0AE620BB"/>
    <w:rsid w:val="0AEE3D69"/>
    <w:rsid w:val="0AF10F8A"/>
    <w:rsid w:val="0AF47E99"/>
    <w:rsid w:val="0B043FF8"/>
    <w:rsid w:val="0B057D70"/>
    <w:rsid w:val="0B076817"/>
    <w:rsid w:val="0B093D05"/>
    <w:rsid w:val="0B094DFD"/>
    <w:rsid w:val="0B103F50"/>
    <w:rsid w:val="0B153BFE"/>
    <w:rsid w:val="0B237538"/>
    <w:rsid w:val="0B27202A"/>
    <w:rsid w:val="0B2B5A29"/>
    <w:rsid w:val="0B2D2CCD"/>
    <w:rsid w:val="0B2F1915"/>
    <w:rsid w:val="0B301291"/>
    <w:rsid w:val="0B381EF4"/>
    <w:rsid w:val="0B384A74"/>
    <w:rsid w:val="0B3D4596"/>
    <w:rsid w:val="0B48482D"/>
    <w:rsid w:val="0B4E28FE"/>
    <w:rsid w:val="0B5A4560"/>
    <w:rsid w:val="0B5C2086"/>
    <w:rsid w:val="0B616DDD"/>
    <w:rsid w:val="0B6231AD"/>
    <w:rsid w:val="0B642CE9"/>
    <w:rsid w:val="0B785F4F"/>
    <w:rsid w:val="0B787A86"/>
    <w:rsid w:val="0B792C38"/>
    <w:rsid w:val="0B7A16C2"/>
    <w:rsid w:val="0B7B7D63"/>
    <w:rsid w:val="0B7D1301"/>
    <w:rsid w:val="0B837020"/>
    <w:rsid w:val="0B8709D7"/>
    <w:rsid w:val="0B9730BE"/>
    <w:rsid w:val="0BA63302"/>
    <w:rsid w:val="0BAA1044"/>
    <w:rsid w:val="0BC226BA"/>
    <w:rsid w:val="0BC55E7E"/>
    <w:rsid w:val="0BC639A4"/>
    <w:rsid w:val="0BC71D84"/>
    <w:rsid w:val="0BCB24B5"/>
    <w:rsid w:val="0BCD2653"/>
    <w:rsid w:val="0BD33C9A"/>
    <w:rsid w:val="0BDA220A"/>
    <w:rsid w:val="0BE1258C"/>
    <w:rsid w:val="0BE50E63"/>
    <w:rsid w:val="0C00427B"/>
    <w:rsid w:val="0C092BAF"/>
    <w:rsid w:val="0C105DFF"/>
    <w:rsid w:val="0C10719B"/>
    <w:rsid w:val="0C1A784C"/>
    <w:rsid w:val="0C1C35C4"/>
    <w:rsid w:val="0C1E733C"/>
    <w:rsid w:val="0C22507E"/>
    <w:rsid w:val="0C3C5A14"/>
    <w:rsid w:val="0C475927"/>
    <w:rsid w:val="0C4B7A88"/>
    <w:rsid w:val="0C594818"/>
    <w:rsid w:val="0C5D6F3F"/>
    <w:rsid w:val="0C654075"/>
    <w:rsid w:val="0C670CE3"/>
    <w:rsid w:val="0C687599"/>
    <w:rsid w:val="0C752B67"/>
    <w:rsid w:val="0C7D0506"/>
    <w:rsid w:val="0C7D1D22"/>
    <w:rsid w:val="0C811679"/>
    <w:rsid w:val="0C8B0F2D"/>
    <w:rsid w:val="0C8F1FF8"/>
    <w:rsid w:val="0C99751F"/>
    <w:rsid w:val="0C9D317F"/>
    <w:rsid w:val="0CA05FA3"/>
    <w:rsid w:val="0CA17F2D"/>
    <w:rsid w:val="0CB24163"/>
    <w:rsid w:val="0CBF0B1F"/>
    <w:rsid w:val="0CC872A8"/>
    <w:rsid w:val="0CCA1272"/>
    <w:rsid w:val="0CCD48BE"/>
    <w:rsid w:val="0CD46CDB"/>
    <w:rsid w:val="0CE40585"/>
    <w:rsid w:val="0CE74940"/>
    <w:rsid w:val="0CEC743A"/>
    <w:rsid w:val="0CEE4F60"/>
    <w:rsid w:val="0CF12CA2"/>
    <w:rsid w:val="0CF30FD7"/>
    <w:rsid w:val="0CF84540"/>
    <w:rsid w:val="0CFA3905"/>
    <w:rsid w:val="0CFC121B"/>
    <w:rsid w:val="0CFE6747"/>
    <w:rsid w:val="0D027A2E"/>
    <w:rsid w:val="0D1116A9"/>
    <w:rsid w:val="0D274C9F"/>
    <w:rsid w:val="0D2C7836"/>
    <w:rsid w:val="0D377E75"/>
    <w:rsid w:val="0D425817"/>
    <w:rsid w:val="0D456672"/>
    <w:rsid w:val="0D483A45"/>
    <w:rsid w:val="0D63597A"/>
    <w:rsid w:val="0D705975"/>
    <w:rsid w:val="0D71793F"/>
    <w:rsid w:val="0D7960BE"/>
    <w:rsid w:val="0D7D62E4"/>
    <w:rsid w:val="0D81039E"/>
    <w:rsid w:val="0D814026"/>
    <w:rsid w:val="0D8739DC"/>
    <w:rsid w:val="0D9638DD"/>
    <w:rsid w:val="0D98311E"/>
    <w:rsid w:val="0DA11FD2"/>
    <w:rsid w:val="0DBA12E6"/>
    <w:rsid w:val="0DBE0DD6"/>
    <w:rsid w:val="0DC857B1"/>
    <w:rsid w:val="0DDB7E0F"/>
    <w:rsid w:val="0DDC5040"/>
    <w:rsid w:val="0DDC74AE"/>
    <w:rsid w:val="0DE75735"/>
    <w:rsid w:val="0DEBBCA9"/>
    <w:rsid w:val="0DEF558D"/>
    <w:rsid w:val="0DF068AA"/>
    <w:rsid w:val="0DF172C8"/>
    <w:rsid w:val="0DF433F1"/>
    <w:rsid w:val="0DF50570"/>
    <w:rsid w:val="0DF93BBD"/>
    <w:rsid w:val="0DFC1FFF"/>
    <w:rsid w:val="0E1C78AB"/>
    <w:rsid w:val="0E303356"/>
    <w:rsid w:val="0E417720"/>
    <w:rsid w:val="0E430639"/>
    <w:rsid w:val="0E4312DC"/>
    <w:rsid w:val="0E43308A"/>
    <w:rsid w:val="0E480C42"/>
    <w:rsid w:val="0E4B734D"/>
    <w:rsid w:val="0E586451"/>
    <w:rsid w:val="0E651252"/>
    <w:rsid w:val="0E6558A0"/>
    <w:rsid w:val="0E684E2E"/>
    <w:rsid w:val="0E6D45AA"/>
    <w:rsid w:val="0E72396F"/>
    <w:rsid w:val="0E7302E4"/>
    <w:rsid w:val="0E747A2D"/>
    <w:rsid w:val="0E7D2A40"/>
    <w:rsid w:val="0E807489"/>
    <w:rsid w:val="0E8306F4"/>
    <w:rsid w:val="0E8F62CF"/>
    <w:rsid w:val="0E903DF5"/>
    <w:rsid w:val="0EA55C45"/>
    <w:rsid w:val="0EA60B68"/>
    <w:rsid w:val="0EA86384"/>
    <w:rsid w:val="0EB2020F"/>
    <w:rsid w:val="0EB61AAE"/>
    <w:rsid w:val="0EC00B7E"/>
    <w:rsid w:val="0EC0292C"/>
    <w:rsid w:val="0ECE7CE8"/>
    <w:rsid w:val="0ED9579C"/>
    <w:rsid w:val="0EE15967"/>
    <w:rsid w:val="0EE23012"/>
    <w:rsid w:val="0EE23E2C"/>
    <w:rsid w:val="0EE50C22"/>
    <w:rsid w:val="0EED1247"/>
    <w:rsid w:val="0EF1674C"/>
    <w:rsid w:val="0EF600FC"/>
    <w:rsid w:val="0EF80E8F"/>
    <w:rsid w:val="0EFE2C1E"/>
    <w:rsid w:val="0F014633"/>
    <w:rsid w:val="0F0312ED"/>
    <w:rsid w:val="0F050929"/>
    <w:rsid w:val="0F063E64"/>
    <w:rsid w:val="0F0E09E8"/>
    <w:rsid w:val="0F0E5BDA"/>
    <w:rsid w:val="0F125876"/>
    <w:rsid w:val="0F184516"/>
    <w:rsid w:val="0F245332"/>
    <w:rsid w:val="0F280D60"/>
    <w:rsid w:val="0F3330FE"/>
    <w:rsid w:val="0F384BB8"/>
    <w:rsid w:val="0F3F2587"/>
    <w:rsid w:val="0F4A54CF"/>
    <w:rsid w:val="0F4C4E90"/>
    <w:rsid w:val="0F555725"/>
    <w:rsid w:val="0F557518"/>
    <w:rsid w:val="0F5E63E1"/>
    <w:rsid w:val="0F603CED"/>
    <w:rsid w:val="0F632412"/>
    <w:rsid w:val="0F645D19"/>
    <w:rsid w:val="0F75501B"/>
    <w:rsid w:val="0F78432B"/>
    <w:rsid w:val="0F865924"/>
    <w:rsid w:val="0F870164"/>
    <w:rsid w:val="0F8971C2"/>
    <w:rsid w:val="0F8A4A20"/>
    <w:rsid w:val="0F8D06EA"/>
    <w:rsid w:val="0F8E6586"/>
    <w:rsid w:val="0F9B000F"/>
    <w:rsid w:val="0FA30D47"/>
    <w:rsid w:val="0FAA316E"/>
    <w:rsid w:val="0FB06917"/>
    <w:rsid w:val="0FB110C5"/>
    <w:rsid w:val="0FB2232D"/>
    <w:rsid w:val="0FB64800"/>
    <w:rsid w:val="0FBA7461"/>
    <w:rsid w:val="0FC44BCF"/>
    <w:rsid w:val="0FC46A88"/>
    <w:rsid w:val="0FCE7B7D"/>
    <w:rsid w:val="0FD2443A"/>
    <w:rsid w:val="0FDA7728"/>
    <w:rsid w:val="0FE36B89"/>
    <w:rsid w:val="0FE670A5"/>
    <w:rsid w:val="0FEE0246"/>
    <w:rsid w:val="0FF3288D"/>
    <w:rsid w:val="100920B1"/>
    <w:rsid w:val="100A27E6"/>
    <w:rsid w:val="100C2F87"/>
    <w:rsid w:val="101133B7"/>
    <w:rsid w:val="101933AE"/>
    <w:rsid w:val="101F694C"/>
    <w:rsid w:val="102355F0"/>
    <w:rsid w:val="10284B8F"/>
    <w:rsid w:val="10335CC9"/>
    <w:rsid w:val="104C1533"/>
    <w:rsid w:val="104E2006"/>
    <w:rsid w:val="10505F32"/>
    <w:rsid w:val="1054157E"/>
    <w:rsid w:val="105552F6"/>
    <w:rsid w:val="10573096"/>
    <w:rsid w:val="105772C0"/>
    <w:rsid w:val="105B0B5E"/>
    <w:rsid w:val="105D3BF9"/>
    <w:rsid w:val="105F48B1"/>
    <w:rsid w:val="10602325"/>
    <w:rsid w:val="10611EED"/>
    <w:rsid w:val="10616317"/>
    <w:rsid w:val="107734BE"/>
    <w:rsid w:val="1077526D"/>
    <w:rsid w:val="107B7182"/>
    <w:rsid w:val="107C6A46"/>
    <w:rsid w:val="107E2A9F"/>
    <w:rsid w:val="108300B5"/>
    <w:rsid w:val="108322BF"/>
    <w:rsid w:val="1087780A"/>
    <w:rsid w:val="1088747A"/>
    <w:rsid w:val="108970CB"/>
    <w:rsid w:val="108F0808"/>
    <w:rsid w:val="10945EF7"/>
    <w:rsid w:val="10991F70"/>
    <w:rsid w:val="109951E3"/>
    <w:rsid w:val="10A33B25"/>
    <w:rsid w:val="10B44918"/>
    <w:rsid w:val="10C73309"/>
    <w:rsid w:val="10CA1840"/>
    <w:rsid w:val="10CC380A"/>
    <w:rsid w:val="10CF50A9"/>
    <w:rsid w:val="10DE353E"/>
    <w:rsid w:val="10F03150"/>
    <w:rsid w:val="10FE598E"/>
    <w:rsid w:val="110547C9"/>
    <w:rsid w:val="1109680C"/>
    <w:rsid w:val="111F7DDE"/>
    <w:rsid w:val="11207CB1"/>
    <w:rsid w:val="11371EF5"/>
    <w:rsid w:val="11472E91"/>
    <w:rsid w:val="115119ED"/>
    <w:rsid w:val="11515ABE"/>
    <w:rsid w:val="115C4AE2"/>
    <w:rsid w:val="11607055"/>
    <w:rsid w:val="1161764C"/>
    <w:rsid w:val="11641C95"/>
    <w:rsid w:val="1170063A"/>
    <w:rsid w:val="11791613"/>
    <w:rsid w:val="11795AFD"/>
    <w:rsid w:val="11802E2F"/>
    <w:rsid w:val="11815B4A"/>
    <w:rsid w:val="118E286E"/>
    <w:rsid w:val="11A36E95"/>
    <w:rsid w:val="11AE3D23"/>
    <w:rsid w:val="11B00120"/>
    <w:rsid w:val="11BB0A26"/>
    <w:rsid w:val="11DC7A7D"/>
    <w:rsid w:val="11E90E6C"/>
    <w:rsid w:val="11ED6377"/>
    <w:rsid w:val="11F12FEF"/>
    <w:rsid w:val="11FD07C1"/>
    <w:rsid w:val="1218482D"/>
    <w:rsid w:val="121F0324"/>
    <w:rsid w:val="12234694"/>
    <w:rsid w:val="12280D51"/>
    <w:rsid w:val="122C4DD8"/>
    <w:rsid w:val="12301B77"/>
    <w:rsid w:val="123F1DBA"/>
    <w:rsid w:val="124D2440"/>
    <w:rsid w:val="125515DD"/>
    <w:rsid w:val="12593CA9"/>
    <w:rsid w:val="125E66E4"/>
    <w:rsid w:val="125F1AC6"/>
    <w:rsid w:val="12633CFA"/>
    <w:rsid w:val="12695089"/>
    <w:rsid w:val="126B66F7"/>
    <w:rsid w:val="12741F5E"/>
    <w:rsid w:val="12750005"/>
    <w:rsid w:val="1291328C"/>
    <w:rsid w:val="12977E48"/>
    <w:rsid w:val="1299596E"/>
    <w:rsid w:val="129C720C"/>
    <w:rsid w:val="12A32349"/>
    <w:rsid w:val="12A40621"/>
    <w:rsid w:val="12AC0145"/>
    <w:rsid w:val="12B26A5D"/>
    <w:rsid w:val="12B37E92"/>
    <w:rsid w:val="12B7253D"/>
    <w:rsid w:val="12BF70C4"/>
    <w:rsid w:val="12C95C1F"/>
    <w:rsid w:val="12CA04D3"/>
    <w:rsid w:val="12CD5618"/>
    <w:rsid w:val="12D37012"/>
    <w:rsid w:val="12D44BF8"/>
    <w:rsid w:val="12D544CC"/>
    <w:rsid w:val="12D70244"/>
    <w:rsid w:val="12F11306"/>
    <w:rsid w:val="13023513"/>
    <w:rsid w:val="130538AF"/>
    <w:rsid w:val="1312726D"/>
    <w:rsid w:val="131274CE"/>
    <w:rsid w:val="131C5B88"/>
    <w:rsid w:val="131D659F"/>
    <w:rsid w:val="13225964"/>
    <w:rsid w:val="1323348A"/>
    <w:rsid w:val="132EAF25"/>
    <w:rsid w:val="13310BD3"/>
    <w:rsid w:val="13327BCA"/>
    <w:rsid w:val="13382DC7"/>
    <w:rsid w:val="1340403C"/>
    <w:rsid w:val="13452433"/>
    <w:rsid w:val="13695D3B"/>
    <w:rsid w:val="136F66CF"/>
    <w:rsid w:val="137D497C"/>
    <w:rsid w:val="13833F28"/>
    <w:rsid w:val="138573BF"/>
    <w:rsid w:val="13857CA0"/>
    <w:rsid w:val="13897791"/>
    <w:rsid w:val="138E5DD1"/>
    <w:rsid w:val="1399374C"/>
    <w:rsid w:val="13AB64C8"/>
    <w:rsid w:val="13B0106F"/>
    <w:rsid w:val="13B16CE7"/>
    <w:rsid w:val="13BB7B66"/>
    <w:rsid w:val="13BD38DE"/>
    <w:rsid w:val="13C7141F"/>
    <w:rsid w:val="13C84512"/>
    <w:rsid w:val="13CC2CE5"/>
    <w:rsid w:val="13CD49D8"/>
    <w:rsid w:val="13D21C0B"/>
    <w:rsid w:val="13EC7D20"/>
    <w:rsid w:val="13F81B1B"/>
    <w:rsid w:val="140D6614"/>
    <w:rsid w:val="140E7208"/>
    <w:rsid w:val="14126207"/>
    <w:rsid w:val="142179C9"/>
    <w:rsid w:val="14292753"/>
    <w:rsid w:val="142F2E14"/>
    <w:rsid w:val="1433065B"/>
    <w:rsid w:val="1448764C"/>
    <w:rsid w:val="145204CA"/>
    <w:rsid w:val="14535FF1"/>
    <w:rsid w:val="145E0C1D"/>
    <w:rsid w:val="145E77EA"/>
    <w:rsid w:val="1472070A"/>
    <w:rsid w:val="147F7284"/>
    <w:rsid w:val="1485143D"/>
    <w:rsid w:val="14887A48"/>
    <w:rsid w:val="148D6FE1"/>
    <w:rsid w:val="149C2CDC"/>
    <w:rsid w:val="14A02B20"/>
    <w:rsid w:val="14A740BD"/>
    <w:rsid w:val="14A75703"/>
    <w:rsid w:val="14B20F69"/>
    <w:rsid w:val="14B2243D"/>
    <w:rsid w:val="14B52807"/>
    <w:rsid w:val="14BB749D"/>
    <w:rsid w:val="14C82913"/>
    <w:rsid w:val="14C90AF0"/>
    <w:rsid w:val="14D013EF"/>
    <w:rsid w:val="14DB04D4"/>
    <w:rsid w:val="14DC7969"/>
    <w:rsid w:val="14E40C49"/>
    <w:rsid w:val="14F21366"/>
    <w:rsid w:val="15065976"/>
    <w:rsid w:val="151439D2"/>
    <w:rsid w:val="15182B92"/>
    <w:rsid w:val="151B08BC"/>
    <w:rsid w:val="152D7C44"/>
    <w:rsid w:val="153B3941"/>
    <w:rsid w:val="15406575"/>
    <w:rsid w:val="15446F04"/>
    <w:rsid w:val="15542020"/>
    <w:rsid w:val="15593193"/>
    <w:rsid w:val="155A3E1C"/>
    <w:rsid w:val="156758B0"/>
    <w:rsid w:val="156C436F"/>
    <w:rsid w:val="1574621E"/>
    <w:rsid w:val="157A2987"/>
    <w:rsid w:val="157B2187"/>
    <w:rsid w:val="157B2848"/>
    <w:rsid w:val="158469D6"/>
    <w:rsid w:val="15891CCA"/>
    <w:rsid w:val="158B07D8"/>
    <w:rsid w:val="15A611F9"/>
    <w:rsid w:val="15AE7982"/>
    <w:rsid w:val="15B900D5"/>
    <w:rsid w:val="15BD5D33"/>
    <w:rsid w:val="15C26F8A"/>
    <w:rsid w:val="15C87EA7"/>
    <w:rsid w:val="15CA22E2"/>
    <w:rsid w:val="15DB44F0"/>
    <w:rsid w:val="15DB4D1F"/>
    <w:rsid w:val="15F1161D"/>
    <w:rsid w:val="15F555B1"/>
    <w:rsid w:val="15FB491A"/>
    <w:rsid w:val="16017613"/>
    <w:rsid w:val="16094BB9"/>
    <w:rsid w:val="1615355E"/>
    <w:rsid w:val="161672D6"/>
    <w:rsid w:val="161B13E4"/>
    <w:rsid w:val="161C272A"/>
    <w:rsid w:val="16220F65"/>
    <w:rsid w:val="162C3DEF"/>
    <w:rsid w:val="162E2FB0"/>
    <w:rsid w:val="16334287"/>
    <w:rsid w:val="163C77C6"/>
    <w:rsid w:val="163D4862"/>
    <w:rsid w:val="1651030E"/>
    <w:rsid w:val="16591300"/>
    <w:rsid w:val="16624474"/>
    <w:rsid w:val="16702E8A"/>
    <w:rsid w:val="1673488D"/>
    <w:rsid w:val="16775FC6"/>
    <w:rsid w:val="167F30CD"/>
    <w:rsid w:val="16871A0C"/>
    <w:rsid w:val="169E79F7"/>
    <w:rsid w:val="16BA2357"/>
    <w:rsid w:val="16C16C33"/>
    <w:rsid w:val="16C951EC"/>
    <w:rsid w:val="16CC39B3"/>
    <w:rsid w:val="16CD5BE6"/>
    <w:rsid w:val="16D20AD8"/>
    <w:rsid w:val="16D34DDA"/>
    <w:rsid w:val="16D572AC"/>
    <w:rsid w:val="16DB47A7"/>
    <w:rsid w:val="16E12EB6"/>
    <w:rsid w:val="16E80C72"/>
    <w:rsid w:val="16EC74B0"/>
    <w:rsid w:val="16EC7E54"/>
    <w:rsid w:val="16F2389F"/>
    <w:rsid w:val="16F92F35"/>
    <w:rsid w:val="17090292"/>
    <w:rsid w:val="170A0BE8"/>
    <w:rsid w:val="170B3AF5"/>
    <w:rsid w:val="17165EAE"/>
    <w:rsid w:val="171E24DE"/>
    <w:rsid w:val="1723661F"/>
    <w:rsid w:val="17253C74"/>
    <w:rsid w:val="17297EC6"/>
    <w:rsid w:val="17342109"/>
    <w:rsid w:val="17377F8D"/>
    <w:rsid w:val="173857BC"/>
    <w:rsid w:val="17473343"/>
    <w:rsid w:val="175207E1"/>
    <w:rsid w:val="175B05DE"/>
    <w:rsid w:val="176F26A7"/>
    <w:rsid w:val="177A4E8B"/>
    <w:rsid w:val="177B3894"/>
    <w:rsid w:val="178D35C8"/>
    <w:rsid w:val="17935082"/>
    <w:rsid w:val="17A829E2"/>
    <w:rsid w:val="17B44FF8"/>
    <w:rsid w:val="17BB13E6"/>
    <w:rsid w:val="17C118AF"/>
    <w:rsid w:val="17C35A7C"/>
    <w:rsid w:val="17C739D2"/>
    <w:rsid w:val="17E256C1"/>
    <w:rsid w:val="17E71FFD"/>
    <w:rsid w:val="17E9547C"/>
    <w:rsid w:val="17FD08DA"/>
    <w:rsid w:val="17FF8CED"/>
    <w:rsid w:val="1804549F"/>
    <w:rsid w:val="181231AA"/>
    <w:rsid w:val="181C1BE6"/>
    <w:rsid w:val="181D422F"/>
    <w:rsid w:val="181E7318"/>
    <w:rsid w:val="181F082D"/>
    <w:rsid w:val="18285388"/>
    <w:rsid w:val="182A3BC2"/>
    <w:rsid w:val="18455C50"/>
    <w:rsid w:val="18463EA2"/>
    <w:rsid w:val="18467635"/>
    <w:rsid w:val="18492AD7"/>
    <w:rsid w:val="184A37E9"/>
    <w:rsid w:val="18534811"/>
    <w:rsid w:val="185A5BA0"/>
    <w:rsid w:val="185B0221"/>
    <w:rsid w:val="186364ED"/>
    <w:rsid w:val="18662D60"/>
    <w:rsid w:val="186B1B5B"/>
    <w:rsid w:val="18715475"/>
    <w:rsid w:val="18874D9D"/>
    <w:rsid w:val="18925EAF"/>
    <w:rsid w:val="189372CE"/>
    <w:rsid w:val="1894002B"/>
    <w:rsid w:val="18980476"/>
    <w:rsid w:val="189C7F66"/>
    <w:rsid w:val="18C43F61"/>
    <w:rsid w:val="18E90CD1"/>
    <w:rsid w:val="18EA3ECA"/>
    <w:rsid w:val="18EE0096"/>
    <w:rsid w:val="18FA0623"/>
    <w:rsid w:val="190A633A"/>
    <w:rsid w:val="190C5DA6"/>
    <w:rsid w:val="190D49C0"/>
    <w:rsid w:val="190F698A"/>
    <w:rsid w:val="19136F16"/>
    <w:rsid w:val="19237B9F"/>
    <w:rsid w:val="192A37C4"/>
    <w:rsid w:val="193D33F0"/>
    <w:rsid w:val="194009BD"/>
    <w:rsid w:val="19471B5D"/>
    <w:rsid w:val="194859F8"/>
    <w:rsid w:val="195066E0"/>
    <w:rsid w:val="19566367"/>
    <w:rsid w:val="19570467"/>
    <w:rsid w:val="195B56B1"/>
    <w:rsid w:val="197109D1"/>
    <w:rsid w:val="19720A2A"/>
    <w:rsid w:val="19737D0A"/>
    <w:rsid w:val="197B5FF6"/>
    <w:rsid w:val="198D5CA8"/>
    <w:rsid w:val="199450E1"/>
    <w:rsid w:val="19AC41D9"/>
    <w:rsid w:val="19AE278A"/>
    <w:rsid w:val="19BB266E"/>
    <w:rsid w:val="19C029FD"/>
    <w:rsid w:val="19C07C84"/>
    <w:rsid w:val="19C67A57"/>
    <w:rsid w:val="19C71013"/>
    <w:rsid w:val="19D13C3F"/>
    <w:rsid w:val="19D31807"/>
    <w:rsid w:val="19D96F98"/>
    <w:rsid w:val="19DE02E9"/>
    <w:rsid w:val="19DF45AE"/>
    <w:rsid w:val="19E41F02"/>
    <w:rsid w:val="19E445A9"/>
    <w:rsid w:val="19EE1931"/>
    <w:rsid w:val="19EF2318"/>
    <w:rsid w:val="19FD6FB4"/>
    <w:rsid w:val="1A02029D"/>
    <w:rsid w:val="1A0F4768"/>
    <w:rsid w:val="1A1678A4"/>
    <w:rsid w:val="1A1E49AB"/>
    <w:rsid w:val="1A2A0014"/>
    <w:rsid w:val="1A3B37AF"/>
    <w:rsid w:val="1A3F329F"/>
    <w:rsid w:val="1A436706"/>
    <w:rsid w:val="1A4743E4"/>
    <w:rsid w:val="1A48219F"/>
    <w:rsid w:val="1A5503C6"/>
    <w:rsid w:val="1A56092D"/>
    <w:rsid w:val="1A5A2DE1"/>
    <w:rsid w:val="1A5B3C40"/>
    <w:rsid w:val="1A5F124B"/>
    <w:rsid w:val="1A666E7E"/>
    <w:rsid w:val="1A750A6F"/>
    <w:rsid w:val="1A796EBF"/>
    <w:rsid w:val="1A9571AB"/>
    <w:rsid w:val="1A9D6217"/>
    <w:rsid w:val="1AA17FFF"/>
    <w:rsid w:val="1AB20159"/>
    <w:rsid w:val="1ABF7F3C"/>
    <w:rsid w:val="1AC13CB4"/>
    <w:rsid w:val="1AC63078"/>
    <w:rsid w:val="1AE06FED"/>
    <w:rsid w:val="1AE97736"/>
    <w:rsid w:val="1AEB0D31"/>
    <w:rsid w:val="1AF11538"/>
    <w:rsid w:val="1AFF1F6C"/>
    <w:rsid w:val="1B0818E3"/>
    <w:rsid w:val="1B0B4F2F"/>
    <w:rsid w:val="1B1262BE"/>
    <w:rsid w:val="1B153DB8"/>
    <w:rsid w:val="1B1F6C2C"/>
    <w:rsid w:val="1B230C14"/>
    <w:rsid w:val="1B244D45"/>
    <w:rsid w:val="1B281F85"/>
    <w:rsid w:val="1B28788F"/>
    <w:rsid w:val="1B367C84"/>
    <w:rsid w:val="1B474E65"/>
    <w:rsid w:val="1B570174"/>
    <w:rsid w:val="1B5C39DD"/>
    <w:rsid w:val="1B5D777F"/>
    <w:rsid w:val="1B614C1F"/>
    <w:rsid w:val="1B76354D"/>
    <w:rsid w:val="1B79633D"/>
    <w:rsid w:val="1B860A5A"/>
    <w:rsid w:val="1B862808"/>
    <w:rsid w:val="1B91134D"/>
    <w:rsid w:val="1B9211AC"/>
    <w:rsid w:val="1B9374DE"/>
    <w:rsid w:val="1B9A2198"/>
    <w:rsid w:val="1BA40968"/>
    <w:rsid w:val="1BA57132"/>
    <w:rsid w:val="1BA809D0"/>
    <w:rsid w:val="1BA90BB8"/>
    <w:rsid w:val="1BB2E899"/>
    <w:rsid w:val="1BB35E2F"/>
    <w:rsid w:val="1BBA2999"/>
    <w:rsid w:val="1BBA7347"/>
    <w:rsid w:val="1BC05D1A"/>
    <w:rsid w:val="1BC07E23"/>
    <w:rsid w:val="1BC65AEE"/>
    <w:rsid w:val="1BD0568D"/>
    <w:rsid w:val="1BD27011"/>
    <w:rsid w:val="1BD42A40"/>
    <w:rsid w:val="1BDF0DAF"/>
    <w:rsid w:val="1BF26782"/>
    <w:rsid w:val="1BF42469"/>
    <w:rsid w:val="1BF9712D"/>
    <w:rsid w:val="1C00080C"/>
    <w:rsid w:val="1C1177BB"/>
    <w:rsid w:val="1C1425F4"/>
    <w:rsid w:val="1C1A4476"/>
    <w:rsid w:val="1C1B5646"/>
    <w:rsid w:val="1C201864"/>
    <w:rsid w:val="1C2564C4"/>
    <w:rsid w:val="1C2920DF"/>
    <w:rsid w:val="1C2D46BF"/>
    <w:rsid w:val="1C3861F8"/>
    <w:rsid w:val="1C391811"/>
    <w:rsid w:val="1C3F5DAD"/>
    <w:rsid w:val="1C494732"/>
    <w:rsid w:val="1C4955DC"/>
    <w:rsid w:val="1C4B65ED"/>
    <w:rsid w:val="1C4C57FF"/>
    <w:rsid w:val="1C5363E4"/>
    <w:rsid w:val="1C556DAA"/>
    <w:rsid w:val="1C597F1C"/>
    <w:rsid w:val="1C5D13A4"/>
    <w:rsid w:val="1C5D17BA"/>
    <w:rsid w:val="1C6B690B"/>
    <w:rsid w:val="1C6C7C4F"/>
    <w:rsid w:val="1C7E50D0"/>
    <w:rsid w:val="1C837A09"/>
    <w:rsid w:val="1C8B76F0"/>
    <w:rsid w:val="1C93694D"/>
    <w:rsid w:val="1C937E16"/>
    <w:rsid w:val="1CA06A08"/>
    <w:rsid w:val="1CA127CF"/>
    <w:rsid w:val="1CA90136"/>
    <w:rsid w:val="1CB515F6"/>
    <w:rsid w:val="1CCC33C4"/>
    <w:rsid w:val="1CD7402F"/>
    <w:rsid w:val="1CE45DB6"/>
    <w:rsid w:val="1CE50760"/>
    <w:rsid w:val="1CE57C07"/>
    <w:rsid w:val="1CEB5018"/>
    <w:rsid w:val="1CF77E61"/>
    <w:rsid w:val="1CF81F5C"/>
    <w:rsid w:val="1CFB1DB5"/>
    <w:rsid w:val="1CFE1CD3"/>
    <w:rsid w:val="1D0259B7"/>
    <w:rsid w:val="1D0B3F40"/>
    <w:rsid w:val="1D0D1432"/>
    <w:rsid w:val="1D214EDE"/>
    <w:rsid w:val="1D2906F2"/>
    <w:rsid w:val="1D330712"/>
    <w:rsid w:val="1D375E9C"/>
    <w:rsid w:val="1D4110DC"/>
    <w:rsid w:val="1D4806BC"/>
    <w:rsid w:val="1D497F91"/>
    <w:rsid w:val="1D502ED2"/>
    <w:rsid w:val="1D556936"/>
    <w:rsid w:val="1D5A267E"/>
    <w:rsid w:val="1D5E34AA"/>
    <w:rsid w:val="1D606212"/>
    <w:rsid w:val="1D692647"/>
    <w:rsid w:val="1D69418F"/>
    <w:rsid w:val="1D6C48F6"/>
    <w:rsid w:val="1D72325E"/>
    <w:rsid w:val="1D733EDB"/>
    <w:rsid w:val="1D7E40DE"/>
    <w:rsid w:val="1D7F9BB1"/>
    <w:rsid w:val="1D8334A3"/>
    <w:rsid w:val="1D8611E5"/>
    <w:rsid w:val="1D8C3FF0"/>
    <w:rsid w:val="1D907667"/>
    <w:rsid w:val="1D980C47"/>
    <w:rsid w:val="1D9931F7"/>
    <w:rsid w:val="1D9B6A3E"/>
    <w:rsid w:val="1D9C27B6"/>
    <w:rsid w:val="1DA17DCD"/>
    <w:rsid w:val="1DAB4918"/>
    <w:rsid w:val="1DB16262"/>
    <w:rsid w:val="1DB67273"/>
    <w:rsid w:val="1DD51824"/>
    <w:rsid w:val="1DD625CE"/>
    <w:rsid w:val="1DE45416"/>
    <w:rsid w:val="1DE455A1"/>
    <w:rsid w:val="1DFC2585"/>
    <w:rsid w:val="1E0A001A"/>
    <w:rsid w:val="1E0D4BB8"/>
    <w:rsid w:val="1E207AA3"/>
    <w:rsid w:val="1E2527AC"/>
    <w:rsid w:val="1E29229C"/>
    <w:rsid w:val="1E2B3694"/>
    <w:rsid w:val="1E33115E"/>
    <w:rsid w:val="1E3429EF"/>
    <w:rsid w:val="1E3450BD"/>
    <w:rsid w:val="1E3A76DB"/>
    <w:rsid w:val="1E3B1FCF"/>
    <w:rsid w:val="1E3B3D7D"/>
    <w:rsid w:val="1E3E59B0"/>
    <w:rsid w:val="1E447672"/>
    <w:rsid w:val="1E4F7829"/>
    <w:rsid w:val="1E51534F"/>
    <w:rsid w:val="1E544457"/>
    <w:rsid w:val="1E551F1A"/>
    <w:rsid w:val="1E5F67B7"/>
    <w:rsid w:val="1E664332"/>
    <w:rsid w:val="1E696B3C"/>
    <w:rsid w:val="1E6B55EB"/>
    <w:rsid w:val="1E6E0C84"/>
    <w:rsid w:val="1E7219A1"/>
    <w:rsid w:val="1E7D4396"/>
    <w:rsid w:val="1E8E7A8E"/>
    <w:rsid w:val="1E923FCD"/>
    <w:rsid w:val="1E94288D"/>
    <w:rsid w:val="1E987625"/>
    <w:rsid w:val="1EA00084"/>
    <w:rsid w:val="1EA10478"/>
    <w:rsid w:val="1EA10E1F"/>
    <w:rsid w:val="1EB41931"/>
    <w:rsid w:val="1EB71B46"/>
    <w:rsid w:val="1EBB71D2"/>
    <w:rsid w:val="1EC137FC"/>
    <w:rsid w:val="1EC801E5"/>
    <w:rsid w:val="1ECED510"/>
    <w:rsid w:val="1ED61CF8"/>
    <w:rsid w:val="1EDD5F75"/>
    <w:rsid w:val="1EDFF00C"/>
    <w:rsid w:val="1EE00481"/>
    <w:rsid w:val="1EE44415"/>
    <w:rsid w:val="1EEE7042"/>
    <w:rsid w:val="1EF6464E"/>
    <w:rsid w:val="1EFC3B58"/>
    <w:rsid w:val="1F061B00"/>
    <w:rsid w:val="1F1151C2"/>
    <w:rsid w:val="1F187E58"/>
    <w:rsid w:val="1F1E074B"/>
    <w:rsid w:val="1F244811"/>
    <w:rsid w:val="1F2726C5"/>
    <w:rsid w:val="1F29084A"/>
    <w:rsid w:val="1F290A0E"/>
    <w:rsid w:val="1F2A69A4"/>
    <w:rsid w:val="1F30765A"/>
    <w:rsid w:val="1F33222D"/>
    <w:rsid w:val="1F346AB5"/>
    <w:rsid w:val="1F3FDFFC"/>
    <w:rsid w:val="1F505606"/>
    <w:rsid w:val="1F595559"/>
    <w:rsid w:val="1F5FDB3D"/>
    <w:rsid w:val="1F640BE6"/>
    <w:rsid w:val="1F640DA5"/>
    <w:rsid w:val="1F642DCD"/>
    <w:rsid w:val="1F7431C0"/>
    <w:rsid w:val="1F75506D"/>
    <w:rsid w:val="1F7C289F"/>
    <w:rsid w:val="1F7D3F22"/>
    <w:rsid w:val="1F7E2174"/>
    <w:rsid w:val="1F830BD9"/>
    <w:rsid w:val="1F831ABE"/>
    <w:rsid w:val="1F850636"/>
    <w:rsid w:val="1F8A6087"/>
    <w:rsid w:val="1F95570F"/>
    <w:rsid w:val="1F9F1946"/>
    <w:rsid w:val="1FA15E62"/>
    <w:rsid w:val="1FA31BDA"/>
    <w:rsid w:val="1FA3607E"/>
    <w:rsid w:val="1FAA5C2F"/>
    <w:rsid w:val="1FB05D8B"/>
    <w:rsid w:val="1FB24013"/>
    <w:rsid w:val="1FB406F8"/>
    <w:rsid w:val="1FB979B9"/>
    <w:rsid w:val="1FCD6C57"/>
    <w:rsid w:val="1FD9B82A"/>
    <w:rsid w:val="1FEC3AE3"/>
    <w:rsid w:val="1FEE2F5C"/>
    <w:rsid w:val="1FEF4AE7"/>
    <w:rsid w:val="1FF95C9E"/>
    <w:rsid w:val="1FFF9B72"/>
    <w:rsid w:val="20014B53"/>
    <w:rsid w:val="20104D96"/>
    <w:rsid w:val="2018760F"/>
    <w:rsid w:val="2020147D"/>
    <w:rsid w:val="20210F16"/>
    <w:rsid w:val="202919B6"/>
    <w:rsid w:val="20445877"/>
    <w:rsid w:val="206155F1"/>
    <w:rsid w:val="206A36D3"/>
    <w:rsid w:val="206C021E"/>
    <w:rsid w:val="2070733A"/>
    <w:rsid w:val="20713A86"/>
    <w:rsid w:val="209B0B03"/>
    <w:rsid w:val="20A61B12"/>
    <w:rsid w:val="20A7794A"/>
    <w:rsid w:val="20AA2020"/>
    <w:rsid w:val="20B81D58"/>
    <w:rsid w:val="20BB1426"/>
    <w:rsid w:val="20C30596"/>
    <w:rsid w:val="20C46836"/>
    <w:rsid w:val="20D010D1"/>
    <w:rsid w:val="20D26C9E"/>
    <w:rsid w:val="20DB35F6"/>
    <w:rsid w:val="20DD1972"/>
    <w:rsid w:val="20DD736E"/>
    <w:rsid w:val="20E11DC2"/>
    <w:rsid w:val="20E224E5"/>
    <w:rsid w:val="20E22DB1"/>
    <w:rsid w:val="20EA2A65"/>
    <w:rsid w:val="20ED3DE4"/>
    <w:rsid w:val="20F42FCA"/>
    <w:rsid w:val="20FD5B68"/>
    <w:rsid w:val="21156B08"/>
    <w:rsid w:val="211F34E2"/>
    <w:rsid w:val="2120725A"/>
    <w:rsid w:val="2131111E"/>
    <w:rsid w:val="21327632"/>
    <w:rsid w:val="213A656E"/>
    <w:rsid w:val="214B0F30"/>
    <w:rsid w:val="214B2529"/>
    <w:rsid w:val="215018EE"/>
    <w:rsid w:val="21530394"/>
    <w:rsid w:val="215D3B26"/>
    <w:rsid w:val="216703B6"/>
    <w:rsid w:val="216E5668"/>
    <w:rsid w:val="216E7C18"/>
    <w:rsid w:val="21714784"/>
    <w:rsid w:val="21771570"/>
    <w:rsid w:val="217A2425"/>
    <w:rsid w:val="21977533"/>
    <w:rsid w:val="219851B9"/>
    <w:rsid w:val="21986A4E"/>
    <w:rsid w:val="21A412BB"/>
    <w:rsid w:val="21A41C3A"/>
    <w:rsid w:val="21AE70D7"/>
    <w:rsid w:val="21B0066E"/>
    <w:rsid w:val="21B36881"/>
    <w:rsid w:val="21B761EC"/>
    <w:rsid w:val="21C81DCC"/>
    <w:rsid w:val="21CE3D45"/>
    <w:rsid w:val="21D53A09"/>
    <w:rsid w:val="21D56297"/>
    <w:rsid w:val="21E62252"/>
    <w:rsid w:val="21F20BF7"/>
    <w:rsid w:val="21FE58F7"/>
    <w:rsid w:val="2201708C"/>
    <w:rsid w:val="221E3160"/>
    <w:rsid w:val="22451A4A"/>
    <w:rsid w:val="224C70F0"/>
    <w:rsid w:val="225E003A"/>
    <w:rsid w:val="226F5DBF"/>
    <w:rsid w:val="22771D65"/>
    <w:rsid w:val="227C0EC4"/>
    <w:rsid w:val="228644BC"/>
    <w:rsid w:val="22885270"/>
    <w:rsid w:val="228F4698"/>
    <w:rsid w:val="229B303C"/>
    <w:rsid w:val="22A85759"/>
    <w:rsid w:val="22AE3AA8"/>
    <w:rsid w:val="22AF210F"/>
    <w:rsid w:val="22BF6927"/>
    <w:rsid w:val="22CB676E"/>
    <w:rsid w:val="22D13310"/>
    <w:rsid w:val="22E440E3"/>
    <w:rsid w:val="22E460A7"/>
    <w:rsid w:val="22E72668"/>
    <w:rsid w:val="22E9024C"/>
    <w:rsid w:val="231921B3"/>
    <w:rsid w:val="231A62E5"/>
    <w:rsid w:val="231A66BA"/>
    <w:rsid w:val="232D371B"/>
    <w:rsid w:val="232F0909"/>
    <w:rsid w:val="23323FAC"/>
    <w:rsid w:val="23337719"/>
    <w:rsid w:val="233961B3"/>
    <w:rsid w:val="233A4054"/>
    <w:rsid w:val="233A6C4C"/>
    <w:rsid w:val="233D7991"/>
    <w:rsid w:val="234004C4"/>
    <w:rsid w:val="234611FA"/>
    <w:rsid w:val="23474F72"/>
    <w:rsid w:val="23517B9F"/>
    <w:rsid w:val="235A2EF8"/>
    <w:rsid w:val="235D4796"/>
    <w:rsid w:val="2366364A"/>
    <w:rsid w:val="23694EE9"/>
    <w:rsid w:val="236A32F1"/>
    <w:rsid w:val="236E575A"/>
    <w:rsid w:val="23746A60"/>
    <w:rsid w:val="2378512C"/>
    <w:rsid w:val="237F64BA"/>
    <w:rsid w:val="238A1D52"/>
    <w:rsid w:val="238D06EB"/>
    <w:rsid w:val="239A04EF"/>
    <w:rsid w:val="23A45F21"/>
    <w:rsid w:val="23A979DB"/>
    <w:rsid w:val="23AC0FD2"/>
    <w:rsid w:val="23B02761"/>
    <w:rsid w:val="23BC770E"/>
    <w:rsid w:val="23BD012F"/>
    <w:rsid w:val="23BF7E95"/>
    <w:rsid w:val="23C44210"/>
    <w:rsid w:val="23CB5BA3"/>
    <w:rsid w:val="23CD6E0A"/>
    <w:rsid w:val="23D16494"/>
    <w:rsid w:val="23D305B4"/>
    <w:rsid w:val="23D52D24"/>
    <w:rsid w:val="23D82733"/>
    <w:rsid w:val="23DC384B"/>
    <w:rsid w:val="23DF21DE"/>
    <w:rsid w:val="23E13748"/>
    <w:rsid w:val="23E26F0C"/>
    <w:rsid w:val="23ED666D"/>
    <w:rsid w:val="23F65209"/>
    <w:rsid w:val="23FF65D5"/>
    <w:rsid w:val="24013373"/>
    <w:rsid w:val="24080638"/>
    <w:rsid w:val="242332EA"/>
    <w:rsid w:val="24271EF9"/>
    <w:rsid w:val="242B169C"/>
    <w:rsid w:val="24397462"/>
    <w:rsid w:val="243A0633"/>
    <w:rsid w:val="244018D4"/>
    <w:rsid w:val="244A4D4D"/>
    <w:rsid w:val="244D236D"/>
    <w:rsid w:val="244F6DB9"/>
    <w:rsid w:val="24523BCF"/>
    <w:rsid w:val="245426F3"/>
    <w:rsid w:val="246A3ACB"/>
    <w:rsid w:val="246D6DF6"/>
    <w:rsid w:val="24763D61"/>
    <w:rsid w:val="24774BDC"/>
    <w:rsid w:val="248021E9"/>
    <w:rsid w:val="248144B4"/>
    <w:rsid w:val="24872B02"/>
    <w:rsid w:val="248E3007"/>
    <w:rsid w:val="249441E7"/>
    <w:rsid w:val="24B855A2"/>
    <w:rsid w:val="24BF4C2F"/>
    <w:rsid w:val="24C30629"/>
    <w:rsid w:val="24C745BD"/>
    <w:rsid w:val="24C85C3F"/>
    <w:rsid w:val="24D06014"/>
    <w:rsid w:val="24D171E9"/>
    <w:rsid w:val="24D259C4"/>
    <w:rsid w:val="24D90223"/>
    <w:rsid w:val="24DB0068"/>
    <w:rsid w:val="24DD7B5D"/>
    <w:rsid w:val="24E863F3"/>
    <w:rsid w:val="24EE7ED0"/>
    <w:rsid w:val="24F37160"/>
    <w:rsid w:val="24F44FF1"/>
    <w:rsid w:val="24FA1965"/>
    <w:rsid w:val="250F1AC0"/>
    <w:rsid w:val="252249A3"/>
    <w:rsid w:val="2522679D"/>
    <w:rsid w:val="252437BD"/>
    <w:rsid w:val="252C2320"/>
    <w:rsid w:val="253432D4"/>
    <w:rsid w:val="253439FF"/>
    <w:rsid w:val="2536631F"/>
    <w:rsid w:val="253B4663"/>
    <w:rsid w:val="253E2650"/>
    <w:rsid w:val="25502DD1"/>
    <w:rsid w:val="25585824"/>
    <w:rsid w:val="25622B0F"/>
    <w:rsid w:val="25665B84"/>
    <w:rsid w:val="25685726"/>
    <w:rsid w:val="256C4C19"/>
    <w:rsid w:val="25700120"/>
    <w:rsid w:val="257B10A7"/>
    <w:rsid w:val="258C7A56"/>
    <w:rsid w:val="259124D5"/>
    <w:rsid w:val="2593624D"/>
    <w:rsid w:val="25950217"/>
    <w:rsid w:val="25A0096A"/>
    <w:rsid w:val="25A466AC"/>
    <w:rsid w:val="25A91F14"/>
    <w:rsid w:val="25AB3597"/>
    <w:rsid w:val="25B368EF"/>
    <w:rsid w:val="25B83057"/>
    <w:rsid w:val="25BC08A2"/>
    <w:rsid w:val="25C07D2D"/>
    <w:rsid w:val="25CE2B46"/>
    <w:rsid w:val="25D32AED"/>
    <w:rsid w:val="25D728C0"/>
    <w:rsid w:val="25EA2B31"/>
    <w:rsid w:val="25EA666C"/>
    <w:rsid w:val="25F747AF"/>
    <w:rsid w:val="25F807A6"/>
    <w:rsid w:val="25F860EB"/>
    <w:rsid w:val="2600794E"/>
    <w:rsid w:val="260158AC"/>
    <w:rsid w:val="260B04D9"/>
    <w:rsid w:val="260C7AAD"/>
    <w:rsid w:val="26213859"/>
    <w:rsid w:val="26243349"/>
    <w:rsid w:val="262D5D24"/>
    <w:rsid w:val="263B7010"/>
    <w:rsid w:val="26422E9B"/>
    <w:rsid w:val="265A5C0C"/>
    <w:rsid w:val="2670658E"/>
    <w:rsid w:val="26764558"/>
    <w:rsid w:val="2677791D"/>
    <w:rsid w:val="267A2D1E"/>
    <w:rsid w:val="267D45BE"/>
    <w:rsid w:val="26804A23"/>
    <w:rsid w:val="26864004"/>
    <w:rsid w:val="26914FE9"/>
    <w:rsid w:val="26965165"/>
    <w:rsid w:val="26A06E73"/>
    <w:rsid w:val="26A47BFF"/>
    <w:rsid w:val="26A86D7E"/>
    <w:rsid w:val="26BE5FC5"/>
    <w:rsid w:val="26C64400"/>
    <w:rsid w:val="26CF19C2"/>
    <w:rsid w:val="26D92D41"/>
    <w:rsid w:val="26DE799C"/>
    <w:rsid w:val="26E414EB"/>
    <w:rsid w:val="26E42362"/>
    <w:rsid w:val="26F50C55"/>
    <w:rsid w:val="26F97940"/>
    <w:rsid w:val="270A7415"/>
    <w:rsid w:val="270C5331"/>
    <w:rsid w:val="271A594C"/>
    <w:rsid w:val="27266F5B"/>
    <w:rsid w:val="272A01DA"/>
    <w:rsid w:val="272C0707"/>
    <w:rsid w:val="272C6959"/>
    <w:rsid w:val="273121C1"/>
    <w:rsid w:val="27400942"/>
    <w:rsid w:val="274F318F"/>
    <w:rsid w:val="275238C7"/>
    <w:rsid w:val="276A25B5"/>
    <w:rsid w:val="27713266"/>
    <w:rsid w:val="277238B4"/>
    <w:rsid w:val="277D5407"/>
    <w:rsid w:val="279C2835"/>
    <w:rsid w:val="279D1605"/>
    <w:rsid w:val="27A26C29"/>
    <w:rsid w:val="27A44741"/>
    <w:rsid w:val="27A876E5"/>
    <w:rsid w:val="27B0758A"/>
    <w:rsid w:val="27DB3502"/>
    <w:rsid w:val="27DD49AF"/>
    <w:rsid w:val="27E2526A"/>
    <w:rsid w:val="27E62FAC"/>
    <w:rsid w:val="27EC7E96"/>
    <w:rsid w:val="27EE1E60"/>
    <w:rsid w:val="27F136FF"/>
    <w:rsid w:val="27F154AD"/>
    <w:rsid w:val="27F81395"/>
    <w:rsid w:val="27FC27CF"/>
    <w:rsid w:val="280B1A82"/>
    <w:rsid w:val="28117600"/>
    <w:rsid w:val="28127295"/>
    <w:rsid w:val="281766AC"/>
    <w:rsid w:val="2818538D"/>
    <w:rsid w:val="281D44F4"/>
    <w:rsid w:val="281D68C4"/>
    <w:rsid w:val="281F026C"/>
    <w:rsid w:val="282028E2"/>
    <w:rsid w:val="282256AE"/>
    <w:rsid w:val="28232772"/>
    <w:rsid w:val="28245882"/>
    <w:rsid w:val="283048B1"/>
    <w:rsid w:val="28387B79"/>
    <w:rsid w:val="283F26BC"/>
    <w:rsid w:val="28427911"/>
    <w:rsid w:val="284B1061"/>
    <w:rsid w:val="284F2D0E"/>
    <w:rsid w:val="285B7A54"/>
    <w:rsid w:val="28615C98"/>
    <w:rsid w:val="2879797C"/>
    <w:rsid w:val="287B76C7"/>
    <w:rsid w:val="28845976"/>
    <w:rsid w:val="288606C4"/>
    <w:rsid w:val="2886653D"/>
    <w:rsid w:val="288E0245"/>
    <w:rsid w:val="288E0F4E"/>
    <w:rsid w:val="28944BAE"/>
    <w:rsid w:val="28A10C81"/>
    <w:rsid w:val="28A54C15"/>
    <w:rsid w:val="28A6141E"/>
    <w:rsid w:val="28A742B4"/>
    <w:rsid w:val="28C65634"/>
    <w:rsid w:val="28CB3398"/>
    <w:rsid w:val="28CE5541"/>
    <w:rsid w:val="28D220AC"/>
    <w:rsid w:val="28D23742"/>
    <w:rsid w:val="28D3610D"/>
    <w:rsid w:val="28DC43AF"/>
    <w:rsid w:val="28E76FDC"/>
    <w:rsid w:val="28EA087A"/>
    <w:rsid w:val="28EF36B9"/>
    <w:rsid w:val="28EF7C3E"/>
    <w:rsid w:val="2908648D"/>
    <w:rsid w:val="290C5ACE"/>
    <w:rsid w:val="291D0C4F"/>
    <w:rsid w:val="29201209"/>
    <w:rsid w:val="292E4C0A"/>
    <w:rsid w:val="292F0982"/>
    <w:rsid w:val="2940049A"/>
    <w:rsid w:val="29401FE7"/>
    <w:rsid w:val="29414BE5"/>
    <w:rsid w:val="29475CCC"/>
    <w:rsid w:val="295F65D8"/>
    <w:rsid w:val="296028EA"/>
    <w:rsid w:val="29750330"/>
    <w:rsid w:val="29785E86"/>
    <w:rsid w:val="297A7BB1"/>
    <w:rsid w:val="29817776"/>
    <w:rsid w:val="298F4EE5"/>
    <w:rsid w:val="29900AF5"/>
    <w:rsid w:val="29915199"/>
    <w:rsid w:val="29982A9F"/>
    <w:rsid w:val="299C44DE"/>
    <w:rsid w:val="299F1898"/>
    <w:rsid w:val="29A70519"/>
    <w:rsid w:val="29A8160D"/>
    <w:rsid w:val="29AB31B9"/>
    <w:rsid w:val="29B0274B"/>
    <w:rsid w:val="29B36EBE"/>
    <w:rsid w:val="29BB5D72"/>
    <w:rsid w:val="29C63095"/>
    <w:rsid w:val="29C966E1"/>
    <w:rsid w:val="29CB1ED3"/>
    <w:rsid w:val="29CB5A75"/>
    <w:rsid w:val="29CC4423"/>
    <w:rsid w:val="29EB2AFB"/>
    <w:rsid w:val="29EE1913"/>
    <w:rsid w:val="29F7616C"/>
    <w:rsid w:val="29FC57B3"/>
    <w:rsid w:val="2A1856DC"/>
    <w:rsid w:val="2A24364B"/>
    <w:rsid w:val="2A273408"/>
    <w:rsid w:val="2A336C8D"/>
    <w:rsid w:val="2A353998"/>
    <w:rsid w:val="2A44220C"/>
    <w:rsid w:val="2A557566"/>
    <w:rsid w:val="2A634AE6"/>
    <w:rsid w:val="2A6425B4"/>
    <w:rsid w:val="2A750617"/>
    <w:rsid w:val="2A7A5C2D"/>
    <w:rsid w:val="2A944F41"/>
    <w:rsid w:val="2AA131BA"/>
    <w:rsid w:val="2AA44A58"/>
    <w:rsid w:val="2AA607D0"/>
    <w:rsid w:val="2AA80CAF"/>
    <w:rsid w:val="2AB033FD"/>
    <w:rsid w:val="2AB52B4E"/>
    <w:rsid w:val="2ABB12BD"/>
    <w:rsid w:val="2ABC1DA2"/>
    <w:rsid w:val="2AD3590E"/>
    <w:rsid w:val="2AD451E8"/>
    <w:rsid w:val="2ADE2BFF"/>
    <w:rsid w:val="2ADE61BC"/>
    <w:rsid w:val="2AE966F2"/>
    <w:rsid w:val="2AED5233"/>
    <w:rsid w:val="2AF07C9E"/>
    <w:rsid w:val="2AF15231"/>
    <w:rsid w:val="2AF465F1"/>
    <w:rsid w:val="2AF76522"/>
    <w:rsid w:val="2B076C85"/>
    <w:rsid w:val="2B083239"/>
    <w:rsid w:val="2B110340"/>
    <w:rsid w:val="2B14398C"/>
    <w:rsid w:val="2B1823DD"/>
    <w:rsid w:val="2B211B1F"/>
    <w:rsid w:val="2B253B3A"/>
    <w:rsid w:val="2B354832"/>
    <w:rsid w:val="2B377D46"/>
    <w:rsid w:val="2B3E6C5B"/>
    <w:rsid w:val="2B473D61"/>
    <w:rsid w:val="2B475F3E"/>
    <w:rsid w:val="2B4843B6"/>
    <w:rsid w:val="2B4A4C91"/>
    <w:rsid w:val="2B4E3EA7"/>
    <w:rsid w:val="2B53729A"/>
    <w:rsid w:val="2B5F2A60"/>
    <w:rsid w:val="2B6622A3"/>
    <w:rsid w:val="2B6E226F"/>
    <w:rsid w:val="2B741F54"/>
    <w:rsid w:val="2B7E614C"/>
    <w:rsid w:val="2BA2543C"/>
    <w:rsid w:val="2BA271EA"/>
    <w:rsid w:val="2BA966CA"/>
    <w:rsid w:val="2BAF1907"/>
    <w:rsid w:val="2BB42139"/>
    <w:rsid w:val="2BB5161D"/>
    <w:rsid w:val="2BBE7741"/>
    <w:rsid w:val="2BC52ED8"/>
    <w:rsid w:val="2BC74169"/>
    <w:rsid w:val="2BC95556"/>
    <w:rsid w:val="2BD05FDF"/>
    <w:rsid w:val="2BD33847"/>
    <w:rsid w:val="2BF343F3"/>
    <w:rsid w:val="2C023933"/>
    <w:rsid w:val="2C19335E"/>
    <w:rsid w:val="2C1A56AF"/>
    <w:rsid w:val="2C1D2D14"/>
    <w:rsid w:val="2C214146"/>
    <w:rsid w:val="2C231C6F"/>
    <w:rsid w:val="2C2355B3"/>
    <w:rsid w:val="2C245E51"/>
    <w:rsid w:val="2C2E4F21"/>
    <w:rsid w:val="2C31056E"/>
    <w:rsid w:val="2C3639E8"/>
    <w:rsid w:val="2C372028"/>
    <w:rsid w:val="2C456CEE"/>
    <w:rsid w:val="2C534988"/>
    <w:rsid w:val="2C5F332D"/>
    <w:rsid w:val="2C624BCB"/>
    <w:rsid w:val="2C626979"/>
    <w:rsid w:val="2C7373D2"/>
    <w:rsid w:val="2C7C78C3"/>
    <w:rsid w:val="2C9C33F7"/>
    <w:rsid w:val="2CB2296E"/>
    <w:rsid w:val="2CB27900"/>
    <w:rsid w:val="2CBC7A94"/>
    <w:rsid w:val="2CC338BC"/>
    <w:rsid w:val="2CC71744"/>
    <w:rsid w:val="2CC94C4A"/>
    <w:rsid w:val="2CD233DA"/>
    <w:rsid w:val="2CF73998"/>
    <w:rsid w:val="2D037DB8"/>
    <w:rsid w:val="2D0543E6"/>
    <w:rsid w:val="2D081307"/>
    <w:rsid w:val="2D0978AA"/>
    <w:rsid w:val="2D0E339D"/>
    <w:rsid w:val="2D0E50C2"/>
    <w:rsid w:val="2D1F015C"/>
    <w:rsid w:val="2D2D0784"/>
    <w:rsid w:val="2D2D51D9"/>
    <w:rsid w:val="2D312900"/>
    <w:rsid w:val="2D346567"/>
    <w:rsid w:val="2D346CBC"/>
    <w:rsid w:val="2D360531"/>
    <w:rsid w:val="2D370F54"/>
    <w:rsid w:val="2D371DC3"/>
    <w:rsid w:val="2D4434C9"/>
    <w:rsid w:val="2D463ACD"/>
    <w:rsid w:val="2D4F6EFD"/>
    <w:rsid w:val="2D564730"/>
    <w:rsid w:val="2D5A716B"/>
    <w:rsid w:val="2D6023B1"/>
    <w:rsid w:val="2D60735C"/>
    <w:rsid w:val="2D623374"/>
    <w:rsid w:val="2D6327A4"/>
    <w:rsid w:val="2D663273"/>
    <w:rsid w:val="2D6D5C86"/>
    <w:rsid w:val="2D6F2366"/>
    <w:rsid w:val="2D713318"/>
    <w:rsid w:val="2D7F006D"/>
    <w:rsid w:val="2D895B7E"/>
    <w:rsid w:val="2DA82AB1"/>
    <w:rsid w:val="2DAC3172"/>
    <w:rsid w:val="2DAC4350"/>
    <w:rsid w:val="2DB6793F"/>
    <w:rsid w:val="2DB72CF5"/>
    <w:rsid w:val="2DD57A31"/>
    <w:rsid w:val="2DDE6D07"/>
    <w:rsid w:val="2DE33E32"/>
    <w:rsid w:val="2DE52846"/>
    <w:rsid w:val="2DE7182C"/>
    <w:rsid w:val="2DE73D29"/>
    <w:rsid w:val="2DF45CF7"/>
    <w:rsid w:val="2DF90AA0"/>
    <w:rsid w:val="2DFD07F3"/>
    <w:rsid w:val="2E057F04"/>
    <w:rsid w:val="2E0979F4"/>
    <w:rsid w:val="2E0C7137"/>
    <w:rsid w:val="2E154310"/>
    <w:rsid w:val="2E162C88"/>
    <w:rsid w:val="2E222864"/>
    <w:rsid w:val="2E3B71C5"/>
    <w:rsid w:val="2E3F09E8"/>
    <w:rsid w:val="2E4B6EAB"/>
    <w:rsid w:val="2E4F1947"/>
    <w:rsid w:val="2E547F14"/>
    <w:rsid w:val="2E586286"/>
    <w:rsid w:val="2E624F3F"/>
    <w:rsid w:val="2E641A7D"/>
    <w:rsid w:val="2E662925"/>
    <w:rsid w:val="2E6734E3"/>
    <w:rsid w:val="2E6F6A87"/>
    <w:rsid w:val="2E70537D"/>
    <w:rsid w:val="2E724E76"/>
    <w:rsid w:val="2E734E6D"/>
    <w:rsid w:val="2E8775D6"/>
    <w:rsid w:val="2E887E5D"/>
    <w:rsid w:val="2E96584B"/>
    <w:rsid w:val="2E996D16"/>
    <w:rsid w:val="2E9C2616"/>
    <w:rsid w:val="2EA119DB"/>
    <w:rsid w:val="2EA50BEE"/>
    <w:rsid w:val="2EBC6814"/>
    <w:rsid w:val="2ED17FB6"/>
    <w:rsid w:val="2ED3590C"/>
    <w:rsid w:val="2EFD3318"/>
    <w:rsid w:val="2EFF82D5"/>
    <w:rsid w:val="2F085084"/>
    <w:rsid w:val="2F0B2F43"/>
    <w:rsid w:val="2F0F2DE8"/>
    <w:rsid w:val="2F115C87"/>
    <w:rsid w:val="2F24188F"/>
    <w:rsid w:val="2F260132"/>
    <w:rsid w:val="2F391C13"/>
    <w:rsid w:val="2F4607D4"/>
    <w:rsid w:val="2F47706D"/>
    <w:rsid w:val="2F4921EC"/>
    <w:rsid w:val="2F52555A"/>
    <w:rsid w:val="2F5F101A"/>
    <w:rsid w:val="2F6A001E"/>
    <w:rsid w:val="2F7442E4"/>
    <w:rsid w:val="2F76EB0D"/>
    <w:rsid w:val="2F8F3F29"/>
    <w:rsid w:val="2F8F429B"/>
    <w:rsid w:val="2F8F7515"/>
    <w:rsid w:val="2F8F7EE7"/>
    <w:rsid w:val="2F9B0B20"/>
    <w:rsid w:val="2F9F5292"/>
    <w:rsid w:val="2FA3136A"/>
    <w:rsid w:val="2FB233B7"/>
    <w:rsid w:val="2FB27C17"/>
    <w:rsid w:val="2FCC0CD9"/>
    <w:rsid w:val="2FCE3E3B"/>
    <w:rsid w:val="2FD07D6B"/>
    <w:rsid w:val="2FD26231"/>
    <w:rsid w:val="2FD47B8E"/>
    <w:rsid w:val="2FD85A13"/>
    <w:rsid w:val="2FF30683"/>
    <w:rsid w:val="2FF7DCFC"/>
    <w:rsid w:val="2FF87D20"/>
    <w:rsid w:val="2FFE2E5D"/>
    <w:rsid w:val="2FFF307A"/>
    <w:rsid w:val="300315B9"/>
    <w:rsid w:val="30105A39"/>
    <w:rsid w:val="30116076"/>
    <w:rsid w:val="30136908"/>
    <w:rsid w:val="30146F8B"/>
    <w:rsid w:val="30224D9D"/>
    <w:rsid w:val="302A245E"/>
    <w:rsid w:val="303321F6"/>
    <w:rsid w:val="303C4D07"/>
    <w:rsid w:val="303D0DFC"/>
    <w:rsid w:val="30542A7D"/>
    <w:rsid w:val="306929CC"/>
    <w:rsid w:val="306A22A0"/>
    <w:rsid w:val="30737D00"/>
    <w:rsid w:val="307B05C4"/>
    <w:rsid w:val="307D1EE9"/>
    <w:rsid w:val="307F5C1F"/>
    <w:rsid w:val="30803872"/>
    <w:rsid w:val="3086532C"/>
    <w:rsid w:val="308C0468"/>
    <w:rsid w:val="30904174"/>
    <w:rsid w:val="309441E9"/>
    <w:rsid w:val="30B11C7D"/>
    <w:rsid w:val="30B40A52"/>
    <w:rsid w:val="30B443D8"/>
    <w:rsid w:val="30BA6D84"/>
    <w:rsid w:val="30C168E2"/>
    <w:rsid w:val="30CB180D"/>
    <w:rsid w:val="30CD2F5B"/>
    <w:rsid w:val="30D11AE7"/>
    <w:rsid w:val="30D616E4"/>
    <w:rsid w:val="30EB1633"/>
    <w:rsid w:val="30EE1123"/>
    <w:rsid w:val="30EF220B"/>
    <w:rsid w:val="30F5437F"/>
    <w:rsid w:val="30FB3EF8"/>
    <w:rsid w:val="30FF0C3A"/>
    <w:rsid w:val="3104772F"/>
    <w:rsid w:val="31083F93"/>
    <w:rsid w:val="310B0D65"/>
    <w:rsid w:val="31112915"/>
    <w:rsid w:val="31124E12"/>
    <w:rsid w:val="31175F84"/>
    <w:rsid w:val="31181CFC"/>
    <w:rsid w:val="31245F91"/>
    <w:rsid w:val="31304586"/>
    <w:rsid w:val="314D19A6"/>
    <w:rsid w:val="314E392A"/>
    <w:rsid w:val="3150593A"/>
    <w:rsid w:val="315679FF"/>
    <w:rsid w:val="31677002"/>
    <w:rsid w:val="316C6ECB"/>
    <w:rsid w:val="31807FCD"/>
    <w:rsid w:val="31857392"/>
    <w:rsid w:val="318A3E92"/>
    <w:rsid w:val="319677F1"/>
    <w:rsid w:val="319925E7"/>
    <w:rsid w:val="319C292D"/>
    <w:rsid w:val="31A0241D"/>
    <w:rsid w:val="31A37DE9"/>
    <w:rsid w:val="31AC0C90"/>
    <w:rsid w:val="31B41A25"/>
    <w:rsid w:val="31BB2DB3"/>
    <w:rsid w:val="31C54E28"/>
    <w:rsid w:val="31C840A2"/>
    <w:rsid w:val="31CB2007"/>
    <w:rsid w:val="31CD2AE7"/>
    <w:rsid w:val="31D9592F"/>
    <w:rsid w:val="31DB79D8"/>
    <w:rsid w:val="31DF79A9"/>
    <w:rsid w:val="31FB58A6"/>
    <w:rsid w:val="31FE0EF2"/>
    <w:rsid w:val="31FE5396"/>
    <w:rsid w:val="31FF7744"/>
    <w:rsid w:val="32034EF7"/>
    <w:rsid w:val="3210328B"/>
    <w:rsid w:val="32180206"/>
    <w:rsid w:val="321B2E89"/>
    <w:rsid w:val="322546D1"/>
    <w:rsid w:val="322B3707"/>
    <w:rsid w:val="322C43BA"/>
    <w:rsid w:val="322C4B15"/>
    <w:rsid w:val="322F5EB7"/>
    <w:rsid w:val="322F7E5B"/>
    <w:rsid w:val="32452FC5"/>
    <w:rsid w:val="32500091"/>
    <w:rsid w:val="325829EC"/>
    <w:rsid w:val="32586854"/>
    <w:rsid w:val="325A5DCC"/>
    <w:rsid w:val="325D20BC"/>
    <w:rsid w:val="325E7BE3"/>
    <w:rsid w:val="326205EA"/>
    <w:rsid w:val="32680F89"/>
    <w:rsid w:val="3275602C"/>
    <w:rsid w:val="327918AA"/>
    <w:rsid w:val="327B2543"/>
    <w:rsid w:val="3281134F"/>
    <w:rsid w:val="32841A47"/>
    <w:rsid w:val="32847224"/>
    <w:rsid w:val="32870EE7"/>
    <w:rsid w:val="328E671A"/>
    <w:rsid w:val="328F7B92"/>
    <w:rsid w:val="329362BA"/>
    <w:rsid w:val="329D695D"/>
    <w:rsid w:val="32A24A38"/>
    <w:rsid w:val="32A61CB5"/>
    <w:rsid w:val="32BF68D3"/>
    <w:rsid w:val="32C75788"/>
    <w:rsid w:val="32D76AD3"/>
    <w:rsid w:val="32E20814"/>
    <w:rsid w:val="32E43F45"/>
    <w:rsid w:val="32F26CA9"/>
    <w:rsid w:val="32FF13C6"/>
    <w:rsid w:val="330B7D6A"/>
    <w:rsid w:val="33152498"/>
    <w:rsid w:val="331A1D5C"/>
    <w:rsid w:val="331D35FA"/>
    <w:rsid w:val="3321758E"/>
    <w:rsid w:val="33226E62"/>
    <w:rsid w:val="332B3F69"/>
    <w:rsid w:val="332E1CAB"/>
    <w:rsid w:val="333170A5"/>
    <w:rsid w:val="335E1C38"/>
    <w:rsid w:val="336417E9"/>
    <w:rsid w:val="3364747B"/>
    <w:rsid w:val="33661C03"/>
    <w:rsid w:val="33663BDB"/>
    <w:rsid w:val="33663C98"/>
    <w:rsid w:val="33694A91"/>
    <w:rsid w:val="33774759"/>
    <w:rsid w:val="337A6C9E"/>
    <w:rsid w:val="33934B57"/>
    <w:rsid w:val="339D6506"/>
    <w:rsid w:val="33A61841"/>
    <w:rsid w:val="33A87367"/>
    <w:rsid w:val="33B05759"/>
    <w:rsid w:val="33B14B36"/>
    <w:rsid w:val="33B26438"/>
    <w:rsid w:val="33B7001B"/>
    <w:rsid w:val="33BA709B"/>
    <w:rsid w:val="33CB74FA"/>
    <w:rsid w:val="33CD5020"/>
    <w:rsid w:val="33E04D53"/>
    <w:rsid w:val="33E36AB9"/>
    <w:rsid w:val="33F70598"/>
    <w:rsid w:val="33FD6212"/>
    <w:rsid w:val="340B78F6"/>
    <w:rsid w:val="340D366E"/>
    <w:rsid w:val="341838CF"/>
    <w:rsid w:val="342310E4"/>
    <w:rsid w:val="342A2472"/>
    <w:rsid w:val="34391824"/>
    <w:rsid w:val="34425A0E"/>
    <w:rsid w:val="3446796C"/>
    <w:rsid w:val="345816AA"/>
    <w:rsid w:val="345A3DD4"/>
    <w:rsid w:val="34620231"/>
    <w:rsid w:val="346F27C6"/>
    <w:rsid w:val="34711F46"/>
    <w:rsid w:val="34745A79"/>
    <w:rsid w:val="34776B46"/>
    <w:rsid w:val="34815534"/>
    <w:rsid w:val="34844D32"/>
    <w:rsid w:val="348E2A01"/>
    <w:rsid w:val="348F6779"/>
    <w:rsid w:val="34A00474"/>
    <w:rsid w:val="34A07F53"/>
    <w:rsid w:val="34B14942"/>
    <w:rsid w:val="34D36666"/>
    <w:rsid w:val="34D670AE"/>
    <w:rsid w:val="34D71CBF"/>
    <w:rsid w:val="34DC5294"/>
    <w:rsid w:val="34DD74E5"/>
    <w:rsid w:val="34DF14AF"/>
    <w:rsid w:val="34DF263D"/>
    <w:rsid w:val="34E62438"/>
    <w:rsid w:val="34E806FB"/>
    <w:rsid w:val="34EF7816"/>
    <w:rsid w:val="34F211E2"/>
    <w:rsid w:val="34F74E78"/>
    <w:rsid w:val="350727B3"/>
    <w:rsid w:val="35284C04"/>
    <w:rsid w:val="352E1AEE"/>
    <w:rsid w:val="353646D6"/>
    <w:rsid w:val="353B03CE"/>
    <w:rsid w:val="353C4CEF"/>
    <w:rsid w:val="355635F9"/>
    <w:rsid w:val="35571045"/>
    <w:rsid w:val="35575DD8"/>
    <w:rsid w:val="355F0E30"/>
    <w:rsid w:val="357E2A76"/>
    <w:rsid w:val="3583585A"/>
    <w:rsid w:val="358A08C4"/>
    <w:rsid w:val="358A766C"/>
    <w:rsid w:val="358E290B"/>
    <w:rsid w:val="3593266D"/>
    <w:rsid w:val="35941D23"/>
    <w:rsid w:val="35961234"/>
    <w:rsid w:val="359A03B9"/>
    <w:rsid w:val="35A061C5"/>
    <w:rsid w:val="35B60028"/>
    <w:rsid w:val="35B83942"/>
    <w:rsid w:val="35B923B1"/>
    <w:rsid w:val="35BC359E"/>
    <w:rsid w:val="35BE2E72"/>
    <w:rsid w:val="35C366DA"/>
    <w:rsid w:val="35C44201"/>
    <w:rsid w:val="35C67F79"/>
    <w:rsid w:val="35CE332E"/>
    <w:rsid w:val="35CF507F"/>
    <w:rsid w:val="35D07049"/>
    <w:rsid w:val="35D84564"/>
    <w:rsid w:val="35EE332A"/>
    <w:rsid w:val="35EF585C"/>
    <w:rsid w:val="36011A9C"/>
    <w:rsid w:val="36041629"/>
    <w:rsid w:val="360F5C2A"/>
    <w:rsid w:val="36162CAE"/>
    <w:rsid w:val="36174C78"/>
    <w:rsid w:val="36210B20"/>
    <w:rsid w:val="362D0788"/>
    <w:rsid w:val="36300F1A"/>
    <w:rsid w:val="36433785"/>
    <w:rsid w:val="365732C7"/>
    <w:rsid w:val="36586B29"/>
    <w:rsid w:val="36633A19"/>
    <w:rsid w:val="367C4861"/>
    <w:rsid w:val="367E6AA5"/>
    <w:rsid w:val="36806379"/>
    <w:rsid w:val="368C4D1E"/>
    <w:rsid w:val="368F2A60"/>
    <w:rsid w:val="36932551"/>
    <w:rsid w:val="36965B9D"/>
    <w:rsid w:val="36975981"/>
    <w:rsid w:val="36987D7C"/>
    <w:rsid w:val="36A010DD"/>
    <w:rsid w:val="36A323F3"/>
    <w:rsid w:val="36AA789A"/>
    <w:rsid w:val="36AC298D"/>
    <w:rsid w:val="36BA08DC"/>
    <w:rsid w:val="36BB1AA7"/>
    <w:rsid w:val="36CA241F"/>
    <w:rsid w:val="36CD016C"/>
    <w:rsid w:val="36CE5A1E"/>
    <w:rsid w:val="36D86939"/>
    <w:rsid w:val="36E74BCF"/>
    <w:rsid w:val="36F06EBF"/>
    <w:rsid w:val="36F36094"/>
    <w:rsid w:val="36FA545B"/>
    <w:rsid w:val="36FF6860"/>
    <w:rsid w:val="37005E85"/>
    <w:rsid w:val="37032EE2"/>
    <w:rsid w:val="37052D23"/>
    <w:rsid w:val="3706381E"/>
    <w:rsid w:val="370A16A3"/>
    <w:rsid w:val="370D047D"/>
    <w:rsid w:val="37115D1B"/>
    <w:rsid w:val="37132D3F"/>
    <w:rsid w:val="37164F30"/>
    <w:rsid w:val="37265173"/>
    <w:rsid w:val="372907BF"/>
    <w:rsid w:val="37353608"/>
    <w:rsid w:val="37380B07"/>
    <w:rsid w:val="373C5B22"/>
    <w:rsid w:val="37473124"/>
    <w:rsid w:val="37495DE7"/>
    <w:rsid w:val="37533A8E"/>
    <w:rsid w:val="375F0685"/>
    <w:rsid w:val="37620175"/>
    <w:rsid w:val="376E6B1A"/>
    <w:rsid w:val="37754EA4"/>
    <w:rsid w:val="377A0F90"/>
    <w:rsid w:val="378105FB"/>
    <w:rsid w:val="3781684D"/>
    <w:rsid w:val="37976071"/>
    <w:rsid w:val="379A74B9"/>
    <w:rsid w:val="379B6060"/>
    <w:rsid w:val="379C3687"/>
    <w:rsid w:val="37A20571"/>
    <w:rsid w:val="37A332CD"/>
    <w:rsid w:val="37AA7968"/>
    <w:rsid w:val="37AD6FFB"/>
    <w:rsid w:val="37AE3470"/>
    <w:rsid w:val="37B07204"/>
    <w:rsid w:val="37B87D95"/>
    <w:rsid w:val="37BA5670"/>
    <w:rsid w:val="37D141F5"/>
    <w:rsid w:val="37D963E5"/>
    <w:rsid w:val="37EA43F2"/>
    <w:rsid w:val="37EBC7A6"/>
    <w:rsid w:val="37ED426E"/>
    <w:rsid w:val="37FB587E"/>
    <w:rsid w:val="37FD382A"/>
    <w:rsid w:val="380B6326"/>
    <w:rsid w:val="381551E7"/>
    <w:rsid w:val="381839A2"/>
    <w:rsid w:val="38223A5B"/>
    <w:rsid w:val="38234110"/>
    <w:rsid w:val="38340E36"/>
    <w:rsid w:val="38353194"/>
    <w:rsid w:val="38372165"/>
    <w:rsid w:val="384A70AD"/>
    <w:rsid w:val="38563F34"/>
    <w:rsid w:val="385950D4"/>
    <w:rsid w:val="38660F08"/>
    <w:rsid w:val="386A108F"/>
    <w:rsid w:val="386A72E1"/>
    <w:rsid w:val="386B56A1"/>
    <w:rsid w:val="38713459"/>
    <w:rsid w:val="387329B0"/>
    <w:rsid w:val="38797524"/>
    <w:rsid w:val="387C7014"/>
    <w:rsid w:val="387E0FDF"/>
    <w:rsid w:val="388349E1"/>
    <w:rsid w:val="38946EF2"/>
    <w:rsid w:val="389712E7"/>
    <w:rsid w:val="38982C55"/>
    <w:rsid w:val="389941AE"/>
    <w:rsid w:val="38A45FDC"/>
    <w:rsid w:val="38AF5D1E"/>
    <w:rsid w:val="38BD6B23"/>
    <w:rsid w:val="38C84008"/>
    <w:rsid w:val="38DE3230"/>
    <w:rsid w:val="38E65EE7"/>
    <w:rsid w:val="38EB36E5"/>
    <w:rsid w:val="38ED504A"/>
    <w:rsid w:val="38F74AF1"/>
    <w:rsid w:val="38F82D5E"/>
    <w:rsid w:val="38FF3ECD"/>
    <w:rsid w:val="3901753D"/>
    <w:rsid w:val="39140F60"/>
    <w:rsid w:val="3914724D"/>
    <w:rsid w:val="3915565D"/>
    <w:rsid w:val="391E0C2C"/>
    <w:rsid w:val="3922196A"/>
    <w:rsid w:val="39271C2E"/>
    <w:rsid w:val="392E7AA4"/>
    <w:rsid w:val="394713D0"/>
    <w:rsid w:val="3958538C"/>
    <w:rsid w:val="395A1000"/>
    <w:rsid w:val="395A1104"/>
    <w:rsid w:val="39697599"/>
    <w:rsid w:val="397F14BF"/>
    <w:rsid w:val="39806C59"/>
    <w:rsid w:val="39850165"/>
    <w:rsid w:val="39854CED"/>
    <w:rsid w:val="39897C3B"/>
    <w:rsid w:val="39912999"/>
    <w:rsid w:val="399B0698"/>
    <w:rsid w:val="39A03EED"/>
    <w:rsid w:val="39A131D7"/>
    <w:rsid w:val="39A73BAE"/>
    <w:rsid w:val="39A87231"/>
    <w:rsid w:val="39A92C0E"/>
    <w:rsid w:val="39AB5E03"/>
    <w:rsid w:val="39B34CB8"/>
    <w:rsid w:val="39BA7DF4"/>
    <w:rsid w:val="39BE1053"/>
    <w:rsid w:val="39C35667"/>
    <w:rsid w:val="39C80763"/>
    <w:rsid w:val="39CB50A6"/>
    <w:rsid w:val="39CC34C4"/>
    <w:rsid w:val="39CF6DF4"/>
    <w:rsid w:val="39D44E96"/>
    <w:rsid w:val="39D4535A"/>
    <w:rsid w:val="39D6442C"/>
    <w:rsid w:val="39E210F9"/>
    <w:rsid w:val="39E6508D"/>
    <w:rsid w:val="39EA239A"/>
    <w:rsid w:val="39EC3F23"/>
    <w:rsid w:val="39EC5B12"/>
    <w:rsid w:val="39FF3A59"/>
    <w:rsid w:val="3A074A97"/>
    <w:rsid w:val="3A137505"/>
    <w:rsid w:val="3A1805F9"/>
    <w:rsid w:val="3A2160C5"/>
    <w:rsid w:val="3A313AB8"/>
    <w:rsid w:val="3A3E0A25"/>
    <w:rsid w:val="3A415794"/>
    <w:rsid w:val="3A4A1141"/>
    <w:rsid w:val="3A59585F"/>
    <w:rsid w:val="3A601D2F"/>
    <w:rsid w:val="3A687850"/>
    <w:rsid w:val="3A6A0CDC"/>
    <w:rsid w:val="3A726E4E"/>
    <w:rsid w:val="3A7E085A"/>
    <w:rsid w:val="3A8433AD"/>
    <w:rsid w:val="3A843ABE"/>
    <w:rsid w:val="3A9128C1"/>
    <w:rsid w:val="3A922524"/>
    <w:rsid w:val="3AA10350"/>
    <w:rsid w:val="3AA85F85"/>
    <w:rsid w:val="3AAD5BAB"/>
    <w:rsid w:val="3AAF64AB"/>
    <w:rsid w:val="3AB40CE8"/>
    <w:rsid w:val="3ABF0039"/>
    <w:rsid w:val="3AC21D31"/>
    <w:rsid w:val="3ACC77E6"/>
    <w:rsid w:val="3AD17B7F"/>
    <w:rsid w:val="3AD35612"/>
    <w:rsid w:val="3AD874C9"/>
    <w:rsid w:val="3AE9681C"/>
    <w:rsid w:val="3AEE244B"/>
    <w:rsid w:val="3AEF180B"/>
    <w:rsid w:val="3AF916B0"/>
    <w:rsid w:val="3AFD61EB"/>
    <w:rsid w:val="3B0672D5"/>
    <w:rsid w:val="3B0B6B11"/>
    <w:rsid w:val="3B250922"/>
    <w:rsid w:val="3B260976"/>
    <w:rsid w:val="3B2714BA"/>
    <w:rsid w:val="3B366613"/>
    <w:rsid w:val="3B3D65B4"/>
    <w:rsid w:val="3B3D6F2F"/>
    <w:rsid w:val="3B486A4A"/>
    <w:rsid w:val="3B4B164C"/>
    <w:rsid w:val="3B4D6A6B"/>
    <w:rsid w:val="3B526700"/>
    <w:rsid w:val="3B535A77"/>
    <w:rsid w:val="3B581673"/>
    <w:rsid w:val="3B5C6287"/>
    <w:rsid w:val="3B5E01E4"/>
    <w:rsid w:val="3B6236A0"/>
    <w:rsid w:val="3B6B3A9C"/>
    <w:rsid w:val="3B8B1C35"/>
    <w:rsid w:val="3B937DF8"/>
    <w:rsid w:val="3BA20A9E"/>
    <w:rsid w:val="3BA27B29"/>
    <w:rsid w:val="3BA36306"/>
    <w:rsid w:val="3BA90120"/>
    <w:rsid w:val="3BA96C8B"/>
    <w:rsid w:val="3BB645EB"/>
    <w:rsid w:val="3BB75234"/>
    <w:rsid w:val="3BB81A38"/>
    <w:rsid w:val="3BBB206F"/>
    <w:rsid w:val="3BC46D08"/>
    <w:rsid w:val="3BC74A4B"/>
    <w:rsid w:val="3BC9468F"/>
    <w:rsid w:val="3BD01B51"/>
    <w:rsid w:val="3BD258C9"/>
    <w:rsid w:val="3BE6C7A4"/>
    <w:rsid w:val="3BF03FA1"/>
    <w:rsid w:val="3BFF41E4"/>
    <w:rsid w:val="3BFFA27A"/>
    <w:rsid w:val="3C084023"/>
    <w:rsid w:val="3C131844"/>
    <w:rsid w:val="3C157564"/>
    <w:rsid w:val="3C2002D7"/>
    <w:rsid w:val="3C3C0CD2"/>
    <w:rsid w:val="3C460065"/>
    <w:rsid w:val="3C495460"/>
    <w:rsid w:val="3C522566"/>
    <w:rsid w:val="3C5249B6"/>
    <w:rsid w:val="3C5550C5"/>
    <w:rsid w:val="3C6127A9"/>
    <w:rsid w:val="3C69674F"/>
    <w:rsid w:val="3C7C75E3"/>
    <w:rsid w:val="3C8A2084"/>
    <w:rsid w:val="3C8D13F8"/>
    <w:rsid w:val="3C9012E0"/>
    <w:rsid w:val="3C9708C1"/>
    <w:rsid w:val="3C9B3F0D"/>
    <w:rsid w:val="3CAD4C77"/>
    <w:rsid w:val="3CBD7A17"/>
    <w:rsid w:val="3CC62F17"/>
    <w:rsid w:val="3CC907F0"/>
    <w:rsid w:val="3CCC92BA"/>
    <w:rsid w:val="3CCE7F04"/>
    <w:rsid w:val="3CD5470D"/>
    <w:rsid w:val="3CD64F45"/>
    <w:rsid w:val="3CDC0DE1"/>
    <w:rsid w:val="3CEC3657"/>
    <w:rsid w:val="3CF1446D"/>
    <w:rsid w:val="3CF36A59"/>
    <w:rsid w:val="3CF4186F"/>
    <w:rsid w:val="3CFB1DD3"/>
    <w:rsid w:val="3D025872"/>
    <w:rsid w:val="3D0620E8"/>
    <w:rsid w:val="3D0F4ED7"/>
    <w:rsid w:val="3D141F11"/>
    <w:rsid w:val="3D193084"/>
    <w:rsid w:val="3D22018A"/>
    <w:rsid w:val="3D294424"/>
    <w:rsid w:val="3D29758D"/>
    <w:rsid w:val="3D2C5607"/>
    <w:rsid w:val="3D472F70"/>
    <w:rsid w:val="3D534CEE"/>
    <w:rsid w:val="3D5C3A0F"/>
    <w:rsid w:val="3D683084"/>
    <w:rsid w:val="3D7604D6"/>
    <w:rsid w:val="3D76708B"/>
    <w:rsid w:val="3D7B5AED"/>
    <w:rsid w:val="3D7CBB45"/>
    <w:rsid w:val="3D84709F"/>
    <w:rsid w:val="3D8726E3"/>
    <w:rsid w:val="3D8A4F7F"/>
    <w:rsid w:val="3D8B6CCE"/>
    <w:rsid w:val="3D8C1249"/>
    <w:rsid w:val="3D907E4E"/>
    <w:rsid w:val="3D915D03"/>
    <w:rsid w:val="3D9D5A63"/>
    <w:rsid w:val="3D9F67B1"/>
    <w:rsid w:val="3DA26D0E"/>
    <w:rsid w:val="3DA825AF"/>
    <w:rsid w:val="3DAF617E"/>
    <w:rsid w:val="3DB1150E"/>
    <w:rsid w:val="3DB17760"/>
    <w:rsid w:val="3DB35286"/>
    <w:rsid w:val="3DB96610"/>
    <w:rsid w:val="3DBA03C3"/>
    <w:rsid w:val="3DBC0328"/>
    <w:rsid w:val="3DC12D0A"/>
    <w:rsid w:val="3DC42CFC"/>
    <w:rsid w:val="3DC95CBF"/>
    <w:rsid w:val="3DC9A16D"/>
    <w:rsid w:val="3DD31485"/>
    <w:rsid w:val="3DD35929"/>
    <w:rsid w:val="3DD60F75"/>
    <w:rsid w:val="3DDA450B"/>
    <w:rsid w:val="3DDD2303"/>
    <w:rsid w:val="3DEB38AB"/>
    <w:rsid w:val="3DEE62BF"/>
    <w:rsid w:val="3DF5764D"/>
    <w:rsid w:val="3DFE0BF8"/>
    <w:rsid w:val="3DFF3DB0"/>
    <w:rsid w:val="3DFF45DA"/>
    <w:rsid w:val="3E0E6961"/>
    <w:rsid w:val="3E17163D"/>
    <w:rsid w:val="3E175815"/>
    <w:rsid w:val="3E1F6F2C"/>
    <w:rsid w:val="3E3C1720"/>
    <w:rsid w:val="3E486ECD"/>
    <w:rsid w:val="3E4A0DFA"/>
    <w:rsid w:val="3E4D1237"/>
    <w:rsid w:val="3E734A16"/>
    <w:rsid w:val="3E8B6216"/>
    <w:rsid w:val="3E90381A"/>
    <w:rsid w:val="3E956363"/>
    <w:rsid w:val="3E99749A"/>
    <w:rsid w:val="3EB373AC"/>
    <w:rsid w:val="3EBD90BE"/>
    <w:rsid w:val="3EC97015"/>
    <w:rsid w:val="3ED14D00"/>
    <w:rsid w:val="3EDD2677"/>
    <w:rsid w:val="3EE01818"/>
    <w:rsid w:val="3EE85404"/>
    <w:rsid w:val="3EFB446E"/>
    <w:rsid w:val="3EFE0372"/>
    <w:rsid w:val="3F0833B0"/>
    <w:rsid w:val="3F0A13F8"/>
    <w:rsid w:val="3F0D4E6A"/>
    <w:rsid w:val="3F1745F7"/>
    <w:rsid w:val="3F220A30"/>
    <w:rsid w:val="3F22253F"/>
    <w:rsid w:val="3F2335C3"/>
    <w:rsid w:val="3F236054"/>
    <w:rsid w:val="3F256073"/>
    <w:rsid w:val="3F2C4D37"/>
    <w:rsid w:val="3F3C245E"/>
    <w:rsid w:val="3F431B2C"/>
    <w:rsid w:val="3F456A77"/>
    <w:rsid w:val="3F484CFB"/>
    <w:rsid w:val="3F4A17B3"/>
    <w:rsid w:val="3F4C14EF"/>
    <w:rsid w:val="3F4D5963"/>
    <w:rsid w:val="3F53550C"/>
    <w:rsid w:val="3F537FF3"/>
    <w:rsid w:val="3F5605BF"/>
    <w:rsid w:val="3F5A02EC"/>
    <w:rsid w:val="3F670D1A"/>
    <w:rsid w:val="3F6B2D2B"/>
    <w:rsid w:val="3F6B55BF"/>
    <w:rsid w:val="3F7F5B80"/>
    <w:rsid w:val="3F9152EB"/>
    <w:rsid w:val="3F9E5AC2"/>
    <w:rsid w:val="3FAE03FB"/>
    <w:rsid w:val="3FAE3F57"/>
    <w:rsid w:val="3FB0398F"/>
    <w:rsid w:val="3FBD6841"/>
    <w:rsid w:val="3FC03C8B"/>
    <w:rsid w:val="3FCE0156"/>
    <w:rsid w:val="3FD06468"/>
    <w:rsid w:val="3FD87226"/>
    <w:rsid w:val="3FD9E270"/>
    <w:rsid w:val="3FE3B1C0"/>
    <w:rsid w:val="3FE47979"/>
    <w:rsid w:val="3FE70954"/>
    <w:rsid w:val="3FE7A14E"/>
    <w:rsid w:val="3FF51B86"/>
    <w:rsid w:val="3FFE08B6"/>
    <w:rsid w:val="40010EF3"/>
    <w:rsid w:val="400422FF"/>
    <w:rsid w:val="40152228"/>
    <w:rsid w:val="40181D19"/>
    <w:rsid w:val="401D732F"/>
    <w:rsid w:val="401F4E55"/>
    <w:rsid w:val="402E32EA"/>
    <w:rsid w:val="403158D7"/>
    <w:rsid w:val="40322DDA"/>
    <w:rsid w:val="40384169"/>
    <w:rsid w:val="403D352D"/>
    <w:rsid w:val="40491ED2"/>
    <w:rsid w:val="405220B8"/>
    <w:rsid w:val="405368AD"/>
    <w:rsid w:val="40543E48"/>
    <w:rsid w:val="40665850"/>
    <w:rsid w:val="407A676D"/>
    <w:rsid w:val="40866C82"/>
    <w:rsid w:val="408E29FF"/>
    <w:rsid w:val="40905D53"/>
    <w:rsid w:val="409E221E"/>
    <w:rsid w:val="40A37834"/>
    <w:rsid w:val="40B84D47"/>
    <w:rsid w:val="40CD665F"/>
    <w:rsid w:val="40D365D4"/>
    <w:rsid w:val="40D43E92"/>
    <w:rsid w:val="40D774DE"/>
    <w:rsid w:val="40E276F7"/>
    <w:rsid w:val="40EA6EBA"/>
    <w:rsid w:val="40ED54D8"/>
    <w:rsid w:val="40F31759"/>
    <w:rsid w:val="40F42C5D"/>
    <w:rsid w:val="40F56C6C"/>
    <w:rsid w:val="40F938F8"/>
    <w:rsid w:val="40FEB618"/>
    <w:rsid w:val="410605CC"/>
    <w:rsid w:val="410B7BCB"/>
    <w:rsid w:val="411C1948"/>
    <w:rsid w:val="412E6F3C"/>
    <w:rsid w:val="412E72F9"/>
    <w:rsid w:val="41436921"/>
    <w:rsid w:val="4151103E"/>
    <w:rsid w:val="41526080"/>
    <w:rsid w:val="416B795B"/>
    <w:rsid w:val="41724AE9"/>
    <w:rsid w:val="41850CE8"/>
    <w:rsid w:val="41915D32"/>
    <w:rsid w:val="41941570"/>
    <w:rsid w:val="41961202"/>
    <w:rsid w:val="419B3618"/>
    <w:rsid w:val="419E41F7"/>
    <w:rsid w:val="41A53572"/>
    <w:rsid w:val="41B15EE3"/>
    <w:rsid w:val="41B445E9"/>
    <w:rsid w:val="41BD2B78"/>
    <w:rsid w:val="41C50BB6"/>
    <w:rsid w:val="41C9151C"/>
    <w:rsid w:val="41D57EC1"/>
    <w:rsid w:val="41DB2FFE"/>
    <w:rsid w:val="41EE4ADF"/>
    <w:rsid w:val="41F248FA"/>
    <w:rsid w:val="41F64B29"/>
    <w:rsid w:val="42066721"/>
    <w:rsid w:val="42186000"/>
    <w:rsid w:val="42213106"/>
    <w:rsid w:val="42435874"/>
    <w:rsid w:val="42442951"/>
    <w:rsid w:val="42497184"/>
    <w:rsid w:val="424B5480"/>
    <w:rsid w:val="424F0A63"/>
    <w:rsid w:val="42500DFE"/>
    <w:rsid w:val="425132C0"/>
    <w:rsid w:val="42553EE8"/>
    <w:rsid w:val="425C3523"/>
    <w:rsid w:val="42605908"/>
    <w:rsid w:val="4278084D"/>
    <w:rsid w:val="427B3D8A"/>
    <w:rsid w:val="42886D23"/>
    <w:rsid w:val="42890CAC"/>
    <w:rsid w:val="428C5620"/>
    <w:rsid w:val="428C60A6"/>
    <w:rsid w:val="429F239F"/>
    <w:rsid w:val="429F24F8"/>
    <w:rsid w:val="42A31D6D"/>
    <w:rsid w:val="42B15B0D"/>
    <w:rsid w:val="42B41D52"/>
    <w:rsid w:val="42B85EE5"/>
    <w:rsid w:val="42BF022A"/>
    <w:rsid w:val="42CB7A34"/>
    <w:rsid w:val="42DC761B"/>
    <w:rsid w:val="42E12FAA"/>
    <w:rsid w:val="42E3216A"/>
    <w:rsid w:val="42EB439E"/>
    <w:rsid w:val="42EE5221"/>
    <w:rsid w:val="42EF4FB3"/>
    <w:rsid w:val="42F071AC"/>
    <w:rsid w:val="42F47E0D"/>
    <w:rsid w:val="42F51E9D"/>
    <w:rsid w:val="42FA5706"/>
    <w:rsid w:val="42FC76D0"/>
    <w:rsid w:val="43025F84"/>
    <w:rsid w:val="43122A4F"/>
    <w:rsid w:val="432E448E"/>
    <w:rsid w:val="43325B98"/>
    <w:rsid w:val="43341C3E"/>
    <w:rsid w:val="43495B48"/>
    <w:rsid w:val="43560B8E"/>
    <w:rsid w:val="4356268C"/>
    <w:rsid w:val="435B43F6"/>
    <w:rsid w:val="435B61A4"/>
    <w:rsid w:val="4368266F"/>
    <w:rsid w:val="43721740"/>
    <w:rsid w:val="43776D56"/>
    <w:rsid w:val="437C4A28"/>
    <w:rsid w:val="438374A9"/>
    <w:rsid w:val="43923FA5"/>
    <w:rsid w:val="439671DC"/>
    <w:rsid w:val="43983C23"/>
    <w:rsid w:val="439C7CD4"/>
    <w:rsid w:val="43A73199"/>
    <w:rsid w:val="43A7579D"/>
    <w:rsid w:val="43AE09CA"/>
    <w:rsid w:val="43C82B7A"/>
    <w:rsid w:val="43C875B2"/>
    <w:rsid w:val="43D21641"/>
    <w:rsid w:val="43D338BF"/>
    <w:rsid w:val="43D441A9"/>
    <w:rsid w:val="43E758B2"/>
    <w:rsid w:val="43E97226"/>
    <w:rsid w:val="43EC32A0"/>
    <w:rsid w:val="43EF4B3E"/>
    <w:rsid w:val="43F36AE3"/>
    <w:rsid w:val="43F87E97"/>
    <w:rsid w:val="44093E52"/>
    <w:rsid w:val="440B6D71"/>
    <w:rsid w:val="440C749E"/>
    <w:rsid w:val="441427F7"/>
    <w:rsid w:val="441B5933"/>
    <w:rsid w:val="442030D5"/>
    <w:rsid w:val="4422267C"/>
    <w:rsid w:val="44250560"/>
    <w:rsid w:val="443D3AFC"/>
    <w:rsid w:val="443F3D46"/>
    <w:rsid w:val="444255B6"/>
    <w:rsid w:val="444529B0"/>
    <w:rsid w:val="444E7AB7"/>
    <w:rsid w:val="44587E0A"/>
    <w:rsid w:val="44593DBA"/>
    <w:rsid w:val="44613C8E"/>
    <w:rsid w:val="4475773A"/>
    <w:rsid w:val="447A63A2"/>
    <w:rsid w:val="447D493F"/>
    <w:rsid w:val="447D65EE"/>
    <w:rsid w:val="4484797D"/>
    <w:rsid w:val="44913E48"/>
    <w:rsid w:val="44944B08"/>
    <w:rsid w:val="449F6565"/>
    <w:rsid w:val="44A00397"/>
    <w:rsid w:val="44A409D6"/>
    <w:rsid w:val="44A479C5"/>
    <w:rsid w:val="44AC55BD"/>
    <w:rsid w:val="44AF4066"/>
    <w:rsid w:val="44B042CE"/>
    <w:rsid w:val="44BD10DE"/>
    <w:rsid w:val="44D81A76"/>
    <w:rsid w:val="44DF6BBE"/>
    <w:rsid w:val="44F06345"/>
    <w:rsid w:val="44F47E43"/>
    <w:rsid w:val="44FC4475"/>
    <w:rsid w:val="45082F5D"/>
    <w:rsid w:val="450A1C21"/>
    <w:rsid w:val="451E392D"/>
    <w:rsid w:val="451E3EC6"/>
    <w:rsid w:val="45201547"/>
    <w:rsid w:val="4528655A"/>
    <w:rsid w:val="452F4A52"/>
    <w:rsid w:val="452F55B2"/>
    <w:rsid w:val="45314631"/>
    <w:rsid w:val="45327E35"/>
    <w:rsid w:val="45375CA5"/>
    <w:rsid w:val="453A7DD8"/>
    <w:rsid w:val="453E73B1"/>
    <w:rsid w:val="4545710C"/>
    <w:rsid w:val="45457144"/>
    <w:rsid w:val="45472EBB"/>
    <w:rsid w:val="45486BFC"/>
    <w:rsid w:val="45533F1C"/>
    <w:rsid w:val="4557225D"/>
    <w:rsid w:val="45596713"/>
    <w:rsid w:val="45693D06"/>
    <w:rsid w:val="45901070"/>
    <w:rsid w:val="45B06ED6"/>
    <w:rsid w:val="45B37EB1"/>
    <w:rsid w:val="45B47498"/>
    <w:rsid w:val="45BA35BE"/>
    <w:rsid w:val="45BD4243"/>
    <w:rsid w:val="45CC032A"/>
    <w:rsid w:val="45D71D2E"/>
    <w:rsid w:val="45DA17D8"/>
    <w:rsid w:val="45E46ACA"/>
    <w:rsid w:val="45EF52CA"/>
    <w:rsid w:val="45F1231E"/>
    <w:rsid w:val="45F34DBA"/>
    <w:rsid w:val="45F840E8"/>
    <w:rsid w:val="45F8417E"/>
    <w:rsid w:val="45FB4B6F"/>
    <w:rsid w:val="46014268"/>
    <w:rsid w:val="46026E36"/>
    <w:rsid w:val="46064558"/>
    <w:rsid w:val="462813AD"/>
    <w:rsid w:val="462F3EF3"/>
    <w:rsid w:val="46301610"/>
    <w:rsid w:val="46313B8E"/>
    <w:rsid w:val="463B42CB"/>
    <w:rsid w:val="46440544"/>
    <w:rsid w:val="4646105C"/>
    <w:rsid w:val="465F5301"/>
    <w:rsid w:val="46623CEE"/>
    <w:rsid w:val="466C1D8C"/>
    <w:rsid w:val="466D314E"/>
    <w:rsid w:val="467B0413"/>
    <w:rsid w:val="467D15A4"/>
    <w:rsid w:val="46804174"/>
    <w:rsid w:val="468A24B1"/>
    <w:rsid w:val="468A53B0"/>
    <w:rsid w:val="469B534E"/>
    <w:rsid w:val="469C1213"/>
    <w:rsid w:val="46A14816"/>
    <w:rsid w:val="46B14FD9"/>
    <w:rsid w:val="46B53E1D"/>
    <w:rsid w:val="46B837C8"/>
    <w:rsid w:val="46C0453A"/>
    <w:rsid w:val="46C82AEE"/>
    <w:rsid w:val="46CB4320"/>
    <w:rsid w:val="46CD72D6"/>
    <w:rsid w:val="46E841F3"/>
    <w:rsid w:val="46EE732F"/>
    <w:rsid w:val="46F33B59"/>
    <w:rsid w:val="46F506BE"/>
    <w:rsid w:val="46F513E7"/>
    <w:rsid w:val="4708107D"/>
    <w:rsid w:val="470C1CAD"/>
    <w:rsid w:val="470D1EAB"/>
    <w:rsid w:val="4713457F"/>
    <w:rsid w:val="47176886"/>
    <w:rsid w:val="471F673A"/>
    <w:rsid w:val="47363055"/>
    <w:rsid w:val="473E41E7"/>
    <w:rsid w:val="47530F1F"/>
    <w:rsid w:val="475950F1"/>
    <w:rsid w:val="475F022D"/>
    <w:rsid w:val="47704076"/>
    <w:rsid w:val="47705DC8"/>
    <w:rsid w:val="47741147"/>
    <w:rsid w:val="47774690"/>
    <w:rsid w:val="47793411"/>
    <w:rsid w:val="477C2B8D"/>
    <w:rsid w:val="478101A3"/>
    <w:rsid w:val="478B77DC"/>
    <w:rsid w:val="478D1745"/>
    <w:rsid w:val="4791488A"/>
    <w:rsid w:val="47990E08"/>
    <w:rsid w:val="47B10A89"/>
    <w:rsid w:val="47B40579"/>
    <w:rsid w:val="47B71E17"/>
    <w:rsid w:val="47C018DD"/>
    <w:rsid w:val="47C03707"/>
    <w:rsid w:val="47C13247"/>
    <w:rsid w:val="47D337DD"/>
    <w:rsid w:val="47D433C0"/>
    <w:rsid w:val="47DC187E"/>
    <w:rsid w:val="47F15329"/>
    <w:rsid w:val="47F37F37"/>
    <w:rsid w:val="47F933CB"/>
    <w:rsid w:val="480C2163"/>
    <w:rsid w:val="480F1C53"/>
    <w:rsid w:val="48117538"/>
    <w:rsid w:val="482A25E9"/>
    <w:rsid w:val="482B01EE"/>
    <w:rsid w:val="482E1FB6"/>
    <w:rsid w:val="48317F40"/>
    <w:rsid w:val="48381F7D"/>
    <w:rsid w:val="4850390A"/>
    <w:rsid w:val="48561630"/>
    <w:rsid w:val="486378A9"/>
    <w:rsid w:val="48717D4C"/>
    <w:rsid w:val="48730182"/>
    <w:rsid w:val="48751F9C"/>
    <w:rsid w:val="4877302A"/>
    <w:rsid w:val="487970CD"/>
    <w:rsid w:val="487C375E"/>
    <w:rsid w:val="48802209"/>
    <w:rsid w:val="48836AB4"/>
    <w:rsid w:val="488501FF"/>
    <w:rsid w:val="488838C5"/>
    <w:rsid w:val="48901EE0"/>
    <w:rsid w:val="48910462"/>
    <w:rsid w:val="489B4111"/>
    <w:rsid w:val="48A31586"/>
    <w:rsid w:val="48BF0F83"/>
    <w:rsid w:val="48C84ACB"/>
    <w:rsid w:val="48C8737B"/>
    <w:rsid w:val="48C91E02"/>
    <w:rsid w:val="48C978A6"/>
    <w:rsid w:val="48CB3DCC"/>
    <w:rsid w:val="48D82045"/>
    <w:rsid w:val="48E04E5A"/>
    <w:rsid w:val="48EE3617"/>
    <w:rsid w:val="48F85BB0"/>
    <w:rsid w:val="48FE1841"/>
    <w:rsid w:val="49080B7C"/>
    <w:rsid w:val="490966FA"/>
    <w:rsid w:val="491007F5"/>
    <w:rsid w:val="4914081D"/>
    <w:rsid w:val="491465B8"/>
    <w:rsid w:val="49162368"/>
    <w:rsid w:val="491C4A93"/>
    <w:rsid w:val="49267254"/>
    <w:rsid w:val="493763E3"/>
    <w:rsid w:val="494D29E7"/>
    <w:rsid w:val="49583186"/>
    <w:rsid w:val="495A6EFE"/>
    <w:rsid w:val="495B65B3"/>
    <w:rsid w:val="496164DE"/>
    <w:rsid w:val="496658A3"/>
    <w:rsid w:val="4967696F"/>
    <w:rsid w:val="496C4368"/>
    <w:rsid w:val="497004D0"/>
    <w:rsid w:val="49777A09"/>
    <w:rsid w:val="4989333F"/>
    <w:rsid w:val="498A77E3"/>
    <w:rsid w:val="498B5309"/>
    <w:rsid w:val="498D53AA"/>
    <w:rsid w:val="49940662"/>
    <w:rsid w:val="499535CF"/>
    <w:rsid w:val="49956188"/>
    <w:rsid w:val="499713D1"/>
    <w:rsid w:val="499B0290"/>
    <w:rsid w:val="499D3F04"/>
    <w:rsid w:val="499E328F"/>
    <w:rsid w:val="49A11A8A"/>
    <w:rsid w:val="49A26C9D"/>
    <w:rsid w:val="49A90D0C"/>
    <w:rsid w:val="49B02FC2"/>
    <w:rsid w:val="49B15FF9"/>
    <w:rsid w:val="49B56541"/>
    <w:rsid w:val="49B605D8"/>
    <w:rsid w:val="49B91E77"/>
    <w:rsid w:val="49BD7800"/>
    <w:rsid w:val="49BE123B"/>
    <w:rsid w:val="49BE62E1"/>
    <w:rsid w:val="49C36851"/>
    <w:rsid w:val="49CF398F"/>
    <w:rsid w:val="49D22F38"/>
    <w:rsid w:val="49D40A5E"/>
    <w:rsid w:val="49D84D2B"/>
    <w:rsid w:val="49DC0063"/>
    <w:rsid w:val="49DC7913"/>
    <w:rsid w:val="49DD3BE1"/>
    <w:rsid w:val="49E35145"/>
    <w:rsid w:val="49E55BB5"/>
    <w:rsid w:val="49EB1ADA"/>
    <w:rsid w:val="49F66C27"/>
    <w:rsid w:val="49F85F83"/>
    <w:rsid w:val="49F97C1B"/>
    <w:rsid w:val="4A037596"/>
    <w:rsid w:val="4A064DC7"/>
    <w:rsid w:val="4A0D28D0"/>
    <w:rsid w:val="4A16722D"/>
    <w:rsid w:val="4A1D310F"/>
    <w:rsid w:val="4A1E7AF0"/>
    <w:rsid w:val="4A2512BA"/>
    <w:rsid w:val="4A3A6A54"/>
    <w:rsid w:val="4A3B0312"/>
    <w:rsid w:val="4A3B0ADD"/>
    <w:rsid w:val="4A443E36"/>
    <w:rsid w:val="4A4462D6"/>
    <w:rsid w:val="4A563B69"/>
    <w:rsid w:val="4A695377"/>
    <w:rsid w:val="4A7135B2"/>
    <w:rsid w:val="4A7E27C2"/>
    <w:rsid w:val="4A8149A7"/>
    <w:rsid w:val="4A840031"/>
    <w:rsid w:val="4A983EFF"/>
    <w:rsid w:val="4A9B157C"/>
    <w:rsid w:val="4AA66EAC"/>
    <w:rsid w:val="4AAE7501"/>
    <w:rsid w:val="4AAF5028"/>
    <w:rsid w:val="4AB401CE"/>
    <w:rsid w:val="4ABE5B79"/>
    <w:rsid w:val="4AC8062E"/>
    <w:rsid w:val="4ADA2E75"/>
    <w:rsid w:val="4ADD5690"/>
    <w:rsid w:val="4AE03433"/>
    <w:rsid w:val="4AE304BB"/>
    <w:rsid w:val="4AF31E4E"/>
    <w:rsid w:val="4AFC64BF"/>
    <w:rsid w:val="4AFF5FAF"/>
    <w:rsid w:val="4B0931D0"/>
    <w:rsid w:val="4B0B04B0"/>
    <w:rsid w:val="4B0E45B6"/>
    <w:rsid w:val="4B17661E"/>
    <w:rsid w:val="4B1F0C61"/>
    <w:rsid w:val="4B236133"/>
    <w:rsid w:val="4B2E1B61"/>
    <w:rsid w:val="4B41504C"/>
    <w:rsid w:val="4B43474D"/>
    <w:rsid w:val="4B48404E"/>
    <w:rsid w:val="4B4F42AD"/>
    <w:rsid w:val="4B542FA1"/>
    <w:rsid w:val="4B5C36E4"/>
    <w:rsid w:val="4B6C24F0"/>
    <w:rsid w:val="4B7818BD"/>
    <w:rsid w:val="4B792D75"/>
    <w:rsid w:val="4B7E1A41"/>
    <w:rsid w:val="4B85447B"/>
    <w:rsid w:val="4B865D88"/>
    <w:rsid w:val="4B895879"/>
    <w:rsid w:val="4B920BD1"/>
    <w:rsid w:val="4B9A1834"/>
    <w:rsid w:val="4B9E1324"/>
    <w:rsid w:val="4BA90A6B"/>
    <w:rsid w:val="4BB5041C"/>
    <w:rsid w:val="4BB84560"/>
    <w:rsid w:val="4BC42640"/>
    <w:rsid w:val="4BC535EC"/>
    <w:rsid w:val="4BD21CDC"/>
    <w:rsid w:val="4BD411EA"/>
    <w:rsid w:val="4BD655FC"/>
    <w:rsid w:val="4BDC3BFA"/>
    <w:rsid w:val="4BDF6FA5"/>
    <w:rsid w:val="4BE331DB"/>
    <w:rsid w:val="4BE60F1D"/>
    <w:rsid w:val="4BED22AB"/>
    <w:rsid w:val="4BEFD26A"/>
    <w:rsid w:val="4BF70A34"/>
    <w:rsid w:val="4BF70D1F"/>
    <w:rsid w:val="4BFC7FED"/>
    <w:rsid w:val="4BFF5B3B"/>
    <w:rsid w:val="4C03387D"/>
    <w:rsid w:val="4C0373D9"/>
    <w:rsid w:val="4C1D42B0"/>
    <w:rsid w:val="4C201DD4"/>
    <w:rsid w:val="4C2630C7"/>
    <w:rsid w:val="4C29189F"/>
    <w:rsid w:val="4C3457E4"/>
    <w:rsid w:val="4C482434"/>
    <w:rsid w:val="4C4D0B96"/>
    <w:rsid w:val="4C5B0FC3"/>
    <w:rsid w:val="4C5E4F57"/>
    <w:rsid w:val="4C602A7D"/>
    <w:rsid w:val="4C6A38FC"/>
    <w:rsid w:val="4C6D519A"/>
    <w:rsid w:val="4C8107A0"/>
    <w:rsid w:val="4C87226A"/>
    <w:rsid w:val="4C8835FA"/>
    <w:rsid w:val="4C8E71BF"/>
    <w:rsid w:val="4C8F06A0"/>
    <w:rsid w:val="4C9747A4"/>
    <w:rsid w:val="4CAA55D4"/>
    <w:rsid w:val="4CAB6711"/>
    <w:rsid w:val="4CAC181F"/>
    <w:rsid w:val="4CAE46E6"/>
    <w:rsid w:val="4CB3320A"/>
    <w:rsid w:val="4CB86687"/>
    <w:rsid w:val="4CC528E0"/>
    <w:rsid w:val="4CC7034A"/>
    <w:rsid w:val="4CCB35C9"/>
    <w:rsid w:val="4CCC1EC1"/>
    <w:rsid w:val="4CCE5C39"/>
    <w:rsid w:val="4CD64AED"/>
    <w:rsid w:val="4CDB0356"/>
    <w:rsid w:val="4CDF1BF4"/>
    <w:rsid w:val="4CE0539C"/>
    <w:rsid w:val="4CE5757E"/>
    <w:rsid w:val="4CF220F9"/>
    <w:rsid w:val="4CF907DC"/>
    <w:rsid w:val="4CFB09F8"/>
    <w:rsid w:val="4CFF2296"/>
    <w:rsid w:val="4CFF4044"/>
    <w:rsid w:val="4D046B6A"/>
    <w:rsid w:val="4D0478AD"/>
    <w:rsid w:val="4D0C69C4"/>
    <w:rsid w:val="4D0E72D5"/>
    <w:rsid w:val="4D1D34E8"/>
    <w:rsid w:val="4D1E654F"/>
    <w:rsid w:val="4D2E492A"/>
    <w:rsid w:val="4D3B0DF4"/>
    <w:rsid w:val="4D3C7DE3"/>
    <w:rsid w:val="4D4D1254"/>
    <w:rsid w:val="4D4D69CE"/>
    <w:rsid w:val="4D5123C6"/>
    <w:rsid w:val="4D543E3B"/>
    <w:rsid w:val="4D595308"/>
    <w:rsid w:val="4D5D4569"/>
    <w:rsid w:val="4D693BB4"/>
    <w:rsid w:val="4D705BC5"/>
    <w:rsid w:val="4D706CF0"/>
    <w:rsid w:val="4D812D57"/>
    <w:rsid w:val="4D815970"/>
    <w:rsid w:val="4D8373D4"/>
    <w:rsid w:val="4D924485"/>
    <w:rsid w:val="4D956757"/>
    <w:rsid w:val="4D976E51"/>
    <w:rsid w:val="4D9E1E27"/>
    <w:rsid w:val="4DAF3415"/>
    <w:rsid w:val="4DB74893"/>
    <w:rsid w:val="4DBE4E9F"/>
    <w:rsid w:val="4DBF16C4"/>
    <w:rsid w:val="4DBFECBF"/>
    <w:rsid w:val="4DC4703C"/>
    <w:rsid w:val="4DD52C2C"/>
    <w:rsid w:val="4DD52FF7"/>
    <w:rsid w:val="4DDB4428"/>
    <w:rsid w:val="4DE616DE"/>
    <w:rsid w:val="4DED405F"/>
    <w:rsid w:val="4DEF40B9"/>
    <w:rsid w:val="4DFD2DE6"/>
    <w:rsid w:val="4E121B55"/>
    <w:rsid w:val="4E122358"/>
    <w:rsid w:val="4E2A3343"/>
    <w:rsid w:val="4E2B61AD"/>
    <w:rsid w:val="4E306E72"/>
    <w:rsid w:val="4E3C5B2A"/>
    <w:rsid w:val="4E451F2B"/>
    <w:rsid w:val="4E492DD0"/>
    <w:rsid w:val="4E4C267F"/>
    <w:rsid w:val="4E4C3506"/>
    <w:rsid w:val="4E4E41F3"/>
    <w:rsid w:val="4E5F2AF8"/>
    <w:rsid w:val="4E61488B"/>
    <w:rsid w:val="4E6210E9"/>
    <w:rsid w:val="4E6B6EA1"/>
    <w:rsid w:val="4E74636C"/>
    <w:rsid w:val="4E7C2D1C"/>
    <w:rsid w:val="4E86609F"/>
    <w:rsid w:val="4E952232"/>
    <w:rsid w:val="4E9700F7"/>
    <w:rsid w:val="4E984929"/>
    <w:rsid w:val="4E992277"/>
    <w:rsid w:val="4E9B0E76"/>
    <w:rsid w:val="4EA524E3"/>
    <w:rsid w:val="4EA62ADA"/>
    <w:rsid w:val="4EB4172E"/>
    <w:rsid w:val="4EB5120D"/>
    <w:rsid w:val="4EBD5F65"/>
    <w:rsid w:val="4EBE538C"/>
    <w:rsid w:val="4ECC5F52"/>
    <w:rsid w:val="4EE031BE"/>
    <w:rsid w:val="4EE334F2"/>
    <w:rsid w:val="4EE37F68"/>
    <w:rsid w:val="4EEA2AD2"/>
    <w:rsid w:val="4EEF00E8"/>
    <w:rsid w:val="4EF55E94"/>
    <w:rsid w:val="4EF70D4B"/>
    <w:rsid w:val="4EF79AF2"/>
    <w:rsid w:val="4F0746D1"/>
    <w:rsid w:val="4F15544F"/>
    <w:rsid w:val="4F2C6C47"/>
    <w:rsid w:val="4F376605"/>
    <w:rsid w:val="4F3D0E54"/>
    <w:rsid w:val="4F415041"/>
    <w:rsid w:val="4F477707"/>
    <w:rsid w:val="4F5012C8"/>
    <w:rsid w:val="4F506DD9"/>
    <w:rsid w:val="4F59138E"/>
    <w:rsid w:val="4F5B752C"/>
    <w:rsid w:val="4F6247EF"/>
    <w:rsid w:val="4F6F4D85"/>
    <w:rsid w:val="4F721C64"/>
    <w:rsid w:val="4F734876"/>
    <w:rsid w:val="4F841516"/>
    <w:rsid w:val="4F842187"/>
    <w:rsid w:val="4F9071D6"/>
    <w:rsid w:val="4F9204FB"/>
    <w:rsid w:val="4F940B35"/>
    <w:rsid w:val="4F980780"/>
    <w:rsid w:val="4F9D1E71"/>
    <w:rsid w:val="4FAE00F3"/>
    <w:rsid w:val="4FC116B9"/>
    <w:rsid w:val="4FC155E1"/>
    <w:rsid w:val="4FC178DF"/>
    <w:rsid w:val="4FCB2904"/>
    <w:rsid w:val="4FCF6062"/>
    <w:rsid w:val="4FD537C0"/>
    <w:rsid w:val="4FDB196C"/>
    <w:rsid w:val="4FDC795D"/>
    <w:rsid w:val="4FDE2637"/>
    <w:rsid w:val="4FDF62B0"/>
    <w:rsid w:val="4FE47C0F"/>
    <w:rsid w:val="4FE52EC5"/>
    <w:rsid w:val="4FE946BE"/>
    <w:rsid w:val="4FEB08B0"/>
    <w:rsid w:val="4FF534DD"/>
    <w:rsid w:val="4FF57980"/>
    <w:rsid w:val="50062548"/>
    <w:rsid w:val="500F5911"/>
    <w:rsid w:val="5023004A"/>
    <w:rsid w:val="50250266"/>
    <w:rsid w:val="5028222A"/>
    <w:rsid w:val="502D2C76"/>
    <w:rsid w:val="5031210B"/>
    <w:rsid w:val="503264DF"/>
    <w:rsid w:val="50377F99"/>
    <w:rsid w:val="5038161B"/>
    <w:rsid w:val="50411A70"/>
    <w:rsid w:val="50483F54"/>
    <w:rsid w:val="50484AC6"/>
    <w:rsid w:val="504A5FC6"/>
    <w:rsid w:val="504F0EE6"/>
    <w:rsid w:val="50540473"/>
    <w:rsid w:val="507C53C5"/>
    <w:rsid w:val="508036EE"/>
    <w:rsid w:val="5080549C"/>
    <w:rsid w:val="50A10F71"/>
    <w:rsid w:val="50A72C5D"/>
    <w:rsid w:val="50AC2B50"/>
    <w:rsid w:val="50B07D90"/>
    <w:rsid w:val="50B91BE4"/>
    <w:rsid w:val="50BB35D0"/>
    <w:rsid w:val="50BF6559"/>
    <w:rsid w:val="50C63AFC"/>
    <w:rsid w:val="50C97700"/>
    <w:rsid w:val="50D77086"/>
    <w:rsid w:val="50DD5829"/>
    <w:rsid w:val="50E33C7D"/>
    <w:rsid w:val="50E35A2B"/>
    <w:rsid w:val="50E50C09"/>
    <w:rsid w:val="50E86A91"/>
    <w:rsid w:val="50EA19E5"/>
    <w:rsid w:val="50FB4B23"/>
    <w:rsid w:val="51080A7C"/>
    <w:rsid w:val="51087F19"/>
    <w:rsid w:val="511B3417"/>
    <w:rsid w:val="51271DBC"/>
    <w:rsid w:val="51361141"/>
    <w:rsid w:val="514209A3"/>
    <w:rsid w:val="5144296E"/>
    <w:rsid w:val="51527191"/>
    <w:rsid w:val="515A3F3F"/>
    <w:rsid w:val="515B4CE3"/>
    <w:rsid w:val="51604411"/>
    <w:rsid w:val="517926D9"/>
    <w:rsid w:val="517F76F4"/>
    <w:rsid w:val="518043AE"/>
    <w:rsid w:val="51826FF2"/>
    <w:rsid w:val="518E30D2"/>
    <w:rsid w:val="5193319F"/>
    <w:rsid w:val="519659C7"/>
    <w:rsid w:val="519A049A"/>
    <w:rsid w:val="51A94ACE"/>
    <w:rsid w:val="51AA404F"/>
    <w:rsid w:val="51AB16A4"/>
    <w:rsid w:val="51AC0513"/>
    <w:rsid w:val="51AC6715"/>
    <w:rsid w:val="51BF2E61"/>
    <w:rsid w:val="51C1147A"/>
    <w:rsid w:val="51DD06CC"/>
    <w:rsid w:val="51DF52D1"/>
    <w:rsid w:val="51E62A34"/>
    <w:rsid w:val="51EB0615"/>
    <w:rsid w:val="51EC6A99"/>
    <w:rsid w:val="51EDC784"/>
    <w:rsid w:val="51F2586F"/>
    <w:rsid w:val="51F45335"/>
    <w:rsid w:val="51F45ABB"/>
    <w:rsid w:val="51FA071A"/>
    <w:rsid w:val="51FC6541"/>
    <w:rsid w:val="5209326F"/>
    <w:rsid w:val="520B4811"/>
    <w:rsid w:val="52261B09"/>
    <w:rsid w:val="522620D6"/>
    <w:rsid w:val="522B1438"/>
    <w:rsid w:val="522E717A"/>
    <w:rsid w:val="523B0C24"/>
    <w:rsid w:val="523B7217"/>
    <w:rsid w:val="523E05D2"/>
    <w:rsid w:val="523E652B"/>
    <w:rsid w:val="525A170E"/>
    <w:rsid w:val="525C3CE7"/>
    <w:rsid w:val="525C7843"/>
    <w:rsid w:val="5268268C"/>
    <w:rsid w:val="526C3FEC"/>
    <w:rsid w:val="52770955"/>
    <w:rsid w:val="527C422B"/>
    <w:rsid w:val="52870E07"/>
    <w:rsid w:val="528A121C"/>
    <w:rsid w:val="528C4D2C"/>
    <w:rsid w:val="529207E1"/>
    <w:rsid w:val="529E7E5B"/>
    <w:rsid w:val="52A940B1"/>
    <w:rsid w:val="52B61649"/>
    <w:rsid w:val="52BE22AC"/>
    <w:rsid w:val="52C13B4A"/>
    <w:rsid w:val="52C75604"/>
    <w:rsid w:val="52C8312A"/>
    <w:rsid w:val="52E33AC0"/>
    <w:rsid w:val="52E5473E"/>
    <w:rsid w:val="52E964FA"/>
    <w:rsid w:val="52EF40B0"/>
    <w:rsid w:val="52F70215"/>
    <w:rsid w:val="52F87468"/>
    <w:rsid w:val="53036406"/>
    <w:rsid w:val="53057EDB"/>
    <w:rsid w:val="532632D1"/>
    <w:rsid w:val="532A4990"/>
    <w:rsid w:val="534259E0"/>
    <w:rsid w:val="534976B3"/>
    <w:rsid w:val="534D44EA"/>
    <w:rsid w:val="534E7AD3"/>
    <w:rsid w:val="535E583D"/>
    <w:rsid w:val="53681BC2"/>
    <w:rsid w:val="536966BB"/>
    <w:rsid w:val="53784B50"/>
    <w:rsid w:val="537A4D81"/>
    <w:rsid w:val="537E1A3B"/>
    <w:rsid w:val="538243F4"/>
    <w:rsid w:val="538C05FC"/>
    <w:rsid w:val="53925D5F"/>
    <w:rsid w:val="53AE40CE"/>
    <w:rsid w:val="53BF6819"/>
    <w:rsid w:val="53C15826"/>
    <w:rsid w:val="53C70C9C"/>
    <w:rsid w:val="53CA764B"/>
    <w:rsid w:val="53D37FD9"/>
    <w:rsid w:val="53E059A1"/>
    <w:rsid w:val="53E0654E"/>
    <w:rsid w:val="53EC4BF7"/>
    <w:rsid w:val="53EE4E13"/>
    <w:rsid w:val="53FD24DA"/>
    <w:rsid w:val="540921AE"/>
    <w:rsid w:val="540C1CB0"/>
    <w:rsid w:val="54166B2E"/>
    <w:rsid w:val="54216F96"/>
    <w:rsid w:val="54260108"/>
    <w:rsid w:val="54307C7C"/>
    <w:rsid w:val="54345F35"/>
    <w:rsid w:val="54372AB5"/>
    <w:rsid w:val="54386DE8"/>
    <w:rsid w:val="5444349B"/>
    <w:rsid w:val="5446239B"/>
    <w:rsid w:val="5452306B"/>
    <w:rsid w:val="54640C31"/>
    <w:rsid w:val="546B0211"/>
    <w:rsid w:val="546E1AAF"/>
    <w:rsid w:val="546E385E"/>
    <w:rsid w:val="54710A3B"/>
    <w:rsid w:val="54770964"/>
    <w:rsid w:val="547E0169"/>
    <w:rsid w:val="547E558F"/>
    <w:rsid w:val="54815C87"/>
    <w:rsid w:val="54A340AA"/>
    <w:rsid w:val="54A62896"/>
    <w:rsid w:val="54A6749B"/>
    <w:rsid w:val="54A84FC1"/>
    <w:rsid w:val="54AD25D8"/>
    <w:rsid w:val="54AE468E"/>
    <w:rsid w:val="54B25E40"/>
    <w:rsid w:val="54B90F7D"/>
    <w:rsid w:val="54BC694F"/>
    <w:rsid w:val="54CA714C"/>
    <w:rsid w:val="54CF254E"/>
    <w:rsid w:val="54D01A26"/>
    <w:rsid w:val="54E0475B"/>
    <w:rsid w:val="54EA060E"/>
    <w:rsid w:val="54F81F48"/>
    <w:rsid w:val="54F93A6F"/>
    <w:rsid w:val="54FC530D"/>
    <w:rsid w:val="54FE1085"/>
    <w:rsid w:val="54FF1A4E"/>
    <w:rsid w:val="550345FC"/>
    <w:rsid w:val="55164621"/>
    <w:rsid w:val="551B1C37"/>
    <w:rsid w:val="551C150B"/>
    <w:rsid w:val="55232D59"/>
    <w:rsid w:val="55243733"/>
    <w:rsid w:val="552706A4"/>
    <w:rsid w:val="55322ADD"/>
    <w:rsid w:val="553E1482"/>
    <w:rsid w:val="5541285A"/>
    <w:rsid w:val="55637009"/>
    <w:rsid w:val="55651503"/>
    <w:rsid w:val="55696F3C"/>
    <w:rsid w:val="558671A5"/>
    <w:rsid w:val="558B35C4"/>
    <w:rsid w:val="558E1391"/>
    <w:rsid w:val="558F7F2F"/>
    <w:rsid w:val="55967510"/>
    <w:rsid w:val="559E0172"/>
    <w:rsid w:val="55A34424"/>
    <w:rsid w:val="55A541E7"/>
    <w:rsid w:val="55AE4859"/>
    <w:rsid w:val="55C53951"/>
    <w:rsid w:val="55C67DF5"/>
    <w:rsid w:val="55D1679A"/>
    <w:rsid w:val="55D45D44"/>
    <w:rsid w:val="55D63DB0"/>
    <w:rsid w:val="55D77440"/>
    <w:rsid w:val="55E95892"/>
    <w:rsid w:val="55EB71C9"/>
    <w:rsid w:val="55F514F6"/>
    <w:rsid w:val="55F602D7"/>
    <w:rsid w:val="55F7DBD6"/>
    <w:rsid w:val="56093087"/>
    <w:rsid w:val="56165F22"/>
    <w:rsid w:val="561C1DF7"/>
    <w:rsid w:val="56220DA3"/>
    <w:rsid w:val="562C13CB"/>
    <w:rsid w:val="563B0432"/>
    <w:rsid w:val="563D5D26"/>
    <w:rsid w:val="563E7ACB"/>
    <w:rsid w:val="56410EA1"/>
    <w:rsid w:val="564205FD"/>
    <w:rsid w:val="56462AAF"/>
    <w:rsid w:val="564C5E20"/>
    <w:rsid w:val="56523548"/>
    <w:rsid w:val="5652724F"/>
    <w:rsid w:val="565D4D50"/>
    <w:rsid w:val="5665191E"/>
    <w:rsid w:val="56675A92"/>
    <w:rsid w:val="56701B0F"/>
    <w:rsid w:val="56817CD8"/>
    <w:rsid w:val="56892221"/>
    <w:rsid w:val="568B4CF7"/>
    <w:rsid w:val="568B6949"/>
    <w:rsid w:val="56953069"/>
    <w:rsid w:val="56953DA9"/>
    <w:rsid w:val="569A24CA"/>
    <w:rsid w:val="569C6DA8"/>
    <w:rsid w:val="56A31EE4"/>
    <w:rsid w:val="56C46405"/>
    <w:rsid w:val="56D04A16"/>
    <w:rsid w:val="56D55E16"/>
    <w:rsid w:val="56D77DE0"/>
    <w:rsid w:val="56EA18C1"/>
    <w:rsid w:val="56ED0C98"/>
    <w:rsid w:val="56F31436"/>
    <w:rsid w:val="56F339AA"/>
    <w:rsid w:val="56F444EE"/>
    <w:rsid w:val="570046B2"/>
    <w:rsid w:val="57061ACA"/>
    <w:rsid w:val="570A256C"/>
    <w:rsid w:val="571526B6"/>
    <w:rsid w:val="571E77BD"/>
    <w:rsid w:val="572F438D"/>
    <w:rsid w:val="574908F7"/>
    <w:rsid w:val="57520451"/>
    <w:rsid w:val="57576C22"/>
    <w:rsid w:val="57637D90"/>
    <w:rsid w:val="57647C1E"/>
    <w:rsid w:val="576770D1"/>
    <w:rsid w:val="57684EDC"/>
    <w:rsid w:val="577531CA"/>
    <w:rsid w:val="5777273B"/>
    <w:rsid w:val="5779195F"/>
    <w:rsid w:val="577C7278"/>
    <w:rsid w:val="577F1756"/>
    <w:rsid w:val="5781424D"/>
    <w:rsid w:val="57875362"/>
    <w:rsid w:val="57906944"/>
    <w:rsid w:val="57923D07"/>
    <w:rsid w:val="5796146F"/>
    <w:rsid w:val="5797131D"/>
    <w:rsid w:val="579D4B86"/>
    <w:rsid w:val="57AD5AD7"/>
    <w:rsid w:val="57B56F19"/>
    <w:rsid w:val="57B7551B"/>
    <w:rsid w:val="57BB14B0"/>
    <w:rsid w:val="57BB4CEC"/>
    <w:rsid w:val="57C1138B"/>
    <w:rsid w:val="57CF0AB7"/>
    <w:rsid w:val="57D460CD"/>
    <w:rsid w:val="57DB6156"/>
    <w:rsid w:val="57DC6353"/>
    <w:rsid w:val="57DE55B1"/>
    <w:rsid w:val="57E41E2C"/>
    <w:rsid w:val="57E509D2"/>
    <w:rsid w:val="57E52E8C"/>
    <w:rsid w:val="57E722A5"/>
    <w:rsid w:val="57ED576D"/>
    <w:rsid w:val="57F2D22D"/>
    <w:rsid w:val="57FD64F7"/>
    <w:rsid w:val="57FF8603"/>
    <w:rsid w:val="58011430"/>
    <w:rsid w:val="58015C02"/>
    <w:rsid w:val="581666E6"/>
    <w:rsid w:val="58207565"/>
    <w:rsid w:val="58277C4C"/>
    <w:rsid w:val="58342289"/>
    <w:rsid w:val="58372D88"/>
    <w:rsid w:val="583A6878"/>
    <w:rsid w:val="58583E1D"/>
    <w:rsid w:val="585A2E80"/>
    <w:rsid w:val="586438F5"/>
    <w:rsid w:val="586C6306"/>
    <w:rsid w:val="58831FCD"/>
    <w:rsid w:val="58853D00"/>
    <w:rsid w:val="5886561A"/>
    <w:rsid w:val="58871392"/>
    <w:rsid w:val="588836A3"/>
    <w:rsid w:val="5889510A"/>
    <w:rsid w:val="5892238F"/>
    <w:rsid w:val="58A1367E"/>
    <w:rsid w:val="58A13E38"/>
    <w:rsid w:val="58AB5080"/>
    <w:rsid w:val="58AC2669"/>
    <w:rsid w:val="58AC2BA6"/>
    <w:rsid w:val="58B141AE"/>
    <w:rsid w:val="58C425E6"/>
    <w:rsid w:val="58C445DA"/>
    <w:rsid w:val="58CD1E48"/>
    <w:rsid w:val="58CF5213"/>
    <w:rsid w:val="58DE7B7E"/>
    <w:rsid w:val="58E34C0D"/>
    <w:rsid w:val="58E42EF4"/>
    <w:rsid w:val="58E95A3B"/>
    <w:rsid w:val="58ED38EB"/>
    <w:rsid w:val="5901661E"/>
    <w:rsid w:val="5904190E"/>
    <w:rsid w:val="590F3861"/>
    <w:rsid w:val="59140E77"/>
    <w:rsid w:val="591B63C3"/>
    <w:rsid w:val="592E180D"/>
    <w:rsid w:val="592F5CB1"/>
    <w:rsid w:val="59403CBE"/>
    <w:rsid w:val="59486D73"/>
    <w:rsid w:val="59494A66"/>
    <w:rsid w:val="595B7D89"/>
    <w:rsid w:val="59611737"/>
    <w:rsid w:val="59667064"/>
    <w:rsid w:val="596C2616"/>
    <w:rsid w:val="59702CC4"/>
    <w:rsid w:val="59735ABF"/>
    <w:rsid w:val="59755721"/>
    <w:rsid w:val="59764EA2"/>
    <w:rsid w:val="597C786F"/>
    <w:rsid w:val="5980290A"/>
    <w:rsid w:val="59822285"/>
    <w:rsid w:val="59835FFD"/>
    <w:rsid w:val="598B115D"/>
    <w:rsid w:val="59910F7B"/>
    <w:rsid w:val="599124C8"/>
    <w:rsid w:val="599173E6"/>
    <w:rsid w:val="59927FEE"/>
    <w:rsid w:val="59A07E2E"/>
    <w:rsid w:val="59A87812"/>
    <w:rsid w:val="59AF0BA0"/>
    <w:rsid w:val="59B43CAC"/>
    <w:rsid w:val="59BA5E57"/>
    <w:rsid w:val="59BB700B"/>
    <w:rsid w:val="59BE0E84"/>
    <w:rsid w:val="59D555CE"/>
    <w:rsid w:val="59E2410E"/>
    <w:rsid w:val="59E545C2"/>
    <w:rsid w:val="59F61D50"/>
    <w:rsid w:val="59FD4202"/>
    <w:rsid w:val="5A0218C9"/>
    <w:rsid w:val="5A041940"/>
    <w:rsid w:val="5A065F73"/>
    <w:rsid w:val="5A137381"/>
    <w:rsid w:val="5A190766"/>
    <w:rsid w:val="5A224BAB"/>
    <w:rsid w:val="5A25145E"/>
    <w:rsid w:val="5A291D65"/>
    <w:rsid w:val="5A3C33AE"/>
    <w:rsid w:val="5A3D7F5A"/>
    <w:rsid w:val="5A48645D"/>
    <w:rsid w:val="5A4B6B1B"/>
    <w:rsid w:val="5A5359CF"/>
    <w:rsid w:val="5A56726E"/>
    <w:rsid w:val="5A567950"/>
    <w:rsid w:val="5A5A0B0C"/>
    <w:rsid w:val="5A5A1045"/>
    <w:rsid w:val="5A5D1D15"/>
    <w:rsid w:val="5A64198B"/>
    <w:rsid w:val="5A6A2A66"/>
    <w:rsid w:val="5A70032F"/>
    <w:rsid w:val="5A775CEE"/>
    <w:rsid w:val="5A7B06D5"/>
    <w:rsid w:val="5A813D7F"/>
    <w:rsid w:val="5A8B5667"/>
    <w:rsid w:val="5A9473B6"/>
    <w:rsid w:val="5A975B99"/>
    <w:rsid w:val="5A9D6C4B"/>
    <w:rsid w:val="5AA6460A"/>
    <w:rsid w:val="5AA93841"/>
    <w:rsid w:val="5AB02E22"/>
    <w:rsid w:val="5AB04BD0"/>
    <w:rsid w:val="5AC24903"/>
    <w:rsid w:val="5ACC0A94"/>
    <w:rsid w:val="5ADB6779"/>
    <w:rsid w:val="5AE52B24"/>
    <w:rsid w:val="5AE8433A"/>
    <w:rsid w:val="5AEB600E"/>
    <w:rsid w:val="5AF76B1D"/>
    <w:rsid w:val="5AFB66E6"/>
    <w:rsid w:val="5AFC1DAF"/>
    <w:rsid w:val="5B21162A"/>
    <w:rsid w:val="5B25539F"/>
    <w:rsid w:val="5B2B24A8"/>
    <w:rsid w:val="5B2C34B9"/>
    <w:rsid w:val="5B3520B1"/>
    <w:rsid w:val="5B435A44"/>
    <w:rsid w:val="5B4B7501"/>
    <w:rsid w:val="5B4E356A"/>
    <w:rsid w:val="5B4F43E9"/>
    <w:rsid w:val="5B5150EA"/>
    <w:rsid w:val="5B602582"/>
    <w:rsid w:val="5B6634E0"/>
    <w:rsid w:val="5B706D8D"/>
    <w:rsid w:val="5B811D24"/>
    <w:rsid w:val="5B913692"/>
    <w:rsid w:val="5B991B08"/>
    <w:rsid w:val="5BA40927"/>
    <w:rsid w:val="5BA71B25"/>
    <w:rsid w:val="5BA83AF9"/>
    <w:rsid w:val="5BAA161F"/>
    <w:rsid w:val="5BB65800"/>
    <w:rsid w:val="5BB93F58"/>
    <w:rsid w:val="5BBB2DCC"/>
    <w:rsid w:val="5BBC1352"/>
    <w:rsid w:val="5BBD6C53"/>
    <w:rsid w:val="5BCA57F2"/>
    <w:rsid w:val="5BDC72D5"/>
    <w:rsid w:val="5BE10DB9"/>
    <w:rsid w:val="5BED59B0"/>
    <w:rsid w:val="5BEF797A"/>
    <w:rsid w:val="5BF23438"/>
    <w:rsid w:val="5BF353EE"/>
    <w:rsid w:val="5C0E2A6F"/>
    <w:rsid w:val="5C0F5926"/>
    <w:rsid w:val="5C1178F0"/>
    <w:rsid w:val="5C13384C"/>
    <w:rsid w:val="5C241BE6"/>
    <w:rsid w:val="5C2B0170"/>
    <w:rsid w:val="5C38462F"/>
    <w:rsid w:val="5C433822"/>
    <w:rsid w:val="5C45759A"/>
    <w:rsid w:val="5C4C604A"/>
    <w:rsid w:val="5C5058D6"/>
    <w:rsid w:val="5C5924D5"/>
    <w:rsid w:val="5C5B4667"/>
    <w:rsid w:val="5C5D2B35"/>
    <w:rsid w:val="5C601C9F"/>
    <w:rsid w:val="5C604074"/>
    <w:rsid w:val="5C607B91"/>
    <w:rsid w:val="5C863035"/>
    <w:rsid w:val="5C9F6BCD"/>
    <w:rsid w:val="5CA114ED"/>
    <w:rsid w:val="5CA342F9"/>
    <w:rsid w:val="5CAA3BAB"/>
    <w:rsid w:val="5CB2226F"/>
    <w:rsid w:val="5CBF6D9B"/>
    <w:rsid w:val="5CC059C2"/>
    <w:rsid w:val="5CCB5CF1"/>
    <w:rsid w:val="5CCE45F7"/>
    <w:rsid w:val="5CD15384"/>
    <w:rsid w:val="5CD32DF8"/>
    <w:rsid w:val="5CD51D3B"/>
    <w:rsid w:val="5CD5607E"/>
    <w:rsid w:val="5CD911F2"/>
    <w:rsid w:val="5CDE27C2"/>
    <w:rsid w:val="5CE11347"/>
    <w:rsid w:val="5CE74832"/>
    <w:rsid w:val="5CFBF3AE"/>
    <w:rsid w:val="5D055FED"/>
    <w:rsid w:val="5D086C55"/>
    <w:rsid w:val="5D170F36"/>
    <w:rsid w:val="5D215911"/>
    <w:rsid w:val="5D2652AB"/>
    <w:rsid w:val="5D2D2508"/>
    <w:rsid w:val="5D3C099D"/>
    <w:rsid w:val="5D3F66DF"/>
    <w:rsid w:val="5D4635C9"/>
    <w:rsid w:val="5D4B0BE0"/>
    <w:rsid w:val="5D4F0C38"/>
    <w:rsid w:val="5D504D94"/>
    <w:rsid w:val="5D5061F6"/>
    <w:rsid w:val="5D564193"/>
    <w:rsid w:val="5D5A7075"/>
    <w:rsid w:val="5D66289E"/>
    <w:rsid w:val="5D6B50AB"/>
    <w:rsid w:val="5D754FD6"/>
    <w:rsid w:val="5D7C2A07"/>
    <w:rsid w:val="5D7C49E0"/>
    <w:rsid w:val="5D804D2D"/>
    <w:rsid w:val="5D851485"/>
    <w:rsid w:val="5D885990"/>
    <w:rsid w:val="5D902723"/>
    <w:rsid w:val="5D947F46"/>
    <w:rsid w:val="5D9500AD"/>
    <w:rsid w:val="5D9702E4"/>
    <w:rsid w:val="5D975303"/>
    <w:rsid w:val="5DAA3B58"/>
    <w:rsid w:val="5DAB2583"/>
    <w:rsid w:val="5DAB78D0"/>
    <w:rsid w:val="5DAD53F7"/>
    <w:rsid w:val="5DC0337C"/>
    <w:rsid w:val="5DC3599E"/>
    <w:rsid w:val="5DC4648D"/>
    <w:rsid w:val="5DC6470A"/>
    <w:rsid w:val="5DD75377"/>
    <w:rsid w:val="5DD956B5"/>
    <w:rsid w:val="5DD961EC"/>
    <w:rsid w:val="5DDD5383"/>
    <w:rsid w:val="5DE54B90"/>
    <w:rsid w:val="5DE80B25"/>
    <w:rsid w:val="5DE95D3F"/>
    <w:rsid w:val="5DED3270"/>
    <w:rsid w:val="5DEE7DDB"/>
    <w:rsid w:val="5DF474C9"/>
    <w:rsid w:val="5DF5CDE9"/>
    <w:rsid w:val="5DF64860"/>
    <w:rsid w:val="5DF93820"/>
    <w:rsid w:val="5DFC445A"/>
    <w:rsid w:val="5DFE20F6"/>
    <w:rsid w:val="5E037840"/>
    <w:rsid w:val="5E111E29"/>
    <w:rsid w:val="5E115985"/>
    <w:rsid w:val="5E194310"/>
    <w:rsid w:val="5E1C432A"/>
    <w:rsid w:val="5E200792"/>
    <w:rsid w:val="5E230AA7"/>
    <w:rsid w:val="5E2A7E49"/>
    <w:rsid w:val="5E3B0C54"/>
    <w:rsid w:val="5E404724"/>
    <w:rsid w:val="5E426F07"/>
    <w:rsid w:val="5E532442"/>
    <w:rsid w:val="5E5A661E"/>
    <w:rsid w:val="5E5D6E1D"/>
    <w:rsid w:val="5E5E4943"/>
    <w:rsid w:val="5E68756F"/>
    <w:rsid w:val="5E745D6E"/>
    <w:rsid w:val="5E7F4C65"/>
    <w:rsid w:val="5E8771BA"/>
    <w:rsid w:val="5E8B615C"/>
    <w:rsid w:val="5E8C0F8B"/>
    <w:rsid w:val="5E8C5954"/>
    <w:rsid w:val="5E923B09"/>
    <w:rsid w:val="5EA031AD"/>
    <w:rsid w:val="5EA90415"/>
    <w:rsid w:val="5EAD4431"/>
    <w:rsid w:val="5EB153BA"/>
    <w:rsid w:val="5EC72ACE"/>
    <w:rsid w:val="5ED35784"/>
    <w:rsid w:val="5EDC0AC0"/>
    <w:rsid w:val="5EE237C6"/>
    <w:rsid w:val="5EE25574"/>
    <w:rsid w:val="5EE4753E"/>
    <w:rsid w:val="5EE57A83"/>
    <w:rsid w:val="5EE60C28"/>
    <w:rsid w:val="5EE65D18"/>
    <w:rsid w:val="5EEC01A1"/>
    <w:rsid w:val="5EF27584"/>
    <w:rsid w:val="5EF79A39"/>
    <w:rsid w:val="5EFA22A1"/>
    <w:rsid w:val="5EFB4C53"/>
    <w:rsid w:val="5F090D52"/>
    <w:rsid w:val="5F100333"/>
    <w:rsid w:val="5F10363A"/>
    <w:rsid w:val="5F1548F7"/>
    <w:rsid w:val="5F1E0BE4"/>
    <w:rsid w:val="5F200B07"/>
    <w:rsid w:val="5F311C88"/>
    <w:rsid w:val="5F322057"/>
    <w:rsid w:val="5F3FABB5"/>
    <w:rsid w:val="5F4A2DEE"/>
    <w:rsid w:val="5F4B08DC"/>
    <w:rsid w:val="5F4C2F89"/>
    <w:rsid w:val="5F5019B7"/>
    <w:rsid w:val="5F530220"/>
    <w:rsid w:val="5F5533BB"/>
    <w:rsid w:val="5F586FEE"/>
    <w:rsid w:val="5F588017"/>
    <w:rsid w:val="5F5B3658"/>
    <w:rsid w:val="5F60319C"/>
    <w:rsid w:val="5F60684C"/>
    <w:rsid w:val="5F670948"/>
    <w:rsid w:val="5F69146D"/>
    <w:rsid w:val="5F752E69"/>
    <w:rsid w:val="5F7D4849"/>
    <w:rsid w:val="5F807429"/>
    <w:rsid w:val="5F834669"/>
    <w:rsid w:val="5F8A618E"/>
    <w:rsid w:val="5F8D1947"/>
    <w:rsid w:val="5F904FD0"/>
    <w:rsid w:val="5F9100A0"/>
    <w:rsid w:val="5F95631A"/>
    <w:rsid w:val="5F9E76ED"/>
    <w:rsid w:val="5FA665A1"/>
    <w:rsid w:val="5FB0066B"/>
    <w:rsid w:val="5FB019C5"/>
    <w:rsid w:val="5FBC7B73"/>
    <w:rsid w:val="5FBCCC6D"/>
    <w:rsid w:val="5FBF7663"/>
    <w:rsid w:val="5FC05400"/>
    <w:rsid w:val="5FC86314"/>
    <w:rsid w:val="5FCA6734"/>
    <w:rsid w:val="5FCF5AF8"/>
    <w:rsid w:val="5FDC1FC3"/>
    <w:rsid w:val="5FE570CA"/>
    <w:rsid w:val="5FECA924"/>
    <w:rsid w:val="5FF217E7"/>
    <w:rsid w:val="5FF23595"/>
    <w:rsid w:val="5FFA365C"/>
    <w:rsid w:val="5FFBA334"/>
    <w:rsid w:val="6007390A"/>
    <w:rsid w:val="600A3865"/>
    <w:rsid w:val="600F393E"/>
    <w:rsid w:val="60121E89"/>
    <w:rsid w:val="60163727"/>
    <w:rsid w:val="601A3622"/>
    <w:rsid w:val="601B2CB8"/>
    <w:rsid w:val="602373CD"/>
    <w:rsid w:val="60247B5D"/>
    <w:rsid w:val="603B3E30"/>
    <w:rsid w:val="603C0CB4"/>
    <w:rsid w:val="60416DCA"/>
    <w:rsid w:val="60421B4F"/>
    <w:rsid w:val="60431EA4"/>
    <w:rsid w:val="604B0D71"/>
    <w:rsid w:val="604D2EC1"/>
    <w:rsid w:val="60560001"/>
    <w:rsid w:val="60651FB9"/>
    <w:rsid w:val="606631C7"/>
    <w:rsid w:val="6072134A"/>
    <w:rsid w:val="60730CCF"/>
    <w:rsid w:val="607C3A33"/>
    <w:rsid w:val="60820DBC"/>
    <w:rsid w:val="60822B6A"/>
    <w:rsid w:val="608250F0"/>
    <w:rsid w:val="608C7484"/>
    <w:rsid w:val="608F7035"/>
    <w:rsid w:val="60970262"/>
    <w:rsid w:val="609D0FCF"/>
    <w:rsid w:val="60A6142B"/>
    <w:rsid w:val="60A7067E"/>
    <w:rsid w:val="60A800F7"/>
    <w:rsid w:val="60C0317B"/>
    <w:rsid w:val="60C24090"/>
    <w:rsid w:val="60C56332"/>
    <w:rsid w:val="60C86CE7"/>
    <w:rsid w:val="60C875C1"/>
    <w:rsid w:val="60CA02AA"/>
    <w:rsid w:val="60D4713E"/>
    <w:rsid w:val="60D62EB6"/>
    <w:rsid w:val="60DB020D"/>
    <w:rsid w:val="60E66B25"/>
    <w:rsid w:val="60E6759D"/>
    <w:rsid w:val="60E96F2A"/>
    <w:rsid w:val="60E9736E"/>
    <w:rsid w:val="60F8107F"/>
    <w:rsid w:val="60FA7E42"/>
    <w:rsid w:val="61032317"/>
    <w:rsid w:val="61190304"/>
    <w:rsid w:val="611C2FBF"/>
    <w:rsid w:val="61236D4E"/>
    <w:rsid w:val="6128091C"/>
    <w:rsid w:val="612E2CF2"/>
    <w:rsid w:val="6142054C"/>
    <w:rsid w:val="6146003C"/>
    <w:rsid w:val="615421A0"/>
    <w:rsid w:val="61596B36"/>
    <w:rsid w:val="61671D60"/>
    <w:rsid w:val="61720E31"/>
    <w:rsid w:val="61731074"/>
    <w:rsid w:val="617C6DCA"/>
    <w:rsid w:val="61881ABA"/>
    <w:rsid w:val="61882403"/>
    <w:rsid w:val="619227A8"/>
    <w:rsid w:val="61965798"/>
    <w:rsid w:val="619A4A8B"/>
    <w:rsid w:val="619E1C26"/>
    <w:rsid w:val="61A70A27"/>
    <w:rsid w:val="61A80DBC"/>
    <w:rsid w:val="61A84853"/>
    <w:rsid w:val="61B551C2"/>
    <w:rsid w:val="61B83E3D"/>
    <w:rsid w:val="61C22AFF"/>
    <w:rsid w:val="61C77C1D"/>
    <w:rsid w:val="61C80A51"/>
    <w:rsid w:val="61CB270F"/>
    <w:rsid w:val="61CE3B8D"/>
    <w:rsid w:val="61D251DF"/>
    <w:rsid w:val="61D57AA6"/>
    <w:rsid w:val="61D7370C"/>
    <w:rsid w:val="61D75138"/>
    <w:rsid w:val="61DA69D6"/>
    <w:rsid w:val="61DC0E2B"/>
    <w:rsid w:val="61DF188E"/>
    <w:rsid w:val="61ED72A2"/>
    <w:rsid w:val="61F66565"/>
    <w:rsid w:val="61F85BAC"/>
    <w:rsid w:val="620C5B7E"/>
    <w:rsid w:val="62153852"/>
    <w:rsid w:val="621719D8"/>
    <w:rsid w:val="62180C7C"/>
    <w:rsid w:val="62244731"/>
    <w:rsid w:val="624413F5"/>
    <w:rsid w:val="62483A5B"/>
    <w:rsid w:val="62542DF1"/>
    <w:rsid w:val="62553469"/>
    <w:rsid w:val="62571DD5"/>
    <w:rsid w:val="625B7B17"/>
    <w:rsid w:val="625D3525"/>
    <w:rsid w:val="6263230B"/>
    <w:rsid w:val="62662018"/>
    <w:rsid w:val="626764BC"/>
    <w:rsid w:val="626A7709"/>
    <w:rsid w:val="6275418B"/>
    <w:rsid w:val="62775FD3"/>
    <w:rsid w:val="62885CDB"/>
    <w:rsid w:val="628A3F58"/>
    <w:rsid w:val="628F5A13"/>
    <w:rsid w:val="62925925"/>
    <w:rsid w:val="629848C7"/>
    <w:rsid w:val="6299063F"/>
    <w:rsid w:val="6299419B"/>
    <w:rsid w:val="62B77369"/>
    <w:rsid w:val="62BF6C3D"/>
    <w:rsid w:val="62C63B33"/>
    <w:rsid w:val="62C84A81"/>
    <w:rsid w:val="62D358FF"/>
    <w:rsid w:val="62DD052C"/>
    <w:rsid w:val="62DD422B"/>
    <w:rsid w:val="62E01DCA"/>
    <w:rsid w:val="62E62F4B"/>
    <w:rsid w:val="62EE2E7F"/>
    <w:rsid w:val="62F37D50"/>
    <w:rsid w:val="62FC6F89"/>
    <w:rsid w:val="6303477F"/>
    <w:rsid w:val="630D6126"/>
    <w:rsid w:val="631A1780"/>
    <w:rsid w:val="632127C3"/>
    <w:rsid w:val="632707C0"/>
    <w:rsid w:val="63396CA8"/>
    <w:rsid w:val="635D166D"/>
    <w:rsid w:val="636429FB"/>
    <w:rsid w:val="63690593"/>
    <w:rsid w:val="63730E90"/>
    <w:rsid w:val="6379017B"/>
    <w:rsid w:val="63790D6E"/>
    <w:rsid w:val="637FC843"/>
    <w:rsid w:val="638310F9"/>
    <w:rsid w:val="638579A3"/>
    <w:rsid w:val="63972DD1"/>
    <w:rsid w:val="639A641D"/>
    <w:rsid w:val="63A454EE"/>
    <w:rsid w:val="63AE8ED4"/>
    <w:rsid w:val="63B2324E"/>
    <w:rsid w:val="63B36841"/>
    <w:rsid w:val="63C05EA7"/>
    <w:rsid w:val="63C721AC"/>
    <w:rsid w:val="63C97AE9"/>
    <w:rsid w:val="63CF67CD"/>
    <w:rsid w:val="63D530FA"/>
    <w:rsid w:val="63DA3BD9"/>
    <w:rsid w:val="63E853DA"/>
    <w:rsid w:val="63F77FE5"/>
    <w:rsid w:val="640624AF"/>
    <w:rsid w:val="640C789D"/>
    <w:rsid w:val="64191A38"/>
    <w:rsid w:val="641F14FA"/>
    <w:rsid w:val="641F276B"/>
    <w:rsid w:val="641F4B74"/>
    <w:rsid w:val="64216B3E"/>
    <w:rsid w:val="643A5ABF"/>
    <w:rsid w:val="643B19AE"/>
    <w:rsid w:val="64487C27"/>
    <w:rsid w:val="646D3DB1"/>
    <w:rsid w:val="647B7FFD"/>
    <w:rsid w:val="64963088"/>
    <w:rsid w:val="64A31301"/>
    <w:rsid w:val="64A31AB1"/>
    <w:rsid w:val="64AA08E2"/>
    <w:rsid w:val="64BD7EE3"/>
    <w:rsid w:val="64C01EB3"/>
    <w:rsid w:val="64C10F29"/>
    <w:rsid w:val="64C676BB"/>
    <w:rsid w:val="64D41B49"/>
    <w:rsid w:val="64DA53AE"/>
    <w:rsid w:val="64E60142"/>
    <w:rsid w:val="64EE343A"/>
    <w:rsid w:val="64FE478A"/>
    <w:rsid w:val="64FFDE4B"/>
    <w:rsid w:val="650504B3"/>
    <w:rsid w:val="650A3B2D"/>
    <w:rsid w:val="651842D4"/>
    <w:rsid w:val="652C579B"/>
    <w:rsid w:val="652F2B95"/>
    <w:rsid w:val="6543667F"/>
    <w:rsid w:val="65491EA9"/>
    <w:rsid w:val="6557687A"/>
    <w:rsid w:val="655A2308"/>
    <w:rsid w:val="655A2EB6"/>
    <w:rsid w:val="656272D4"/>
    <w:rsid w:val="65695659"/>
    <w:rsid w:val="656A1E1F"/>
    <w:rsid w:val="656A5839"/>
    <w:rsid w:val="657D1B52"/>
    <w:rsid w:val="6584085B"/>
    <w:rsid w:val="65847385"/>
    <w:rsid w:val="658662AB"/>
    <w:rsid w:val="65A67180"/>
    <w:rsid w:val="65B04F76"/>
    <w:rsid w:val="65B45EF6"/>
    <w:rsid w:val="65B752FD"/>
    <w:rsid w:val="65BA6903"/>
    <w:rsid w:val="65BC6B1F"/>
    <w:rsid w:val="65BD78D3"/>
    <w:rsid w:val="65DF280D"/>
    <w:rsid w:val="65E903C3"/>
    <w:rsid w:val="65EC662A"/>
    <w:rsid w:val="65FA7647"/>
    <w:rsid w:val="65FF07B9"/>
    <w:rsid w:val="65FF6A0B"/>
    <w:rsid w:val="66010A5C"/>
    <w:rsid w:val="660202AA"/>
    <w:rsid w:val="66023EA3"/>
    <w:rsid w:val="66027DCC"/>
    <w:rsid w:val="66054436"/>
    <w:rsid w:val="660758C0"/>
    <w:rsid w:val="660D4DB6"/>
    <w:rsid w:val="66163DCA"/>
    <w:rsid w:val="662446C4"/>
    <w:rsid w:val="66284FC6"/>
    <w:rsid w:val="662966D5"/>
    <w:rsid w:val="66371679"/>
    <w:rsid w:val="664063B2"/>
    <w:rsid w:val="66406452"/>
    <w:rsid w:val="66415388"/>
    <w:rsid w:val="66457F8E"/>
    <w:rsid w:val="66485ACF"/>
    <w:rsid w:val="66495ED8"/>
    <w:rsid w:val="664D2567"/>
    <w:rsid w:val="6663343E"/>
    <w:rsid w:val="66680A54"/>
    <w:rsid w:val="667D73A4"/>
    <w:rsid w:val="667F664F"/>
    <w:rsid w:val="66811B16"/>
    <w:rsid w:val="66893EE6"/>
    <w:rsid w:val="669453A6"/>
    <w:rsid w:val="66952ECC"/>
    <w:rsid w:val="66A32E79"/>
    <w:rsid w:val="66AA2E1B"/>
    <w:rsid w:val="66B90E50"/>
    <w:rsid w:val="66C56E6A"/>
    <w:rsid w:val="66CD2666"/>
    <w:rsid w:val="66D83EE9"/>
    <w:rsid w:val="66D87988"/>
    <w:rsid w:val="66DB47E8"/>
    <w:rsid w:val="66ED2D08"/>
    <w:rsid w:val="66EF082E"/>
    <w:rsid w:val="66F03B9D"/>
    <w:rsid w:val="66F26570"/>
    <w:rsid w:val="66F81DD8"/>
    <w:rsid w:val="66F916AD"/>
    <w:rsid w:val="66FA1E94"/>
    <w:rsid w:val="67007FF3"/>
    <w:rsid w:val="67185FD7"/>
    <w:rsid w:val="67281F92"/>
    <w:rsid w:val="673426E5"/>
    <w:rsid w:val="673E0CD7"/>
    <w:rsid w:val="67486190"/>
    <w:rsid w:val="67542D87"/>
    <w:rsid w:val="675B2D5F"/>
    <w:rsid w:val="675E59B4"/>
    <w:rsid w:val="67622366"/>
    <w:rsid w:val="67650AF0"/>
    <w:rsid w:val="676A327D"/>
    <w:rsid w:val="676B59C3"/>
    <w:rsid w:val="67725A14"/>
    <w:rsid w:val="67786A75"/>
    <w:rsid w:val="679259FF"/>
    <w:rsid w:val="67935E87"/>
    <w:rsid w:val="67A50A42"/>
    <w:rsid w:val="67A71109"/>
    <w:rsid w:val="67A96C2F"/>
    <w:rsid w:val="67AA31EF"/>
    <w:rsid w:val="67AC4324"/>
    <w:rsid w:val="67BA5E6E"/>
    <w:rsid w:val="67BE1A8B"/>
    <w:rsid w:val="67C1276E"/>
    <w:rsid w:val="67C454CF"/>
    <w:rsid w:val="67C577E1"/>
    <w:rsid w:val="67CC011D"/>
    <w:rsid w:val="67D0240D"/>
    <w:rsid w:val="67D143D7"/>
    <w:rsid w:val="67DBB92E"/>
    <w:rsid w:val="67E54283"/>
    <w:rsid w:val="67E8131A"/>
    <w:rsid w:val="67EA1118"/>
    <w:rsid w:val="67F65DA4"/>
    <w:rsid w:val="67F7723D"/>
    <w:rsid w:val="67FA4BEF"/>
    <w:rsid w:val="67FDDCBD"/>
    <w:rsid w:val="67FF7197"/>
    <w:rsid w:val="680419E0"/>
    <w:rsid w:val="680648F3"/>
    <w:rsid w:val="680A032B"/>
    <w:rsid w:val="680A6658"/>
    <w:rsid w:val="681471FC"/>
    <w:rsid w:val="68190258"/>
    <w:rsid w:val="681C5653"/>
    <w:rsid w:val="682269E1"/>
    <w:rsid w:val="682409AB"/>
    <w:rsid w:val="682C4037"/>
    <w:rsid w:val="68307350"/>
    <w:rsid w:val="683A61DE"/>
    <w:rsid w:val="683C6AF0"/>
    <w:rsid w:val="68423A65"/>
    <w:rsid w:val="68466191"/>
    <w:rsid w:val="68476448"/>
    <w:rsid w:val="684B23DC"/>
    <w:rsid w:val="68562FBD"/>
    <w:rsid w:val="685F19D4"/>
    <w:rsid w:val="68613E45"/>
    <w:rsid w:val="686168F7"/>
    <w:rsid w:val="6863369E"/>
    <w:rsid w:val="686915D3"/>
    <w:rsid w:val="686B68EA"/>
    <w:rsid w:val="686D3854"/>
    <w:rsid w:val="687D96E0"/>
    <w:rsid w:val="68917F75"/>
    <w:rsid w:val="689C4BF4"/>
    <w:rsid w:val="689D2D9B"/>
    <w:rsid w:val="68C74DCD"/>
    <w:rsid w:val="68C8445A"/>
    <w:rsid w:val="68CE7E74"/>
    <w:rsid w:val="68D26659"/>
    <w:rsid w:val="68E24AEE"/>
    <w:rsid w:val="68E55DFF"/>
    <w:rsid w:val="68E72403"/>
    <w:rsid w:val="68E832D6"/>
    <w:rsid w:val="68EB3277"/>
    <w:rsid w:val="68EB3D19"/>
    <w:rsid w:val="68FB2D3F"/>
    <w:rsid w:val="690305C1"/>
    <w:rsid w:val="69051B7B"/>
    <w:rsid w:val="69166546"/>
    <w:rsid w:val="691A32A4"/>
    <w:rsid w:val="692A3D9F"/>
    <w:rsid w:val="692C46A6"/>
    <w:rsid w:val="69303AFB"/>
    <w:rsid w:val="69320EA6"/>
    <w:rsid w:val="6933041A"/>
    <w:rsid w:val="6933534A"/>
    <w:rsid w:val="69375C61"/>
    <w:rsid w:val="694035C3"/>
    <w:rsid w:val="69482477"/>
    <w:rsid w:val="694E2184"/>
    <w:rsid w:val="696279DD"/>
    <w:rsid w:val="69674277"/>
    <w:rsid w:val="696F232C"/>
    <w:rsid w:val="696F6212"/>
    <w:rsid w:val="697D7D54"/>
    <w:rsid w:val="69810F07"/>
    <w:rsid w:val="699557B6"/>
    <w:rsid w:val="699A614E"/>
    <w:rsid w:val="69B5553C"/>
    <w:rsid w:val="69C73CE4"/>
    <w:rsid w:val="69CB190B"/>
    <w:rsid w:val="69D106BF"/>
    <w:rsid w:val="69DC3B22"/>
    <w:rsid w:val="69E337EE"/>
    <w:rsid w:val="69E66B78"/>
    <w:rsid w:val="69F22B91"/>
    <w:rsid w:val="69F23EFC"/>
    <w:rsid w:val="69F66377"/>
    <w:rsid w:val="69FB4289"/>
    <w:rsid w:val="6A021836"/>
    <w:rsid w:val="6A0A597F"/>
    <w:rsid w:val="6A102F95"/>
    <w:rsid w:val="6A170D51"/>
    <w:rsid w:val="6A19191D"/>
    <w:rsid w:val="6A1C4030"/>
    <w:rsid w:val="6A244B48"/>
    <w:rsid w:val="6A3A40DB"/>
    <w:rsid w:val="6A4B03C2"/>
    <w:rsid w:val="6A711BF9"/>
    <w:rsid w:val="6A75504B"/>
    <w:rsid w:val="6A774588"/>
    <w:rsid w:val="6A7D6CAF"/>
    <w:rsid w:val="6A7E25F5"/>
    <w:rsid w:val="6A7F1057"/>
    <w:rsid w:val="6A890241"/>
    <w:rsid w:val="6A890F99"/>
    <w:rsid w:val="6A8B4577"/>
    <w:rsid w:val="6A8B520E"/>
    <w:rsid w:val="6A8C58DC"/>
    <w:rsid w:val="6AA95198"/>
    <w:rsid w:val="6AA964F4"/>
    <w:rsid w:val="6AAA163C"/>
    <w:rsid w:val="6ABF1C94"/>
    <w:rsid w:val="6AC46281"/>
    <w:rsid w:val="6AC87D14"/>
    <w:rsid w:val="6AD04038"/>
    <w:rsid w:val="6AD466B8"/>
    <w:rsid w:val="6ADB7A47"/>
    <w:rsid w:val="6AE508C6"/>
    <w:rsid w:val="6AE81BC8"/>
    <w:rsid w:val="6AEB70B9"/>
    <w:rsid w:val="6AED37F2"/>
    <w:rsid w:val="6AEF06B9"/>
    <w:rsid w:val="6AF3185A"/>
    <w:rsid w:val="6AF7DBD5"/>
    <w:rsid w:val="6AFF731D"/>
    <w:rsid w:val="6B07083C"/>
    <w:rsid w:val="6B12220B"/>
    <w:rsid w:val="6B23319C"/>
    <w:rsid w:val="6B2338BC"/>
    <w:rsid w:val="6B234F4A"/>
    <w:rsid w:val="6B2807B2"/>
    <w:rsid w:val="6B2F0F06"/>
    <w:rsid w:val="6B3929BF"/>
    <w:rsid w:val="6B4454B3"/>
    <w:rsid w:val="6B491503"/>
    <w:rsid w:val="6B4915A2"/>
    <w:rsid w:val="6B4947E4"/>
    <w:rsid w:val="6B4D0219"/>
    <w:rsid w:val="6B6172B8"/>
    <w:rsid w:val="6B651B78"/>
    <w:rsid w:val="6B65473C"/>
    <w:rsid w:val="6B67752D"/>
    <w:rsid w:val="6B790EAD"/>
    <w:rsid w:val="6B79100E"/>
    <w:rsid w:val="6B7A4F81"/>
    <w:rsid w:val="6B7CF43B"/>
    <w:rsid w:val="6B7E0447"/>
    <w:rsid w:val="6B8C0D18"/>
    <w:rsid w:val="6B8D57E5"/>
    <w:rsid w:val="6B9151DB"/>
    <w:rsid w:val="6B92656F"/>
    <w:rsid w:val="6B937928"/>
    <w:rsid w:val="6B94722B"/>
    <w:rsid w:val="6B9B2D32"/>
    <w:rsid w:val="6B9B71D6"/>
    <w:rsid w:val="6B9C4ADA"/>
    <w:rsid w:val="6BA52955"/>
    <w:rsid w:val="6BAA309A"/>
    <w:rsid w:val="6BBD0EFB"/>
    <w:rsid w:val="6BDE7AC3"/>
    <w:rsid w:val="6BE40B7D"/>
    <w:rsid w:val="6BEC7A32"/>
    <w:rsid w:val="6C0807A3"/>
    <w:rsid w:val="6C117498"/>
    <w:rsid w:val="6C1F5711"/>
    <w:rsid w:val="6C20148A"/>
    <w:rsid w:val="6C21592D"/>
    <w:rsid w:val="6C2D7757"/>
    <w:rsid w:val="6C411314"/>
    <w:rsid w:val="6C412FE0"/>
    <w:rsid w:val="6C4E2A07"/>
    <w:rsid w:val="6C501D6F"/>
    <w:rsid w:val="6C6625E1"/>
    <w:rsid w:val="6C6719A7"/>
    <w:rsid w:val="6C6C46F9"/>
    <w:rsid w:val="6C777CAC"/>
    <w:rsid w:val="6C7F08A6"/>
    <w:rsid w:val="6C8E0AE9"/>
    <w:rsid w:val="6C923939"/>
    <w:rsid w:val="6C967F0D"/>
    <w:rsid w:val="6CA05526"/>
    <w:rsid w:val="6CAC4153"/>
    <w:rsid w:val="6CAE6A95"/>
    <w:rsid w:val="6CB71DEE"/>
    <w:rsid w:val="6CBE10EF"/>
    <w:rsid w:val="6CBE12B4"/>
    <w:rsid w:val="6CC10EBE"/>
    <w:rsid w:val="6CCA61BE"/>
    <w:rsid w:val="6CCB3AEB"/>
    <w:rsid w:val="6CD12AC6"/>
    <w:rsid w:val="6CD52274"/>
    <w:rsid w:val="6CD8316D"/>
    <w:rsid w:val="6CDA5ADC"/>
    <w:rsid w:val="6CEC4D2D"/>
    <w:rsid w:val="6CF109D2"/>
    <w:rsid w:val="6CF463EC"/>
    <w:rsid w:val="6D002AD6"/>
    <w:rsid w:val="6D01750D"/>
    <w:rsid w:val="6D020114"/>
    <w:rsid w:val="6D254FA9"/>
    <w:rsid w:val="6D276982"/>
    <w:rsid w:val="6D30174F"/>
    <w:rsid w:val="6D325918"/>
    <w:rsid w:val="6D352513"/>
    <w:rsid w:val="6D3B040E"/>
    <w:rsid w:val="6D3E42BD"/>
    <w:rsid w:val="6D41794E"/>
    <w:rsid w:val="6D4573FA"/>
    <w:rsid w:val="6D4C41C3"/>
    <w:rsid w:val="6D513FF0"/>
    <w:rsid w:val="6D521B17"/>
    <w:rsid w:val="6D57537F"/>
    <w:rsid w:val="6D5910F7"/>
    <w:rsid w:val="6D5A11EE"/>
    <w:rsid w:val="6D5A4EE8"/>
    <w:rsid w:val="6D5B17B0"/>
    <w:rsid w:val="6D5F3840"/>
    <w:rsid w:val="6D6261FE"/>
    <w:rsid w:val="6D6C7E3C"/>
    <w:rsid w:val="6D752493"/>
    <w:rsid w:val="6D772135"/>
    <w:rsid w:val="6D793547"/>
    <w:rsid w:val="6D7B6DFE"/>
    <w:rsid w:val="6D7D3370"/>
    <w:rsid w:val="6D7F429F"/>
    <w:rsid w:val="6D902392"/>
    <w:rsid w:val="6D91263F"/>
    <w:rsid w:val="6D920165"/>
    <w:rsid w:val="6D9B3AD4"/>
    <w:rsid w:val="6DA265FA"/>
    <w:rsid w:val="6DA8212F"/>
    <w:rsid w:val="6DAF2A8F"/>
    <w:rsid w:val="6DAF6F69"/>
    <w:rsid w:val="6DB35909"/>
    <w:rsid w:val="6DB620A5"/>
    <w:rsid w:val="6DBE13EF"/>
    <w:rsid w:val="6DBE5E87"/>
    <w:rsid w:val="6DC522E8"/>
    <w:rsid w:val="6DD32C57"/>
    <w:rsid w:val="6DDEB473"/>
    <w:rsid w:val="6DF0480C"/>
    <w:rsid w:val="6DFE08FF"/>
    <w:rsid w:val="6E005A16"/>
    <w:rsid w:val="6E096679"/>
    <w:rsid w:val="6E0A419F"/>
    <w:rsid w:val="6E192936"/>
    <w:rsid w:val="6E1F5A5B"/>
    <w:rsid w:val="6E2552A2"/>
    <w:rsid w:val="6E2B7B92"/>
    <w:rsid w:val="6E353C2B"/>
    <w:rsid w:val="6E3D37CD"/>
    <w:rsid w:val="6E3F653F"/>
    <w:rsid w:val="6E58315D"/>
    <w:rsid w:val="6E602011"/>
    <w:rsid w:val="6E6B7334"/>
    <w:rsid w:val="6E6C09B6"/>
    <w:rsid w:val="6E707D97"/>
    <w:rsid w:val="6E7D7067"/>
    <w:rsid w:val="6E845862"/>
    <w:rsid w:val="6E856204"/>
    <w:rsid w:val="6E8B1221"/>
    <w:rsid w:val="6E8C7791"/>
    <w:rsid w:val="6E8E2DFC"/>
    <w:rsid w:val="6E99148A"/>
    <w:rsid w:val="6E9A42BE"/>
    <w:rsid w:val="6EAD3AF4"/>
    <w:rsid w:val="6EB42BD3"/>
    <w:rsid w:val="6EBA7973"/>
    <w:rsid w:val="6EBD7E40"/>
    <w:rsid w:val="6EBE56B6"/>
    <w:rsid w:val="6EBF31DC"/>
    <w:rsid w:val="6EC542C2"/>
    <w:rsid w:val="6ED21161"/>
    <w:rsid w:val="6EDA5E42"/>
    <w:rsid w:val="6EDBB425"/>
    <w:rsid w:val="6EDC3D8E"/>
    <w:rsid w:val="6EE55FDB"/>
    <w:rsid w:val="6EE64684"/>
    <w:rsid w:val="6EE70791"/>
    <w:rsid w:val="6EE87C0A"/>
    <w:rsid w:val="6EEF2CA6"/>
    <w:rsid w:val="6EFE3D04"/>
    <w:rsid w:val="6F06777B"/>
    <w:rsid w:val="6F116A9F"/>
    <w:rsid w:val="6F1663F5"/>
    <w:rsid w:val="6F1F0A56"/>
    <w:rsid w:val="6F29622D"/>
    <w:rsid w:val="6F3C1769"/>
    <w:rsid w:val="6F4D6D78"/>
    <w:rsid w:val="6F4E8EDA"/>
    <w:rsid w:val="6F510A1A"/>
    <w:rsid w:val="6F540FB0"/>
    <w:rsid w:val="6F5E29F5"/>
    <w:rsid w:val="6F7E53E5"/>
    <w:rsid w:val="6F9208F0"/>
    <w:rsid w:val="6F965839"/>
    <w:rsid w:val="6F98521B"/>
    <w:rsid w:val="6FA10775"/>
    <w:rsid w:val="6FA81EC2"/>
    <w:rsid w:val="6FAB550E"/>
    <w:rsid w:val="6FAF5DE3"/>
    <w:rsid w:val="6FBB1BF5"/>
    <w:rsid w:val="6FBC94F4"/>
    <w:rsid w:val="6FBE3493"/>
    <w:rsid w:val="6FCC0A95"/>
    <w:rsid w:val="6FCF744E"/>
    <w:rsid w:val="6FD254FB"/>
    <w:rsid w:val="6FD269A1"/>
    <w:rsid w:val="6FD51038"/>
    <w:rsid w:val="6FDB6F32"/>
    <w:rsid w:val="6FE32EFA"/>
    <w:rsid w:val="6FE50A20"/>
    <w:rsid w:val="6FE56C72"/>
    <w:rsid w:val="6FEB7959"/>
    <w:rsid w:val="6FEC1DAE"/>
    <w:rsid w:val="6FEED9F1"/>
    <w:rsid w:val="6FF71324"/>
    <w:rsid w:val="6FF838F6"/>
    <w:rsid w:val="6FF8D550"/>
    <w:rsid w:val="6FFA65F4"/>
    <w:rsid w:val="6FFB90E0"/>
    <w:rsid w:val="6FFD220E"/>
    <w:rsid w:val="6FFF3EF6"/>
    <w:rsid w:val="70035433"/>
    <w:rsid w:val="700840D2"/>
    <w:rsid w:val="70131A31"/>
    <w:rsid w:val="701A625D"/>
    <w:rsid w:val="701A7080"/>
    <w:rsid w:val="701B2694"/>
    <w:rsid w:val="701C37AB"/>
    <w:rsid w:val="7020290C"/>
    <w:rsid w:val="70253512"/>
    <w:rsid w:val="702814CB"/>
    <w:rsid w:val="702C664F"/>
    <w:rsid w:val="70343755"/>
    <w:rsid w:val="703532C5"/>
    <w:rsid w:val="704515FA"/>
    <w:rsid w:val="7052137C"/>
    <w:rsid w:val="705A7D9D"/>
    <w:rsid w:val="70691651"/>
    <w:rsid w:val="70757FF6"/>
    <w:rsid w:val="70761FC0"/>
    <w:rsid w:val="707C4710"/>
    <w:rsid w:val="70822713"/>
    <w:rsid w:val="70862203"/>
    <w:rsid w:val="70880D43"/>
    <w:rsid w:val="70934920"/>
    <w:rsid w:val="709361DC"/>
    <w:rsid w:val="709578C1"/>
    <w:rsid w:val="7099175E"/>
    <w:rsid w:val="7099764F"/>
    <w:rsid w:val="709A5FCD"/>
    <w:rsid w:val="70A628A5"/>
    <w:rsid w:val="70BE33D2"/>
    <w:rsid w:val="70C1323B"/>
    <w:rsid w:val="70C77C7E"/>
    <w:rsid w:val="70CD16CB"/>
    <w:rsid w:val="70DC163B"/>
    <w:rsid w:val="70DC70DA"/>
    <w:rsid w:val="70E52721"/>
    <w:rsid w:val="70E909E4"/>
    <w:rsid w:val="70F361E7"/>
    <w:rsid w:val="70F3716D"/>
    <w:rsid w:val="70F76680"/>
    <w:rsid w:val="70F8730F"/>
    <w:rsid w:val="71080E6A"/>
    <w:rsid w:val="71185836"/>
    <w:rsid w:val="712F22B8"/>
    <w:rsid w:val="7130216F"/>
    <w:rsid w:val="713C61FC"/>
    <w:rsid w:val="7141612A"/>
    <w:rsid w:val="714A1495"/>
    <w:rsid w:val="714D4ACF"/>
    <w:rsid w:val="714D4DDA"/>
    <w:rsid w:val="71554062"/>
    <w:rsid w:val="715D51C4"/>
    <w:rsid w:val="71681909"/>
    <w:rsid w:val="71724535"/>
    <w:rsid w:val="71775FF0"/>
    <w:rsid w:val="718002C9"/>
    <w:rsid w:val="71853303"/>
    <w:rsid w:val="7189187F"/>
    <w:rsid w:val="718D75C1"/>
    <w:rsid w:val="71A86C91"/>
    <w:rsid w:val="71AC2DFF"/>
    <w:rsid w:val="71AD43DD"/>
    <w:rsid w:val="71AD7C63"/>
    <w:rsid w:val="71AE2B03"/>
    <w:rsid w:val="71AF568D"/>
    <w:rsid w:val="71B9D13A"/>
    <w:rsid w:val="71C254BD"/>
    <w:rsid w:val="71D75F6B"/>
    <w:rsid w:val="71E34706"/>
    <w:rsid w:val="71E4311C"/>
    <w:rsid w:val="71E64273"/>
    <w:rsid w:val="71EF3DD8"/>
    <w:rsid w:val="71FC4716"/>
    <w:rsid w:val="720901B6"/>
    <w:rsid w:val="720A676F"/>
    <w:rsid w:val="720E0702"/>
    <w:rsid w:val="720E0C51"/>
    <w:rsid w:val="721532B0"/>
    <w:rsid w:val="72165809"/>
    <w:rsid w:val="721736C4"/>
    <w:rsid w:val="72270535"/>
    <w:rsid w:val="72292BA4"/>
    <w:rsid w:val="722F2426"/>
    <w:rsid w:val="72344242"/>
    <w:rsid w:val="723D2D95"/>
    <w:rsid w:val="724063E2"/>
    <w:rsid w:val="72477770"/>
    <w:rsid w:val="724C5D97"/>
    <w:rsid w:val="72516841"/>
    <w:rsid w:val="725715D2"/>
    <w:rsid w:val="725E4ABA"/>
    <w:rsid w:val="72712A3F"/>
    <w:rsid w:val="72785B7B"/>
    <w:rsid w:val="72874010"/>
    <w:rsid w:val="728E41FF"/>
    <w:rsid w:val="7294509A"/>
    <w:rsid w:val="729641A8"/>
    <w:rsid w:val="72967D5D"/>
    <w:rsid w:val="72A703D9"/>
    <w:rsid w:val="72B66B1F"/>
    <w:rsid w:val="72B87E28"/>
    <w:rsid w:val="72BB3CBA"/>
    <w:rsid w:val="72C07A50"/>
    <w:rsid w:val="72CE60E3"/>
    <w:rsid w:val="72D364DA"/>
    <w:rsid w:val="72D459C1"/>
    <w:rsid w:val="72D9462C"/>
    <w:rsid w:val="72DB7B79"/>
    <w:rsid w:val="72EB0A43"/>
    <w:rsid w:val="72F36D66"/>
    <w:rsid w:val="72F71196"/>
    <w:rsid w:val="72FB03ED"/>
    <w:rsid w:val="72FF629D"/>
    <w:rsid w:val="73001975"/>
    <w:rsid w:val="73306456"/>
    <w:rsid w:val="73326672"/>
    <w:rsid w:val="7338114D"/>
    <w:rsid w:val="733E1B79"/>
    <w:rsid w:val="733F2B3D"/>
    <w:rsid w:val="73465C7A"/>
    <w:rsid w:val="7347064A"/>
    <w:rsid w:val="734939BC"/>
    <w:rsid w:val="734C302C"/>
    <w:rsid w:val="734E1259"/>
    <w:rsid w:val="734F380E"/>
    <w:rsid w:val="736507F6"/>
    <w:rsid w:val="73656370"/>
    <w:rsid w:val="73682846"/>
    <w:rsid w:val="73697546"/>
    <w:rsid w:val="737D2E68"/>
    <w:rsid w:val="737E3665"/>
    <w:rsid w:val="737E5413"/>
    <w:rsid w:val="73827BCF"/>
    <w:rsid w:val="73844CD9"/>
    <w:rsid w:val="73893DAB"/>
    <w:rsid w:val="739A7D73"/>
    <w:rsid w:val="73AA47BD"/>
    <w:rsid w:val="73AD3F4B"/>
    <w:rsid w:val="73AF1A71"/>
    <w:rsid w:val="73B47B62"/>
    <w:rsid w:val="73B572BB"/>
    <w:rsid w:val="73BE1CB4"/>
    <w:rsid w:val="73C372CA"/>
    <w:rsid w:val="73C377DF"/>
    <w:rsid w:val="73D56FFD"/>
    <w:rsid w:val="73D74B24"/>
    <w:rsid w:val="73D75CC6"/>
    <w:rsid w:val="73D83389"/>
    <w:rsid w:val="73DE4104"/>
    <w:rsid w:val="73DF5786"/>
    <w:rsid w:val="73E01C2A"/>
    <w:rsid w:val="73F456D6"/>
    <w:rsid w:val="73F834DE"/>
    <w:rsid w:val="73FE1225"/>
    <w:rsid w:val="73FE4F5B"/>
    <w:rsid w:val="74024296"/>
    <w:rsid w:val="740530F8"/>
    <w:rsid w:val="7416564C"/>
    <w:rsid w:val="7416761B"/>
    <w:rsid w:val="742363A2"/>
    <w:rsid w:val="74365CEE"/>
    <w:rsid w:val="74387CB8"/>
    <w:rsid w:val="743B1556"/>
    <w:rsid w:val="743F620E"/>
    <w:rsid w:val="74404DBF"/>
    <w:rsid w:val="744148DD"/>
    <w:rsid w:val="74485A04"/>
    <w:rsid w:val="744A6ED7"/>
    <w:rsid w:val="744C3764"/>
    <w:rsid w:val="744F588B"/>
    <w:rsid w:val="74505333"/>
    <w:rsid w:val="74512B28"/>
    <w:rsid w:val="745E6FF3"/>
    <w:rsid w:val="746A2530"/>
    <w:rsid w:val="746B7328"/>
    <w:rsid w:val="74701E32"/>
    <w:rsid w:val="74934EEE"/>
    <w:rsid w:val="749809E1"/>
    <w:rsid w:val="749D668F"/>
    <w:rsid w:val="74A0634E"/>
    <w:rsid w:val="74A25132"/>
    <w:rsid w:val="74AC7A48"/>
    <w:rsid w:val="74AD4A43"/>
    <w:rsid w:val="74B03CF2"/>
    <w:rsid w:val="74B15375"/>
    <w:rsid w:val="74B310ED"/>
    <w:rsid w:val="74B33326"/>
    <w:rsid w:val="74C17067"/>
    <w:rsid w:val="74C975DD"/>
    <w:rsid w:val="74DB3473"/>
    <w:rsid w:val="74EB2763"/>
    <w:rsid w:val="74ED54EF"/>
    <w:rsid w:val="74F27AE5"/>
    <w:rsid w:val="74FC2209"/>
    <w:rsid w:val="7501454E"/>
    <w:rsid w:val="75061B64"/>
    <w:rsid w:val="750B717B"/>
    <w:rsid w:val="750C4CA1"/>
    <w:rsid w:val="75137B32"/>
    <w:rsid w:val="75183646"/>
    <w:rsid w:val="752244C4"/>
    <w:rsid w:val="75243816"/>
    <w:rsid w:val="75287D2D"/>
    <w:rsid w:val="752B7DA9"/>
    <w:rsid w:val="75322959"/>
    <w:rsid w:val="75387745"/>
    <w:rsid w:val="754206C3"/>
    <w:rsid w:val="754E126D"/>
    <w:rsid w:val="75502DDF"/>
    <w:rsid w:val="75530322"/>
    <w:rsid w:val="75604F8E"/>
    <w:rsid w:val="756845CD"/>
    <w:rsid w:val="75698AAE"/>
    <w:rsid w:val="75705230"/>
    <w:rsid w:val="757271FA"/>
    <w:rsid w:val="75763BE2"/>
    <w:rsid w:val="75847137"/>
    <w:rsid w:val="758807CB"/>
    <w:rsid w:val="758D16DD"/>
    <w:rsid w:val="758D36C3"/>
    <w:rsid w:val="758E461D"/>
    <w:rsid w:val="75936023"/>
    <w:rsid w:val="75A24FC9"/>
    <w:rsid w:val="75A5367F"/>
    <w:rsid w:val="75A86778"/>
    <w:rsid w:val="75AA6994"/>
    <w:rsid w:val="75AB6268"/>
    <w:rsid w:val="75AD1FE0"/>
    <w:rsid w:val="75B66A1A"/>
    <w:rsid w:val="75BC0DA6"/>
    <w:rsid w:val="75BF7F65"/>
    <w:rsid w:val="75C46760"/>
    <w:rsid w:val="75D03F20"/>
    <w:rsid w:val="75D37125"/>
    <w:rsid w:val="75E4177A"/>
    <w:rsid w:val="75F45E61"/>
    <w:rsid w:val="75F81F01"/>
    <w:rsid w:val="75FCA395"/>
    <w:rsid w:val="75FE34F5"/>
    <w:rsid w:val="76020EA1"/>
    <w:rsid w:val="760A7432"/>
    <w:rsid w:val="760F2C9B"/>
    <w:rsid w:val="761F5082"/>
    <w:rsid w:val="76206C56"/>
    <w:rsid w:val="762140C2"/>
    <w:rsid w:val="76287F26"/>
    <w:rsid w:val="76320737"/>
    <w:rsid w:val="763829FD"/>
    <w:rsid w:val="76394E56"/>
    <w:rsid w:val="76396D60"/>
    <w:rsid w:val="764F753B"/>
    <w:rsid w:val="76516E0F"/>
    <w:rsid w:val="76530DD9"/>
    <w:rsid w:val="76593F16"/>
    <w:rsid w:val="765B1CCF"/>
    <w:rsid w:val="765C3F6D"/>
    <w:rsid w:val="76680CF1"/>
    <w:rsid w:val="766E5C13"/>
    <w:rsid w:val="768D497C"/>
    <w:rsid w:val="76903064"/>
    <w:rsid w:val="76911902"/>
    <w:rsid w:val="769E7B7B"/>
    <w:rsid w:val="76A02DB3"/>
    <w:rsid w:val="76A03194"/>
    <w:rsid w:val="76AF37BE"/>
    <w:rsid w:val="76B17DED"/>
    <w:rsid w:val="76B32088"/>
    <w:rsid w:val="76BB697E"/>
    <w:rsid w:val="76C05D43"/>
    <w:rsid w:val="76C92E49"/>
    <w:rsid w:val="76D04F73"/>
    <w:rsid w:val="76D65566"/>
    <w:rsid w:val="76DD06A3"/>
    <w:rsid w:val="76EC60C8"/>
    <w:rsid w:val="76F14A9C"/>
    <w:rsid w:val="76FA68A0"/>
    <w:rsid w:val="76FFB02D"/>
    <w:rsid w:val="7702635B"/>
    <w:rsid w:val="77061A83"/>
    <w:rsid w:val="771A18F7"/>
    <w:rsid w:val="771A37DE"/>
    <w:rsid w:val="77242783"/>
    <w:rsid w:val="772B2297"/>
    <w:rsid w:val="772B71EA"/>
    <w:rsid w:val="77366850"/>
    <w:rsid w:val="77382754"/>
    <w:rsid w:val="77455E56"/>
    <w:rsid w:val="774A794A"/>
    <w:rsid w:val="774DFBC5"/>
    <w:rsid w:val="774E2C97"/>
    <w:rsid w:val="7750356B"/>
    <w:rsid w:val="77507B50"/>
    <w:rsid w:val="775832D0"/>
    <w:rsid w:val="776C1A27"/>
    <w:rsid w:val="7771703D"/>
    <w:rsid w:val="7774550B"/>
    <w:rsid w:val="7778661E"/>
    <w:rsid w:val="777E7C1C"/>
    <w:rsid w:val="77830A09"/>
    <w:rsid w:val="77855149"/>
    <w:rsid w:val="77884510"/>
    <w:rsid w:val="77884AB3"/>
    <w:rsid w:val="779416A9"/>
    <w:rsid w:val="779B1D4F"/>
    <w:rsid w:val="779F3BAA"/>
    <w:rsid w:val="77A24726"/>
    <w:rsid w:val="77A25449"/>
    <w:rsid w:val="77B0248F"/>
    <w:rsid w:val="77B2760C"/>
    <w:rsid w:val="77B35AC9"/>
    <w:rsid w:val="77B557D3"/>
    <w:rsid w:val="77BC0B2A"/>
    <w:rsid w:val="77BF2E02"/>
    <w:rsid w:val="77C83229"/>
    <w:rsid w:val="77CB0E43"/>
    <w:rsid w:val="77D56023"/>
    <w:rsid w:val="77DB5275"/>
    <w:rsid w:val="77DE2925"/>
    <w:rsid w:val="77E251B6"/>
    <w:rsid w:val="77E37F3B"/>
    <w:rsid w:val="77E45A61"/>
    <w:rsid w:val="77E872FF"/>
    <w:rsid w:val="77EB0548"/>
    <w:rsid w:val="78000AED"/>
    <w:rsid w:val="78003B4A"/>
    <w:rsid w:val="78005CD7"/>
    <w:rsid w:val="78044908"/>
    <w:rsid w:val="780B1240"/>
    <w:rsid w:val="7818643A"/>
    <w:rsid w:val="781C344D"/>
    <w:rsid w:val="7820118F"/>
    <w:rsid w:val="78210A63"/>
    <w:rsid w:val="78236AB5"/>
    <w:rsid w:val="78280961"/>
    <w:rsid w:val="784A3F9D"/>
    <w:rsid w:val="784A55CB"/>
    <w:rsid w:val="784C3D32"/>
    <w:rsid w:val="78572DD4"/>
    <w:rsid w:val="786077DD"/>
    <w:rsid w:val="78714F73"/>
    <w:rsid w:val="787D0EC3"/>
    <w:rsid w:val="7883021C"/>
    <w:rsid w:val="7883527A"/>
    <w:rsid w:val="78846121"/>
    <w:rsid w:val="788A485A"/>
    <w:rsid w:val="788A6608"/>
    <w:rsid w:val="789227C4"/>
    <w:rsid w:val="789444B7"/>
    <w:rsid w:val="7896550A"/>
    <w:rsid w:val="789D27E0"/>
    <w:rsid w:val="78B23D00"/>
    <w:rsid w:val="78B43685"/>
    <w:rsid w:val="78B958A9"/>
    <w:rsid w:val="78B96EEE"/>
    <w:rsid w:val="78C064CE"/>
    <w:rsid w:val="78C27525"/>
    <w:rsid w:val="78C55892"/>
    <w:rsid w:val="78C80736"/>
    <w:rsid w:val="78CC460F"/>
    <w:rsid w:val="78D16440"/>
    <w:rsid w:val="78D37FAF"/>
    <w:rsid w:val="78D53FEF"/>
    <w:rsid w:val="78D635FC"/>
    <w:rsid w:val="78D802CB"/>
    <w:rsid w:val="78DD4999"/>
    <w:rsid w:val="78E1748A"/>
    <w:rsid w:val="78E43C3A"/>
    <w:rsid w:val="78E51DC1"/>
    <w:rsid w:val="790A7C54"/>
    <w:rsid w:val="79165E39"/>
    <w:rsid w:val="79172B8D"/>
    <w:rsid w:val="791D202A"/>
    <w:rsid w:val="79243D01"/>
    <w:rsid w:val="79352A18"/>
    <w:rsid w:val="7936053E"/>
    <w:rsid w:val="793D0477"/>
    <w:rsid w:val="793D7B1F"/>
    <w:rsid w:val="793E2B81"/>
    <w:rsid w:val="79442C5B"/>
    <w:rsid w:val="795D5ACB"/>
    <w:rsid w:val="796B5E5A"/>
    <w:rsid w:val="797650C3"/>
    <w:rsid w:val="797D616D"/>
    <w:rsid w:val="798474FC"/>
    <w:rsid w:val="79856DD0"/>
    <w:rsid w:val="79A36AC1"/>
    <w:rsid w:val="79A4194C"/>
    <w:rsid w:val="79AA5A9D"/>
    <w:rsid w:val="79B3393D"/>
    <w:rsid w:val="79BE712E"/>
    <w:rsid w:val="79C8388C"/>
    <w:rsid w:val="79D13A78"/>
    <w:rsid w:val="79DC910D"/>
    <w:rsid w:val="79DD0239"/>
    <w:rsid w:val="79DD3184"/>
    <w:rsid w:val="79DF4732"/>
    <w:rsid w:val="79EE5666"/>
    <w:rsid w:val="79F006ED"/>
    <w:rsid w:val="79F301DD"/>
    <w:rsid w:val="79F95D73"/>
    <w:rsid w:val="79FB3F53"/>
    <w:rsid w:val="79FC3536"/>
    <w:rsid w:val="7A140880"/>
    <w:rsid w:val="7A150154"/>
    <w:rsid w:val="7A15348D"/>
    <w:rsid w:val="7A1A1600"/>
    <w:rsid w:val="7A1C7F36"/>
    <w:rsid w:val="7A276C79"/>
    <w:rsid w:val="7A2A2439"/>
    <w:rsid w:val="7A2A5002"/>
    <w:rsid w:val="7A37585A"/>
    <w:rsid w:val="7A3E58FC"/>
    <w:rsid w:val="7A5A025C"/>
    <w:rsid w:val="7A5B6D2C"/>
    <w:rsid w:val="7A5B73A8"/>
    <w:rsid w:val="7A5F5873"/>
    <w:rsid w:val="7A6F3D08"/>
    <w:rsid w:val="7A765B2D"/>
    <w:rsid w:val="7A7A7D8A"/>
    <w:rsid w:val="7A7E6380"/>
    <w:rsid w:val="7A7FDB48"/>
    <w:rsid w:val="7A884DCA"/>
    <w:rsid w:val="7A8C0D59"/>
    <w:rsid w:val="7A9279F6"/>
    <w:rsid w:val="7A93454E"/>
    <w:rsid w:val="7A992B33"/>
    <w:rsid w:val="7AA240DD"/>
    <w:rsid w:val="7AA634A2"/>
    <w:rsid w:val="7AAC0AB8"/>
    <w:rsid w:val="7AB34877"/>
    <w:rsid w:val="7AB42695"/>
    <w:rsid w:val="7AB6E8FE"/>
    <w:rsid w:val="7ABC1D2D"/>
    <w:rsid w:val="7AC027B5"/>
    <w:rsid w:val="7AC848ED"/>
    <w:rsid w:val="7AD43416"/>
    <w:rsid w:val="7AD63D87"/>
    <w:rsid w:val="7AD85E10"/>
    <w:rsid w:val="7AE53F6D"/>
    <w:rsid w:val="7AF062D6"/>
    <w:rsid w:val="7AF25943"/>
    <w:rsid w:val="7AF30181"/>
    <w:rsid w:val="7AF44DFF"/>
    <w:rsid w:val="7AF661D7"/>
    <w:rsid w:val="7AF90389"/>
    <w:rsid w:val="7AF95CC7"/>
    <w:rsid w:val="7AFF9F9D"/>
    <w:rsid w:val="7B032A3A"/>
    <w:rsid w:val="7B036F20"/>
    <w:rsid w:val="7B09527D"/>
    <w:rsid w:val="7B115F3A"/>
    <w:rsid w:val="7B146194"/>
    <w:rsid w:val="7B2F5245"/>
    <w:rsid w:val="7B30793B"/>
    <w:rsid w:val="7B3B1B2F"/>
    <w:rsid w:val="7B3BDD07"/>
    <w:rsid w:val="7B4718A3"/>
    <w:rsid w:val="7B48773F"/>
    <w:rsid w:val="7B494559"/>
    <w:rsid w:val="7B5A49B8"/>
    <w:rsid w:val="7B654568"/>
    <w:rsid w:val="7B704F89"/>
    <w:rsid w:val="7B7A2964"/>
    <w:rsid w:val="7B7C69A4"/>
    <w:rsid w:val="7B7FF546"/>
    <w:rsid w:val="7B853D48"/>
    <w:rsid w:val="7B85422E"/>
    <w:rsid w:val="7B9F350A"/>
    <w:rsid w:val="7B9F4654"/>
    <w:rsid w:val="7BA358FE"/>
    <w:rsid w:val="7BA479E1"/>
    <w:rsid w:val="7BA53ADD"/>
    <w:rsid w:val="7BAA13D3"/>
    <w:rsid w:val="7BB6ABB4"/>
    <w:rsid w:val="7BBF01B5"/>
    <w:rsid w:val="7BC10593"/>
    <w:rsid w:val="7BC9569A"/>
    <w:rsid w:val="7BCE4C52"/>
    <w:rsid w:val="7BD06A28"/>
    <w:rsid w:val="7BD1705E"/>
    <w:rsid w:val="7BD55DED"/>
    <w:rsid w:val="7BDD1145"/>
    <w:rsid w:val="7BDFF533"/>
    <w:rsid w:val="7BE64EF9"/>
    <w:rsid w:val="7BE6624C"/>
    <w:rsid w:val="7BEF3D12"/>
    <w:rsid w:val="7BF10231"/>
    <w:rsid w:val="7BF3487A"/>
    <w:rsid w:val="7BF756FE"/>
    <w:rsid w:val="7BFB1064"/>
    <w:rsid w:val="7BFE17E7"/>
    <w:rsid w:val="7BFF028F"/>
    <w:rsid w:val="7C0E3AED"/>
    <w:rsid w:val="7C10151B"/>
    <w:rsid w:val="7C2D5C29"/>
    <w:rsid w:val="7C300F9A"/>
    <w:rsid w:val="7C305719"/>
    <w:rsid w:val="7C3172F7"/>
    <w:rsid w:val="7C370855"/>
    <w:rsid w:val="7C3949A7"/>
    <w:rsid w:val="7C3B59D3"/>
    <w:rsid w:val="7C3D3992"/>
    <w:rsid w:val="7C405169"/>
    <w:rsid w:val="7C41167F"/>
    <w:rsid w:val="7C456003"/>
    <w:rsid w:val="7C501917"/>
    <w:rsid w:val="7C63789C"/>
    <w:rsid w:val="7C6461C4"/>
    <w:rsid w:val="7C7716B2"/>
    <w:rsid w:val="7C7E1E5C"/>
    <w:rsid w:val="7C837DB7"/>
    <w:rsid w:val="7C8617DD"/>
    <w:rsid w:val="7C8998D9"/>
    <w:rsid w:val="7C8E41ED"/>
    <w:rsid w:val="7C921F30"/>
    <w:rsid w:val="7CA53A11"/>
    <w:rsid w:val="7CAB4D9F"/>
    <w:rsid w:val="7CB37868"/>
    <w:rsid w:val="7CB4042E"/>
    <w:rsid w:val="7CB71996"/>
    <w:rsid w:val="7CB807DC"/>
    <w:rsid w:val="7CBB1819"/>
    <w:rsid w:val="7CBC51FE"/>
    <w:rsid w:val="7CBF0A06"/>
    <w:rsid w:val="7CC17FED"/>
    <w:rsid w:val="7CC540B3"/>
    <w:rsid w:val="7CC8701A"/>
    <w:rsid w:val="7CD92EB0"/>
    <w:rsid w:val="7CE51BC3"/>
    <w:rsid w:val="7CED360A"/>
    <w:rsid w:val="7CED7166"/>
    <w:rsid w:val="7CEEB960"/>
    <w:rsid w:val="7CEF86A8"/>
    <w:rsid w:val="7CF16265"/>
    <w:rsid w:val="7CF33E53"/>
    <w:rsid w:val="7CF83C2F"/>
    <w:rsid w:val="7CFA3997"/>
    <w:rsid w:val="7CFFF5B8"/>
    <w:rsid w:val="7D024F8E"/>
    <w:rsid w:val="7D0262F2"/>
    <w:rsid w:val="7D0C1CE2"/>
    <w:rsid w:val="7D150AFD"/>
    <w:rsid w:val="7D15201E"/>
    <w:rsid w:val="7D1D3EEF"/>
    <w:rsid w:val="7D250FF6"/>
    <w:rsid w:val="7D3661BD"/>
    <w:rsid w:val="7D3B31E8"/>
    <w:rsid w:val="7D3B4375"/>
    <w:rsid w:val="7D4274B2"/>
    <w:rsid w:val="7D4C20DE"/>
    <w:rsid w:val="7D50302A"/>
    <w:rsid w:val="7D507A47"/>
    <w:rsid w:val="7D52346D"/>
    <w:rsid w:val="7D563C1F"/>
    <w:rsid w:val="7D5F62B6"/>
    <w:rsid w:val="7D625DA6"/>
    <w:rsid w:val="7D646FE6"/>
    <w:rsid w:val="7D6C2781"/>
    <w:rsid w:val="7D6E191D"/>
    <w:rsid w:val="7D7702C0"/>
    <w:rsid w:val="7D7D2D16"/>
    <w:rsid w:val="7D7DD7D4"/>
    <w:rsid w:val="7D7F0C2F"/>
    <w:rsid w:val="7D7F16EC"/>
    <w:rsid w:val="7D8A547F"/>
    <w:rsid w:val="7D8E0949"/>
    <w:rsid w:val="7D902913"/>
    <w:rsid w:val="7D9870EB"/>
    <w:rsid w:val="7D997627"/>
    <w:rsid w:val="7DA39DD3"/>
    <w:rsid w:val="7DA834E4"/>
    <w:rsid w:val="7DB90FC9"/>
    <w:rsid w:val="7DBA2B7D"/>
    <w:rsid w:val="7DBE3BDC"/>
    <w:rsid w:val="7DBFD623"/>
    <w:rsid w:val="7DD03787"/>
    <w:rsid w:val="7DD1074B"/>
    <w:rsid w:val="7DD65E4C"/>
    <w:rsid w:val="7DD81597"/>
    <w:rsid w:val="7DDD55F1"/>
    <w:rsid w:val="7DE06D1E"/>
    <w:rsid w:val="7DED25F1"/>
    <w:rsid w:val="7DF11799"/>
    <w:rsid w:val="7DF40153"/>
    <w:rsid w:val="7DFB3584"/>
    <w:rsid w:val="7DFC494D"/>
    <w:rsid w:val="7DFEBF87"/>
    <w:rsid w:val="7E001370"/>
    <w:rsid w:val="7E046E5D"/>
    <w:rsid w:val="7E0D3F64"/>
    <w:rsid w:val="7E0E3838"/>
    <w:rsid w:val="7E10135E"/>
    <w:rsid w:val="7E155935"/>
    <w:rsid w:val="7E1A2BCF"/>
    <w:rsid w:val="7E1C0204"/>
    <w:rsid w:val="7E22507B"/>
    <w:rsid w:val="7E2E7A36"/>
    <w:rsid w:val="7E357016"/>
    <w:rsid w:val="7E36758B"/>
    <w:rsid w:val="7E3C6480"/>
    <w:rsid w:val="7E405974"/>
    <w:rsid w:val="7E464D80"/>
    <w:rsid w:val="7E4B05E8"/>
    <w:rsid w:val="7E4E5490"/>
    <w:rsid w:val="7E505516"/>
    <w:rsid w:val="7E5112D9"/>
    <w:rsid w:val="7E5576B9"/>
    <w:rsid w:val="7E642257"/>
    <w:rsid w:val="7E6478FC"/>
    <w:rsid w:val="7E660E19"/>
    <w:rsid w:val="7E6E2528"/>
    <w:rsid w:val="7E6F077A"/>
    <w:rsid w:val="7E6F1A5B"/>
    <w:rsid w:val="7E7235F9"/>
    <w:rsid w:val="7E778D31"/>
    <w:rsid w:val="7E784022"/>
    <w:rsid w:val="7E7A4224"/>
    <w:rsid w:val="7E7B232B"/>
    <w:rsid w:val="7E88183C"/>
    <w:rsid w:val="7EA357F8"/>
    <w:rsid w:val="7EA53912"/>
    <w:rsid w:val="7EAA7A04"/>
    <w:rsid w:val="7EAE5035"/>
    <w:rsid w:val="7EB4C332"/>
    <w:rsid w:val="7EB5014B"/>
    <w:rsid w:val="7EB56CC0"/>
    <w:rsid w:val="7EB663A9"/>
    <w:rsid w:val="7EBD9CB7"/>
    <w:rsid w:val="7EBF8D68"/>
    <w:rsid w:val="7EC363D0"/>
    <w:rsid w:val="7EC469CB"/>
    <w:rsid w:val="7EC90406"/>
    <w:rsid w:val="7EC97625"/>
    <w:rsid w:val="7ED11CAD"/>
    <w:rsid w:val="7ED87E98"/>
    <w:rsid w:val="7EDD0641"/>
    <w:rsid w:val="7EE527EB"/>
    <w:rsid w:val="7EEF1467"/>
    <w:rsid w:val="7EEFECFF"/>
    <w:rsid w:val="7EF16AAC"/>
    <w:rsid w:val="7EF86D6A"/>
    <w:rsid w:val="7F160BF6"/>
    <w:rsid w:val="7F166E48"/>
    <w:rsid w:val="7F1E5699"/>
    <w:rsid w:val="7F231565"/>
    <w:rsid w:val="7F2552DD"/>
    <w:rsid w:val="7F2F3A66"/>
    <w:rsid w:val="7F313C82"/>
    <w:rsid w:val="7F323340"/>
    <w:rsid w:val="7F3555C5"/>
    <w:rsid w:val="7F3B240A"/>
    <w:rsid w:val="7F441B10"/>
    <w:rsid w:val="7F46600F"/>
    <w:rsid w:val="7F533BF8"/>
    <w:rsid w:val="7F565496"/>
    <w:rsid w:val="7F592524"/>
    <w:rsid w:val="7F5C3C9C"/>
    <w:rsid w:val="7F5D60C2"/>
    <w:rsid w:val="7F5F4BFC"/>
    <w:rsid w:val="7F6565D9"/>
    <w:rsid w:val="7F6768AC"/>
    <w:rsid w:val="7F6779F6"/>
    <w:rsid w:val="7F7542D2"/>
    <w:rsid w:val="7F7997A2"/>
    <w:rsid w:val="7F7AA520"/>
    <w:rsid w:val="7F7B6CAB"/>
    <w:rsid w:val="7F857B2A"/>
    <w:rsid w:val="7F903BD2"/>
    <w:rsid w:val="7F963AE5"/>
    <w:rsid w:val="7FAE2048"/>
    <w:rsid w:val="7FAF933B"/>
    <w:rsid w:val="7FB71253"/>
    <w:rsid w:val="7FB73115"/>
    <w:rsid w:val="7FB863C1"/>
    <w:rsid w:val="7FBD1532"/>
    <w:rsid w:val="7FBD72C3"/>
    <w:rsid w:val="7FBF303C"/>
    <w:rsid w:val="7FD6583E"/>
    <w:rsid w:val="7FDF8DA8"/>
    <w:rsid w:val="7FDFC7BC"/>
    <w:rsid w:val="7FE7683D"/>
    <w:rsid w:val="7FEB0D5C"/>
    <w:rsid w:val="7FEBB101"/>
    <w:rsid w:val="7FF2879D"/>
    <w:rsid w:val="7FF6E55C"/>
    <w:rsid w:val="7FF74CD7"/>
    <w:rsid w:val="7FF932C8"/>
    <w:rsid w:val="7FF9A5B2"/>
    <w:rsid w:val="7FFBE61A"/>
    <w:rsid w:val="7FFC1EBF"/>
    <w:rsid w:val="7FFDBD17"/>
    <w:rsid w:val="7FFE2F2B"/>
    <w:rsid w:val="7FFE8769"/>
    <w:rsid w:val="7FFF074A"/>
    <w:rsid w:val="7FFF7952"/>
    <w:rsid w:val="87FEBD42"/>
    <w:rsid w:val="88ED7AF9"/>
    <w:rsid w:val="8F372423"/>
    <w:rsid w:val="8FBF5585"/>
    <w:rsid w:val="93EE851A"/>
    <w:rsid w:val="9775E069"/>
    <w:rsid w:val="97FFAA26"/>
    <w:rsid w:val="9A3D66DB"/>
    <w:rsid w:val="9A7D6527"/>
    <w:rsid w:val="9AFF0600"/>
    <w:rsid w:val="9EFFCE3F"/>
    <w:rsid w:val="9FDED4BA"/>
    <w:rsid w:val="9FF557BE"/>
    <w:rsid w:val="9FFC03F2"/>
    <w:rsid w:val="A7BDB41A"/>
    <w:rsid w:val="ADEF6A34"/>
    <w:rsid w:val="ADFD1B46"/>
    <w:rsid w:val="AECDD1DA"/>
    <w:rsid w:val="AF09F5FF"/>
    <w:rsid w:val="AF7F8A21"/>
    <w:rsid w:val="B35EF25F"/>
    <w:rsid w:val="B36A1026"/>
    <w:rsid w:val="B3F3063D"/>
    <w:rsid w:val="B5DA5392"/>
    <w:rsid w:val="B79BE617"/>
    <w:rsid w:val="B7CE4B8B"/>
    <w:rsid w:val="B7FA7F68"/>
    <w:rsid w:val="B94BDE29"/>
    <w:rsid w:val="BB7B7454"/>
    <w:rsid w:val="BBA7A4B5"/>
    <w:rsid w:val="BBBB6F11"/>
    <w:rsid w:val="BBFE2A3A"/>
    <w:rsid w:val="BD472E0E"/>
    <w:rsid w:val="BD5FE6CD"/>
    <w:rsid w:val="BDAFA2B3"/>
    <w:rsid w:val="BDDE6C3E"/>
    <w:rsid w:val="BDFE8156"/>
    <w:rsid w:val="BED57514"/>
    <w:rsid w:val="BEFBF8A7"/>
    <w:rsid w:val="BF674AC0"/>
    <w:rsid w:val="BF7391BA"/>
    <w:rsid w:val="BF77812B"/>
    <w:rsid w:val="BFDEC40F"/>
    <w:rsid w:val="BFDF19AC"/>
    <w:rsid w:val="BFF2BBDA"/>
    <w:rsid w:val="BFF77357"/>
    <w:rsid w:val="BFF7A4B7"/>
    <w:rsid w:val="BFFACD9F"/>
    <w:rsid w:val="C6FF7764"/>
    <w:rsid w:val="CB374EEA"/>
    <w:rsid w:val="CB755014"/>
    <w:rsid w:val="CBD4CE04"/>
    <w:rsid w:val="CBFF55D5"/>
    <w:rsid w:val="CCFF2A63"/>
    <w:rsid w:val="CDDFBE3D"/>
    <w:rsid w:val="CDFF754B"/>
    <w:rsid w:val="CED2E7FC"/>
    <w:rsid w:val="CEFD6584"/>
    <w:rsid w:val="CF776842"/>
    <w:rsid w:val="CFFF70D3"/>
    <w:rsid w:val="D3D714C6"/>
    <w:rsid w:val="D47769BA"/>
    <w:rsid w:val="D4F4298A"/>
    <w:rsid w:val="D4FF72CE"/>
    <w:rsid w:val="D5F3B815"/>
    <w:rsid w:val="D6F9C920"/>
    <w:rsid w:val="D7B7AF88"/>
    <w:rsid w:val="D7DA518D"/>
    <w:rsid w:val="D7FE0DD8"/>
    <w:rsid w:val="D8E7FD32"/>
    <w:rsid w:val="D9EA5FDD"/>
    <w:rsid w:val="DAFF2443"/>
    <w:rsid w:val="DAFFAEFC"/>
    <w:rsid w:val="DB5F7375"/>
    <w:rsid w:val="DBA53F1E"/>
    <w:rsid w:val="DBA98FE2"/>
    <w:rsid w:val="DBB940E8"/>
    <w:rsid w:val="DD63769F"/>
    <w:rsid w:val="DD6EB600"/>
    <w:rsid w:val="DD7F5733"/>
    <w:rsid w:val="DD8E6F13"/>
    <w:rsid w:val="DDEDDD53"/>
    <w:rsid w:val="DDF213A1"/>
    <w:rsid w:val="DDFF950F"/>
    <w:rsid w:val="DF7F0F2B"/>
    <w:rsid w:val="DF865A57"/>
    <w:rsid w:val="DF9F63A7"/>
    <w:rsid w:val="DFD52B5D"/>
    <w:rsid w:val="DFD7661A"/>
    <w:rsid w:val="DFF5FE75"/>
    <w:rsid w:val="DFFFC86B"/>
    <w:rsid w:val="E47B2EFB"/>
    <w:rsid w:val="E5BF92B5"/>
    <w:rsid w:val="E77B7678"/>
    <w:rsid w:val="E7BD3F90"/>
    <w:rsid w:val="E7D520B3"/>
    <w:rsid w:val="E7D7FA00"/>
    <w:rsid w:val="E7EF3C15"/>
    <w:rsid w:val="E7FBF13C"/>
    <w:rsid w:val="E9DC7F06"/>
    <w:rsid w:val="E9FD724E"/>
    <w:rsid w:val="EAF634B0"/>
    <w:rsid w:val="EB7B7027"/>
    <w:rsid w:val="EBA6CCBE"/>
    <w:rsid w:val="EBF32C38"/>
    <w:rsid w:val="EBFA2A39"/>
    <w:rsid w:val="EC8BD0C9"/>
    <w:rsid w:val="EDE7FF72"/>
    <w:rsid w:val="EDFE0F30"/>
    <w:rsid w:val="EEEA91DA"/>
    <w:rsid w:val="EEED74F4"/>
    <w:rsid w:val="EF37FD01"/>
    <w:rsid w:val="EF7FEA07"/>
    <w:rsid w:val="EFEA3381"/>
    <w:rsid w:val="EFEF37F8"/>
    <w:rsid w:val="EFF779EA"/>
    <w:rsid w:val="EFF78BF1"/>
    <w:rsid w:val="EFFD9D46"/>
    <w:rsid w:val="F3EB7FBC"/>
    <w:rsid w:val="F3F7DCD6"/>
    <w:rsid w:val="F4BF1A42"/>
    <w:rsid w:val="F556EEE0"/>
    <w:rsid w:val="F57B0D89"/>
    <w:rsid w:val="F5DD1D8D"/>
    <w:rsid w:val="F5DF0B95"/>
    <w:rsid w:val="F6BF4CAE"/>
    <w:rsid w:val="F6EBD86D"/>
    <w:rsid w:val="F6F59CDC"/>
    <w:rsid w:val="F70AB8A2"/>
    <w:rsid w:val="F73389C8"/>
    <w:rsid w:val="F75CCE16"/>
    <w:rsid w:val="F79B5717"/>
    <w:rsid w:val="F7D2CFB2"/>
    <w:rsid w:val="F7D7C264"/>
    <w:rsid w:val="F7DB71FE"/>
    <w:rsid w:val="F7DB9B88"/>
    <w:rsid w:val="F7F3BF3F"/>
    <w:rsid w:val="F7F7B69D"/>
    <w:rsid w:val="F7F97622"/>
    <w:rsid w:val="F7FD02F4"/>
    <w:rsid w:val="F7FE0117"/>
    <w:rsid w:val="F7FEC747"/>
    <w:rsid w:val="F87965F3"/>
    <w:rsid w:val="F8FF4459"/>
    <w:rsid w:val="F9174D60"/>
    <w:rsid w:val="F96EBAD5"/>
    <w:rsid w:val="F994E925"/>
    <w:rsid w:val="F9B72875"/>
    <w:rsid w:val="F9FE5553"/>
    <w:rsid w:val="FA6F4008"/>
    <w:rsid w:val="FABECAEE"/>
    <w:rsid w:val="FAF736DC"/>
    <w:rsid w:val="FB26575F"/>
    <w:rsid w:val="FB794DB6"/>
    <w:rsid w:val="FBB3C149"/>
    <w:rsid w:val="FBBE6C3C"/>
    <w:rsid w:val="FBC6A65A"/>
    <w:rsid w:val="FBEEF497"/>
    <w:rsid w:val="FBF667F6"/>
    <w:rsid w:val="FBF9B900"/>
    <w:rsid w:val="FBFF2555"/>
    <w:rsid w:val="FC7F978C"/>
    <w:rsid w:val="FCB5C59A"/>
    <w:rsid w:val="FCDFD664"/>
    <w:rsid w:val="FCEB0B6A"/>
    <w:rsid w:val="FCFFCEAC"/>
    <w:rsid w:val="FD3D3666"/>
    <w:rsid w:val="FDB66EEA"/>
    <w:rsid w:val="FDD648A9"/>
    <w:rsid w:val="FDEE2C55"/>
    <w:rsid w:val="FDF105D3"/>
    <w:rsid w:val="FDF74EFB"/>
    <w:rsid w:val="FDFF2979"/>
    <w:rsid w:val="FE3E47A6"/>
    <w:rsid w:val="FE67307B"/>
    <w:rsid w:val="FE6B5C7F"/>
    <w:rsid w:val="FE8E5860"/>
    <w:rsid w:val="FE97161E"/>
    <w:rsid w:val="FEA6F3AD"/>
    <w:rsid w:val="FEEB70AF"/>
    <w:rsid w:val="FEFDDE3E"/>
    <w:rsid w:val="FEFE529E"/>
    <w:rsid w:val="FEFE8725"/>
    <w:rsid w:val="FF2B3B41"/>
    <w:rsid w:val="FF2FC985"/>
    <w:rsid w:val="FF3B4806"/>
    <w:rsid w:val="FF4F0D6D"/>
    <w:rsid w:val="FF5B3464"/>
    <w:rsid w:val="FF77D45E"/>
    <w:rsid w:val="FF7954AB"/>
    <w:rsid w:val="FF7D1313"/>
    <w:rsid w:val="FF7D1E65"/>
    <w:rsid w:val="FFAFBBC1"/>
    <w:rsid w:val="FFBA7B91"/>
    <w:rsid w:val="FFBDBD99"/>
    <w:rsid w:val="FFBFB36E"/>
    <w:rsid w:val="FFBFE4E6"/>
    <w:rsid w:val="FFCB45A0"/>
    <w:rsid w:val="FFCB90D5"/>
    <w:rsid w:val="FFD7D610"/>
    <w:rsid w:val="FFDDECD7"/>
    <w:rsid w:val="FFF60D66"/>
    <w:rsid w:val="FFF733B7"/>
    <w:rsid w:val="FFF7BE53"/>
    <w:rsid w:val="FFF7E835"/>
    <w:rsid w:val="FFFB5857"/>
    <w:rsid w:val="FFFC00BA"/>
    <w:rsid w:val="FFFD18ED"/>
    <w:rsid w:val="FFFF47BD"/>
    <w:rsid w:val="FFFF6A18"/>
    <w:rsid w:val="FFFFA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33"/>
    <w:qFormat/>
    <w:uiPriority w:val="9"/>
    <w:pPr>
      <w:keepNext/>
      <w:keepLines/>
      <w:spacing w:before="280" w:after="290" w:line="376" w:lineRule="auto"/>
      <w:outlineLvl w:val="4"/>
    </w:pPr>
    <w:rPr>
      <w:b/>
      <w:bCs/>
      <w:sz w:val="28"/>
      <w:szCs w:val="28"/>
    </w:rPr>
  </w:style>
  <w:style w:type="character" w:default="1" w:styleId="26">
    <w:name w:val="Default Paragraph Font"/>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5"/>
    <w:unhideWhenUsed/>
    <w:qFormat/>
    <w:uiPriority w:val="0"/>
    <w:pPr>
      <w:spacing w:after="120"/>
    </w:pPr>
    <w:rPr>
      <w:sz w:val="24"/>
    </w:rPr>
  </w:style>
  <w:style w:type="paragraph" w:styleId="3">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styleId="9">
    <w:name w:val="Normal Indent"/>
    <w:basedOn w:val="1"/>
    <w:qFormat/>
    <w:uiPriority w:val="0"/>
    <w:pPr>
      <w:ind w:firstLine="420"/>
    </w:pPr>
    <w:rPr>
      <w:szCs w:val="20"/>
    </w:rPr>
  </w:style>
  <w:style w:type="paragraph" w:styleId="10">
    <w:name w:val="annotation text"/>
    <w:basedOn w:val="1"/>
    <w:link w:val="34"/>
    <w:unhideWhenUsed/>
    <w:qFormat/>
    <w:uiPriority w:val="0"/>
    <w:pPr>
      <w:jc w:val="left"/>
    </w:pPr>
  </w:style>
  <w:style w:type="paragraph" w:styleId="11">
    <w:name w:val="Body Text Indent"/>
    <w:basedOn w:val="1"/>
    <w:unhideWhenUsed/>
    <w:qFormat/>
    <w:uiPriority w:val="99"/>
    <w:pPr>
      <w:spacing w:after="120"/>
      <w:ind w:left="420" w:leftChars="200"/>
    </w:pPr>
    <w:rPr>
      <w:kern w:val="0"/>
      <w:sz w:val="20"/>
      <w:szCs w:val="20"/>
    </w:rPr>
  </w:style>
  <w:style w:type="paragraph" w:styleId="12">
    <w:name w:val="Plain Text"/>
    <w:basedOn w:val="1"/>
    <w:next w:val="13"/>
    <w:link w:val="36"/>
    <w:qFormat/>
    <w:uiPriority w:val="0"/>
    <w:rPr>
      <w:rFonts w:ascii="宋体" w:hAnsi="Courier New"/>
    </w:rPr>
  </w:style>
  <w:style w:type="paragraph" w:customStyle="1" w:styleId="1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4">
    <w:name w:val="Balloon Text"/>
    <w:basedOn w:val="1"/>
    <w:link w:val="37"/>
    <w:unhideWhenUsed/>
    <w:qFormat/>
    <w:uiPriority w:val="99"/>
    <w:rPr>
      <w:sz w:val="18"/>
      <w:szCs w:val="18"/>
    </w:rPr>
  </w:style>
  <w:style w:type="paragraph" w:styleId="15">
    <w:name w:val="footer"/>
    <w:basedOn w:val="1"/>
    <w:link w:val="38"/>
    <w:unhideWhenUsed/>
    <w:qFormat/>
    <w:uiPriority w:val="0"/>
    <w:pPr>
      <w:tabs>
        <w:tab w:val="center" w:pos="4153"/>
        <w:tab w:val="right" w:pos="8306"/>
      </w:tabs>
      <w:snapToGrid w:val="0"/>
      <w:jc w:val="left"/>
    </w:pPr>
    <w:rPr>
      <w:rFonts w:ascii="Calibri" w:hAnsi="Calibri"/>
      <w:sz w:val="18"/>
      <w:szCs w:val="18"/>
    </w:rPr>
  </w:style>
  <w:style w:type="paragraph" w:styleId="16">
    <w:name w:val="header"/>
    <w:basedOn w:val="1"/>
    <w:link w:val="39"/>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7">
    <w:name w:val="toc 1"/>
    <w:basedOn w:val="1"/>
    <w:next w:val="1"/>
    <w:unhideWhenUsed/>
    <w:qFormat/>
    <w:uiPriority w:val="39"/>
  </w:style>
  <w:style w:type="paragraph" w:styleId="18">
    <w:name w:val="Body Text 2"/>
    <w:basedOn w:val="1"/>
    <w:qFormat/>
    <w:uiPriority w:val="0"/>
    <w:pPr>
      <w:tabs>
        <w:tab w:val="left" w:pos="0"/>
      </w:tabs>
      <w:spacing w:line="400" w:lineRule="atLeast"/>
    </w:pPr>
    <w:rPr>
      <w:rFonts w:ascii="Arial" w:hAnsi="Arial"/>
      <w:color w:val="000000"/>
    </w:rPr>
  </w:style>
  <w:style w:type="paragraph" w:styleId="1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1"/>
    <w:next w:val="1"/>
    <w:qFormat/>
    <w:uiPriority w:val="0"/>
    <w:pPr>
      <w:spacing w:before="240" w:after="60"/>
      <w:jc w:val="center"/>
      <w:outlineLvl w:val="0"/>
    </w:pPr>
    <w:rPr>
      <w:rFonts w:ascii="Arial" w:hAnsi="Arial" w:eastAsia="隶书"/>
      <w:b/>
      <w:bCs/>
      <w:sz w:val="32"/>
      <w:szCs w:val="32"/>
    </w:rPr>
  </w:style>
  <w:style w:type="paragraph" w:styleId="22">
    <w:name w:val="annotation subject"/>
    <w:basedOn w:val="10"/>
    <w:next w:val="10"/>
    <w:link w:val="40"/>
    <w:unhideWhenUsed/>
    <w:qFormat/>
    <w:uiPriority w:val="99"/>
    <w:rPr>
      <w:b/>
      <w:bCs/>
    </w:rPr>
  </w:style>
  <w:style w:type="paragraph" w:styleId="23">
    <w:name w:val="Body Text First Indent"/>
    <w:basedOn w:val="2"/>
    <w:qFormat/>
    <w:uiPriority w:val="0"/>
    <w:pPr>
      <w:spacing w:line="560" w:lineRule="exact"/>
      <w:ind w:firstLine="720" w:firstLineChars="2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qFormat/>
    <w:uiPriority w:val="0"/>
  </w:style>
  <w:style w:type="character" w:styleId="28">
    <w:name w:val="FollowedHyperlink"/>
    <w:unhideWhenUsed/>
    <w:qFormat/>
    <w:uiPriority w:val="99"/>
    <w:rPr>
      <w:color w:val="954F72"/>
      <w:u w:val="single"/>
    </w:rPr>
  </w:style>
  <w:style w:type="character" w:styleId="29">
    <w:name w:val="Hyperlink"/>
    <w:qFormat/>
    <w:uiPriority w:val="0"/>
    <w:rPr>
      <w:color w:val="0000FF"/>
      <w:u w:val="none"/>
    </w:rPr>
  </w:style>
  <w:style w:type="character" w:styleId="30">
    <w:name w:val="annotation reference"/>
    <w:unhideWhenUsed/>
    <w:qFormat/>
    <w:uiPriority w:val="0"/>
    <w:rPr>
      <w:sz w:val="21"/>
      <w:szCs w:val="21"/>
    </w:rPr>
  </w:style>
  <w:style w:type="paragraph" w:customStyle="1" w:styleId="31">
    <w:name w:val="Char"/>
    <w:basedOn w:val="1"/>
    <w:qFormat/>
    <w:uiPriority w:val="0"/>
    <w:pPr>
      <w:widowControl/>
      <w:spacing w:after="160" w:line="240" w:lineRule="exact"/>
      <w:jc w:val="left"/>
    </w:pPr>
  </w:style>
  <w:style w:type="paragraph" w:customStyle="1" w:styleId="32">
    <w:name w:val="正文格式"/>
    <w:basedOn w:val="11"/>
    <w:qFormat/>
    <w:uiPriority w:val="99"/>
    <w:pPr>
      <w:spacing w:after="0" w:line="360" w:lineRule="auto"/>
      <w:ind w:left="0" w:leftChars="0" w:firstLine="600"/>
    </w:pPr>
    <w:rPr>
      <w:rFonts w:eastAsia="仿宋_GB2312"/>
      <w:sz w:val="30"/>
      <w:szCs w:val="30"/>
    </w:rPr>
  </w:style>
  <w:style w:type="character" w:customStyle="1" w:styleId="33">
    <w:name w:val="标题 5 字符"/>
    <w:link w:val="8"/>
    <w:semiHidden/>
    <w:qFormat/>
    <w:uiPriority w:val="9"/>
    <w:rPr>
      <w:b/>
      <w:bCs/>
      <w:kern w:val="2"/>
      <w:sz w:val="28"/>
      <w:szCs w:val="28"/>
    </w:rPr>
  </w:style>
  <w:style w:type="character" w:customStyle="1" w:styleId="34">
    <w:name w:val="批注文字 字符"/>
    <w:link w:val="10"/>
    <w:qFormat/>
    <w:uiPriority w:val="0"/>
    <w:rPr>
      <w:rFonts w:ascii="Times New Roman" w:hAnsi="Times New Roman" w:eastAsia="宋体" w:cs="Times New Roman"/>
      <w:szCs w:val="24"/>
    </w:rPr>
  </w:style>
  <w:style w:type="character" w:customStyle="1" w:styleId="35">
    <w:name w:val="正文文本 字符"/>
    <w:link w:val="2"/>
    <w:qFormat/>
    <w:uiPriority w:val="0"/>
    <w:rPr>
      <w:rFonts w:ascii="Times New Roman" w:hAnsi="Times New Roman" w:eastAsia="宋体"/>
      <w:kern w:val="2"/>
      <w:sz w:val="24"/>
      <w:szCs w:val="24"/>
    </w:rPr>
  </w:style>
  <w:style w:type="character" w:customStyle="1" w:styleId="36">
    <w:name w:val="纯文本 字符1"/>
    <w:link w:val="12"/>
    <w:qFormat/>
    <w:uiPriority w:val="0"/>
    <w:rPr>
      <w:rFonts w:ascii="宋体" w:hAnsi="Courier New"/>
      <w:kern w:val="2"/>
      <w:sz w:val="21"/>
      <w:szCs w:val="24"/>
    </w:rPr>
  </w:style>
  <w:style w:type="character" w:customStyle="1" w:styleId="37">
    <w:name w:val="批注框文本 字符"/>
    <w:link w:val="14"/>
    <w:semiHidden/>
    <w:qFormat/>
    <w:uiPriority w:val="99"/>
    <w:rPr>
      <w:rFonts w:ascii="Times New Roman" w:hAnsi="Times New Roman" w:eastAsia="宋体" w:cs="Times New Roman"/>
      <w:sz w:val="18"/>
      <w:szCs w:val="18"/>
    </w:rPr>
  </w:style>
  <w:style w:type="character" w:customStyle="1" w:styleId="38">
    <w:name w:val="页脚 字符1"/>
    <w:link w:val="15"/>
    <w:qFormat/>
    <w:uiPriority w:val="99"/>
    <w:rPr>
      <w:sz w:val="18"/>
      <w:szCs w:val="18"/>
    </w:rPr>
  </w:style>
  <w:style w:type="character" w:customStyle="1" w:styleId="39">
    <w:name w:val="页眉 字符"/>
    <w:link w:val="16"/>
    <w:qFormat/>
    <w:uiPriority w:val="99"/>
    <w:rPr>
      <w:sz w:val="18"/>
      <w:szCs w:val="18"/>
    </w:rPr>
  </w:style>
  <w:style w:type="character" w:customStyle="1" w:styleId="40">
    <w:name w:val="批注主题 字符"/>
    <w:link w:val="22"/>
    <w:semiHidden/>
    <w:qFormat/>
    <w:uiPriority w:val="99"/>
    <w:rPr>
      <w:rFonts w:ascii="Times New Roman" w:hAnsi="Times New Roman" w:eastAsia="宋体" w:cs="Times New Roman"/>
      <w:b/>
      <w:bCs/>
      <w:szCs w:val="24"/>
    </w:rPr>
  </w:style>
  <w:style w:type="character" w:customStyle="1" w:styleId="41">
    <w:name w:val="qowt-font5-gb2312"/>
    <w:qFormat/>
    <w:uiPriority w:val="0"/>
  </w:style>
  <w:style w:type="character" w:customStyle="1" w:styleId="42">
    <w:name w:val="标题1"/>
    <w:qFormat/>
    <w:uiPriority w:val="0"/>
  </w:style>
  <w:style w:type="character" w:customStyle="1" w:styleId="43">
    <w:name w:val="页脚 字符"/>
    <w:qFormat/>
    <w:uiPriority w:val="99"/>
    <w:rPr>
      <w:rFonts w:ascii="Calibri" w:hAnsi="Calibri"/>
      <w:kern w:val="2"/>
      <w:sz w:val="18"/>
      <w:szCs w:val="18"/>
    </w:rPr>
  </w:style>
  <w:style w:type="character" w:customStyle="1" w:styleId="44">
    <w:name w:val="纯文本 字符"/>
    <w:semiHidden/>
    <w:qFormat/>
    <w:uiPriority w:val="99"/>
    <w:rPr>
      <w:rFonts w:ascii="宋体" w:hAnsi="Courier New" w:cs="Courier New"/>
      <w:kern w:val="2"/>
      <w:sz w:val="21"/>
      <w:szCs w:val="21"/>
    </w:rPr>
  </w:style>
  <w:style w:type="character" w:customStyle="1" w:styleId="45">
    <w:name w:val="Hyperlink.0"/>
    <w:qFormat/>
    <w:uiPriority w:val="0"/>
    <w:rPr>
      <w:rFonts w:ascii="宋体" w:hAnsi="宋体" w:eastAsia="宋体" w:cs="宋体"/>
      <w:lang w:val="en-US" w:eastAsia="zh-TW"/>
    </w:rPr>
  </w:style>
  <w:style w:type="character" w:customStyle="1" w:styleId="46">
    <w:name w:val="批注文字 字符1"/>
    <w:qFormat/>
    <w:uiPriority w:val="0"/>
    <w:rPr>
      <w:rFonts w:ascii="Times New Roman" w:hAnsi="Times New Roman" w:eastAsia="宋体" w:cs="Times New Roman"/>
      <w:szCs w:val="24"/>
    </w:rPr>
  </w:style>
  <w:style w:type="paragraph" w:customStyle="1" w:styleId="47">
    <w:name w:val="_Style 45"/>
    <w:unhideWhenUsed/>
    <w:qFormat/>
    <w:uiPriority w:val="99"/>
    <w:rPr>
      <w:rFonts w:ascii="Times New Roman" w:hAnsi="Times New Roman" w:eastAsia="宋体" w:cs="Times New Roman"/>
      <w:kern w:val="2"/>
      <w:sz w:val="21"/>
      <w:szCs w:val="24"/>
      <w:lang w:val="en-US" w:eastAsia="zh-CN" w:bidi="ar-SA"/>
    </w:rPr>
  </w:style>
  <w:style w:type="paragraph" w:customStyle="1" w:styleId="48">
    <w:name w:val="正文 New New New New New New New New New New New"/>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49">
    <w:name w:val="列出段落1"/>
    <w:basedOn w:val="1"/>
    <w:qFormat/>
    <w:uiPriority w:val="0"/>
    <w:pPr>
      <w:widowControl/>
      <w:ind w:left="835" w:firstLine="420" w:firstLineChars="200"/>
      <w:jc w:val="left"/>
    </w:pPr>
    <w:rPr>
      <w:rFonts w:ascii="Arial" w:hAnsi="Arial"/>
      <w:spacing w:val="-5"/>
      <w:kern w:val="0"/>
      <w:sz w:val="24"/>
      <w:szCs w:val="20"/>
      <w:lang w:bidi="he-IL"/>
    </w:rPr>
  </w:style>
  <w:style w:type="paragraph" w:customStyle="1" w:styleId="50">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51">
    <w:name w:val="Other|1"/>
    <w:basedOn w:val="1"/>
    <w:qFormat/>
    <w:uiPriority w:val="0"/>
    <w:pPr>
      <w:spacing w:line="300" w:lineRule="auto"/>
      <w:ind w:firstLine="400"/>
    </w:pPr>
    <w:rPr>
      <w:rFonts w:ascii="宋体" w:hAnsi="宋体" w:cs="宋体"/>
      <w:lang w:val="zh-TW" w:eastAsia="zh-TW" w:bidi="zh-TW"/>
    </w:rPr>
  </w:style>
  <w:style w:type="paragraph" w:customStyle="1" w:styleId="52">
    <w:name w:val="msolistparagraph"/>
    <w:basedOn w:val="1"/>
    <w:qFormat/>
    <w:uiPriority w:val="0"/>
    <w:pPr>
      <w:ind w:firstLine="420" w:firstLineChars="200"/>
    </w:pPr>
  </w:style>
  <w:style w:type="paragraph" w:styleId="53">
    <w:name w:val="List Paragraph"/>
    <w:basedOn w:val="1"/>
    <w:qFormat/>
    <w:uiPriority w:val="34"/>
    <w:pPr>
      <w:ind w:firstLine="420" w:firstLineChars="200"/>
    </w:pPr>
  </w:style>
  <w:style w:type="paragraph" w:customStyle="1" w:styleId="5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57">
    <w:name w:val="Table Paragraph"/>
    <w:basedOn w:val="1"/>
    <w:qFormat/>
    <w:uiPriority w:val="0"/>
    <w:pPr>
      <w:autoSpaceDE w:val="0"/>
      <w:autoSpaceDN w:val="0"/>
      <w:jc w:val="left"/>
    </w:pPr>
    <w:rPr>
      <w:rFonts w:ascii="宋体" w:hAnsi="宋体" w:cs="宋体"/>
      <w:kern w:val="0"/>
      <w:sz w:val="22"/>
      <w:szCs w:val="22"/>
    </w:rPr>
  </w:style>
  <w:style w:type="paragraph" w:customStyle="1" w:styleId="58">
    <w:name w:val="x-scope"/>
    <w:basedOn w:val="1"/>
    <w:qFormat/>
    <w:uiPriority w:val="0"/>
    <w:pPr>
      <w:widowControl/>
      <w:spacing w:before="100" w:beforeAutospacing="1" w:after="100" w:afterAutospacing="1"/>
      <w:jc w:val="left"/>
    </w:pPr>
    <w:rPr>
      <w:rFonts w:ascii="宋体" w:hAnsi="宋体" w:cs="宋体"/>
      <w:kern w:val="0"/>
      <w:sz w:val="24"/>
    </w:rPr>
  </w:style>
  <w:style w:type="paragraph" w:customStyle="1" w:styleId="59">
    <w:name w:val="1册标题2"/>
    <w:basedOn w:val="1"/>
    <w:next w:val="1"/>
    <w:qFormat/>
    <w:uiPriority w:val="0"/>
    <w:pPr>
      <w:adjustRightInd w:val="0"/>
      <w:spacing w:before="50" w:beforeLines="50" w:after="50" w:afterLines="50" w:line="300" w:lineRule="auto"/>
      <w:jc w:val="center"/>
      <w:textAlignment w:val="baseline"/>
      <w:outlineLvl w:val="1"/>
    </w:pPr>
    <w:rPr>
      <w:rFonts w:ascii="Arial" w:hAnsi="Arial" w:eastAsia="黑体"/>
      <w:bCs/>
      <w:kern w:val="0"/>
      <w:sz w:val="32"/>
    </w:rPr>
  </w:style>
  <w:style w:type="paragraph" w:customStyle="1" w:styleId="60">
    <w:name w:val="WPSOffice手动目录 1"/>
    <w:qFormat/>
    <w:uiPriority w:val="0"/>
    <w:rPr>
      <w:rFonts w:ascii="Times New Roman" w:hAnsi="Times New Roman" w:eastAsia="宋体" w:cs="Times New Roman"/>
      <w:lang w:val="en-US" w:eastAsia="zh-CN" w:bidi="ar-SA"/>
    </w:rPr>
  </w:style>
  <w:style w:type="paragraph" w:customStyle="1" w:styleId="61">
    <w:name w:val="中等深浅网格 21"/>
    <w:qFormat/>
    <w:uiPriority w:val="1"/>
    <w:pPr>
      <w:widowControl w:val="0"/>
      <w:jc w:val="both"/>
    </w:pPr>
    <w:rPr>
      <w:rFonts w:ascii="Calibri" w:hAnsi="Calibri" w:eastAsia="宋体" w:cs="Times New Roman"/>
      <w:kern w:val="2"/>
      <w:sz w:val="21"/>
      <w:szCs w:val="24"/>
      <w:lang w:val="en-US" w:eastAsia="zh-CN" w:bidi="ar-SA"/>
    </w:rPr>
  </w:style>
  <w:style w:type="paragraph" w:customStyle="1" w:styleId="62">
    <w:name w:val="（）列表模式"/>
    <w:basedOn w:val="1"/>
    <w:qFormat/>
    <w:uiPriority w:val="0"/>
    <w:pPr>
      <w:tabs>
        <w:tab w:val="left" w:pos="960"/>
        <w:tab w:val="left" w:pos="1470"/>
      </w:tabs>
      <w:spacing w:line="360" w:lineRule="auto"/>
      <w:ind w:left="1470" w:hanging="420"/>
    </w:pPr>
    <w:rPr>
      <w:sz w:val="24"/>
      <w:szCs w:val="20"/>
    </w:rPr>
  </w:style>
  <w:style w:type="paragraph" w:customStyle="1" w:styleId="63">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qh-PC</Company>
  <Pages>77</Pages>
  <Words>7217</Words>
  <Characters>41143</Characters>
  <Lines>342</Lines>
  <Paragraphs>96</Paragraphs>
  <TotalTime>32</TotalTime>
  <ScaleCrop>false</ScaleCrop>
  <LinksUpToDate>false</LinksUpToDate>
  <CharactersWithSpaces>48264</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2021-12-08T09:11:00Z</dcterms:created>
  <dc:creator>远东招标-凌勰13728851925</dc:creator>
  <cp:lastModifiedBy>黎俊</cp:lastModifiedBy>
  <cp:lastPrinted>2022-08-25T14:55:00Z</cp:lastPrinted>
  <dcterms:modified xsi:type="dcterms:W3CDTF">2023-10-27T01:15:06Z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B9B87925B8624CAAB70B71106A134BAD</vt:lpwstr>
  </property>
  <property fmtid="{D5CDD505-2E9C-101B-9397-08002B2CF9AE}" pid="4" name="commondata">
    <vt:lpwstr>eyJoZGlkIjoiYmMxMDc3MzEwOWIzMjRmOWFjY2ZmMjJjMThlMGUwZWUifQ==</vt:lpwstr>
  </property>
</Properties>
</file>