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03.100.10</w:t>
            </w:r>
            <w:r>
              <w:rPr>
                <w:rFonts w:ascii="黑体" w:hAnsi="黑体" w:eastAsia="黑体"/>
                <w:sz w:val="21"/>
                <w:szCs w:val="21"/>
              </w:rPr>
              <w:fldChar w:fldCharType="end"/>
            </w:r>
          </w:p>
        </w:tc>
      </w:tr>
      <w:tr>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0"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A </w:t>
            </w:r>
            <w:r>
              <w:rPr>
                <w:rFonts w:hint="eastAsia" w:ascii="黑体" w:hAnsi="黑体" w:eastAsia="黑体"/>
                <w:sz w:val="21"/>
                <w:szCs w:val="21"/>
                <w:lang w:val="en-US" w:eastAsia="zh-CN"/>
              </w:rPr>
              <w:t>87</w:t>
            </w:r>
            <w:r>
              <w:rPr>
                <w:rFonts w:ascii="黑体" w:hAnsi="黑体" w:eastAsia="黑体"/>
                <w:sz w:val="21"/>
                <w:szCs w:val="21"/>
              </w:rPr>
              <w:fldChar w:fldCharType="end"/>
            </w:r>
            <w:bookmarkEnd w:id="0"/>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c>
          <w:tcPr>
            <w:tcW w:w="6407" w:type="dxa"/>
          </w:tcPr>
          <w:p>
            <w:pPr>
              <w:pStyle w:val="50"/>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4403</w:t>
            </w:r>
            <w: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深圳市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4403</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rFonts w:hint="eastAsia"/>
          <w:lang w:val="en-US" w:eastAsia="zh-CN"/>
        </w:rPr>
        <w:t>XXXX</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ng0mW2AAAAAwBAAAPAAAAAAAAAAEAIAAAADgAAABkcnMvZG93&#10;bnJldi54bWxQSwECFAAUAAAACACHTuJA7q4dUeoBAAC6AwAADgAAAAAAAAABACAAAAA9AQAAZHJz&#10;L2Uyb0RvYy54bWxQSwUGAAAAAAYABgBZAQAAmQ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智慧低碳仓库评价</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Evaluation </w:t>
      </w:r>
      <w:r>
        <w:rPr>
          <w:rFonts w:hint="eastAsia" w:eastAsia="黑体"/>
          <w:szCs w:val="28"/>
        </w:rPr>
        <w:t>of</w:t>
      </w:r>
      <w:r>
        <w:rPr>
          <w:rFonts w:eastAsia="黑体"/>
          <w:szCs w:val="28"/>
        </w:rPr>
        <w:t xml:space="preserve"> </w:t>
      </w:r>
      <w:r>
        <w:rPr>
          <w:rFonts w:hint="eastAsia" w:eastAsia="黑体"/>
          <w:szCs w:val="28"/>
        </w:rPr>
        <w:t>s</w:t>
      </w:r>
      <w:r>
        <w:rPr>
          <w:rFonts w:eastAsia="黑体"/>
          <w:szCs w:val="28"/>
        </w:rPr>
        <w:t xml:space="preserve">mart </w:t>
      </w:r>
      <w:r>
        <w:rPr>
          <w:rFonts w:hint="eastAsia" w:eastAsia="黑体"/>
          <w:szCs w:val="28"/>
        </w:rPr>
        <w:t>l</w:t>
      </w:r>
      <w:r>
        <w:rPr>
          <w:rFonts w:eastAsia="黑体"/>
          <w:szCs w:val="28"/>
        </w:rPr>
        <w:t xml:space="preserve">ow </w:t>
      </w:r>
      <w:r>
        <w:rPr>
          <w:rFonts w:hint="eastAsia" w:eastAsia="黑体"/>
          <w:szCs w:val="28"/>
        </w:rPr>
        <w:t>c</w:t>
      </w:r>
      <w:r>
        <w:rPr>
          <w:rFonts w:eastAsia="黑体"/>
          <w:szCs w:val="28"/>
        </w:rPr>
        <w:t xml:space="preserve">arbon </w:t>
      </w:r>
      <w:r>
        <w:rPr>
          <w:rFonts w:hint="eastAsia" w:eastAsia="黑体"/>
          <w:szCs w:val="28"/>
        </w:rPr>
        <w:t>w</w:t>
      </w:r>
      <w:r>
        <w:rPr>
          <w:rFonts w:eastAsia="黑体"/>
          <w:szCs w:val="28"/>
        </w:rPr>
        <w:t>arehouse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lang w:val="en-US" w:eastAsia="zh-CN"/>
        </w:rPr>
        <w:t>20</w:t>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lang w:val="en-US" w:eastAsia="zh-CN"/>
        </w:rPr>
        <w:t>20</w:t>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深圳市市场监督管理局</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rMxz71wAAAA4BAAAPAAAAAAAAAAEAIAAAADgAAABkcnMvZG93bnJl&#10;di54bWxQSwECFAAUAAAACACHTuJAd2JouegBAAC4AwAADgAAAAAAAAABACAAAAA8AQAAZHJzL2Uy&#10;b0RvYy54bWxQSwUGAAAAAAYABgBZAQAAlgUAAAAA&#10;">
                <v:fill on="f" focussize="0,0"/>
                <v:stroke color="#000000" joinstyle="round"/>
                <v:imagedata o:title=""/>
                <o:lock v:ext="edit" aspectratio="f"/>
                <w10:anchorlock/>
              </v:line>
            </w:pict>
          </mc:Fallback>
        </mc:AlternateContent>
      </w:r>
    </w:p>
    <w:p>
      <w:pPr>
        <w:pStyle w:val="92"/>
        <w:spacing w:after="468"/>
      </w:pPr>
      <w:bookmarkStart w:id="20" w:name="BookMark1"/>
      <w:r>
        <w:rPr>
          <w:spacing w:val="320"/>
        </w:rPr>
        <w:t>目</w:t>
      </w:r>
      <w:r>
        <w:t>次</w:t>
      </w:r>
    </w:p>
    <w:p>
      <w:pPr>
        <w:pStyle w:val="20"/>
        <w:tabs>
          <w:tab w:val="right" w:leader="dot" w:pos="9344"/>
        </w:tabs>
        <w:rPr>
          <w:rFonts w:asciiTheme="minorHAnsi" w:hAnsiTheme="minorHAnsi" w:eastAsiaTheme="minorEastAsia" w:cstheme="minorBidi"/>
          <w:szCs w:val="22"/>
        </w:rPr>
      </w:pPr>
      <w:r>
        <w:rPr>
          <w:rStyle w:val="33"/>
        </w:rPr>
        <w:fldChar w:fldCharType="begin"/>
      </w:r>
      <w:r>
        <w:rPr>
          <w:rStyle w:val="33"/>
        </w:rPr>
        <w:instrText xml:space="preserve"> TOC \o "1-1" \h \t "标准文件_一级条标题,2,标准文件_附录一级条标题,2," </w:instrText>
      </w:r>
      <w:r>
        <w:rPr>
          <w:rStyle w:val="33"/>
        </w:rPr>
        <w:fldChar w:fldCharType="separate"/>
      </w:r>
      <w:r>
        <w:fldChar w:fldCharType="begin"/>
      </w:r>
      <w:r>
        <w:instrText xml:space="preserve"> HYPERLINK \l "_Toc147763139" </w:instrText>
      </w:r>
      <w:r>
        <w:fldChar w:fldCharType="separate"/>
      </w:r>
      <w:r>
        <w:rPr>
          <w:rStyle w:val="33"/>
          <w:rFonts w:hint="eastAsia"/>
        </w:rPr>
        <w:t>前言</w:t>
      </w:r>
      <w:r>
        <w:tab/>
      </w:r>
      <w:r>
        <w:fldChar w:fldCharType="begin"/>
      </w:r>
      <w:r>
        <w:instrText xml:space="preserve"> PAGEREF _Toc147763139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"_Toc147763140" </w:instrText>
      </w:r>
      <w:r>
        <w:fldChar w:fldCharType="separate"/>
      </w:r>
      <w:r>
        <w:rPr>
          <w:rStyle w:val="33"/>
        </w:rPr>
        <w:t>1</w:t>
      </w:r>
      <w:r>
        <w:rPr>
          <w:rStyle w:val="33"/>
          <w:rFonts w:hint="eastAsia"/>
        </w:rPr>
        <w:t xml:space="preserve"> 范围</w:t>
      </w:r>
      <w:r>
        <w:tab/>
      </w:r>
      <w:r>
        <w:fldChar w:fldCharType="begin"/>
      </w:r>
      <w:r>
        <w:instrText xml:space="preserve"> PAGEREF _Toc147763140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"_Toc147763141" </w:instrText>
      </w:r>
      <w:r>
        <w:fldChar w:fldCharType="separate"/>
      </w:r>
      <w:r>
        <w:rPr>
          <w:rStyle w:val="33"/>
        </w:rPr>
        <w:t>2</w:t>
      </w:r>
      <w:r>
        <w:rPr>
          <w:rStyle w:val="33"/>
          <w:rFonts w:hint="eastAsia"/>
        </w:rPr>
        <w:t xml:space="preserve"> 规范性引用文件</w:t>
      </w:r>
      <w:r>
        <w:tab/>
      </w:r>
      <w:r>
        <w:fldChar w:fldCharType="begin"/>
      </w:r>
      <w:r>
        <w:instrText xml:space="preserve"> PAGEREF _Toc147763141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"_Toc147763142" </w:instrText>
      </w:r>
      <w:r>
        <w:fldChar w:fldCharType="separate"/>
      </w:r>
      <w:r>
        <w:rPr>
          <w:rStyle w:val="33"/>
        </w:rPr>
        <w:t>3</w:t>
      </w:r>
      <w:r>
        <w:rPr>
          <w:rStyle w:val="33"/>
          <w:rFonts w:hint="eastAsia"/>
        </w:rPr>
        <w:t xml:space="preserve"> 术语和定义</w:t>
      </w:r>
      <w:r>
        <w:tab/>
      </w:r>
      <w:r>
        <w:fldChar w:fldCharType="begin"/>
      </w:r>
      <w:r>
        <w:instrText xml:space="preserve"> PAGEREF _Toc147763142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"_Toc147763143" </w:instrText>
      </w:r>
      <w:r>
        <w:fldChar w:fldCharType="separate"/>
      </w:r>
      <w:r>
        <w:rPr>
          <w:rStyle w:val="33"/>
        </w:rPr>
        <w:t>4</w:t>
      </w:r>
      <w:r>
        <w:rPr>
          <w:rStyle w:val="33"/>
          <w:rFonts w:hint="eastAsia"/>
        </w:rPr>
        <w:t xml:space="preserve"> 缩略语</w:t>
      </w:r>
      <w:r>
        <w:tab/>
      </w:r>
      <w:r>
        <w:fldChar w:fldCharType="begin"/>
      </w:r>
      <w:r>
        <w:instrText xml:space="preserve"> PAGEREF _Toc147763143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"_Toc147763144" </w:instrText>
      </w:r>
      <w:r>
        <w:fldChar w:fldCharType="separate"/>
      </w:r>
      <w:r>
        <w:rPr>
          <w:rStyle w:val="33"/>
        </w:rPr>
        <w:t>5</w:t>
      </w:r>
      <w:r>
        <w:rPr>
          <w:rStyle w:val="33"/>
          <w:rFonts w:hint="eastAsia"/>
        </w:rPr>
        <w:t xml:space="preserve"> 基本要求</w:t>
      </w:r>
      <w:r>
        <w:tab/>
      </w:r>
      <w:r>
        <w:fldChar w:fldCharType="begin"/>
      </w:r>
      <w:r>
        <w:instrText xml:space="preserve"> PAGEREF _Toc147763144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"_Toc147763148" </w:instrText>
      </w:r>
      <w:r>
        <w:fldChar w:fldCharType="separate"/>
      </w:r>
      <w:r>
        <w:rPr>
          <w:rStyle w:val="33"/>
        </w:rPr>
        <w:t>6</w:t>
      </w:r>
      <w:r>
        <w:rPr>
          <w:rStyle w:val="33"/>
          <w:rFonts w:hint="eastAsia"/>
        </w:rPr>
        <w:t xml:space="preserve"> 评价指标</w:t>
      </w:r>
      <w:r>
        <w:tab/>
      </w:r>
      <w:r>
        <w:fldChar w:fldCharType="begin"/>
      </w:r>
      <w:r>
        <w:instrText xml:space="preserve"> PAGEREF _Toc147763148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"_Toc147763149" </w:instrText>
      </w:r>
      <w:r>
        <w:fldChar w:fldCharType="separate"/>
      </w:r>
      <w:r>
        <w:rPr>
          <w:rStyle w:val="33"/>
        </w:rPr>
        <w:t>7</w:t>
      </w:r>
      <w:r>
        <w:rPr>
          <w:rStyle w:val="33"/>
          <w:rFonts w:hint="eastAsia"/>
        </w:rPr>
        <w:t xml:space="preserve"> 评价方法及级别划分</w:t>
      </w:r>
      <w:r>
        <w:tab/>
      </w:r>
      <w:r>
        <w:fldChar w:fldCharType="begin"/>
      </w:r>
      <w:r>
        <w:instrText xml:space="preserve"> PAGEREF _Toc147763149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"_Toc147763154" </w:instrText>
      </w:r>
      <w:r>
        <w:fldChar w:fldCharType="separate"/>
      </w:r>
      <w:r>
        <w:rPr>
          <w:rStyle w:val="33"/>
          <w:rFonts w:hint="eastAsia"/>
        </w:rPr>
        <w:t>附录A（资料性）智慧低碳通用仓库评价指标</w:t>
      </w:r>
      <w:r>
        <w:tab/>
      </w:r>
      <w:r>
        <w:fldChar w:fldCharType="begin"/>
      </w:r>
      <w:r>
        <w:instrText xml:space="preserve"> PAGEREF _Toc147763154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"_Toc147763156" </w:instrText>
      </w:r>
      <w:r>
        <w:fldChar w:fldCharType="separate"/>
      </w:r>
      <w:r>
        <w:rPr>
          <w:rStyle w:val="33"/>
          <w:rFonts w:hint="eastAsia"/>
        </w:rPr>
        <w:t>附录B（资料性）智慧低碳冷库评价指标</w:t>
      </w:r>
      <w:r>
        <w:tab/>
      </w:r>
      <w:r>
        <w:fldChar w:fldCharType="begin"/>
      </w:r>
      <w:r>
        <w:instrText xml:space="preserve"> PAGEREF _Toc147763156 \h </w:instrText>
      </w:r>
      <w:r>
        <w:fldChar w:fldCharType="separate"/>
      </w:r>
      <w:r>
        <w:t>5</w:t>
      </w:r>
      <w:r>
        <w:fldChar w:fldCharType="end"/>
      </w:r>
      <w:r>
        <w:fldChar w:fldCharType="end"/>
      </w:r>
    </w:p>
    <w:p>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rPr>
          <w:rStyle w:val="33"/>
        </w:rPr>
        <w:fldChar w:fldCharType="end"/>
      </w:r>
    </w:p>
    <w:bookmarkEnd w:id="20"/>
    <w:p>
      <w:pPr>
        <w:pStyle w:val="90"/>
        <w:spacing w:after="468"/>
      </w:pPr>
      <w:bookmarkStart w:id="21" w:name="_Toc147763139"/>
      <w:bookmarkStart w:id="22" w:name="BookMark2"/>
      <w:r>
        <w:rPr>
          <w:spacing w:val="320"/>
        </w:rPr>
        <w:t>前</w:t>
      </w:r>
      <w:r>
        <w:t>言</w:t>
      </w:r>
      <w:bookmarkEnd w:id="21"/>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本文件由前海深港现代服务业合作区管理局提出并归口。</w:t>
      </w:r>
    </w:p>
    <w:p>
      <w:pPr>
        <w:pStyle w:val="57"/>
        <w:ind w:firstLine="420"/>
      </w:pPr>
      <w:r>
        <w:rPr>
          <w:rFonts w:hint="eastAsia"/>
        </w:rPr>
        <w:t>本文件起草单位：深圳市前海深港现代服务业合作区管理局</w:t>
      </w:r>
      <w:r>
        <w:rPr>
          <w:rFonts w:hint="eastAsia"/>
          <w:lang w:eastAsia="zh-CN"/>
        </w:rPr>
        <w:t>、</w:t>
      </w:r>
      <w:r>
        <w:rPr>
          <w:rFonts w:hint="eastAsia"/>
        </w:rPr>
        <w:t>深圳市物流与供应链管理协会、深圳市现代供应链管理研究院、深圳市跨境电商供应链服务协会</w:t>
      </w:r>
      <w:r>
        <w:rPr>
          <w:rFonts w:hint="eastAsia"/>
          <w:lang w:eastAsia="zh-CN"/>
        </w:rPr>
        <w:t>、</w:t>
      </w:r>
      <w:r>
        <w:rPr>
          <w:rFonts w:hint="eastAsia"/>
        </w:rPr>
        <w:t>万纬物流发展有限公司、准时达国际供应链管理有限公司、深圳前海粤十信息技术有限公司、深国际控股（深圳）有限公司</w:t>
      </w:r>
      <w:r>
        <w:rPr>
          <w:rFonts w:hint="eastAsia"/>
          <w:lang w:eastAsia="zh-CN"/>
        </w:rPr>
        <w:t>、</w:t>
      </w:r>
      <w:r>
        <w:rPr>
          <w:rFonts w:hint="eastAsia"/>
        </w:rPr>
        <w:t>深圳市海柔创新科技有限公司、宝湾物流控股有限公司、北方工程设计研究院有限公司。</w:t>
      </w:r>
    </w:p>
    <w:p>
      <w:pPr>
        <w:pStyle w:val="57"/>
        <w:ind w:firstLine="420"/>
      </w:pPr>
      <w:r>
        <w:rPr>
          <w:rFonts w:hint="eastAsia"/>
        </w:rPr>
        <w:t>本文件主要</w:t>
      </w:r>
      <w:r>
        <w:rPr>
          <w:rFonts w:hint="eastAsia"/>
          <w:color w:val="auto"/>
        </w:rPr>
        <w:t>起草人：</w:t>
      </w:r>
    </w:p>
    <w:p>
      <w:pPr>
        <w:pStyle w:val="57"/>
        <w:ind w:firstLine="0" w:firstLineChars="0"/>
      </w:pPr>
      <w:r>
        <w:rPr>
          <w:rFonts w:hint="eastAsia"/>
        </w:rPr>
        <w:t xml:space="preserve">    本文件首次发布。</w:t>
      </w:r>
    </w:p>
    <w:p>
      <w:pPr>
        <w:pStyle w:val="57"/>
        <w:ind w:firstLine="0" w:firstLineChars="0"/>
        <w:sectPr>
          <w:pgSz w:w="11906" w:h="16838"/>
          <w:pgMar w:top="2410" w:right="1134" w:bottom="1134" w:left="1134" w:header="1418" w:footer="1134" w:gutter="284"/>
          <w:pgNumType w:fmt="upperRoman"/>
          <w:cols w:space="425" w:num="1"/>
          <w:formProt w:val="0"/>
          <w:docGrid w:type="lines" w:linePitch="312" w:charSpace="0"/>
        </w:sectPr>
      </w:pPr>
      <w:r>
        <w:rPr>
          <w:rFonts w:hint="eastAsia"/>
        </w:rPr>
        <w:t xml:space="preserve">    </w:t>
      </w: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140B9A3639C94C66886C83BD4F2CA364"/>
        </w:placeholder>
      </w:sdtPr>
      <w:sdtContent>
        <w:p>
          <w:pPr>
            <w:pStyle w:val="178"/>
            <w:spacing w:beforeLines="1" w:afterLines="220"/>
          </w:pPr>
          <w:bookmarkStart w:id="24" w:name="NEW_STAND_NAME"/>
          <w:r>
            <w:rPr>
              <w:rFonts w:hint="eastAsia"/>
            </w:rPr>
            <w:t>智慧低碳仓库评价</w:t>
          </w:r>
        </w:p>
      </w:sdtContent>
    </w:sdt>
    <w:bookmarkEnd w:id="24"/>
    <w:p>
      <w:pPr>
        <w:pStyle w:val="105"/>
        <w:spacing w:before="312" w:after="312"/>
      </w:pPr>
      <w:bookmarkStart w:id="25" w:name="_Toc26718930"/>
      <w:bookmarkStart w:id="26" w:name="_Toc26986771"/>
      <w:bookmarkStart w:id="27" w:name="_Toc147763140"/>
      <w:bookmarkStart w:id="28" w:name="_Toc26986530"/>
      <w:bookmarkStart w:id="29" w:name="_Toc24884211"/>
      <w:bookmarkStart w:id="30" w:name="_Toc17233333"/>
      <w:bookmarkStart w:id="31" w:name="_Toc26648465"/>
      <w:bookmarkStart w:id="32" w:name="_Toc17233325"/>
      <w:bookmarkStart w:id="33" w:name="_Toc24884218"/>
      <w:r>
        <w:rPr>
          <w:rFonts w:hint="eastAsia"/>
        </w:rPr>
        <w:t>范围</w:t>
      </w:r>
      <w:bookmarkEnd w:id="25"/>
      <w:bookmarkEnd w:id="26"/>
      <w:bookmarkEnd w:id="27"/>
      <w:bookmarkEnd w:id="28"/>
      <w:bookmarkEnd w:id="29"/>
      <w:bookmarkEnd w:id="30"/>
      <w:bookmarkEnd w:id="31"/>
      <w:bookmarkEnd w:id="32"/>
      <w:bookmarkEnd w:id="33"/>
    </w:p>
    <w:p>
      <w:pPr>
        <w:pStyle w:val="57"/>
        <w:ind w:firstLine="420"/>
      </w:pPr>
      <w:bookmarkStart w:id="34" w:name="_Toc17233334"/>
      <w:bookmarkStart w:id="35" w:name="_Toc26648466"/>
      <w:bookmarkStart w:id="36" w:name="_Toc17233326"/>
      <w:bookmarkStart w:id="37" w:name="_Toc24884212"/>
      <w:bookmarkStart w:id="38" w:name="_Toc24884219"/>
      <w:r>
        <w:rPr>
          <w:rFonts w:hint="eastAsia"/>
        </w:rPr>
        <w:t>本文件规定了智慧低碳仓库的基本要求，并给出了智慧低碳仓库的评价指标。</w:t>
      </w:r>
    </w:p>
    <w:p>
      <w:pPr>
        <w:pStyle w:val="57"/>
        <w:ind w:firstLine="420"/>
      </w:pPr>
      <w:r>
        <w:rPr>
          <w:rFonts w:hint="eastAsia"/>
        </w:rPr>
        <w:t>本文件适用于通用仓库和冷库，不适用于其他特殊仓库或者危险品仓库。</w:t>
      </w:r>
    </w:p>
    <w:p>
      <w:pPr>
        <w:pStyle w:val="105"/>
        <w:spacing w:before="312" w:after="312"/>
      </w:pPr>
      <w:bookmarkStart w:id="39" w:name="_Toc147763141"/>
      <w:bookmarkStart w:id="40" w:name="_Toc26718931"/>
      <w:bookmarkStart w:id="41" w:name="_Toc269865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9B29555331EE442981EE29588ADF53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21072—2021  通用仓库等级</w:t>
      </w:r>
    </w:p>
    <w:p>
      <w:pPr>
        <w:pStyle w:val="57"/>
        <w:ind w:firstLine="420"/>
      </w:pPr>
      <w:r>
        <w:rPr>
          <w:rFonts w:hint="eastAsia"/>
        </w:rPr>
        <w:t>GB 50072—2021  冷库设计标准</w:t>
      </w:r>
    </w:p>
    <w:p>
      <w:pPr>
        <w:pStyle w:val="105"/>
        <w:spacing w:before="312" w:after="312"/>
      </w:pPr>
      <w:bookmarkStart w:id="43" w:name="_Toc147763142"/>
      <w:r>
        <w:rPr>
          <w:rFonts w:hint="eastAsia"/>
          <w:szCs w:val="21"/>
        </w:rPr>
        <w:t>术语和定义</w:t>
      </w:r>
      <w:bookmarkEnd w:id="43"/>
    </w:p>
    <w:sdt>
      <w:sdtPr>
        <w:id w:val="-1"/>
        <w:placeholder>
          <w:docPart w:val="626348E8D7894434A3879F55A2D1AC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4" w:name="_Toc26986532"/>
          <w:bookmarkEnd w:id="44"/>
          <w:r>
            <w:rPr>
              <w:rFonts w:hint="eastAsia"/>
            </w:rP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智慧仓库  smart war</w:t>
      </w:r>
      <w:r>
        <w:rPr>
          <w:rFonts w:ascii="黑体" w:hAnsi="黑体" w:eastAsia="黑体"/>
        </w:rPr>
        <w:t>e</w:t>
      </w:r>
      <w:r>
        <w:rPr>
          <w:rFonts w:hint="eastAsia" w:ascii="黑体" w:hAnsi="黑体" w:eastAsia="黑体"/>
        </w:rPr>
        <w:t>house</w:t>
      </w:r>
    </w:p>
    <w:p>
      <w:pPr>
        <w:pStyle w:val="57"/>
        <w:ind w:firstLine="420"/>
      </w:pPr>
      <w:r>
        <w:rPr>
          <w:rFonts w:hint="eastAsia"/>
        </w:rPr>
        <w:t>以仓储服务和仓库管理活动为基础，应用集成信息系统、智能传感器和自动化、智能化设施设备，以及物联网、人工智能、大数据、云计算等相关技术，实现出入库管理、拣选管理、空间管理、设备设施管理和环境控制的自动化、智能化，并为运营管理活动提供决策优化的仓库。</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低碳仓库  low carbon warehouse</w:t>
      </w:r>
    </w:p>
    <w:p>
      <w:pPr>
        <w:pStyle w:val="57"/>
        <w:ind w:firstLine="420"/>
      </w:pPr>
      <w:r>
        <w:rPr>
          <w:rFonts w:hint="eastAsia"/>
        </w:rPr>
        <w:t>采用先进低碳节能、可持续的策略和管理手段，优化仓储和物流操作，以降低对环境的影响并提高资源效率</w:t>
      </w:r>
      <w:r>
        <w:rPr>
          <w:rFonts w:hint="eastAsia"/>
          <w:color w:val="auto"/>
        </w:rPr>
        <w:t>的</w:t>
      </w:r>
      <w:r>
        <w:rPr>
          <w:rFonts w:hint="eastAsia"/>
          <w:color w:val="auto"/>
          <w:lang w:eastAsia="zh-CN"/>
        </w:rPr>
        <w:t>仓库</w:t>
      </w:r>
      <w:r>
        <w:rPr>
          <w:rFonts w:hint="eastAsia"/>
          <w:color w:val="auto"/>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通用仓库  general warehouse</w:t>
      </w:r>
    </w:p>
    <w:p>
      <w:pPr>
        <w:pStyle w:val="57"/>
        <w:ind w:firstLine="420"/>
      </w:pPr>
      <w:r>
        <w:rPr>
          <w:rFonts w:hint="eastAsia"/>
        </w:rPr>
        <w:t>除储存冷藏冷冻货物、危险货物等有特殊要求的仓库外，能满足一般货物储存要求的仓库。</w:t>
      </w:r>
    </w:p>
    <w:p>
      <w:pPr>
        <w:pStyle w:val="57"/>
        <w:ind w:firstLine="420"/>
      </w:pPr>
      <w:r>
        <w:rPr>
          <w:rFonts w:hint="eastAsia"/>
        </w:rPr>
        <w:t>[来源: GB/T 21072—2021，3.2，有修改]</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冷库  cold store</w:t>
      </w:r>
    </w:p>
    <w:p>
      <w:pPr>
        <w:pStyle w:val="57"/>
        <w:ind w:firstLine="420"/>
      </w:pPr>
      <w:r>
        <w:rPr>
          <w:rFonts w:hint="eastAsia"/>
        </w:rPr>
        <w:t>采用人工制冷降温并具有保冷功能的仓储建筑，包括库房、制冷机房、变配电间等。</w:t>
      </w:r>
    </w:p>
    <w:p>
      <w:pPr>
        <w:pStyle w:val="57"/>
        <w:ind w:firstLine="420"/>
      </w:pPr>
      <w:r>
        <w:rPr>
          <w:rFonts w:hint="eastAsia"/>
        </w:rPr>
        <w:t>[来源: GB 50072—2021，2.0.1]</w:t>
      </w:r>
    </w:p>
    <w:p>
      <w:pPr>
        <w:pStyle w:val="105"/>
        <w:spacing w:before="312" w:after="312"/>
      </w:pPr>
      <w:bookmarkStart w:id="45" w:name="_Toc147763143"/>
      <w:r>
        <w:rPr>
          <w:rFonts w:hint="eastAsia"/>
        </w:rPr>
        <w:t>缩略语</w:t>
      </w:r>
      <w:bookmarkEnd w:id="45"/>
    </w:p>
    <w:p>
      <w:pPr>
        <w:pStyle w:val="57"/>
        <w:ind w:firstLine="420"/>
      </w:pPr>
      <w:r>
        <w:rPr>
          <w:rFonts w:hint="eastAsia"/>
        </w:rPr>
        <w:t>下列缩略语适用于本文件。</w:t>
      </w:r>
    </w:p>
    <w:p>
      <w:pPr>
        <w:pStyle w:val="175"/>
        <w:numPr>
          <w:ilvl w:val="0"/>
          <w:numId w:val="0"/>
        </w:numPr>
        <w:ind w:left="851" w:hanging="426"/>
      </w:pPr>
      <w:r>
        <w:rPr>
          <w:rFonts w:hint="eastAsia"/>
        </w:rPr>
        <w:t>ESG:环境、社会和治理(</w:t>
      </w:r>
      <w:r>
        <w:t>Environmental</w:t>
      </w:r>
      <w:r>
        <w:rPr>
          <w:rFonts w:hint="eastAsia"/>
        </w:rPr>
        <w:t>,</w:t>
      </w:r>
      <w:r>
        <w:t>Social and Governance</w:t>
      </w:r>
      <w:r>
        <w:rPr>
          <w:rFonts w:hint="eastAsia"/>
        </w:rPr>
        <w:t>）</w:t>
      </w:r>
    </w:p>
    <w:p>
      <w:pPr>
        <w:pStyle w:val="175"/>
        <w:numPr>
          <w:ilvl w:val="0"/>
          <w:numId w:val="0"/>
        </w:numPr>
        <w:ind w:left="851" w:hanging="426"/>
      </w:pPr>
      <w:r>
        <w:rPr>
          <w:rFonts w:hint="eastAsia"/>
        </w:rPr>
        <w:t>SBTi: 科学碳目标倡议</w:t>
      </w:r>
      <w:r>
        <w:t>(</w:t>
      </w:r>
      <w:r>
        <w:rPr>
          <w:rFonts w:hint="eastAsia"/>
        </w:rPr>
        <w:t>Science Based Targets initiative）</w:t>
      </w:r>
    </w:p>
    <w:p>
      <w:pPr>
        <w:pStyle w:val="175"/>
        <w:numPr>
          <w:ilvl w:val="0"/>
          <w:numId w:val="0"/>
        </w:numPr>
        <w:ind w:left="851" w:hanging="426"/>
      </w:pPr>
      <w:r>
        <w:rPr>
          <w:rFonts w:hint="eastAsia"/>
        </w:rPr>
        <w:t>T</w:t>
      </w:r>
      <w:r>
        <w:rPr>
          <w:rFonts w:hint="eastAsia"/>
          <w:lang w:val="en-US" w:eastAsia="zh-CN"/>
        </w:rPr>
        <w:t>C</w:t>
      </w:r>
      <w:r>
        <w:rPr>
          <w:rFonts w:hint="eastAsia"/>
        </w:rPr>
        <w:t>FD: 气候相关财务信息披露工作组</w:t>
      </w:r>
      <w:r>
        <w:t>(Task Force on Climate-Related Financial Disclosure</w:t>
      </w:r>
      <w:r>
        <w:rPr>
          <w:rFonts w:hint="eastAsia"/>
        </w:rPr>
        <w:t>）</w:t>
      </w:r>
    </w:p>
    <w:p>
      <w:pPr>
        <w:pStyle w:val="175"/>
        <w:numPr>
          <w:ilvl w:val="0"/>
          <w:numId w:val="0"/>
        </w:numPr>
        <w:ind w:left="851" w:hanging="426"/>
      </w:pPr>
      <w:r>
        <w:rPr>
          <w:rFonts w:hint="eastAsia"/>
        </w:rPr>
        <w:t>CDP: 碳信息披露项目</w:t>
      </w:r>
      <w:r>
        <w:t>(</w:t>
      </w:r>
      <w:r>
        <w:rPr>
          <w:rFonts w:hint="eastAsia"/>
        </w:rPr>
        <w:t>Carbon Disclosure Project）</w:t>
      </w:r>
    </w:p>
    <w:p>
      <w:pPr>
        <w:pStyle w:val="175"/>
        <w:numPr>
          <w:ilvl w:val="0"/>
          <w:numId w:val="0"/>
        </w:numPr>
        <w:ind w:left="851" w:hanging="426"/>
      </w:pPr>
      <w:r>
        <w:rPr>
          <w:rFonts w:hint="eastAsia"/>
        </w:rPr>
        <w:t>CCRE: 国家核证自愿减排量</w:t>
      </w:r>
      <w:r>
        <w:t>(</w:t>
      </w:r>
      <w:r>
        <w:rPr>
          <w:rFonts w:hint="eastAsia"/>
        </w:rPr>
        <w:t>Chinese Certified Emission Reduction）</w:t>
      </w:r>
    </w:p>
    <w:p>
      <w:pPr>
        <w:pStyle w:val="105"/>
        <w:spacing w:before="312" w:after="312"/>
      </w:pPr>
      <w:bookmarkStart w:id="46" w:name="_Toc147763144"/>
      <w:r>
        <w:rPr>
          <w:rFonts w:hint="eastAsia"/>
        </w:rPr>
        <w:t>基本要求</w:t>
      </w:r>
      <w:bookmarkEnd w:id="46"/>
    </w:p>
    <w:p>
      <w:pPr>
        <w:pStyle w:val="163"/>
        <w:rPr>
          <w:color w:val="auto"/>
        </w:rPr>
      </w:pPr>
      <w:r>
        <w:rPr>
          <w:rFonts w:hint="eastAsia"/>
        </w:rPr>
        <w:t>仓库用地应符合国家、广东省、深圳市</w:t>
      </w:r>
      <w:r>
        <w:rPr>
          <w:rFonts w:hint="eastAsia"/>
          <w:lang w:eastAsia="zh-CN"/>
        </w:rPr>
        <w:t>现行</w:t>
      </w:r>
      <w:r>
        <w:rPr>
          <w:rFonts w:hint="eastAsia"/>
          <w:color w:val="auto"/>
          <w:lang w:eastAsia="zh-CN"/>
        </w:rPr>
        <w:t>相关</w:t>
      </w:r>
      <w:r>
        <w:rPr>
          <w:rFonts w:hint="eastAsia"/>
          <w:color w:val="auto"/>
        </w:rPr>
        <w:t>法律法规</w:t>
      </w:r>
      <w:r>
        <w:rPr>
          <w:rFonts w:hint="eastAsia"/>
          <w:color w:val="auto"/>
          <w:lang w:eastAsia="zh-CN"/>
        </w:rPr>
        <w:t>及</w:t>
      </w:r>
      <w:r>
        <w:rPr>
          <w:rFonts w:hint="eastAsia"/>
          <w:color w:val="auto"/>
        </w:rPr>
        <w:t>规章</w:t>
      </w:r>
      <w:r>
        <w:rPr>
          <w:rFonts w:hint="eastAsia"/>
          <w:color w:val="auto"/>
          <w:lang w:eastAsia="zh-CN"/>
        </w:rPr>
        <w:t>对</w:t>
      </w:r>
      <w:r>
        <w:rPr>
          <w:rFonts w:hint="eastAsia"/>
          <w:color w:val="auto"/>
        </w:rPr>
        <w:t>土地使用的要求。</w:t>
      </w:r>
    </w:p>
    <w:p>
      <w:pPr>
        <w:pStyle w:val="106"/>
        <w:spacing w:beforeLines="0" w:afterLines="0"/>
        <w:rPr>
          <w:rFonts w:ascii="宋体" w:eastAsia="宋体"/>
          <w:color w:val="auto"/>
        </w:rPr>
      </w:pPr>
      <w:bookmarkStart w:id="47" w:name="_Toc147763145"/>
      <w:r>
        <w:rPr>
          <w:rFonts w:hint="eastAsia" w:ascii="宋体" w:eastAsia="宋体"/>
          <w:color w:val="auto"/>
        </w:rPr>
        <w:t>仓库的设计、建设、运营应符合国家、广东省、深圳市</w:t>
      </w:r>
      <w:r>
        <w:rPr>
          <w:rFonts w:hint="eastAsia" w:ascii="宋体" w:eastAsia="宋体"/>
          <w:color w:val="auto"/>
          <w:lang w:eastAsia="zh-CN"/>
        </w:rPr>
        <w:t>现行相关</w:t>
      </w:r>
      <w:r>
        <w:rPr>
          <w:rFonts w:hint="eastAsia" w:ascii="宋体" w:eastAsia="宋体"/>
          <w:color w:val="auto"/>
        </w:rPr>
        <w:t>法律法规</w:t>
      </w:r>
      <w:r>
        <w:rPr>
          <w:rFonts w:hint="eastAsia" w:ascii="宋体" w:eastAsia="宋体"/>
          <w:color w:val="auto"/>
          <w:lang w:eastAsia="zh-CN"/>
        </w:rPr>
        <w:t>及</w:t>
      </w:r>
      <w:r>
        <w:rPr>
          <w:rFonts w:hint="eastAsia" w:ascii="宋体" w:eastAsia="宋体"/>
          <w:color w:val="auto"/>
        </w:rPr>
        <w:t>规章</w:t>
      </w:r>
      <w:r>
        <w:rPr>
          <w:rFonts w:hint="eastAsia" w:ascii="宋体" w:eastAsia="宋体"/>
          <w:color w:val="auto"/>
          <w:lang w:eastAsia="zh-CN"/>
        </w:rPr>
        <w:t>对</w:t>
      </w:r>
      <w:r>
        <w:rPr>
          <w:rFonts w:hint="eastAsia" w:ascii="宋体" w:eastAsia="宋体"/>
          <w:color w:val="auto"/>
        </w:rPr>
        <w:t>环境保护、建筑消防安全</w:t>
      </w:r>
      <w:r>
        <w:rPr>
          <w:rFonts w:hint="eastAsia" w:ascii="宋体" w:eastAsia="宋体"/>
          <w:color w:val="auto"/>
          <w:lang w:eastAsia="zh-CN"/>
        </w:rPr>
        <w:t>、</w:t>
      </w:r>
      <w:r>
        <w:rPr>
          <w:rFonts w:hint="eastAsia" w:ascii="宋体" w:eastAsia="宋体"/>
          <w:color w:val="auto"/>
        </w:rPr>
        <w:t>生产安全的要求。</w:t>
      </w:r>
      <w:bookmarkEnd w:id="47"/>
    </w:p>
    <w:p>
      <w:pPr>
        <w:pStyle w:val="106"/>
        <w:spacing w:beforeLines="0" w:afterLines="0"/>
        <w:rPr>
          <w:rFonts w:ascii="宋体" w:eastAsia="宋体"/>
        </w:rPr>
      </w:pPr>
      <w:bookmarkStart w:id="48" w:name="_Toc147763146"/>
      <w:r>
        <w:rPr>
          <w:rFonts w:hint="eastAsia" w:ascii="宋体" w:eastAsia="宋体"/>
          <w:color w:val="auto"/>
        </w:rPr>
        <w:t>仓库的设计</w:t>
      </w:r>
      <w:r>
        <w:rPr>
          <w:rFonts w:hint="eastAsia" w:ascii="宋体" w:eastAsia="宋体"/>
          <w:color w:val="auto"/>
          <w:lang w:eastAsia="zh-CN"/>
        </w:rPr>
        <w:t>应</w:t>
      </w:r>
      <w:r>
        <w:rPr>
          <w:rFonts w:hint="eastAsia" w:ascii="宋体" w:eastAsia="宋体"/>
          <w:color w:val="auto"/>
        </w:rPr>
        <w:t>符合国家、广东省、深圳市</w:t>
      </w:r>
      <w:r>
        <w:rPr>
          <w:rFonts w:hint="eastAsia" w:ascii="宋体" w:eastAsia="宋体"/>
          <w:color w:val="auto"/>
          <w:lang w:eastAsia="zh-CN"/>
        </w:rPr>
        <w:t>现行</w:t>
      </w:r>
      <w:r>
        <w:rPr>
          <w:rFonts w:hint="eastAsia" w:ascii="宋体" w:eastAsia="宋体"/>
          <w:color w:val="auto"/>
        </w:rPr>
        <w:t>相关法律法规</w:t>
      </w:r>
      <w:r>
        <w:rPr>
          <w:rFonts w:hint="eastAsia" w:ascii="宋体" w:eastAsia="宋体"/>
          <w:color w:val="auto"/>
          <w:lang w:eastAsia="zh-CN"/>
        </w:rPr>
        <w:t>及</w:t>
      </w:r>
      <w:r>
        <w:rPr>
          <w:rFonts w:hint="eastAsia" w:ascii="宋体" w:eastAsia="宋体"/>
          <w:color w:val="auto"/>
        </w:rPr>
        <w:t>规章</w:t>
      </w:r>
      <w:r>
        <w:rPr>
          <w:rFonts w:hint="eastAsia" w:ascii="宋体" w:eastAsia="宋体"/>
          <w:color w:val="auto"/>
          <w:lang w:eastAsia="zh-CN"/>
        </w:rPr>
        <w:t>对仓库</w:t>
      </w:r>
      <w:r>
        <w:rPr>
          <w:rFonts w:hint="eastAsia" w:ascii="宋体" w:eastAsia="宋体"/>
          <w:color w:val="auto"/>
        </w:rPr>
        <w:t>设计</w:t>
      </w:r>
      <w:r>
        <w:rPr>
          <w:rFonts w:hint="eastAsia" w:ascii="宋体" w:eastAsia="宋体"/>
        </w:rPr>
        <w:t>规范</w:t>
      </w:r>
      <w:r>
        <w:rPr>
          <w:rFonts w:hint="eastAsia" w:ascii="宋体" w:eastAsia="宋体"/>
          <w:lang w:eastAsia="zh-CN"/>
        </w:rPr>
        <w:t>的</w:t>
      </w:r>
      <w:r>
        <w:rPr>
          <w:rFonts w:hint="eastAsia" w:ascii="宋体" w:eastAsia="宋体"/>
        </w:rPr>
        <w:t>要求。</w:t>
      </w:r>
      <w:bookmarkEnd w:id="48"/>
    </w:p>
    <w:p>
      <w:pPr>
        <w:pStyle w:val="106"/>
        <w:spacing w:beforeLines="0" w:afterLines="0"/>
        <w:rPr>
          <w:rFonts w:ascii="宋体" w:eastAsia="宋体"/>
        </w:rPr>
      </w:pPr>
      <w:bookmarkStart w:id="49" w:name="_Toc147763148"/>
      <w:r>
        <w:rPr>
          <w:rFonts w:hint="eastAsia" w:ascii="宋体" w:eastAsia="宋体"/>
          <w:lang w:eastAsia="zh-CN"/>
        </w:rPr>
        <w:t>智慧低碳</w:t>
      </w:r>
      <w:r>
        <w:rPr>
          <w:rFonts w:hint="eastAsia" w:ascii="宋体" w:eastAsia="宋体"/>
        </w:rPr>
        <w:t>仓库</w:t>
      </w:r>
      <w:r>
        <w:rPr>
          <w:rFonts w:hint="eastAsia" w:ascii="宋体" w:eastAsia="宋体"/>
          <w:lang w:eastAsia="zh-CN"/>
        </w:rPr>
        <w:t>的综合能耗和智慧化水平应优于同类常规仓库</w:t>
      </w:r>
      <w:r>
        <w:rPr>
          <w:rFonts w:hint="eastAsia" w:ascii="宋体" w:eastAsia="宋体"/>
        </w:rPr>
        <w:t>。</w:t>
      </w:r>
    </w:p>
    <w:p>
      <w:pPr>
        <w:pStyle w:val="105"/>
        <w:spacing w:before="312" w:after="312"/>
      </w:pPr>
      <w:r>
        <w:rPr>
          <w:rFonts w:hint="eastAsia"/>
        </w:rPr>
        <w:t>评价指标</w:t>
      </w:r>
      <w:bookmarkEnd w:id="49"/>
    </w:p>
    <w:p>
      <w:pPr>
        <w:pStyle w:val="165"/>
        <w:numPr>
          <w:ilvl w:val="0"/>
          <w:numId w:val="0"/>
        </w:numPr>
        <w:ind w:left="420"/>
      </w:pPr>
      <w:r>
        <w:rPr>
          <w:rFonts w:hint="eastAsia"/>
        </w:rPr>
        <w:t>智慧低碳通用仓库评价指标见附录A，智慧低碳冷库评价指标见附录B。</w:t>
      </w:r>
    </w:p>
    <w:p>
      <w:pPr>
        <w:pStyle w:val="105"/>
        <w:spacing w:before="312" w:after="312"/>
      </w:pPr>
      <w:bookmarkStart w:id="50" w:name="_Toc147763149"/>
      <w:r>
        <w:rPr>
          <w:rFonts w:hint="eastAsia"/>
        </w:rPr>
        <w:t>评价方法及级别划分</w:t>
      </w:r>
      <w:bookmarkEnd w:id="50"/>
    </w:p>
    <w:p>
      <w:pPr>
        <w:pStyle w:val="106"/>
        <w:spacing w:before="156" w:after="156"/>
      </w:pPr>
      <w:bookmarkStart w:id="51" w:name="_Toc17555"/>
      <w:bookmarkStart w:id="52" w:name="_Toc142032977"/>
      <w:bookmarkStart w:id="53" w:name="_Toc147763150"/>
      <w:bookmarkStart w:id="54" w:name="_Toc142556844"/>
      <w:bookmarkStart w:id="55" w:name="_Toc142033785"/>
      <w:r>
        <w:rPr>
          <w:rFonts w:hint="eastAsia"/>
        </w:rPr>
        <w:t>评价程序</w:t>
      </w:r>
      <w:bookmarkEnd w:id="51"/>
      <w:bookmarkEnd w:id="52"/>
      <w:bookmarkEnd w:id="53"/>
      <w:bookmarkEnd w:id="54"/>
      <w:bookmarkEnd w:id="55"/>
    </w:p>
    <w:p>
      <w:pPr>
        <w:pStyle w:val="175"/>
        <w:numPr>
          <w:ilvl w:val="0"/>
          <w:numId w:val="32"/>
        </w:numPr>
      </w:pPr>
      <w:r>
        <w:rPr>
          <w:rFonts w:hint="eastAsia"/>
        </w:rPr>
        <w:t>评价对象向评价主体提出申请；</w:t>
      </w:r>
    </w:p>
    <w:p>
      <w:pPr>
        <w:pStyle w:val="175"/>
      </w:pPr>
      <w:r>
        <w:rPr>
          <w:rFonts w:hint="eastAsia"/>
        </w:rPr>
        <w:t>评价主体接受申请，并判断是否满足基本要求；</w:t>
      </w:r>
    </w:p>
    <w:p>
      <w:pPr>
        <w:pStyle w:val="175"/>
      </w:pPr>
      <w:r>
        <w:rPr>
          <w:rFonts w:hint="eastAsia"/>
        </w:rPr>
        <w:t xml:space="preserve">评价主体组织专家组进行评价； </w:t>
      </w:r>
    </w:p>
    <w:p>
      <w:pPr>
        <w:pStyle w:val="175"/>
      </w:pPr>
      <w:r>
        <w:rPr>
          <w:rFonts w:hint="eastAsia"/>
        </w:rPr>
        <w:t>评价主体按照评价指标出具评价结论。</w:t>
      </w:r>
    </w:p>
    <w:p>
      <w:pPr>
        <w:pStyle w:val="106"/>
        <w:spacing w:before="156" w:after="156"/>
      </w:pPr>
      <w:bookmarkStart w:id="56" w:name="_Toc147763151"/>
      <w:bookmarkStart w:id="57" w:name="_Toc142032978"/>
      <w:bookmarkStart w:id="58" w:name="_Toc27442"/>
      <w:bookmarkStart w:id="59" w:name="_Toc142556845"/>
      <w:bookmarkStart w:id="60" w:name="_Toc142033786"/>
      <w:r>
        <w:rPr>
          <w:rFonts w:hint="eastAsia"/>
        </w:rPr>
        <w:t>评价方法</w:t>
      </w:r>
      <w:bookmarkEnd w:id="56"/>
      <w:bookmarkEnd w:id="57"/>
      <w:bookmarkEnd w:id="58"/>
      <w:bookmarkEnd w:id="59"/>
      <w:bookmarkEnd w:id="60"/>
    </w:p>
    <w:p>
      <w:pPr>
        <w:pStyle w:val="165"/>
        <w:numPr>
          <w:ilvl w:val="0"/>
          <w:numId w:val="0"/>
        </w:numPr>
        <w:ind w:left="420"/>
      </w:pPr>
      <w:r>
        <w:rPr>
          <w:rFonts w:hint="eastAsia"/>
        </w:rPr>
        <w:t>通过文件审查、现场检查、考评打分的方式进行。</w:t>
      </w:r>
    </w:p>
    <w:p>
      <w:pPr>
        <w:pStyle w:val="106"/>
        <w:spacing w:before="156" w:after="156"/>
      </w:pPr>
      <w:bookmarkStart w:id="61" w:name="_Toc142556846"/>
      <w:bookmarkStart w:id="62" w:name="_Toc12448"/>
      <w:bookmarkStart w:id="63" w:name="_Toc142032979"/>
      <w:bookmarkStart w:id="64" w:name="_Toc147763152"/>
      <w:bookmarkStart w:id="65" w:name="_Toc142033787"/>
      <w:r>
        <w:rPr>
          <w:rFonts w:hint="eastAsia"/>
        </w:rPr>
        <w:t>评级划分</w:t>
      </w:r>
      <w:bookmarkEnd w:id="61"/>
      <w:bookmarkEnd w:id="62"/>
      <w:bookmarkEnd w:id="63"/>
      <w:bookmarkEnd w:id="64"/>
      <w:bookmarkEnd w:id="65"/>
    </w:p>
    <w:p>
      <w:pPr>
        <w:pStyle w:val="165"/>
        <w:numPr>
          <w:ilvl w:val="0"/>
          <w:numId w:val="0"/>
        </w:numPr>
        <w:ind w:firstLine="420" w:firstLineChars="200"/>
        <w:rPr>
          <w:color w:val="auto"/>
        </w:rPr>
      </w:pPr>
      <w:r>
        <w:rPr>
          <w:rFonts w:hint="eastAsia"/>
        </w:rPr>
        <w:t>智慧低碳通用仓库和智慧低碳冷库指标评分均采用百</w:t>
      </w:r>
      <w:r>
        <w:rPr>
          <w:rFonts w:hint="eastAsia"/>
          <w:color w:val="auto"/>
        </w:rPr>
        <w:t>分制，评估结果分为</w:t>
      </w:r>
      <w:r>
        <w:rPr>
          <w:rFonts w:hint="eastAsia"/>
          <w:color w:val="auto"/>
          <w:lang w:val="en-US" w:eastAsia="zh-CN"/>
        </w:rPr>
        <w:t>NR级、</w:t>
      </w:r>
      <w:r>
        <w:rPr>
          <w:rFonts w:hint="eastAsia"/>
          <w:color w:val="auto"/>
        </w:rPr>
        <w:t>二星级、三星级、四星级、五星级</w:t>
      </w:r>
      <w:r>
        <w:rPr>
          <w:rFonts w:hint="eastAsia"/>
          <w:color w:val="auto"/>
          <w:lang w:eastAsia="zh-CN"/>
        </w:rPr>
        <w:t>五</w:t>
      </w:r>
      <w:r>
        <w:rPr>
          <w:rFonts w:hint="eastAsia"/>
          <w:color w:val="auto"/>
        </w:rPr>
        <w:t>个等级：</w:t>
      </w:r>
    </w:p>
    <w:p>
      <w:pPr>
        <w:pStyle w:val="175"/>
        <w:numPr>
          <w:ilvl w:val="0"/>
          <w:numId w:val="33"/>
        </w:numPr>
        <w:rPr>
          <w:color w:val="auto"/>
        </w:rPr>
      </w:pPr>
      <w:r>
        <w:rPr>
          <w:rFonts w:hint="eastAsia"/>
          <w:color w:val="auto"/>
          <w:lang w:eastAsia="zh-CN"/>
        </w:rPr>
        <w:t>综合评分</w:t>
      </w:r>
      <w:r>
        <w:rPr>
          <w:rFonts w:hint="eastAsia"/>
          <w:color w:val="auto"/>
        </w:rPr>
        <w:t>6</w:t>
      </w:r>
      <w:r>
        <w:rPr>
          <w:rFonts w:hint="eastAsia"/>
          <w:color w:val="auto"/>
          <w:lang w:val="en-US" w:eastAsia="zh-CN"/>
        </w:rPr>
        <w:t>0</w:t>
      </w:r>
      <w:r>
        <w:rPr>
          <w:rFonts w:hint="eastAsia"/>
          <w:color w:val="auto"/>
        </w:rPr>
        <w:t>分以下为NR级（NR级为未获得评级）</w:t>
      </w:r>
      <w:r>
        <w:rPr>
          <w:rFonts w:hint="eastAsia"/>
          <w:color w:val="auto"/>
          <w:lang w:eastAsia="zh-CN"/>
        </w:rPr>
        <w:t>；</w:t>
      </w:r>
    </w:p>
    <w:p>
      <w:pPr>
        <w:pStyle w:val="175"/>
        <w:numPr>
          <w:ilvl w:val="0"/>
          <w:numId w:val="33"/>
        </w:numPr>
      </w:pPr>
      <w:r>
        <w:rPr>
          <w:rFonts w:hint="eastAsia"/>
        </w:rPr>
        <w:t>二星级智慧低碳仓库：60分≤综合评分＜70分；</w:t>
      </w:r>
    </w:p>
    <w:p>
      <w:pPr>
        <w:pStyle w:val="175"/>
      </w:pPr>
      <w:r>
        <w:rPr>
          <w:rFonts w:hint="eastAsia"/>
        </w:rPr>
        <w:t>三星级智慧低碳仓库：70分≤综合评分＜80分；</w:t>
      </w:r>
    </w:p>
    <w:p>
      <w:pPr>
        <w:pStyle w:val="175"/>
      </w:pPr>
      <w:r>
        <w:rPr>
          <w:rFonts w:hint="eastAsia"/>
        </w:rPr>
        <w:t>四星级智慧低碳仓库：80分≤综合评分＜90分；</w:t>
      </w:r>
    </w:p>
    <w:p>
      <w:pPr>
        <w:pStyle w:val="175"/>
      </w:pPr>
      <w:r>
        <w:rPr>
          <w:rFonts w:hint="eastAsia"/>
        </w:rPr>
        <w:t>五星级智慧低碳仓库：90分≤综合评分。</w:t>
      </w:r>
    </w:p>
    <w:p>
      <w:pPr>
        <w:pStyle w:val="106"/>
        <w:spacing w:before="156" w:after="156"/>
      </w:pPr>
      <w:bookmarkStart w:id="66" w:name="_Toc142032980"/>
      <w:bookmarkStart w:id="67" w:name="_Toc142033788"/>
      <w:bookmarkStart w:id="68" w:name="_Toc147763153"/>
      <w:bookmarkStart w:id="69" w:name="_Toc142556847"/>
      <w:bookmarkStart w:id="70" w:name="_Toc26345"/>
      <w:r>
        <w:rPr>
          <w:rFonts w:hint="eastAsia"/>
        </w:rPr>
        <w:t>评价结果的时效及应用</w:t>
      </w:r>
      <w:bookmarkEnd w:id="66"/>
      <w:bookmarkEnd w:id="67"/>
      <w:bookmarkEnd w:id="68"/>
      <w:bookmarkEnd w:id="69"/>
      <w:bookmarkEnd w:id="70"/>
    </w:p>
    <w:p>
      <w:pPr>
        <w:pStyle w:val="165"/>
        <w:numPr>
          <w:ilvl w:val="0"/>
          <w:numId w:val="0"/>
        </w:numPr>
        <w:ind w:firstLine="420" w:firstLineChars="200"/>
        <w:rPr>
          <w:rFonts w:hAnsi="宋体"/>
          <w:color w:val="000000"/>
          <w:sz w:val="18"/>
          <w:szCs w:val="18"/>
        </w:rPr>
      </w:pPr>
      <w:r>
        <w:rPr>
          <w:rFonts w:hint="eastAsia"/>
        </w:rPr>
        <w:t>评价结果有效期3年。被评估企业应根据评价结果来判定自身仓库运营在低碳智慧的工作成效，并采取改进措施，以实现环境绩效和智能化升级的持续改进。</w:t>
      </w:r>
    </w:p>
    <w:p>
      <w:pPr>
        <w:pStyle w:val="2"/>
        <w:sectPr>
          <w:pgSz w:w="11906" w:h="16838"/>
          <w:pgMar w:top="2410" w:right="1134" w:bottom="1134" w:left="1134" w:header="1418" w:footer="1134" w:gutter="284"/>
          <w:pgNumType w:start="1"/>
          <w:cols w:space="425" w:num="1"/>
          <w:formProt w:val="0"/>
          <w:docGrid w:type="lines" w:linePitch="312" w:charSpace="0"/>
        </w:sectPr>
      </w:pPr>
    </w:p>
    <w:bookmarkEnd w:id="23"/>
    <w:p>
      <w:pPr>
        <w:pStyle w:val="199"/>
        <w:rPr>
          <w:vanish w:val="0"/>
        </w:rPr>
      </w:pPr>
      <w:bookmarkStart w:id="71" w:name="BookMark5"/>
    </w:p>
    <w:p>
      <w:pPr>
        <w:pStyle w:val="200"/>
        <w:rPr>
          <w:vanish w:val="0"/>
        </w:rPr>
      </w:pPr>
    </w:p>
    <w:p>
      <w:pPr>
        <w:pStyle w:val="77"/>
        <w:spacing w:before="78" w:after="156"/>
        <w:ind w:left="0"/>
      </w:pPr>
      <w:r>
        <w:br w:type="textWrapping"/>
      </w:r>
      <w:bookmarkStart w:id="72" w:name="_Toc147763154"/>
      <w:r>
        <w:rPr>
          <w:rFonts w:hint="eastAsia"/>
        </w:rPr>
        <w:t>（资料性）</w:t>
      </w:r>
      <w:r>
        <w:br w:type="textWrapping"/>
      </w:r>
      <w:r>
        <w:rPr>
          <w:rFonts w:hint="eastAsia"/>
        </w:rPr>
        <w:t>智慧低碳通用仓库评价指标</w:t>
      </w:r>
      <w:bookmarkEnd w:id="72"/>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637"/>
        <w:gridCol w:w="708"/>
        <w:gridCol w:w="6017"/>
      </w:tblGrid>
      <w:tr>
        <w:tc>
          <w:tcPr>
            <w:tcW w:w="62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分类指标</w:t>
            </w:r>
          </w:p>
        </w:tc>
        <w:tc>
          <w:tcPr>
            <w:tcW w:w="85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分项指标</w:t>
            </w:r>
          </w:p>
        </w:tc>
        <w:tc>
          <w:tcPr>
            <w:tcW w:w="370"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分值</w:t>
            </w:r>
          </w:p>
        </w:tc>
        <w:tc>
          <w:tcPr>
            <w:tcW w:w="314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评分标准</w:t>
            </w:r>
          </w:p>
        </w:tc>
      </w:tr>
      <w:tr>
        <w:tc>
          <w:tcPr>
            <w:tcW w:w="626" w:type="pct"/>
            <w:vMerge w:val="restar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规划设计</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（10分）</w:t>
            </w: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库房空间布局</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.物流线路短捷顺畅，货物搬运无线路迂回、交叉、逆向等，得</w:t>
            </w:r>
            <w:r>
              <w:rPr>
                <w:rFonts w:hint="eastAsia" w:ascii="宋体" w:hAnsi="宋体"/>
                <w:color w:val="000000" w:themeColor="text1"/>
                <w:sz w:val="18"/>
                <w:szCs w:val="18"/>
                <w14:textFill>
                  <w14:solidFill>
                    <w14:schemeClr w14:val="tx1"/>
                  </w14:solidFill>
                </w14:textFill>
              </w:rPr>
              <w:t>5</w:t>
            </w:r>
            <w:r>
              <w:rPr>
                <w:rFonts w:ascii="宋体" w:hAnsi="宋体"/>
                <w:color w:val="000000" w:themeColor="text1"/>
                <w:sz w:val="18"/>
                <w:szCs w:val="18"/>
                <w14:textFill>
                  <w14:solidFill>
                    <w14:schemeClr w14:val="tx1"/>
                  </w14:solidFill>
                </w14:textFill>
              </w:rPr>
              <w:t>分；</w:t>
            </w:r>
            <w:r>
              <w:rPr>
                <w:rFonts w:ascii="宋体" w:hAnsi="宋体"/>
                <w:color w:val="000000" w:themeColor="text1"/>
                <w:sz w:val="18"/>
                <w:szCs w:val="18"/>
                <w14:textFill>
                  <w14:solidFill>
                    <w14:schemeClr w14:val="tx1"/>
                  </w14:solidFill>
                </w14:textFill>
              </w:rPr>
              <w:br w:type="textWrapping"/>
            </w:r>
            <w:r>
              <w:rPr>
                <w:rFonts w:ascii="宋体" w:hAnsi="宋体"/>
                <w:color w:val="000000" w:themeColor="text1"/>
                <w:sz w:val="18"/>
                <w:szCs w:val="18"/>
                <w14:textFill>
                  <w14:solidFill>
                    <w14:schemeClr w14:val="tx1"/>
                  </w14:solidFill>
                </w14:textFill>
              </w:rPr>
              <w:t>2</w:t>
            </w:r>
            <w:r>
              <w:rPr>
                <w:rFonts w:ascii="宋体" w:hAnsi="宋体"/>
                <w:color w:val="auto"/>
                <w:sz w:val="18"/>
                <w:szCs w:val="18"/>
              </w:rPr>
              <w:t>.</w:t>
            </w:r>
            <w:r>
              <w:rPr>
                <w:rFonts w:hint="eastAsia" w:ascii="宋体" w:hAnsi="宋体"/>
                <w:color w:val="auto"/>
                <w:sz w:val="18"/>
                <w:szCs w:val="18"/>
              </w:rPr>
              <w:t>操作区域应考虑人员流动和自动化设备行驶路径的便捷性，以提高工作效率</w:t>
            </w:r>
            <w:r>
              <w:rPr>
                <w:rFonts w:hint="eastAsia" w:ascii="宋体" w:hAnsi="宋体"/>
                <w:color w:val="auto"/>
                <w:sz w:val="18"/>
                <w:szCs w:val="18"/>
                <w:lang w:val="en-US" w:eastAsia="zh-CN"/>
              </w:rPr>
              <w:t>,</w:t>
            </w:r>
            <w:r>
              <w:rPr>
                <w:rFonts w:hint="eastAsia" w:ascii="宋体" w:hAnsi="宋体"/>
                <w:color w:val="auto"/>
                <w:sz w:val="18"/>
                <w:szCs w:val="18"/>
              </w:rPr>
              <w:t>或实现人机分区作业</w:t>
            </w:r>
            <w:r>
              <w:rPr>
                <w:rFonts w:ascii="宋体" w:hAnsi="宋体"/>
                <w:color w:val="auto"/>
                <w:sz w:val="18"/>
                <w:szCs w:val="18"/>
              </w:rPr>
              <w:t>，得</w:t>
            </w:r>
            <w:r>
              <w:rPr>
                <w:rFonts w:hint="eastAsia" w:ascii="宋体" w:hAnsi="宋体"/>
                <w:color w:val="auto"/>
                <w:sz w:val="18"/>
                <w:szCs w:val="18"/>
              </w:rPr>
              <w:t>3</w:t>
            </w:r>
            <w:r>
              <w:rPr>
                <w:rFonts w:ascii="宋体" w:hAnsi="宋体"/>
                <w:color w:val="auto"/>
                <w:sz w:val="18"/>
                <w:szCs w:val="18"/>
              </w:rPr>
              <w:t>分；</w:t>
            </w:r>
            <w:r>
              <w:rPr>
                <w:rFonts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.仓库入库、出库、存储的货物搬运及移动路线虽有重叠交叉，但已采取交通管制、作业分时等管理手段解决交叉问题，得1分</w:t>
            </w:r>
            <w:r>
              <w:rPr>
                <w:rFonts w:hint="eastAsia" w:ascii="宋体" w:hAnsi="宋体"/>
                <w:color w:val="000000" w:themeColor="text1"/>
                <w:sz w:val="18"/>
                <w:szCs w:val="18"/>
                <w14:textFill>
                  <w14:solidFill>
                    <w14:schemeClr w14:val="tx1"/>
                  </w14:solidFill>
                </w14:textFill>
              </w:rPr>
              <w:t>。</w:t>
            </w:r>
          </w:p>
        </w:tc>
      </w:tr>
      <w:tr>
        <w:trPr>
          <w:trHeight w:val="789" w:hRule="atLeast"/>
        </w:trPr>
        <w:tc>
          <w:tcPr>
            <w:tcW w:w="626" w:type="pct"/>
            <w:vMerge w:val="continue"/>
            <w:vAlign w:val="center"/>
          </w:tcPr>
          <w:p>
            <w:pPr>
              <w:spacing w:line="240" w:lineRule="auto"/>
              <w:jc w:val="left"/>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仓库容积利用率</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仓库容积利用率A=仓库货架存储空间m³</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仓库总容积空间m³，A≥75%，得</w:t>
            </w:r>
            <w:r>
              <w:rPr>
                <w:rFonts w:hint="eastAsia" w:ascii="宋体" w:hAnsi="宋体"/>
                <w:color w:val="000000" w:themeColor="text1"/>
                <w:sz w:val="18"/>
                <w:szCs w:val="18"/>
                <w14:textFill>
                  <w14:solidFill>
                    <w14:schemeClr w14:val="tx1"/>
                  </w14:solidFill>
                </w14:textFill>
              </w:rPr>
              <w:t>5</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lang w:eastAsia="zh-CN"/>
                <w14:textFill>
                  <w14:solidFill>
                    <w14:schemeClr w14:val="tx1"/>
                  </w14:solidFill>
                </w14:textFill>
              </w:rPr>
              <w:t>；</w:t>
            </w:r>
            <w:r>
              <w:rPr>
                <w:rFonts w:ascii="宋体" w:hAnsi="宋体"/>
                <w:color w:val="000000" w:themeColor="text1"/>
                <w:sz w:val="18"/>
                <w:szCs w:val="18"/>
                <w14:textFill>
                  <w14:solidFill>
                    <w14:schemeClr w14:val="tx1"/>
                  </w14:solidFill>
                </w14:textFill>
              </w:rPr>
              <w:t>75%＞A≥60%，得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lang w:eastAsia="zh-CN"/>
                <w14:textFill>
                  <w14:solidFill>
                    <w14:schemeClr w14:val="tx1"/>
                  </w14:solidFill>
                </w14:textFill>
              </w:rPr>
              <w:t>；</w:t>
            </w:r>
            <w:r>
              <w:rPr>
                <w:rFonts w:ascii="宋体" w:hAnsi="宋体"/>
                <w:color w:val="000000" w:themeColor="text1"/>
                <w:sz w:val="18"/>
                <w:szCs w:val="18"/>
                <w14:textFill>
                  <w14:solidFill>
                    <w14:schemeClr w14:val="tx1"/>
                  </w14:solidFill>
                </w14:textFill>
              </w:rPr>
              <w:t>60%＞A≥50%，得1分</w:t>
            </w:r>
            <w:r>
              <w:rPr>
                <w:rFonts w:hint="eastAsia" w:ascii="宋体" w:hAnsi="宋体"/>
                <w:color w:val="000000" w:themeColor="text1"/>
                <w:sz w:val="18"/>
                <w:szCs w:val="18"/>
                <w14:textFill>
                  <w14:solidFill>
                    <w14:schemeClr w14:val="tx1"/>
                  </w14:solidFill>
                </w14:textFill>
              </w:rPr>
              <w:t>。</w:t>
            </w:r>
          </w:p>
        </w:tc>
      </w:tr>
      <w:tr>
        <w:tc>
          <w:tcPr>
            <w:tcW w:w="626" w:type="pct"/>
            <w:vMerge w:val="restar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auto"/>
                <w:sz w:val="18"/>
                <w:szCs w:val="18"/>
              </w:rPr>
              <w:t>数字化</w:t>
            </w:r>
            <w:r>
              <w:rPr>
                <w:rFonts w:hint="eastAsia" w:ascii="宋体" w:hAnsi="宋体"/>
                <w:color w:val="auto"/>
                <w:sz w:val="18"/>
                <w:szCs w:val="18"/>
                <w:lang w:eastAsia="zh-CN"/>
              </w:rPr>
              <w:t>水平</w:t>
            </w:r>
            <w:r>
              <w:rPr>
                <w:rFonts w:hint="eastAsia" w:ascii="宋体" w:hAnsi="宋体"/>
                <w:color w:val="000000" w:themeColor="text1"/>
                <w:sz w:val="18"/>
                <w:szCs w:val="18"/>
                <w14:textFill>
                  <w14:solidFill>
                    <w14:schemeClr w14:val="tx1"/>
                  </w14:solidFill>
                </w14:textFill>
              </w:rPr>
              <w:t>（25分）</w:t>
            </w: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操作系统</w:t>
            </w:r>
            <w:r>
              <w:rPr>
                <w:rFonts w:hint="eastAsia" w:ascii="宋体" w:hAnsi="宋体"/>
                <w:color w:val="000000" w:themeColor="text1"/>
                <w:sz w:val="18"/>
                <w:szCs w:val="18"/>
                <w14:textFill>
                  <w14:solidFill>
                    <w14:schemeClr w14:val="tx1"/>
                  </w14:solidFill>
                </w14:textFill>
              </w:rPr>
              <w:t>协同</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具备</w:t>
            </w:r>
            <w:r>
              <w:rPr>
                <w:rFonts w:hint="eastAsia" w:ascii="宋体" w:hAnsi="宋体"/>
                <w:color w:val="000000" w:themeColor="text1"/>
                <w:sz w:val="18"/>
                <w:szCs w:val="18"/>
                <w14:textFill>
                  <w14:solidFill>
                    <w14:schemeClr w14:val="tx1"/>
                  </w14:solidFill>
                </w14:textFill>
              </w:rPr>
              <w:t>仓储管理系统（WMS）、运输管理系统（TMS）、订单管理系统（OMS）、仓储执行系统（WES）等</w:t>
            </w:r>
            <w:r>
              <w:rPr>
                <w:rFonts w:ascii="宋体" w:hAnsi="宋体"/>
                <w:color w:val="000000" w:themeColor="text1"/>
                <w:sz w:val="18"/>
                <w:szCs w:val="18"/>
                <w14:textFill>
                  <w14:solidFill>
                    <w14:schemeClr w14:val="tx1"/>
                  </w14:solidFill>
                </w14:textFill>
              </w:rPr>
              <w:t>基础操作系统，</w:t>
            </w:r>
            <w:r>
              <w:rPr>
                <w:rFonts w:hint="eastAsia" w:ascii="宋体" w:hAnsi="宋体"/>
                <w:color w:val="000000" w:themeColor="text1"/>
                <w:sz w:val="18"/>
                <w:szCs w:val="18"/>
                <w14:textFill>
                  <w14:solidFill>
                    <w14:schemeClr w14:val="tx1"/>
                  </w14:solidFill>
                </w14:textFill>
              </w:rPr>
              <w:t>实现仓库多作业流程高效协同，最高</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5</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数据采集器</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具备辅助人工作业</w:t>
            </w:r>
            <w:r>
              <w:rPr>
                <w:rFonts w:hint="eastAsia" w:ascii="宋体" w:hAnsi="宋体"/>
                <w:color w:val="000000" w:themeColor="text1"/>
                <w:sz w:val="18"/>
                <w:szCs w:val="18"/>
                <w:lang w:eastAsia="zh-CN"/>
                <w14:textFill>
                  <w14:solidFill>
                    <w14:schemeClr w14:val="tx1"/>
                  </w14:solidFill>
                </w14:textFill>
              </w:rPr>
              <w:t>数据采集的</w:t>
            </w:r>
            <w:r>
              <w:rPr>
                <w:rFonts w:ascii="宋体" w:hAnsi="宋体"/>
                <w:color w:val="000000" w:themeColor="text1"/>
                <w:sz w:val="18"/>
                <w:szCs w:val="18"/>
                <w14:textFill>
                  <w14:solidFill>
                    <w14:schemeClr w14:val="tx1"/>
                  </w14:solidFill>
                </w14:textFill>
              </w:rPr>
              <w:t>设备或系统，如</w:t>
            </w:r>
            <w:r>
              <w:rPr>
                <w:rFonts w:hint="eastAsia" w:ascii="宋体" w:hAnsi="宋体"/>
                <w:color w:val="000000" w:themeColor="text1"/>
                <w:sz w:val="18"/>
                <w:szCs w:val="18"/>
                <w14:textFill>
                  <w14:solidFill>
                    <w14:schemeClr w14:val="tx1"/>
                  </w14:solidFill>
                </w14:textFill>
              </w:rPr>
              <w:t>手持</w:t>
            </w:r>
            <w:r>
              <w:rPr>
                <w:rFonts w:ascii="宋体" w:hAnsi="宋体"/>
                <w:color w:val="000000" w:themeColor="text1"/>
                <w:sz w:val="18"/>
                <w:szCs w:val="18"/>
                <w14:textFill>
                  <w14:solidFill>
                    <w14:schemeClr w14:val="tx1"/>
                  </w14:solidFill>
                </w14:textFill>
              </w:rPr>
              <w:t>PDA、巴枪，</w:t>
            </w:r>
            <w:r>
              <w:rPr>
                <w:rFonts w:hint="eastAsia" w:ascii="宋体" w:hAnsi="宋体"/>
                <w:color w:val="000000" w:themeColor="text1"/>
                <w:sz w:val="18"/>
                <w:szCs w:val="18"/>
                <w14:textFill>
                  <w14:solidFill>
                    <w14:schemeClr w14:val="tx1"/>
                  </w14:solidFill>
                </w14:textFill>
              </w:rPr>
              <w:t>最高</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4</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供应链多方协同</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除自身数字化外，</w:t>
            </w:r>
            <w:r>
              <w:rPr>
                <w:rFonts w:hint="eastAsia" w:ascii="宋体" w:hAnsi="宋体"/>
                <w:color w:val="000000" w:themeColor="text1"/>
                <w:sz w:val="18"/>
                <w:szCs w:val="18"/>
                <w14:textFill>
                  <w14:solidFill>
                    <w14:schemeClr w14:val="tx1"/>
                  </w14:solidFill>
                </w14:textFill>
              </w:rPr>
              <w:t>与</w:t>
            </w:r>
            <w:r>
              <w:rPr>
                <w:rFonts w:ascii="宋体" w:hAnsi="宋体"/>
                <w:color w:val="000000" w:themeColor="text1"/>
                <w:sz w:val="18"/>
                <w:szCs w:val="18"/>
                <w14:textFill>
                  <w14:solidFill>
                    <w14:schemeClr w14:val="tx1"/>
                  </w14:solidFill>
                </w14:textFill>
              </w:rPr>
              <w:t>客户、供应商、海关、运输公司等</w:t>
            </w:r>
            <w:r>
              <w:rPr>
                <w:rFonts w:hint="eastAsia" w:ascii="宋体" w:hAnsi="宋体"/>
                <w:color w:val="000000" w:themeColor="text1"/>
                <w:sz w:val="18"/>
                <w:szCs w:val="18"/>
                <w14:textFill>
                  <w14:solidFill>
                    <w14:schemeClr w14:val="tx1"/>
                  </w14:solidFill>
                </w14:textFill>
              </w:rPr>
              <w:t>相关方</w:t>
            </w:r>
            <w:r>
              <w:rPr>
                <w:rFonts w:ascii="宋体" w:hAnsi="宋体"/>
                <w:color w:val="000000" w:themeColor="text1"/>
                <w:sz w:val="18"/>
                <w:szCs w:val="18"/>
                <w14:textFill>
                  <w14:solidFill>
                    <w14:schemeClr w14:val="tx1"/>
                  </w14:solidFill>
                </w14:textFill>
              </w:rPr>
              <w:t>数据完成对接；完成3方及以上</w:t>
            </w:r>
            <w:r>
              <w:rPr>
                <w:rFonts w:hint="eastAsia" w:ascii="宋体" w:hAnsi="宋体"/>
                <w:color w:val="000000" w:themeColor="text1"/>
                <w:sz w:val="18"/>
                <w:szCs w:val="18"/>
                <w14:textFill>
                  <w14:solidFill>
                    <w14:schemeClr w14:val="tx1"/>
                  </w14:solidFill>
                </w14:textFill>
              </w:rPr>
              <w:t>数据对接，</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6</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完成</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方</w:t>
            </w:r>
            <w:r>
              <w:rPr>
                <w:rFonts w:hint="eastAsia" w:ascii="宋体" w:hAnsi="宋体"/>
                <w:color w:val="000000" w:themeColor="text1"/>
                <w:sz w:val="18"/>
                <w:szCs w:val="18"/>
                <w14:textFill>
                  <w14:solidFill>
                    <w14:schemeClr w14:val="tx1"/>
                  </w14:solidFill>
                </w14:textFill>
              </w:rPr>
              <w:t>数据对接，</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4</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完成</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方</w:t>
            </w:r>
            <w:r>
              <w:rPr>
                <w:rFonts w:hint="eastAsia" w:ascii="宋体" w:hAnsi="宋体"/>
                <w:color w:val="000000" w:themeColor="text1"/>
                <w:sz w:val="18"/>
                <w:szCs w:val="18"/>
                <w14:textFill>
                  <w14:solidFill>
                    <w14:schemeClr w14:val="tx1"/>
                  </w14:solidFill>
                </w14:textFill>
              </w:rPr>
              <w:t>数据对接，</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万物互联</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通过应用</w:t>
            </w:r>
            <w:r>
              <w:rPr>
                <w:rFonts w:ascii="宋体" w:hAnsi="宋体"/>
                <w:color w:val="000000" w:themeColor="text1"/>
                <w:sz w:val="18"/>
                <w:szCs w:val="18"/>
                <w14:textFill>
                  <w14:solidFill>
                    <w14:schemeClr w14:val="tx1"/>
                  </w14:solidFill>
                </w14:textFill>
              </w:rPr>
              <w:t>RFID、UWB、WIFI等实现仓库人、车、货、场、设备</w:t>
            </w:r>
            <w:r>
              <w:rPr>
                <w:rFonts w:hint="eastAsia" w:ascii="宋体" w:hAnsi="宋体"/>
                <w:color w:val="000000" w:themeColor="text1"/>
                <w:sz w:val="18"/>
                <w:szCs w:val="18"/>
                <w14:textFill>
                  <w14:solidFill>
                    <w14:schemeClr w14:val="tx1"/>
                  </w14:solidFill>
                </w14:textFill>
              </w:rPr>
              <w:t>全</w:t>
            </w:r>
            <w:r>
              <w:rPr>
                <w:rFonts w:ascii="宋体" w:hAnsi="宋体"/>
                <w:color w:val="000000" w:themeColor="text1"/>
                <w:sz w:val="18"/>
                <w:szCs w:val="18"/>
                <w14:textFill>
                  <w14:solidFill>
                    <w14:schemeClr w14:val="tx1"/>
                  </w14:solidFill>
                </w14:textFill>
              </w:rPr>
              <w:t>场景</w:t>
            </w:r>
            <w:r>
              <w:rPr>
                <w:rFonts w:hint="eastAsia" w:ascii="宋体" w:hAnsi="宋体"/>
                <w:color w:val="000000" w:themeColor="text1"/>
                <w:sz w:val="18"/>
                <w:szCs w:val="18"/>
                <w14:textFill>
                  <w14:solidFill>
                    <w14:schemeClr w14:val="tx1"/>
                  </w14:solidFill>
                </w14:textFill>
              </w:rPr>
              <w:t>数据采集、数据互联</w:t>
            </w:r>
            <w:r>
              <w:rPr>
                <w:rFonts w:ascii="宋体" w:hAnsi="宋体"/>
                <w:color w:val="000000" w:themeColor="text1"/>
                <w:sz w:val="18"/>
                <w:szCs w:val="18"/>
                <w14:textFill>
                  <w14:solidFill>
                    <w14:schemeClr w14:val="tx1"/>
                  </w14:solidFill>
                </w14:textFill>
              </w:rPr>
              <w:t>，得5分；实现4个场景数据互联，得4分；实现3个场景数据互联，得3分；实现2个场景数据互联，得2分；实现1个场景数据互联，得1分</w:t>
            </w:r>
            <w:r>
              <w:rPr>
                <w:rFonts w:hint="eastAsia" w:ascii="宋体" w:hAnsi="宋体"/>
                <w:color w:val="000000" w:themeColor="text1"/>
                <w:sz w:val="18"/>
                <w:szCs w:val="18"/>
                <w14:textFill>
                  <w14:solidFill>
                    <w14:schemeClr w14:val="tx1"/>
                  </w14:solidFill>
                </w14:textFill>
              </w:rPr>
              <w:t>。</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智能决策</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具备多方自动数据采集、数据分析、数据预测、数据应用、数据可视，</w:t>
            </w:r>
            <w:r>
              <w:rPr>
                <w:rFonts w:hint="eastAsia" w:ascii="宋体" w:hAnsi="宋体"/>
                <w:color w:val="000000" w:themeColor="text1"/>
                <w:sz w:val="18"/>
                <w:szCs w:val="18"/>
                <w14:textFill>
                  <w14:solidFill>
                    <w14:schemeClr w14:val="tx1"/>
                  </w14:solidFill>
                </w14:textFill>
              </w:rPr>
              <w:t>可为仓库运营提供</w:t>
            </w:r>
            <w:r>
              <w:rPr>
                <w:rFonts w:ascii="宋体" w:hAnsi="宋体"/>
                <w:color w:val="000000" w:themeColor="text1"/>
                <w:sz w:val="18"/>
                <w:szCs w:val="18"/>
                <w14:textFill>
                  <w14:solidFill>
                    <w14:schemeClr w14:val="tx1"/>
                  </w14:solidFill>
                </w14:textFill>
              </w:rPr>
              <w:t>智能识别、自动调度、智能预警、智慧决策</w:t>
            </w:r>
            <w:r>
              <w:rPr>
                <w:rFonts w:hint="eastAsia" w:ascii="宋体" w:hAnsi="宋体"/>
                <w:color w:val="000000" w:themeColor="text1"/>
                <w:sz w:val="18"/>
                <w:szCs w:val="18"/>
                <w14:textFill>
                  <w14:solidFill>
                    <w14:schemeClr w14:val="tx1"/>
                  </w14:solidFill>
                </w14:textFill>
              </w:rPr>
              <w:t>等，最高得5分。</w:t>
            </w:r>
          </w:p>
        </w:tc>
      </w:tr>
      <w:tr>
        <w:trPr>
          <w:trHeight w:val="648" w:hRule="atLeast"/>
        </w:trPr>
        <w:tc>
          <w:tcPr>
            <w:tcW w:w="626" w:type="pct"/>
            <w:vMerge w:val="restar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auto"/>
                <w:sz w:val="18"/>
                <w:szCs w:val="18"/>
              </w:rPr>
              <w:t>自动化</w:t>
            </w:r>
            <w:r>
              <w:rPr>
                <w:rFonts w:hint="eastAsia" w:ascii="宋体" w:hAnsi="宋体"/>
                <w:color w:val="auto"/>
                <w:sz w:val="18"/>
                <w:szCs w:val="18"/>
                <w:lang w:eastAsia="zh-CN"/>
              </w:rPr>
              <w:t>水平</w:t>
            </w:r>
            <w:r>
              <w:rPr>
                <w:rFonts w:hint="eastAsia" w:ascii="宋体" w:hAnsi="宋体"/>
                <w:color w:val="000000" w:themeColor="text1"/>
                <w:sz w:val="18"/>
                <w:szCs w:val="18"/>
                <w14:textFill>
                  <w14:solidFill>
                    <w14:schemeClr w14:val="tx1"/>
                  </w14:solidFill>
                </w14:textFill>
              </w:rPr>
              <w:t>（20分）</w:t>
            </w: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自动化辅助设备</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配</w:t>
            </w:r>
            <w:r>
              <w:rPr>
                <w:rFonts w:ascii="宋体" w:hAnsi="宋体"/>
                <w:color w:val="auto"/>
                <w:sz w:val="18"/>
                <w:szCs w:val="18"/>
              </w:rPr>
              <w:t>备辅助人工作业设备，如PDA、包装机、电动叉车、自动贴标机等</w:t>
            </w:r>
            <w:r>
              <w:rPr>
                <w:rFonts w:hint="eastAsia" w:ascii="宋体" w:hAnsi="宋体"/>
                <w:color w:val="auto"/>
                <w:sz w:val="18"/>
                <w:szCs w:val="18"/>
              </w:rPr>
              <w:t>，</w:t>
            </w:r>
            <w:r>
              <w:rPr>
                <w:rFonts w:ascii="宋体" w:hAnsi="宋体"/>
                <w:color w:val="auto"/>
                <w:sz w:val="18"/>
                <w:szCs w:val="18"/>
              </w:rPr>
              <w:t>配备3</w:t>
            </w:r>
            <w:r>
              <w:rPr>
                <w:rFonts w:hint="eastAsia" w:ascii="宋体" w:hAnsi="宋体"/>
                <w:color w:val="auto"/>
                <w:sz w:val="18"/>
                <w:szCs w:val="18"/>
                <w:lang w:eastAsia="zh-CN"/>
              </w:rPr>
              <w:t>项</w:t>
            </w:r>
            <w:r>
              <w:rPr>
                <w:rFonts w:hint="eastAsia" w:ascii="宋体" w:hAnsi="宋体"/>
                <w:color w:val="auto"/>
                <w:sz w:val="18"/>
                <w:szCs w:val="18"/>
              </w:rPr>
              <w:t>及</w:t>
            </w:r>
            <w:r>
              <w:rPr>
                <w:rFonts w:ascii="宋体" w:hAnsi="宋体"/>
                <w:color w:val="000000" w:themeColor="text1"/>
                <w:sz w:val="18"/>
                <w:szCs w:val="18"/>
                <w14:textFill>
                  <w14:solidFill>
                    <w14:schemeClr w14:val="tx1"/>
                  </w14:solidFill>
                </w14:textFill>
              </w:rPr>
              <w:t>以上</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5</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配备2项</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分；配备1项，得</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tc>
      </w:tr>
      <w:tr>
        <w:trPr>
          <w:trHeight w:val="1469" w:hRule="atLeast"/>
        </w:trPr>
        <w:tc>
          <w:tcPr>
            <w:tcW w:w="626" w:type="pct"/>
            <w:vMerge w:val="continue"/>
          </w:tcPr>
          <w:p>
            <w:pPr>
              <w:spacing w:line="240" w:lineRule="auto"/>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设备协同能力</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配备AGV、AMR、无人叉车、自动立体库、自动导引搬运设备等人机协同设备，得3分；配备多机协同设备，能够实现两种自动化设备串接操作，无需人工干预和操控，得1分；配备多元协同设备，实现两种以上不同类型自动化设备组合控制，且无需人工干预和处理，得1分。</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自动化</w:t>
            </w:r>
            <w:r>
              <w:rPr>
                <w:rFonts w:hint="eastAsia" w:ascii="宋体" w:hAnsi="宋体"/>
                <w:color w:val="000000" w:themeColor="text1"/>
                <w:sz w:val="18"/>
                <w:szCs w:val="18"/>
                <w14:textFill>
                  <w14:solidFill>
                    <w14:schemeClr w14:val="tx1"/>
                  </w14:solidFill>
                </w14:textFill>
              </w:rPr>
              <w:t>应用</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订单处理作业、入库作业、存储作业、盘点作业、拣货作业、出库作业和配送作业等方面实现智能化处理，自动生成最优解决方案。</w:t>
            </w:r>
            <w:r>
              <w:rPr>
                <w:rFonts w:ascii="宋体" w:hAnsi="宋体"/>
                <w:color w:val="000000" w:themeColor="text1"/>
                <w:sz w:val="18"/>
                <w:szCs w:val="18"/>
                <w:highlight w:val="none"/>
                <w14:textFill>
                  <w14:solidFill>
                    <w14:schemeClr w14:val="tx1"/>
                  </w14:solidFill>
                </w14:textFill>
              </w:rPr>
              <w:t>实现3个以上作业环节自动化应用，得5分；</w:t>
            </w:r>
            <w:r>
              <w:rPr>
                <w:rFonts w:ascii="宋体" w:hAnsi="宋体"/>
                <w:color w:val="auto"/>
                <w:sz w:val="18"/>
                <w:szCs w:val="18"/>
                <w:highlight w:val="none"/>
              </w:rPr>
              <w:t>实现</w:t>
            </w:r>
            <w:r>
              <w:rPr>
                <w:rFonts w:hint="eastAsia" w:ascii="宋体" w:hAnsi="宋体"/>
                <w:color w:val="auto"/>
                <w:sz w:val="18"/>
                <w:szCs w:val="18"/>
                <w:highlight w:val="none"/>
                <w:lang w:val="en-US" w:eastAsia="zh-CN"/>
              </w:rPr>
              <w:t>3</w:t>
            </w:r>
            <w:r>
              <w:rPr>
                <w:rFonts w:ascii="宋体" w:hAnsi="宋体"/>
                <w:color w:val="auto"/>
                <w:sz w:val="18"/>
                <w:szCs w:val="18"/>
                <w:highlight w:val="none"/>
              </w:rPr>
              <w:t>个作业环节自动</w:t>
            </w:r>
            <w:r>
              <w:rPr>
                <w:rFonts w:ascii="宋体" w:hAnsi="宋体"/>
                <w:color w:val="000000" w:themeColor="text1"/>
                <w:sz w:val="18"/>
                <w:szCs w:val="18"/>
                <w:highlight w:val="none"/>
                <w14:textFill>
                  <w14:solidFill>
                    <w14:schemeClr w14:val="tx1"/>
                  </w14:solidFill>
                </w14:textFill>
              </w:rPr>
              <w:t>化应用，得3分；实现2个</w:t>
            </w:r>
            <w:r>
              <w:rPr>
                <w:rFonts w:hint="eastAsia" w:ascii="宋体" w:hAnsi="宋体"/>
                <w:color w:val="000000" w:themeColor="text1"/>
                <w:sz w:val="18"/>
                <w:szCs w:val="18"/>
                <w:highlight w:val="none"/>
                <w:lang w:eastAsia="zh-CN"/>
                <w14:textFill>
                  <w14:solidFill>
                    <w14:schemeClr w14:val="tx1"/>
                  </w14:solidFill>
                </w14:textFill>
              </w:rPr>
              <w:t>作业</w:t>
            </w:r>
            <w:r>
              <w:rPr>
                <w:rFonts w:ascii="宋体" w:hAnsi="宋体"/>
                <w:color w:val="000000" w:themeColor="text1"/>
                <w:sz w:val="18"/>
                <w:szCs w:val="18"/>
                <w:highlight w:val="none"/>
                <w14:textFill>
                  <w14:solidFill>
                    <w14:schemeClr w14:val="tx1"/>
                  </w14:solidFill>
                </w14:textFill>
              </w:rPr>
              <w:t>环节自动化应用，得2分；已经实现1个环节得自动化应用，得1分</w:t>
            </w:r>
            <w:r>
              <w:rPr>
                <w:rFonts w:hint="eastAsia" w:ascii="宋体" w:hAnsi="宋体"/>
                <w:color w:val="000000" w:themeColor="text1"/>
                <w:sz w:val="18"/>
                <w:szCs w:val="18"/>
                <w:highlight w:val="none"/>
                <w14:textFill>
                  <w14:solidFill>
                    <w14:schemeClr w14:val="tx1"/>
                  </w14:solidFill>
                </w14:textFill>
              </w:rPr>
              <w:t>。</w:t>
            </w:r>
          </w:p>
        </w:tc>
      </w:tr>
    </w:tbl>
    <w:p>
      <w:pPr>
        <w:pStyle w:val="77"/>
        <w:numPr>
          <w:ilvl w:val="0"/>
          <w:numId w:val="0"/>
        </w:numPr>
        <w:spacing w:beforeLines="50" w:after="156"/>
        <w:rPr>
          <w:rFonts w:hint="eastAsia" w:hAnsi="黑体"/>
        </w:rPr>
      </w:pPr>
      <w:bookmarkStart w:id="73" w:name="_Toc147763155"/>
    </w:p>
    <w:p>
      <w:pPr>
        <w:pStyle w:val="77"/>
        <w:numPr>
          <w:ilvl w:val="0"/>
          <w:numId w:val="0"/>
        </w:numPr>
        <w:spacing w:beforeLines="50" w:after="156"/>
      </w:pPr>
      <w:r>
        <w:rPr>
          <w:rFonts w:hint="eastAsia" w:hAnsi="黑体"/>
        </w:rPr>
        <w:br w:type="textWrapping"/>
      </w:r>
      <w:r>
        <w:rPr>
          <w:rFonts w:hint="eastAsia" w:hAnsi="黑体"/>
        </w:rPr>
        <w:t>附录A</w:t>
      </w:r>
      <w:r>
        <w:rPr>
          <w:rFonts w:hint="eastAsia" w:ascii="宋体" w:hAnsi="宋体" w:eastAsia="宋体"/>
        </w:rPr>
        <w:t>（续）</w:t>
      </w:r>
      <w:bookmarkEnd w:id="73"/>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637"/>
        <w:gridCol w:w="708"/>
        <w:gridCol w:w="6017"/>
      </w:tblGrid>
      <w:tr>
        <w:tc>
          <w:tcPr>
            <w:tcW w:w="62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分类指标</w:t>
            </w:r>
          </w:p>
        </w:tc>
        <w:tc>
          <w:tcPr>
            <w:tcW w:w="85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分项指标</w:t>
            </w:r>
          </w:p>
        </w:tc>
        <w:tc>
          <w:tcPr>
            <w:tcW w:w="370"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分值</w:t>
            </w:r>
          </w:p>
        </w:tc>
        <w:tc>
          <w:tcPr>
            <w:tcW w:w="314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评分标准</w:t>
            </w:r>
          </w:p>
        </w:tc>
      </w:tr>
      <w:tr>
        <w:tc>
          <w:tcPr>
            <w:tcW w:w="626" w:type="pct"/>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人均效率</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auto"/>
                <w:sz w:val="18"/>
                <w:szCs w:val="18"/>
              </w:rPr>
            </w:pPr>
            <w:r>
              <w:rPr>
                <w:rFonts w:hint="eastAsia" w:ascii="宋体" w:hAnsi="宋体"/>
                <w:color w:val="auto"/>
                <w:sz w:val="18"/>
                <w:szCs w:val="18"/>
                <w:lang w:eastAsia="zh-CN"/>
              </w:rPr>
              <w:t>年度</w:t>
            </w:r>
            <w:r>
              <w:rPr>
                <w:rFonts w:hint="eastAsia" w:ascii="宋体" w:hAnsi="宋体"/>
                <w:color w:val="auto"/>
                <w:sz w:val="18"/>
                <w:szCs w:val="18"/>
              </w:rPr>
              <w:t>人均效率B=仓储货物吞吐量（货物体积）/仓库操作人员数量</w:t>
            </w:r>
            <w:r>
              <w:rPr>
                <w:rFonts w:ascii="宋体" w:hAnsi="宋体"/>
                <w:color w:val="auto"/>
                <w:sz w:val="18"/>
                <w:szCs w:val="18"/>
              </w:rPr>
              <w:t>×100%</w:t>
            </w:r>
            <w:r>
              <w:rPr>
                <w:rFonts w:hint="eastAsia" w:ascii="宋体" w:hAnsi="宋体"/>
                <w:color w:val="auto"/>
                <w:sz w:val="18"/>
                <w:szCs w:val="18"/>
              </w:rPr>
              <w:t>，仓库通过智慧化改造带动人均效率同比提高50%以上，得5分；人均效率提升30%以上，得3分；人均效率提升10%以上，得1分。</w:t>
            </w:r>
          </w:p>
        </w:tc>
      </w:tr>
      <w:tr>
        <w:tc>
          <w:tcPr>
            <w:tcW w:w="626" w:type="pct"/>
            <w:vMerge w:val="restar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rPr>
              <w:t>节能低碳</w:t>
            </w:r>
            <w:r>
              <w:rPr>
                <w:rFonts w:hint="eastAsia" w:ascii="宋体" w:hAnsi="宋体"/>
                <w:color w:val="000000" w:themeColor="text1"/>
                <w:sz w:val="18"/>
                <w:szCs w:val="18"/>
                <w:highlight w:val="none"/>
                <w14:textFill>
                  <w14:solidFill>
                    <w14:schemeClr w14:val="tx1"/>
                  </w14:solidFill>
                </w14:textFill>
              </w:rPr>
              <w:t>（45分）</w:t>
            </w: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循环经济作业</w:t>
            </w:r>
          </w:p>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模式</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.库内有</w:t>
            </w:r>
            <w:r>
              <w:rPr>
                <w:rFonts w:hint="eastAsia" w:ascii="宋体" w:hAnsi="宋体"/>
                <w:color w:val="000000" w:themeColor="text1"/>
                <w:sz w:val="18"/>
                <w:szCs w:val="18"/>
                <w14:textFill>
                  <w14:solidFill>
                    <w14:schemeClr w14:val="tx1"/>
                  </w14:solidFill>
                </w14:textFill>
              </w:rPr>
              <w:t>使用</w:t>
            </w:r>
            <w:r>
              <w:rPr>
                <w:rFonts w:ascii="宋体" w:hAnsi="宋体"/>
                <w:color w:val="000000" w:themeColor="text1"/>
                <w:sz w:val="18"/>
                <w:szCs w:val="18"/>
                <w14:textFill>
                  <w14:solidFill>
                    <w14:schemeClr w14:val="tx1"/>
                  </w14:solidFill>
                </w14:textFill>
              </w:rPr>
              <w:t>循环箱、循</w:t>
            </w:r>
            <w:r>
              <w:rPr>
                <w:rFonts w:ascii="宋体" w:hAnsi="宋体"/>
                <w:color w:val="auto"/>
                <w:sz w:val="18"/>
                <w:szCs w:val="18"/>
              </w:rPr>
              <w:t>环栈板、循环容器</w:t>
            </w:r>
            <w:r>
              <w:rPr>
                <w:rFonts w:hint="eastAsia" w:ascii="宋体" w:hAnsi="宋体"/>
                <w:color w:val="auto"/>
                <w:sz w:val="18"/>
                <w:szCs w:val="18"/>
                <w:lang w:eastAsia="zh-CN"/>
              </w:rPr>
              <w:t>等并提供</w:t>
            </w:r>
            <w:r>
              <w:rPr>
                <w:rFonts w:hint="eastAsia" w:ascii="宋体" w:hAnsi="宋体"/>
                <w:color w:val="auto"/>
                <w:sz w:val="18"/>
                <w:szCs w:val="18"/>
              </w:rPr>
              <w:t>成果说明</w:t>
            </w:r>
            <w:r>
              <w:rPr>
                <w:rFonts w:ascii="宋体" w:hAnsi="宋体"/>
                <w:color w:val="auto"/>
                <w:sz w:val="18"/>
                <w:szCs w:val="18"/>
              </w:rPr>
              <w:t>，得</w:t>
            </w:r>
            <w:r>
              <w:rPr>
                <w:rFonts w:hint="eastAsia" w:ascii="宋体" w:hAnsi="宋体"/>
                <w:color w:val="auto"/>
                <w:sz w:val="18"/>
                <w:szCs w:val="18"/>
              </w:rPr>
              <w:t>3</w:t>
            </w:r>
            <w:r>
              <w:rPr>
                <w:rFonts w:ascii="宋体" w:hAnsi="宋体"/>
                <w:color w:val="auto"/>
                <w:sz w:val="18"/>
                <w:szCs w:val="18"/>
              </w:rPr>
              <w:t>分；</w:t>
            </w:r>
            <w:r>
              <w:rPr>
                <w:rFonts w:ascii="宋体" w:hAnsi="宋体"/>
                <w:color w:val="auto"/>
                <w:sz w:val="18"/>
                <w:szCs w:val="18"/>
              </w:rPr>
              <w:br w:type="textWrapping"/>
            </w:r>
            <w:r>
              <w:rPr>
                <w:rFonts w:hint="eastAsia" w:ascii="宋体" w:hAnsi="宋体"/>
                <w:color w:val="auto"/>
                <w:sz w:val="18"/>
                <w:szCs w:val="18"/>
              </w:rPr>
              <w:t>2</w:t>
            </w:r>
            <w:r>
              <w:rPr>
                <w:rFonts w:ascii="宋体" w:hAnsi="宋体"/>
                <w:color w:val="auto"/>
                <w:sz w:val="18"/>
                <w:szCs w:val="18"/>
              </w:rPr>
              <w:t>.库内有包装减量做法</w:t>
            </w:r>
            <w:r>
              <w:rPr>
                <w:rFonts w:hint="eastAsia" w:ascii="宋体" w:hAnsi="宋体"/>
                <w:color w:val="auto"/>
                <w:sz w:val="18"/>
                <w:szCs w:val="18"/>
                <w:lang w:eastAsia="zh-CN"/>
              </w:rPr>
              <w:t>并提供</w:t>
            </w:r>
            <w:r>
              <w:rPr>
                <w:rFonts w:ascii="宋体" w:hAnsi="宋体"/>
                <w:color w:val="auto"/>
                <w:sz w:val="18"/>
                <w:szCs w:val="18"/>
              </w:rPr>
              <w:t>成果说明，</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废弃物回收</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lang w:eastAsia="zh-CN"/>
              </w:rPr>
              <w:t>年度</w:t>
            </w:r>
            <w:r>
              <w:rPr>
                <w:rFonts w:ascii="宋体" w:hAnsi="宋体"/>
                <w:color w:val="auto"/>
                <w:sz w:val="18"/>
                <w:szCs w:val="18"/>
              </w:rPr>
              <w:t>废弃物回收率C=回收的废弃物重量</w:t>
            </w:r>
            <w:r>
              <w:rPr>
                <w:rFonts w:hint="eastAsia" w:ascii="宋体" w:hAnsi="宋体"/>
                <w:color w:val="auto"/>
                <w:sz w:val="18"/>
                <w:szCs w:val="18"/>
              </w:rPr>
              <w:t>/</w:t>
            </w:r>
            <w:r>
              <w:rPr>
                <w:rFonts w:ascii="宋体" w:hAnsi="宋体"/>
                <w:color w:val="auto"/>
                <w:sz w:val="18"/>
                <w:szCs w:val="18"/>
              </w:rPr>
              <w:t>总废弃物重量×100%，C≥50%，得</w:t>
            </w:r>
            <w:r>
              <w:rPr>
                <w:rFonts w:hint="eastAsia" w:ascii="宋体" w:hAnsi="宋体"/>
                <w:color w:val="auto"/>
                <w:sz w:val="18"/>
                <w:szCs w:val="18"/>
              </w:rPr>
              <w:t>5</w:t>
            </w:r>
            <w:r>
              <w:rPr>
                <w:rFonts w:ascii="宋体" w:hAnsi="宋体"/>
                <w:color w:val="auto"/>
                <w:sz w:val="18"/>
                <w:szCs w:val="18"/>
              </w:rPr>
              <w:t>分</w:t>
            </w:r>
            <w:r>
              <w:rPr>
                <w:rFonts w:hint="eastAsia" w:ascii="宋体" w:hAnsi="宋体"/>
                <w:color w:val="auto"/>
                <w:sz w:val="18"/>
                <w:szCs w:val="18"/>
              </w:rPr>
              <w:t>；</w:t>
            </w:r>
            <w:r>
              <w:rPr>
                <w:rFonts w:ascii="宋体" w:hAnsi="宋体"/>
                <w:color w:val="auto"/>
                <w:sz w:val="18"/>
                <w:szCs w:val="18"/>
              </w:rPr>
              <w:t>50%＞C≥30</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30%＞C≥10%，得1分</w:t>
            </w:r>
            <w:r>
              <w:rPr>
                <w:rFonts w:hint="eastAsia" w:ascii="宋体" w:hAnsi="宋体"/>
                <w:color w:val="000000" w:themeColor="text1"/>
                <w:sz w:val="18"/>
                <w:szCs w:val="18"/>
                <w14:textFill>
                  <w14:solidFill>
                    <w14:schemeClr w14:val="tx1"/>
                  </w14:solidFill>
                </w14:textFill>
              </w:rPr>
              <w:t>。</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单位能耗</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highlight w:val="none"/>
                <w:lang w:eastAsia="zh-CN"/>
              </w:rPr>
              <w:t>年度</w:t>
            </w:r>
            <w:r>
              <w:rPr>
                <w:rFonts w:hint="eastAsia" w:ascii="宋体" w:hAnsi="宋体"/>
                <w:color w:val="auto"/>
                <w:sz w:val="18"/>
                <w:szCs w:val="18"/>
                <w:highlight w:val="none"/>
              </w:rPr>
              <w:t>单位</w:t>
            </w:r>
            <w:r>
              <w:rPr>
                <w:rFonts w:hint="eastAsia" w:ascii="宋体" w:hAnsi="宋体"/>
                <w:color w:val="000000" w:themeColor="text1"/>
                <w:sz w:val="18"/>
                <w:szCs w:val="18"/>
                <w14:textFill>
                  <w14:solidFill>
                    <w14:schemeClr w14:val="tx1"/>
                  </w14:solidFill>
                </w14:textFill>
              </w:rPr>
              <w:t>能耗D=仓库总能耗/仓库总</w:t>
            </w:r>
            <w:r>
              <w:rPr>
                <w:rFonts w:hint="eastAsia" w:ascii="宋体" w:hAnsi="宋体"/>
                <w:color w:val="000000" w:themeColor="text1"/>
                <w:sz w:val="18"/>
                <w:szCs w:val="18"/>
                <w:lang w:eastAsia="zh-CN"/>
                <w14:textFill>
                  <w14:solidFill>
                    <w14:schemeClr w14:val="tx1"/>
                  </w14:solidFill>
                </w14:textFill>
              </w:rPr>
              <w:t>建筑</w:t>
            </w:r>
            <w:r>
              <w:rPr>
                <w:rFonts w:hint="eastAsia" w:ascii="宋体" w:hAnsi="宋体"/>
                <w:color w:val="000000" w:themeColor="text1"/>
                <w:sz w:val="18"/>
                <w:szCs w:val="18"/>
                <w14:textFill>
                  <w14:solidFill>
                    <w14:schemeClr w14:val="tx1"/>
                  </w14:solidFill>
                </w14:textFill>
              </w:rPr>
              <w:t>面积。D</w:t>
            </w:r>
            <w:r>
              <w:rPr>
                <w:rFonts w:ascii="宋体" w:hAnsi="宋体"/>
                <w:color w:val="000000" w:themeColor="text1"/>
                <w:sz w:val="18"/>
                <w:szCs w:val="18"/>
                <w14:textFill>
                  <w14:solidFill>
                    <w14:schemeClr w14:val="tx1"/>
                  </w14:solidFill>
                </w14:textFill>
              </w:rPr>
              <w:t>≤20kWh/</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5</w:t>
            </w:r>
            <w:r>
              <w:rPr>
                <w:rFonts w:ascii="宋体" w:hAnsi="宋体"/>
                <w:color w:val="000000" w:themeColor="text1"/>
                <w:sz w:val="18"/>
                <w:szCs w:val="18"/>
                <w14:textFill>
                  <w14:solidFill>
                    <w14:schemeClr w14:val="tx1"/>
                  </w14:solidFill>
                </w14:textFill>
              </w:rPr>
              <w:t>分；20kWh/</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D</w:t>
            </w:r>
            <w:r>
              <w:rPr>
                <w:rFonts w:ascii="宋体" w:hAnsi="宋体"/>
                <w:color w:val="000000" w:themeColor="text1"/>
                <w:sz w:val="18"/>
                <w:szCs w:val="18"/>
                <w14:textFill>
                  <w14:solidFill>
                    <w14:schemeClr w14:val="tx1"/>
                  </w14:solidFill>
                </w14:textFill>
              </w:rPr>
              <w:t>≤30kWh/</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可再生能源使用</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仓库自身采用太</w:t>
            </w:r>
            <w:r>
              <w:rPr>
                <w:rFonts w:ascii="宋体" w:hAnsi="宋体"/>
                <w:color w:val="auto"/>
                <w:sz w:val="18"/>
                <w:szCs w:val="18"/>
              </w:rPr>
              <w:t>阳能光伏、风能、回收蒸汽等可再生能源</w:t>
            </w:r>
            <w:r>
              <w:rPr>
                <w:rFonts w:hint="eastAsia" w:ascii="宋体" w:hAnsi="宋体"/>
                <w:color w:val="auto"/>
                <w:sz w:val="18"/>
                <w:szCs w:val="18"/>
                <w:highlight w:val="none"/>
                <w:lang w:eastAsia="zh-CN"/>
              </w:rPr>
              <w:t>发电</w:t>
            </w:r>
            <w:r>
              <w:rPr>
                <w:rFonts w:ascii="宋体" w:hAnsi="宋体"/>
                <w:color w:val="auto"/>
                <w:sz w:val="18"/>
                <w:szCs w:val="18"/>
              </w:rPr>
              <w:t>，</w:t>
            </w:r>
            <w:r>
              <w:rPr>
                <w:rFonts w:hint="eastAsia" w:ascii="宋体" w:hAnsi="宋体"/>
                <w:color w:val="auto"/>
                <w:sz w:val="18"/>
                <w:szCs w:val="18"/>
                <w:lang w:eastAsia="zh-CN"/>
              </w:rPr>
              <w:t>年度可再生能源发电</w:t>
            </w:r>
            <w:r>
              <w:rPr>
                <w:rFonts w:ascii="宋体" w:hAnsi="宋体"/>
                <w:color w:val="auto"/>
                <w:sz w:val="18"/>
                <w:szCs w:val="18"/>
              </w:rPr>
              <w:t>电力占比</w:t>
            </w:r>
            <w:r>
              <w:rPr>
                <w:rFonts w:hint="eastAsia" w:ascii="宋体" w:hAnsi="宋体"/>
                <w:color w:val="auto"/>
                <w:sz w:val="18"/>
                <w:szCs w:val="18"/>
                <w:lang w:val="en-US" w:eastAsia="zh-CN"/>
              </w:rPr>
              <w:t>E</w:t>
            </w:r>
            <w:r>
              <w:rPr>
                <w:rFonts w:ascii="宋体" w:hAnsi="宋体"/>
                <w:color w:val="auto"/>
                <w:sz w:val="18"/>
                <w:szCs w:val="18"/>
              </w:rPr>
              <w:t>=可</w:t>
            </w:r>
            <w:r>
              <w:rPr>
                <w:rFonts w:ascii="宋体" w:hAnsi="宋体"/>
                <w:color w:val="000000" w:themeColor="text1"/>
                <w:sz w:val="18"/>
                <w:szCs w:val="18"/>
                <w14:textFill>
                  <w14:solidFill>
                    <w14:schemeClr w14:val="tx1"/>
                  </w14:solidFill>
                </w14:textFill>
              </w:rPr>
              <w:t>再生能源发电量</w:t>
            </w:r>
            <w:r>
              <w:rPr>
                <w:rFonts w:hint="eastAsia" w:ascii="宋体" w:hAnsi="宋体"/>
                <w:color w:val="000000" w:themeColor="text1"/>
                <w:sz w:val="18"/>
                <w:szCs w:val="18"/>
                <w14:textFill>
                  <w14:solidFill>
                    <w14:schemeClr w14:val="tx1"/>
                  </w14:solidFill>
                </w14:textFill>
              </w:rPr>
              <w:t>kWh/</w:t>
            </w:r>
            <w:r>
              <w:rPr>
                <w:rFonts w:ascii="宋体" w:hAnsi="宋体"/>
                <w:color w:val="000000" w:themeColor="text1"/>
                <w:sz w:val="18"/>
                <w:szCs w:val="18"/>
                <w14:textFill>
                  <w14:solidFill>
                    <w14:schemeClr w14:val="tx1"/>
                  </w14:solidFill>
                </w14:textFill>
              </w:rPr>
              <w:t>（可再生能源发电量</w:t>
            </w:r>
            <w:r>
              <w:rPr>
                <w:rFonts w:hint="eastAsia" w:ascii="宋体" w:hAnsi="宋体"/>
                <w:color w:val="000000" w:themeColor="text1"/>
                <w:sz w:val="18"/>
                <w:szCs w:val="18"/>
                <w14:textFill>
                  <w14:solidFill>
                    <w14:schemeClr w14:val="tx1"/>
                  </w14:solidFill>
                </w14:textFill>
              </w:rPr>
              <w:t>kWh</w:t>
            </w:r>
            <w:r>
              <w:rPr>
                <w:rFonts w:ascii="宋体" w:hAnsi="宋体"/>
                <w:color w:val="000000" w:themeColor="text1"/>
                <w:sz w:val="18"/>
                <w:szCs w:val="18"/>
                <w14:textFill>
                  <w14:solidFill>
                    <w14:schemeClr w14:val="tx1"/>
                  </w14:solidFill>
                </w14:textFill>
              </w:rPr>
              <w:t>+外部电力用量</w:t>
            </w:r>
            <w:r>
              <w:rPr>
                <w:rFonts w:hint="eastAsia" w:ascii="宋体" w:hAnsi="宋体"/>
                <w:color w:val="000000" w:themeColor="text1"/>
                <w:sz w:val="18"/>
                <w:szCs w:val="18"/>
                <w14:textFill>
                  <w14:solidFill>
                    <w14:schemeClr w14:val="tx1"/>
                  </w14:solidFill>
                </w14:textFill>
              </w:rPr>
              <w:t>kWh</w:t>
            </w:r>
            <w:r>
              <w:rPr>
                <w:rFonts w:ascii="宋体" w:hAnsi="宋体"/>
                <w:color w:val="000000" w:themeColor="text1"/>
                <w:sz w:val="18"/>
                <w:szCs w:val="18"/>
                <w14:textFill>
                  <w14:solidFill>
                    <w14:schemeClr w14:val="tx1"/>
                  </w14:solidFill>
                </w14:textFill>
              </w:rPr>
              <w:t>）×100%，</w:t>
            </w:r>
            <w:r>
              <w:rPr>
                <w:rFonts w:hint="eastAsia" w:ascii="宋体" w:hAnsi="宋体"/>
                <w:color w:val="000000" w:themeColor="text1"/>
                <w:sz w:val="18"/>
                <w:szCs w:val="18"/>
                <w:lang w:val="en-US" w:eastAsia="zh-CN"/>
                <w14:textFill>
                  <w14:solidFill>
                    <w14:schemeClr w14:val="tx1"/>
                  </w14:solidFill>
                </w14:textFill>
              </w:rPr>
              <w:t>E</w:t>
            </w:r>
            <w:r>
              <w:rPr>
                <w:rFonts w:ascii="宋体" w:hAnsi="宋体"/>
                <w:color w:val="000000" w:themeColor="text1"/>
                <w:sz w:val="18"/>
                <w:szCs w:val="18"/>
                <w14:textFill>
                  <w14:solidFill>
                    <w14:schemeClr w14:val="tx1"/>
                  </w14:solidFill>
                </w14:textFill>
              </w:rPr>
              <w:t>≥30%，得</w:t>
            </w:r>
            <w:r>
              <w:rPr>
                <w:rFonts w:hint="eastAsia" w:ascii="宋体" w:hAnsi="宋体"/>
                <w:color w:val="000000" w:themeColor="text1"/>
                <w:sz w:val="18"/>
                <w:szCs w:val="18"/>
                <w14:textFill>
                  <w14:solidFill>
                    <w14:schemeClr w14:val="tx1"/>
                  </w14:solidFill>
                </w14:textFill>
              </w:rPr>
              <w:t>5</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30%＞</w:t>
            </w:r>
            <w:r>
              <w:rPr>
                <w:rFonts w:hint="eastAsia" w:ascii="宋体" w:hAnsi="宋体"/>
                <w:color w:val="000000" w:themeColor="text1"/>
                <w:sz w:val="18"/>
                <w:szCs w:val="18"/>
                <w:lang w:val="en-US" w:eastAsia="zh-CN"/>
                <w14:textFill>
                  <w14:solidFill>
                    <w14:schemeClr w14:val="tx1"/>
                  </w14:solidFill>
                </w14:textFill>
              </w:rPr>
              <w:t>E</w:t>
            </w:r>
            <w:r>
              <w:rPr>
                <w:rFonts w:ascii="宋体" w:hAnsi="宋体"/>
                <w:color w:val="000000" w:themeColor="text1"/>
                <w:sz w:val="18"/>
                <w:szCs w:val="18"/>
                <w14:textFill>
                  <w14:solidFill>
                    <w14:schemeClr w14:val="tx1"/>
                  </w14:solidFill>
                </w14:textFill>
              </w:rPr>
              <w:t>≥15%，得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15%＞</w:t>
            </w:r>
            <w:r>
              <w:rPr>
                <w:rFonts w:hint="eastAsia" w:ascii="宋体" w:hAnsi="宋体"/>
                <w:color w:val="000000" w:themeColor="text1"/>
                <w:sz w:val="18"/>
                <w:szCs w:val="18"/>
                <w:lang w:val="en-US" w:eastAsia="zh-CN"/>
                <w14:textFill>
                  <w14:solidFill>
                    <w14:schemeClr w14:val="tx1"/>
                  </w14:solidFill>
                </w14:textFill>
              </w:rPr>
              <w:t>E</w:t>
            </w:r>
            <w:r>
              <w:rPr>
                <w:rFonts w:ascii="宋体" w:hAnsi="宋体"/>
                <w:color w:val="000000" w:themeColor="text1"/>
                <w:sz w:val="18"/>
                <w:szCs w:val="18"/>
                <w14:textFill>
                  <w14:solidFill>
                    <w14:schemeClr w14:val="tx1"/>
                  </w14:solidFill>
                </w14:textFill>
              </w:rPr>
              <w:t>≥5%，得1分。</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节能管理</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建立</w:t>
            </w:r>
            <w:r>
              <w:rPr>
                <w:rFonts w:ascii="宋体" w:hAnsi="宋体"/>
                <w:color w:val="000000" w:themeColor="text1"/>
                <w:sz w:val="18"/>
                <w:szCs w:val="18"/>
                <w14:textFill>
                  <w14:solidFill>
                    <w14:schemeClr w14:val="tx1"/>
                  </w14:solidFill>
                </w14:textFill>
              </w:rPr>
              <w:t>能耗管理系统</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实现全库节能管理，得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采取智能开关管理或设备用电联网监控系统，达到能源智能管理，得3分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全部使用2级能效等级以上高效设备（如</w:t>
            </w:r>
            <w:r>
              <w:rPr>
                <w:rFonts w:ascii="宋体" w:hAnsi="宋体"/>
                <w:color w:val="000000" w:themeColor="text1"/>
                <w:sz w:val="18"/>
                <w:szCs w:val="18"/>
                <w14:textFill>
                  <w14:solidFill>
                    <w14:schemeClr w14:val="tx1"/>
                  </w14:solidFill>
                </w14:textFill>
              </w:rPr>
              <w:t>用电设备、空调、照明等</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；部分使用2级能效等级以上高效设备，</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r>
              <w:rPr>
                <w:rFonts w:ascii="宋体" w:hAnsi="宋体"/>
                <w:color w:val="000000" w:themeColor="text1"/>
                <w:sz w:val="18"/>
                <w:szCs w:val="18"/>
                <w14:textFill>
                  <w14:solidFill>
                    <w14:schemeClr w14:val="tx1"/>
                  </w14:solidFill>
                </w14:textFill>
              </w:rPr>
              <w:t>有</w:t>
            </w:r>
            <w:r>
              <w:rPr>
                <w:rFonts w:hint="eastAsia" w:ascii="宋体" w:hAnsi="宋体"/>
                <w:color w:val="000000" w:themeColor="text1"/>
                <w:sz w:val="18"/>
                <w:szCs w:val="18"/>
                <w14:textFill>
                  <w14:solidFill>
                    <w14:schemeClr w14:val="tx1"/>
                  </w14:solidFill>
                </w14:textFill>
              </w:rPr>
              <w:t>完善的</w:t>
            </w:r>
            <w:r>
              <w:rPr>
                <w:rFonts w:ascii="宋体" w:hAnsi="宋体"/>
                <w:color w:val="000000" w:themeColor="text1"/>
                <w:sz w:val="18"/>
                <w:szCs w:val="18"/>
                <w14:textFill>
                  <w14:solidFill>
                    <w14:schemeClr w14:val="tx1"/>
                  </w14:solidFill>
                </w14:textFill>
              </w:rPr>
              <w:t>节能</w:t>
            </w:r>
            <w:r>
              <w:rPr>
                <w:rFonts w:hint="eastAsia" w:ascii="宋体" w:hAnsi="宋体"/>
                <w:color w:val="000000" w:themeColor="text1"/>
                <w:sz w:val="18"/>
                <w:szCs w:val="18"/>
                <w14:textFill>
                  <w14:solidFill>
                    <w14:schemeClr w14:val="tx1"/>
                  </w14:solidFill>
                </w14:textFill>
              </w:rPr>
              <w:t>管理相关规章并已</w:t>
            </w:r>
            <w:r>
              <w:rPr>
                <w:rFonts w:ascii="宋体" w:hAnsi="宋体"/>
                <w:color w:val="000000" w:themeColor="text1"/>
                <w:sz w:val="18"/>
                <w:szCs w:val="18"/>
                <w14:textFill>
                  <w14:solidFill>
                    <w14:schemeClr w14:val="tx1"/>
                  </w14:solidFill>
                </w14:textFill>
              </w:rPr>
              <w:t>执行，得1分</w:t>
            </w:r>
            <w:r>
              <w:rPr>
                <w:rFonts w:hint="eastAsia" w:ascii="宋体" w:hAnsi="宋体"/>
                <w:color w:val="000000" w:themeColor="text1"/>
                <w:sz w:val="18"/>
                <w:szCs w:val="18"/>
                <w14:textFill>
                  <w14:solidFill>
                    <w14:schemeClr w14:val="tx1"/>
                  </w14:solidFill>
                </w14:textFill>
              </w:rPr>
              <w:t>。</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绿电占比</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（不含碳抵消）</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auto"/>
                <w:sz w:val="18"/>
                <w:szCs w:val="18"/>
                <w:lang w:eastAsia="zh-CN"/>
              </w:rPr>
              <w:t>年度</w:t>
            </w:r>
            <w:r>
              <w:rPr>
                <w:rFonts w:hint="eastAsia" w:ascii="宋体" w:hAnsi="宋体"/>
                <w:color w:val="auto"/>
                <w:sz w:val="18"/>
                <w:szCs w:val="18"/>
              </w:rPr>
              <w:t>绿电</w:t>
            </w:r>
            <w:r>
              <w:rPr>
                <w:rFonts w:hint="eastAsia" w:ascii="宋体" w:hAnsi="宋体"/>
                <w:color w:val="000000" w:themeColor="text1"/>
                <w:sz w:val="18"/>
                <w:szCs w:val="18"/>
                <w14:textFill>
                  <w14:solidFill>
                    <w14:schemeClr w14:val="tx1"/>
                  </w14:solidFill>
                </w14:textFill>
              </w:rPr>
              <w:t>占比</w:t>
            </w:r>
            <w:r>
              <w:rPr>
                <w:rFonts w:hint="eastAsia" w:ascii="宋体" w:hAnsi="宋体"/>
                <w:color w:val="000000" w:themeColor="text1"/>
                <w:sz w:val="18"/>
                <w:szCs w:val="18"/>
                <w:lang w:val="en-US" w:eastAsia="zh-CN"/>
                <w14:textFill>
                  <w14:solidFill>
                    <w14:schemeClr w14:val="tx1"/>
                  </w14:solidFill>
                </w14:textFill>
              </w:rPr>
              <w:t>F</w:t>
            </w:r>
            <w:r>
              <w:rPr>
                <w:rFonts w:hint="eastAsia" w:ascii="宋体" w:hAnsi="宋体"/>
                <w:color w:val="000000" w:themeColor="text1"/>
                <w:sz w:val="18"/>
                <w:szCs w:val="18"/>
                <w14:textFill>
                  <w14:solidFill>
                    <w14:schemeClr w14:val="tx1"/>
                  </w14:solidFill>
                </w14:textFill>
              </w:rPr>
              <w:t>=绿电使用电量(绿证+绿电直接采购）kWh</w:t>
            </w:r>
            <w:r>
              <w:rPr>
                <w:rFonts w:hint="eastAsia" w:ascii="宋体" w:hAnsi="宋体" w:cs="宋体"/>
                <w:color w:val="000000" w:themeColor="text1"/>
                <w:sz w:val="18"/>
                <w:szCs w:val="18"/>
                <w14:textFill>
                  <w14:solidFill>
                    <w14:schemeClr w14:val="tx1"/>
                  </w14:solidFill>
                </w14:textFill>
              </w:rPr>
              <w:t>/（绿电使用电量</w:t>
            </w:r>
            <w:r>
              <w:rPr>
                <w:rFonts w:hint="eastAsia" w:ascii="宋体" w:hAnsi="宋体"/>
                <w:color w:val="000000" w:themeColor="text1"/>
                <w:sz w:val="18"/>
                <w:szCs w:val="18"/>
                <w14:textFill>
                  <w14:solidFill>
                    <w14:schemeClr w14:val="tx1"/>
                  </w14:solidFill>
                </w14:textFill>
              </w:rPr>
              <w:t>kWh+外部电力用量kWh）</w:t>
            </w:r>
            <w:r>
              <w:rPr>
                <w:rFonts w:ascii="宋体" w:hAnsi="宋体"/>
                <w:color w:val="000000" w:themeColor="text1"/>
                <w:sz w:val="18"/>
                <w:szCs w:val="18"/>
                <w14:textFill>
                  <w14:solidFill>
                    <w14:schemeClr w14:val="tx1"/>
                  </w14:solidFill>
                </w14:textFill>
              </w:rPr>
              <w:t>×100%</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F</w:t>
            </w:r>
            <w:r>
              <w:rPr>
                <w:rFonts w:hint="eastAsia" w:ascii="宋体" w:hAnsi="宋体"/>
                <w:color w:val="000000" w:themeColor="text1"/>
                <w:sz w:val="18"/>
                <w:szCs w:val="18"/>
                <w14:textFill>
                  <w14:solidFill>
                    <w14:schemeClr w14:val="tx1"/>
                  </w14:solidFill>
                </w14:textFill>
              </w:rPr>
              <w:t>≥30%，得3分；30%＞</w:t>
            </w:r>
            <w:r>
              <w:rPr>
                <w:rFonts w:hint="eastAsia" w:ascii="宋体" w:hAnsi="宋体"/>
                <w:color w:val="000000" w:themeColor="text1"/>
                <w:sz w:val="18"/>
                <w:szCs w:val="18"/>
                <w:lang w:val="en-US" w:eastAsia="zh-CN"/>
                <w14:textFill>
                  <w14:solidFill>
                    <w14:schemeClr w14:val="tx1"/>
                  </w14:solidFill>
                </w14:textFill>
              </w:rPr>
              <w:t>F</w:t>
            </w:r>
            <w:r>
              <w:rPr>
                <w:rFonts w:hint="eastAsia" w:ascii="宋体" w:hAnsi="宋体"/>
                <w:color w:val="000000" w:themeColor="text1"/>
                <w:sz w:val="18"/>
                <w:szCs w:val="18"/>
                <w14:textFill>
                  <w14:solidFill>
                    <w14:schemeClr w14:val="tx1"/>
                  </w14:solidFill>
                </w14:textFill>
              </w:rPr>
              <w:t>≥15%，得2分；15%＞</w:t>
            </w:r>
            <w:r>
              <w:rPr>
                <w:rFonts w:hint="eastAsia" w:ascii="宋体" w:hAnsi="宋体"/>
                <w:color w:val="000000" w:themeColor="text1"/>
                <w:sz w:val="18"/>
                <w:szCs w:val="18"/>
                <w:lang w:val="en-US" w:eastAsia="zh-CN"/>
                <w14:textFill>
                  <w14:solidFill>
                    <w14:schemeClr w14:val="tx1"/>
                  </w14:solidFill>
                </w14:textFill>
              </w:rPr>
              <w:t>F</w:t>
            </w:r>
            <w:r>
              <w:rPr>
                <w:rFonts w:hint="eastAsia" w:ascii="宋体" w:hAnsi="宋体"/>
                <w:color w:val="000000" w:themeColor="text1"/>
                <w:sz w:val="18"/>
                <w:szCs w:val="18"/>
                <w14:textFill>
                  <w14:solidFill>
                    <w14:schemeClr w14:val="tx1"/>
                  </w14:solidFill>
                </w14:textFill>
              </w:rPr>
              <w:t>≥5%，得1分。</w:t>
            </w:r>
          </w:p>
        </w:tc>
      </w:tr>
      <w:tr>
        <w:trPr>
          <w:trHeight w:val="1507" w:hRule="atLeast"/>
        </w:trPr>
        <w:tc>
          <w:tcPr>
            <w:tcW w:w="626" w:type="pct"/>
            <w:vMerge w:val="continue"/>
          </w:tcPr>
          <w:p>
            <w:pPr>
              <w:spacing w:line="240" w:lineRule="auto"/>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降碳举措及成效</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46"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1.具备碳排放管理系统，或公开ESG、碳中和报告，或取得第三方认证（如TCFD、SBT等碳中和认证、铂金级LEED认证），得5分；</w:t>
            </w:r>
            <w:r>
              <w:rPr>
                <w:rFonts w:ascii="宋体" w:hAnsi="宋体"/>
                <w:color w:val="000000" w:themeColor="text1"/>
                <w:sz w:val="18"/>
                <w:szCs w:val="18"/>
                <w14:textFill>
                  <w14:solidFill>
                    <w14:schemeClr w14:val="tx1"/>
                  </w14:solidFill>
                </w14:textFill>
              </w:rPr>
              <w:t xml:space="preserve"> </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所属法人</w:t>
            </w:r>
            <w:r>
              <w:rPr>
                <w:rFonts w:hint="eastAsia" w:ascii="宋体" w:hAnsi="宋体"/>
                <w:color w:val="000000" w:themeColor="text1"/>
                <w:sz w:val="18"/>
                <w:szCs w:val="18"/>
                <w14:textFill>
                  <w14:solidFill>
                    <w14:schemeClr w14:val="tx1"/>
                  </w14:solidFill>
                </w14:textFill>
              </w:rPr>
              <w:t>参与</w:t>
            </w:r>
            <w:r>
              <w:rPr>
                <w:rFonts w:ascii="宋体" w:hAnsi="宋体"/>
                <w:color w:val="000000" w:themeColor="text1"/>
                <w:sz w:val="18"/>
                <w:szCs w:val="18"/>
                <w14:textFill>
                  <w14:solidFill>
                    <w14:schemeClr w14:val="tx1"/>
                  </w14:solidFill>
                </w14:textFill>
              </w:rPr>
              <w:t>SBT</w:t>
            </w:r>
            <w:r>
              <w:rPr>
                <w:rFonts w:hint="eastAsia" w:ascii="宋体" w:hAnsi="宋体"/>
                <w:color w:val="000000" w:themeColor="text1"/>
                <w:sz w:val="18"/>
                <w:szCs w:val="18"/>
                <w14:textFill>
                  <w14:solidFill>
                    <w14:schemeClr w14:val="tx1"/>
                  </w14:solidFill>
                </w14:textFill>
              </w:rPr>
              <w:t>i</w:t>
            </w:r>
            <w:r>
              <w:rPr>
                <w:rFonts w:ascii="宋体" w:hAnsi="宋体"/>
                <w:color w:val="000000" w:themeColor="text1"/>
                <w:sz w:val="18"/>
                <w:szCs w:val="18"/>
                <w14:textFill>
                  <w14:solidFill>
                    <w14:schemeClr w14:val="tx1"/>
                  </w14:solidFill>
                </w14:textFill>
              </w:rPr>
              <w:t>、T</w:t>
            </w:r>
            <w:r>
              <w:rPr>
                <w:rFonts w:hint="eastAsia" w:ascii="宋体" w:hAnsi="宋体"/>
                <w:color w:val="000000" w:themeColor="text1"/>
                <w:sz w:val="18"/>
                <w:szCs w:val="18"/>
                <w:lang w:val="en-US" w:eastAsia="zh-CN"/>
                <w14:textFill>
                  <w14:solidFill>
                    <w14:schemeClr w14:val="tx1"/>
                  </w14:solidFill>
                </w14:textFill>
              </w:rPr>
              <w:t>C</w:t>
            </w:r>
            <w:r>
              <w:rPr>
                <w:rFonts w:ascii="宋体" w:hAnsi="宋体"/>
                <w:color w:val="000000" w:themeColor="text1"/>
                <w:sz w:val="18"/>
                <w:szCs w:val="18"/>
                <w14:textFill>
                  <w14:solidFill>
                    <w14:schemeClr w14:val="tx1"/>
                  </w14:solidFill>
                </w14:textFill>
              </w:rPr>
              <w:t>FD、CDP等</w:t>
            </w:r>
            <w:r>
              <w:rPr>
                <w:rFonts w:hint="eastAsia" w:ascii="宋体" w:hAnsi="宋体"/>
                <w:color w:val="000000" w:themeColor="text1"/>
                <w:sz w:val="18"/>
                <w:szCs w:val="18"/>
                <w14:textFill>
                  <w14:solidFill>
                    <w14:schemeClr w14:val="tx1"/>
                  </w14:solidFill>
                </w14:textFill>
              </w:rPr>
              <w:t>国际组织的碳排放揭露工作或</w:t>
            </w:r>
            <w:r>
              <w:rPr>
                <w:rFonts w:ascii="宋体" w:hAnsi="宋体"/>
                <w:color w:val="000000" w:themeColor="text1"/>
                <w:sz w:val="18"/>
                <w:szCs w:val="18"/>
                <w14:textFill>
                  <w14:solidFill>
                    <w14:schemeClr w14:val="tx1"/>
                  </w14:solidFill>
                </w14:textFill>
              </w:rPr>
              <w:t>公布</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3060</w:t>
            </w:r>
            <w:r>
              <w:rPr>
                <w:rFonts w:hint="eastAsia" w:ascii="宋体" w:hAnsi="宋体"/>
                <w:color w:val="000000" w:themeColor="text1"/>
                <w:sz w:val="18"/>
                <w:szCs w:val="18"/>
                <w14:textFill>
                  <w14:solidFill>
                    <w14:schemeClr w14:val="tx1"/>
                  </w14:solidFill>
                </w14:textFill>
              </w:rPr>
              <w:t>双碳”</w:t>
            </w:r>
            <w:r>
              <w:rPr>
                <w:rFonts w:ascii="宋体" w:hAnsi="宋体"/>
                <w:color w:val="000000" w:themeColor="text1"/>
                <w:sz w:val="18"/>
                <w:szCs w:val="18"/>
                <w14:textFill>
                  <w14:solidFill>
                    <w14:schemeClr w14:val="tx1"/>
                  </w14:solidFill>
                </w14:textFill>
              </w:rPr>
              <w:t>减排承诺及措施，得</w:t>
            </w:r>
            <w:r>
              <w:rPr>
                <w:rFonts w:hint="eastAsia" w:ascii="宋体" w:hAnsi="宋体"/>
                <w:color w:val="000000" w:themeColor="text1"/>
                <w:sz w:val="18"/>
                <w:szCs w:val="18"/>
                <w14:textFill>
                  <w14:solidFill>
                    <w14:schemeClr w14:val="tx1"/>
                  </w14:solidFill>
                </w14:textFill>
              </w:rPr>
              <w:t>4</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已参与政府或机构的碳核查或CCER</w:t>
            </w:r>
            <w:r>
              <w:rPr>
                <w:rFonts w:hint="eastAsia" w:ascii="宋体" w:hAnsi="宋体"/>
                <w:color w:val="000000" w:themeColor="text1"/>
                <w:sz w:val="18"/>
                <w:szCs w:val="18"/>
                <w14:textFill>
                  <w14:solidFill>
                    <w14:schemeClr w14:val="tx1"/>
                  </w14:solidFill>
                </w14:textFill>
              </w:rPr>
              <w:t>中国的碳排放自愿核查</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4.公司具有减碳发展规划及目标，并在经营中贯彻落实发展理念，得2分。</w:t>
            </w:r>
          </w:p>
        </w:tc>
      </w:tr>
      <w:tr>
        <w:tc>
          <w:tcPr>
            <w:tcW w:w="626" w:type="pct"/>
            <w:vMerge w:val="continue"/>
          </w:tcPr>
          <w:p>
            <w:pPr>
              <w:spacing w:line="240" w:lineRule="auto"/>
              <w:jc w:val="center"/>
              <w:rPr>
                <w:rFonts w:ascii="宋体" w:hAnsi="宋体"/>
                <w:color w:val="000000" w:themeColor="text1"/>
                <w:sz w:val="18"/>
                <w:szCs w:val="18"/>
                <w14:textFill>
                  <w14:solidFill>
                    <w14:schemeClr w14:val="tx1"/>
                  </w14:solidFill>
                </w14:textFill>
              </w:rPr>
            </w:pPr>
          </w:p>
        </w:tc>
        <w:tc>
          <w:tcPr>
            <w:tcW w:w="85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供应商碳排放</w:t>
            </w:r>
          </w:p>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管理</w:t>
            </w:r>
          </w:p>
        </w:tc>
        <w:tc>
          <w:tcPr>
            <w:tcW w:w="370"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3146" w:type="pct"/>
            <w:vAlign w:val="center"/>
          </w:tcPr>
          <w:p>
            <w:pPr>
              <w:spacing w:line="240" w:lineRule="auto"/>
              <w:jc w:val="left"/>
              <w:rPr>
                <w:rFonts w:ascii="宋体" w:hAnsi="宋体"/>
                <w:sz w:val="18"/>
                <w:szCs w:val="18"/>
              </w:rPr>
            </w:pPr>
            <w:r>
              <w:rPr>
                <w:rFonts w:ascii="宋体" w:hAnsi="宋体"/>
                <w:sz w:val="18"/>
                <w:szCs w:val="18"/>
              </w:rPr>
              <w:t>1.已开展低碳措施，并可提供碳排放数据</w:t>
            </w:r>
            <w:r>
              <w:rPr>
                <w:rFonts w:hint="eastAsia" w:ascii="宋体" w:hAnsi="宋体"/>
                <w:sz w:val="18"/>
                <w:szCs w:val="18"/>
              </w:rPr>
              <w:t>的供应商占比≥20%</w:t>
            </w:r>
            <w:r>
              <w:rPr>
                <w:rFonts w:ascii="宋体" w:hAnsi="宋体"/>
                <w:sz w:val="18"/>
                <w:szCs w:val="18"/>
              </w:rPr>
              <w:t>，得</w:t>
            </w:r>
            <w:r>
              <w:rPr>
                <w:rFonts w:hint="eastAsia" w:ascii="宋体" w:hAnsi="宋体"/>
                <w:sz w:val="18"/>
                <w:szCs w:val="18"/>
              </w:rPr>
              <w:t>5</w:t>
            </w:r>
            <w:r>
              <w:rPr>
                <w:rFonts w:ascii="宋体" w:hAnsi="宋体"/>
                <w:sz w:val="18"/>
                <w:szCs w:val="18"/>
              </w:rPr>
              <w:t>分；</w:t>
            </w:r>
            <w:r>
              <w:rPr>
                <w:rFonts w:hint="eastAsia" w:ascii="宋体" w:hAnsi="宋体"/>
                <w:sz w:val="18"/>
                <w:szCs w:val="18"/>
              </w:rPr>
              <w:t>20%＞供应商占比≥10%</w:t>
            </w:r>
            <w:r>
              <w:rPr>
                <w:rFonts w:ascii="宋体" w:hAnsi="宋体"/>
                <w:sz w:val="18"/>
                <w:szCs w:val="18"/>
              </w:rPr>
              <w:t>，得</w:t>
            </w:r>
            <w:r>
              <w:rPr>
                <w:rFonts w:hint="eastAsia" w:ascii="宋体" w:hAnsi="宋体"/>
                <w:sz w:val="18"/>
                <w:szCs w:val="18"/>
              </w:rPr>
              <w:t>3</w:t>
            </w:r>
            <w:r>
              <w:rPr>
                <w:rFonts w:ascii="宋体" w:hAnsi="宋体"/>
                <w:sz w:val="18"/>
                <w:szCs w:val="18"/>
              </w:rPr>
              <w:t>分；</w:t>
            </w:r>
            <w:r>
              <w:rPr>
                <w:rFonts w:ascii="宋体" w:hAnsi="宋体"/>
                <w:sz w:val="18"/>
                <w:szCs w:val="18"/>
              </w:rPr>
              <w:br w:type="textWrapping"/>
            </w:r>
            <w:r>
              <w:rPr>
                <w:rFonts w:hint="eastAsia" w:ascii="宋体" w:hAnsi="宋体"/>
                <w:sz w:val="18"/>
                <w:szCs w:val="18"/>
              </w:rPr>
              <w:t>2</w:t>
            </w:r>
            <w:r>
              <w:rPr>
                <w:rFonts w:ascii="宋体" w:hAnsi="宋体"/>
                <w:sz w:val="18"/>
                <w:szCs w:val="18"/>
              </w:rPr>
              <w:t>.已公布供应商低碳管理办法、招标时设定低碳管理条件或评分制度，得</w:t>
            </w:r>
            <w:r>
              <w:rPr>
                <w:rFonts w:hint="eastAsia" w:ascii="宋体" w:hAnsi="宋体"/>
                <w:sz w:val="18"/>
                <w:szCs w:val="18"/>
              </w:rPr>
              <w:t>2</w:t>
            </w:r>
            <w:r>
              <w:rPr>
                <w:rFonts w:ascii="宋体" w:hAnsi="宋体"/>
                <w:sz w:val="18"/>
                <w:szCs w:val="18"/>
              </w:rPr>
              <w:t>分</w:t>
            </w:r>
            <w:r>
              <w:rPr>
                <w:rFonts w:hint="eastAsia" w:ascii="宋体" w:hAnsi="宋体"/>
                <w:sz w:val="18"/>
                <w:szCs w:val="18"/>
              </w:rPr>
              <w:t>。</w:t>
            </w:r>
          </w:p>
        </w:tc>
      </w:tr>
    </w:tbl>
    <w:p>
      <w:pPr>
        <w:pStyle w:val="57"/>
        <w:ind w:firstLine="0" w:firstLineChars="0"/>
      </w:pPr>
    </w:p>
    <w:p>
      <w:pPr>
        <w:pStyle w:val="57"/>
        <w:ind w:firstLine="0" w:firstLineChars="0"/>
      </w:pPr>
    </w:p>
    <w:p>
      <w:pPr>
        <w:pStyle w:val="57"/>
        <w:ind w:firstLine="0" w:firstLineChars="0"/>
      </w:pPr>
      <w:r>
        <w:rPr>
          <w:rFonts w:hint="eastAsia"/>
        </w:rPr>
        <w:br w:type="textWrapping"/>
      </w:r>
    </w:p>
    <w:p>
      <w:pPr>
        <w:pStyle w:val="200"/>
        <w:rPr>
          <w:vanish w:val="0"/>
        </w:rPr>
      </w:pPr>
    </w:p>
    <w:p>
      <w:pPr>
        <w:pStyle w:val="77"/>
        <w:spacing w:before="78" w:after="156"/>
        <w:ind w:left="0"/>
      </w:pPr>
      <w:r>
        <w:br w:type="textWrapping"/>
      </w:r>
      <w:bookmarkStart w:id="74" w:name="_Toc147763156"/>
      <w:r>
        <w:rPr>
          <w:rFonts w:hint="eastAsia"/>
        </w:rPr>
        <w:t>（资料性）</w:t>
      </w:r>
      <w:r>
        <w:br w:type="textWrapping"/>
      </w:r>
      <w:r>
        <w:rPr>
          <w:rFonts w:hint="eastAsia"/>
        </w:rPr>
        <w:t>智慧低碳冷库评价指标</w:t>
      </w:r>
      <w:bookmarkEnd w:id="74"/>
    </w:p>
    <w:tbl>
      <w:tblPr>
        <w:tblStyle w:val="2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398"/>
        <w:gridCol w:w="708"/>
        <w:gridCol w:w="6194"/>
      </w:tblGrid>
      <w:tr>
        <w:tc>
          <w:tcPr>
            <w:tcW w:w="658"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分类指标</w:t>
            </w:r>
          </w:p>
        </w:tc>
        <w:tc>
          <w:tcPr>
            <w:tcW w:w="731"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分项指标</w:t>
            </w:r>
          </w:p>
        </w:tc>
        <w:tc>
          <w:tcPr>
            <w:tcW w:w="370" w:type="pct"/>
          </w:tcPr>
          <w:p>
            <w:pPr>
              <w:spacing w:line="24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分值</w:t>
            </w:r>
          </w:p>
        </w:tc>
        <w:tc>
          <w:tcPr>
            <w:tcW w:w="3239" w:type="pct"/>
          </w:tcPr>
          <w:p>
            <w:pPr>
              <w:spacing w:line="24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评分标准</w:t>
            </w:r>
          </w:p>
        </w:tc>
      </w:tr>
      <w:tr>
        <w:tc>
          <w:tcPr>
            <w:tcW w:w="658" w:type="pct"/>
            <w:vMerge w:val="restar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规划设计</w:t>
            </w:r>
            <w:r>
              <w:rPr>
                <w:rFonts w:hint="eastAsia"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（16分）</w:t>
            </w:r>
          </w:p>
        </w:tc>
        <w:tc>
          <w:tcPr>
            <w:tcW w:w="731"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仓库线路布局</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3239" w:type="pct"/>
            <w:vAlign w:val="center"/>
          </w:tcPr>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1.对仓库空间布局进行优化，根据业务操作需要设置不同功能分区，如装卸作业区、分拣作业区、等待暂存区、叉车通道等，实现人工作业与机械作业空间分离，得4分。</w:t>
            </w:r>
          </w:p>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2.物流线路短捷顺畅，货物搬运无线路迂回、交叉、逆向等，得4分；仓库入库、出库、存储的货物搬运及移动路线虽有重叠交叉，但已采取交通管制、作业分时等管理手段解决交叉问题，得2分。</w:t>
            </w:r>
          </w:p>
        </w:tc>
      </w:tr>
      <w:tr>
        <w:tc>
          <w:tcPr>
            <w:tcW w:w="658" w:type="pct"/>
            <w:vMerge w:val="continue"/>
            <w:vAlign w:val="center"/>
          </w:tcPr>
          <w:p>
            <w:pPr>
              <w:spacing w:line="240" w:lineRule="auto"/>
              <w:jc w:val="center"/>
              <w:rPr>
                <w:rFonts w:ascii="宋体" w:hAnsi="宋体"/>
                <w:color w:val="000000" w:themeColor="text1"/>
                <w:sz w:val="18"/>
                <w:szCs w:val="18"/>
                <w14:textFill>
                  <w14:solidFill>
                    <w14:schemeClr w14:val="tx1"/>
                  </w14:solidFill>
                </w14:textFill>
              </w:rPr>
            </w:pPr>
          </w:p>
        </w:tc>
        <w:tc>
          <w:tcPr>
            <w:tcW w:w="731"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防跑冷设计</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3239" w:type="pct"/>
            <w:vAlign w:val="center"/>
          </w:tcPr>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1.围护结构采用可靠的保温材料和隔汽设施，得2分；</w:t>
            </w:r>
          </w:p>
          <w:p>
            <w:pPr>
              <w:spacing w:line="240" w:lineRule="auto"/>
              <w:jc w:val="left"/>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2.设置符合冷链行业相关操作与管理标准的封闭温控月台或穿堂，以及可升降装卸平台，并采取相关措施减少冷量消耗</w:t>
            </w:r>
            <w:r>
              <w:rPr>
                <w:rFonts w:hint="eastAsia" w:ascii="宋体" w:hAnsi="宋体"/>
                <w:color w:val="000000" w:themeColor="text1"/>
                <w:sz w:val="18"/>
                <w:szCs w:val="18"/>
                <w:lang w:val="en-US" w:eastAsia="zh-CN"/>
                <w14:textFill>
                  <w14:solidFill>
                    <w14:schemeClr w14:val="tx1"/>
                  </w14:solidFill>
                </w14:textFill>
              </w:rPr>
              <w:t>:</w:t>
            </w:r>
          </w:p>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温控月台与库房间设立缓冲间或保温快速门（如电动冷藏门、卷帘门、快速隔热门、自动开关的风幕机）等，得2分；</w:t>
            </w:r>
          </w:p>
          <w:p>
            <w:pPr>
              <w:spacing w:line="240" w:lineRule="auto"/>
              <w:jc w:val="left"/>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装卸口通过增加门帘、重启门封等，得2分；</w:t>
            </w:r>
            <w:r>
              <w:rPr>
                <w:rFonts w:hint="eastAsia"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穿堂根据进入用途分别设置人行、保温门、高叉门，以及开启声光报警器，得2分。</w:t>
            </w:r>
          </w:p>
        </w:tc>
      </w:tr>
      <w:tr>
        <w:tc>
          <w:tcPr>
            <w:tcW w:w="658" w:type="pct"/>
            <w:vMerge w:val="restart"/>
            <w:vAlign w:val="center"/>
          </w:tcPr>
          <w:p>
            <w:pPr>
              <w:spacing w:line="240" w:lineRule="auto"/>
              <w:jc w:val="center"/>
              <w:rPr>
                <w:rFonts w:ascii="宋体" w:hAnsi="宋体"/>
                <w:color w:val="auto"/>
                <w:sz w:val="18"/>
                <w:szCs w:val="18"/>
              </w:rPr>
            </w:pPr>
            <w:r>
              <w:rPr>
                <w:rFonts w:hint="eastAsia" w:ascii="宋体" w:hAnsi="宋体"/>
                <w:color w:val="auto"/>
                <w:sz w:val="18"/>
                <w:szCs w:val="18"/>
              </w:rPr>
              <w:t>运营</w:t>
            </w:r>
            <w:r>
              <w:rPr>
                <w:rFonts w:hint="eastAsia" w:ascii="宋体" w:hAnsi="宋体"/>
                <w:color w:val="auto"/>
                <w:sz w:val="18"/>
                <w:szCs w:val="18"/>
                <w:lang w:eastAsia="zh-CN"/>
              </w:rPr>
              <w:t>水平</w:t>
            </w:r>
            <w:r>
              <w:rPr>
                <w:rFonts w:hint="eastAsia" w:ascii="宋体" w:hAnsi="宋体"/>
                <w:color w:val="auto"/>
                <w:sz w:val="18"/>
                <w:szCs w:val="18"/>
              </w:rPr>
              <w:br w:type="textWrapping"/>
            </w:r>
            <w:r>
              <w:rPr>
                <w:rFonts w:hint="eastAsia" w:ascii="宋体" w:hAnsi="宋体"/>
                <w:color w:val="auto"/>
                <w:sz w:val="18"/>
                <w:szCs w:val="18"/>
              </w:rPr>
              <w:t>（10分）</w:t>
            </w:r>
          </w:p>
        </w:tc>
        <w:tc>
          <w:tcPr>
            <w:tcW w:w="731"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温度达标率</w:t>
            </w:r>
          </w:p>
        </w:tc>
        <w:tc>
          <w:tcPr>
            <w:tcW w:w="370"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w:t>
            </w:r>
          </w:p>
        </w:tc>
        <w:tc>
          <w:tcPr>
            <w:tcW w:w="3239" w:type="pct"/>
            <w:vAlign w:val="center"/>
          </w:tcPr>
          <w:p>
            <w:pPr>
              <w:spacing w:line="240" w:lineRule="auto"/>
              <w:jc w:val="left"/>
              <w:rPr>
                <w:rFonts w:hint="eastAsia" w:ascii="宋体" w:hAnsi="宋体"/>
                <w:color w:val="auto"/>
                <w:sz w:val="18"/>
                <w:szCs w:val="18"/>
              </w:rPr>
            </w:pPr>
            <w:r>
              <w:rPr>
                <w:rFonts w:hint="eastAsia" w:ascii="宋体" w:hAnsi="宋体"/>
                <w:color w:val="auto"/>
                <w:sz w:val="18"/>
                <w:szCs w:val="18"/>
              </w:rPr>
              <w:t>近2个月温度达标率A=温度达标小时数/当月总时×100%,A≥98%，得5分；98%＞A≥95%，得3分。</w:t>
            </w:r>
          </w:p>
        </w:tc>
      </w:tr>
      <w:tr>
        <w:tc>
          <w:tcPr>
            <w:tcW w:w="658"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731"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设备清洁维护</w:t>
            </w:r>
          </w:p>
        </w:tc>
        <w:tc>
          <w:tcPr>
            <w:tcW w:w="370"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239" w:type="pct"/>
            <w:vAlign w:val="center"/>
          </w:tcPr>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有设备维护保养制度，定期巡检、维护和清洁设备，确保冷库的制冷设备、风机和其他关键设备保持清洁、防止锈蚀，并进行定期维护，得5分。</w:t>
            </w:r>
          </w:p>
        </w:tc>
      </w:tr>
      <w:tr>
        <w:tc>
          <w:tcPr>
            <w:tcW w:w="658" w:type="pct"/>
            <w:vAlign w:val="center"/>
          </w:tcPr>
          <w:p>
            <w:pPr>
              <w:spacing w:line="240" w:lineRule="auto"/>
              <w:rPr>
                <w:rFonts w:hint="default" w:ascii="宋体" w:hAnsi="宋体" w:eastAsia="宋体"/>
                <w:color w:val="auto"/>
                <w:sz w:val="18"/>
                <w:szCs w:val="18"/>
                <w:lang w:val="en-US" w:eastAsia="zh-CN"/>
              </w:rPr>
            </w:pPr>
            <w:r>
              <w:rPr>
                <w:rFonts w:hint="eastAsia" w:ascii="宋体" w:hAnsi="宋体"/>
                <w:color w:val="auto"/>
                <w:sz w:val="18"/>
                <w:szCs w:val="18"/>
                <w:lang w:eastAsia="zh-CN"/>
              </w:rPr>
              <w:t>数字化水平</w:t>
            </w:r>
            <w:r>
              <w:rPr>
                <w:rFonts w:hint="eastAsia" w:ascii="宋体" w:hAnsi="宋体"/>
                <w:color w:val="auto"/>
                <w:sz w:val="18"/>
                <w:szCs w:val="18"/>
                <w:lang w:eastAsia="zh-CN"/>
              </w:rPr>
              <w:br w:type="textWrapping"/>
            </w:r>
            <w:r>
              <w:rPr>
                <w:rFonts w:hint="eastAsia" w:ascii="宋体" w:hAnsi="宋体"/>
                <w:color w:val="auto"/>
                <w:sz w:val="18"/>
                <w:szCs w:val="18"/>
                <w:lang w:eastAsia="zh-CN"/>
              </w:rPr>
              <w:t>（</w:t>
            </w:r>
            <w:r>
              <w:rPr>
                <w:rFonts w:hint="eastAsia" w:ascii="宋体" w:hAnsi="宋体"/>
                <w:color w:val="auto"/>
                <w:sz w:val="18"/>
                <w:szCs w:val="18"/>
                <w:lang w:val="en-US" w:eastAsia="zh-CN"/>
              </w:rPr>
              <w:t>12分）</w:t>
            </w:r>
          </w:p>
        </w:tc>
        <w:tc>
          <w:tcPr>
            <w:tcW w:w="731" w:type="pct"/>
            <w:vAlign w:val="center"/>
          </w:tcPr>
          <w:p>
            <w:pPr>
              <w:spacing w:line="240"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管理系统</w:t>
            </w:r>
          </w:p>
        </w:tc>
        <w:tc>
          <w:tcPr>
            <w:tcW w:w="370" w:type="pct"/>
            <w:vAlign w:val="center"/>
          </w:tcPr>
          <w:p>
            <w:pPr>
              <w:spacing w:line="240"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3239" w:type="pct"/>
            <w:vAlign w:val="center"/>
          </w:tcPr>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 企业应用管理系统，对仓储业务合同、出入库工单、库内空间管理、库存管理、费用设置与核算等进行无纸化记录与管理，最高得3分；</w:t>
            </w:r>
          </w:p>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企业管理系统支持与手持pda、标签打印机、扫码枪、RFID传感器等设备连接，支持PC端、手机移动端、车载移动端等多终端操作，实现线上管理与现场作业同步，支持对托盘和库位进行精确定义管理，支持客户远程在线下单、查询、支付，最高得3分；</w:t>
            </w:r>
          </w:p>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 企业管理系统平台化、云化，能与企业内部其他系统平台集成，实现数据打通；并支持与企业外部系统平台、功能模块实现互联网云服务对接，最高得3分；</w:t>
            </w:r>
            <w:r>
              <w:rPr>
                <w:rFonts w:hint="eastAsia"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4、企业管理系统自动记录、统计、分析运营与作业数据，形成可信数据链条，并基于数据分析对运营管理提供优化决策依据,最高得3分。</w:t>
            </w:r>
          </w:p>
        </w:tc>
      </w:tr>
      <w:tr>
        <w:tc>
          <w:tcPr>
            <w:tcW w:w="658" w:type="pct"/>
            <w:vAlign w:val="center"/>
          </w:tcPr>
          <w:p>
            <w:pPr>
              <w:spacing w:line="240" w:lineRule="auto"/>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auto"/>
                <w:sz w:val="18"/>
                <w:szCs w:val="18"/>
                <w:lang w:eastAsia="zh-CN"/>
              </w:rPr>
              <w:t>自动化水平</w:t>
            </w:r>
            <w:r>
              <w:rPr>
                <w:rFonts w:hint="eastAsia" w:ascii="宋体" w:hAnsi="宋体"/>
                <w:color w:val="auto"/>
                <w:sz w:val="18"/>
                <w:szCs w:val="18"/>
                <w:lang w:eastAsia="zh-CN"/>
              </w:rPr>
              <w:br w:type="textWrapping"/>
            </w:r>
            <w:r>
              <w:rPr>
                <w:rFonts w:hint="eastAsia" w:ascii="宋体" w:hAnsi="宋体"/>
                <w:color w:val="auto"/>
                <w:sz w:val="18"/>
                <w:szCs w:val="18"/>
                <w:lang w:eastAsia="zh-CN"/>
              </w:rPr>
              <w:t>（</w:t>
            </w:r>
            <w:r>
              <w:rPr>
                <w:rFonts w:hint="eastAsia" w:ascii="宋体" w:hAnsi="宋体"/>
                <w:color w:val="auto"/>
                <w:sz w:val="18"/>
                <w:szCs w:val="18"/>
                <w:lang w:val="en-US" w:eastAsia="zh-CN"/>
              </w:rPr>
              <w:t>24分）</w:t>
            </w:r>
          </w:p>
        </w:tc>
        <w:tc>
          <w:tcPr>
            <w:tcW w:w="731" w:type="pct"/>
            <w:vAlign w:val="center"/>
          </w:tcPr>
          <w:p>
            <w:pPr>
              <w:spacing w:line="240"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设备管理</w:t>
            </w:r>
          </w:p>
        </w:tc>
        <w:tc>
          <w:tcPr>
            <w:tcW w:w="370" w:type="pct"/>
            <w:vAlign w:val="center"/>
          </w:tcPr>
          <w:p>
            <w:pPr>
              <w:spacing w:line="240"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3239" w:type="pct"/>
            <w:vAlign w:val="center"/>
          </w:tcPr>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1.有制冷设备管理系统，实时监控设备运行情况、能耗、压力情况，系统能够自动报障、预警，或者有货梯远程管理系统，实现货梯远程集中控制，最高得4分；</w:t>
            </w:r>
          </w:p>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2.有温度、湿度传感器，并能够记录历史数据，数据保留时长不少于1个月，得2分；</w:t>
            </w:r>
          </w:p>
          <w:p>
            <w:pPr>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3.应用自动化仓储设备，如自动化立体货架、无人叉车、自动分拣装备、RFID传感器设备等，得2分。</w:t>
            </w:r>
          </w:p>
        </w:tc>
      </w:tr>
    </w:tbl>
    <w:p>
      <w:pPr>
        <w:pStyle w:val="57"/>
        <w:ind w:firstLine="420"/>
      </w:pPr>
    </w:p>
    <w:p>
      <w:pPr>
        <w:pStyle w:val="77"/>
        <w:numPr>
          <w:ilvl w:val="0"/>
          <w:numId w:val="0"/>
        </w:numPr>
        <w:spacing w:before="78" w:after="156"/>
        <w:rPr>
          <w:rFonts w:ascii="宋体" w:hAnsi="宋体" w:eastAsia="宋体"/>
        </w:rPr>
      </w:pPr>
      <w:bookmarkStart w:id="75" w:name="_Toc147763157"/>
      <w:r>
        <w:rPr>
          <w:rFonts w:hint="eastAsia"/>
        </w:rPr>
        <w:t>附录B</w:t>
      </w:r>
      <w:r>
        <w:rPr>
          <w:rFonts w:hint="eastAsia" w:ascii="宋体" w:hAnsi="宋体" w:eastAsia="宋体"/>
        </w:rPr>
        <w:t>（续）</w:t>
      </w:r>
      <w:bookmarkEnd w:id="75"/>
    </w:p>
    <w:tbl>
      <w:tblPr>
        <w:tblStyle w:val="2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541"/>
        <w:gridCol w:w="706"/>
        <w:gridCol w:w="6050"/>
      </w:tblGrid>
      <w:tr>
        <w:tc>
          <w:tcPr>
            <w:tcW w:w="659"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分类指标</w:t>
            </w:r>
          </w:p>
        </w:tc>
        <w:tc>
          <w:tcPr>
            <w:tcW w:w="80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分项指标</w:t>
            </w:r>
          </w:p>
        </w:tc>
        <w:tc>
          <w:tcPr>
            <w:tcW w:w="369" w:type="pct"/>
          </w:tcPr>
          <w:p>
            <w:pPr>
              <w:spacing w:line="24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分值</w:t>
            </w:r>
          </w:p>
        </w:tc>
        <w:tc>
          <w:tcPr>
            <w:tcW w:w="3164" w:type="pct"/>
          </w:tcPr>
          <w:p>
            <w:pPr>
              <w:spacing w:line="24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评分标准</w:t>
            </w:r>
          </w:p>
        </w:tc>
      </w:tr>
      <w:tr>
        <w:tc>
          <w:tcPr>
            <w:tcW w:w="659" w:type="pct"/>
            <w:vMerge w:val="restart"/>
            <w:vAlign w:val="center"/>
          </w:tcPr>
          <w:p>
            <w:pPr>
              <w:spacing w:line="240" w:lineRule="auto"/>
              <w:rPr>
                <w:rFonts w:ascii="宋体" w:hAnsi="宋体"/>
                <w:b/>
                <w:bCs/>
                <w:color w:val="000000" w:themeColor="text1"/>
                <w:sz w:val="18"/>
                <w:szCs w:val="18"/>
                <w14:textFill>
                  <w14:solidFill>
                    <w14:schemeClr w14:val="tx1"/>
                  </w14:solidFill>
                </w14:textFill>
              </w:rPr>
            </w:pP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p>
        </w:tc>
        <w:tc>
          <w:tcPr>
            <w:tcW w:w="369" w:type="pct"/>
            <w:vAlign w:val="center"/>
          </w:tcPr>
          <w:p>
            <w:pPr>
              <w:spacing w:line="240" w:lineRule="auto"/>
              <w:jc w:val="center"/>
              <w:rPr>
                <w:rFonts w:ascii="宋体" w:hAnsi="宋体"/>
                <w:color w:val="000000" w:themeColor="text1"/>
                <w:sz w:val="18"/>
                <w:szCs w:val="18"/>
                <w14:textFill>
                  <w14:solidFill>
                    <w14:schemeClr w14:val="tx1"/>
                  </w14:solidFill>
                </w14:textFill>
              </w:rPr>
            </w:pPr>
          </w:p>
        </w:tc>
        <w:tc>
          <w:tcPr>
            <w:tcW w:w="3164"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4.制冷设备管理系统支持远程管理监控，有数据记录分析能力，并可基于AI算法对于设备运行管理给出优化建议，实现设备安全运行、高效节能，得2分；</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5.各硬件设备管理系统平台化、一体化集成，得2分。</w:t>
            </w:r>
          </w:p>
        </w:tc>
      </w:tr>
      <w:tr>
        <w:tc>
          <w:tcPr>
            <w:tcW w:w="659"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安防与监控管理</w:t>
            </w:r>
          </w:p>
        </w:tc>
        <w:tc>
          <w:tcPr>
            <w:tcW w:w="369"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3164" w:type="pct"/>
            <w:vAlign w:val="center"/>
          </w:tcPr>
          <w:p>
            <w:pPr>
              <w:spacing w:line="240" w:lineRule="auto"/>
              <w:jc w:val="left"/>
              <w:rPr>
                <w:rFonts w:ascii="宋体" w:hAnsi="宋体"/>
                <w:color w:val="auto"/>
                <w:sz w:val="18"/>
                <w:szCs w:val="18"/>
              </w:rPr>
            </w:pPr>
            <w:r>
              <w:rPr>
                <w:rFonts w:hint="eastAsia" w:ascii="宋体" w:hAnsi="宋体"/>
                <w:color w:val="000000" w:themeColor="text1"/>
                <w:sz w:val="18"/>
                <w:szCs w:val="18"/>
                <w14:textFill>
                  <w14:solidFill>
                    <w14:schemeClr w14:val="tx1"/>
                  </w14:solidFill>
                </w14:textFill>
              </w:rPr>
              <w:t>1.有摄像头对仓库出入口、冷库装卸作业区、办公区、设备区等空间实现24</w:t>
            </w:r>
            <w:r>
              <w:rPr>
                <w:rFonts w:hint="eastAsia" w:ascii="宋体" w:hAnsi="宋体"/>
                <w:color w:val="auto"/>
                <w:sz w:val="18"/>
                <w:szCs w:val="18"/>
              </w:rPr>
              <w:t>小时无死角监控；有火灾智能感应、预警与自动灭火系统，实时监控园区和库区火情；有出入场门禁管理系统，对进出车辆和人员进行管理，最高得</w:t>
            </w:r>
            <w:r>
              <w:rPr>
                <w:rFonts w:hint="eastAsia" w:ascii="宋体" w:hAnsi="宋体"/>
                <w:color w:val="auto"/>
                <w:sz w:val="18"/>
                <w:szCs w:val="18"/>
                <w:lang w:val="en-US" w:eastAsia="zh-CN"/>
              </w:rPr>
              <w:t>6</w:t>
            </w:r>
            <w:r>
              <w:rPr>
                <w:rFonts w:hint="eastAsia" w:ascii="宋体" w:hAnsi="宋体"/>
                <w:color w:val="auto"/>
                <w:sz w:val="18"/>
                <w:szCs w:val="18"/>
              </w:rPr>
              <w:t>分；</w:t>
            </w:r>
          </w:p>
          <w:p>
            <w:pPr>
              <w:spacing w:line="240" w:lineRule="auto"/>
              <w:jc w:val="left"/>
              <w:rPr>
                <w:rFonts w:ascii="宋体" w:hAnsi="宋体"/>
                <w:color w:val="auto"/>
                <w:sz w:val="18"/>
                <w:szCs w:val="18"/>
              </w:rPr>
            </w:pPr>
            <w:r>
              <w:rPr>
                <w:rFonts w:hint="eastAsia" w:ascii="宋体" w:hAnsi="宋体"/>
                <w:color w:val="auto"/>
                <w:sz w:val="18"/>
                <w:szCs w:val="18"/>
              </w:rPr>
              <w:t>2.智能摄像头可对监控场景进行智能识别，对作业人员违规操作、未执行安全措施、货物遗漏、边界入侵等异常和危险情况做出主动识别与报警，得</w:t>
            </w:r>
            <w:r>
              <w:rPr>
                <w:rFonts w:hint="eastAsia" w:ascii="宋体" w:hAnsi="宋体"/>
                <w:color w:val="auto"/>
                <w:sz w:val="18"/>
                <w:szCs w:val="18"/>
                <w:lang w:val="en-US" w:eastAsia="zh-CN"/>
              </w:rPr>
              <w:t>3</w:t>
            </w:r>
            <w:r>
              <w:rPr>
                <w:rFonts w:hint="eastAsia" w:ascii="宋体" w:hAnsi="宋体"/>
                <w:color w:val="auto"/>
                <w:sz w:val="18"/>
                <w:szCs w:val="18"/>
              </w:rPr>
              <w:t>分；</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rPr>
              <w:t>3.各业务管理系统可实现平台化、一体化集成，可自动配合订单，实现园区一体化管理。如出入场车辆信息、人员信息可配合出入库业务远程预约，自动识别放行；智能摄像头识别停靠车辆和作业人员，引导指定月台停靠作业等，最高得</w:t>
            </w:r>
            <w:r>
              <w:rPr>
                <w:rFonts w:hint="eastAsia" w:ascii="宋体" w:hAnsi="宋体"/>
                <w:color w:val="auto"/>
                <w:sz w:val="18"/>
                <w:szCs w:val="18"/>
                <w:lang w:val="en-US" w:eastAsia="zh-CN"/>
              </w:rPr>
              <w:t>3</w:t>
            </w:r>
            <w:r>
              <w:rPr>
                <w:rFonts w:hint="eastAsia" w:ascii="宋体" w:hAnsi="宋体"/>
                <w:color w:val="auto"/>
                <w:sz w:val="18"/>
                <w:szCs w:val="18"/>
              </w:rPr>
              <w:t>分。</w:t>
            </w:r>
          </w:p>
        </w:tc>
      </w:tr>
      <w:tr>
        <w:tc>
          <w:tcPr>
            <w:tcW w:w="659" w:type="pct"/>
            <w:vMerge w:val="restar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节能低碳</w:t>
            </w:r>
            <w:r>
              <w:rPr>
                <w:rFonts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（38分）</w:t>
            </w: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循环经济作业</w:t>
            </w:r>
          </w:p>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模式</w:t>
            </w:r>
          </w:p>
        </w:tc>
        <w:tc>
          <w:tcPr>
            <w:tcW w:w="369"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3164" w:type="pct"/>
            <w:vAlign w:val="center"/>
          </w:tcPr>
          <w:p>
            <w:pPr>
              <w:spacing w:line="240" w:lineRule="auto"/>
              <w:jc w:val="left"/>
              <w:rPr>
                <w:rFonts w:ascii="宋体" w:hAnsi="宋体"/>
                <w:color w:val="auto"/>
                <w:sz w:val="18"/>
                <w:szCs w:val="18"/>
              </w:rPr>
            </w:pPr>
            <w:r>
              <w:rPr>
                <w:rFonts w:hint="eastAsia" w:ascii="宋体" w:hAnsi="宋体"/>
                <w:color w:val="000000" w:themeColor="text1"/>
                <w:sz w:val="18"/>
                <w:szCs w:val="18"/>
                <w14:textFill>
                  <w14:solidFill>
                    <w14:schemeClr w14:val="tx1"/>
                  </w14:solidFill>
                </w14:textFill>
              </w:rPr>
              <w:t>1.库</w:t>
            </w:r>
            <w:r>
              <w:rPr>
                <w:rFonts w:hint="eastAsia" w:ascii="宋体" w:hAnsi="宋体"/>
                <w:color w:val="auto"/>
                <w:sz w:val="18"/>
                <w:szCs w:val="18"/>
              </w:rPr>
              <w:t>内有使用循环箱、循环栈板、循环容器</w:t>
            </w:r>
            <w:r>
              <w:rPr>
                <w:rFonts w:hint="eastAsia" w:ascii="宋体" w:hAnsi="宋体"/>
                <w:color w:val="auto"/>
                <w:sz w:val="18"/>
                <w:szCs w:val="18"/>
                <w:lang w:eastAsia="zh-CN"/>
              </w:rPr>
              <w:t>等并提供</w:t>
            </w:r>
            <w:r>
              <w:rPr>
                <w:rFonts w:hint="eastAsia" w:ascii="宋体" w:hAnsi="宋体"/>
                <w:color w:val="auto"/>
                <w:sz w:val="18"/>
                <w:szCs w:val="18"/>
              </w:rPr>
              <w:t>成果说明，得2分；</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rPr>
              <w:t>2.库内有包装减量做法</w:t>
            </w:r>
            <w:r>
              <w:rPr>
                <w:rFonts w:hint="eastAsia" w:ascii="宋体" w:hAnsi="宋体"/>
                <w:color w:val="auto"/>
                <w:sz w:val="18"/>
                <w:szCs w:val="18"/>
                <w:lang w:eastAsia="zh-CN"/>
              </w:rPr>
              <w:t>并提供</w:t>
            </w:r>
            <w:r>
              <w:rPr>
                <w:rFonts w:hint="eastAsia" w:ascii="宋体" w:hAnsi="宋体"/>
                <w:color w:val="auto"/>
                <w:sz w:val="18"/>
                <w:szCs w:val="18"/>
              </w:rPr>
              <w:t>成果</w:t>
            </w:r>
            <w:r>
              <w:rPr>
                <w:rFonts w:hint="eastAsia" w:ascii="宋体" w:hAnsi="宋体"/>
                <w:color w:val="000000" w:themeColor="text1"/>
                <w:sz w:val="18"/>
                <w:szCs w:val="18"/>
                <w14:textFill>
                  <w14:solidFill>
                    <w14:schemeClr w14:val="tx1"/>
                  </w14:solidFill>
                </w14:textFill>
              </w:rPr>
              <w:t>说明，得2分。</w:t>
            </w:r>
          </w:p>
        </w:tc>
      </w:tr>
      <w:tr>
        <w:tc>
          <w:tcPr>
            <w:tcW w:w="659"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废弃物回收</w:t>
            </w:r>
          </w:p>
        </w:tc>
        <w:tc>
          <w:tcPr>
            <w:tcW w:w="369"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4</w:t>
            </w:r>
          </w:p>
        </w:tc>
        <w:tc>
          <w:tcPr>
            <w:tcW w:w="3164" w:type="pct"/>
            <w:vAlign w:val="center"/>
          </w:tcPr>
          <w:p>
            <w:pPr>
              <w:spacing w:line="240" w:lineRule="auto"/>
              <w:jc w:val="left"/>
              <w:rPr>
                <w:rFonts w:hint="eastAsia" w:ascii="宋体" w:hAnsi="宋体" w:eastAsia="宋体"/>
                <w:color w:val="auto"/>
                <w:sz w:val="18"/>
                <w:szCs w:val="18"/>
                <w:lang w:val="en-US" w:eastAsia="zh-CN"/>
              </w:rPr>
            </w:pPr>
            <w:r>
              <w:rPr>
                <w:rFonts w:hint="eastAsia" w:ascii="宋体" w:hAnsi="宋体"/>
                <w:color w:val="auto"/>
                <w:sz w:val="18"/>
                <w:szCs w:val="18"/>
                <w:lang w:eastAsia="zh-CN"/>
              </w:rPr>
              <w:t>年度</w:t>
            </w:r>
            <w:r>
              <w:rPr>
                <w:rFonts w:hint="eastAsia" w:ascii="宋体" w:hAnsi="宋体"/>
                <w:color w:val="auto"/>
                <w:sz w:val="18"/>
                <w:szCs w:val="18"/>
              </w:rPr>
              <w:t>废弃物回收率B=回收的废弃物重量/总废弃物重量×100%,</w:t>
            </w:r>
            <w:r>
              <w:rPr>
                <w:rFonts w:ascii="宋体" w:hAnsi="宋体"/>
                <w:color w:val="auto"/>
                <w:sz w:val="18"/>
                <w:szCs w:val="18"/>
              </w:rPr>
              <w:t>B</w:t>
            </w:r>
            <w:r>
              <w:rPr>
                <w:rFonts w:hint="eastAsia" w:ascii="宋体" w:hAnsi="宋体"/>
                <w:color w:val="auto"/>
                <w:sz w:val="18"/>
                <w:szCs w:val="18"/>
              </w:rPr>
              <w:t>≥50%，得4分；50%＞</w:t>
            </w:r>
            <w:r>
              <w:rPr>
                <w:rFonts w:ascii="宋体" w:hAnsi="宋体"/>
                <w:color w:val="auto"/>
                <w:sz w:val="18"/>
                <w:szCs w:val="18"/>
              </w:rPr>
              <w:t>B</w:t>
            </w:r>
            <w:r>
              <w:rPr>
                <w:rFonts w:hint="eastAsia" w:ascii="宋体" w:hAnsi="宋体"/>
                <w:color w:val="auto"/>
                <w:sz w:val="18"/>
                <w:szCs w:val="18"/>
              </w:rPr>
              <w:t>≥30%，得3分；30%＞</w:t>
            </w:r>
            <w:r>
              <w:rPr>
                <w:rFonts w:ascii="宋体" w:hAnsi="宋体"/>
                <w:color w:val="auto"/>
                <w:sz w:val="18"/>
                <w:szCs w:val="18"/>
              </w:rPr>
              <w:t>B</w:t>
            </w:r>
            <w:r>
              <w:rPr>
                <w:rFonts w:hint="eastAsia" w:ascii="宋体" w:hAnsi="宋体"/>
                <w:color w:val="auto"/>
                <w:sz w:val="18"/>
                <w:szCs w:val="18"/>
              </w:rPr>
              <w:t>≥10%，得2分。</w:t>
            </w:r>
          </w:p>
        </w:tc>
      </w:tr>
      <w:tr>
        <w:tc>
          <w:tcPr>
            <w:tcW w:w="659"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单位能耗</w:t>
            </w:r>
          </w:p>
        </w:tc>
        <w:tc>
          <w:tcPr>
            <w:tcW w:w="369"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64"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auto"/>
                <w:sz w:val="18"/>
                <w:szCs w:val="18"/>
                <w:lang w:eastAsia="zh-CN"/>
              </w:rPr>
              <w:t>年度</w:t>
            </w:r>
            <w:r>
              <w:rPr>
                <w:rFonts w:hint="eastAsia" w:ascii="宋体" w:hAnsi="宋体"/>
                <w:color w:val="auto"/>
                <w:sz w:val="18"/>
                <w:szCs w:val="18"/>
              </w:rPr>
              <w:t>单位能耗C=仓库年度总能耗/仓库总建筑面积。</w:t>
            </w:r>
            <w:r>
              <w:rPr>
                <w:rFonts w:ascii="宋体" w:hAnsi="宋体"/>
                <w:color w:val="auto"/>
                <w:sz w:val="18"/>
                <w:szCs w:val="18"/>
              </w:rPr>
              <w:t>C</w:t>
            </w:r>
            <w:r>
              <w:rPr>
                <w:rFonts w:hint="eastAsia" w:ascii="宋体" w:hAnsi="宋体"/>
                <w:color w:val="auto"/>
                <w:sz w:val="18"/>
                <w:szCs w:val="18"/>
              </w:rPr>
              <w:t>≤220kWh/（㎡.a），得5分；220kWh/（㎡.a）</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≤260kWh/（㎡.a），得3分；260kWh/（㎡.a）＜</w:t>
            </w:r>
            <w:r>
              <w:rPr>
                <w:rFonts w:ascii="宋体" w:hAnsi="宋体"/>
                <w:color w:val="000000" w:themeColor="text1"/>
                <w:sz w:val="18"/>
                <w:szCs w:val="18"/>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≤400kWh/（㎡.a），得2分。</w:t>
            </w:r>
          </w:p>
        </w:tc>
      </w:tr>
      <w:tr>
        <w:tc>
          <w:tcPr>
            <w:tcW w:w="659"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可再生能源使用</w:t>
            </w:r>
          </w:p>
        </w:tc>
        <w:tc>
          <w:tcPr>
            <w:tcW w:w="369"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64"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采用太阳能光伏、风能、回</w:t>
            </w:r>
            <w:r>
              <w:rPr>
                <w:rFonts w:hint="eastAsia" w:ascii="宋体" w:hAnsi="宋体"/>
                <w:color w:val="auto"/>
                <w:sz w:val="18"/>
                <w:szCs w:val="18"/>
              </w:rPr>
              <w:t>收蒸汽等可再生能源</w:t>
            </w:r>
            <w:r>
              <w:rPr>
                <w:rFonts w:hint="eastAsia" w:ascii="宋体" w:hAnsi="宋体"/>
                <w:color w:val="auto"/>
                <w:sz w:val="18"/>
                <w:szCs w:val="18"/>
                <w:highlight w:val="none"/>
                <w:lang w:eastAsia="zh-CN"/>
              </w:rPr>
              <w:t>发电</w:t>
            </w:r>
            <w:r>
              <w:rPr>
                <w:rFonts w:hint="eastAsia" w:ascii="宋体" w:hAnsi="宋体"/>
                <w:color w:val="auto"/>
                <w:sz w:val="18"/>
                <w:szCs w:val="18"/>
              </w:rPr>
              <w:t>，</w:t>
            </w:r>
            <w:r>
              <w:rPr>
                <w:rFonts w:hint="eastAsia" w:ascii="宋体" w:hAnsi="宋体"/>
                <w:color w:val="auto"/>
                <w:sz w:val="18"/>
                <w:szCs w:val="18"/>
                <w:lang w:eastAsia="zh-CN"/>
              </w:rPr>
              <w:t>年度可再生能源发电</w:t>
            </w:r>
            <w:r>
              <w:rPr>
                <w:rFonts w:ascii="宋体" w:hAnsi="宋体"/>
                <w:color w:val="auto"/>
                <w:sz w:val="18"/>
                <w:szCs w:val="18"/>
              </w:rPr>
              <w:t>电力占比</w:t>
            </w:r>
            <w:r>
              <w:rPr>
                <w:rFonts w:hint="eastAsia" w:ascii="宋体" w:hAnsi="宋体"/>
                <w:color w:val="auto"/>
                <w:sz w:val="18"/>
                <w:szCs w:val="18"/>
              </w:rPr>
              <w:t>D=可再生能源发电量kWh/（可再生能源发电量kWh+外部电力用量kWh）×100%，</w:t>
            </w:r>
            <w:r>
              <w:rPr>
                <w:rFonts w:ascii="宋体" w:hAnsi="宋体"/>
                <w:color w:val="auto"/>
                <w:sz w:val="18"/>
                <w:szCs w:val="18"/>
              </w:rPr>
              <w:t>D</w:t>
            </w:r>
            <w:r>
              <w:rPr>
                <w:rFonts w:hint="eastAsia" w:ascii="宋体" w:hAnsi="宋体"/>
                <w:color w:val="auto"/>
                <w:sz w:val="18"/>
                <w:szCs w:val="18"/>
              </w:rPr>
              <w:t>≥10%，得5分，10%</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≥5%，得3分，5%＞</w:t>
            </w:r>
            <w:r>
              <w:rPr>
                <w:rFonts w:ascii="宋体" w:hAnsi="宋体"/>
                <w:color w:val="000000" w:themeColor="text1"/>
                <w:sz w:val="18"/>
                <w:szCs w:val="18"/>
                <w14:textFill>
                  <w14:solidFill>
                    <w14:schemeClr w14:val="tx1"/>
                  </w14:solidFill>
                </w14:textFill>
              </w:rPr>
              <w:t>D</w:t>
            </w:r>
            <w:r>
              <w:rPr>
                <w:rFonts w:hint="eastAsia" w:ascii="宋体" w:hAnsi="宋体"/>
                <w:color w:val="000000" w:themeColor="text1"/>
                <w:sz w:val="18"/>
                <w:szCs w:val="18"/>
                <w14:textFill>
                  <w14:solidFill>
                    <w14:schemeClr w14:val="tx1"/>
                  </w14:solidFill>
                </w14:textFill>
              </w:rPr>
              <w:t>≥0，得1分。</w:t>
            </w:r>
          </w:p>
        </w:tc>
      </w:tr>
      <w:tr>
        <w:tc>
          <w:tcPr>
            <w:tcW w:w="659"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spacing w:line="240"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合理利用低峰</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储电</w:t>
            </w:r>
          </w:p>
        </w:tc>
        <w:tc>
          <w:tcPr>
            <w:tcW w:w="369"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3164" w:type="pct"/>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在确保温区正常情况下通过AI等技术、或采用相变储冷材料进行储冷，平衡能耗和</w:t>
            </w:r>
            <w:r>
              <w:rPr>
                <w:rFonts w:hint="eastAsia" w:ascii="宋体" w:hAnsi="宋体"/>
                <w:color w:val="auto"/>
                <w:sz w:val="18"/>
                <w:szCs w:val="18"/>
              </w:rPr>
              <w:t>需求，</w:t>
            </w:r>
            <w:r>
              <w:rPr>
                <w:rFonts w:hint="eastAsia" w:ascii="宋体" w:hAnsi="宋体"/>
                <w:color w:val="auto"/>
                <w:sz w:val="18"/>
                <w:szCs w:val="18"/>
                <w:lang w:eastAsia="zh-CN"/>
              </w:rPr>
              <w:t>年度</w:t>
            </w:r>
            <w:r>
              <w:rPr>
                <w:rFonts w:hint="eastAsia" w:ascii="宋体" w:hAnsi="宋体"/>
                <w:color w:val="auto"/>
                <w:sz w:val="18"/>
                <w:szCs w:val="18"/>
              </w:rPr>
              <w:t>低谷储电电量占总用电量占比≥10%，得4分；0%＜占比≤5%，得2分。</w:t>
            </w:r>
          </w:p>
        </w:tc>
      </w:tr>
      <w:tr>
        <w:tc>
          <w:tcPr>
            <w:tcW w:w="659"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节能管理</w:t>
            </w:r>
          </w:p>
        </w:tc>
        <w:tc>
          <w:tcPr>
            <w:tcW w:w="369"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3164" w:type="pct"/>
            <w:vAlign w:val="center"/>
          </w:tcPr>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建立</w:t>
            </w:r>
            <w:r>
              <w:rPr>
                <w:rFonts w:ascii="宋体" w:hAnsi="宋体"/>
                <w:color w:val="000000" w:themeColor="text1"/>
                <w:sz w:val="18"/>
                <w:szCs w:val="18"/>
                <w14:textFill>
                  <w14:solidFill>
                    <w14:schemeClr w14:val="tx1"/>
                  </w14:solidFill>
                </w14:textFill>
              </w:rPr>
              <w:t>能耗管理系统</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实现全库节能管理，得</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采取智能开关管理或设备用电联网监控系统，达到能源智能管理，得</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全部使用2级能效等级以上高效设备（如</w:t>
            </w:r>
            <w:r>
              <w:rPr>
                <w:rFonts w:ascii="宋体" w:hAnsi="宋体"/>
                <w:color w:val="000000" w:themeColor="text1"/>
                <w:sz w:val="18"/>
                <w:szCs w:val="18"/>
                <w14:textFill>
                  <w14:solidFill>
                    <w14:schemeClr w14:val="tx1"/>
                  </w14:solidFill>
                </w14:textFill>
              </w:rPr>
              <w:t>用电设备、空调、照明等</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；部分使用2级能效等级以上高效设备，</w:t>
            </w:r>
            <w:r>
              <w:rPr>
                <w:rFonts w:ascii="宋体" w:hAnsi="宋体"/>
                <w:color w:val="000000" w:themeColor="text1"/>
                <w:sz w:val="18"/>
                <w:szCs w:val="18"/>
                <w14:textFill>
                  <w14:solidFill>
                    <w14:schemeClr w14:val="tx1"/>
                  </w14:solidFill>
                </w14:textFill>
              </w:rPr>
              <w:t>得</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p>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r>
              <w:rPr>
                <w:rFonts w:ascii="宋体" w:hAnsi="宋体"/>
                <w:color w:val="000000" w:themeColor="text1"/>
                <w:sz w:val="18"/>
                <w:szCs w:val="18"/>
                <w14:textFill>
                  <w14:solidFill>
                    <w14:schemeClr w14:val="tx1"/>
                  </w14:solidFill>
                </w14:textFill>
              </w:rPr>
              <w:t>有</w:t>
            </w:r>
            <w:r>
              <w:rPr>
                <w:rFonts w:hint="eastAsia" w:ascii="宋体" w:hAnsi="宋体"/>
                <w:color w:val="000000" w:themeColor="text1"/>
                <w:sz w:val="18"/>
                <w:szCs w:val="18"/>
                <w14:textFill>
                  <w14:solidFill>
                    <w14:schemeClr w14:val="tx1"/>
                  </w14:solidFill>
                </w14:textFill>
              </w:rPr>
              <w:t>完善的</w:t>
            </w:r>
            <w:r>
              <w:rPr>
                <w:rFonts w:ascii="宋体" w:hAnsi="宋体"/>
                <w:color w:val="000000" w:themeColor="text1"/>
                <w:sz w:val="18"/>
                <w:szCs w:val="18"/>
                <w14:textFill>
                  <w14:solidFill>
                    <w14:schemeClr w14:val="tx1"/>
                  </w14:solidFill>
                </w14:textFill>
              </w:rPr>
              <w:t>节能</w:t>
            </w:r>
            <w:r>
              <w:rPr>
                <w:rFonts w:hint="eastAsia" w:ascii="宋体" w:hAnsi="宋体"/>
                <w:color w:val="000000" w:themeColor="text1"/>
                <w:sz w:val="18"/>
                <w:szCs w:val="18"/>
                <w14:textFill>
                  <w14:solidFill>
                    <w14:schemeClr w14:val="tx1"/>
                  </w14:solidFill>
                </w14:textFill>
              </w:rPr>
              <w:t>管理相关规章并已</w:t>
            </w:r>
            <w:r>
              <w:rPr>
                <w:rFonts w:ascii="宋体" w:hAnsi="宋体"/>
                <w:color w:val="000000" w:themeColor="text1"/>
                <w:sz w:val="18"/>
                <w:szCs w:val="18"/>
                <w14:textFill>
                  <w14:solidFill>
                    <w14:schemeClr w14:val="tx1"/>
                  </w14:solidFill>
                </w14:textFill>
              </w:rPr>
              <w:t>执行，得</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分</w:t>
            </w:r>
            <w:r>
              <w:rPr>
                <w:rFonts w:hint="eastAsia" w:ascii="宋体" w:hAnsi="宋体"/>
                <w:color w:val="000000" w:themeColor="text1"/>
                <w:sz w:val="18"/>
                <w:szCs w:val="18"/>
                <w14:textFill>
                  <w14:solidFill>
                    <w14:schemeClr w14:val="tx1"/>
                  </w14:solidFill>
                </w14:textFill>
              </w:rPr>
              <w:t>。</w:t>
            </w:r>
          </w:p>
        </w:tc>
      </w:tr>
    </w:tbl>
    <w:p>
      <w:pPr>
        <w:pStyle w:val="77"/>
        <w:numPr>
          <w:ilvl w:val="0"/>
          <w:numId w:val="0"/>
        </w:numPr>
        <w:spacing w:before="78" w:after="156"/>
      </w:pPr>
    </w:p>
    <w:p>
      <w:pPr>
        <w:pStyle w:val="77"/>
        <w:numPr>
          <w:ilvl w:val="0"/>
          <w:numId w:val="0"/>
        </w:numPr>
        <w:spacing w:before="78" w:after="156"/>
      </w:pPr>
    </w:p>
    <w:p>
      <w:pPr>
        <w:pStyle w:val="77"/>
        <w:numPr>
          <w:ilvl w:val="0"/>
          <w:numId w:val="0"/>
        </w:numPr>
        <w:spacing w:before="78" w:after="156"/>
      </w:pPr>
      <w:bookmarkStart w:id="76" w:name="_Toc147763158"/>
      <w:r>
        <w:rPr>
          <w:rFonts w:hint="eastAsia"/>
        </w:rPr>
        <w:t>附录B</w:t>
      </w:r>
      <w:r>
        <w:rPr>
          <w:rFonts w:hint="eastAsia" w:ascii="宋体" w:hAnsi="宋体" w:eastAsia="宋体"/>
        </w:rPr>
        <w:t>（续）</w:t>
      </w:r>
      <w:bookmarkEnd w:id="76"/>
    </w:p>
    <w:tbl>
      <w:tblPr>
        <w:tblStyle w:val="2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541"/>
        <w:gridCol w:w="706"/>
        <w:gridCol w:w="6050"/>
      </w:tblGrid>
      <w:tr>
        <w:tc>
          <w:tcPr>
            <w:tcW w:w="659"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分类指标</w:t>
            </w:r>
          </w:p>
        </w:tc>
        <w:tc>
          <w:tcPr>
            <w:tcW w:w="806" w:type="pct"/>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分项指标</w:t>
            </w:r>
          </w:p>
        </w:tc>
        <w:tc>
          <w:tcPr>
            <w:tcW w:w="369" w:type="pct"/>
          </w:tcPr>
          <w:p>
            <w:pPr>
              <w:spacing w:line="24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分值</w:t>
            </w:r>
          </w:p>
        </w:tc>
        <w:tc>
          <w:tcPr>
            <w:tcW w:w="3164" w:type="pct"/>
          </w:tcPr>
          <w:p>
            <w:pPr>
              <w:spacing w:line="24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评分标准</w:t>
            </w:r>
          </w:p>
        </w:tc>
      </w:tr>
      <w:tr>
        <w:tc>
          <w:tcPr>
            <w:tcW w:w="659" w:type="pct"/>
            <w:vMerge w:val="restart"/>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autoSpaceDE w:val="0"/>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绿电占比</w:t>
            </w:r>
            <w:r>
              <w:rPr>
                <w:rFonts w:ascii="宋体" w:hAnsi="宋体"/>
                <w:color w:val="000000" w:themeColor="text1"/>
                <w:sz w:val="18"/>
                <w:szCs w:val="18"/>
                <w14:textFill>
                  <w14:solidFill>
                    <w14:schemeClr w14:val="tx1"/>
                  </w14:solidFill>
                </w14:textFill>
              </w:rPr>
              <w:br w:type="textWrapping"/>
            </w:r>
            <w:r>
              <w:rPr>
                <w:rFonts w:hint="eastAsia" w:ascii="宋体" w:hAnsi="宋体"/>
                <w:color w:val="000000" w:themeColor="text1"/>
                <w:sz w:val="18"/>
                <w:szCs w:val="18"/>
                <w14:textFill>
                  <w14:solidFill>
                    <w14:schemeClr w14:val="tx1"/>
                  </w14:solidFill>
                </w14:textFill>
              </w:rPr>
              <w:t>（不含碳抵消）</w:t>
            </w:r>
          </w:p>
        </w:tc>
        <w:tc>
          <w:tcPr>
            <w:tcW w:w="369" w:type="pct"/>
            <w:vAlign w:val="center"/>
          </w:tcPr>
          <w:p>
            <w:pPr>
              <w:autoSpaceDE w:val="0"/>
              <w:spacing w:line="240" w:lineRule="auto"/>
              <w:jc w:val="center"/>
              <w:rPr>
                <w:rFonts w:ascii="宋体" w:hAnsi="宋体"/>
                <w:color w:val="auto"/>
                <w:sz w:val="18"/>
                <w:szCs w:val="18"/>
              </w:rPr>
            </w:pPr>
            <w:r>
              <w:rPr>
                <w:rFonts w:hint="eastAsia" w:ascii="宋体" w:hAnsi="宋体"/>
                <w:color w:val="auto"/>
                <w:sz w:val="18"/>
                <w:szCs w:val="18"/>
              </w:rPr>
              <w:t>3</w:t>
            </w:r>
          </w:p>
        </w:tc>
        <w:tc>
          <w:tcPr>
            <w:tcW w:w="3164" w:type="pct"/>
            <w:vAlign w:val="center"/>
          </w:tcPr>
          <w:p>
            <w:pPr>
              <w:autoSpaceDE w:val="0"/>
              <w:spacing w:line="240" w:lineRule="auto"/>
              <w:rPr>
                <w:rFonts w:ascii="宋体" w:hAnsi="宋体"/>
                <w:color w:val="auto"/>
                <w:sz w:val="18"/>
                <w:szCs w:val="18"/>
              </w:rPr>
            </w:pPr>
            <w:r>
              <w:rPr>
                <w:rFonts w:hint="eastAsia" w:ascii="宋体" w:hAnsi="宋体"/>
                <w:color w:val="auto"/>
                <w:sz w:val="18"/>
                <w:szCs w:val="18"/>
                <w:lang w:eastAsia="zh-CN"/>
              </w:rPr>
              <w:t>年度</w:t>
            </w:r>
            <w:r>
              <w:rPr>
                <w:rFonts w:hint="eastAsia" w:ascii="宋体" w:hAnsi="宋体"/>
                <w:color w:val="auto"/>
                <w:sz w:val="18"/>
                <w:szCs w:val="18"/>
              </w:rPr>
              <w:t>绿电占比F=绿电使用电量(绿证+绿电直接采购）kWh/（绿电使用电量kWh+外部电力用量kWh）×100%，F≥10%，得3分，10%＞F≥5%，得2分，5%＞F≥0%，得1分。</w:t>
            </w:r>
          </w:p>
        </w:tc>
      </w:tr>
      <w:tr>
        <w:tc>
          <w:tcPr>
            <w:tcW w:w="659" w:type="pct"/>
            <w:vMerge w:val="continue"/>
            <w:vAlign w:val="center"/>
          </w:tcPr>
          <w:p>
            <w:pPr>
              <w:spacing w:line="240" w:lineRule="auto"/>
              <w:rPr>
                <w:rFonts w:ascii="宋体" w:hAnsi="宋体"/>
                <w:color w:val="000000" w:themeColor="text1"/>
                <w:sz w:val="18"/>
                <w:szCs w:val="18"/>
                <w14:textFill>
                  <w14:solidFill>
                    <w14:schemeClr w14:val="tx1"/>
                  </w14:solidFill>
                </w14:textFill>
              </w:rPr>
            </w:pPr>
          </w:p>
        </w:tc>
        <w:tc>
          <w:tcPr>
            <w:tcW w:w="806" w:type="pct"/>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降碳举措及成效</w:t>
            </w:r>
          </w:p>
        </w:tc>
        <w:tc>
          <w:tcPr>
            <w:tcW w:w="369" w:type="pct"/>
            <w:vAlign w:val="center"/>
          </w:tcPr>
          <w:p>
            <w:pPr>
              <w:autoSpaceDE w:val="0"/>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164" w:type="pct"/>
            <w:vAlign w:val="center"/>
          </w:tcPr>
          <w:p>
            <w:pPr>
              <w:autoSpaceDE w:val="0"/>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1.具备碳排放管理系统，或公开ESG、碳中和报告，或取得第三方认证（如德国莱茵TUV、英国建筑研究院(BRE)的净零碳物流园区认证、铂金级LEED认证），得5分；</w:t>
            </w:r>
          </w:p>
          <w:p>
            <w:pPr>
              <w:autoSpaceDE w:val="0"/>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 所属法人参与SBTi、T</w:t>
            </w:r>
            <w:r>
              <w:rPr>
                <w:rFonts w:hint="eastAsia" w:ascii="宋体" w:hAnsi="宋体"/>
                <w:color w:val="000000" w:themeColor="text1"/>
                <w:sz w:val="18"/>
                <w:szCs w:val="18"/>
                <w:lang w:val="en-US" w:eastAsia="zh-CN"/>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 xml:space="preserve">FD、CDP等国际组织的碳排放揭露工作或公布“3060双碳”减排承诺及措施，得4分； </w:t>
            </w:r>
          </w:p>
          <w:p>
            <w:pPr>
              <w:autoSpaceDE w:val="0"/>
              <w:spacing w:line="24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3.已参与政府或机构的碳核查或CCER，得3分；</w:t>
            </w:r>
          </w:p>
          <w:p>
            <w:pPr>
              <w:autoSpaceDE w:val="0"/>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4.具有减碳发展规划及目标，并在经营中贯彻落实发展理念，得2分。</w:t>
            </w:r>
          </w:p>
        </w:tc>
      </w:tr>
      <w:bookmarkEnd w:id="71"/>
    </w:tbl>
    <w:p>
      <w:pPr>
        <w:pStyle w:val="57"/>
        <w:ind w:firstLine="0" w:firstLineChars="0"/>
      </w:pPr>
    </w:p>
    <w:p>
      <w:pPr>
        <w:pStyle w:val="57"/>
        <w:ind w:firstLine="0" w:firstLineChars="0"/>
        <w:jc w:val="center"/>
      </w:pPr>
      <w:bookmarkStart w:id="77" w:name="BookMark8"/>
      <w:r>
        <w:drawing>
          <wp:inline distT="0" distB="0" distL="0" distR="0">
            <wp:extent cx="1485900" cy="3175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stretch>
                      <a:fillRect/>
                    </a:stretch>
                  </pic:blipFill>
                  <pic:spPr>
                    <a:xfrm>
                      <a:off x="0" y="0"/>
                      <a:ext cx="1485900" cy="317500"/>
                    </a:xfrm>
                    <a:prstGeom prst="rect">
                      <a:avLst/>
                    </a:prstGeom>
                  </pic:spPr>
                </pic:pic>
              </a:graphicData>
            </a:graphic>
          </wp:inline>
        </w:drawing>
      </w:r>
      <w:bookmarkEnd w:id="77"/>
      <w:bookmarkStart w:id="78" w:name="_GoBack"/>
      <w:bookmarkEnd w:id="78"/>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儷宋 Pro">
    <w:panose1 w:val="020203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4403/T 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 4403/T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482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attachedTemplate r:id="rId1"/>
  <w:documentProtection w:edit="forms" w:enforcement="1"/>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2JlNjE3YjI2ZDk2ZjlkNWUwZGI2Zjg2ZTQzODYifQ=="/>
  </w:docVars>
  <w:rsids>
    <w:rsidRoot w:val="004B661F"/>
    <w:rsid w:val="0000040A"/>
    <w:rsid w:val="00000701"/>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D56"/>
    <w:rsid w:val="0002595E"/>
    <w:rsid w:val="000303C3"/>
    <w:rsid w:val="000331D3"/>
    <w:rsid w:val="000346A5"/>
    <w:rsid w:val="000359C3"/>
    <w:rsid w:val="00035A7D"/>
    <w:rsid w:val="000365ED"/>
    <w:rsid w:val="00036739"/>
    <w:rsid w:val="00040FA8"/>
    <w:rsid w:val="000420D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1A4"/>
    <w:rsid w:val="000619E9"/>
    <w:rsid w:val="000622D4"/>
    <w:rsid w:val="0006357D"/>
    <w:rsid w:val="00067F1E"/>
    <w:rsid w:val="000704DB"/>
    <w:rsid w:val="00070EBB"/>
    <w:rsid w:val="00071CC0"/>
    <w:rsid w:val="00073C8C"/>
    <w:rsid w:val="000740A5"/>
    <w:rsid w:val="00077B64"/>
    <w:rsid w:val="00080A1C"/>
    <w:rsid w:val="0008212B"/>
    <w:rsid w:val="00082317"/>
    <w:rsid w:val="00083D2C"/>
    <w:rsid w:val="00086AA1"/>
    <w:rsid w:val="00087A77"/>
    <w:rsid w:val="00090A30"/>
    <w:rsid w:val="00090CA6"/>
    <w:rsid w:val="00092B8A"/>
    <w:rsid w:val="00092FB0"/>
    <w:rsid w:val="000934C5"/>
    <w:rsid w:val="00093D25"/>
    <w:rsid w:val="00093DAB"/>
    <w:rsid w:val="00094D73"/>
    <w:rsid w:val="00096D63"/>
    <w:rsid w:val="000A0B60"/>
    <w:rsid w:val="000A0EB8"/>
    <w:rsid w:val="000A178A"/>
    <w:rsid w:val="000A19FC"/>
    <w:rsid w:val="000A296B"/>
    <w:rsid w:val="000A7311"/>
    <w:rsid w:val="000B060F"/>
    <w:rsid w:val="000B1592"/>
    <w:rsid w:val="000B1FF2"/>
    <w:rsid w:val="000B3BE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61C"/>
    <w:rsid w:val="000D5A1F"/>
    <w:rsid w:val="000D753B"/>
    <w:rsid w:val="000E4C9E"/>
    <w:rsid w:val="000E6FD7"/>
    <w:rsid w:val="000F06E1"/>
    <w:rsid w:val="000F0E3C"/>
    <w:rsid w:val="000F19D5"/>
    <w:rsid w:val="000F4AEA"/>
    <w:rsid w:val="000F633F"/>
    <w:rsid w:val="000F67E9"/>
    <w:rsid w:val="001017B1"/>
    <w:rsid w:val="00104926"/>
    <w:rsid w:val="00113B1E"/>
    <w:rsid w:val="0011711C"/>
    <w:rsid w:val="0012059C"/>
    <w:rsid w:val="00121209"/>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972"/>
    <w:rsid w:val="00151034"/>
    <w:rsid w:val="001529E5"/>
    <w:rsid w:val="00153C7E"/>
    <w:rsid w:val="00156B25"/>
    <w:rsid w:val="00156E1A"/>
    <w:rsid w:val="00157894"/>
    <w:rsid w:val="00157B55"/>
    <w:rsid w:val="001642FA"/>
    <w:rsid w:val="001649EB"/>
    <w:rsid w:val="00164BAF"/>
    <w:rsid w:val="00164FA8"/>
    <w:rsid w:val="00165065"/>
    <w:rsid w:val="00165434"/>
    <w:rsid w:val="0016580B"/>
    <w:rsid w:val="00165B50"/>
    <w:rsid w:val="00165F49"/>
    <w:rsid w:val="00166B88"/>
    <w:rsid w:val="00167560"/>
    <w:rsid w:val="0016770A"/>
    <w:rsid w:val="00170804"/>
    <w:rsid w:val="001708E9"/>
    <w:rsid w:val="0017340B"/>
    <w:rsid w:val="00173FB1"/>
    <w:rsid w:val="001749AD"/>
    <w:rsid w:val="00175323"/>
    <w:rsid w:val="00176DFD"/>
    <w:rsid w:val="00181DF3"/>
    <w:rsid w:val="001852C9"/>
    <w:rsid w:val="00190087"/>
    <w:rsid w:val="001913C4"/>
    <w:rsid w:val="0019348F"/>
    <w:rsid w:val="00193A07"/>
    <w:rsid w:val="00194C95"/>
    <w:rsid w:val="00195C34"/>
    <w:rsid w:val="00196EF5"/>
    <w:rsid w:val="001A1A53"/>
    <w:rsid w:val="001A234A"/>
    <w:rsid w:val="001A4CF3"/>
    <w:rsid w:val="001A4D2C"/>
    <w:rsid w:val="001B06E8"/>
    <w:rsid w:val="001B71D0"/>
    <w:rsid w:val="001B71EE"/>
    <w:rsid w:val="001C04A8"/>
    <w:rsid w:val="001C2C03"/>
    <w:rsid w:val="001C42F7"/>
    <w:rsid w:val="001C49E5"/>
    <w:rsid w:val="001C680C"/>
    <w:rsid w:val="001C7691"/>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EB9"/>
    <w:rsid w:val="001F143A"/>
    <w:rsid w:val="001F1605"/>
    <w:rsid w:val="001F2508"/>
    <w:rsid w:val="001F4816"/>
    <w:rsid w:val="001F4EE9"/>
    <w:rsid w:val="001F69B4"/>
    <w:rsid w:val="001F77C7"/>
    <w:rsid w:val="00200183"/>
    <w:rsid w:val="00200333"/>
    <w:rsid w:val="0020074F"/>
    <w:rsid w:val="0020107D"/>
    <w:rsid w:val="00201DE6"/>
    <w:rsid w:val="00202AA4"/>
    <w:rsid w:val="002031F7"/>
    <w:rsid w:val="002040E6"/>
    <w:rsid w:val="0020527B"/>
    <w:rsid w:val="00205F2C"/>
    <w:rsid w:val="00210B15"/>
    <w:rsid w:val="002142EA"/>
    <w:rsid w:val="00215E04"/>
    <w:rsid w:val="002204BB"/>
    <w:rsid w:val="00221B79"/>
    <w:rsid w:val="00221C6B"/>
    <w:rsid w:val="002253A1"/>
    <w:rsid w:val="00225CF8"/>
    <w:rsid w:val="0022794E"/>
    <w:rsid w:val="00233D64"/>
    <w:rsid w:val="0023482A"/>
    <w:rsid w:val="002359CB"/>
    <w:rsid w:val="00243540"/>
    <w:rsid w:val="0024497B"/>
    <w:rsid w:val="0024515B"/>
    <w:rsid w:val="002459A7"/>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631"/>
    <w:rsid w:val="00270CB8"/>
    <w:rsid w:val="00272B08"/>
    <w:rsid w:val="0027515B"/>
    <w:rsid w:val="00281BB8"/>
    <w:rsid w:val="00281E9E"/>
    <w:rsid w:val="00282405"/>
    <w:rsid w:val="00285170"/>
    <w:rsid w:val="00285361"/>
    <w:rsid w:val="002909C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F4"/>
    <w:rsid w:val="002B0C40"/>
    <w:rsid w:val="002B1966"/>
    <w:rsid w:val="002B4508"/>
    <w:rsid w:val="002B5779"/>
    <w:rsid w:val="002B7332"/>
    <w:rsid w:val="002B78E2"/>
    <w:rsid w:val="002B7F51"/>
    <w:rsid w:val="002C09E7"/>
    <w:rsid w:val="002C1E06"/>
    <w:rsid w:val="002C1E1C"/>
    <w:rsid w:val="002C3F07"/>
    <w:rsid w:val="002C487A"/>
    <w:rsid w:val="002C5278"/>
    <w:rsid w:val="002C7EBB"/>
    <w:rsid w:val="002D06C1"/>
    <w:rsid w:val="002D42B5"/>
    <w:rsid w:val="002D4F1A"/>
    <w:rsid w:val="002D5B03"/>
    <w:rsid w:val="002D6EC6"/>
    <w:rsid w:val="002D79AC"/>
    <w:rsid w:val="002E039D"/>
    <w:rsid w:val="002E2B3B"/>
    <w:rsid w:val="002E4D5A"/>
    <w:rsid w:val="002E6326"/>
    <w:rsid w:val="002F06DF"/>
    <w:rsid w:val="002F30E0"/>
    <w:rsid w:val="002F35E4"/>
    <w:rsid w:val="002F3730"/>
    <w:rsid w:val="002F38E1"/>
    <w:rsid w:val="002F7AF6"/>
    <w:rsid w:val="00300E63"/>
    <w:rsid w:val="003019B5"/>
    <w:rsid w:val="00302F5F"/>
    <w:rsid w:val="0030407C"/>
    <w:rsid w:val="0030441D"/>
    <w:rsid w:val="00306063"/>
    <w:rsid w:val="00313B85"/>
    <w:rsid w:val="00315FA5"/>
    <w:rsid w:val="00317988"/>
    <w:rsid w:val="003212BB"/>
    <w:rsid w:val="003221B4"/>
    <w:rsid w:val="0032258D"/>
    <w:rsid w:val="00322E62"/>
    <w:rsid w:val="00324D13"/>
    <w:rsid w:val="00324D2A"/>
    <w:rsid w:val="00324EDD"/>
    <w:rsid w:val="00331899"/>
    <w:rsid w:val="003331E4"/>
    <w:rsid w:val="00336C64"/>
    <w:rsid w:val="00337162"/>
    <w:rsid w:val="003405D5"/>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5C6"/>
    <w:rsid w:val="00392AD7"/>
    <w:rsid w:val="003938D9"/>
    <w:rsid w:val="00394376"/>
    <w:rsid w:val="003943FF"/>
    <w:rsid w:val="00395700"/>
    <w:rsid w:val="003974EB"/>
    <w:rsid w:val="00397CC5"/>
    <w:rsid w:val="003A1582"/>
    <w:rsid w:val="003A19F1"/>
    <w:rsid w:val="003A4077"/>
    <w:rsid w:val="003B09AD"/>
    <w:rsid w:val="003B1F18"/>
    <w:rsid w:val="003B5BF0"/>
    <w:rsid w:val="003B60BF"/>
    <w:rsid w:val="003B6BE3"/>
    <w:rsid w:val="003C010C"/>
    <w:rsid w:val="003C0A6C"/>
    <w:rsid w:val="003C14F8"/>
    <w:rsid w:val="003C5A43"/>
    <w:rsid w:val="003D0519"/>
    <w:rsid w:val="003D0FF6"/>
    <w:rsid w:val="003D1AA9"/>
    <w:rsid w:val="003D262C"/>
    <w:rsid w:val="003D6D61"/>
    <w:rsid w:val="003E091D"/>
    <w:rsid w:val="003E1C53"/>
    <w:rsid w:val="003E29C8"/>
    <w:rsid w:val="003E2A69"/>
    <w:rsid w:val="003E2D49"/>
    <w:rsid w:val="003E2FD4"/>
    <w:rsid w:val="003E49F6"/>
    <w:rsid w:val="003E660F"/>
    <w:rsid w:val="003F0841"/>
    <w:rsid w:val="003F23D3"/>
    <w:rsid w:val="003F25AA"/>
    <w:rsid w:val="003F3F08"/>
    <w:rsid w:val="003F49F1"/>
    <w:rsid w:val="003F6272"/>
    <w:rsid w:val="003F678E"/>
    <w:rsid w:val="00400502"/>
    <w:rsid w:val="00400E72"/>
    <w:rsid w:val="00401400"/>
    <w:rsid w:val="00402C0D"/>
    <w:rsid w:val="00402D60"/>
    <w:rsid w:val="00404869"/>
    <w:rsid w:val="00404DB5"/>
    <w:rsid w:val="00405884"/>
    <w:rsid w:val="00407D39"/>
    <w:rsid w:val="0041477A"/>
    <w:rsid w:val="004167A3"/>
    <w:rsid w:val="00432DAA"/>
    <w:rsid w:val="00434305"/>
    <w:rsid w:val="00435DF7"/>
    <w:rsid w:val="004404F1"/>
    <w:rsid w:val="0044083F"/>
    <w:rsid w:val="00441AE7"/>
    <w:rsid w:val="004450E8"/>
    <w:rsid w:val="00445574"/>
    <w:rsid w:val="004467FB"/>
    <w:rsid w:val="00452D6B"/>
    <w:rsid w:val="00454484"/>
    <w:rsid w:val="0045517B"/>
    <w:rsid w:val="00463B77"/>
    <w:rsid w:val="00463C7B"/>
    <w:rsid w:val="004644A6"/>
    <w:rsid w:val="004659BD"/>
    <w:rsid w:val="00470775"/>
    <w:rsid w:val="004746B1"/>
    <w:rsid w:val="0047583F"/>
    <w:rsid w:val="00475DE8"/>
    <w:rsid w:val="00477D8D"/>
    <w:rsid w:val="00481C44"/>
    <w:rsid w:val="00484936"/>
    <w:rsid w:val="00485C89"/>
    <w:rsid w:val="00486BE3"/>
    <w:rsid w:val="004905E4"/>
    <w:rsid w:val="00490A89"/>
    <w:rsid w:val="00490AB4"/>
    <w:rsid w:val="00491A88"/>
    <w:rsid w:val="00492F02"/>
    <w:rsid w:val="004939AE"/>
    <w:rsid w:val="00494D4E"/>
    <w:rsid w:val="004A0E38"/>
    <w:rsid w:val="004A12DF"/>
    <w:rsid w:val="004A17E6"/>
    <w:rsid w:val="004A1BA8"/>
    <w:rsid w:val="004A4B57"/>
    <w:rsid w:val="004A63FA"/>
    <w:rsid w:val="004B0272"/>
    <w:rsid w:val="004B2701"/>
    <w:rsid w:val="004B2E1B"/>
    <w:rsid w:val="004B3AA8"/>
    <w:rsid w:val="004B3E93"/>
    <w:rsid w:val="004B661F"/>
    <w:rsid w:val="004B6FCC"/>
    <w:rsid w:val="004C0D5E"/>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F99"/>
    <w:rsid w:val="004F33EC"/>
    <w:rsid w:val="004F391A"/>
    <w:rsid w:val="004F3CFB"/>
    <w:rsid w:val="004F401B"/>
    <w:rsid w:val="004F6456"/>
    <w:rsid w:val="004F696E"/>
    <w:rsid w:val="004F6C71"/>
    <w:rsid w:val="00501139"/>
    <w:rsid w:val="0050363E"/>
    <w:rsid w:val="005039BC"/>
    <w:rsid w:val="005043BB"/>
    <w:rsid w:val="00504A3D"/>
    <w:rsid w:val="00505544"/>
    <w:rsid w:val="00505767"/>
    <w:rsid w:val="005071CA"/>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429"/>
    <w:rsid w:val="00587ADD"/>
    <w:rsid w:val="00591E27"/>
    <w:rsid w:val="00596160"/>
    <w:rsid w:val="005966E2"/>
    <w:rsid w:val="00597007"/>
    <w:rsid w:val="005A0966"/>
    <w:rsid w:val="005A11B7"/>
    <w:rsid w:val="005A260B"/>
    <w:rsid w:val="005A4A1B"/>
    <w:rsid w:val="005A7830"/>
    <w:rsid w:val="005A7FCE"/>
    <w:rsid w:val="005B0F3F"/>
    <w:rsid w:val="005B317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149A"/>
    <w:rsid w:val="005F284E"/>
    <w:rsid w:val="005F4712"/>
    <w:rsid w:val="005F4CB3"/>
    <w:rsid w:val="006015CE"/>
    <w:rsid w:val="00601BC2"/>
    <w:rsid w:val="00604784"/>
    <w:rsid w:val="00606419"/>
    <w:rsid w:val="00607D29"/>
    <w:rsid w:val="00612952"/>
    <w:rsid w:val="00614CC1"/>
    <w:rsid w:val="00615A9D"/>
    <w:rsid w:val="00617387"/>
    <w:rsid w:val="006205D6"/>
    <w:rsid w:val="00620BEE"/>
    <w:rsid w:val="006252D8"/>
    <w:rsid w:val="006259BC"/>
    <w:rsid w:val="0062636B"/>
    <w:rsid w:val="00632182"/>
    <w:rsid w:val="00632AE0"/>
    <w:rsid w:val="00633C17"/>
    <w:rsid w:val="00634D9E"/>
    <w:rsid w:val="00635D79"/>
    <w:rsid w:val="00636E3E"/>
    <w:rsid w:val="006379F7"/>
    <w:rsid w:val="00637E4D"/>
    <w:rsid w:val="00640620"/>
    <w:rsid w:val="0064138A"/>
    <w:rsid w:val="00641A1F"/>
    <w:rsid w:val="00645904"/>
    <w:rsid w:val="00651ACB"/>
    <w:rsid w:val="00651C47"/>
    <w:rsid w:val="00652AB2"/>
    <w:rsid w:val="00653FED"/>
    <w:rsid w:val="00654EC0"/>
    <w:rsid w:val="0065525B"/>
    <w:rsid w:val="00655D4F"/>
    <w:rsid w:val="00656D29"/>
    <w:rsid w:val="006640E5"/>
    <w:rsid w:val="0066454C"/>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C80"/>
    <w:rsid w:val="00695D22"/>
    <w:rsid w:val="00697D9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1CD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0B44"/>
    <w:rsid w:val="007322D9"/>
    <w:rsid w:val="00732BC0"/>
    <w:rsid w:val="0073720F"/>
    <w:rsid w:val="00737796"/>
    <w:rsid w:val="0074165C"/>
    <w:rsid w:val="00742C35"/>
    <w:rsid w:val="007432CA"/>
    <w:rsid w:val="007439EB"/>
    <w:rsid w:val="00743CB4"/>
    <w:rsid w:val="00743F0A"/>
    <w:rsid w:val="007444E8"/>
    <w:rsid w:val="0074548E"/>
    <w:rsid w:val="00745773"/>
    <w:rsid w:val="00746026"/>
    <w:rsid w:val="00746800"/>
    <w:rsid w:val="007501A8"/>
    <w:rsid w:val="00750D61"/>
    <w:rsid w:val="00750EE1"/>
    <w:rsid w:val="00752B4D"/>
    <w:rsid w:val="00755402"/>
    <w:rsid w:val="00756B26"/>
    <w:rsid w:val="00756EDF"/>
    <w:rsid w:val="007600E3"/>
    <w:rsid w:val="0076071E"/>
    <w:rsid w:val="00765C43"/>
    <w:rsid w:val="00765EFB"/>
    <w:rsid w:val="007671CA"/>
    <w:rsid w:val="00767C61"/>
    <w:rsid w:val="0077008A"/>
    <w:rsid w:val="00773C1F"/>
    <w:rsid w:val="00774DA4"/>
    <w:rsid w:val="00776599"/>
    <w:rsid w:val="0078114B"/>
    <w:rsid w:val="00781DD2"/>
    <w:rsid w:val="00783ECF"/>
    <w:rsid w:val="0078413A"/>
    <w:rsid w:val="0078593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7EE"/>
    <w:rsid w:val="007C2D89"/>
    <w:rsid w:val="007C4593"/>
    <w:rsid w:val="007C5309"/>
    <w:rsid w:val="007C6069"/>
    <w:rsid w:val="007C648D"/>
    <w:rsid w:val="007D06C4"/>
    <w:rsid w:val="007D1352"/>
    <w:rsid w:val="007D2508"/>
    <w:rsid w:val="007D346A"/>
    <w:rsid w:val="007D6518"/>
    <w:rsid w:val="007D76BD"/>
    <w:rsid w:val="007E0BF1"/>
    <w:rsid w:val="007F0ED8"/>
    <w:rsid w:val="007F0F63"/>
    <w:rsid w:val="007F3181"/>
    <w:rsid w:val="007F75CE"/>
    <w:rsid w:val="008013A4"/>
    <w:rsid w:val="008027CE"/>
    <w:rsid w:val="00802F42"/>
    <w:rsid w:val="00804383"/>
    <w:rsid w:val="00804BB7"/>
    <w:rsid w:val="00804D41"/>
    <w:rsid w:val="00810257"/>
    <w:rsid w:val="008104F5"/>
    <w:rsid w:val="00811072"/>
    <w:rsid w:val="00811369"/>
    <w:rsid w:val="00812664"/>
    <w:rsid w:val="00815419"/>
    <w:rsid w:val="008163C8"/>
    <w:rsid w:val="008164A1"/>
    <w:rsid w:val="00817325"/>
    <w:rsid w:val="008209E6"/>
    <w:rsid w:val="00823303"/>
    <w:rsid w:val="008233B2"/>
    <w:rsid w:val="00823A9F"/>
    <w:rsid w:val="00823C85"/>
    <w:rsid w:val="00825138"/>
    <w:rsid w:val="008263B4"/>
    <w:rsid w:val="008269DD"/>
    <w:rsid w:val="00830621"/>
    <w:rsid w:val="0083348C"/>
    <w:rsid w:val="008373D3"/>
    <w:rsid w:val="00840617"/>
    <w:rsid w:val="00840F84"/>
    <w:rsid w:val="00842A47"/>
    <w:rsid w:val="0084300E"/>
    <w:rsid w:val="00843C13"/>
    <w:rsid w:val="008454F8"/>
    <w:rsid w:val="008514F5"/>
    <w:rsid w:val="0085173A"/>
    <w:rsid w:val="00851CD3"/>
    <w:rsid w:val="0085493E"/>
    <w:rsid w:val="00856316"/>
    <w:rsid w:val="00857ED8"/>
    <w:rsid w:val="008603CE"/>
    <w:rsid w:val="008620FC"/>
    <w:rsid w:val="008621CE"/>
    <w:rsid w:val="008627A5"/>
    <w:rsid w:val="00863E05"/>
    <w:rsid w:val="00865ACA"/>
    <w:rsid w:val="00865D28"/>
    <w:rsid w:val="00865F85"/>
    <w:rsid w:val="008679AB"/>
    <w:rsid w:val="00867C10"/>
    <w:rsid w:val="00870439"/>
    <w:rsid w:val="00870DA1"/>
    <w:rsid w:val="00883F93"/>
    <w:rsid w:val="00884DB3"/>
    <w:rsid w:val="00885A9D"/>
    <w:rsid w:val="008864F6"/>
    <w:rsid w:val="00887D1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94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A98"/>
    <w:rsid w:val="009245F5"/>
    <w:rsid w:val="009249EC"/>
    <w:rsid w:val="009273B3"/>
    <w:rsid w:val="009305B5"/>
    <w:rsid w:val="009346BF"/>
    <w:rsid w:val="009429D5"/>
    <w:rsid w:val="00942BF1"/>
    <w:rsid w:val="00945180"/>
    <w:rsid w:val="00945428"/>
    <w:rsid w:val="0094607B"/>
    <w:rsid w:val="00953604"/>
    <w:rsid w:val="0095496B"/>
    <w:rsid w:val="009610DC"/>
    <w:rsid w:val="00961490"/>
    <w:rsid w:val="0096381A"/>
    <w:rsid w:val="00965E04"/>
    <w:rsid w:val="009674AD"/>
    <w:rsid w:val="009706D2"/>
    <w:rsid w:val="00970CDC"/>
    <w:rsid w:val="00977010"/>
    <w:rsid w:val="00977D02"/>
    <w:rsid w:val="009809BB"/>
    <w:rsid w:val="00982FF1"/>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0C12"/>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2CDD"/>
    <w:rsid w:val="00A0096C"/>
    <w:rsid w:val="00A01757"/>
    <w:rsid w:val="00A02464"/>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3CC"/>
    <w:rsid w:val="00A74FA4"/>
    <w:rsid w:val="00A75476"/>
    <w:rsid w:val="00A77CCB"/>
    <w:rsid w:val="00A83D8D"/>
    <w:rsid w:val="00A83DE1"/>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91"/>
    <w:rsid w:val="00AD44FA"/>
    <w:rsid w:val="00AE070A"/>
    <w:rsid w:val="00AE101C"/>
    <w:rsid w:val="00AE37E5"/>
    <w:rsid w:val="00AE5EB4"/>
    <w:rsid w:val="00AF0C18"/>
    <w:rsid w:val="00AF47C5"/>
    <w:rsid w:val="00AF5398"/>
    <w:rsid w:val="00B049AF"/>
    <w:rsid w:val="00B06DCF"/>
    <w:rsid w:val="00B07242"/>
    <w:rsid w:val="00B07245"/>
    <w:rsid w:val="00B10534"/>
    <w:rsid w:val="00B113DB"/>
    <w:rsid w:val="00B11D8A"/>
    <w:rsid w:val="00B123F9"/>
    <w:rsid w:val="00B12981"/>
    <w:rsid w:val="00B147DD"/>
    <w:rsid w:val="00B156FD"/>
    <w:rsid w:val="00B21F61"/>
    <w:rsid w:val="00B261F1"/>
    <w:rsid w:val="00B265BC"/>
    <w:rsid w:val="00B31FB1"/>
    <w:rsid w:val="00B33952"/>
    <w:rsid w:val="00B33C5E"/>
    <w:rsid w:val="00B33EE6"/>
    <w:rsid w:val="00B342F4"/>
    <w:rsid w:val="00B34369"/>
    <w:rsid w:val="00B34DC2"/>
    <w:rsid w:val="00B36A6E"/>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3A6C"/>
    <w:rsid w:val="00B758BF"/>
    <w:rsid w:val="00B77EC8"/>
    <w:rsid w:val="00B827A6"/>
    <w:rsid w:val="00B831CE"/>
    <w:rsid w:val="00B86677"/>
    <w:rsid w:val="00B87131"/>
    <w:rsid w:val="00B939B1"/>
    <w:rsid w:val="00B96D40"/>
    <w:rsid w:val="00B97386"/>
    <w:rsid w:val="00BA033F"/>
    <w:rsid w:val="00BA263B"/>
    <w:rsid w:val="00BA42B2"/>
    <w:rsid w:val="00BA58D4"/>
    <w:rsid w:val="00BA5B9E"/>
    <w:rsid w:val="00BA7C9A"/>
    <w:rsid w:val="00BB3CBE"/>
    <w:rsid w:val="00BB5F8F"/>
    <w:rsid w:val="00BB657A"/>
    <w:rsid w:val="00BC1A4E"/>
    <w:rsid w:val="00BC1FCB"/>
    <w:rsid w:val="00BC5DC7"/>
    <w:rsid w:val="00BC6B8B"/>
    <w:rsid w:val="00BC73D8"/>
    <w:rsid w:val="00BD52D7"/>
    <w:rsid w:val="00BD5AD2"/>
    <w:rsid w:val="00BD6899"/>
    <w:rsid w:val="00BE22F3"/>
    <w:rsid w:val="00BE3693"/>
    <w:rsid w:val="00BE5B52"/>
    <w:rsid w:val="00BE7B8D"/>
    <w:rsid w:val="00BF0993"/>
    <w:rsid w:val="00BF10A9"/>
    <w:rsid w:val="00BF1703"/>
    <w:rsid w:val="00BF231C"/>
    <w:rsid w:val="00BF43C4"/>
    <w:rsid w:val="00BF51E5"/>
    <w:rsid w:val="00BF74A6"/>
    <w:rsid w:val="00C013AD"/>
    <w:rsid w:val="00C04904"/>
    <w:rsid w:val="00C056B3"/>
    <w:rsid w:val="00C103E5"/>
    <w:rsid w:val="00C13319"/>
    <w:rsid w:val="00C13EE9"/>
    <w:rsid w:val="00C21540"/>
    <w:rsid w:val="00C21906"/>
    <w:rsid w:val="00C21BFA"/>
    <w:rsid w:val="00C22148"/>
    <w:rsid w:val="00C22276"/>
    <w:rsid w:val="00C24C8D"/>
    <w:rsid w:val="00C25FE2"/>
    <w:rsid w:val="00C26B53"/>
    <w:rsid w:val="00C279B2"/>
    <w:rsid w:val="00C33E50"/>
    <w:rsid w:val="00C34C20"/>
    <w:rsid w:val="00C35A3E"/>
    <w:rsid w:val="00C42130"/>
    <w:rsid w:val="00C423A4"/>
    <w:rsid w:val="00C44BF5"/>
    <w:rsid w:val="00C47C1E"/>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6E79"/>
    <w:rsid w:val="00C87DC4"/>
    <w:rsid w:val="00C905FC"/>
    <w:rsid w:val="00C92D03"/>
    <w:rsid w:val="00C9319C"/>
    <w:rsid w:val="00C9435D"/>
    <w:rsid w:val="00C94DF2"/>
    <w:rsid w:val="00C96741"/>
    <w:rsid w:val="00CA20DA"/>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4EA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894"/>
    <w:rsid w:val="00D0321C"/>
    <w:rsid w:val="00D035EC"/>
    <w:rsid w:val="00D06AB1"/>
    <w:rsid w:val="00D072ED"/>
    <w:rsid w:val="00D07A16"/>
    <w:rsid w:val="00D1067E"/>
    <w:rsid w:val="00D10F50"/>
    <w:rsid w:val="00D11272"/>
    <w:rsid w:val="00D126F5"/>
    <w:rsid w:val="00D1489E"/>
    <w:rsid w:val="00D20737"/>
    <w:rsid w:val="00D21E81"/>
    <w:rsid w:val="00D223DE"/>
    <w:rsid w:val="00D227CB"/>
    <w:rsid w:val="00D25E37"/>
    <w:rsid w:val="00D2661A"/>
    <w:rsid w:val="00D27582"/>
    <w:rsid w:val="00D27EC4"/>
    <w:rsid w:val="00D32719"/>
    <w:rsid w:val="00D33333"/>
    <w:rsid w:val="00D33457"/>
    <w:rsid w:val="00D33FC5"/>
    <w:rsid w:val="00D352A2"/>
    <w:rsid w:val="00D4162B"/>
    <w:rsid w:val="00D4514F"/>
    <w:rsid w:val="00D451E2"/>
    <w:rsid w:val="00D45E89"/>
    <w:rsid w:val="00D45E8D"/>
    <w:rsid w:val="00D466AE"/>
    <w:rsid w:val="00D4734F"/>
    <w:rsid w:val="00D51BF3"/>
    <w:rsid w:val="00D61A5C"/>
    <w:rsid w:val="00D65966"/>
    <w:rsid w:val="00D66846"/>
    <w:rsid w:val="00D675FB"/>
    <w:rsid w:val="00D71F25"/>
    <w:rsid w:val="00D72A9C"/>
    <w:rsid w:val="00D74582"/>
    <w:rsid w:val="00D74AA5"/>
    <w:rsid w:val="00D77031"/>
    <w:rsid w:val="00D81409"/>
    <w:rsid w:val="00D84941"/>
    <w:rsid w:val="00D84FA1"/>
    <w:rsid w:val="00D851F0"/>
    <w:rsid w:val="00D86DB7"/>
    <w:rsid w:val="00D900BB"/>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3DD"/>
    <w:rsid w:val="00DD54B0"/>
    <w:rsid w:val="00DD57EE"/>
    <w:rsid w:val="00DD6BCC"/>
    <w:rsid w:val="00DE0A4B"/>
    <w:rsid w:val="00DE2410"/>
    <w:rsid w:val="00DE2939"/>
    <w:rsid w:val="00DE6E81"/>
    <w:rsid w:val="00DE701B"/>
    <w:rsid w:val="00DE703F"/>
    <w:rsid w:val="00DE7595"/>
    <w:rsid w:val="00DF1961"/>
    <w:rsid w:val="00DF3AE4"/>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E87"/>
    <w:rsid w:val="00E2552F"/>
    <w:rsid w:val="00E3137A"/>
    <w:rsid w:val="00E322AB"/>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D26"/>
    <w:rsid w:val="00E60B6F"/>
    <w:rsid w:val="00E60C63"/>
    <w:rsid w:val="00E62FF9"/>
    <w:rsid w:val="00E635D6"/>
    <w:rsid w:val="00E639BC"/>
    <w:rsid w:val="00E64A6B"/>
    <w:rsid w:val="00E664CC"/>
    <w:rsid w:val="00E70388"/>
    <w:rsid w:val="00E70F92"/>
    <w:rsid w:val="00E72620"/>
    <w:rsid w:val="00E74C54"/>
    <w:rsid w:val="00E77A03"/>
    <w:rsid w:val="00E822E8"/>
    <w:rsid w:val="00E82554"/>
    <w:rsid w:val="00E82606"/>
    <w:rsid w:val="00E846C8"/>
    <w:rsid w:val="00E84957"/>
    <w:rsid w:val="00E84A55"/>
    <w:rsid w:val="00E85946"/>
    <w:rsid w:val="00E85BFF"/>
    <w:rsid w:val="00E90391"/>
    <w:rsid w:val="00E906C2"/>
    <w:rsid w:val="00E925F4"/>
    <w:rsid w:val="00E9311F"/>
    <w:rsid w:val="00E934D1"/>
    <w:rsid w:val="00E94AF0"/>
    <w:rsid w:val="00E95D13"/>
    <w:rsid w:val="00E95DD3"/>
    <w:rsid w:val="00E969D5"/>
    <w:rsid w:val="00EA3ABE"/>
    <w:rsid w:val="00EA501E"/>
    <w:rsid w:val="00EA58D1"/>
    <w:rsid w:val="00EA61BC"/>
    <w:rsid w:val="00EA681A"/>
    <w:rsid w:val="00EA692C"/>
    <w:rsid w:val="00EA735B"/>
    <w:rsid w:val="00EB17DE"/>
    <w:rsid w:val="00EB1E69"/>
    <w:rsid w:val="00EB2086"/>
    <w:rsid w:val="00EB5EDF"/>
    <w:rsid w:val="00EB60FE"/>
    <w:rsid w:val="00EB74DB"/>
    <w:rsid w:val="00EC5359"/>
    <w:rsid w:val="00EC5545"/>
    <w:rsid w:val="00EC562A"/>
    <w:rsid w:val="00ED067A"/>
    <w:rsid w:val="00ED2B50"/>
    <w:rsid w:val="00EE0350"/>
    <w:rsid w:val="00EE0719"/>
    <w:rsid w:val="00EE0E80"/>
    <w:rsid w:val="00EE3BA6"/>
    <w:rsid w:val="00EE54A6"/>
    <w:rsid w:val="00EE613F"/>
    <w:rsid w:val="00EE7295"/>
    <w:rsid w:val="00EE7869"/>
    <w:rsid w:val="00EF054A"/>
    <w:rsid w:val="00EF3235"/>
    <w:rsid w:val="00EF4A8A"/>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0B1"/>
    <w:rsid w:val="00F420D5"/>
    <w:rsid w:val="00F447B2"/>
    <w:rsid w:val="00F451EA"/>
    <w:rsid w:val="00F45447"/>
    <w:rsid w:val="00F456C6"/>
    <w:rsid w:val="00F4577B"/>
    <w:rsid w:val="00F46496"/>
    <w:rsid w:val="00F474D0"/>
    <w:rsid w:val="00F50179"/>
    <w:rsid w:val="00F514B8"/>
    <w:rsid w:val="00F515EE"/>
    <w:rsid w:val="00F56511"/>
    <w:rsid w:val="00F6194E"/>
    <w:rsid w:val="00F623AC"/>
    <w:rsid w:val="00F6412A"/>
    <w:rsid w:val="00F65893"/>
    <w:rsid w:val="00F66A4A"/>
    <w:rsid w:val="00F71E22"/>
    <w:rsid w:val="00F72142"/>
    <w:rsid w:val="00F72AE7"/>
    <w:rsid w:val="00F732ED"/>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39C"/>
    <w:rsid w:val="00FA4DAC"/>
    <w:rsid w:val="00FA662D"/>
    <w:rsid w:val="00FA73B1"/>
    <w:rsid w:val="00FB0CB9"/>
    <w:rsid w:val="00FB231D"/>
    <w:rsid w:val="00FB3F8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D29"/>
    <w:rsid w:val="00FE4BCE"/>
    <w:rsid w:val="00FE54AE"/>
    <w:rsid w:val="00FE576A"/>
    <w:rsid w:val="00FE7E79"/>
    <w:rsid w:val="00FF3703"/>
    <w:rsid w:val="00FF3E7D"/>
    <w:rsid w:val="00FF5B99"/>
    <w:rsid w:val="00FF730C"/>
    <w:rsid w:val="00FF73F4"/>
    <w:rsid w:val="00FF7CE4"/>
    <w:rsid w:val="00FF7E39"/>
    <w:rsid w:val="02E66B31"/>
    <w:rsid w:val="041E7268"/>
    <w:rsid w:val="0880616F"/>
    <w:rsid w:val="0DFF319D"/>
    <w:rsid w:val="16CF7BB0"/>
    <w:rsid w:val="19A237D3"/>
    <w:rsid w:val="1D4D5CD3"/>
    <w:rsid w:val="1EE9130E"/>
    <w:rsid w:val="221B031D"/>
    <w:rsid w:val="23E76050"/>
    <w:rsid w:val="27CD4BE8"/>
    <w:rsid w:val="2F313F02"/>
    <w:rsid w:val="368A0E86"/>
    <w:rsid w:val="394419CB"/>
    <w:rsid w:val="395C1320"/>
    <w:rsid w:val="3DBF625C"/>
    <w:rsid w:val="3F620D12"/>
    <w:rsid w:val="41634D42"/>
    <w:rsid w:val="43D1204A"/>
    <w:rsid w:val="441973DD"/>
    <w:rsid w:val="473979AB"/>
    <w:rsid w:val="4DB210B7"/>
    <w:rsid w:val="532F318B"/>
    <w:rsid w:val="58312FE0"/>
    <w:rsid w:val="5A5875EE"/>
    <w:rsid w:val="5EC7698C"/>
    <w:rsid w:val="5F322057"/>
    <w:rsid w:val="5FFF2857"/>
    <w:rsid w:val="60622CE2"/>
    <w:rsid w:val="69076416"/>
    <w:rsid w:val="6B52582F"/>
    <w:rsid w:val="700A10CE"/>
    <w:rsid w:val="79FD14BD"/>
    <w:rsid w:val="7B2E771F"/>
    <w:rsid w:val="7CFD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3"/>
    <w:qFormat/>
    <w:uiPriority w:val="0"/>
    <w:rPr>
      <w:rFonts w:ascii="Times New Roman" w:hAnsi="Times New Roman" w:eastAsia="宋体" w:cs="Times New Roman"/>
      <w:b/>
      <w:bCs/>
      <w:kern w:val="44"/>
      <w:sz w:val="44"/>
      <w:szCs w:val="44"/>
    </w:rPr>
  </w:style>
  <w:style w:type="character" w:customStyle="1" w:styleId="36">
    <w:name w:val="标题 2 Char"/>
    <w:link w:val="4"/>
    <w:qFormat/>
    <w:uiPriority w:val="0"/>
    <w:rPr>
      <w:rFonts w:ascii="Arial" w:hAnsi="Arial" w:eastAsia="黑体" w:cs="Times New Roman"/>
      <w:b/>
      <w:bCs/>
      <w:sz w:val="32"/>
      <w:szCs w:val="32"/>
    </w:rPr>
  </w:style>
  <w:style w:type="character" w:customStyle="1" w:styleId="37">
    <w:name w:val="标题 3 Char"/>
    <w:link w:val="5"/>
    <w:qFormat/>
    <w:uiPriority w:val="0"/>
    <w:rPr>
      <w:rFonts w:ascii="Times New Roman" w:hAnsi="Times New Roman" w:eastAsia="宋体" w:cs="Times New Roman"/>
      <w:b/>
      <w:bCs/>
      <w:sz w:val="32"/>
      <w:szCs w:val="32"/>
    </w:rPr>
  </w:style>
  <w:style w:type="character" w:customStyle="1" w:styleId="38">
    <w:name w:val="标题 4 Char"/>
    <w:link w:val="6"/>
    <w:qFormat/>
    <w:uiPriority w:val="0"/>
    <w:rPr>
      <w:rFonts w:ascii="Arial" w:hAnsi="Arial" w:eastAsia="黑体" w:cs="Times New Roman"/>
      <w:b/>
      <w:bCs/>
      <w:sz w:val="28"/>
      <w:szCs w:val="28"/>
    </w:rPr>
  </w:style>
  <w:style w:type="character" w:customStyle="1" w:styleId="39">
    <w:name w:val="标题 5 Char"/>
    <w:link w:val="7"/>
    <w:qFormat/>
    <w:uiPriority w:val="0"/>
    <w:rPr>
      <w:rFonts w:ascii="Times New Roman" w:hAnsi="Times New Roman" w:eastAsia="宋体" w:cs="Times New Roman"/>
      <w:b/>
      <w:bCs/>
      <w:sz w:val="28"/>
      <w:szCs w:val="28"/>
    </w:rPr>
  </w:style>
  <w:style w:type="character" w:customStyle="1" w:styleId="40">
    <w:name w:val="标题 6 Char"/>
    <w:link w:val="8"/>
    <w:qFormat/>
    <w:uiPriority w:val="0"/>
    <w:rPr>
      <w:rFonts w:ascii="Arial" w:hAnsi="Arial" w:eastAsia="黑体" w:cs="Times New Roman"/>
      <w:b/>
      <w:bCs/>
      <w:sz w:val="24"/>
      <w:szCs w:val="24"/>
    </w:rPr>
  </w:style>
  <w:style w:type="character" w:customStyle="1" w:styleId="41">
    <w:name w:val="标题 7 Char"/>
    <w:link w:val="9"/>
    <w:qFormat/>
    <w:uiPriority w:val="0"/>
    <w:rPr>
      <w:rFonts w:ascii="Times New Roman" w:hAnsi="Times New Roman" w:eastAsia="宋体" w:cs="Times New Roman"/>
      <w:b/>
      <w:bCs/>
      <w:sz w:val="24"/>
      <w:szCs w:val="24"/>
    </w:rPr>
  </w:style>
  <w:style w:type="character" w:customStyle="1" w:styleId="42">
    <w:name w:val="标题 8 Char"/>
    <w:link w:val="10"/>
    <w:qFormat/>
    <w:uiPriority w:val="0"/>
    <w:rPr>
      <w:rFonts w:ascii="Arial" w:hAnsi="Arial" w:eastAsia="黑体" w:cs="Times New Roman"/>
      <w:sz w:val="24"/>
      <w:szCs w:val="24"/>
    </w:rPr>
  </w:style>
  <w:style w:type="character" w:customStyle="1" w:styleId="43">
    <w:name w:val="标题 9 Char"/>
    <w:link w:val="11"/>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character" w:customStyle="1" w:styleId="232">
    <w:name w:val="font01"/>
    <w:basedOn w:val="29"/>
    <w:qFormat/>
    <w:uiPriority w:val="0"/>
    <w:rPr>
      <w:rFonts w:hint="eastAsia" w:ascii="宋体" w:hAnsi="宋体" w:eastAsia="宋体"/>
      <w:color w:val="000000"/>
      <w:sz w:val="18"/>
      <w:szCs w:val="18"/>
      <w:u w:val="none"/>
    </w:rPr>
  </w:style>
  <w:style w:type="character" w:customStyle="1" w:styleId="233">
    <w:name w:val="font21"/>
    <w:basedOn w:val="29"/>
    <w:qFormat/>
    <w:uiPriority w:val="0"/>
    <w:rPr>
      <w:rFonts w:hint="eastAsia" w:ascii="宋体" w:hAnsi="宋体" w:eastAsia="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muyanwen/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0B9A3639C94C66886C83BD4F2CA364"/>
        <w:style w:val=""/>
        <w:category>
          <w:name w:val="常规"/>
          <w:gallery w:val="placeholder"/>
        </w:category>
        <w:types>
          <w:type w:val="bbPlcHdr"/>
        </w:types>
        <w:behaviors>
          <w:behavior w:val="content"/>
        </w:behaviors>
        <w:description w:val=""/>
        <w:guid w:val="{5EE88140-99EF-42F8-9CC4-808137E62287}"/>
      </w:docPartPr>
      <w:docPartBody>
        <w:p>
          <w:pPr>
            <w:pStyle w:val="5"/>
          </w:pPr>
          <w:r>
            <w:rPr>
              <w:rStyle w:val="4"/>
              <w:rFonts w:hint="eastAsia"/>
            </w:rPr>
            <w:t>单击或点击此处输入文字。</w:t>
          </w:r>
        </w:p>
      </w:docPartBody>
    </w:docPart>
    <w:docPart>
      <w:docPartPr>
        <w:name w:val="9B29555331EE442981EE29588ADF539B"/>
        <w:style w:val=""/>
        <w:category>
          <w:name w:val="常规"/>
          <w:gallery w:val="placeholder"/>
        </w:category>
        <w:types>
          <w:type w:val="bbPlcHdr"/>
        </w:types>
        <w:behaviors>
          <w:behavior w:val="content"/>
        </w:behaviors>
        <w:description w:val=""/>
        <w:guid w:val="{E11CDD58-0604-457E-BD81-119ABD73857F}"/>
      </w:docPartPr>
      <w:docPartBody>
        <w:p>
          <w:pPr>
            <w:pStyle w:val="6"/>
          </w:pPr>
          <w:r>
            <w:rPr>
              <w:rStyle w:val="4"/>
              <w:rFonts w:hint="eastAsia"/>
            </w:rPr>
            <w:t>选择一项。</w:t>
          </w:r>
        </w:p>
      </w:docPartBody>
    </w:docPart>
    <w:docPart>
      <w:docPartPr>
        <w:name w:val="626348E8D7894434A3879F55A2D1AC3D"/>
        <w:style w:val=""/>
        <w:category>
          <w:name w:val="常规"/>
          <w:gallery w:val="placeholder"/>
        </w:category>
        <w:types>
          <w:type w:val="bbPlcHdr"/>
        </w:types>
        <w:behaviors>
          <w:behavior w:val="content"/>
        </w:behaviors>
        <w:description w:val=""/>
        <w:guid w:val="{A5A14425-357F-4E37-A7F7-DA26A070098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523AE"/>
    <w:rsid w:val="00026D0E"/>
    <w:rsid w:val="00032596"/>
    <w:rsid w:val="000F489C"/>
    <w:rsid w:val="002352A5"/>
    <w:rsid w:val="002C4833"/>
    <w:rsid w:val="002D5AC6"/>
    <w:rsid w:val="00491F60"/>
    <w:rsid w:val="004C1104"/>
    <w:rsid w:val="004D2726"/>
    <w:rsid w:val="005A65BA"/>
    <w:rsid w:val="00686756"/>
    <w:rsid w:val="007471FE"/>
    <w:rsid w:val="008523AE"/>
    <w:rsid w:val="008D6094"/>
    <w:rsid w:val="009219E2"/>
    <w:rsid w:val="009863F2"/>
    <w:rsid w:val="009E42E8"/>
    <w:rsid w:val="00B63130"/>
    <w:rsid w:val="00BC6218"/>
    <w:rsid w:val="00BE5947"/>
    <w:rsid w:val="00C914D3"/>
    <w:rsid w:val="00D9658E"/>
    <w:rsid w:val="00EA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40B9A3639C94C66886C83BD4F2CA3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29555331EE442981EE29588ADF53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26348E8D7894434A3879F55A2D1AC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E5D9B1E2F194299BD8932B866BAF80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1154</Words>
  <Characters>6583</Characters>
  <Lines>54</Lines>
  <Paragraphs>15</Paragraphs>
  <TotalTime>3</TotalTime>
  <ScaleCrop>false</ScaleCrop>
  <LinksUpToDate>false</LinksUpToDate>
  <CharactersWithSpaces>7722</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2023-10-09T17:20:00Z</dcterms:created>
  <dc:creator>Administrator</dc:creator>
  <dc:description>&lt;config cover="true" show_menu="true" version="1.0.0" doctype="SDKXY"&gt;_x000d_
&lt;/config&gt;</dc:description>
  <cp:lastModifiedBy>Nyx</cp:lastModifiedBy>
  <cp:lastPrinted>2020-08-30T18:00:00Z</cp:lastPrinted>
  <dcterms:modified xsi:type="dcterms:W3CDTF">2023-10-12T09:49:18Z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2052-6.0.2.8225</vt:lpwstr>
  </property>
  <property fmtid="{D5CDD505-2E9C-101B-9397-08002B2CF9AE}" pid="15" name="ICV">
    <vt:lpwstr>520FE464AADE434C897A7C20D4BFA935_13</vt:lpwstr>
  </property>
</Properties>
</file>