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03.100.01</w:t>
            </w:r>
            <w:r>
              <w:rPr>
                <w:rFonts w:ascii="黑体" w:hAnsi="黑体" w:eastAsia="黑体"/>
                <w:sz w:val="21"/>
                <w:szCs w:val="21"/>
              </w:rPr>
              <w:fldChar w:fldCharType="end"/>
            </w:r>
            <w:bookmarkEnd w:id="0"/>
          </w:p>
        </w:tc>
      </w:tr>
      <w:tr>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20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4403</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深圳市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4403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2023</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智慧供应链服务企业基本要求及评价</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Basic requirements and evaluation of smart supply </w:t>
      </w:r>
    </w:p>
    <w:p>
      <w:pPr>
        <w:pStyle w:val="126"/>
        <w:framePr w:w="9639" w:h="6974" w:hRule="exact" w:wrap="around" w:vAnchor="page" w:hAnchor="page" w:x="1419" w:y="6408" w:anchorLock="1"/>
        <w:textAlignment w:val="bottom"/>
        <w:rPr>
          <w:rFonts w:eastAsia="黑体"/>
          <w:szCs w:val="28"/>
        </w:rPr>
      </w:pPr>
      <w:r>
        <w:rPr>
          <w:rFonts w:eastAsia="黑体"/>
          <w:szCs w:val="28"/>
        </w:rPr>
        <w:t>chain service enterprie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深圳市市场监督管理局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path arrowok="t"/>
            <v:fill focussize="0,0"/>
            <v:stroke/>
            <v:imagedata o:title=""/>
            <o:lock v:ext="edit"/>
            <w10:anchorlock/>
          </v:line>
        </w:pict>
      </w:r>
    </w:p>
    <w:p>
      <w:pPr>
        <w:pStyle w:val="92"/>
        <w:spacing w:after="468"/>
      </w:pPr>
      <w:bookmarkStart w:id="21"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"_Toc147769851" </w:instrText>
      </w:r>
      <w:r>
        <w:fldChar w:fldCharType="separate"/>
      </w:r>
      <w:r>
        <w:rPr>
          <w:rStyle w:val="33"/>
          <w:rFonts w:hint="eastAsia"/>
        </w:rPr>
        <w:t>前言</w:t>
      </w:r>
      <w:r>
        <w:tab/>
      </w:r>
      <w:r>
        <w:fldChar w:fldCharType="begin"/>
      </w:r>
      <w:r>
        <w:instrText xml:space="preserve"> PAGEREF _Toc147769851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"_Toc147769852" </w:instrText>
      </w:r>
      <w:r>
        <w:fldChar w:fldCharType="separate"/>
      </w:r>
      <w:r>
        <w:rPr>
          <w:rStyle w:val="33"/>
        </w:rPr>
        <w:t>1</w:t>
      </w:r>
      <w:r>
        <w:rPr>
          <w:rStyle w:val="33"/>
          <w:rFonts w:hint="eastAsia"/>
        </w:rPr>
        <w:t xml:space="preserve"> 范围</w:t>
      </w:r>
      <w:r>
        <w:tab/>
      </w:r>
      <w:r>
        <w:fldChar w:fldCharType="begin"/>
      </w:r>
      <w:r>
        <w:instrText xml:space="preserve"> PAGEREF _Toc147769852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"_Toc147769853" </w:instrText>
      </w:r>
      <w:r>
        <w:fldChar w:fldCharType="separate"/>
      </w:r>
      <w:r>
        <w:rPr>
          <w:rStyle w:val="33"/>
        </w:rPr>
        <w:t>2</w:t>
      </w:r>
      <w:r>
        <w:rPr>
          <w:rStyle w:val="33"/>
          <w:rFonts w:hint="eastAsia"/>
        </w:rPr>
        <w:t xml:space="preserve"> 规范性引用文件</w:t>
      </w:r>
      <w:r>
        <w:tab/>
      </w:r>
      <w:r>
        <w:fldChar w:fldCharType="begin"/>
      </w:r>
      <w:r>
        <w:instrText xml:space="preserve"> PAGEREF _Toc147769853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"_Toc147769854" </w:instrText>
      </w:r>
      <w:r>
        <w:fldChar w:fldCharType="separate"/>
      </w:r>
      <w:r>
        <w:rPr>
          <w:rStyle w:val="33"/>
        </w:rPr>
        <w:t>3</w:t>
      </w:r>
      <w:r>
        <w:rPr>
          <w:rStyle w:val="33"/>
          <w:rFonts w:hint="eastAsia"/>
        </w:rPr>
        <w:t xml:space="preserve"> 术语和定义</w:t>
      </w:r>
      <w:r>
        <w:tab/>
      </w:r>
      <w:r>
        <w:fldChar w:fldCharType="begin"/>
      </w:r>
      <w:r>
        <w:instrText xml:space="preserve"> PAGEREF _Toc147769854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"_Toc147769855" </w:instrText>
      </w:r>
      <w:r>
        <w:fldChar w:fldCharType="separate"/>
      </w:r>
      <w:r>
        <w:rPr>
          <w:rStyle w:val="33"/>
        </w:rPr>
        <w:t>4</w:t>
      </w:r>
      <w:r>
        <w:rPr>
          <w:rStyle w:val="33"/>
          <w:rFonts w:hint="eastAsia"/>
        </w:rPr>
        <w:t xml:space="preserve"> 缩略语</w:t>
      </w:r>
      <w:r>
        <w:tab/>
      </w:r>
      <w:r>
        <w:fldChar w:fldCharType="begin"/>
      </w:r>
      <w:r>
        <w:instrText xml:space="preserve"> PAGEREF _Toc147769855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"_Toc147769856" </w:instrText>
      </w:r>
      <w:r>
        <w:fldChar w:fldCharType="separate"/>
      </w:r>
      <w:r>
        <w:rPr>
          <w:rStyle w:val="33"/>
        </w:rPr>
        <w:t>5</w:t>
      </w:r>
      <w:r>
        <w:rPr>
          <w:rStyle w:val="33"/>
          <w:rFonts w:hint="eastAsia"/>
        </w:rPr>
        <w:t xml:space="preserve"> 基本要求</w:t>
      </w:r>
      <w:r>
        <w:tab/>
      </w:r>
      <w:r>
        <w:fldChar w:fldCharType="begin"/>
      </w:r>
      <w:r>
        <w:instrText xml:space="preserve"> PAGEREF _Toc147769856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"_Toc147769860" </w:instrText>
      </w:r>
      <w:r>
        <w:fldChar w:fldCharType="separate"/>
      </w:r>
      <w:r>
        <w:rPr>
          <w:rStyle w:val="33"/>
        </w:rPr>
        <w:t>6</w:t>
      </w:r>
      <w:r>
        <w:rPr>
          <w:rStyle w:val="33"/>
          <w:rFonts w:hint="eastAsia"/>
        </w:rPr>
        <w:t xml:space="preserve"> 评价原则</w:t>
      </w:r>
      <w:r>
        <w:tab/>
      </w:r>
      <w:r>
        <w:fldChar w:fldCharType="begin"/>
      </w:r>
      <w:r>
        <w:instrText xml:space="preserve"> PAGEREF _Toc147769860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"_Toc147769864" </w:instrText>
      </w:r>
      <w:r>
        <w:fldChar w:fldCharType="separate"/>
      </w:r>
      <w:r>
        <w:rPr>
          <w:rStyle w:val="33"/>
        </w:rPr>
        <w:t>7</w:t>
      </w:r>
      <w:r>
        <w:rPr>
          <w:rStyle w:val="33"/>
          <w:rFonts w:hint="eastAsia"/>
        </w:rPr>
        <w:t xml:space="preserve"> 评价业务流程</w:t>
      </w:r>
      <w:r>
        <w:tab/>
      </w:r>
      <w:r>
        <w:fldChar w:fldCharType="begin"/>
      </w:r>
      <w:r>
        <w:instrText xml:space="preserve"> PAGEREF _Toc147769864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"_Toc147769869" </w:instrText>
      </w:r>
      <w:r>
        <w:fldChar w:fldCharType="separate"/>
      </w:r>
      <w:r>
        <w:rPr>
          <w:rStyle w:val="33"/>
        </w:rPr>
        <w:t>8</w:t>
      </w:r>
      <w:r>
        <w:rPr>
          <w:rStyle w:val="33"/>
          <w:rFonts w:hint="eastAsia"/>
        </w:rPr>
        <w:t xml:space="preserve"> 评价指标体系</w:t>
      </w:r>
      <w:r>
        <w:tab/>
      </w:r>
      <w:r>
        <w:fldChar w:fldCharType="begin"/>
      </w:r>
      <w:r>
        <w:instrText xml:space="preserve"> PAGEREF _Toc147769869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"_Toc147769870" </w:instrText>
      </w:r>
      <w:r>
        <w:fldChar w:fldCharType="separate"/>
      </w:r>
      <w:r>
        <w:rPr>
          <w:rStyle w:val="33"/>
          <w:rFonts w:hint="eastAsia"/>
        </w:rPr>
        <w:t>附录A（资料性）智慧供应链服务企业评价指标体系</w:t>
      </w:r>
      <w:r>
        <w:tab/>
      </w:r>
      <w:r>
        <w:fldChar w:fldCharType="begin"/>
      </w:r>
      <w:r>
        <w:instrText xml:space="preserve"> PAGEREF _Toc147769870 \h </w:instrText>
      </w:r>
      <w:r>
        <w:fldChar w:fldCharType="separate"/>
      </w:r>
      <w:r>
        <w:t>7</w:t>
      </w:r>
      <w:r>
        <w:fldChar w:fldCharType="end"/>
      </w:r>
      <w:r>
        <w:fldChar w:fldCharType="end"/>
      </w:r>
    </w:p>
    <w:p>
      <w:pPr>
        <w:pStyle w:val="92"/>
        <w:spacing w:after="468"/>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147769851"/>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本文件由深圳市前海深港现代服务业合作区管理局提出并归口。</w:t>
      </w:r>
    </w:p>
    <w:p>
      <w:pPr>
        <w:pStyle w:val="57"/>
        <w:ind w:firstLine="420"/>
      </w:pPr>
      <w:r>
        <w:rPr>
          <w:rFonts w:hint="eastAsia"/>
        </w:rPr>
        <w:t>本文件起草单位：深圳市前海深港现代服务业合作区管理局、深圳市物流与供应链管理协会、深圳市现代供应链管理研究院、深圳市跨境电商供应链服务协会、东方嘉盛供应链股份有限公司、深圳市怡亚通供应链股份有限公司、深圳市信利康供应链管理有限公司、深圳越海全球供应链股份有限公司、中铁物贸集团（深圳）有限公司。</w:t>
      </w:r>
    </w:p>
    <w:p>
      <w:pPr>
        <w:pStyle w:val="57"/>
        <w:ind w:firstLine="420"/>
      </w:pPr>
      <w:r>
        <w:rPr>
          <w:rFonts w:hint="eastAsia"/>
        </w:rPr>
        <w:t>本文件主要起草人：</w:t>
      </w:r>
    </w:p>
    <w:p>
      <w:pPr>
        <w:pStyle w:val="57"/>
        <w:ind w:firstLine="420"/>
      </w:pPr>
      <w:r>
        <w:rPr>
          <w:rFonts w:hint="eastAsia"/>
        </w:rPr>
        <w:t>本文件首次发布。</w:t>
      </w:r>
    </w:p>
    <w:p>
      <w:pPr>
        <w:pStyle w:val="57"/>
        <w:ind w:firstLine="420"/>
      </w:pPr>
    </w:p>
    <w:p>
      <w:pPr>
        <w:pStyle w:val="57"/>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type="lines" w:linePitch="312" w:charSpace="0"/>
        </w:sectPr>
      </w:pPr>
      <w:bookmarkStart w:id="84" w:name="_GoBack"/>
      <w:bookmarkEnd w:id="84"/>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628933DDE0454391AB6A05CBD8175F4F"/>
        </w:placeholder>
      </w:sdtPr>
      <w:sdtContent>
        <w:p>
          <w:pPr>
            <w:pStyle w:val="178"/>
            <w:spacing w:beforeLines="1" w:afterLines="220"/>
          </w:pPr>
          <w:bookmarkStart w:id="25" w:name="NEW_STAND_NAME"/>
          <w:r>
            <w:rPr>
              <w:rFonts w:hint="eastAsia"/>
            </w:rPr>
            <w:t>智慧供应链服务企业基本要求及评价</w:t>
          </w:r>
        </w:p>
      </w:sdtContent>
    </w:sdt>
    <w:bookmarkEnd w:id="25"/>
    <w:p>
      <w:pPr>
        <w:pStyle w:val="105"/>
        <w:spacing w:before="312" w:after="312"/>
      </w:pPr>
      <w:bookmarkStart w:id="26" w:name="_Toc17233325"/>
      <w:bookmarkStart w:id="27" w:name="_Toc24884211"/>
      <w:bookmarkStart w:id="28" w:name="_Toc26986530"/>
      <w:bookmarkStart w:id="29" w:name="_Toc26986771"/>
      <w:bookmarkStart w:id="30" w:name="_Toc26718930"/>
      <w:bookmarkStart w:id="31" w:name="_Toc26648465"/>
      <w:bookmarkStart w:id="32" w:name="_Toc147769852"/>
      <w:bookmarkStart w:id="33" w:name="_Toc24884218"/>
      <w:bookmarkStart w:id="34" w:name="_Toc17233333"/>
      <w:r>
        <w:rPr>
          <w:rFonts w:hint="eastAsia"/>
        </w:rPr>
        <w:t>范围</w:t>
      </w:r>
      <w:bookmarkEnd w:id="26"/>
      <w:bookmarkEnd w:id="27"/>
      <w:bookmarkEnd w:id="28"/>
      <w:bookmarkEnd w:id="29"/>
      <w:bookmarkEnd w:id="30"/>
      <w:bookmarkEnd w:id="31"/>
      <w:bookmarkEnd w:id="32"/>
      <w:bookmarkEnd w:id="33"/>
      <w:bookmarkEnd w:id="34"/>
    </w:p>
    <w:p>
      <w:pPr>
        <w:pStyle w:val="57"/>
        <w:ind w:firstLine="420"/>
      </w:pPr>
      <w:r>
        <w:rPr>
          <w:rFonts w:hint="eastAsia"/>
        </w:rPr>
        <w:t>本文件规定了智慧供应链服务企业所具备的基本要求、评价基本原则、评价指标体系及评价内容。</w:t>
      </w:r>
      <w:bookmarkStart w:id="35" w:name="_Toc24884219"/>
      <w:bookmarkStart w:id="36" w:name="_Toc17233326"/>
      <w:bookmarkStart w:id="37" w:name="_Toc17233334"/>
      <w:bookmarkStart w:id="38" w:name="_Toc24884212"/>
      <w:bookmarkStart w:id="39" w:name="_Toc26648466"/>
    </w:p>
    <w:p>
      <w:pPr>
        <w:pStyle w:val="57"/>
        <w:ind w:firstLine="420"/>
      </w:pPr>
      <w:r>
        <w:rPr>
          <w:rFonts w:hint="eastAsia"/>
        </w:rPr>
        <w:t>本文件适用于智慧供应链服务企业界定与管理，也适用于智慧供应链服务企业第三方评估。</w:t>
      </w:r>
    </w:p>
    <w:p>
      <w:pPr>
        <w:pStyle w:val="105"/>
        <w:spacing w:before="312" w:after="312"/>
      </w:pPr>
      <w:bookmarkStart w:id="40" w:name="_Toc26986772"/>
      <w:bookmarkStart w:id="41" w:name="_Toc147769853"/>
      <w:bookmarkStart w:id="42" w:name="_Toc26986531"/>
      <w:bookmarkStart w:id="43" w:name="_Toc26718931"/>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336D0ED9D7CB4F65A614688BA335FF7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41834—2022  智慧物流服务指南</w:t>
      </w:r>
    </w:p>
    <w:p>
      <w:pPr>
        <w:pStyle w:val="57"/>
        <w:ind w:firstLine="420"/>
      </w:pPr>
      <w:r>
        <w:rPr>
          <w:rFonts w:hint="eastAsia"/>
        </w:rPr>
        <w:t>GB/T 18354—2021  物流术语</w:t>
      </w:r>
    </w:p>
    <w:p>
      <w:pPr>
        <w:pStyle w:val="57"/>
        <w:ind w:firstLine="420"/>
      </w:pPr>
      <w:r>
        <w:rPr>
          <w:rFonts w:hint="eastAsia"/>
        </w:rPr>
        <w:t>SZDB/Z 295—2018  供应链服务术语</w:t>
      </w:r>
    </w:p>
    <w:p>
      <w:pPr>
        <w:pStyle w:val="105"/>
        <w:spacing w:before="312" w:after="312"/>
      </w:pPr>
      <w:bookmarkStart w:id="44" w:name="_Toc147769854"/>
      <w:r>
        <w:rPr>
          <w:rFonts w:hint="eastAsia"/>
          <w:szCs w:val="21"/>
        </w:rPr>
        <w:t>术语和定义</w:t>
      </w:r>
      <w:bookmarkEnd w:id="44"/>
    </w:p>
    <w:sdt>
      <w:sdtPr>
        <w:id w:val="-1"/>
        <w:placeholder>
          <w:docPart w:val="1490DF18ED074D8DB07A86FC22C15E8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5" w:name="_Toc26986532"/>
          <w:bookmarkEnd w:id="45"/>
          <w:r>
            <w:t>下列术语和定义适用于本文件。</w:t>
          </w:r>
        </w:p>
      </w:sdtContent>
    </w:sdt>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供应链服务  supply chain service</w:t>
      </w:r>
    </w:p>
    <w:p>
      <w:pPr>
        <w:pStyle w:val="57"/>
        <w:ind w:firstLine="420"/>
      </w:pPr>
      <w:r>
        <w:rPr>
          <w:rFonts w:hint="eastAsia"/>
        </w:rPr>
        <w:t>一家组织承接另一家组织服务业务外包，并对其供应链的商流、物流、信息流和资金流进行整合和优化，从而形成一种创新性一体化商业服务。</w:t>
      </w:r>
    </w:p>
    <w:p>
      <w:pPr>
        <w:pStyle w:val="57"/>
        <w:ind w:firstLine="420"/>
      </w:pPr>
      <w:r>
        <w:rPr>
          <w:rFonts w:hint="eastAsia"/>
        </w:rPr>
        <w:t>[来源：SZDB/Z 295—2018，3.2]</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智慧供应链服务  smart supply chain service</w:t>
      </w:r>
    </w:p>
    <w:p>
      <w:pPr>
        <w:pStyle w:val="57"/>
        <w:ind w:firstLine="420"/>
      </w:pPr>
      <w:r>
        <w:rPr>
          <w:rFonts w:hint="eastAsia"/>
        </w:rPr>
        <w:t>综合应用物联网、大数据、人工智能新一代信息技术、智能装备和现代化管理理念方法，对供应链从最初原材料到最终产品的整个业务流程涉及的商流、物流、信息流和资金流进行整合和优化，在企业内部及企业之间构建的智能化、数字化、自动化、网络化的技术和管理的综合集成系统。</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物流  logistics</w:t>
      </w:r>
    </w:p>
    <w:p>
      <w:pPr>
        <w:pStyle w:val="57"/>
        <w:ind w:firstLine="420"/>
      </w:pPr>
      <w:r>
        <w:rPr>
          <w:rFonts w:hint="eastAsia"/>
        </w:rPr>
        <w:t>根据实际需要，将运输、储存、装卸、搬运、包装、流通加工、配送、信息处理等基本功能实施有机结合，使物品从供应地向接收地进行实体流动的过程。</w:t>
      </w:r>
    </w:p>
    <w:p>
      <w:pPr>
        <w:pStyle w:val="57"/>
        <w:ind w:firstLine="420"/>
      </w:pPr>
      <w:r>
        <w:rPr>
          <w:rFonts w:hint="eastAsia"/>
        </w:rPr>
        <w:t>[来源：GB/T 18354—2021，3.2]</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智慧物流  smart logistics</w:t>
      </w:r>
    </w:p>
    <w:p>
      <w:pPr>
        <w:pStyle w:val="57"/>
        <w:ind w:firstLine="420"/>
      </w:pPr>
      <w:r>
        <w:rPr>
          <w:rFonts w:hint="eastAsia"/>
        </w:rPr>
        <w:t>以物联网技术为基础，综合运用大数据、云计算、区块链及相关信息技术，通过全面感知、识别、跟踪物流作业状态，实现实时应对、智能优化决策的物流服务系统。</w:t>
      </w:r>
    </w:p>
    <w:p>
      <w:pPr>
        <w:pStyle w:val="57"/>
        <w:ind w:firstLine="420"/>
      </w:pPr>
      <w:r>
        <w:rPr>
          <w:rFonts w:hint="eastAsia"/>
        </w:rPr>
        <w:t>[来源：GB/T 18354—2021，3.34]</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智能技术  intelligent technology</w:t>
      </w:r>
    </w:p>
    <w:p>
      <w:pPr>
        <w:pStyle w:val="57"/>
        <w:ind w:firstLine="420"/>
      </w:pPr>
      <w:r>
        <w:rPr>
          <w:rFonts w:hint="eastAsia"/>
        </w:rPr>
        <w:t>使产品或事物具备类似人类智慧特征的技术，综合大数据、云计算、物联网、人工智能、区块链及其他领域软硬件技术的部分或全部内容。</w:t>
      </w:r>
    </w:p>
    <w:p>
      <w:pPr>
        <w:pStyle w:val="57"/>
        <w:ind w:firstLine="420"/>
      </w:pPr>
      <w:r>
        <w:rPr>
          <w:rFonts w:hint="eastAsia"/>
        </w:rPr>
        <w:t>[来源：GB/T41834—2022，3.1，有修改]</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智能设备  intelligent device</w:t>
      </w:r>
    </w:p>
    <w:p>
      <w:pPr>
        <w:pStyle w:val="57"/>
        <w:ind w:firstLine="420"/>
      </w:pPr>
      <w:r>
        <w:rPr>
          <w:rFonts w:hint="eastAsia"/>
        </w:rPr>
        <w:t>融合智能技术，具有感知、分析、决策、控制、执行功能的设备。</w:t>
      </w:r>
    </w:p>
    <w:p>
      <w:pPr>
        <w:pStyle w:val="57"/>
        <w:ind w:firstLine="420"/>
      </w:pPr>
      <w:r>
        <w:rPr>
          <w:rFonts w:hint="eastAsia"/>
        </w:rPr>
        <w:t>[来源：GB/T41834—2022，3.1]</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商流  business process</w:t>
      </w:r>
    </w:p>
    <w:p>
      <w:pPr>
        <w:pStyle w:val="57"/>
        <w:ind w:firstLine="420"/>
      </w:pPr>
      <w:r>
        <w:rPr>
          <w:rFonts w:hint="eastAsia"/>
        </w:rPr>
        <w:t>供应链中组织与组织发生的商务过程。</w:t>
      </w:r>
    </w:p>
    <w:p>
      <w:pPr>
        <w:pStyle w:val="57"/>
        <w:ind w:firstLine="420"/>
      </w:pPr>
      <w:r>
        <w:rPr>
          <w:rFonts w:hint="eastAsia"/>
        </w:rPr>
        <w:t>[来源：SZDB/Z 295—2018，3.4]</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资金流  fund flow</w:t>
      </w:r>
    </w:p>
    <w:p>
      <w:pPr>
        <w:pStyle w:val="57"/>
        <w:ind w:firstLine="420"/>
      </w:pPr>
      <w:r>
        <w:rPr>
          <w:rFonts w:hint="eastAsia"/>
        </w:rPr>
        <w:t>伴随供应链中商务活动而发生的资金和票据往来的流动过程。</w:t>
      </w:r>
    </w:p>
    <w:p>
      <w:pPr>
        <w:pStyle w:val="57"/>
        <w:ind w:firstLine="420"/>
      </w:pPr>
      <w:r>
        <w:rPr>
          <w:rFonts w:hint="eastAsia"/>
        </w:rPr>
        <w:t>[来源：SZDB/Z 295—2018，3.6]</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信息流  information flow</w:t>
      </w:r>
    </w:p>
    <w:p>
      <w:pPr>
        <w:pStyle w:val="57"/>
        <w:ind w:firstLine="420"/>
      </w:pPr>
      <w:r>
        <w:rPr>
          <w:rFonts w:hint="eastAsia"/>
        </w:rPr>
        <w:t>伴随供应链中的商流、物流、资金流而产生的信息的流动过程。</w:t>
      </w:r>
    </w:p>
    <w:p>
      <w:pPr>
        <w:pStyle w:val="57"/>
        <w:ind w:firstLine="420"/>
      </w:pPr>
      <w:r>
        <w:rPr>
          <w:rFonts w:hint="eastAsia"/>
        </w:rPr>
        <w:t>[来源：SZDB/Z 295—2018，3.7]</w:t>
      </w:r>
    </w:p>
    <w:p>
      <w:pPr>
        <w:pStyle w:val="105"/>
        <w:spacing w:before="312" w:after="312"/>
      </w:pPr>
      <w:bookmarkStart w:id="46" w:name="_Toc147769855"/>
      <w:r>
        <w:rPr>
          <w:rFonts w:hint="eastAsia"/>
        </w:rPr>
        <w:t>缩略语</w:t>
      </w:r>
      <w:bookmarkEnd w:id="46"/>
    </w:p>
    <w:p>
      <w:pPr>
        <w:adjustRightInd/>
        <w:spacing w:line="240" w:lineRule="auto"/>
        <w:ind w:firstLine="420" w:firstLineChars="200"/>
      </w:pPr>
      <w:r>
        <w:rPr>
          <w:rFonts w:hint="eastAsia"/>
        </w:rPr>
        <w:t>以下缩略语适用于本文件。</w:t>
      </w:r>
    </w:p>
    <w:p>
      <w:pPr>
        <w:adjustRightInd/>
        <w:spacing w:line="240" w:lineRule="auto"/>
        <w:ind w:firstLine="420" w:firstLineChars="200"/>
        <w:rPr>
          <w:rFonts w:ascii="宋体" w:hAnsi="Times New Roman"/>
          <w:kern w:val="0"/>
        </w:rPr>
      </w:pPr>
      <w:r>
        <w:rPr>
          <w:rFonts w:hint="eastAsia" w:ascii="宋体" w:hAnsi="宋体"/>
          <w:kern w:val="0"/>
        </w:rPr>
        <w:t>AI</w:t>
      </w:r>
      <w:r>
        <w:rPr>
          <w:rFonts w:hint="eastAsia" w:ascii="宋体" w:hAnsi="Times New Roman"/>
          <w:kern w:val="0"/>
        </w:rPr>
        <w:t xml:space="preserve">:  </w:t>
      </w:r>
      <w:r>
        <w:rPr>
          <w:rFonts w:hint="eastAsia" w:ascii="宋体" w:hAnsi="宋体"/>
          <w:kern w:val="0"/>
        </w:rPr>
        <w:t>人工智能（Artificial Intelligence</w:t>
      </w:r>
      <w:r>
        <w:rPr>
          <w:rFonts w:ascii="宋体" w:hAnsi="宋体"/>
          <w:kern w:val="0"/>
        </w:rPr>
        <w:t>）</w:t>
      </w:r>
    </w:p>
    <w:p>
      <w:pPr>
        <w:pStyle w:val="166"/>
        <w:numPr>
          <w:ilvl w:val="0"/>
          <w:numId w:val="0"/>
        </w:numPr>
        <w:ind w:firstLine="420" w:firstLineChars="200"/>
      </w:pPr>
      <w:r>
        <w:rPr>
          <w:rFonts w:hint="eastAsia" w:hAnsi="宋体"/>
        </w:rPr>
        <w:t>AR</w:t>
      </w:r>
      <w:r>
        <w:rPr>
          <w:rFonts w:hint="eastAsia"/>
        </w:rPr>
        <w:t xml:space="preserve">:  </w:t>
      </w:r>
      <w:r>
        <w:rPr>
          <w:rFonts w:hint="eastAsia" w:hAnsi="宋体"/>
        </w:rPr>
        <w:t>增强现实（Augmented Reality）</w:t>
      </w:r>
    </w:p>
    <w:p>
      <w:pPr>
        <w:adjustRightInd/>
        <w:spacing w:line="240" w:lineRule="auto"/>
        <w:ind w:firstLine="420" w:firstLineChars="200"/>
        <w:rPr>
          <w:rFonts w:ascii="宋体" w:hAnsi="Times New Roman"/>
          <w:kern w:val="0"/>
        </w:rPr>
      </w:pPr>
      <w:r>
        <w:rPr>
          <w:rFonts w:hint="eastAsia" w:ascii="宋体" w:hAnsi="宋体"/>
          <w:kern w:val="0"/>
        </w:rPr>
        <w:t>BI</w:t>
      </w:r>
      <w:r>
        <w:rPr>
          <w:rFonts w:hint="eastAsia" w:ascii="宋体" w:hAnsi="Times New Roman"/>
          <w:kern w:val="0"/>
        </w:rPr>
        <w:t xml:space="preserve">:  </w:t>
      </w:r>
      <w:r>
        <w:rPr>
          <w:rFonts w:hint="eastAsia" w:ascii="宋体" w:hAnsi="宋体"/>
          <w:kern w:val="0"/>
        </w:rPr>
        <w:t>商业智能（Business Intelligence）</w:t>
      </w:r>
    </w:p>
    <w:p>
      <w:pPr>
        <w:adjustRightInd/>
        <w:spacing w:line="240" w:lineRule="auto"/>
        <w:ind w:firstLine="420" w:firstLineChars="200"/>
        <w:rPr>
          <w:rFonts w:ascii="宋体" w:hAnsi="Times New Roman"/>
          <w:kern w:val="0"/>
        </w:rPr>
      </w:pPr>
      <w:r>
        <w:rPr>
          <w:rFonts w:hint="eastAsia" w:ascii="宋体" w:hAnsi="宋体"/>
          <w:kern w:val="0"/>
        </w:rPr>
        <w:t>CRM</w:t>
      </w:r>
      <w:r>
        <w:rPr>
          <w:rFonts w:hint="eastAsia" w:ascii="宋体" w:hAnsi="Times New Roman"/>
          <w:kern w:val="0"/>
        </w:rPr>
        <w:t xml:space="preserve">: </w:t>
      </w:r>
      <w:r>
        <w:rPr>
          <w:rFonts w:hint="eastAsia" w:ascii="宋体" w:hAnsi="宋体"/>
          <w:kern w:val="0"/>
        </w:rPr>
        <w:t>客户关系管理（Customer Relationship Management）</w:t>
      </w:r>
    </w:p>
    <w:p>
      <w:pPr>
        <w:adjustRightInd/>
        <w:spacing w:line="240" w:lineRule="auto"/>
        <w:ind w:firstLine="420" w:firstLineChars="200"/>
        <w:rPr>
          <w:rFonts w:ascii="宋体" w:hAnsi="Times New Roman"/>
          <w:kern w:val="0"/>
        </w:rPr>
      </w:pPr>
      <w:r>
        <w:rPr>
          <w:rFonts w:hint="eastAsia" w:ascii="宋体" w:hAnsi="宋体"/>
          <w:kern w:val="0"/>
        </w:rPr>
        <w:t>ERP</w:t>
      </w:r>
      <w:r>
        <w:rPr>
          <w:rFonts w:hint="eastAsia" w:ascii="宋体" w:hAnsi="Times New Roman"/>
          <w:kern w:val="0"/>
        </w:rPr>
        <w:t xml:space="preserve">: </w:t>
      </w:r>
      <w:r>
        <w:rPr>
          <w:rFonts w:hint="eastAsia" w:ascii="宋体" w:hAnsi="宋体"/>
          <w:kern w:val="0"/>
        </w:rPr>
        <w:t>企业资源计划</w:t>
      </w:r>
      <w:r>
        <w:rPr>
          <w:rFonts w:hint="eastAsia" w:ascii="宋体" w:hAnsi="Times New Roman"/>
          <w:kern w:val="0"/>
        </w:rPr>
        <w:t>（</w:t>
      </w:r>
      <w:r>
        <w:rPr>
          <w:rFonts w:hint="eastAsia" w:ascii="宋体" w:hAnsi="宋体"/>
          <w:kern w:val="0"/>
        </w:rPr>
        <w:t>Enterprise Resource Planning)</w:t>
      </w:r>
    </w:p>
    <w:p>
      <w:pPr>
        <w:adjustRightInd/>
        <w:spacing w:line="240" w:lineRule="auto"/>
        <w:ind w:firstLine="420" w:firstLineChars="200"/>
        <w:rPr>
          <w:rFonts w:ascii="宋体" w:hAnsi="Times New Roman"/>
          <w:kern w:val="0"/>
        </w:rPr>
      </w:pPr>
      <w:r>
        <w:rPr>
          <w:rFonts w:hint="eastAsia" w:ascii="宋体" w:hAnsi="宋体"/>
          <w:kern w:val="0"/>
        </w:rPr>
        <w:t>OA</w:t>
      </w:r>
      <w:r>
        <w:rPr>
          <w:rFonts w:hint="eastAsia" w:ascii="宋体" w:hAnsi="Times New Roman"/>
          <w:kern w:val="0"/>
        </w:rPr>
        <w:t xml:space="preserve">:  </w:t>
      </w:r>
      <w:r>
        <w:rPr>
          <w:rFonts w:hint="eastAsia" w:ascii="宋体" w:hAnsi="宋体"/>
          <w:kern w:val="0"/>
        </w:rPr>
        <w:t>办公自动化（Office Automation）</w:t>
      </w:r>
    </w:p>
    <w:p>
      <w:pPr>
        <w:adjustRightInd/>
        <w:spacing w:line="240" w:lineRule="auto"/>
        <w:ind w:firstLine="420" w:firstLineChars="200"/>
        <w:rPr>
          <w:rFonts w:ascii="宋体" w:hAnsi="Times New Roman"/>
          <w:kern w:val="0"/>
        </w:rPr>
      </w:pPr>
      <w:r>
        <w:rPr>
          <w:rFonts w:hint="eastAsia" w:ascii="宋体" w:hAnsi="宋体"/>
          <w:kern w:val="0"/>
        </w:rPr>
        <w:t>OMS</w:t>
      </w:r>
      <w:r>
        <w:rPr>
          <w:rFonts w:hint="eastAsia" w:ascii="宋体" w:hAnsi="Times New Roman"/>
          <w:kern w:val="0"/>
        </w:rPr>
        <w:t xml:space="preserve">: </w:t>
      </w:r>
      <w:r>
        <w:rPr>
          <w:rFonts w:hint="eastAsia" w:ascii="宋体" w:hAnsi="宋体"/>
          <w:kern w:val="0"/>
        </w:rPr>
        <w:t>订单管理系统</w:t>
      </w:r>
      <w:r>
        <w:rPr>
          <w:rFonts w:hint="eastAsia" w:ascii="宋体" w:hAnsi="Times New Roman"/>
          <w:kern w:val="0"/>
        </w:rPr>
        <w:t xml:space="preserve"> </w:t>
      </w:r>
      <w:r>
        <w:rPr>
          <w:rFonts w:hint="eastAsia" w:ascii="宋体" w:hAnsi="宋体"/>
          <w:kern w:val="0"/>
        </w:rPr>
        <w:t>(Order Management System)</w:t>
      </w:r>
    </w:p>
    <w:p>
      <w:pPr>
        <w:adjustRightInd/>
        <w:spacing w:line="240" w:lineRule="auto"/>
        <w:ind w:firstLine="420" w:firstLineChars="200"/>
        <w:rPr>
          <w:rFonts w:ascii="宋体" w:hAnsi="Times New Roman"/>
          <w:kern w:val="0"/>
        </w:rPr>
      </w:pPr>
      <w:r>
        <w:rPr>
          <w:rFonts w:hint="eastAsia" w:ascii="宋体" w:hAnsi="宋体"/>
          <w:kern w:val="0"/>
        </w:rPr>
        <w:t>RFID: 射频识别技术（Radio Frequency Identification）</w:t>
      </w:r>
    </w:p>
    <w:p>
      <w:pPr>
        <w:adjustRightInd/>
        <w:spacing w:line="240" w:lineRule="auto"/>
        <w:ind w:firstLine="420" w:firstLineChars="200"/>
        <w:rPr>
          <w:rFonts w:ascii="宋体" w:hAnsi="Times New Roman"/>
          <w:kern w:val="0"/>
        </w:rPr>
      </w:pPr>
      <w:r>
        <w:rPr>
          <w:rFonts w:hint="eastAsia" w:ascii="宋体" w:hAnsi="宋体"/>
          <w:kern w:val="0"/>
        </w:rPr>
        <w:t>SAAS: 软件即服务（</w:t>
      </w:r>
      <w:r>
        <w:rPr>
          <w:rFonts w:hint="eastAsia" w:ascii="宋体" w:hAnsi="Times New Roman"/>
          <w:kern w:val="0"/>
        </w:rPr>
        <w:t>Software as a Service</w:t>
      </w:r>
      <w:r>
        <w:rPr>
          <w:rFonts w:hint="eastAsia" w:ascii="宋体" w:hAnsi="宋体"/>
          <w:kern w:val="0"/>
        </w:rPr>
        <w:t>）</w:t>
      </w:r>
    </w:p>
    <w:p>
      <w:pPr>
        <w:adjustRightInd/>
        <w:spacing w:line="240" w:lineRule="auto"/>
        <w:ind w:firstLine="420" w:firstLineChars="200"/>
        <w:rPr>
          <w:rFonts w:ascii="宋体" w:hAnsi="Times New Roman"/>
          <w:kern w:val="0"/>
        </w:rPr>
      </w:pPr>
      <w:r>
        <w:rPr>
          <w:rFonts w:hint="eastAsia" w:ascii="宋体" w:hAnsi="Times New Roman"/>
          <w:kern w:val="0"/>
        </w:rPr>
        <w:t>SAP</w:t>
      </w:r>
      <w:r>
        <w:rPr>
          <w:rFonts w:hint="eastAsia" w:ascii="宋体" w:hAnsi="宋体"/>
          <w:kern w:val="0"/>
        </w:rPr>
        <w:t>: 企业管理解决方案（</w:t>
      </w:r>
      <w:r>
        <w:rPr>
          <w:rFonts w:hint="eastAsia" w:ascii="宋体" w:hAnsi="Times New Roman"/>
          <w:kern w:val="0"/>
        </w:rPr>
        <w:t>System Applications and Products</w:t>
      </w:r>
      <w:r>
        <w:rPr>
          <w:rFonts w:hint="eastAsia" w:ascii="宋体" w:hAnsi="宋体"/>
          <w:kern w:val="0"/>
        </w:rPr>
        <w:t>）</w:t>
      </w:r>
    </w:p>
    <w:p>
      <w:pPr>
        <w:adjustRightInd/>
        <w:spacing w:line="240" w:lineRule="auto"/>
        <w:ind w:firstLine="420" w:firstLineChars="200"/>
        <w:rPr>
          <w:rFonts w:ascii="宋体" w:hAnsi="Times New Roman"/>
          <w:kern w:val="0"/>
        </w:rPr>
      </w:pPr>
      <w:r>
        <w:rPr>
          <w:rFonts w:hint="eastAsia" w:ascii="宋体" w:hAnsi="宋体"/>
          <w:kern w:val="0"/>
        </w:rPr>
        <w:t>TMS</w:t>
      </w:r>
      <w:r>
        <w:rPr>
          <w:rFonts w:hint="eastAsia" w:ascii="宋体" w:hAnsi="Times New Roman"/>
          <w:kern w:val="0"/>
        </w:rPr>
        <w:t xml:space="preserve">: </w:t>
      </w:r>
      <w:r>
        <w:rPr>
          <w:rFonts w:hint="eastAsia" w:ascii="宋体" w:hAnsi="宋体"/>
          <w:kern w:val="0"/>
        </w:rPr>
        <w:t>运输管理系统</w:t>
      </w:r>
      <w:r>
        <w:rPr>
          <w:rFonts w:hint="eastAsia" w:ascii="宋体" w:hAnsi="Times New Roman"/>
          <w:kern w:val="0"/>
        </w:rPr>
        <w:t>（</w:t>
      </w:r>
      <w:r>
        <w:rPr>
          <w:rFonts w:hint="eastAsia" w:ascii="宋体" w:hAnsi="宋体"/>
          <w:kern w:val="0"/>
        </w:rPr>
        <w:t>Transportation Management System）</w:t>
      </w:r>
    </w:p>
    <w:p>
      <w:pPr>
        <w:adjustRightInd/>
        <w:spacing w:line="240" w:lineRule="auto"/>
        <w:ind w:firstLine="420" w:firstLineChars="200"/>
        <w:rPr>
          <w:rFonts w:ascii="宋体" w:hAnsi="Times New Roman"/>
          <w:kern w:val="0"/>
        </w:rPr>
      </w:pPr>
      <w:r>
        <w:rPr>
          <w:rFonts w:hint="eastAsia" w:ascii="宋体" w:hAnsi="宋体"/>
          <w:kern w:val="0"/>
        </w:rPr>
        <w:t>VR</w:t>
      </w:r>
      <w:r>
        <w:rPr>
          <w:rFonts w:hint="eastAsia" w:ascii="宋体" w:hAnsi="Times New Roman"/>
          <w:kern w:val="0"/>
        </w:rPr>
        <w:t xml:space="preserve">:  </w:t>
      </w:r>
      <w:r>
        <w:rPr>
          <w:rFonts w:hint="eastAsia" w:ascii="宋体" w:hAnsi="宋体"/>
          <w:kern w:val="0"/>
        </w:rPr>
        <w:t>虚拟现实技术</w:t>
      </w:r>
      <w:r>
        <w:rPr>
          <w:rFonts w:hint="eastAsia" w:ascii="宋体" w:hAnsi="Times New Roman"/>
          <w:kern w:val="0"/>
        </w:rPr>
        <w:t>（</w:t>
      </w:r>
      <w:r>
        <w:rPr>
          <w:rFonts w:hint="eastAsia" w:ascii="宋体" w:hAnsi="宋体"/>
          <w:kern w:val="0"/>
        </w:rPr>
        <w:t>Virtual Reality）</w:t>
      </w:r>
    </w:p>
    <w:p>
      <w:pPr>
        <w:adjustRightInd/>
        <w:spacing w:line="240" w:lineRule="auto"/>
        <w:ind w:firstLine="420" w:firstLineChars="200"/>
        <w:rPr>
          <w:rFonts w:ascii="宋体" w:hAnsi="Times New Roman"/>
          <w:kern w:val="0"/>
        </w:rPr>
      </w:pPr>
      <w:r>
        <w:rPr>
          <w:rFonts w:hint="eastAsia" w:ascii="宋体" w:hAnsi="宋体"/>
          <w:kern w:val="0"/>
        </w:rPr>
        <w:t>WCS</w:t>
      </w:r>
      <w:r>
        <w:rPr>
          <w:rFonts w:hint="eastAsia" w:ascii="宋体" w:hAnsi="Times New Roman"/>
          <w:kern w:val="0"/>
        </w:rPr>
        <w:t xml:space="preserve">: </w:t>
      </w:r>
      <w:r>
        <w:rPr>
          <w:rFonts w:hint="eastAsia" w:ascii="宋体" w:hAnsi="宋体"/>
          <w:kern w:val="0"/>
        </w:rPr>
        <w:t>仓库控制系统（Warehouse Control System）</w:t>
      </w:r>
    </w:p>
    <w:p>
      <w:pPr>
        <w:adjustRightInd/>
        <w:spacing w:line="240" w:lineRule="auto"/>
        <w:ind w:firstLine="420" w:firstLineChars="200"/>
        <w:rPr>
          <w:rFonts w:ascii="宋体" w:hAnsi="Times New Roman"/>
          <w:kern w:val="0"/>
        </w:rPr>
      </w:pPr>
      <w:r>
        <w:rPr>
          <w:rFonts w:hint="eastAsia" w:ascii="宋体" w:hAnsi="宋体"/>
          <w:kern w:val="0"/>
        </w:rPr>
        <w:t>WMS: 仓库管理系统（Warehouse Management System）</w:t>
      </w:r>
    </w:p>
    <w:p>
      <w:pPr>
        <w:pStyle w:val="105"/>
        <w:spacing w:before="312" w:after="312"/>
      </w:pPr>
      <w:bookmarkStart w:id="47" w:name="_Toc147769856"/>
      <w:r>
        <w:rPr>
          <w:rFonts w:hint="eastAsia"/>
        </w:rPr>
        <w:t>基本要求</w:t>
      </w:r>
      <w:bookmarkEnd w:id="47"/>
    </w:p>
    <w:p>
      <w:pPr>
        <w:pStyle w:val="106"/>
        <w:spacing w:before="156" w:after="156"/>
      </w:pPr>
      <w:bookmarkStart w:id="48" w:name="_Toc142320961"/>
      <w:bookmarkStart w:id="49" w:name="_Toc147769857"/>
      <w:bookmarkStart w:id="50" w:name="_Toc141370076"/>
      <w:r>
        <w:rPr>
          <w:rFonts w:hint="eastAsia"/>
        </w:rPr>
        <w:t>企业基本条件</w:t>
      </w:r>
      <w:bookmarkEnd w:id="48"/>
      <w:bookmarkEnd w:id="49"/>
      <w:bookmarkEnd w:id="50"/>
    </w:p>
    <w:p>
      <w:pPr>
        <w:pStyle w:val="66"/>
        <w:spacing w:before="156" w:after="156"/>
      </w:pPr>
      <w:r>
        <w:rPr>
          <w:rFonts w:hint="eastAsia"/>
        </w:rPr>
        <w:t>经营要求</w:t>
      </w:r>
    </w:p>
    <w:p>
      <w:pPr>
        <w:pStyle w:val="57"/>
        <w:ind w:firstLine="420"/>
      </w:pPr>
      <w:r>
        <w:rPr>
          <w:rFonts w:hint="eastAsia"/>
        </w:rPr>
        <w:t>本项要求包括：</w:t>
      </w:r>
    </w:p>
    <w:p>
      <w:pPr>
        <w:pStyle w:val="175"/>
      </w:pPr>
      <w:r>
        <w:rPr>
          <w:rFonts w:hint="eastAsia"/>
        </w:rPr>
        <w:t>遵守供应链服务企业运营中涉及的安全、节能、环保、规划等相关法律、法规及标准的要求；无不良经营行为；</w:t>
      </w:r>
    </w:p>
    <w:p>
      <w:pPr>
        <w:pStyle w:val="175"/>
      </w:pPr>
      <w:r>
        <w:rPr>
          <w:rFonts w:hint="eastAsia"/>
        </w:rPr>
        <w:t>具备与智慧供应链服务体系建设配套的战略目标、规划和实施；</w:t>
      </w:r>
    </w:p>
    <w:p>
      <w:pPr>
        <w:pStyle w:val="175"/>
      </w:pPr>
      <w:r>
        <w:rPr>
          <w:rFonts w:hint="eastAsia"/>
        </w:rPr>
        <w:t>具备配套智慧供应链服务体系建设的资金投入预算和计划。</w:t>
      </w:r>
    </w:p>
    <w:p>
      <w:pPr>
        <w:pStyle w:val="66"/>
        <w:spacing w:before="156" w:after="156"/>
      </w:pPr>
      <w:r>
        <w:rPr>
          <w:rFonts w:hint="eastAsia"/>
        </w:rPr>
        <w:t>人员设置与制度建设</w:t>
      </w:r>
    </w:p>
    <w:p>
      <w:pPr>
        <w:pStyle w:val="57"/>
        <w:ind w:firstLine="420"/>
      </w:pPr>
      <w:r>
        <w:rPr>
          <w:rFonts w:hint="eastAsia"/>
        </w:rPr>
        <w:t>本项要求包括：</w:t>
      </w:r>
    </w:p>
    <w:p>
      <w:pPr>
        <w:pStyle w:val="175"/>
        <w:numPr>
          <w:ilvl w:val="0"/>
          <w:numId w:val="32"/>
        </w:numPr>
      </w:pPr>
      <w:r>
        <w:rPr>
          <w:rFonts w:hint="eastAsia"/>
        </w:rPr>
        <w:t>应设置智慧供应链服务体系建设的领导机构和岗位，拥有智慧供应链服务相关的从业人员；</w:t>
      </w:r>
    </w:p>
    <w:p>
      <w:pPr>
        <w:pStyle w:val="175"/>
      </w:pPr>
      <w:r>
        <w:rPr>
          <w:rFonts w:hint="eastAsia"/>
        </w:rPr>
        <w:t>应制定智慧化相关的工作规范和管理制度；</w:t>
      </w:r>
    </w:p>
    <w:p>
      <w:pPr>
        <w:pStyle w:val="175"/>
      </w:pPr>
      <w:r>
        <w:rPr>
          <w:rFonts w:hint="eastAsia"/>
        </w:rPr>
        <w:t>应制定针对企业管理层和基层员工的智慧化定期培训制度。</w:t>
      </w:r>
    </w:p>
    <w:p>
      <w:pPr>
        <w:pStyle w:val="106"/>
        <w:spacing w:before="156" w:after="156"/>
      </w:pPr>
      <w:bookmarkStart w:id="51" w:name="_Toc147769858"/>
      <w:bookmarkStart w:id="52" w:name="_Toc141370077"/>
      <w:bookmarkStart w:id="53" w:name="_Toc142320962"/>
      <w:r>
        <w:rPr>
          <w:rFonts w:hint="eastAsia"/>
        </w:rPr>
        <w:t>技术要求</w:t>
      </w:r>
      <w:bookmarkEnd w:id="51"/>
      <w:bookmarkEnd w:id="52"/>
      <w:bookmarkEnd w:id="53"/>
    </w:p>
    <w:p>
      <w:pPr>
        <w:pStyle w:val="66"/>
        <w:spacing w:before="156" w:after="156"/>
      </w:pPr>
      <w:r>
        <w:rPr>
          <w:rFonts w:hint="eastAsia"/>
        </w:rPr>
        <w:t>新一代信息技术</w:t>
      </w:r>
    </w:p>
    <w:p>
      <w:pPr>
        <w:pStyle w:val="57"/>
        <w:ind w:firstLine="420"/>
      </w:pPr>
      <w:r>
        <w:rPr>
          <w:rFonts w:hint="eastAsia"/>
        </w:rPr>
        <w:t>智慧供应链服务需要的智能技术包括5G、物联网、大数据、云计算、区块链、AI、AR/VR、人脸识别、规则引擎、电子签章、网络标识解析等方面。</w:t>
      </w:r>
    </w:p>
    <w:p>
      <w:pPr>
        <w:pStyle w:val="66"/>
        <w:spacing w:before="156" w:after="156"/>
      </w:pPr>
      <w:r>
        <w:rPr>
          <w:rFonts w:hint="eastAsia"/>
        </w:rPr>
        <w:t>智能设备</w:t>
      </w:r>
    </w:p>
    <w:p>
      <w:pPr>
        <w:pStyle w:val="57"/>
        <w:ind w:firstLine="420"/>
      </w:pPr>
      <w:r>
        <w:rPr>
          <w:rFonts w:hint="eastAsia"/>
        </w:rPr>
        <w:t>企业宜利用智能化设备提升采购、分销、物流、通关、生产管理等作业环节的智慧化水平，智能设备包括但不限于以下内容：</w:t>
      </w:r>
    </w:p>
    <w:p>
      <w:pPr>
        <w:pStyle w:val="175"/>
        <w:numPr>
          <w:ilvl w:val="0"/>
          <w:numId w:val="33"/>
        </w:numPr>
      </w:pPr>
      <w:r>
        <w:rPr>
          <w:rFonts w:hint="eastAsia"/>
        </w:rPr>
        <w:t>智能分拣类设备，包括自动分拣线、分拣机器人等；</w:t>
      </w:r>
    </w:p>
    <w:p>
      <w:pPr>
        <w:pStyle w:val="175"/>
      </w:pPr>
      <w:r>
        <w:rPr>
          <w:rFonts w:hint="eastAsia"/>
        </w:rPr>
        <w:t>智能仓储类设备，包括自动立体库、AGV小车、多层穿梭车、智能拆垛机械手、自动输送设备等；</w:t>
      </w:r>
    </w:p>
    <w:p>
      <w:pPr>
        <w:pStyle w:val="175"/>
      </w:pPr>
      <w:r>
        <w:rPr>
          <w:rFonts w:hint="eastAsia"/>
        </w:rPr>
        <w:t>智能识别类设备，包括智能快递终端、手持扫描仪等；</w:t>
      </w:r>
    </w:p>
    <w:p>
      <w:pPr>
        <w:pStyle w:val="175"/>
      </w:pPr>
      <w:r>
        <w:rPr>
          <w:rFonts w:hint="eastAsia"/>
        </w:rPr>
        <w:t>智能包装类设备，包括封箱机、码垛机、收缩机、打包机、缠绕机等；</w:t>
      </w:r>
    </w:p>
    <w:p>
      <w:pPr>
        <w:pStyle w:val="175"/>
      </w:pPr>
      <w:r>
        <w:rPr>
          <w:rFonts w:hint="eastAsia"/>
        </w:rPr>
        <w:t>智能运载类设备，包括智能运货车、运载机器人、自动化搬运车等；</w:t>
      </w:r>
    </w:p>
    <w:p>
      <w:pPr>
        <w:pStyle w:val="175"/>
      </w:pPr>
      <w:r>
        <w:rPr>
          <w:rFonts w:hint="eastAsia"/>
        </w:rPr>
        <w:t>智能配送类设备，包括自动配送车、无人机等。</w:t>
      </w:r>
    </w:p>
    <w:p>
      <w:pPr>
        <w:pStyle w:val="66"/>
        <w:spacing w:before="156" w:after="156"/>
      </w:pPr>
      <w:r>
        <w:rPr>
          <w:rFonts w:hint="eastAsia"/>
        </w:rPr>
        <w:t>网络与连接</w:t>
      </w:r>
    </w:p>
    <w:p>
      <w:pPr>
        <w:pStyle w:val="57"/>
        <w:ind w:firstLine="420"/>
      </w:pPr>
      <w:r>
        <w:rPr>
          <w:rFonts w:hint="eastAsia"/>
        </w:rPr>
        <w:t>企业需应用互联网、移动互联网、网络标识解析等网络和连接技术，开展人员、办公、财务、仓库、车辆、设备、园区等节点资源的互联互通和信息采集。包括但不限于以下内容：</w:t>
      </w:r>
    </w:p>
    <w:p>
      <w:pPr>
        <w:pStyle w:val="175"/>
        <w:numPr>
          <w:ilvl w:val="0"/>
          <w:numId w:val="34"/>
        </w:numPr>
      </w:pPr>
      <w:r>
        <w:rPr>
          <w:rFonts w:hint="eastAsia"/>
        </w:rPr>
        <w:t>充分利用RFID、传感器、网络标识解析等物联网技术实现设备、车、船、交通状况、商品状态和位置的实时追踪、监测、识别和管理；</w:t>
      </w:r>
    </w:p>
    <w:p>
      <w:pPr>
        <w:pStyle w:val="175"/>
      </w:pPr>
      <w:r>
        <w:rPr>
          <w:rFonts w:hint="eastAsia"/>
        </w:rPr>
        <w:t>充分利用5G、WiFi等移动网络实现移动作业的实时互联，应用手持终端、移动APP、AR/VR等实现随时随地作业；</w:t>
      </w:r>
    </w:p>
    <w:p>
      <w:pPr>
        <w:pStyle w:val="175"/>
      </w:pPr>
      <w:r>
        <w:rPr>
          <w:rFonts w:hint="eastAsia"/>
        </w:rPr>
        <w:t>充分利用大数据、云计算等技术加快智慧供应链上的业务环节产生的各项数据上云，实现供应链大数据采集、处理、可视、智能分析和决策。</w:t>
      </w:r>
    </w:p>
    <w:p>
      <w:pPr>
        <w:pStyle w:val="66"/>
        <w:spacing w:before="156" w:after="156"/>
      </w:pPr>
      <w:r>
        <w:rPr>
          <w:rFonts w:hint="eastAsia"/>
        </w:rPr>
        <w:t>云基础设施</w:t>
      </w:r>
    </w:p>
    <w:p>
      <w:pPr>
        <w:pStyle w:val="57"/>
        <w:ind w:firstLine="420"/>
      </w:pPr>
      <w:r>
        <w:rPr>
          <w:rFonts w:hint="eastAsia"/>
        </w:rPr>
        <w:t>企业宜充分应用各类SAAS云平台、数据中心等基础设施开展计算、存储等资源的分布式部署，确保数据安全，支撑智慧供应链业务高效敏捷，为采购、分销等各项供应链服务业务提供连续一致的云基础服务。</w:t>
      </w:r>
    </w:p>
    <w:p>
      <w:pPr>
        <w:pStyle w:val="66"/>
        <w:spacing w:before="156" w:after="156"/>
      </w:pPr>
      <w:r>
        <w:rPr>
          <w:rFonts w:hint="eastAsia"/>
        </w:rPr>
        <w:t>业务运作系统</w:t>
      </w:r>
    </w:p>
    <w:p>
      <w:pPr>
        <w:pStyle w:val="57"/>
        <w:ind w:firstLine="420"/>
      </w:pPr>
      <w:r>
        <w:rPr>
          <w:rFonts w:hint="eastAsia"/>
        </w:rPr>
        <w:t>智慧供应链服务业务运作系统涉及采购、生产管理、分销、进出口、物流、金融等重要环节，相关软件和数字化工具包括:</w:t>
      </w:r>
    </w:p>
    <w:p>
      <w:pPr>
        <w:pStyle w:val="57"/>
        <w:ind w:firstLine="420"/>
      </w:pPr>
      <w:r>
        <w:rPr>
          <w:rFonts w:hint="eastAsia"/>
        </w:rPr>
        <w:t>a)</w:t>
      </w:r>
      <w:r>
        <w:rPr>
          <w:rFonts w:hint="eastAsia"/>
        </w:rPr>
        <w:tab/>
      </w:r>
      <w:r>
        <w:rPr>
          <w:rFonts w:hint="eastAsia"/>
        </w:rPr>
        <w:t>供应链管理系统包括ERP、SAP系统等；</w:t>
      </w:r>
    </w:p>
    <w:p>
      <w:pPr>
        <w:pStyle w:val="57"/>
        <w:ind w:firstLine="420"/>
      </w:pPr>
      <w:r>
        <w:rPr>
          <w:rFonts w:hint="eastAsia"/>
        </w:rPr>
        <w:t>b)</w:t>
      </w:r>
      <w:r>
        <w:rPr>
          <w:rFonts w:hint="eastAsia"/>
        </w:rPr>
        <w:tab/>
      </w:r>
      <w:r>
        <w:rPr>
          <w:rFonts w:hint="eastAsia"/>
        </w:rPr>
        <w:t>物流管理系统包括TMS、WMS、WCS等；</w:t>
      </w:r>
    </w:p>
    <w:p>
      <w:pPr>
        <w:pStyle w:val="57"/>
        <w:ind w:firstLine="420"/>
      </w:pPr>
      <w:r>
        <w:rPr>
          <w:rFonts w:hint="eastAsia"/>
        </w:rPr>
        <w:t>c)</w:t>
      </w:r>
      <w:r>
        <w:rPr>
          <w:rFonts w:hint="eastAsia"/>
        </w:rPr>
        <w:tab/>
      </w:r>
      <w:r>
        <w:rPr>
          <w:rFonts w:hint="eastAsia"/>
        </w:rPr>
        <w:t>财务管理系统包括BMS、金蝶系统等；</w:t>
      </w:r>
    </w:p>
    <w:p>
      <w:pPr>
        <w:pStyle w:val="57"/>
        <w:ind w:firstLine="420"/>
      </w:pPr>
      <w:r>
        <w:rPr>
          <w:rFonts w:hint="eastAsia"/>
        </w:rPr>
        <w:t>d)</w:t>
      </w:r>
      <w:r>
        <w:rPr>
          <w:rFonts w:hint="eastAsia"/>
        </w:rPr>
        <w:tab/>
      </w:r>
      <w:r>
        <w:rPr>
          <w:rFonts w:hint="eastAsia"/>
        </w:rPr>
        <w:t>办公及商业决策系统包括BI、OA、CRM等；</w:t>
      </w:r>
    </w:p>
    <w:p>
      <w:pPr>
        <w:pStyle w:val="57"/>
        <w:ind w:firstLine="420"/>
      </w:pPr>
      <w:r>
        <w:rPr>
          <w:rFonts w:hint="eastAsia"/>
        </w:rPr>
        <w:t>e)</w:t>
      </w:r>
      <w:r>
        <w:rPr>
          <w:rFonts w:hint="eastAsia"/>
        </w:rPr>
        <w:tab/>
      </w:r>
      <w:r>
        <w:rPr>
          <w:rFonts w:hint="eastAsia"/>
        </w:rPr>
        <w:t>系统数据共享和决策分析报表完整性。</w:t>
      </w:r>
    </w:p>
    <w:p>
      <w:pPr>
        <w:pStyle w:val="66"/>
        <w:spacing w:before="156" w:after="156"/>
      </w:pPr>
      <w:r>
        <w:rPr>
          <w:rFonts w:hint="eastAsia"/>
        </w:rPr>
        <w:t>信息安全</w:t>
      </w:r>
    </w:p>
    <w:p>
      <w:pPr>
        <w:pStyle w:val="175"/>
        <w:numPr>
          <w:ilvl w:val="0"/>
          <w:numId w:val="35"/>
        </w:numPr>
      </w:pPr>
      <w:r>
        <w:rPr>
          <w:rFonts w:hint="eastAsia"/>
        </w:rPr>
        <w:t>企业宜做好机房的安全管理，制定详细的机房管理制度，确保服务器、UPS电源及网络交换机等设备的正常运行；</w:t>
      </w:r>
    </w:p>
    <w:p>
      <w:pPr>
        <w:pStyle w:val="175"/>
        <w:numPr>
          <w:ilvl w:val="0"/>
          <w:numId w:val="35"/>
        </w:numPr>
      </w:pPr>
      <w:r>
        <w:rPr>
          <w:rFonts w:hint="eastAsia"/>
        </w:rPr>
        <w:t>企业宜加强信息化办公人员的安全意识和团队合作精神，加强对计算机系统、办公系统、服务器系统、防火墙及入侵防范管理系统的管理，保证网络系统安全运行和机密文件的信息安全，保障服务器数据库的安全运行；</w:t>
      </w:r>
    </w:p>
    <w:p>
      <w:pPr>
        <w:pStyle w:val="175"/>
        <w:numPr>
          <w:ilvl w:val="0"/>
          <w:numId w:val="35"/>
        </w:numPr>
      </w:pPr>
      <w:r>
        <w:rPr>
          <w:rFonts w:hint="eastAsia"/>
        </w:rPr>
        <w:t>企业宜建立电脑使用管理制度，包括电脑域策略的制定，上网行为的规范，U盘移动存储设备的管理和各系统帐号的安全管理等；</w:t>
      </w:r>
    </w:p>
    <w:p>
      <w:pPr>
        <w:pStyle w:val="175"/>
        <w:numPr>
          <w:ilvl w:val="0"/>
          <w:numId w:val="35"/>
        </w:numPr>
      </w:pPr>
      <w:r>
        <w:rPr>
          <w:rFonts w:hint="eastAsia"/>
        </w:rPr>
        <w:t>企业宜具有异地灾备意识，在不同地点建立备份系统，提高数据抵抗各种可能安全因素的容灾能力。</w:t>
      </w:r>
    </w:p>
    <w:p>
      <w:pPr>
        <w:pStyle w:val="106"/>
        <w:spacing w:before="156" w:after="156"/>
      </w:pPr>
      <w:bookmarkStart w:id="54" w:name="_Toc142320963"/>
      <w:bookmarkStart w:id="55" w:name="_Toc141370078"/>
      <w:bookmarkStart w:id="56" w:name="_Toc147769859"/>
      <w:r>
        <w:rPr>
          <w:rFonts w:hint="eastAsia"/>
        </w:rPr>
        <w:t>业务管理要求</w:t>
      </w:r>
      <w:bookmarkEnd w:id="54"/>
      <w:bookmarkEnd w:id="55"/>
      <w:bookmarkEnd w:id="56"/>
    </w:p>
    <w:p>
      <w:pPr>
        <w:pStyle w:val="175"/>
        <w:numPr>
          <w:ilvl w:val="0"/>
          <w:numId w:val="36"/>
        </w:numPr>
      </w:pPr>
      <w:r>
        <w:rPr>
          <w:rFonts w:hint="eastAsia"/>
        </w:rPr>
        <w:t>企业宜从战略层面统筹智慧供应链服务所需的人才、资金、数据、技术、系统等各项资源；通过信息技术融合应用持续推动计划、订单、采购、物流、分销等供应链服务业务向数字化转型；</w:t>
      </w:r>
    </w:p>
    <w:p>
      <w:pPr>
        <w:pStyle w:val="175"/>
      </w:pPr>
      <w:r>
        <w:rPr>
          <w:rFonts w:hint="eastAsia"/>
        </w:rPr>
        <w:t>企业宜结合市场需求趋势以及企业战略方向，面向不同的业务环节和客户群体研发或应用不同场景的数字化产品；</w:t>
      </w:r>
    </w:p>
    <w:p>
      <w:pPr>
        <w:pStyle w:val="175"/>
      </w:pPr>
      <w:r>
        <w:rPr>
          <w:rFonts w:hint="eastAsia"/>
        </w:rPr>
        <w:t>企业宜依托智慧供应链服务平台，开展订单管理、采购执行及供应商管理、分销执行及渠道管理、通关报检、物流管理、结算管理、客户关系管理、产品信息追溯、风险预测、绩效监测和优化等活动；</w:t>
      </w:r>
    </w:p>
    <w:p>
      <w:pPr>
        <w:pStyle w:val="175"/>
      </w:pPr>
      <w:r>
        <w:rPr>
          <w:rFonts w:hint="eastAsia"/>
        </w:rPr>
        <w:t>企业宜建立供应链智慧化度量指标，综合评价自身智慧供应链服务运行绩效水平，通过应用数字化工具对评价指标进行数据采集、处理、分析和应用，为企业后续的智慧化改进和运营提供决策参考。</w:t>
      </w:r>
    </w:p>
    <w:p>
      <w:pPr>
        <w:pStyle w:val="105"/>
        <w:spacing w:before="312" w:after="312"/>
      </w:pPr>
      <w:bookmarkStart w:id="57" w:name="_Toc147769860"/>
      <w:r>
        <w:rPr>
          <w:rFonts w:hint="eastAsia"/>
        </w:rPr>
        <w:t>评价原则</w:t>
      </w:r>
      <w:bookmarkEnd w:id="57"/>
    </w:p>
    <w:p>
      <w:pPr>
        <w:pStyle w:val="106"/>
        <w:spacing w:before="156" w:after="156"/>
      </w:pPr>
      <w:bookmarkStart w:id="58" w:name="_Toc142320965"/>
      <w:bookmarkStart w:id="59" w:name="_Toc141370080"/>
      <w:bookmarkStart w:id="60" w:name="_Toc147769861"/>
      <w:r>
        <w:rPr>
          <w:rFonts w:hint="eastAsia"/>
        </w:rPr>
        <w:t>科学性</w:t>
      </w:r>
      <w:bookmarkEnd w:id="58"/>
      <w:bookmarkEnd w:id="59"/>
      <w:bookmarkEnd w:id="60"/>
    </w:p>
    <w:p>
      <w:pPr>
        <w:pStyle w:val="57"/>
        <w:ind w:firstLine="420"/>
      </w:pPr>
      <w:r>
        <w:rPr>
          <w:rFonts w:hint="eastAsia"/>
        </w:rPr>
        <w:t>能够科学度量和客观评估企业智慧供应链服务体系建设的综合水平和能力。</w:t>
      </w:r>
    </w:p>
    <w:p>
      <w:pPr>
        <w:pStyle w:val="106"/>
        <w:spacing w:before="156" w:after="156"/>
      </w:pPr>
      <w:bookmarkStart w:id="61" w:name="_Toc147769862"/>
      <w:bookmarkStart w:id="62" w:name="_Toc142320966"/>
      <w:bookmarkStart w:id="63" w:name="_Toc141370081"/>
      <w:r>
        <w:rPr>
          <w:rFonts w:hint="eastAsia"/>
        </w:rPr>
        <w:t>可操作性</w:t>
      </w:r>
      <w:bookmarkEnd w:id="61"/>
      <w:bookmarkEnd w:id="62"/>
      <w:bookmarkEnd w:id="63"/>
    </w:p>
    <w:p>
      <w:pPr>
        <w:pStyle w:val="57"/>
        <w:ind w:firstLine="420"/>
      </w:pPr>
      <w:r>
        <w:rPr>
          <w:rFonts w:hint="eastAsia"/>
        </w:rPr>
        <w:t>所选取指标科学合理，具有代表性和可操作性，评估方法便捷有效。</w:t>
      </w:r>
    </w:p>
    <w:p>
      <w:pPr>
        <w:pStyle w:val="106"/>
        <w:spacing w:before="156" w:after="156"/>
      </w:pPr>
      <w:bookmarkStart w:id="64" w:name="_Toc147769863"/>
      <w:bookmarkStart w:id="65" w:name="_Toc142320967"/>
      <w:bookmarkStart w:id="66" w:name="_Toc141370082"/>
      <w:r>
        <w:rPr>
          <w:rFonts w:hint="eastAsia"/>
        </w:rPr>
        <w:t>客观性</w:t>
      </w:r>
      <w:bookmarkEnd w:id="64"/>
      <w:bookmarkEnd w:id="65"/>
      <w:bookmarkEnd w:id="66"/>
    </w:p>
    <w:p>
      <w:pPr>
        <w:pStyle w:val="57"/>
        <w:ind w:firstLine="420"/>
      </w:pPr>
      <w:r>
        <w:rPr>
          <w:rFonts w:hint="eastAsia"/>
        </w:rPr>
        <w:t>评估以企业智慧供应链服务的实际情况为基础，以真实可靠、准确的材料、数据和文件为依据。</w:t>
      </w:r>
    </w:p>
    <w:p>
      <w:pPr>
        <w:pStyle w:val="105"/>
        <w:spacing w:before="312" w:after="312"/>
      </w:pPr>
      <w:bookmarkStart w:id="67" w:name="_Toc147769864"/>
      <w:r>
        <w:rPr>
          <w:rFonts w:hint="eastAsia"/>
        </w:rPr>
        <w:t>评价业务流程</w:t>
      </w:r>
      <w:bookmarkEnd w:id="67"/>
    </w:p>
    <w:p>
      <w:pPr>
        <w:pStyle w:val="106"/>
        <w:spacing w:before="156" w:after="156"/>
      </w:pPr>
      <w:bookmarkStart w:id="68" w:name="_Toc141370084"/>
      <w:bookmarkStart w:id="69" w:name="_Toc142320969"/>
      <w:bookmarkStart w:id="70" w:name="_Toc147769865"/>
      <w:r>
        <w:rPr>
          <w:rFonts w:hint="eastAsia"/>
        </w:rPr>
        <w:t>评价方案</w:t>
      </w:r>
      <w:bookmarkEnd w:id="68"/>
      <w:bookmarkEnd w:id="69"/>
      <w:bookmarkEnd w:id="70"/>
    </w:p>
    <w:p>
      <w:pPr>
        <w:pStyle w:val="57"/>
        <w:ind w:firstLine="420"/>
      </w:pPr>
      <w:r>
        <w:rPr>
          <w:rFonts w:hint="eastAsia"/>
        </w:rPr>
        <w:t>评估服务机构应明确智慧供应链服务企业评估的目的和意义，制定评估实施方案，方案内容包括但不限于：</w:t>
      </w:r>
    </w:p>
    <w:p>
      <w:pPr>
        <w:pStyle w:val="175"/>
        <w:numPr>
          <w:ilvl w:val="0"/>
          <w:numId w:val="37"/>
        </w:numPr>
      </w:pPr>
      <w:r>
        <w:rPr>
          <w:rFonts w:hint="eastAsia"/>
        </w:rPr>
        <w:t>建立评委会，制定评估操作程序；</w:t>
      </w:r>
    </w:p>
    <w:p>
      <w:pPr>
        <w:pStyle w:val="175"/>
      </w:pPr>
      <w:r>
        <w:rPr>
          <w:rFonts w:hint="eastAsia"/>
        </w:rPr>
        <w:t>明确评估方法，确定评分细则；</w:t>
      </w:r>
    </w:p>
    <w:p>
      <w:pPr>
        <w:pStyle w:val="175"/>
      </w:pPr>
      <w:r>
        <w:rPr>
          <w:rFonts w:hint="eastAsia"/>
        </w:rPr>
        <w:t>对评估人员和被评估企业提出明确要求，保证评估过程的客观性、公正性和科学性。</w:t>
      </w:r>
    </w:p>
    <w:p>
      <w:pPr>
        <w:pStyle w:val="106"/>
        <w:spacing w:before="156" w:after="156"/>
      </w:pPr>
      <w:bookmarkStart w:id="71" w:name="_Toc147769866"/>
      <w:bookmarkStart w:id="72" w:name="_Toc142320970"/>
      <w:bookmarkStart w:id="73" w:name="_Toc141370085"/>
      <w:r>
        <w:rPr>
          <w:rFonts w:hint="eastAsia"/>
        </w:rPr>
        <w:t>评价方法</w:t>
      </w:r>
      <w:bookmarkEnd w:id="71"/>
      <w:bookmarkEnd w:id="72"/>
      <w:bookmarkEnd w:id="73"/>
    </w:p>
    <w:p>
      <w:pPr>
        <w:pStyle w:val="66"/>
        <w:spacing w:before="156" w:after="156"/>
      </w:pPr>
      <w:r>
        <w:rPr>
          <w:rFonts w:hint="eastAsia"/>
        </w:rPr>
        <w:t>权重选择</w:t>
      </w:r>
    </w:p>
    <w:p>
      <w:pPr>
        <w:pStyle w:val="175"/>
        <w:numPr>
          <w:ilvl w:val="0"/>
          <w:numId w:val="38"/>
        </w:numPr>
      </w:pPr>
      <w:r>
        <w:rPr>
          <w:rFonts w:hint="eastAsia"/>
        </w:rPr>
        <w:t>考核指标权重设置时宜考虑区域经济状况、产业发展规划及供应链智慧化水平与能力；</w:t>
      </w:r>
    </w:p>
    <w:p>
      <w:pPr>
        <w:pStyle w:val="175"/>
      </w:pPr>
      <w:r>
        <w:rPr>
          <w:rFonts w:hint="eastAsia"/>
        </w:rPr>
        <w:t>可采用德尔菲法、专家调研法、层次分析法等进行辅助决策，权重设置在一定时间内应保持稳定。</w:t>
      </w:r>
    </w:p>
    <w:p>
      <w:pPr>
        <w:pStyle w:val="66"/>
        <w:spacing w:before="156" w:after="156"/>
      </w:pPr>
      <w:r>
        <w:rPr>
          <w:rFonts w:hint="eastAsia"/>
        </w:rPr>
        <w:t>综合评分</w:t>
      </w:r>
    </w:p>
    <w:p>
      <w:pPr>
        <w:pStyle w:val="175"/>
        <w:numPr>
          <w:ilvl w:val="0"/>
          <w:numId w:val="39"/>
        </w:numPr>
      </w:pPr>
      <w:r>
        <w:rPr>
          <w:rFonts w:hint="eastAsia"/>
        </w:rPr>
        <w:t>采用专家直接对底层子指标评分；</w:t>
      </w:r>
    </w:p>
    <w:p>
      <w:pPr>
        <w:pStyle w:val="175"/>
        <w:numPr>
          <w:ilvl w:val="0"/>
          <w:numId w:val="39"/>
        </w:numPr>
      </w:pPr>
      <w:r>
        <w:rPr>
          <w:rFonts w:hint="eastAsia"/>
        </w:rPr>
        <w:t>上级指标得分可通过各子指标加权求和得出；</w:t>
      </w:r>
    </w:p>
    <w:p>
      <w:pPr>
        <w:pStyle w:val="175"/>
      </w:pPr>
      <w:r>
        <w:rPr>
          <w:rFonts w:hint="eastAsia"/>
        </w:rPr>
        <w:t>最终得分可由各一级指标得分加权求和得出。</w:t>
      </w:r>
    </w:p>
    <w:p>
      <w:pPr>
        <w:pStyle w:val="106"/>
        <w:spacing w:before="156" w:after="156"/>
      </w:pPr>
      <w:bookmarkStart w:id="74" w:name="_Toc142320971"/>
      <w:bookmarkStart w:id="75" w:name="_Toc141370086"/>
      <w:bookmarkStart w:id="76" w:name="_Toc147769867"/>
      <w:r>
        <w:rPr>
          <w:rFonts w:hint="eastAsia"/>
        </w:rPr>
        <w:t>等级划分</w:t>
      </w:r>
      <w:bookmarkEnd w:id="74"/>
      <w:bookmarkEnd w:id="75"/>
      <w:bookmarkEnd w:id="76"/>
    </w:p>
    <w:p>
      <w:pPr>
        <w:pStyle w:val="57"/>
        <w:ind w:firstLine="420"/>
      </w:pPr>
      <w:r>
        <w:rPr>
          <w:rFonts w:hint="eastAsia"/>
        </w:rPr>
        <w:t>智慧供应链服务企业指标评分采用百分制，最大值为100分，评估结果包括NR、3A、4A、5A四个等级：</w:t>
      </w:r>
    </w:p>
    <w:p>
      <w:pPr>
        <w:pStyle w:val="175"/>
        <w:numPr>
          <w:ilvl w:val="0"/>
          <w:numId w:val="40"/>
        </w:numPr>
      </w:pPr>
      <w:r>
        <w:rPr>
          <w:rFonts w:hint="eastAsia"/>
        </w:rPr>
        <w:t>5A级智慧供应链服务企业：综合评分90分及以上；</w:t>
      </w:r>
    </w:p>
    <w:p>
      <w:pPr>
        <w:pStyle w:val="175"/>
      </w:pPr>
      <w:r>
        <w:rPr>
          <w:rFonts w:hint="eastAsia"/>
        </w:rPr>
        <w:t>4A级智慧供应链服务企业：综合评分80分-89分；</w:t>
      </w:r>
    </w:p>
    <w:p>
      <w:pPr>
        <w:pStyle w:val="175"/>
      </w:pPr>
      <w:r>
        <w:rPr>
          <w:rFonts w:hint="eastAsia"/>
        </w:rPr>
        <w:t>3A级智慧供应链服务企业：综合评分65分-79分；</w:t>
      </w:r>
    </w:p>
    <w:p>
      <w:pPr>
        <w:pStyle w:val="175"/>
      </w:pPr>
      <w:r>
        <w:rPr>
          <w:rFonts w:hint="eastAsia"/>
        </w:rPr>
        <w:t>65分以下（不含65分）标为NR级（NR级为未获得评级）。</w:t>
      </w:r>
    </w:p>
    <w:p>
      <w:pPr>
        <w:pStyle w:val="106"/>
        <w:spacing w:before="156" w:after="156"/>
      </w:pPr>
      <w:bookmarkStart w:id="77" w:name="_Toc147769868"/>
      <w:bookmarkStart w:id="78" w:name="_Toc141370087"/>
      <w:bookmarkStart w:id="79" w:name="_Toc142320972"/>
      <w:r>
        <w:rPr>
          <w:rFonts w:hint="eastAsia"/>
        </w:rPr>
        <w:t>结果公示</w:t>
      </w:r>
      <w:bookmarkEnd w:id="77"/>
      <w:bookmarkEnd w:id="78"/>
      <w:bookmarkEnd w:id="79"/>
    </w:p>
    <w:p>
      <w:pPr>
        <w:pStyle w:val="57"/>
        <w:ind w:firstLine="420"/>
      </w:pPr>
      <w:r>
        <w:rPr>
          <w:rFonts w:hint="eastAsia"/>
        </w:rPr>
        <w:t>评估服务机构应通过网站向社会公示每一批次的智慧供应链服务企业评价结果，公示期不少于15天。</w:t>
      </w:r>
    </w:p>
    <w:p>
      <w:pPr>
        <w:pStyle w:val="66"/>
        <w:spacing w:before="156" w:after="156"/>
      </w:pPr>
      <w:r>
        <w:rPr>
          <w:rFonts w:hint="eastAsia"/>
        </w:rPr>
        <w:t>异议处理</w:t>
      </w:r>
    </w:p>
    <w:p>
      <w:pPr>
        <w:pStyle w:val="57"/>
        <w:ind w:firstLine="420"/>
      </w:pPr>
      <w:r>
        <w:rPr>
          <w:rFonts w:hint="eastAsia"/>
        </w:rPr>
        <w:t>评估服务机构应公布接受异议的联系方式，对公示的评估结果有异议的，评估服务机构应自收到异议之日起20日内进行核查和处理。</w:t>
      </w:r>
    </w:p>
    <w:p>
      <w:pPr>
        <w:pStyle w:val="66"/>
        <w:spacing w:before="156" w:after="156"/>
      </w:pPr>
      <w:r>
        <w:rPr>
          <w:rFonts w:hint="eastAsia"/>
        </w:rPr>
        <w:t>结果公布</w:t>
      </w:r>
    </w:p>
    <w:p>
      <w:pPr>
        <w:pStyle w:val="57"/>
        <w:ind w:firstLine="420"/>
      </w:pPr>
      <w:r>
        <w:rPr>
          <w:rFonts w:hint="eastAsia"/>
        </w:rPr>
        <w:t>公示期满无异议的，评估服务机构应根据国家法律法规及相关要求，发布智慧供应链服务企业评估结果及相关内容。对于涉及被评估企业商业敏感的评估结果信息，评估服务机构应先取得企业授权后，方可展示或提供给第三方。</w:t>
      </w:r>
    </w:p>
    <w:p>
      <w:pPr>
        <w:pStyle w:val="66"/>
        <w:spacing w:before="156" w:after="156"/>
      </w:pPr>
      <w:r>
        <w:rPr>
          <w:rFonts w:hint="eastAsia"/>
        </w:rPr>
        <w:t>复评</w:t>
      </w:r>
    </w:p>
    <w:p>
      <w:pPr>
        <w:pStyle w:val="57"/>
        <w:ind w:firstLine="420"/>
      </w:pPr>
      <w:r>
        <w:rPr>
          <w:rFonts w:hint="eastAsia"/>
        </w:rPr>
        <w:t>评估服务机构在评估结果的有效期内应及时跟踪被评估企业的智慧化能力，对其作出更新和复评。评估结果有效期不超过三年。</w:t>
      </w:r>
    </w:p>
    <w:p>
      <w:pPr>
        <w:pStyle w:val="105"/>
        <w:spacing w:before="312" w:after="312"/>
      </w:pPr>
      <w:bookmarkStart w:id="80" w:name="_Toc147769869"/>
      <w:r>
        <w:rPr>
          <w:rFonts w:hint="eastAsia"/>
        </w:rPr>
        <w:t>评价指标体系</w:t>
      </w:r>
      <w:bookmarkEnd w:id="80"/>
    </w:p>
    <w:p>
      <w:pPr>
        <w:pStyle w:val="166"/>
        <w:numPr>
          <w:ilvl w:val="0"/>
          <w:numId w:val="0"/>
        </w:numPr>
        <w:ind w:firstLine="420" w:firstLineChars="200"/>
      </w:pPr>
      <w:r>
        <w:rPr>
          <w:rFonts w:hint="eastAsia"/>
        </w:rPr>
        <w:t>智慧供应链服务企业评价指标体系一级指标7项，包括智慧经营管理、智慧计划和预测、智慧商流服务、智慧物流服务、智慧信息流服务、智慧资金流服务和智慧服务绩效,具体详见附录A。</w:t>
      </w:r>
    </w:p>
    <w:p>
      <w:pPr>
        <w:pStyle w:val="57"/>
        <w:ind w:firstLine="0" w:firstLineChars="0"/>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type="lines" w:linePitch="312" w:charSpace="0"/>
        </w:sectPr>
      </w:pPr>
    </w:p>
    <w:bookmarkEnd w:id="24"/>
    <w:p>
      <w:pPr>
        <w:pStyle w:val="199"/>
        <w:rPr>
          <w:vanish w:val="0"/>
        </w:rPr>
      </w:pPr>
      <w:bookmarkStart w:id="81" w:name="BookMark5"/>
    </w:p>
    <w:p>
      <w:pPr>
        <w:pStyle w:val="200"/>
        <w:rPr>
          <w:vanish w:val="0"/>
        </w:rPr>
      </w:pPr>
    </w:p>
    <w:p>
      <w:pPr>
        <w:pStyle w:val="77"/>
        <w:spacing w:before="78" w:after="156"/>
      </w:pPr>
      <w:r>
        <w:br w:type="textWrapping"/>
      </w:r>
      <w:bookmarkStart w:id="82" w:name="_Toc147769870"/>
      <w:r>
        <w:rPr>
          <w:rFonts w:hint="eastAsia"/>
        </w:rPr>
        <w:t>（资料性）</w:t>
      </w:r>
      <w:r>
        <w:br w:type="textWrapping"/>
      </w:r>
      <w:r>
        <w:rPr>
          <w:rFonts w:hint="eastAsia"/>
        </w:rPr>
        <w:t>智慧供应链服务企业评价指标体系</w:t>
      </w:r>
      <w:bookmarkEnd w:id="82"/>
    </w:p>
    <w:tbl>
      <w:tblPr>
        <w:tblStyle w:val="28"/>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6334"/>
        <w:gridCol w:w="673"/>
      </w:tblGrid>
      <w:tr>
        <w:tc>
          <w:tcPr>
            <w:tcW w:w="959" w:type="dxa"/>
            <w:vAlign w:val="center"/>
          </w:tcPr>
          <w:p>
            <w:pPr>
              <w:spacing w:line="240" w:lineRule="auto"/>
              <w:jc w:val="center"/>
              <w:rPr>
                <w:rFonts w:ascii="宋体" w:hAnsi="宋体"/>
                <w:color w:val="000000"/>
                <w:sz w:val="18"/>
                <w:szCs w:val="18"/>
              </w:rPr>
            </w:pPr>
            <w:r>
              <w:rPr>
                <w:rFonts w:hint="eastAsia" w:ascii="宋体" w:hAnsi="宋体"/>
                <w:color w:val="000000"/>
                <w:sz w:val="18"/>
                <w:szCs w:val="18"/>
              </w:rPr>
              <w:t>一级指标</w:t>
            </w:r>
          </w:p>
        </w:tc>
        <w:tc>
          <w:tcPr>
            <w:tcW w:w="1701" w:type="dxa"/>
            <w:vAlign w:val="center"/>
          </w:tcPr>
          <w:p>
            <w:pPr>
              <w:spacing w:line="240" w:lineRule="auto"/>
              <w:jc w:val="center"/>
              <w:rPr>
                <w:rFonts w:ascii="宋体" w:hAnsi="宋体"/>
                <w:color w:val="000000"/>
                <w:sz w:val="18"/>
                <w:szCs w:val="18"/>
              </w:rPr>
            </w:pPr>
            <w:r>
              <w:rPr>
                <w:rFonts w:hint="eastAsia" w:ascii="宋体" w:hAnsi="宋体"/>
                <w:color w:val="000000"/>
                <w:sz w:val="18"/>
                <w:szCs w:val="18"/>
              </w:rPr>
              <w:t>二级指标</w:t>
            </w:r>
          </w:p>
        </w:tc>
        <w:tc>
          <w:tcPr>
            <w:tcW w:w="6334" w:type="dxa"/>
            <w:vAlign w:val="center"/>
          </w:tcPr>
          <w:p>
            <w:pPr>
              <w:spacing w:line="240" w:lineRule="auto"/>
              <w:jc w:val="center"/>
              <w:rPr>
                <w:rFonts w:ascii="宋体" w:hAnsi="宋体"/>
                <w:color w:val="000000"/>
                <w:sz w:val="18"/>
                <w:szCs w:val="18"/>
              </w:rPr>
            </w:pPr>
            <w:r>
              <w:rPr>
                <w:rFonts w:hint="eastAsia" w:ascii="宋体" w:hAnsi="宋体"/>
                <w:color w:val="000000"/>
                <w:sz w:val="18"/>
                <w:szCs w:val="18"/>
              </w:rPr>
              <w:t>指标要求</w:t>
            </w:r>
          </w:p>
        </w:tc>
        <w:tc>
          <w:tcPr>
            <w:tcW w:w="673" w:type="dxa"/>
          </w:tcPr>
          <w:p>
            <w:pPr>
              <w:spacing w:line="240" w:lineRule="auto"/>
              <w:jc w:val="center"/>
              <w:rPr>
                <w:rFonts w:ascii="宋体" w:hAnsi="宋体"/>
                <w:color w:val="000000"/>
                <w:sz w:val="18"/>
                <w:szCs w:val="18"/>
              </w:rPr>
            </w:pPr>
            <w:r>
              <w:rPr>
                <w:rFonts w:hint="eastAsia" w:ascii="宋体" w:hAnsi="宋体"/>
                <w:color w:val="000000"/>
                <w:sz w:val="18"/>
                <w:szCs w:val="18"/>
              </w:rPr>
              <w:t>分值</w:t>
            </w:r>
          </w:p>
        </w:tc>
      </w:tr>
      <w:tr>
        <w:tc>
          <w:tcPr>
            <w:tcW w:w="959" w:type="dxa"/>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智慧经营</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管理</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（20分）</w:t>
            </w: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智慧化发展战略</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企业发展战略规划、发展理念等管理文件中，包括智慧化发展相关内容，得1分；企业在生产经营中切实贯彻落实智慧发展理念，得2分。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管理制度</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企业围绕数据、设备、系统等方面制定相应的管理制度、标准体系，最高得3分。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人才积累</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企业设立专门信息化部门及岗位，得2分；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信息化人才占总员工的比例≥5%，得2分；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3%≤信息化人才占总员工的比例＜5%，得1分。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4分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信息化投入</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近三年累计研发投入占服务收入的比重≥5%，得3分；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3%≤近三年累计研发投入占服务收入的比重＜5%，得2分；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1%≤近三年累计研发投入占服务收入的比重＜3%，得1分。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智慧供应链服务</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方案</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企业根据客户需求定制智慧供应链服务方案，实现快速响应，降低供应链成本，最高得3分。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教育和培训</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企业内部建立完善的智慧供应链服务培训制度、课程、评估等机制，得2分；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年度员工技能培训次数≥6，得2分；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4≤年度员工技能培训次数＜6，得1分。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4分</w:t>
            </w:r>
          </w:p>
        </w:tc>
      </w:tr>
      <w:tr>
        <w:tc>
          <w:tcPr>
            <w:tcW w:w="959" w:type="dxa"/>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智慧计划和预测</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（10分）</w:t>
            </w: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供应链计划</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企业根据市场需求，应用信息技术形成指导采购、库存、销售、价格等供应链计划和辅助决策，最高得5分。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市场需求预测</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企业应用商业智能、大数据、云计算等技术科学预测市场需求，最高得5分。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智慧商流</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服务</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（15分）</w:t>
            </w: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订单管理</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企业建立订单管理系统，具有对订单的集中处理、状态管理、全程监控、大数据分析等功能，最高得3分；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订单信息及时传递，与各业务流程实现自动衔接，高效协同，最高得2分。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采购及分销管理</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企业与供应商、分销商对采购、分销过程中的需求管理、合同管理、结算、验收、营销及渠道管理等流程通过信息系统或软件高效开展，并实现系统的集成与对接，最高得5分。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供应商管理</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企业建立供应商管理系统，具有供应商引入、供应商档案、供应商考核、在线招投标、合同管理等功能，最高得3分；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系统实现多类型供应商资源的聚合管理、绩效评估和寻源决策，最高得2分。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智慧物流</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服务</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（15分）</w:t>
            </w: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物流技术应用</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应用5G、RFID、AI等技术建立运输、仓库管理系统，具备调度管理、驾驶行为监测、车配配载优化、出入库管理、库存盘点、智慧分拣及打包等功能，实现物流信息高效、安全的智慧化采集、存储、传输和追溯，最高得5分。</w:t>
            </w:r>
          </w:p>
        </w:tc>
        <w:tc>
          <w:tcPr>
            <w:tcW w:w="673" w:type="dxa"/>
            <w:vAlign w:val="center"/>
          </w:tcPr>
          <w:p>
            <w:pPr>
              <w:widowControl/>
              <w:spacing w:line="240" w:lineRule="auto"/>
              <w:jc w:val="center"/>
              <w:textAlignment w:val="center"/>
              <w:rPr>
                <w:rFonts w:ascii="宋体" w:hAnsi="宋体"/>
                <w:color w:val="000000"/>
                <w:sz w:val="18"/>
                <w:szCs w:val="18"/>
              </w:rPr>
            </w:pP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物流设备应用</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企业基于物流业务需求，应用无人机、无人车、智能终端、机器人、自动分拣设备、立体货架等设备，实现运输、配送、分拣、流通加工、仓储作业等环节自动化，提升作业效率，最高得5分。</w:t>
            </w:r>
          </w:p>
        </w:tc>
        <w:tc>
          <w:tcPr>
            <w:tcW w:w="673" w:type="dxa"/>
            <w:vAlign w:val="center"/>
          </w:tcPr>
          <w:p>
            <w:pPr>
              <w:widowControl/>
              <w:spacing w:line="240" w:lineRule="auto"/>
              <w:jc w:val="center"/>
              <w:textAlignment w:val="center"/>
              <w:rPr>
                <w:rFonts w:ascii="宋体" w:hAnsi="宋体"/>
                <w:color w:val="000000"/>
                <w:sz w:val="18"/>
                <w:szCs w:val="18"/>
              </w:rPr>
            </w:pP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c>
          <w:tcPr>
            <w:tcW w:w="959" w:type="dxa"/>
            <w:vMerge w:val="continue"/>
            <w:vAlign w:val="center"/>
          </w:tcPr>
          <w:p>
            <w:pPr>
              <w:widowControl/>
              <w:spacing w:line="240" w:lineRule="auto"/>
              <w:jc w:val="center"/>
              <w:textAlignment w:val="center"/>
              <w:rPr>
                <w:rFonts w:ascii="宋体" w:hAnsi="宋体"/>
                <w:color w:val="000000"/>
                <w:sz w:val="18"/>
                <w:szCs w:val="18"/>
              </w:rPr>
            </w:pPr>
          </w:p>
        </w:tc>
        <w:tc>
          <w:tcPr>
            <w:tcW w:w="1701"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物流作业协同</w:t>
            </w:r>
          </w:p>
        </w:tc>
        <w:tc>
          <w:tcPr>
            <w:tcW w:w="6334" w:type="dxa"/>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企业应用商业智能分析、AI等技术算法、模型，实现异地多仓间自动调拨、采销自动补货以及收、存、拣、理、运、配等作业环节的集成调度及智慧化协同，最高得5分。</w:t>
            </w:r>
          </w:p>
        </w:tc>
        <w:tc>
          <w:tcPr>
            <w:tcW w:w="673" w:type="dxa"/>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p>
            <w:pPr>
              <w:pStyle w:val="2"/>
              <w:spacing w:line="240" w:lineRule="auto"/>
              <w:jc w:val="center"/>
              <w:rPr>
                <w:rFonts w:ascii="宋体" w:hAnsi="宋体"/>
                <w:color w:val="000000"/>
                <w:sz w:val="18"/>
                <w:szCs w:val="18"/>
              </w:rPr>
            </w:pPr>
          </w:p>
        </w:tc>
      </w:tr>
    </w:tbl>
    <w:p>
      <w:pPr>
        <w:pStyle w:val="57"/>
        <w:spacing w:beforeLines="50" w:afterLines="50"/>
        <w:ind w:firstLine="0" w:firstLineChars="0"/>
        <w:jc w:val="center"/>
        <w:rPr>
          <w:rFonts w:hAnsi="宋体"/>
        </w:rPr>
      </w:pPr>
      <w:r>
        <w:rPr>
          <w:rFonts w:hint="eastAsia" w:ascii="黑体" w:hAnsi="黑体" w:eastAsia="黑体"/>
        </w:rPr>
        <w:t>附录A</w:t>
      </w:r>
      <w:r>
        <w:rPr>
          <w:rFonts w:hint="eastAsia" w:hAnsi="宋体"/>
        </w:rPr>
        <w:t>（续）</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418"/>
        <w:gridCol w:w="6377"/>
        <w:gridCol w:w="674"/>
      </w:tblGrid>
      <w:tr>
        <w:trPr>
          <w:trHeight w:val="57" w:hRule="atLeast"/>
          <w:tblHeader/>
        </w:trPr>
        <w:tc>
          <w:tcPr>
            <w:tcW w:w="575" w:type="pct"/>
            <w:vAlign w:val="center"/>
          </w:tcPr>
          <w:p>
            <w:pPr>
              <w:spacing w:line="240" w:lineRule="auto"/>
              <w:jc w:val="center"/>
              <w:rPr>
                <w:rFonts w:ascii="宋体" w:hAnsi="宋体"/>
                <w:color w:val="000000"/>
                <w:sz w:val="18"/>
                <w:szCs w:val="18"/>
              </w:rPr>
            </w:pPr>
            <w:r>
              <w:rPr>
                <w:rFonts w:hint="eastAsia" w:ascii="宋体" w:hAnsi="宋体"/>
                <w:color w:val="000000"/>
                <w:sz w:val="18"/>
                <w:szCs w:val="18"/>
              </w:rPr>
              <w:t>一级指标</w:t>
            </w:r>
          </w:p>
        </w:tc>
        <w:tc>
          <w:tcPr>
            <w:tcW w:w="741" w:type="pct"/>
            <w:vAlign w:val="center"/>
          </w:tcPr>
          <w:p>
            <w:pPr>
              <w:spacing w:line="240" w:lineRule="auto"/>
              <w:jc w:val="center"/>
              <w:rPr>
                <w:rFonts w:ascii="宋体" w:hAnsi="宋体"/>
                <w:color w:val="000000"/>
                <w:sz w:val="18"/>
                <w:szCs w:val="18"/>
              </w:rPr>
            </w:pPr>
            <w:r>
              <w:rPr>
                <w:rFonts w:hint="eastAsia" w:ascii="宋体" w:hAnsi="宋体"/>
                <w:color w:val="000000"/>
                <w:sz w:val="18"/>
                <w:szCs w:val="18"/>
              </w:rPr>
              <w:t>二级指标</w:t>
            </w:r>
          </w:p>
        </w:tc>
        <w:tc>
          <w:tcPr>
            <w:tcW w:w="3332" w:type="pct"/>
            <w:vAlign w:val="center"/>
          </w:tcPr>
          <w:p>
            <w:pPr>
              <w:spacing w:line="240" w:lineRule="auto"/>
              <w:jc w:val="center"/>
              <w:rPr>
                <w:rFonts w:ascii="宋体" w:hAnsi="宋体"/>
                <w:color w:val="000000"/>
                <w:sz w:val="18"/>
                <w:szCs w:val="18"/>
              </w:rPr>
            </w:pPr>
            <w:r>
              <w:rPr>
                <w:rFonts w:hint="eastAsia" w:ascii="宋体" w:hAnsi="宋体"/>
                <w:color w:val="000000"/>
                <w:sz w:val="18"/>
                <w:szCs w:val="18"/>
              </w:rPr>
              <w:t>指标要求</w:t>
            </w:r>
          </w:p>
        </w:tc>
        <w:tc>
          <w:tcPr>
            <w:tcW w:w="352" w:type="pct"/>
          </w:tcPr>
          <w:p>
            <w:pPr>
              <w:spacing w:line="240" w:lineRule="auto"/>
              <w:jc w:val="center"/>
              <w:rPr>
                <w:rFonts w:ascii="宋体" w:hAnsi="宋体"/>
                <w:color w:val="000000"/>
                <w:sz w:val="18"/>
                <w:szCs w:val="18"/>
              </w:rPr>
            </w:pPr>
            <w:r>
              <w:rPr>
                <w:rFonts w:hint="eastAsia" w:ascii="宋体" w:hAnsi="宋体"/>
                <w:color w:val="000000"/>
                <w:sz w:val="18"/>
                <w:szCs w:val="18"/>
              </w:rPr>
              <w:t>分值</w:t>
            </w:r>
          </w:p>
        </w:tc>
      </w:tr>
      <w:tr>
        <w:trPr>
          <w:trHeight w:val="57" w:hRule="atLeast"/>
        </w:trPr>
        <w:tc>
          <w:tcPr>
            <w:tcW w:w="575" w:type="pct"/>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智慧信息流服务</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（15分）</w:t>
            </w: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信息化平台</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建设</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企业应用大数据、云计算、AI、电子签章、人脸识别等技术，搭建供应链信息化集成服务平台，实现订单、物流、采购、分销、结算、办公、人事等全流程的智能协同、安全高效、可视化管理，最高得5分。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rPr>
          <w:trHeight w:val="57" w:hRule="atLeast"/>
        </w:trPr>
        <w:tc>
          <w:tcPr>
            <w:tcW w:w="575" w:type="pct"/>
            <w:vMerge w:val="continue"/>
            <w:vAlign w:val="center"/>
          </w:tcPr>
          <w:p>
            <w:pPr>
              <w:widowControl/>
              <w:spacing w:line="240" w:lineRule="auto"/>
              <w:jc w:val="center"/>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系统互联</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企业信息系统具有开放性，具备与上下游客户或关检汇税等政府部门系统对接，实现信息共享能力，最高得5分。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rPr>
          <w:trHeight w:val="57" w:hRule="atLeast"/>
        </w:trPr>
        <w:tc>
          <w:tcPr>
            <w:tcW w:w="575" w:type="pct"/>
            <w:vMerge w:val="continue"/>
            <w:vAlign w:val="center"/>
          </w:tcPr>
          <w:p>
            <w:pPr>
              <w:widowControl/>
              <w:spacing w:line="240" w:lineRule="auto"/>
              <w:jc w:val="center"/>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大数据分析</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企业具有对原料端、生产端、成品端管理要素数据化，并通过大数据整合、分析和挖掘，实现用户画像分析、商品管理分析、作业监控、自定义报表、监测预警等能力，最高得5分。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rPr>
          <w:trHeight w:val="57" w:hRule="atLeast"/>
        </w:trPr>
        <w:tc>
          <w:tcPr>
            <w:tcW w:w="575" w:type="pct"/>
            <w:vMerge w:val="restar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智慧资金流服务</w:t>
            </w: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（13分）</w:t>
            </w: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结算管理</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企业建立智能化结算管理系统，实现多类型费用自动核算、自动生成账单、结算数据智能分析与预测等功能，最高得5分。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rPr>
          <w:trHeight w:val="57" w:hRule="atLeast"/>
        </w:trPr>
        <w:tc>
          <w:tcPr>
            <w:tcW w:w="575" w:type="pct"/>
            <w:vMerge w:val="continue"/>
            <w:vAlign w:val="center"/>
          </w:tcPr>
          <w:p>
            <w:pPr>
              <w:widowControl/>
              <w:spacing w:line="240" w:lineRule="auto"/>
              <w:jc w:val="center"/>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风控管理</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企业建立智慧风控管理体系，具有对参与者信用风险评估、风险预警、应收应付账款管理、授信管理等能力，最高得5分。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5分</w:t>
            </w:r>
          </w:p>
        </w:tc>
      </w:tr>
      <w:tr>
        <w:trPr>
          <w:trHeight w:val="57" w:hRule="atLeast"/>
        </w:trPr>
        <w:tc>
          <w:tcPr>
            <w:tcW w:w="575" w:type="pct"/>
            <w:vMerge w:val="continue"/>
            <w:vAlign w:val="center"/>
          </w:tcPr>
          <w:p>
            <w:pPr>
              <w:widowControl/>
              <w:spacing w:line="240" w:lineRule="auto"/>
              <w:jc w:val="center"/>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智慧金融服务</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企业利用技术对不同行业属性和企业特质的资金需求进行分析，为企业提供库存融资、应收账款融资等定制化的智慧供应链金融服务方案，最高得3分。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rPr>
          <w:trHeight w:val="57" w:hRule="atLeast"/>
        </w:trPr>
        <w:tc>
          <w:tcPr>
            <w:tcW w:w="575" w:type="pct"/>
            <w:vMerge w:val="restart"/>
            <w:vAlign w:val="center"/>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智慧供应链服务绩效（12分）</w:t>
            </w: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供应链成本</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企业通过智慧化实现运输、仓储、采购、库存、生产运营等成本下降情况：</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供应链成本下降20%以上，得3分；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供应链成本下降10%以上，得2分；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供应链成本下降5%以上，得1分。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rPr>
          <w:trHeight w:val="57" w:hRule="atLeast"/>
        </w:trPr>
        <w:tc>
          <w:tcPr>
            <w:tcW w:w="575" w:type="pct"/>
            <w:vMerge w:val="continue"/>
          </w:tcPr>
          <w:p>
            <w:pPr>
              <w:widowControl/>
              <w:spacing w:line="240" w:lineRule="auto"/>
              <w:jc w:val="left"/>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订单响应速度</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企业通过智慧化实现订单从开展执行至订单结束的时间优化对比情况：</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订单交付周期缩短30%以上，得3分；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订单交付周期缩短20%以上，得2分；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 xml:space="preserve">订单交付周期缩短10%以上，得1分。 </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tr>
        <w:trPr>
          <w:trHeight w:val="57" w:hRule="atLeast"/>
        </w:trPr>
        <w:tc>
          <w:tcPr>
            <w:tcW w:w="575" w:type="pct"/>
            <w:vMerge w:val="continue"/>
          </w:tcPr>
          <w:p>
            <w:pPr>
              <w:widowControl/>
              <w:spacing w:line="240" w:lineRule="auto"/>
              <w:jc w:val="left"/>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完美订单率</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通过智慧化服务实现完全、准确、及时交付客户的订单占总订单比重：</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完美订单率≥99%，得3分；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97%≤完美订单率＜99%，得2分；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95%≤完美订单率＜97%，得1分。</w:t>
            </w:r>
          </w:p>
        </w:tc>
        <w:tc>
          <w:tcPr>
            <w:tcW w:w="352" w:type="pct"/>
            <w:vAlign w:val="center"/>
          </w:tcPr>
          <w:p>
            <w:pPr>
              <w:widowControl/>
              <w:spacing w:line="240" w:lineRule="auto"/>
              <w:jc w:val="center"/>
              <w:textAlignment w:val="center"/>
              <w:rPr>
                <w:rFonts w:ascii="宋体" w:hAnsi="宋体"/>
                <w:color w:val="000000"/>
                <w:sz w:val="18"/>
                <w:szCs w:val="18"/>
              </w:rPr>
            </w:pPr>
          </w:p>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p>
            <w:pPr>
              <w:pStyle w:val="2"/>
              <w:spacing w:line="240" w:lineRule="auto"/>
              <w:jc w:val="center"/>
              <w:rPr>
                <w:rFonts w:ascii="宋体" w:hAnsi="宋体"/>
                <w:color w:val="000000"/>
                <w:sz w:val="18"/>
                <w:szCs w:val="18"/>
              </w:rPr>
            </w:pPr>
          </w:p>
          <w:p>
            <w:pPr>
              <w:pStyle w:val="2"/>
              <w:spacing w:line="240" w:lineRule="auto"/>
              <w:jc w:val="center"/>
              <w:rPr>
                <w:rFonts w:ascii="宋体" w:hAnsi="宋体"/>
                <w:color w:val="000000"/>
                <w:sz w:val="18"/>
                <w:szCs w:val="18"/>
              </w:rPr>
            </w:pPr>
          </w:p>
        </w:tc>
      </w:tr>
      <w:tr>
        <w:trPr>
          <w:trHeight w:val="57" w:hRule="atLeast"/>
        </w:trPr>
        <w:tc>
          <w:tcPr>
            <w:tcW w:w="575" w:type="pct"/>
            <w:vMerge w:val="continue"/>
          </w:tcPr>
          <w:p>
            <w:pPr>
              <w:widowControl/>
              <w:spacing w:line="240" w:lineRule="auto"/>
              <w:jc w:val="left"/>
              <w:textAlignment w:val="center"/>
              <w:rPr>
                <w:rFonts w:ascii="宋体" w:hAnsi="宋体"/>
                <w:color w:val="000000"/>
                <w:sz w:val="18"/>
                <w:szCs w:val="18"/>
              </w:rPr>
            </w:pPr>
          </w:p>
        </w:tc>
        <w:tc>
          <w:tcPr>
            <w:tcW w:w="741"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客户满意度</w:t>
            </w:r>
          </w:p>
        </w:tc>
        <w:tc>
          <w:tcPr>
            <w:tcW w:w="3332" w:type="pct"/>
          </w:tcPr>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客户接受智慧供应链服务后根据整体的服务体验而做出的总体评价：</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客户满意度≥98%，得3分；</w:t>
            </w:r>
          </w:p>
          <w:p>
            <w:pPr>
              <w:widowControl/>
              <w:spacing w:line="240" w:lineRule="auto"/>
              <w:jc w:val="left"/>
              <w:textAlignment w:val="center"/>
              <w:rPr>
                <w:rFonts w:ascii="宋体" w:hAnsi="宋体"/>
                <w:color w:val="000000"/>
                <w:sz w:val="18"/>
                <w:szCs w:val="18"/>
              </w:rPr>
            </w:pPr>
            <w:r>
              <w:rPr>
                <w:rFonts w:hint="eastAsia" w:ascii="宋体" w:hAnsi="宋体"/>
                <w:color w:val="000000"/>
                <w:sz w:val="18"/>
                <w:szCs w:val="18"/>
              </w:rPr>
              <w:t>95%≤客户满意度＜98%，得2分。</w:t>
            </w:r>
          </w:p>
        </w:tc>
        <w:tc>
          <w:tcPr>
            <w:tcW w:w="352" w:type="pct"/>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3分</w:t>
            </w:r>
          </w:p>
        </w:tc>
      </w:tr>
      <w:bookmarkEnd w:id="81"/>
    </w:tbl>
    <w:p>
      <w:pPr>
        <w:pStyle w:val="57"/>
        <w:ind w:firstLine="0" w:firstLineChars="0"/>
        <w:jc w:val="center"/>
      </w:pPr>
      <w:bookmarkStart w:id="83"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9" cstate="print"/>
                    <a:stretch>
                      <a:fillRect/>
                    </a:stretch>
                  </pic:blipFill>
                  <pic:spPr>
                    <a:xfrm>
                      <a:off x="0" y="0"/>
                      <a:ext cx="1485900" cy="317500"/>
                    </a:xfrm>
                    <a:prstGeom prst="rect">
                      <a:avLst/>
                    </a:prstGeom>
                  </pic:spPr>
                </pic:pic>
              </a:graphicData>
            </a:graphic>
          </wp:inline>
        </w:drawing>
      </w:r>
      <w:bookmarkEnd w:id="83"/>
    </w:p>
    <w:sectPr>
      <w:headerReference r:id="rId23" w:type="default"/>
      <w:footerReference r:id="rId25" w:type="default"/>
      <w:headerReference r:id="rId24" w:type="even"/>
      <w:footerReference r:id="rId26"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Light">
    <w:altName w:val="汉仪中等线KW"/>
    <w:panose1 w:val="00000000000000000000"/>
    <w:charset w:val="86"/>
    <w:family w:val="auto"/>
    <w:pitch w:val="default"/>
    <w:sig w:usb0="00000000" w:usb1="00000000" w:usb2="00000016" w:usb3="00000000" w:csb0="0004000F"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4403/T XXXX—2023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4403/T XXXX—2023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4403/T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4403/T XXXX—2023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4403/T XXXX—2023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4403/T XXXX—2023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4403/T XXXX—2023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4403/T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1"/>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M5N2JlNjE3YjI2ZDk2ZjlkNWUwZGI2Zjg2ZTQzODYifQ=="/>
  </w:docVars>
  <w:rsids>
    <w:rsidRoot w:val="00E406D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4D6"/>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B82"/>
    <w:rsid w:val="00096D63"/>
    <w:rsid w:val="000A0B60"/>
    <w:rsid w:val="000A0EB8"/>
    <w:rsid w:val="000A19FC"/>
    <w:rsid w:val="000A296B"/>
    <w:rsid w:val="000A7311"/>
    <w:rsid w:val="000B060F"/>
    <w:rsid w:val="000B1592"/>
    <w:rsid w:val="000B1FF2"/>
    <w:rsid w:val="000B2D25"/>
    <w:rsid w:val="000B3CDA"/>
    <w:rsid w:val="000B6A0B"/>
    <w:rsid w:val="000C054B"/>
    <w:rsid w:val="000C0F6C"/>
    <w:rsid w:val="000C11DB"/>
    <w:rsid w:val="000C1492"/>
    <w:rsid w:val="000C2FBD"/>
    <w:rsid w:val="000C4A62"/>
    <w:rsid w:val="000C4B41"/>
    <w:rsid w:val="000C57D6"/>
    <w:rsid w:val="000C6362"/>
    <w:rsid w:val="000C7666"/>
    <w:rsid w:val="000D0A9C"/>
    <w:rsid w:val="000D1795"/>
    <w:rsid w:val="000D329A"/>
    <w:rsid w:val="000D4B9C"/>
    <w:rsid w:val="000D4EB6"/>
    <w:rsid w:val="000D5DAF"/>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9D8"/>
    <w:rsid w:val="00133AAE"/>
    <w:rsid w:val="00135323"/>
    <w:rsid w:val="001356C4"/>
    <w:rsid w:val="00141114"/>
    <w:rsid w:val="00142969"/>
    <w:rsid w:val="001446C2"/>
    <w:rsid w:val="001457E7"/>
    <w:rsid w:val="00145D9D"/>
    <w:rsid w:val="00146388"/>
    <w:rsid w:val="00146D53"/>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2D4"/>
    <w:rsid w:val="001D411C"/>
    <w:rsid w:val="001E1B6A"/>
    <w:rsid w:val="001E2484"/>
    <w:rsid w:val="001E3CC4"/>
    <w:rsid w:val="001E4882"/>
    <w:rsid w:val="001E73AB"/>
    <w:rsid w:val="001F092D"/>
    <w:rsid w:val="001F143A"/>
    <w:rsid w:val="001F1605"/>
    <w:rsid w:val="001F1624"/>
    <w:rsid w:val="001F2508"/>
    <w:rsid w:val="001F4816"/>
    <w:rsid w:val="001F4EE9"/>
    <w:rsid w:val="001F623E"/>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0DEC"/>
    <w:rsid w:val="00233D64"/>
    <w:rsid w:val="0023482A"/>
    <w:rsid w:val="002359CB"/>
    <w:rsid w:val="002371E5"/>
    <w:rsid w:val="00237A4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3B85"/>
    <w:rsid w:val="002A4CEA"/>
    <w:rsid w:val="002A5977"/>
    <w:rsid w:val="002A5A13"/>
    <w:rsid w:val="002A757F"/>
    <w:rsid w:val="002A7F44"/>
    <w:rsid w:val="002B08F8"/>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AB3"/>
    <w:rsid w:val="002E620B"/>
    <w:rsid w:val="002E6326"/>
    <w:rsid w:val="002F30E0"/>
    <w:rsid w:val="002F35E4"/>
    <w:rsid w:val="002F3730"/>
    <w:rsid w:val="002F38E1"/>
    <w:rsid w:val="002F4205"/>
    <w:rsid w:val="002F7AF6"/>
    <w:rsid w:val="00300D22"/>
    <w:rsid w:val="00300E63"/>
    <w:rsid w:val="00302F5F"/>
    <w:rsid w:val="0030441D"/>
    <w:rsid w:val="00306063"/>
    <w:rsid w:val="00313B85"/>
    <w:rsid w:val="00317988"/>
    <w:rsid w:val="00317F61"/>
    <w:rsid w:val="003221B4"/>
    <w:rsid w:val="0032258D"/>
    <w:rsid w:val="00322E62"/>
    <w:rsid w:val="00324C45"/>
    <w:rsid w:val="00324D13"/>
    <w:rsid w:val="00324D2A"/>
    <w:rsid w:val="00324EDD"/>
    <w:rsid w:val="003331E4"/>
    <w:rsid w:val="00336C64"/>
    <w:rsid w:val="00337162"/>
    <w:rsid w:val="0034194F"/>
    <w:rsid w:val="00344605"/>
    <w:rsid w:val="003474AA"/>
    <w:rsid w:val="00350D1D"/>
    <w:rsid w:val="00352C83"/>
    <w:rsid w:val="003615D2"/>
    <w:rsid w:val="0036429C"/>
    <w:rsid w:val="00364533"/>
    <w:rsid w:val="00364A53"/>
    <w:rsid w:val="003654CB"/>
    <w:rsid w:val="00365AA9"/>
    <w:rsid w:val="00365F86"/>
    <w:rsid w:val="00365F87"/>
    <w:rsid w:val="00366E89"/>
    <w:rsid w:val="003705F4"/>
    <w:rsid w:val="00370D58"/>
    <w:rsid w:val="00371316"/>
    <w:rsid w:val="00376713"/>
    <w:rsid w:val="00381815"/>
    <w:rsid w:val="003819AF"/>
    <w:rsid w:val="00381E29"/>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BE3"/>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797"/>
    <w:rsid w:val="00484936"/>
    <w:rsid w:val="00485C89"/>
    <w:rsid w:val="00486BE3"/>
    <w:rsid w:val="004905E4"/>
    <w:rsid w:val="00490A89"/>
    <w:rsid w:val="00490AB4"/>
    <w:rsid w:val="00492F02"/>
    <w:rsid w:val="004939AE"/>
    <w:rsid w:val="004A12DF"/>
    <w:rsid w:val="004A17E6"/>
    <w:rsid w:val="004A1BA8"/>
    <w:rsid w:val="004A29C6"/>
    <w:rsid w:val="004A4B57"/>
    <w:rsid w:val="004A63FA"/>
    <w:rsid w:val="004B0272"/>
    <w:rsid w:val="004B2701"/>
    <w:rsid w:val="004B2E1B"/>
    <w:rsid w:val="004B3AA8"/>
    <w:rsid w:val="004B3E93"/>
    <w:rsid w:val="004B480E"/>
    <w:rsid w:val="004C1FBC"/>
    <w:rsid w:val="004C3F1D"/>
    <w:rsid w:val="004C458D"/>
    <w:rsid w:val="004C7556"/>
    <w:rsid w:val="004C7E8B"/>
    <w:rsid w:val="004C7E9D"/>
    <w:rsid w:val="004C7F67"/>
    <w:rsid w:val="004D076D"/>
    <w:rsid w:val="004D0EF1"/>
    <w:rsid w:val="004D2253"/>
    <w:rsid w:val="004D4406"/>
    <w:rsid w:val="004D7C42"/>
    <w:rsid w:val="004E0465"/>
    <w:rsid w:val="004E0730"/>
    <w:rsid w:val="004E127B"/>
    <w:rsid w:val="004E1C0A"/>
    <w:rsid w:val="004E2B06"/>
    <w:rsid w:val="004E30C5"/>
    <w:rsid w:val="004E4AA5"/>
    <w:rsid w:val="004E4AEE"/>
    <w:rsid w:val="004E55E2"/>
    <w:rsid w:val="004E59E3"/>
    <w:rsid w:val="004E67C0"/>
    <w:rsid w:val="004F391A"/>
    <w:rsid w:val="004F3CFB"/>
    <w:rsid w:val="004F6456"/>
    <w:rsid w:val="004F696E"/>
    <w:rsid w:val="004F6C71"/>
    <w:rsid w:val="00501139"/>
    <w:rsid w:val="0050363E"/>
    <w:rsid w:val="005039BC"/>
    <w:rsid w:val="00503B43"/>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5DA9"/>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5CC0"/>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4F1"/>
    <w:rsid w:val="005A4A1B"/>
    <w:rsid w:val="005A7830"/>
    <w:rsid w:val="005A7FCE"/>
    <w:rsid w:val="005B0F3F"/>
    <w:rsid w:val="005B4903"/>
    <w:rsid w:val="005B51CE"/>
    <w:rsid w:val="005B5885"/>
    <w:rsid w:val="005B5CD7"/>
    <w:rsid w:val="005B6CF6"/>
    <w:rsid w:val="005B7422"/>
    <w:rsid w:val="005C29B8"/>
    <w:rsid w:val="005C5F21"/>
    <w:rsid w:val="005C5F91"/>
    <w:rsid w:val="005C7156"/>
    <w:rsid w:val="005C7B0D"/>
    <w:rsid w:val="005D0C75"/>
    <w:rsid w:val="005D192F"/>
    <w:rsid w:val="005D33F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3E6"/>
    <w:rsid w:val="00604784"/>
    <w:rsid w:val="00606419"/>
    <w:rsid w:val="006074FE"/>
    <w:rsid w:val="00607D29"/>
    <w:rsid w:val="00612952"/>
    <w:rsid w:val="00614CC1"/>
    <w:rsid w:val="00615A9D"/>
    <w:rsid w:val="00617387"/>
    <w:rsid w:val="006205D6"/>
    <w:rsid w:val="00621818"/>
    <w:rsid w:val="006252D8"/>
    <w:rsid w:val="006259BC"/>
    <w:rsid w:val="0062636B"/>
    <w:rsid w:val="00626B08"/>
    <w:rsid w:val="00632182"/>
    <w:rsid w:val="00632AE0"/>
    <w:rsid w:val="00633C17"/>
    <w:rsid w:val="00634D9E"/>
    <w:rsid w:val="00636E3E"/>
    <w:rsid w:val="006379F7"/>
    <w:rsid w:val="00637E4D"/>
    <w:rsid w:val="00640620"/>
    <w:rsid w:val="00641A1F"/>
    <w:rsid w:val="00645904"/>
    <w:rsid w:val="00650CA9"/>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3EA"/>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635A"/>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75FB"/>
    <w:rsid w:val="006E799B"/>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0E21"/>
    <w:rsid w:val="007322D9"/>
    <w:rsid w:val="00732BC0"/>
    <w:rsid w:val="00734EBD"/>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CB6"/>
    <w:rsid w:val="0077798F"/>
    <w:rsid w:val="0078114B"/>
    <w:rsid w:val="00781DD2"/>
    <w:rsid w:val="00783ECF"/>
    <w:rsid w:val="0078413A"/>
    <w:rsid w:val="007959E8"/>
    <w:rsid w:val="00795E9C"/>
    <w:rsid w:val="007A0521"/>
    <w:rsid w:val="007A2E12"/>
    <w:rsid w:val="007A3475"/>
    <w:rsid w:val="007A41C8"/>
    <w:rsid w:val="007A54CE"/>
    <w:rsid w:val="007A6823"/>
    <w:rsid w:val="007A6FD9"/>
    <w:rsid w:val="007A7FFA"/>
    <w:rsid w:val="007B04EB"/>
    <w:rsid w:val="007B0D4F"/>
    <w:rsid w:val="007B44B2"/>
    <w:rsid w:val="007B5A3D"/>
    <w:rsid w:val="007B5B95"/>
    <w:rsid w:val="007B68EA"/>
    <w:rsid w:val="007B7453"/>
    <w:rsid w:val="007C1E8B"/>
    <w:rsid w:val="007C2D89"/>
    <w:rsid w:val="007C4593"/>
    <w:rsid w:val="007C4C9C"/>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199"/>
    <w:rsid w:val="00830621"/>
    <w:rsid w:val="00831D24"/>
    <w:rsid w:val="0083348C"/>
    <w:rsid w:val="008373D3"/>
    <w:rsid w:val="00840617"/>
    <w:rsid w:val="00840F84"/>
    <w:rsid w:val="00842A47"/>
    <w:rsid w:val="00843C13"/>
    <w:rsid w:val="008443A5"/>
    <w:rsid w:val="008454F8"/>
    <w:rsid w:val="00845C29"/>
    <w:rsid w:val="0085173A"/>
    <w:rsid w:val="00856316"/>
    <w:rsid w:val="008603CE"/>
    <w:rsid w:val="008620FC"/>
    <w:rsid w:val="008627A5"/>
    <w:rsid w:val="00863E05"/>
    <w:rsid w:val="00865ACA"/>
    <w:rsid w:val="00865D28"/>
    <w:rsid w:val="00865F85"/>
    <w:rsid w:val="00867C10"/>
    <w:rsid w:val="00870439"/>
    <w:rsid w:val="00870DA1"/>
    <w:rsid w:val="0088394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28B"/>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2D1"/>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6BA"/>
    <w:rsid w:val="00911BE5"/>
    <w:rsid w:val="00913CA9"/>
    <w:rsid w:val="009145AE"/>
    <w:rsid w:val="009146CE"/>
    <w:rsid w:val="00914CA7"/>
    <w:rsid w:val="00915C3E"/>
    <w:rsid w:val="009161A8"/>
    <w:rsid w:val="009245F5"/>
    <w:rsid w:val="009249EC"/>
    <w:rsid w:val="009273B3"/>
    <w:rsid w:val="009305B5"/>
    <w:rsid w:val="0093142D"/>
    <w:rsid w:val="0093668B"/>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0B62"/>
    <w:rsid w:val="0098364B"/>
    <w:rsid w:val="00983B07"/>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0C3C"/>
    <w:rsid w:val="009D112C"/>
    <w:rsid w:val="009D47FA"/>
    <w:rsid w:val="009D4C5B"/>
    <w:rsid w:val="009D50D2"/>
    <w:rsid w:val="009D50DC"/>
    <w:rsid w:val="009D6BCA"/>
    <w:rsid w:val="009D790C"/>
    <w:rsid w:val="009E0F62"/>
    <w:rsid w:val="009E4A58"/>
    <w:rsid w:val="009E5A2D"/>
    <w:rsid w:val="009E5AB2"/>
    <w:rsid w:val="009E6219"/>
    <w:rsid w:val="009F03B3"/>
    <w:rsid w:val="009F0DCA"/>
    <w:rsid w:val="00A0096C"/>
    <w:rsid w:val="00A01757"/>
    <w:rsid w:val="00A028C0"/>
    <w:rsid w:val="00A02BAE"/>
    <w:rsid w:val="00A0307D"/>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081"/>
    <w:rsid w:val="00A4452E"/>
    <w:rsid w:val="00A4472C"/>
    <w:rsid w:val="00A44E69"/>
    <w:rsid w:val="00A4661E"/>
    <w:rsid w:val="00A55BD6"/>
    <w:rsid w:val="00A55D50"/>
    <w:rsid w:val="00A57142"/>
    <w:rsid w:val="00A648CD"/>
    <w:rsid w:val="00A6537A"/>
    <w:rsid w:val="00A67866"/>
    <w:rsid w:val="00A70B07"/>
    <w:rsid w:val="00A723F8"/>
    <w:rsid w:val="00A77CCB"/>
    <w:rsid w:val="00A77E51"/>
    <w:rsid w:val="00A81C6F"/>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0D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184"/>
    <w:rsid w:val="00B049AF"/>
    <w:rsid w:val="00B07242"/>
    <w:rsid w:val="00B10534"/>
    <w:rsid w:val="00B113DB"/>
    <w:rsid w:val="00B11A89"/>
    <w:rsid w:val="00B11CBC"/>
    <w:rsid w:val="00B11D8A"/>
    <w:rsid w:val="00B12981"/>
    <w:rsid w:val="00B147DD"/>
    <w:rsid w:val="00B156FD"/>
    <w:rsid w:val="00B21F61"/>
    <w:rsid w:val="00B261F1"/>
    <w:rsid w:val="00B265BC"/>
    <w:rsid w:val="00B26AD3"/>
    <w:rsid w:val="00B31FB1"/>
    <w:rsid w:val="00B33952"/>
    <w:rsid w:val="00B33C5E"/>
    <w:rsid w:val="00B342F4"/>
    <w:rsid w:val="00B34369"/>
    <w:rsid w:val="00B34DC2"/>
    <w:rsid w:val="00B378E5"/>
    <w:rsid w:val="00B42DF9"/>
    <w:rsid w:val="00B4346D"/>
    <w:rsid w:val="00B440F4"/>
    <w:rsid w:val="00B447A5"/>
    <w:rsid w:val="00B45EB0"/>
    <w:rsid w:val="00B4654C"/>
    <w:rsid w:val="00B47293"/>
    <w:rsid w:val="00B50E50"/>
    <w:rsid w:val="00B52120"/>
    <w:rsid w:val="00B54ABC"/>
    <w:rsid w:val="00B54DDE"/>
    <w:rsid w:val="00B56FBE"/>
    <w:rsid w:val="00B60ACF"/>
    <w:rsid w:val="00B6146C"/>
    <w:rsid w:val="00B62B58"/>
    <w:rsid w:val="00B65149"/>
    <w:rsid w:val="00B66567"/>
    <w:rsid w:val="00B66B2E"/>
    <w:rsid w:val="00B66F52"/>
    <w:rsid w:val="00B66FE5"/>
    <w:rsid w:val="00B72880"/>
    <w:rsid w:val="00B758BF"/>
    <w:rsid w:val="00B77EC8"/>
    <w:rsid w:val="00B827A6"/>
    <w:rsid w:val="00B831CE"/>
    <w:rsid w:val="00B86677"/>
    <w:rsid w:val="00B87131"/>
    <w:rsid w:val="00B939B1"/>
    <w:rsid w:val="00B942A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B3C"/>
    <w:rsid w:val="00C6329F"/>
    <w:rsid w:val="00C63340"/>
    <w:rsid w:val="00C643F9"/>
    <w:rsid w:val="00C64E95"/>
    <w:rsid w:val="00C71372"/>
    <w:rsid w:val="00C72410"/>
    <w:rsid w:val="00C7287F"/>
    <w:rsid w:val="00C80CB8"/>
    <w:rsid w:val="00C819F8"/>
    <w:rsid w:val="00C8248C"/>
    <w:rsid w:val="00C84E33"/>
    <w:rsid w:val="00C851EB"/>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13F"/>
    <w:rsid w:val="00CC6E4E"/>
    <w:rsid w:val="00CC6FE8"/>
    <w:rsid w:val="00CC7202"/>
    <w:rsid w:val="00CD2808"/>
    <w:rsid w:val="00CD28BF"/>
    <w:rsid w:val="00CD4092"/>
    <w:rsid w:val="00CD4A20"/>
    <w:rsid w:val="00CD50A1"/>
    <w:rsid w:val="00CD519E"/>
    <w:rsid w:val="00CD62A0"/>
    <w:rsid w:val="00CE0C4F"/>
    <w:rsid w:val="00CE30EA"/>
    <w:rsid w:val="00CF048A"/>
    <w:rsid w:val="00CF155A"/>
    <w:rsid w:val="00CF2947"/>
    <w:rsid w:val="00CF39AB"/>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94A"/>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4472"/>
    <w:rsid w:val="00D6032E"/>
    <w:rsid w:val="00D66846"/>
    <w:rsid w:val="00D675FB"/>
    <w:rsid w:val="00D71F25"/>
    <w:rsid w:val="00D72A9C"/>
    <w:rsid w:val="00D77031"/>
    <w:rsid w:val="00D83E22"/>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40D"/>
    <w:rsid w:val="00DB66CA"/>
    <w:rsid w:val="00DB6BCA"/>
    <w:rsid w:val="00DB73F7"/>
    <w:rsid w:val="00DC0321"/>
    <w:rsid w:val="00DC1685"/>
    <w:rsid w:val="00DC3067"/>
    <w:rsid w:val="00DC370B"/>
    <w:rsid w:val="00DC5B90"/>
    <w:rsid w:val="00DD00FF"/>
    <w:rsid w:val="00DD0619"/>
    <w:rsid w:val="00DD07FB"/>
    <w:rsid w:val="00DD25C6"/>
    <w:rsid w:val="00DD343A"/>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976"/>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6DE"/>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0F8"/>
    <w:rsid w:val="00E85BFF"/>
    <w:rsid w:val="00E863BC"/>
    <w:rsid w:val="00E90391"/>
    <w:rsid w:val="00E906C2"/>
    <w:rsid w:val="00E907E1"/>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97"/>
    <w:rsid w:val="00EB60CB"/>
    <w:rsid w:val="00EB60FE"/>
    <w:rsid w:val="00EB74DB"/>
    <w:rsid w:val="00EB77DB"/>
    <w:rsid w:val="00EC0DEF"/>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738"/>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B4B"/>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6BE"/>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FC3"/>
    <w:rsid w:val="00FD59EB"/>
    <w:rsid w:val="00FD7299"/>
    <w:rsid w:val="00FE105F"/>
    <w:rsid w:val="00FE1FBE"/>
    <w:rsid w:val="00FE3901"/>
    <w:rsid w:val="00FE39D3"/>
    <w:rsid w:val="00FE4BCE"/>
    <w:rsid w:val="00FE54AE"/>
    <w:rsid w:val="00FE576A"/>
    <w:rsid w:val="00FE6C1E"/>
    <w:rsid w:val="00FE79D7"/>
    <w:rsid w:val="00FE7E79"/>
    <w:rsid w:val="00FF3E7D"/>
    <w:rsid w:val="00FF5B99"/>
    <w:rsid w:val="00FF730C"/>
    <w:rsid w:val="00FF73F4"/>
    <w:rsid w:val="00FF7CE4"/>
    <w:rsid w:val="00FF7E39"/>
    <w:rsid w:val="213D4684"/>
    <w:rsid w:val="23167309"/>
    <w:rsid w:val="29A14CA2"/>
    <w:rsid w:val="3C2974B3"/>
    <w:rsid w:val="4C6F4BCD"/>
    <w:rsid w:val="70A635B8"/>
    <w:rsid w:val="79595FC4"/>
    <w:rsid w:val="CFFF8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3"/>
    <w:qFormat/>
    <w:uiPriority w:val="0"/>
    <w:rPr>
      <w:rFonts w:ascii="Times New Roman" w:hAnsi="Times New Roman" w:eastAsia="宋体" w:cs="Times New Roman"/>
      <w:b/>
      <w:bCs/>
      <w:kern w:val="44"/>
      <w:sz w:val="44"/>
      <w:szCs w:val="44"/>
    </w:rPr>
  </w:style>
  <w:style w:type="character" w:customStyle="1" w:styleId="36">
    <w:name w:val="标题 2 Char"/>
    <w:link w:val="4"/>
    <w:qFormat/>
    <w:uiPriority w:val="0"/>
    <w:rPr>
      <w:rFonts w:ascii="Arial" w:hAnsi="Arial" w:eastAsia="黑体" w:cs="Times New Roman"/>
      <w:b/>
      <w:bCs/>
      <w:sz w:val="32"/>
      <w:szCs w:val="32"/>
    </w:rPr>
  </w:style>
  <w:style w:type="character" w:customStyle="1" w:styleId="37">
    <w:name w:val="标题 3 Char"/>
    <w:link w:val="5"/>
    <w:qFormat/>
    <w:uiPriority w:val="0"/>
    <w:rPr>
      <w:rFonts w:ascii="Times New Roman" w:hAnsi="Times New Roman" w:eastAsia="宋体" w:cs="Times New Roman"/>
      <w:b/>
      <w:bCs/>
      <w:sz w:val="32"/>
      <w:szCs w:val="32"/>
    </w:rPr>
  </w:style>
  <w:style w:type="character" w:customStyle="1" w:styleId="38">
    <w:name w:val="标题 4 Char"/>
    <w:link w:val="6"/>
    <w:qFormat/>
    <w:uiPriority w:val="0"/>
    <w:rPr>
      <w:rFonts w:ascii="Arial" w:hAnsi="Arial" w:eastAsia="黑体" w:cs="Times New Roman"/>
      <w:b/>
      <w:bCs/>
      <w:sz w:val="28"/>
      <w:szCs w:val="28"/>
    </w:rPr>
  </w:style>
  <w:style w:type="character" w:customStyle="1" w:styleId="39">
    <w:name w:val="标题 5 Char"/>
    <w:link w:val="7"/>
    <w:qFormat/>
    <w:uiPriority w:val="0"/>
    <w:rPr>
      <w:rFonts w:ascii="Times New Roman" w:hAnsi="Times New Roman" w:eastAsia="宋体" w:cs="Times New Roman"/>
      <w:b/>
      <w:bCs/>
      <w:sz w:val="28"/>
      <w:szCs w:val="28"/>
    </w:rPr>
  </w:style>
  <w:style w:type="character" w:customStyle="1" w:styleId="40">
    <w:name w:val="标题 6 Char"/>
    <w:link w:val="8"/>
    <w:qFormat/>
    <w:uiPriority w:val="0"/>
    <w:rPr>
      <w:rFonts w:ascii="Arial" w:hAnsi="Arial" w:eastAsia="黑体" w:cs="Times New Roman"/>
      <w:b/>
      <w:bCs/>
      <w:sz w:val="24"/>
      <w:szCs w:val="24"/>
    </w:rPr>
  </w:style>
  <w:style w:type="character" w:customStyle="1" w:styleId="41">
    <w:name w:val="标题 7 Char"/>
    <w:link w:val="9"/>
    <w:qFormat/>
    <w:uiPriority w:val="0"/>
    <w:rPr>
      <w:rFonts w:ascii="Times New Roman" w:hAnsi="Times New Roman" w:eastAsia="宋体" w:cs="Times New Roman"/>
      <w:b/>
      <w:bCs/>
      <w:sz w:val="24"/>
      <w:szCs w:val="24"/>
    </w:rPr>
  </w:style>
  <w:style w:type="character" w:customStyle="1" w:styleId="42">
    <w:name w:val="标题 8 Char"/>
    <w:link w:val="10"/>
    <w:qFormat/>
    <w:uiPriority w:val="0"/>
    <w:rPr>
      <w:rFonts w:ascii="Arial" w:hAnsi="Arial" w:eastAsia="黑体" w:cs="Times New Roman"/>
      <w:sz w:val="24"/>
      <w:szCs w:val="24"/>
    </w:rPr>
  </w:style>
  <w:style w:type="character" w:customStyle="1" w:styleId="43">
    <w:name w:val="标题 9 Char"/>
    <w:link w:val="11"/>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jpeg"/><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muyanwen/Library/Containers/com.kingsoft.wpsoffice.mac/Data/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28933DDE0454391AB6A05CBD8175F4F"/>
        <w:style w:val=""/>
        <w:category>
          <w:name w:val="常规"/>
          <w:gallery w:val="placeholder"/>
        </w:category>
        <w:types>
          <w:type w:val="bbPlcHdr"/>
        </w:types>
        <w:behaviors>
          <w:behavior w:val="content"/>
        </w:behaviors>
        <w:description w:val=""/>
        <w:guid w:val="{47F64051-C667-4944-821F-4EA45AA791F4}"/>
      </w:docPartPr>
      <w:docPartBody>
        <w:p>
          <w:pPr>
            <w:pStyle w:val="5"/>
          </w:pPr>
          <w:r>
            <w:rPr>
              <w:rStyle w:val="4"/>
              <w:rFonts w:hint="eastAsia"/>
            </w:rPr>
            <w:t>单击或点击此处输入文字。</w:t>
          </w:r>
        </w:p>
      </w:docPartBody>
    </w:docPart>
    <w:docPart>
      <w:docPartPr>
        <w:name w:val="336D0ED9D7CB4F65A614688BA335FF78"/>
        <w:style w:val=""/>
        <w:category>
          <w:name w:val="常规"/>
          <w:gallery w:val="placeholder"/>
        </w:category>
        <w:types>
          <w:type w:val="bbPlcHdr"/>
        </w:types>
        <w:behaviors>
          <w:behavior w:val="content"/>
        </w:behaviors>
        <w:description w:val=""/>
        <w:guid w:val="{87E63D40-4AB4-4462-AC4C-412FAA2AAA13}"/>
      </w:docPartPr>
      <w:docPartBody>
        <w:p>
          <w:pPr>
            <w:pStyle w:val="6"/>
          </w:pPr>
          <w:r>
            <w:rPr>
              <w:rStyle w:val="4"/>
              <w:rFonts w:hint="eastAsia"/>
            </w:rPr>
            <w:t>选择一项。</w:t>
          </w:r>
        </w:p>
      </w:docPartBody>
    </w:docPart>
    <w:docPart>
      <w:docPartPr>
        <w:name w:val="1490DF18ED074D8DB07A86FC22C15E87"/>
        <w:style w:val=""/>
        <w:category>
          <w:name w:val="常规"/>
          <w:gallery w:val="placeholder"/>
        </w:category>
        <w:types>
          <w:type w:val="bbPlcHdr"/>
        </w:types>
        <w:behaviors>
          <w:behavior w:val="content"/>
        </w:behaviors>
        <w:description w:val=""/>
        <w:guid w:val="{7158AD5C-FD1B-4745-BE13-967FBEA7D30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0DBF"/>
    <w:rsid w:val="00076C41"/>
    <w:rsid w:val="00414C77"/>
    <w:rsid w:val="004858DC"/>
    <w:rsid w:val="00495EB7"/>
    <w:rsid w:val="004A2B68"/>
    <w:rsid w:val="00536FBD"/>
    <w:rsid w:val="006C094D"/>
    <w:rsid w:val="006E0380"/>
    <w:rsid w:val="00743A39"/>
    <w:rsid w:val="00743BA7"/>
    <w:rsid w:val="007A0835"/>
    <w:rsid w:val="00B34370"/>
    <w:rsid w:val="00BB0DBF"/>
    <w:rsid w:val="00C279A2"/>
    <w:rsid w:val="00C92585"/>
    <w:rsid w:val="00CB2F6F"/>
    <w:rsid w:val="00CC6AEA"/>
    <w:rsid w:val="00D052A1"/>
    <w:rsid w:val="00DD3A1D"/>
    <w:rsid w:val="00DF433A"/>
    <w:rsid w:val="00E16F11"/>
    <w:rsid w:val="00FA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28933DDE0454391AB6A05CBD8175F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36D0ED9D7CB4F65A614688BA335FF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490DF18ED074D8DB07A86FC22C15E8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1220</Words>
  <Characters>6960</Characters>
  <Lines>58</Lines>
  <Paragraphs>16</Paragraphs>
  <TotalTime>237</TotalTime>
  <ScaleCrop>false</ScaleCrop>
  <LinksUpToDate>false</LinksUpToDate>
  <CharactersWithSpaces>8164</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2023-10-07T18:03:00Z</dcterms:created>
  <dc:creator>Administrator</dc:creator>
  <dc:description>&lt;config cover="true" show_menu="true" version="1.0.0" doctype="SDKXY"&gt;_x000d_
&lt;/config&gt;</dc:description>
  <cp:lastModifiedBy>Nyx</cp:lastModifiedBy>
  <cp:lastPrinted>2023-08-10T11:08:00Z</cp:lastPrinted>
  <dcterms:modified xsi:type="dcterms:W3CDTF">2023-10-11T11:20:50Z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2052-6.0.2.8225</vt:lpwstr>
  </property>
  <property fmtid="{D5CDD505-2E9C-101B-9397-08002B2CF9AE}" pid="16" name="ICV">
    <vt:lpwstr>E68DE84BA8F74AF0A158536A747D807F_13</vt:lpwstr>
  </property>
</Properties>
</file>