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72"/>
          <w:szCs w:val="72"/>
        </w:rPr>
      </w:pPr>
    </w:p>
    <w:p>
      <w:pPr>
        <w:pStyle w:val="10"/>
      </w:pPr>
    </w:p>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57"/>
        <w:ind w:firstLine="420"/>
        <w:rPr>
          <w:rFonts w:ascii="宋体" w:hAnsi="宋体" w:cs="宋体"/>
        </w:rPr>
      </w:pPr>
    </w:p>
    <w:p>
      <w:pPr>
        <w:pStyle w:val="57"/>
        <w:ind w:firstLine="420"/>
        <w:rPr>
          <w:rFonts w:ascii="宋体" w:hAnsi="宋体" w:cs="宋体"/>
        </w:rPr>
      </w:pPr>
    </w:p>
    <w:p>
      <w:pPr>
        <w:rPr>
          <w:rFonts w:ascii="宋体" w:hAnsi="宋体" w:cs="宋体"/>
          <w:b/>
          <w:sz w:val="44"/>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招标编号：QH2023</w:t>
      </w:r>
      <w:r>
        <w:rPr>
          <w:rFonts w:ascii="宋体" w:hAnsi="宋体" w:cs="宋体"/>
          <w:b/>
          <w:sz w:val="36"/>
          <w:szCs w:val="36"/>
        </w:rPr>
        <w:t>094</w:t>
      </w:r>
    </w:p>
    <w:p>
      <w:pPr>
        <w:pStyle w:val="57"/>
        <w:ind w:firstLine="420"/>
        <w:rPr>
          <w:rFonts w:ascii="宋体" w:hAnsi="宋体" w:cs="宋体"/>
        </w:rPr>
      </w:pPr>
    </w:p>
    <w:p>
      <w:pPr>
        <w:pStyle w:val="57"/>
        <w:ind w:firstLine="420"/>
        <w:rPr>
          <w:rFonts w:ascii="宋体" w:hAnsi="宋体" w:cs="宋体"/>
        </w:rPr>
      </w:pPr>
    </w:p>
    <w:p>
      <w:pPr>
        <w:pStyle w:val="57"/>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招标项目：前海管理局2023-2024年度法律专务服务项目</w:t>
      </w:r>
    </w:p>
    <w:p>
      <w:pPr>
        <w:ind w:firstLine="3264" w:firstLineChars="739"/>
        <w:rPr>
          <w:rFonts w:ascii="宋体" w:hAnsi="宋体" w:cs="宋体"/>
          <w:b/>
          <w:sz w:val="44"/>
        </w:rPr>
      </w:pPr>
    </w:p>
    <w:p>
      <w:pPr>
        <w:ind w:left="1260" w:leftChars="600" w:firstLine="1855" w:firstLineChars="420"/>
        <w:rPr>
          <w:rFonts w:ascii="宋体" w:hAnsi="宋体" w:cs="宋体"/>
          <w:b/>
          <w:sz w:val="44"/>
        </w:rPr>
      </w:pPr>
    </w:p>
    <w:p>
      <w:pPr>
        <w:rPr>
          <w:rFonts w:ascii="宋体" w:hAnsi="宋体" w:cs="宋体"/>
          <w:b/>
          <w:sz w:val="44"/>
        </w:rPr>
      </w:pPr>
    </w:p>
    <w:p>
      <w:pPr>
        <w:pStyle w:val="2"/>
        <w:rPr>
          <w:rFonts w:ascii="宋体" w:hAnsi="宋体" w:cs="宋体"/>
          <w:b/>
          <w:sz w:val="44"/>
        </w:rPr>
      </w:pPr>
    </w:p>
    <w:p>
      <w:pPr>
        <w:rPr>
          <w:rFonts w:ascii="宋体" w:hAnsi="宋体" w:cs="宋体"/>
          <w:b/>
          <w:sz w:val="44"/>
        </w:rPr>
      </w:pPr>
    </w:p>
    <w:p>
      <w:pPr>
        <w:pStyle w:val="2"/>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2023年</w:t>
      </w:r>
      <w:r>
        <w:rPr>
          <w:rFonts w:hint="eastAsia" w:ascii="宋体" w:hAnsi="宋体" w:cs="宋体"/>
          <w:b/>
          <w:bCs/>
          <w:sz w:val="36"/>
          <w:szCs w:val="36"/>
          <w:lang w:val="en-US" w:eastAsia="zh-CN"/>
        </w:rPr>
        <w:t>10</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10"/>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jc w:val="center"/>
        <w:outlineLvl w:val="0"/>
        <w:rPr>
          <w:rFonts w:ascii="宋体" w:hAnsi="宋体" w:cs="宋体"/>
          <w:b/>
          <w:bCs/>
          <w:sz w:val="36"/>
          <w:szCs w:val="36"/>
          <w:lang w:val="zh-CN"/>
        </w:rPr>
      </w:pPr>
      <w:r>
        <w:rPr>
          <w:rFonts w:hint="eastAsia" w:ascii="宋体" w:hAnsi="宋体" w:cs="宋体"/>
          <w:b/>
          <w:bCs/>
          <w:sz w:val="36"/>
          <w:szCs w:val="36"/>
          <w:lang w:val="zh-CN"/>
        </w:rPr>
        <w:br w:type="page"/>
      </w:r>
      <w:bookmarkStart w:id="1" w:name="_Toc20808"/>
      <w:r>
        <w:rPr>
          <w:rFonts w:hint="eastAsia" w:ascii="宋体" w:hAnsi="宋体" w:cs="宋体"/>
          <w:b/>
          <w:bCs/>
          <w:sz w:val="36"/>
          <w:szCs w:val="36"/>
          <w:lang w:val="zh-CN"/>
        </w:rPr>
        <w:t>目录</w:t>
      </w:r>
      <w:bookmarkEnd w:id="0"/>
      <w:bookmarkEnd w:id="1"/>
    </w:p>
    <w:p>
      <w:pPr>
        <w:pStyle w:val="17"/>
        <w:tabs>
          <w:tab w:val="right" w:leader="dot" w:pos="8306"/>
        </w:tabs>
        <w:spacing w:line="480" w:lineRule="auto"/>
        <w:rPr>
          <w:b/>
          <w:bCs/>
          <w:sz w:val="24"/>
          <w:szCs w:val="32"/>
        </w:rPr>
      </w:pPr>
    </w:p>
    <w:p>
      <w:pPr>
        <w:pStyle w:val="17"/>
        <w:tabs>
          <w:tab w:val="right" w:leader="dot" w:pos="8306"/>
        </w:tabs>
        <w:spacing w:line="360" w:lineRule="auto"/>
        <w:rPr>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招标邀请书（招标公告）</w:t>
      </w:r>
      <w:r>
        <w:rPr>
          <w:b/>
          <w:bCs/>
          <w:sz w:val="24"/>
        </w:rPr>
        <w:tab/>
      </w:r>
      <w:r>
        <w:rPr>
          <w:b/>
          <w:bCs/>
          <w:sz w:val="24"/>
        </w:rPr>
        <w:fldChar w:fldCharType="begin"/>
      </w:r>
      <w:r>
        <w:rPr>
          <w:b/>
          <w:bCs/>
          <w:sz w:val="24"/>
        </w:rPr>
        <w:instrText xml:space="preserve"> PAGEREF _Toc17273 \h </w:instrText>
      </w:r>
      <w:r>
        <w:rPr>
          <w:b/>
          <w:bCs/>
          <w:sz w:val="24"/>
        </w:rPr>
        <w:fldChar w:fldCharType="separate"/>
      </w:r>
      <w:r>
        <w:rPr>
          <w:b/>
          <w:bCs/>
          <w:sz w:val="24"/>
        </w:rPr>
        <w:t>5</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8</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11</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begin"/>
      </w:r>
      <w:r>
        <w:rPr>
          <w:b/>
          <w:bCs/>
          <w:sz w:val="24"/>
        </w:rPr>
        <w:instrText xml:space="preserve"> PAGEREF _Toc3567 \h </w:instrText>
      </w:r>
      <w:r>
        <w:rPr>
          <w:b/>
          <w:bCs/>
          <w:sz w:val="24"/>
        </w:rPr>
        <w:fldChar w:fldCharType="separate"/>
      </w:r>
      <w:r>
        <w:rPr>
          <w:b/>
          <w:bCs/>
          <w:sz w:val="24"/>
        </w:rPr>
        <w:t>13</w:t>
      </w:r>
      <w:r>
        <w:rPr>
          <w:b/>
          <w:bCs/>
          <w:sz w:val="24"/>
        </w:rPr>
        <w:fldChar w:fldCharType="end"/>
      </w:r>
      <w:r>
        <w:rPr>
          <w:b/>
          <w:bCs/>
          <w:sz w:val="24"/>
        </w:rPr>
        <w:fldChar w:fldCharType="end"/>
      </w:r>
      <w:bookmarkStart w:id="29" w:name="_GoBack"/>
      <w:bookmarkEnd w:id="29"/>
    </w:p>
    <w:p>
      <w:pPr>
        <w:pStyle w:val="17"/>
        <w:tabs>
          <w:tab w:val="right" w:leader="dot" w:pos="8306"/>
        </w:tabs>
        <w:spacing w:line="360" w:lineRule="auto"/>
        <w:rPr>
          <w:b/>
          <w:bCs/>
          <w:sz w:val="24"/>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begin"/>
      </w:r>
      <w:r>
        <w:rPr>
          <w:b/>
          <w:bCs/>
          <w:sz w:val="24"/>
        </w:rPr>
        <w:instrText xml:space="preserve"> PAGEREF _Toc25518 \h </w:instrText>
      </w:r>
      <w:r>
        <w:rPr>
          <w:b/>
          <w:bCs/>
          <w:sz w:val="24"/>
        </w:rPr>
        <w:fldChar w:fldCharType="separate"/>
      </w:r>
      <w:r>
        <w:rPr>
          <w:b/>
          <w:bCs/>
          <w:sz w:val="24"/>
        </w:rPr>
        <w:t>24</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begin"/>
      </w:r>
      <w:r>
        <w:rPr>
          <w:b/>
          <w:bCs/>
          <w:sz w:val="24"/>
        </w:rPr>
        <w:instrText xml:space="preserve"> PAGEREF _Toc23822 \h </w:instrText>
      </w:r>
      <w:r>
        <w:rPr>
          <w:b/>
          <w:bCs/>
          <w:sz w:val="24"/>
        </w:rPr>
        <w:fldChar w:fldCharType="separate"/>
      </w:r>
      <w:r>
        <w:rPr>
          <w:b/>
          <w:bCs/>
          <w:sz w:val="24"/>
        </w:rPr>
        <w:t>32</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fldChar w:fldCharType="begin"/>
      </w:r>
      <w:r>
        <w:rPr>
          <w:b/>
          <w:bCs/>
          <w:sz w:val="24"/>
        </w:rPr>
        <w:instrText xml:space="preserve"> PAGEREF _Toc9548 \h </w:instrText>
      </w:r>
      <w:r>
        <w:rPr>
          <w:b/>
          <w:bCs/>
          <w:sz w:val="24"/>
        </w:rPr>
        <w:fldChar w:fldCharType="separate"/>
      </w:r>
      <w:r>
        <w:rPr>
          <w:b/>
          <w:bCs/>
          <w:sz w:val="24"/>
        </w:rPr>
        <w:t>38</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fldChar w:fldCharType="begin"/>
      </w:r>
      <w:r>
        <w:rPr>
          <w:b/>
          <w:bCs/>
          <w:sz w:val="24"/>
        </w:rPr>
        <w:instrText xml:space="preserve"> PAGEREF _Toc742 \h </w:instrText>
      </w:r>
      <w:r>
        <w:rPr>
          <w:b/>
          <w:bCs/>
          <w:sz w:val="24"/>
        </w:rPr>
        <w:fldChar w:fldCharType="separate"/>
      </w:r>
      <w:r>
        <w:rPr>
          <w:b/>
          <w:bCs/>
          <w:sz w:val="24"/>
        </w:rPr>
        <w:t>58</w:t>
      </w:r>
      <w:r>
        <w:rPr>
          <w:b/>
          <w:bCs/>
          <w:sz w:val="24"/>
        </w:rPr>
        <w:fldChar w:fldCharType="end"/>
      </w:r>
      <w:r>
        <w:rPr>
          <w:b/>
          <w:bCs/>
          <w:sz w:val="24"/>
        </w:rPr>
        <w:fldChar w:fldCharType="end"/>
      </w:r>
    </w:p>
    <w:p>
      <w:pPr>
        <w:pStyle w:val="17"/>
        <w:tabs>
          <w:tab w:val="right" w:leader="dot" w:pos="8306"/>
        </w:tabs>
        <w:spacing w:line="360" w:lineRule="auto"/>
        <w:rPr>
          <w:rFonts w:ascii="宋体" w:hAnsi="宋体" w:cs="宋体"/>
          <w:b/>
          <w:sz w:val="24"/>
        </w:rPr>
      </w:pPr>
      <w:r>
        <w:rPr>
          <w:rFonts w:hint="eastAsia" w:ascii="宋体" w:hAnsi="宋体" w:cs="宋体"/>
          <w:b/>
          <w:bCs/>
          <w:sz w:val="24"/>
        </w:rPr>
        <w:fldChar w:fldCharType="end"/>
      </w:r>
    </w:p>
    <w:p>
      <w:pPr>
        <w:spacing w:line="360" w:lineRule="auto"/>
      </w:pP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17273"/>
      <w:r>
        <w:rPr>
          <w:rFonts w:hint="eastAsia" w:ascii="宋体" w:hAnsi="宋体" w:cs="宋体"/>
          <w:b/>
          <w:bCs/>
          <w:sz w:val="24"/>
        </w:rPr>
        <w:t>招标邀请书（招标公告）</w:t>
      </w:r>
      <w:bookmarkEnd w:id="2"/>
    </w:p>
    <w:p>
      <w:pPr>
        <w:spacing w:line="360" w:lineRule="auto"/>
        <w:ind w:firstLine="480" w:firstLineChars="200"/>
        <w:jc w:val="left"/>
        <w:rPr>
          <w:rFonts w:ascii="宋体" w:hAnsi="宋体" w:cs="宋体"/>
          <w:sz w:val="24"/>
        </w:rPr>
      </w:pPr>
      <w:r>
        <w:rPr>
          <w:rFonts w:hint="eastAsia" w:ascii="宋体" w:hAnsi="宋体" w:cs="宋体"/>
          <w:sz w:val="24"/>
        </w:rPr>
        <w:t>友和保险经纪有限公司（以下简称采购代理机构）受深圳市前海深港现代服务业合作区管理局委托就“</w:t>
      </w:r>
      <w:r>
        <w:rPr>
          <w:rFonts w:hint="eastAsia" w:ascii="宋体" w:hAnsi="宋体" w:cs="宋体"/>
          <w:sz w:val="24"/>
          <w:u w:val="single"/>
        </w:rPr>
        <w:t>前海管理局2023-2024年度法律专务服务项目</w:t>
      </w:r>
      <w:r>
        <w:rPr>
          <w:rFonts w:hint="eastAsia" w:ascii="宋体" w:hAnsi="宋体" w:cs="宋体"/>
          <w:sz w:val="24"/>
        </w:rPr>
        <w:t>（招标编号：</w:t>
      </w:r>
      <w:r>
        <w:rPr>
          <w:rFonts w:hint="eastAsia" w:ascii="宋体" w:hAnsi="宋体" w:cs="宋体"/>
          <w:sz w:val="24"/>
          <w:u w:val="single"/>
        </w:rPr>
        <w:t>QH2023</w:t>
      </w:r>
      <w:r>
        <w:rPr>
          <w:rFonts w:ascii="宋体" w:hAnsi="宋体" w:cs="宋体"/>
          <w:sz w:val="24"/>
          <w:u w:val="single"/>
        </w:rPr>
        <w:t>094</w:t>
      </w:r>
      <w:r>
        <w:rPr>
          <w:rFonts w:hint="eastAsia" w:ascii="宋体" w:hAnsi="宋体" w:cs="宋体"/>
          <w:sz w:val="24"/>
        </w:rPr>
        <w:t>）”采用简易招标方式采购，欢迎符合投标人资格要求的专业供应商积极参加投标。</w:t>
      </w:r>
    </w:p>
    <w:tbl>
      <w:tblPr>
        <w:tblStyle w:val="2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rPr>
                <w:rFonts w:ascii="宋体" w:hAnsi="宋体" w:cs="宋体"/>
                <w:sz w:val="24"/>
              </w:rPr>
            </w:pPr>
            <w:r>
              <w:rPr>
                <w:rFonts w:hint="eastAsia" w:ascii="宋体" w:hAnsi="宋体" w:cs="宋体"/>
                <w:sz w:val="24"/>
              </w:rPr>
              <w:t>招标编号</w:t>
            </w:r>
          </w:p>
        </w:tc>
        <w:tc>
          <w:tcPr>
            <w:tcW w:w="7015" w:type="dxa"/>
            <w:vAlign w:val="center"/>
          </w:tcPr>
          <w:p>
            <w:pPr>
              <w:spacing w:line="360" w:lineRule="auto"/>
              <w:rPr>
                <w:rFonts w:ascii="宋体" w:hAnsi="宋体" w:cs="宋体"/>
                <w:sz w:val="24"/>
              </w:rPr>
            </w:pPr>
            <w:r>
              <w:rPr>
                <w:rFonts w:hint="eastAsia" w:ascii="宋体" w:hAnsi="宋体" w:cs="宋体"/>
                <w:sz w:val="24"/>
              </w:rPr>
              <w:t>QH2023</w:t>
            </w:r>
            <w:r>
              <w:rPr>
                <w:rFonts w:ascii="宋体" w:hAnsi="宋体" w:cs="宋体"/>
                <w:sz w:val="24"/>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前海管理局2023-2024年度法律专务服务项目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pStyle w:val="64"/>
              <w:spacing w:line="560" w:lineRule="exact"/>
              <w:jc w:val="both"/>
            </w:pPr>
            <w:r>
              <w:rPr>
                <w:rFonts w:hint="eastAsia" w:ascii="宋体" w:hAnsi="宋体" w:cs="宋体"/>
                <w:kern w:val="2"/>
              </w:rPr>
              <w:t>一是研究新出台的国家、省、市法规政策文件，收集、整理国内外法学前沿及法治热点问题，并结合前海实际对前海立法及规范性文件提出法律意见和建议；二是关注并研究深圳市其他立法项目及规范性文件，并提出相应的法律意见和总结经验，为前海立法项目和规范性文件等提供立法技术、立法思路、区域治理等支持；三是协助开展前海深港国际法务区建设工作，就相关文件和制度进行合法合规性审查，协助前海管理局研究制定前海新兴业态商事规则，协助开展前海法治创新工作等前海管理局交办的其他事务</w:t>
            </w:r>
            <w:r>
              <w:rPr>
                <w:rFonts w:hint="eastAsia" w:ascii="宋体" w:hAnsi="宋体" w:cs="宋体"/>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p>
            <w:pPr>
              <w:spacing w:line="360" w:lineRule="auto"/>
              <w:jc w:val="center"/>
              <w:rPr>
                <w:rFonts w:ascii="宋体" w:hAnsi="宋体" w:cs="宋体"/>
                <w:sz w:val="24"/>
              </w:rPr>
            </w:pPr>
            <w:r>
              <w:rPr>
                <w:rFonts w:hint="eastAsia" w:ascii="宋体" w:hAnsi="宋体" w:cs="宋体"/>
                <w:sz w:val="24"/>
              </w:rPr>
              <w:t>（最高限价）</w:t>
            </w:r>
          </w:p>
        </w:tc>
        <w:tc>
          <w:tcPr>
            <w:tcW w:w="7015" w:type="dxa"/>
            <w:vAlign w:val="center"/>
          </w:tcPr>
          <w:p>
            <w:pPr>
              <w:spacing w:line="360" w:lineRule="auto"/>
              <w:rPr>
                <w:rFonts w:ascii="宋体" w:hAnsi="宋体" w:cs="宋体"/>
                <w:sz w:val="24"/>
              </w:rPr>
            </w:pPr>
            <w:r>
              <w:rPr>
                <w:rFonts w:hint="eastAsia" w:ascii="宋体" w:hAnsi="宋体" w:cs="宋体"/>
                <w:sz w:val="24"/>
              </w:rPr>
              <w:t>¥50</w:t>
            </w:r>
            <w:r>
              <w:rPr>
                <w:rFonts w:hint="eastAsia" w:ascii="宋体" w:hAnsi="宋体" w:cs="宋体"/>
                <w:sz w:val="24"/>
                <w:lang w:val="en-US" w:eastAsia="zh-CN"/>
              </w:rPr>
              <w:t>5</w:t>
            </w:r>
            <w:r>
              <w:rPr>
                <w:rFonts w:hint="eastAsia" w:ascii="宋体" w:hAnsi="宋体" w:cs="宋体"/>
                <w:sz w:val="24"/>
              </w:rPr>
              <w:t>,000.00（人民币</w:t>
            </w:r>
            <w:r>
              <w:rPr>
                <w:rFonts w:hint="eastAsia" w:ascii="宋体" w:hAnsi="宋体" w:cs="宋体"/>
                <w:sz w:val="24"/>
                <w:lang w:val="en-US" w:eastAsia="zh-CN"/>
              </w:rPr>
              <w:t>伍拾万零伍仟元整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本项目</w:t>
            </w:r>
          </w:p>
          <w:p>
            <w:pPr>
              <w:spacing w:line="360" w:lineRule="auto"/>
              <w:jc w:val="center"/>
              <w:rPr>
                <w:rFonts w:ascii="宋体" w:hAnsi="宋体" w:cs="宋体"/>
                <w:kern w:val="0"/>
                <w:sz w:val="24"/>
              </w:rPr>
            </w:pPr>
            <w:r>
              <w:rPr>
                <w:rFonts w:hint="eastAsia" w:ascii="宋体" w:hAnsi="宋体" w:cs="宋体"/>
                <w:kern w:val="0"/>
                <w:sz w:val="24"/>
              </w:rPr>
              <w:t>所属行业</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360" w:lineRule="auto"/>
              <w:jc w:val="left"/>
              <w:rPr>
                <w:rFonts w:ascii="宋体" w:hAnsi="宋体" w:cs="宋体"/>
                <w:kern w:val="0"/>
                <w:sz w:val="24"/>
                <w:u w:val="single"/>
              </w:rPr>
            </w:pPr>
            <w:r>
              <w:rPr>
                <w:rFonts w:hint="eastAsia" w:ascii="宋体" w:hAnsi="宋体" w:cs="宋体"/>
                <w:kern w:val="0"/>
                <w:sz w:val="24"/>
              </w:rPr>
              <w:t>将投标文件密封并在</w:t>
            </w:r>
            <w:r>
              <w:rPr>
                <w:rFonts w:hint="eastAsia" w:ascii="宋体" w:hAnsi="宋体" w:cs="宋体"/>
                <w:b/>
                <w:bCs/>
                <w:kern w:val="0"/>
                <w:sz w:val="24"/>
              </w:rPr>
              <w:t>2023年</w:t>
            </w:r>
            <w:r>
              <w:rPr>
                <w:rFonts w:hint="eastAsia" w:ascii="宋体" w:hAnsi="宋体" w:cs="宋体"/>
                <w:b/>
                <w:bCs/>
                <w:kern w:val="0"/>
                <w:sz w:val="24"/>
                <w:lang w:val="en-US" w:eastAsia="zh-CN"/>
              </w:rPr>
              <w:t>10</w:t>
            </w:r>
            <w:r>
              <w:rPr>
                <w:rFonts w:hint="eastAsia" w:ascii="宋体" w:hAnsi="宋体" w:cs="宋体"/>
                <w:b/>
                <w:bCs/>
                <w:kern w:val="0"/>
                <w:sz w:val="24"/>
              </w:rPr>
              <w:t>月</w:t>
            </w:r>
            <w:r>
              <w:rPr>
                <w:rFonts w:hint="eastAsia" w:ascii="宋体" w:hAnsi="宋体" w:cs="宋体"/>
                <w:b/>
                <w:bCs/>
                <w:kern w:val="0"/>
                <w:sz w:val="24"/>
                <w:lang w:val="en-US" w:eastAsia="zh-CN"/>
              </w:rPr>
              <w:t>13</w:t>
            </w:r>
            <w:r>
              <w:rPr>
                <w:rFonts w:hint="eastAsia" w:ascii="宋体" w:hAnsi="宋体" w:cs="宋体"/>
                <w:b/>
                <w:bCs/>
                <w:kern w:val="0"/>
                <w:sz w:val="24"/>
              </w:rPr>
              <w:t>日下午</w:t>
            </w:r>
            <w:r>
              <w:rPr>
                <w:rFonts w:hint="eastAsia" w:ascii="宋体" w:hAnsi="宋体" w:cs="宋体"/>
                <w:b/>
                <w:bCs/>
                <w:kern w:val="0"/>
                <w:sz w:val="24"/>
                <w:lang w:val="en-US" w:eastAsia="zh-CN"/>
              </w:rPr>
              <w:t>17</w:t>
            </w:r>
            <w:r>
              <w:rPr>
                <w:rFonts w:hint="eastAsia" w:ascii="宋体" w:hAnsi="宋体" w:cs="宋体"/>
                <w:b/>
                <w:bCs/>
                <w:kern w:val="0"/>
                <w:sz w:val="24"/>
              </w:rPr>
              <w:t>:30时（北京时间）前</w:t>
            </w:r>
            <w:r>
              <w:rPr>
                <w:rFonts w:hint="eastAsia" w:ascii="宋体" w:hAnsi="宋体" w:cs="宋体"/>
                <w:kern w:val="0"/>
                <w:sz w:val="24"/>
              </w:rPr>
              <w:t>送达（现场递交或邮寄）至</w:t>
            </w:r>
            <w:r>
              <w:rPr>
                <w:rFonts w:hint="eastAsia" w:ascii="宋体" w:hAnsi="宋体" w:cs="宋体"/>
                <w:kern w:val="0"/>
                <w:sz w:val="24"/>
                <w:u w:val="single"/>
              </w:rPr>
              <w:t xml:space="preserve"> 深圳市南山区前海深港合作区桂湾五路123号前海管理局前海大厦T1栋2509  </w:t>
            </w:r>
          </w:p>
          <w:p>
            <w:pPr>
              <w:spacing w:line="360" w:lineRule="auto"/>
              <w:rPr>
                <w:rFonts w:ascii="宋体" w:hAnsi="宋体" w:cs="宋体"/>
                <w:kern w:val="0"/>
                <w:sz w:val="24"/>
              </w:rPr>
            </w:pPr>
            <w:r>
              <w:rPr>
                <w:rFonts w:hint="eastAsia" w:ascii="宋体" w:hAnsi="宋体" w:cs="宋体"/>
                <w:kern w:val="0"/>
                <w:sz w:val="24"/>
              </w:rPr>
              <w:t>联  系  人：洪女士</w:t>
            </w:r>
          </w:p>
          <w:p>
            <w:pPr>
              <w:spacing w:line="360" w:lineRule="auto"/>
              <w:rPr>
                <w:rFonts w:ascii="宋体" w:hAnsi="宋体" w:cs="宋体"/>
                <w:kern w:val="0"/>
                <w:sz w:val="24"/>
              </w:rPr>
            </w:pPr>
            <w:r>
              <w:rPr>
                <w:rFonts w:hint="eastAsia" w:ascii="宋体" w:hAnsi="宋体" w:cs="宋体"/>
                <w:kern w:val="0"/>
                <w:sz w:val="24"/>
              </w:rPr>
              <w:t>电      话：</w:t>
            </w:r>
            <w:r>
              <w:rPr>
                <w:rFonts w:ascii="宋体" w:hAnsi="宋体" w:cs="宋体"/>
                <w:kern w:val="0"/>
                <w:sz w:val="24"/>
              </w:rPr>
              <w:t>0755-</w:t>
            </w:r>
            <w:r>
              <w:rPr>
                <w:rFonts w:hint="eastAsia" w:ascii="宋体" w:hAnsi="宋体" w:cs="宋体"/>
                <w:kern w:val="0"/>
                <w:sz w:val="24"/>
              </w:rPr>
              <w:t>88105218</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投标人必须是在中华人民共和国国家司法行政主管部门合法登记注册，持有经年检合格的律师事务所执业许可证的律师事务所或其分支机构（同一家律师事务所只能授权一家分支机构参与投标，且该律师事务所不能与下属的分支机构同时参与投标）（如为律师事务所投标，则提供律师事务所《执业许可证》扫描件，原件备查；如为分支机构投标，则提供总所授权及分支机构《执业许可证》扫描件，原件备查）；</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参与政府采购项目投标的供应商近三年内（投标人成立不足三年的可从成立之日起算无行贿犯罪记录</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kern w:val="0"/>
                <w:sz w:val="24"/>
              </w:rPr>
            </w:pPr>
            <w:r>
              <w:rPr>
                <w:rFonts w:hint="eastAsia" w:ascii="宋体" w:hAnsi="宋体" w:cs="宋体"/>
                <w:kern w:val="0"/>
                <w:sz w:val="24"/>
              </w:rPr>
              <w:t>本项目</w:t>
            </w:r>
            <w:r>
              <w:rPr>
                <w:rFonts w:ascii="宋体" w:hAnsi="宋体" w:cs="宋体"/>
                <w:kern w:val="0"/>
                <w:sz w:val="24"/>
              </w:rPr>
              <w:t>不</w:t>
            </w:r>
            <w:r>
              <w:rPr>
                <w:rFonts w:hint="eastAsia" w:ascii="宋体" w:hAnsi="宋体" w:cs="宋体"/>
                <w:kern w:val="0"/>
                <w:sz w:val="24"/>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ascii="宋体" w:hAnsi="宋体" w:cs="宋体"/>
                <w:sz w:val="24"/>
              </w:rPr>
            </w:pPr>
            <w:r>
              <w:rPr>
                <w:rFonts w:hint="eastAsia" w:ascii="宋体" w:hAnsi="宋体" w:cs="宋体"/>
                <w:sz w:val="24"/>
              </w:rPr>
              <w:t>本次投标为总价包干，投标报价总价作为中标人与采购人签定的合同金额。项目预算控制50</w:t>
            </w:r>
            <w:r>
              <w:rPr>
                <w:rFonts w:hint="eastAsia" w:ascii="宋体" w:hAnsi="宋体" w:cs="宋体"/>
                <w:sz w:val="24"/>
                <w:lang w:val="en-US" w:eastAsia="zh-CN"/>
              </w:rPr>
              <w:t>.5</w:t>
            </w:r>
            <w:r>
              <w:rPr>
                <w:rFonts w:hint="eastAsia" w:ascii="宋体" w:hAnsi="宋体" w:cs="宋体"/>
                <w:sz w:val="24"/>
              </w:rPr>
              <w:t>万元以内，投标人的报价不可高于预算（限价），否则投标人的投标文件视同无效。项目服务费包括调研费、中标服务费、资料费、税金、会议评审、差旅费、运营维护等所有费用，并提供合同要求的成果文件，以及其它相关服务的全部费用。</w:t>
            </w:r>
          </w:p>
          <w:p>
            <w:pPr>
              <w:numPr>
                <w:ilvl w:val="0"/>
                <w:numId w:val="3"/>
              </w:numPr>
              <w:spacing w:line="360" w:lineRule="auto"/>
              <w:rPr>
                <w:rFonts w:ascii="宋体" w:hAnsi="宋体" w:cs="宋体"/>
                <w:sz w:val="24"/>
              </w:rPr>
            </w:pPr>
            <w:r>
              <w:rPr>
                <w:rFonts w:hint="eastAsia" w:ascii="宋体" w:hAnsi="宋体" w:cs="宋体"/>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 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联  系  人： 洪女士</w:t>
            </w:r>
          </w:p>
          <w:p>
            <w:pPr>
              <w:spacing w:line="360" w:lineRule="auto"/>
              <w:rPr>
                <w:rFonts w:ascii="宋体" w:hAnsi="宋体" w:cs="宋体"/>
                <w:kern w:val="0"/>
                <w:sz w:val="24"/>
              </w:rPr>
            </w:pPr>
            <w:r>
              <w:rPr>
                <w:rFonts w:hint="eastAsia" w:ascii="宋体" w:hAnsi="宋体" w:cs="宋体"/>
                <w:kern w:val="0"/>
                <w:sz w:val="24"/>
              </w:rPr>
              <w:t xml:space="preserve">电      话： </w:t>
            </w:r>
            <w:r>
              <w:rPr>
                <w:rFonts w:ascii="宋体" w:hAnsi="宋体" w:cs="宋体"/>
                <w:kern w:val="0"/>
                <w:sz w:val="24"/>
              </w:rPr>
              <w:t>0755-</w:t>
            </w:r>
            <w:r>
              <w:rPr>
                <w:rFonts w:hint="eastAsia" w:ascii="宋体" w:hAnsi="宋体" w:cs="宋体"/>
                <w:kern w:val="0"/>
                <w:sz w:val="24"/>
              </w:rPr>
              <w:t>88105218</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称：友和保险经纪有限公司</w:t>
            </w:r>
          </w:p>
          <w:p>
            <w:pPr>
              <w:spacing w:line="360" w:lineRule="auto"/>
              <w:rPr>
                <w:rFonts w:ascii="宋体" w:hAnsi="宋体" w:cs="宋体"/>
                <w:kern w:val="0"/>
                <w:sz w:val="24"/>
              </w:rPr>
            </w:pPr>
            <w:r>
              <w:rPr>
                <w:rFonts w:hint="eastAsia" w:ascii="宋体" w:hAnsi="宋体" w:cs="宋体"/>
                <w:kern w:val="0"/>
                <w:sz w:val="24"/>
              </w:rPr>
              <w:t>地      址：深圳市福田区福强路3030号福田体育公园西北角友和招标代理服务中心（靠近北门）</w:t>
            </w:r>
          </w:p>
          <w:p>
            <w:pPr>
              <w:spacing w:line="360" w:lineRule="auto"/>
              <w:rPr>
                <w:rFonts w:ascii="宋体" w:hAnsi="宋体" w:cs="宋体"/>
                <w:kern w:val="0"/>
                <w:sz w:val="24"/>
              </w:rPr>
            </w:pPr>
            <w:r>
              <w:rPr>
                <w:rFonts w:hint="eastAsia" w:ascii="宋体" w:hAnsi="宋体" w:cs="宋体"/>
                <w:kern w:val="0"/>
                <w:sz w:val="24"/>
              </w:rPr>
              <w:t>联  系  人：李恒慧/张挺</w:t>
            </w:r>
          </w:p>
          <w:p>
            <w:pPr>
              <w:spacing w:line="360" w:lineRule="auto"/>
              <w:rPr>
                <w:rFonts w:ascii="宋体" w:hAnsi="宋体" w:cs="宋体"/>
                <w:kern w:val="0"/>
                <w:sz w:val="24"/>
              </w:rPr>
            </w:pPr>
            <w:r>
              <w:rPr>
                <w:rFonts w:hint="eastAsia" w:ascii="宋体" w:hAnsi="宋体" w:cs="宋体"/>
                <w:kern w:val="0"/>
                <w:sz w:val="24"/>
              </w:rPr>
              <w:t>电      话：0755-83881283</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友和保险经纪有限公司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2023年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 w:name="_Toc10214"/>
      <w:r>
        <w:rPr>
          <w:rFonts w:hint="eastAsia" w:ascii="宋体" w:hAnsi="宋体" w:cs="宋体"/>
          <w:b/>
          <w:bCs/>
          <w:sz w:val="24"/>
        </w:rPr>
        <w:t>投标须知</w:t>
      </w:r>
      <w:bookmarkEnd w:id="3"/>
    </w:p>
    <w:p>
      <w:pPr>
        <w:snapToGrid w:val="0"/>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1、本项目是深圳市前海深港现代服务业合作区管理局的《前海管理局2023-2024年度法律专务服务项目》。</w:t>
      </w:r>
    </w:p>
    <w:p>
      <w:pPr>
        <w:snapToGrid w:val="0"/>
        <w:spacing w:line="360" w:lineRule="auto"/>
        <w:ind w:firstLine="480" w:firstLineChars="200"/>
        <w:rPr>
          <w:rFonts w:ascii="宋体" w:hAnsi="宋体" w:cs="宋体"/>
          <w:b/>
          <w:bCs/>
          <w:sz w:val="24"/>
        </w:rPr>
      </w:pPr>
      <w:r>
        <w:rPr>
          <w:rFonts w:hint="eastAsia" w:ascii="宋体" w:hAnsi="宋体" w:cs="宋体"/>
          <w:sz w:val="24"/>
        </w:rPr>
        <w:t>2、本项目不属于深圳市2023-2024年集中采购目录，根据《中华人民共和国政府采购法》、《深圳经济特区政府采购条例》的有关规定，友和保险经纪有限公司受深圳市前海深港现代服务业合作区管理局委托组织采购，</w:t>
      </w:r>
      <w:r>
        <w:rPr>
          <w:rFonts w:hint="eastAsia" w:ascii="宋体" w:hAnsi="宋体" w:cs="宋体"/>
          <w:b/>
          <w:bCs/>
          <w:sz w:val="24"/>
        </w:rPr>
        <w:t>本次采购公开征集供应商，报名且符合招标文件初审的供应商在三家或三家以上，采用综合评分法的方式进行。报名且符合招标文件初审的供应商不足3家而致招标失败的，按以下流程执行：</w:t>
      </w:r>
    </w:p>
    <w:p>
      <w:pPr>
        <w:snapToGrid w:val="0"/>
        <w:spacing w:line="360" w:lineRule="auto"/>
        <w:ind w:firstLine="482" w:firstLineChars="200"/>
        <w:rPr>
          <w:rFonts w:ascii="宋体" w:hAnsi="宋体" w:cs="宋体"/>
          <w:b/>
          <w:bCs/>
          <w:sz w:val="24"/>
        </w:rPr>
      </w:pPr>
      <w:r>
        <w:rPr>
          <w:rFonts w:hint="eastAsia" w:ascii="宋体" w:hAnsi="宋体" w:cs="宋体"/>
          <w:b/>
          <w:bCs/>
          <w:sz w:val="24"/>
        </w:rPr>
        <w:t>a.有效投标人为2家的，可在2家有效投标人中取得分最高者为中标供应商；</w:t>
      </w:r>
    </w:p>
    <w:p>
      <w:pPr>
        <w:snapToGrid w:val="0"/>
        <w:spacing w:line="360" w:lineRule="auto"/>
        <w:ind w:firstLine="482" w:firstLineChars="200"/>
        <w:rPr>
          <w:rFonts w:ascii="宋体" w:hAnsi="宋体" w:cs="宋体"/>
          <w:b/>
          <w:bCs/>
          <w:sz w:val="24"/>
        </w:rPr>
      </w:pPr>
      <w:r>
        <w:rPr>
          <w:rFonts w:hint="eastAsia" w:ascii="宋体" w:hAnsi="宋体" w:cs="宋体"/>
          <w:b/>
          <w:bCs/>
          <w:sz w:val="24"/>
        </w:rPr>
        <w:t>b.如参与投标且符合招标文件要求的供应商仅有1家，评审委员会应与投标供应商进行谈判，原则上成交价应为最初报价的95%。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3、本项目根据项目的实际情况，公开征集符合投标人资格的供应商。请各供应商根据本文件的要求，准备5套</w:t>
      </w:r>
      <w:r>
        <w:rPr>
          <w:rFonts w:hint="eastAsia" w:ascii="宋体" w:hAnsi="宋体" w:cs="宋体"/>
          <w:b/>
          <w:bCs/>
          <w:sz w:val="24"/>
        </w:rPr>
        <w:t>（1套正本，4套副本，U盘或者光盘，电子版文件可以使用正本盖章的扫描件）</w:t>
      </w:r>
      <w:r>
        <w:rPr>
          <w:rFonts w:hint="eastAsia" w:ascii="宋体" w:hAnsi="宋体" w:cs="宋体"/>
          <w:sz w:val="24"/>
        </w:rPr>
        <w:t>完备的资料进行投标。</w:t>
      </w:r>
    </w:p>
    <w:p>
      <w:pPr>
        <w:snapToGrid w:val="0"/>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tabs>
          <w:tab w:val="clear" w:pos="-420"/>
        </w:tabs>
        <w:snapToGrid w:val="0"/>
        <w:spacing w:line="360" w:lineRule="auto"/>
        <w:ind w:left="0" w:firstLine="480" w:firstLineChars="200"/>
        <w:rPr>
          <w:rFonts w:ascii="宋体" w:hAnsi="宋体" w:cs="宋体"/>
          <w:sz w:val="24"/>
        </w:rPr>
      </w:pPr>
      <w:r>
        <w:rPr>
          <w:rFonts w:hint="eastAsia" w:ascii="宋体" w:hAnsi="宋体" w:cs="宋体"/>
          <w:sz w:val="24"/>
        </w:rPr>
        <w:t>价格部分；</w:t>
      </w:r>
    </w:p>
    <w:p>
      <w:pPr>
        <w:numPr>
          <w:ilvl w:val="0"/>
          <w:numId w:val="4"/>
        </w:numPr>
        <w:tabs>
          <w:tab w:val="clear" w:pos="-420"/>
        </w:tabs>
        <w:snapToGrid w:val="0"/>
        <w:spacing w:line="360" w:lineRule="auto"/>
        <w:ind w:left="0" w:firstLine="480" w:firstLineChars="200"/>
        <w:rPr>
          <w:rFonts w:ascii="宋体" w:hAnsi="宋体" w:cs="宋体"/>
          <w:sz w:val="24"/>
        </w:rPr>
      </w:pPr>
      <w:r>
        <w:rPr>
          <w:rFonts w:hint="eastAsia" w:ascii="宋体" w:hAnsi="宋体" w:cs="宋体"/>
          <w:sz w:val="24"/>
        </w:rPr>
        <w:t>商务部分；</w:t>
      </w:r>
    </w:p>
    <w:p>
      <w:pPr>
        <w:numPr>
          <w:ilvl w:val="0"/>
          <w:numId w:val="4"/>
        </w:numPr>
        <w:tabs>
          <w:tab w:val="clear" w:pos="-420"/>
        </w:tabs>
        <w:snapToGrid w:val="0"/>
        <w:spacing w:line="360" w:lineRule="auto"/>
        <w:ind w:left="0"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360" w:lineRule="auto"/>
        <w:ind w:firstLine="480" w:firstLineChars="200"/>
        <w:rPr>
          <w:rFonts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9、本次采购凡涉及知识产权问题，由项目供应商负责。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10、采购人将组成评审委员会，评审工作由评审委员会独立负责。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ind w:firstLine="480" w:firstLineChars="200"/>
        <w:rPr>
          <w:rFonts w:ascii="宋体" w:hAnsi="宋体" w:cs="宋体"/>
          <w:sz w:val="24"/>
        </w:rPr>
      </w:pPr>
      <w:r>
        <w:rPr>
          <w:rFonts w:hint="eastAsia" w:ascii="宋体" w:hAnsi="宋体" w:cs="宋体"/>
          <w:sz w:val="24"/>
        </w:rPr>
        <w:t>12、采用综合评分法的情况：评审委员会将分别对供应商递交的投标文件进行评审。</w:t>
      </w:r>
    </w:p>
    <w:p>
      <w:pPr>
        <w:pStyle w:val="57"/>
        <w:snapToGrid w:val="0"/>
        <w:spacing w:line="360" w:lineRule="auto"/>
        <w:ind w:firstLine="480"/>
        <w:rPr>
          <w:rFonts w:ascii="宋体" w:hAnsi="宋体" w:cs="宋体"/>
          <w:kern w:val="2"/>
          <w:sz w:val="24"/>
          <w:szCs w:val="24"/>
        </w:rPr>
      </w:pPr>
      <w:r>
        <w:rPr>
          <w:rFonts w:hint="eastAsia" w:ascii="宋体" w:hAnsi="宋体" w:cs="宋体"/>
          <w:kern w:val="2"/>
          <w:sz w:val="24"/>
          <w:szCs w:val="24"/>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snapToGrid w:val="0"/>
        <w:spacing w:line="360" w:lineRule="auto"/>
        <w:ind w:firstLine="480" w:firstLineChars="200"/>
        <w:rPr>
          <w:rFonts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13、采用谈判的情况：评审委员会将与投标供应商进行谈判。</w:t>
      </w:r>
    </w:p>
    <w:p>
      <w:pPr>
        <w:snapToGrid w:val="0"/>
        <w:spacing w:line="360" w:lineRule="auto"/>
        <w:ind w:firstLine="480" w:firstLineChars="200"/>
        <w:rPr>
          <w:rFonts w:ascii="宋体" w:hAnsi="宋体" w:cs="宋体"/>
          <w:sz w:val="24"/>
        </w:rPr>
      </w:pPr>
      <w:r>
        <w:rPr>
          <w:rFonts w:hint="eastAsia" w:ascii="宋体" w:hAnsi="宋体" w:cs="宋体"/>
          <w:sz w:val="24"/>
        </w:rPr>
        <w:t>（1）供应商在谈判时由项目负责人与评审委员会进行谈判；</w:t>
      </w:r>
    </w:p>
    <w:p>
      <w:pPr>
        <w:snapToGrid w:val="0"/>
        <w:spacing w:line="360" w:lineRule="auto"/>
        <w:ind w:firstLine="480" w:firstLineChars="200"/>
        <w:rPr>
          <w:rFonts w:ascii="宋体" w:hAnsi="宋体" w:cs="宋体"/>
          <w:sz w:val="24"/>
        </w:rPr>
      </w:pPr>
      <w:r>
        <w:rPr>
          <w:rFonts w:hint="eastAsia" w:ascii="宋体" w:hAnsi="宋体" w:cs="宋体"/>
          <w:sz w:val="24"/>
        </w:rPr>
        <w:t>（2）原则上成交价应为最初报价的95%。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14、所有的评审/谈判内容都必须保密。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15、招标代理服务收费：</w:t>
      </w:r>
    </w:p>
    <w:p>
      <w:pPr>
        <w:snapToGrid w:val="0"/>
        <w:spacing w:line="360" w:lineRule="auto"/>
        <w:ind w:firstLine="480" w:firstLineChars="200"/>
        <w:rPr>
          <w:rFonts w:ascii="宋体" w:hAnsi="宋体" w:cs="宋体"/>
          <w:sz w:val="24"/>
        </w:rPr>
      </w:pPr>
      <w:r>
        <w:rPr>
          <w:rFonts w:hint="eastAsia" w:ascii="宋体" w:hAnsi="宋体" w:cs="宋体"/>
          <w:sz w:val="24"/>
        </w:rPr>
        <w:t>以《深圳市财政委员会关于规范深圳市社会采购代理机构管理有关事项的补充通知》（深财购〔2018〕27号）代理费用参考标准的60%按差额定率累进法进行计费，若以上计算金额小于3000元，则按3000元收取。</w:t>
      </w:r>
    </w:p>
    <w:p>
      <w:pPr>
        <w:numPr>
          <w:ilvl w:val="255"/>
          <w:numId w:val="0"/>
        </w:numPr>
        <w:adjustRightInd w:val="0"/>
        <w:snapToGrid w:val="0"/>
        <w:spacing w:line="360" w:lineRule="auto"/>
        <w:ind w:firstLine="480" w:firstLineChars="200"/>
      </w:pPr>
      <w:r>
        <w:rPr>
          <w:rFonts w:hint="eastAsia" w:ascii="宋体" w:hAnsi="宋体" w:cs="宋体"/>
          <w:sz w:val="24"/>
        </w:rPr>
        <w:t>（1）具体计取费率标准如下表所示：</w:t>
      </w:r>
    </w:p>
    <w:tbl>
      <w:tblPr>
        <w:tblStyle w:val="24"/>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开户名称：友和保险经纪有限公司</w:t>
      </w:r>
    </w:p>
    <w:p>
      <w:pPr>
        <w:spacing w:line="360" w:lineRule="auto"/>
        <w:rPr>
          <w:rFonts w:ascii="宋体" w:hAnsi="宋体" w:cs="宋体"/>
          <w:sz w:val="24"/>
        </w:rPr>
      </w:pPr>
      <w:r>
        <w:rPr>
          <w:rFonts w:hint="eastAsia" w:ascii="宋体" w:hAnsi="宋体" w:cs="宋体"/>
          <w:sz w:val="24"/>
        </w:rPr>
        <w:t>银行帐号：1806014170017592</w:t>
      </w:r>
    </w:p>
    <w:p>
      <w:pPr>
        <w:spacing w:line="360" w:lineRule="auto"/>
        <w:rPr>
          <w:rFonts w:ascii="宋体" w:hAnsi="宋体" w:cs="宋体"/>
          <w:b/>
          <w:bCs/>
          <w:sz w:val="24"/>
        </w:rPr>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开户银行：中国民生银行深圳分行福田支行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4" w:name="_Toc20176"/>
      <w:r>
        <w:rPr>
          <w:rFonts w:hint="eastAsia" w:ascii="宋体" w:hAnsi="宋体" w:cs="宋体"/>
          <w:b/>
          <w:bCs/>
          <w:sz w:val="24"/>
        </w:rPr>
        <w:t>评标程序</w:t>
      </w:r>
      <w:bookmarkEnd w:id="4"/>
    </w:p>
    <w:p>
      <w:pPr>
        <w:spacing w:line="360" w:lineRule="auto"/>
        <w:ind w:firstLine="480" w:firstLineChars="200"/>
        <w:rPr>
          <w:rFonts w:ascii="宋体" w:hAnsi="宋体" w:cs="宋体"/>
          <w:sz w:val="24"/>
        </w:rPr>
      </w:pPr>
      <w:r>
        <w:rPr>
          <w:rFonts w:hint="eastAsia" w:ascii="宋体" w:hAnsi="宋体" w:cs="宋体"/>
          <w:sz w:val="24"/>
        </w:rPr>
        <w:t>一、依法成立评审委员会。在投标截止日前由前海管理局授权代理机构在深圳市政府采购评审专家库中抽取专家，组建不少于3人（单数）的评审委员会，其中专家人数为1人，评审委员会在开标开始前一天组成。</w:t>
      </w:r>
    </w:p>
    <w:p>
      <w:pPr>
        <w:spacing w:line="360" w:lineRule="auto"/>
        <w:ind w:firstLine="480" w:firstLineChars="200"/>
        <w:rPr>
          <w:rFonts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360" w:lineRule="auto"/>
        <w:ind w:firstLine="480" w:firstLineChars="200"/>
        <w:rPr>
          <w:rFonts w:ascii="宋体" w:hAnsi="宋体" w:cs="宋体"/>
          <w:sz w:val="24"/>
        </w:rPr>
      </w:pPr>
      <w:r>
        <w:rPr>
          <w:rFonts w:hint="eastAsia" w:ascii="宋体" w:hAnsi="宋体" w:cs="宋体"/>
          <w:sz w:val="24"/>
        </w:rPr>
        <w:t>三、会议主持人：友和保险经纪有限公司工作人员 。</w:t>
      </w:r>
    </w:p>
    <w:p>
      <w:pPr>
        <w:spacing w:line="360" w:lineRule="auto"/>
        <w:ind w:firstLine="480" w:firstLineChars="200"/>
        <w:rPr>
          <w:rFonts w:ascii="宋体" w:hAnsi="宋体" w:cs="宋体"/>
          <w:sz w:val="24"/>
        </w:rPr>
      </w:pPr>
      <w:r>
        <w:rPr>
          <w:rFonts w:hint="eastAsia" w:ascii="宋体" w:hAnsi="宋体" w:cs="宋体"/>
          <w:sz w:val="24"/>
        </w:rPr>
        <w:t>四、开标时间：2023年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w:t>
      </w:r>
      <w:r>
        <w:rPr>
          <w:rFonts w:hint="eastAsia" w:ascii="宋体" w:hAnsi="宋体" w:cs="宋体"/>
          <w:sz w:val="24"/>
          <w:lang w:val="en-US" w:eastAsia="zh-CN"/>
        </w:rPr>
        <w:t>10</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0时（北京时间）。</w:t>
      </w:r>
    </w:p>
    <w:p>
      <w:pPr>
        <w:spacing w:line="360" w:lineRule="auto"/>
        <w:ind w:firstLine="480" w:firstLineChars="200"/>
        <w:rPr>
          <w:rFonts w:ascii="宋体" w:hAnsi="宋体" w:cs="宋体"/>
          <w:sz w:val="24"/>
        </w:rPr>
      </w:pPr>
      <w:r>
        <w:rPr>
          <w:rFonts w:hint="eastAsia" w:ascii="宋体" w:hAnsi="宋体" w:cs="宋体"/>
          <w:sz w:val="24"/>
        </w:rPr>
        <w:t>五、会议开始：2023年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w:t>
      </w:r>
      <w:r>
        <w:rPr>
          <w:rFonts w:hint="eastAsia" w:ascii="宋体" w:hAnsi="宋体" w:cs="宋体"/>
          <w:sz w:val="24"/>
          <w:lang w:val="en-US" w:eastAsia="zh-CN"/>
        </w:rPr>
        <w:t>10</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0时（北京时间）由会议主持人宣布定标会议开始。会议地点：前海管理局会议室。</w:t>
      </w:r>
    </w:p>
    <w:p>
      <w:pPr>
        <w:spacing w:line="360" w:lineRule="auto"/>
        <w:ind w:firstLine="480" w:firstLineChars="200"/>
        <w:rPr>
          <w:rFonts w:ascii="宋体" w:hAnsi="宋体" w:cs="宋体"/>
          <w:sz w:val="24"/>
        </w:rPr>
      </w:pPr>
      <w:r>
        <w:rPr>
          <w:rFonts w:hint="eastAsia" w:ascii="宋体" w:hAnsi="宋体" w:cs="宋体"/>
          <w:sz w:val="24"/>
        </w:rPr>
        <w:t>六、项目负责代表向采购代理机构代表送交投标文件，监督部门代表确认投标文件密封完整，未密封投标文件将作为投标无效处理。</w:t>
      </w:r>
    </w:p>
    <w:p>
      <w:pPr>
        <w:spacing w:line="360" w:lineRule="auto"/>
        <w:ind w:firstLine="480" w:firstLineChars="200"/>
        <w:rPr>
          <w:rFonts w:ascii="宋体" w:hAnsi="宋体" w:cs="宋体"/>
          <w:sz w:val="24"/>
        </w:rPr>
      </w:pPr>
      <w:r>
        <w:rPr>
          <w:rFonts w:hint="eastAsia" w:ascii="宋体" w:hAnsi="宋体" w:cs="宋体"/>
          <w:sz w:val="24"/>
        </w:rPr>
        <w:t>七、由采购代理机构代表现场拆封投标文件，并分发给评审委员会成员。</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360" w:lineRule="auto"/>
        <w:ind w:firstLine="480" w:firstLineChars="200"/>
        <w:rPr>
          <w:rFonts w:ascii="宋体" w:hAnsi="宋体" w:cs="宋体"/>
          <w:sz w:val="24"/>
        </w:rPr>
      </w:pPr>
      <w:r>
        <w:rPr>
          <w:rFonts w:hint="eastAsia" w:ascii="宋体" w:hAnsi="宋体" w:cs="宋体"/>
          <w:sz w:val="24"/>
        </w:rPr>
        <w:t>九、评审委员会按以下工作程序进行：</w:t>
      </w:r>
    </w:p>
    <w:p>
      <w:pPr>
        <w:spacing w:line="360" w:lineRule="auto"/>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360" w:lineRule="auto"/>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采用谈判的情况：评审委员会将与投标供应商进行谈判。</w:t>
      </w:r>
    </w:p>
    <w:p>
      <w:pPr>
        <w:spacing w:line="360" w:lineRule="auto"/>
        <w:ind w:firstLine="480" w:firstLineChars="200"/>
        <w:rPr>
          <w:rFonts w:ascii="宋体" w:hAnsi="宋体" w:cs="宋体"/>
          <w:sz w:val="24"/>
        </w:rPr>
      </w:pPr>
      <w:r>
        <w:rPr>
          <w:rFonts w:hint="eastAsia" w:ascii="宋体" w:hAnsi="宋体" w:cs="宋体"/>
          <w:sz w:val="24"/>
        </w:rPr>
        <w:t>5.1 供应商在谈判时由项目负责人与评审委员会进行谈判；</w:t>
      </w:r>
    </w:p>
    <w:p>
      <w:pPr>
        <w:spacing w:line="360" w:lineRule="auto"/>
        <w:ind w:firstLine="480" w:firstLineChars="200"/>
        <w:rPr>
          <w:rFonts w:ascii="宋体" w:hAnsi="宋体" w:cs="宋体"/>
          <w:sz w:val="24"/>
        </w:rPr>
      </w:pPr>
      <w:r>
        <w:rPr>
          <w:rFonts w:hint="eastAsia" w:ascii="宋体" w:hAnsi="宋体" w:cs="宋体"/>
          <w:sz w:val="24"/>
        </w:rPr>
        <w:t>5.2 原则上成交价应为最初报价的95%。</w:t>
      </w:r>
    </w:p>
    <w:p>
      <w:pPr>
        <w:spacing w:line="360" w:lineRule="auto"/>
        <w:ind w:firstLine="480" w:firstLineChars="200"/>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400" w:lineRule="exact"/>
        <w:ind w:firstLine="480" w:firstLineChars="200"/>
        <w:rPr>
          <w:rFonts w:ascii="宋体" w:hAnsi="宋体" w:cs="宋体"/>
          <w:sz w:val="24"/>
        </w:rPr>
      </w:pPr>
      <w:r>
        <w:rPr>
          <w:rFonts w:hint="eastAsia" w:ascii="宋体" w:hAnsi="宋体" w:cs="宋体"/>
          <w:sz w:val="24"/>
        </w:rPr>
        <w:t>十、根据本次采购的结果，</w:t>
      </w:r>
      <w:r>
        <w:rPr>
          <w:rFonts w:ascii="宋体" w:hAnsi="宋体" w:cs="宋体"/>
          <w:sz w:val="24"/>
        </w:rPr>
        <w:t>采购人</w:t>
      </w:r>
      <w:r>
        <w:rPr>
          <w:rFonts w:hint="eastAsia" w:ascii="宋体" w:hAnsi="宋体" w:cs="宋体"/>
          <w:sz w:val="24"/>
        </w:rPr>
        <w:t>自成交通知书发出之日起10个工作日内与中标供应商签订合同。</w:t>
      </w:r>
    </w:p>
    <w:p>
      <w:pPr>
        <w:spacing w:line="360" w:lineRule="auto"/>
        <w:ind w:firstLine="480" w:firstLineChars="200"/>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10"/>
        <w:rPr>
          <w:rFonts w:ascii="宋体" w:hAnsi="宋体" w:cs="宋体"/>
        </w:rPr>
      </w:pPr>
      <w:r>
        <w:rPr>
          <w:rFonts w:hint="eastAsia"/>
        </w:rPr>
        <w:br w:type="page"/>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3567"/>
      <w:r>
        <w:rPr>
          <w:rFonts w:hint="eastAsia" w:ascii="宋体" w:hAnsi="宋体" w:cs="宋体"/>
          <w:b/>
          <w:bCs/>
          <w:sz w:val="24"/>
        </w:rPr>
        <w:t>合同格式及合同条款</w:t>
      </w:r>
      <w:bookmarkEnd w:id="5"/>
    </w:p>
    <w:p>
      <w:pPr>
        <w:spacing w:line="360" w:lineRule="auto"/>
        <w:ind w:firstLine="470" w:firstLineChars="196"/>
        <w:jc w:val="center"/>
        <w:rPr>
          <w:rFonts w:ascii="宋体" w:hAnsi="宋体" w:cs="宋体"/>
          <w:sz w:val="24"/>
        </w:rPr>
      </w:pPr>
      <w:bookmarkStart w:id="6" w:name="_Toc73521592"/>
      <w:bookmarkStart w:id="7" w:name="_Toc73521680"/>
      <w:bookmarkStart w:id="8" w:name="_Toc84303603"/>
      <w:bookmarkStart w:id="9" w:name="_Toc101074886"/>
      <w:bookmarkStart w:id="10" w:name="_Toc100052414"/>
      <w:bookmarkStart w:id="11" w:name="_Toc73517685"/>
      <w:bookmarkStart w:id="12" w:name="_Toc73518163"/>
      <w:r>
        <w:rPr>
          <w:rFonts w:hint="eastAsia" w:ascii="宋体" w:hAnsi="宋体" w:cs="宋体"/>
          <w:sz w:val="24"/>
        </w:rPr>
        <w:t>（合同格式仅供参考）</w:t>
      </w:r>
    </w:p>
    <w:bookmarkEnd w:id="6"/>
    <w:bookmarkEnd w:id="7"/>
    <w:bookmarkEnd w:id="8"/>
    <w:bookmarkEnd w:id="9"/>
    <w:bookmarkEnd w:id="10"/>
    <w:bookmarkEnd w:id="11"/>
    <w:bookmarkEnd w:id="12"/>
    <w:p>
      <w:pPr>
        <w:pStyle w:val="57"/>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合同编号（甲方）：            </w:t>
      </w:r>
    </w:p>
    <w:p>
      <w:pPr>
        <w:pStyle w:val="57"/>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合同编号（乙方）：            </w:t>
      </w:r>
    </w:p>
    <w:p>
      <w:pPr>
        <w:pStyle w:val="57"/>
        <w:spacing w:line="360" w:lineRule="auto"/>
        <w:ind w:left="1470" w:right="1470" w:firstLine="482"/>
        <w:jc w:val="center"/>
        <w:rPr>
          <w:rFonts w:ascii="宋体" w:hAnsi="宋体" w:cs="宋体"/>
          <w:b/>
          <w:sz w:val="24"/>
          <w:szCs w:val="24"/>
        </w:rPr>
      </w:pPr>
    </w:p>
    <w:p>
      <w:pPr>
        <w:pStyle w:val="5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5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rPr>
        <w:t>前海管理局2023-2024年度法律专务服务项目</w:t>
      </w:r>
    </w:p>
    <w:p>
      <w:pPr>
        <w:spacing w:line="360" w:lineRule="auto"/>
        <w:jc w:val="center"/>
        <w:rPr>
          <w:rFonts w:ascii="宋体" w:hAnsi="宋体" w:cs="宋体"/>
          <w:b/>
          <w:sz w:val="28"/>
          <w:szCs w:val="28"/>
        </w:rPr>
      </w:pPr>
      <w:r>
        <w:rPr>
          <w:rFonts w:hint="eastAsia" w:ascii="宋体" w:hAnsi="宋体" w:cs="宋体"/>
          <w:b/>
          <w:sz w:val="28"/>
          <w:szCs w:val="28"/>
        </w:rPr>
        <w:t>委托合同</w:t>
      </w:r>
    </w:p>
    <w:p>
      <w:pPr>
        <w:spacing w:line="360" w:lineRule="auto"/>
        <w:rPr>
          <w:rFonts w:ascii="宋体" w:hAnsi="宋体" w:cs="宋体"/>
          <w:sz w:val="24"/>
        </w:rPr>
      </w:pPr>
      <w:r>
        <w:rPr>
          <w:rFonts w:hint="eastAsia" w:ascii="宋体" w:hAnsi="宋体" w:cs="宋体"/>
          <w:sz w:val="24"/>
        </w:rPr>
        <w:t xml:space="preserve"> </w:t>
      </w:r>
    </w:p>
    <w:p>
      <w:pPr>
        <w:pStyle w:val="57"/>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pStyle w:val="57"/>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前海管理局2023-2024年度法律专务服务项目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二〇二三年  月</w:t>
      </w:r>
    </w:p>
    <w:p>
      <w:pPr>
        <w:spacing w:line="360" w:lineRule="auto"/>
        <w:jc w:val="center"/>
        <w:rPr>
          <w:rFonts w:ascii="宋体" w:hAnsi="宋体" w:cs="宋体"/>
          <w:sz w:val="24"/>
        </w:rPr>
      </w:pPr>
      <w:r>
        <w:rPr>
          <w:rFonts w:hint="eastAsia" w:ascii="宋体" w:hAnsi="宋体" w:cs="宋体"/>
          <w:sz w:val="24"/>
        </w:rPr>
        <w:t>本合同共  页（不含封面）</w:t>
      </w:r>
    </w:p>
    <w:p>
      <w:pPr>
        <w:spacing w:line="360" w:lineRule="auto"/>
        <w:ind w:firstLine="482" w:firstLineChars="200"/>
        <w:rPr>
          <w:rFonts w:ascii="宋体" w:hAnsi="宋体" w:cs="宋体"/>
          <w:b/>
          <w:bCs/>
          <w:sz w:val="24"/>
        </w:rPr>
      </w:pPr>
      <w:r>
        <w:rPr>
          <w:rFonts w:hint="eastAsia" w:ascii="宋体" w:hAnsi="宋体" w:cs="宋体"/>
          <w:b/>
          <w:bCs/>
          <w:sz w:val="24"/>
        </w:rPr>
        <w:br w:type="page"/>
      </w:r>
    </w:p>
    <w:p>
      <w:pPr>
        <w:pStyle w:val="23"/>
        <w:ind w:firstLine="241"/>
        <w:rPr>
          <w:rFonts w:ascii="宋体" w:hAnsi="宋体" w:cs="宋体"/>
          <w:b/>
          <w:bCs/>
        </w:rPr>
      </w:pPr>
    </w:p>
    <w:p>
      <w:pPr>
        <w:adjustRightInd w:val="0"/>
        <w:snapToGrid w:val="0"/>
        <w:spacing w:line="440" w:lineRule="exact"/>
        <w:rPr>
          <w:rFonts w:ascii="黑体" w:hAnsi="黑体" w:eastAsia="黑体"/>
          <w:b/>
          <w:bCs/>
          <w:sz w:val="24"/>
        </w:rPr>
      </w:pPr>
      <w:r>
        <w:rPr>
          <w:rFonts w:hint="eastAsia" w:ascii="黑体" w:hAnsi="黑体" w:eastAsia="黑体"/>
          <w:b/>
          <w:bCs/>
          <w:sz w:val="24"/>
        </w:rPr>
        <w:t>甲方（聘请</w:t>
      </w:r>
      <w:r>
        <w:rPr>
          <w:rFonts w:ascii="黑体" w:hAnsi="黑体" w:eastAsia="黑体"/>
          <w:b/>
          <w:bCs/>
          <w:sz w:val="24"/>
        </w:rPr>
        <w:t>方</w:t>
      </w:r>
      <w:r>
        <w:rPr>
          <w:rFonts w:hint="eastAsia" w:ascii="黑体" w:hAnsi="黑体" w:eastAsia="黑体"/>
          <w:b/>
          <w:bCs/>
          <w:sz w:val="24"/>
        </w:rPr>
        <w:t>）</w:t>
      </w:r>
      <w:r>
        <w:rPr>
          <w:rFonts w:hint="eastAsia" w:ascii="黑体" w:hAnsi="黑体" w:eastAsia="黑体"/>
          <w:b/>
          <w:bCs/>
          <w:sz w:val="24"/>
          <w:lang w:val="en-GB"/>
        </w:rPr>
        <w:t>：</w:t>
      </w:r>
      <w:r>
        <w:rPr>
          <w:rFonts w:hint="eastAsia" w:ascii="黑体" w:hAnsi="黑体" w:eastAsia="黑体"/>
          <w:b/>
          <w:sz w:val="24"/>
          <w:u w:val="single"/>
          <w:lang w:val="en-GB"/>
        </w:rPr>
        <w:t>深圳市前海深港现代服务业合作区管理局</w:t>
      </w:r>
    </w:p>
    <w:p>
      <w:pPr>
        <w:adjustRightInd w:val="0"/>
        <w:snapToGrid w:val="0"/>
        <w:spacing w:line="440" w:lineRule="exact"/>
        <w:rPr>
          <w:rFonts w:ascii="宋体" w:hAnsi="宋体"/>
          <w:sz w:val="24"/>
          <w:lang w:val="en-GB"/>
        </w:rPr>
      </w:pPr>
      <w:r>
        <w:rPr>
          <w:rFonts w:hint="eastAsia" w:ascii="宋体" w:hAnsi="宋体"/>
          <w:bCs/>
          <w:sz w:val="24"/>
        </w:rPr>
        <w:t>法定代表人：</w:t>
      </w:r>
      <w:r>
        <w:rPr>
          <w:rFonts w:hint="eastAsia" w:ascii="宋体" w:hAnsi="宋体"/>
          <w:bCs/>
          <w:sz w:val="24"/>
          <w:u w:val="single"/>
        </w:rPr>
        <w:t xml:space="preserve">           </w:t>
      </w:r>
    </w:p>
    <w:p>
      <w:pPr>
        <w:adjustRightInd w:val="0"/>
        <w:snapToGrid w:val="0"/>
        <w:spacing w:line="440" w:lineRule="exact"/>
        <w:rPr>
          <w:rFonts w:ascii="宋体" w:hAnsi="宋体"/>
          <w:bCs/>
          <w:sz w:val="24"/>
        </w:rPr>
      </w:pPr>
      <w:r>
        <w:rPr>
          <w:rFonts w:hint="eastAsia" w:ascii="宋体" w:hAnsi="宋体"/>
          <w:bCs/>
          <w:sz w:val="24"/>
        </w:rPr>
        <w:t>住所：</w:t>
      </w:r>
      <w:r>
        <w:rPr>
          <w:rFonts w:hint="eastAsia" w:ascii="宋体" w:hAnsi="宋体"/>
          <w:sz w:val="24"/>
          <w:u w:val="single"/>
        </w:rPr>
        <w:t xml:space="preserve">                                            </w:t>
      </w:r>
    </w:p>
    <w:p>
      <w:pPr>
        <w:adjustRightInd w:val="0"/>
        <w:snapToGrid w:val="0"/>
        <w:spacing w:line="500" w:lineRule="exact"/>
        <w:rPr>
          <w:rFonts w:ascii="仿宋_GB2312" w:hAnsi="宋体" w:eastAsia="仿宋_GB2312"/>
          <w:bCs/>
          <w:sz w:val="28"/>
          <w:szCs w:val="28"/>
        </w:rPr>
      </w:pPr>
    </w:p>
    <w:p>
      <w:pPr>
        <w:adjustRightInd w:val="0"/>
        <w:snapToGrid w:val="0"/>
        <w:spacing w:line="440" w:lineRule="exact"/>
        <w:rPr>
          <w:rFonts w:ascii="黑体" w:hAnsi="黑体" w:eastAsia="黑体"/>
          <w:b/>
          <w:bCs/>
          <w:sz w:val="24"/>
        </w:rPr>
      </w:pPr>
      <w:r>
        <w:rPr>
          <w:rFonts w:hint="eastAsia" w:ascii="黑体" w:hAnsi="黑体" w:eastAsia="黑体"/>
          <w:b/>
          <w:bCs/>
          <w:sz w:val="24"/>
        </w:rPr>
        <w:t>乙方（受聘方）：</w:t>
      </w:r>
      <w:r>
        <w:rPr>
          <w:rFonts w:ascii="黑体" w:hAnsi="黑体" w:eastAsia="黑体"/>
          <w:b/>
          <w:bCs/>
          <w:sz w:val="24"/>
        </w:rPr>
        <w:t xml:space="preserve"> </w:t>
      </w:r>
    </w:p>
    <w:p>
      <w:pPr>
        <w:adjustRightInd w:val="0"/>
        <w:snapToGrid w:val="0"/>
        <w:spacing w:line="440" w:lineRule="exact"/>
        <w:rPr>
          <w:rFonts w:ascii="宋体" w:hAnsi="宋体"/>
          <w:bCs/>
          <w:sz w:val="24"/>
        </w:rPr>
      </w:pPr>
      <w:r>
        <w:rPr>
          <w:rFonts w:hint="eastAsia" w:ascii="宋体" w:hAnsi="宋体"/>
          <w:bCs/>
          <w:sz w:val="24"/>
        </w:rPr>
        <w:t>负责人</w:t>
      </w:r>
      <w:r>
        <w:rPr>
          <w:rFonts w:ascii="宋体" w:hAnsi="宋体"/>
          <w:bCs/>
          <w:sz w:val="24"/>
        </w:rPr>
        <w:t>：</w:t>
      </w:r>
      <w:r>
        <w:rPr>
          <w:rFonts w:hint="eastAsia" w:ascii="宋体" w:hAnsi="宋体"/>
          <w:bCs/>
          <w:sz w:val="24"/>
          <w:u w:val="single"/>
        </w:rPr>
        <w:t xml:space="preserve">           </w:t>
      </w:r>
    </w:p>
    <w:p>
      <w:pPr>
        <w:adjustRightInd w:val="0"/>
        <w:snapToGrid w:val="0"/>
        <w:spacing w:line="440" w:lineRule="exact"/>
        <w:rPr>
          <w:rFonts w:ascii="宋体" w:hAnsi="宋体"/>
          <w:bCs/>
          <w:sz w:val="24"/>
        </w:rPr>
      </w:pPr>
      <w:r>
        <w:rPr>
          <w:rFonts w:hint="eastAsia" w:ascii="宋体" w:hAnsi="宋体"/>
          <w:bCs/>
          <w:sz w:val="24"/>
        </w:rPr>
        <w:t>住所：</w:t>
      </w:r>
      <w:r>
        <w:rPr>
          <w:rFonts w:hint="eastAsia" w:ascii="宋体" w:hAnsi="宋体"/>
          <w:bCs/>
          <w:sz w:val="24"/>
          <w:u w:val="single"/>
        </w:rPr>
        <w:t xml:space="preserve">                                              </w:t>
      </w:r>
      <w:r>
        <w:rPr>
          <w:rFonts w:ascii="宋体" w:hAnsi="宋体"/>
          <w:bCs/>
          <w:sz w:val="24"/>
          <w:u w:val="single"/>
        </w:rPr>
        <w:t xml:space="preserve"> </w:t>
      </w:r>
    </w:p>
    <w:p>
      <w:pPr>
        <w:adjustRightInd w:val="0"/>
        <w:snapToGrid w:val="0"/>
        <w:spacing w:line="500" w:lineRule="exact"/>
        <w:rPr>
          <w:rFonts w:ascii="仿宋_GB2312" w:hAnsi="宋体" w:eastAsia="仿宋_GB2312"/>
          <w:sz w:val="28"/>
          <w:szCs w:val="28"/>
        </w:rPr>
      </w:pPr>
    </w:p>
    <w:p>
      <w:pPr>
        <w:adjustRightInd w:val="0"/>
        <w:snapToGrid w:val="0"/>
        <w:spacing w:before="156" w:beforeLines="50" w:line="500" w:lineRule="exact"/>
        <w:rPr>
          <w:rFonts w:hAnsi="宋体"/>
          <w:b/>
          <w:sz w:val="24"/>
        </w:rPr>
      </w:pPr>
      <w:r>
        <w:rPr>
          <w:rFonts w:hint="eastAsia" w:hAnsi="宋体"/>
          <w:b/>
          <w:sz w:val="24"/>
        </w:rPr>
        <w:t>鉴于：</w:t>
      </w:r>
    </w:p>
    <w:p>
      <w:pPr>
        <w:pStyle w:val="12"/>
        <w:adjustRightInd w:val="0"/>
        <w:snapToGrid w:val="0"/>
        <w:spacing w:before="156" w:beforeLines="50" w:line="360" w:lineRule="exact"/>
        <w:ind w:firstLine="480" w:firstLineChars="200"/>
        <w:rPr>
          <w:rFonts w:hAnsi="宋体"/>
          <w:sz w:val="24"/>
        </w:rPr>
      </w:pPr>
      <w:r>
        <w:rPr>
          <w:rFonts w:hint="eastAsia" w:hAnsi="宋体"/>
          <w:sz w:val="24"/>
        </w:rPr>
        <w:t>甲方是在深圳市人民政府领导下，依照《深圳经济特区前海深港现代服务业合作区条例》设立的前海深港现代服务业合作区（下称“前海合作区”）法定机构，履行前海合作区开发建设、运营管理、产业发展、法治建设、社会建设促进等相关行政管理和公共服务职责。</w:t>
      </w:r>
    </w:p>
    <w:p>
      <w:pPr>
        <w:pStyle w:val="12"/>
        <w:adjustRightInd w:val="0"/>
        <w:snapToGrid w:val="0"/>
        <w:spacing w:before="156" w:beforeLines="50" w:line="360" w:lineRule="exact"/>
        <w:ind w:firstLine="480" w:firstLineChars="200"/>
        <w:rPr>
          <w:rFonts w:hAnsi="宋体"/>
          <w:sz w:val="24"/>
        </w:rPr>
      </w:pPr>
      <w:r>
        <w:rPr>
          <w:rFonts w:hint="eastAsia" w:hAnsi="宋体"/>
          <w:sz w:val="24"/>
        </w:rPr>
        <w:t>乙方是</w:t>
      </w:r>
    </w:p>
    <w:p>
      <w:pPr>
        <w:adjustRightInd w:val="0"/>
        <w:snapToGrid w:val="0"/>
        <w:spacing w:before="50" w:line="360" w:lineRule="exact"/>
        <w:ind w:firstLine="480" w:firstLineChars="200"/>
        <w:rPr>
          <w:rFonts w:ascii="宋体" w:hAnsi="宋体"/>
          <w:sz w:val="24"/>
        </w:rPr>
      </w:pPr>
      <w:r>
        <w:rPr>
          <w:rFonts w:ascii="宋体" w:hAnsi="宋体"/>
          <w:sz w:val="24"/>
        </w:rPr>
        <w:t>根据《</w:t>
      </w:r>
      <w:r>
        <w:rPr>
          <w:rFonts w:hint="eastAsia" w:ascii="宋体" w:hAnsi="宋体"/>
          <w:sz w:val="24"/>
        </w:rPr>
        <w:t>中华</w:t>
      </w:r>
      <w:r>
        <w:rPr>
          <w:rFonts w:ascii="宋体" w:hAnsi="宋体"/>
          <w:sz w:val="24"/>
        </w:rPr>
        <w:t>人民共和国民法典》</w:t>
      </w:r>
      <w:r>
        <w:rPr>
          <w:rFonts w:hint="eastAsia" w:ascii="宋体" w:hAnsi="宋体"/>
          <w:sz w:val="24"/>
        </w:rPr>
        <w:t>等</w:t>
      </w:r>
      <w:r>
        <w:rPr>
          <w:rFonts w:ascii="宋体" w:hAnsi="宋体"/>
          <w:sz w:val="24"/>
        </w:rPr>
        <w:t>相关法律、法规的规定，</w:t>
      </w:r>
      <w:r>
        <w:rPr>
          <w:rFonts w:hint="eastAsia" w:ascii="宋体" w:hAnsi="宋体"/>
          <w:sz w:val="24"/>
        </w:rPr>
        <w:t>经友好协商，甲乙</w:t>
      </w:r>
      <w:r>
        <w:rPr>
          <w:rFonts w:ascii="宋体" w:hAnsi="宋体"/>
          <w:sz w:val="24"/>
        </w:rPr>
        <w:t>双方就甲方</w:t>
      </w:r>
      <w:r>
        <w:rPr>
          <w:rFonts w:hint="eastAsia" w:ascii="宋体" w:hAnsi="宋体"/>
          <w:sz w:val="24"/>
        </w:rPr>
        <w:t>委托</w:t>
      </w:r>
      <w:r>
        <w:rPr>
          <w:rFonts w:ascii="宋体" w:hAnsi="宋体"/>
          <w:sz w:val="24"/>
        </w:rPr>
        <w:t>乙方</w:t>
      </w:r>
      <w:r>
        <w:rPr>
          <w:rFonts w:hint="eastAsia" w:ascii="宋体" w:hAnsi="宋体"/>
          <w:sz w:val="24"/>
        </w:rPr>
        <w:t>提供前海管理局2023-2024年度</w:t>
      </w:r>
      <w:r>
        <w:rPr>
          <w:rFonts w:ascii="宋体" w:hAnsi="宋体"/>
          <w:sz w:val="24"/>
        </w:rPr>
        <w:t>法律专务</w:t>
      </w:r>
      <w:r>
        <w:rPr>
          <w:rFonts w:hint="eastAsia" w:ascii="宋体" w:hAnsi="宋体"/>
          <w:sz w:val="24"/>
        </w:rPr>
        <w:t>服务（以下</w:t>
      </w:r>
      <w:r>
        <w:rPr>
          <w:rFonts w:ascii="宋体" w:hAnsi="宋体"/>
          <w:sz w:val="24"/>
        </w:rPr>
        <w:t>简称“</w:t>
      </w:r>
      <w:r>
        <w:rPr>
          <w:rFonts w:hint="eastAsia" w:ascii="宋体" w:hAnsi="宋体"/>
          <w:sz w:val="24"/>
        </w:rPr>
        <w:t>法律服务</w:t>
      </w:r>
      <w:r>
        <w:rPr>
          <w:rFonts w:ascii="宋体" w:hAnsi="宋体"/>
          <w:sz w:val="24"/>
        </w:rPr>
        <w:t>”</w:t>
      </w:r>
      <w:r>
        <w:rPr>
          <w:rFonts w:hint="eastAsia" w:ascii="宋体" w:hAnsi="宋体"/>
          <w:sz w:val="24"/>
        </w:rPr>
        <w:t>）事宜</w:t>
      </w:r>
      <w:r>
        <w:rPr>
          <w:rFonts w:ascii="宋体" w:hAnsi="宋体"/>
          <w:sz w:val="24"/>
        </w:rPr>
        <w:t>达成一致，</w:t>
      </w:r>
      <w:r>
        <w:rPr>
          <w:rFonts w:hint="eastAsia" w:ascii="宋体" w:hAnsi="宋体"/>
          <w:sz w:val="24"/>
        </w:rPr>
        <w:t>约定如下条款，共同遵照执行。</w:t>
      </w:r>
    </w:p>
    <w:p>
      <w:pPr>
        <w:numPr>
          <w:ilvl w:val="0"/>
          <w:numId w:val="6"/>
        </w:numPr>
        <w:spacing w:before="312" w:beforeLines="100" w:line="360" w:lineRule="exact"/>
        <w:ind w:left="1134" w:hanging="1134"/>
        <w:rPr>
          <w:rFonts w:ascii="黑体" w:hAnsi="黑体" w:eastAsia="黑体"/>
          <w:b/>
          <w:bCs/>
          <w:sz w:val="24"/>
        </w:rPr>
      </w:pPr>
      <w:r>
        <w:rPr>
          <w:rFonts w:hint="eastAsia" w:ascii="黑体" w:hAnsi="黑体" w:eastAsia="黑体"/>
          <w:b/>
          <w:bCs/>
          <w:sz w:val="24"/>
        </w:rPr>
        <w:t>法律服务人员</w:t>
      </w:r>
    </w:p>
    <w:p>
      <w:pPr>
        <w:numPr>
          <w:ilvl w:val="1"/>
          <w:numId w:val="7"/>
        </w:numPr>
        <w:adjustRightInd w:val="0"/>
        <w:snapToGrid w:val="0"/>
        <w:spacing w:before="156" w:beforeLines="50" w:line="360" w:lineRule="exact"/>
        <w:ind w:hanging="840"/>
        <w:rPr>
          <w:rFonts w:ascii="宋体" w:hAnsi="宋体"/>
          <w:sz w:val="24"/>
        </w:rPr>
      </w:pPr>
      <w:r>
        <w:rPr>
          <w:rFonts w:hint="eastAsia" w:ascii="宋体" w:hAnsi="宋体"/>
          <w:sz w:val="24"/>
        </w:rPr>
        <w:t>甲方同意乙方委派</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律师作为服务团队负责律师。</w:t>
      </w:r>
      <w:r>
        <w:rPr>
          <w:rFonts w:hint="eastAsia" w:ascii="宋体" w:hAnsi="宋体" w:cs="Arial"/>
          <w:sz w:val="24"/>
        </w:rPr>
        <w:t>如乙方因合理原因需临时变更顾问律师团队负责人，应事先征得甲方书面同意，且接替的律师团队负责人应至少与原负责人具有同等资历与资格。</w:t>
      </w:r>
    </w:p>
    <w:p>
      <w:pPr>
        <w:numPr>
          <w:ilvl w:val="1"/>
          <w:numId w:val="7"/>
        </w:numPr>
        <w:adjustRightInd w:val="0"/>
        <w:snapToGrid w:val="0"/>
        <w:spacing w:before="156" w:beforeLines="50" w:line="360" w:lineRule="exact"/>
        <w:ind w:hanging="840"/>
        <w:rPr>
          <w:rFonts w:ascii="宋体" w:hAnsi="宋体"/>
          <w:sz w:val="24"/>
        </w:rPr>
      </w:pPr>
      <w:r>
        <w:rPr>
          <w:rFonts w:hint="eastAsia" w:ascii="宋体" w:hAnsi="宋体"/>
          <w:sz w:val="24"/>
        </w:rPr>
        <w:t>乙方应派驻三名律师或律师助理至</w:t>
      </w:r>
      <w:r>
        <w:rPr>
          <w:rFonts w:ascii="宋体" w:hAnsi="宋体"/>
          <w:sz w:val="24"/>
        </w:rPr>
        <w:t>甲方指定地点</w:t>
      </w:r>
      <w:r>
        <w:rPr>
          <w:rFonts w:hint="eastAsia" w:ascii="宋体" w:hAnsi="宋体"/>
          <w:sz w:val="24"/>
        </w:rPr>
        <w:t>提供法律专务服务。原则上，本合同服务期内乙方不得变更派驻人员。如派驻人员因故无法履行其</w:t>
      </w:r>
      <w:r>
        <w:rPr>
          <w:rFonts w:ascii="宋体" w:hAnsi="宋体"/>
          <w:sz w:val="24"/>
        </w:rPr>
        <w:t>职责时</w:t>
      </w:r>
      <w:r>
        <w:rPr>
          <w:rFonts w:hint="eastAsia" w:ascii="宋体" w:hAnsi="宋体"/>
          <w:sz w:val="24"/>
        </w:rPr>
        <w:t>，乙方应提前30天通知甲方并征得甲方同意，且接替的派驻人员至少与原派驻人员具有同等资历与资格。</w:t>
      </w:r>
    </w:p>
    <w:p>
      <w:pPr>
        <w:numPr>
          <w:ilvl w:val="1"/>
          <w:numId w:val="7"/>
        </w:numPr>
        <w:adjustRightInd w:val="0"/>
        <w:snapToGrid w:val="0"/>
        <w:spacing w:before="156" w:beforeLines="50" w:line="360" w:lineRule="exact"/>
        <w:ind w:hanging="840"/>
        <w:rPr>
          <w:rFonts w:ascii="宋体" w:hAnsi="宋体"/>
          <w:sz w:val="24"/>
        </w:rPr>
      </w:pPr>
      <w:r>
        <w:rPr>
          <w:rFonts w:hint="eastAsia" w:ascii="宋体" w:hAnsi="宋体"/>
          <w:sz w:val="24"/>
        </w:rPr>
        <w:t>如双方无法就接替的律师团队负责人或派驻人员人选达成一致，可协商解除本合同。</w:t>
      </w:r>
    </w:p>
    <w:p>
      <w:pPr>
        <w:numPr>
          <w:ilvl w:val="1"/>
          <w:numId w:val="7"/>
        </w:numPr>
        <w:adjustRightInd w:val="0"/>
        <w:snapToGrid w:val="0"/>
        <w:spacing w:before="156" w:beforeLines="50" w:line="360" w:lineRule="exact"/>
        <w:ind w:hanging="840"/>
        <w:rPr>
          <w:rFonts w:ascii="宋体" w:hAnsi="宋体"/>
          <w:sz w:val="24"/>
        </w:rPr>
      </w:pPr>
      <w:r>
        <w:rPr>
          <w:rFonts w:hint="eastAsia" w:ascii="宋体" w:hAnsi="宋体"/>
          <w:sz w:val="24"/>
        </w:rPr>
        <w:t>乙方律师团队：</w:t>
      </w:r>
    </w:p>
    <w:p>
      <w:pPr>
        <w:adjustRightInd w:val="0"/>
        <w:snapToGrid w:val="0"/>
        <w:spacing w:before="156" w:beforeLines="50" w:line="360" w:lineRule="exact"/>
        <w:ind w:left="778"/>
        <w:rPr>
          <w:rFonts w:ascii="宋体" w:hAnsi="宋体"/>
          <w:sz w:val="24"/>
        </w:rPr>
      </w:pPr>
      <w:r>
        <w:rPr>
          <w:rFonts w:hint="eastAsia" w:ascii="宋体" w:hAnsi="宋体"/>
          <w:sz w:val="24"/>
        </w:rPr>
        <w:t>负责人：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adjustRightInd w:val="0"/>
        <w:snapToGrid w:val="0"/>
        <w:spacing w:before="156" w:beforeLines="50" w:line="360" w:lineRule="exact"/>
        <w:ind w:left="778"/>
        <w:rPr>
          <w:rFonts w:ascii="宋体" w:hAnsi="宋体"/>
          <w:sz w:val="24"/>
          <w:u w:val="single"/>
        </w:rPr>
      </w:pPr>
      <w:r>
        <w:rPr>
          <w:rFonts w:hint="eastAsia" w:ascii="宋体" w:hAnsi="宋体"/>
          <w:sz w:val="24"/>
        </w:rPr>
        <w:t>乙方指定联系人为：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，联系电话：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adjustRightInd w:val="0"/>
        <w:snapToGrid w:val="0"/>
        <w:spacing w:before="156" w:beforeLines="50" w:line="360" w:lineRule="exact"/>
        <w:ind w:left="778"/>
        <w:rPr>
          <w:rFonts w:ascii="宋体" w:hAnsi="宋体"/>
          <w:sz w:val="24"/>
        </w:rPr>
      </w:pPr>
      <w:r>
        <w:rPr>
          <w:rFonts w:hint="eastAsia" w:ascii="宋体" w:hAnsi="宋体"/>
          <w:sz w:val="24"/>
        </w:rPr>
        <w:t>乙方律师团队其他成员与派驻人员信息情况表作为本合同附件，附件与本合同具有同等法律效力。</w:t>
      </w:r>
    </w:p>
    <w:p>
      <w:pPr>
        <w:numPr>
          <w:ilvl w:val="1"/>
          <w:numId w:val="7"/>
        </w:numPr>
        <w:adjustRightInd w:val="0"/>
        <w:snapToGrid w:val="0"/>
        <w:spacing w:before="156" w:beforeLines="50" w:line="360" w:lineRule="exact"/>
        <w:ind w:left="778" w:hanging="777" w:hangingChars="324"/>
        <w:rPr>
          <w:rFonts w:ascii="宋体" w:hAnsi="宋体"/>
          <w:sz w:val="24"/>
        </w:rPr>
      </w:pPr>
      <w:r>
        <w:rPr>
          <w:rFonts w:hint="eastAsia" w:ascii="宋体" w:hAnsi="宋体"/>
          <w:sz w:val="24"/>
        </w:rPr>
        <w:t>甲方联系人负责转达甲方的指示和要求，提供文件和资料等，甲方更换联系人应当通知乙方负责律师。</w:t>
      </w:r>
    </w:p>
    <w:p>
      <w:pPr>
        <w:numPr>
          <w:ilvl w:val="0"/>
          <w:numId w:val="6"/>
        </w:numPr>
        <w:spacing w:before="312" w:beforeLines="100" w:line="360" w:lineRule="exact"/>
        <w:ind w:left="1134" w:hanging="1134"/>
        <w:rPr>
          <w:rFonts w:ascii="黑体" w:hAnsi="黑体" w:eastAsia="黑体"/>
          <w:b/>
          <w:bCs/>
          <w:sz w:val="24"/>
        </w:rPr>
      </w:pPr>
      <w:r>
        <w:rPr>
          <w:rFonts w:hint="eastAsia" w:ascii="黑体" w:hAnsi="黑体" w:eastAsia="黑体"/>
          <w:b/>
          <w:bCs/>
          <w:sz w:val="24"/>
        </w:rPr>
        <w:t>法律服务期限、服务</w:t>
      </w:r>
      <w:r>
        <w:rPr>
          <w:rFonts w:ascii="黑体" w:hAnsi="黑体" w:eastAsia="黑体"/>
          <w:b/>
          <w:bCs/>
          <w:sz w:val="24"/>
        </w:rPr>
        <w:t>内容</w:t>
      </w:r>
      <w:r>
        <w:rPr>
          <w:rFonts w:hint="eastAsia" w:ascii="黑体" w:hAnsi="黑体" w:eastAsia="黑体"/>
          <w:b/>
          <w:bCs/>
          <w:sz w:val="24"/>
        </w:rPr>
        <w:t>及服务成果</w:t>
      </w:r>
    </w:p>
    <w:p>
      <w:pPr>
        <w:numPr>
          <w:ilvl w:val="0"/>
          <w:numId w:val="8"/>
        </w:numPr>
        <w:adjustRightInd w:val="0"/>
        <w:snapToGrid w:val="0"/>
        <w:spacing w:before="156" w:beforeLines="50" w:line="360" w:lineRule="exact"/>
        <w:ind w:hanging="840"/>
        <w:rPr>
          <w:rFonts w:ascii="宋体" w:hAnsi="宋体"/>
          <w:sz w:val="24"/>
        </w:rPr>
      </w:pPr>
      <w:r>
        <w:rPr>
          <w:rFonts w:hint="eastAsia" w:ascii="宋体" w:hAnsi="宋体"/>
          <w:sz w:val="24"/>
        </w:rPr>
        <w:t>乙方接受甲方（含甲方关联单位，下同）的委托担任其</w:t>
      </w:r>
      <w:r>
        <w:rPr>
          <w:rFonts w:hint="eastAsia" w:hAnsi="宋体"/>
          <w:sz w:val="24"/>
        </w:rPr>
        <w:t>法律专务</w:t>
      </w:r>
      <w:r>
        <w:rPr>
          <w:rFonts w:hint="eastAsia" w:ascii="宋体" w:hAnsi="宋体"/>
          <w:sz w:val="24"/>
        </w:rPr>
        <w:t>，服务期限自本合同签订</w:t>
      </w:r>
      <w:r>
        <w:rPr>
          <w:rFonts w:ascii="宋体" w:hAnsi="宋体"/>
          <w:sz w:val="24"/>
        </w:rPr>
        <w:t>之日</w:t>
      </w:r>
      <w:r>
        <w:rPr>
          <w:rFonts w:hint="eastAsia" w:ascii="宋体" w:hAnsi="宋体"/>
          <w:sz w:val="24"/>
        </w:rPr>
        <w:t>起一年。</w:t>
      </w:r>
    </w:p>
    <w:p>
      <w:pPr>
        <w:numPr>
          <w:ilvl w:val="0"/>
          <w:numId w:val="8"/>
        </w:numPr>
        <w:adjustRightInd w:val="0"/>
        <w:snapToGrid w:val="0"/>
        <w:spacing w:before="156" w:beforeLines="50" w:line="360" w:lineRule="exact"/>
        <w:ind w:hanging="840"/>
        <w:rPr>
          <w:rFonts w:ascii="宋体" w:hAnsi="宋体"/>
          <w:sz w:val="24"/>
        </w:rPr>
      </w:pPr>
      <w:r>
        <w:rPr>
          <w:rFonts w:hint="eastAsia" w:ascii="宋体" w:hAnsi="宋体"/>
          <w:sz w:val="24"/>
        </w:rPr>
        <w:t>乙方</w:t>
      </w:r>
      <w:r>
        <w:rPr>
          <w:rFonts w:hint="eastAsia" w:hAnsi="宋体"/>
          <w:sz w:val="24"/>
        </w:rPr>
        <w:t>法律专务服务</w:t>
      </w:r>
      <w:r>
        <w:rPr>
          <w:rFonts w:hint="eastAsia" w:ascii="宋体" w:hAnsi="宋体"/>
          <w:sz w:val="24"/>
        </w:rPr>
        <w:t>内容包括但不限于：</w:t>
      </w:r>
    </w:p>
    <w:p>
      <w:pPr>
        <w:adjustRightInd w:val="0"/>
        <w:snapToGrid w:val="0"/>
        <w:spacing w:before="156" w:beforeLines="50" w:line="360" w:lineRule="exact"/>
        <w:ind w:left="840"/>
        <w:rPr>
          <w:rFonts w:ascii="宋体" w:hAnsi="宋体"/>
          <w:sz w:val="24"/>
        </w:rPr>
      </w:pPr>
      <w:r>
        <w:rPr>
          <w:rFonts w:hint="eastAsia" w:ascii="宋体" w:hAnsi="宋体"/>
          <w:sz w:val="24"/>
        </w:rPr>
        <w:t>2</w:t>
      </w:r>
      <w:r>
        <w:rPr>
          <w:rFonts w:ascii="宋体" w:hAnsi="宋体"/>
          <w:sz w:val="24"/>
        </w:rPr>
        <w:t>.2.1</w:t>
      </w:r>
      <w:r>
        <w:rPr>
          <w:rFonts w:hint="eastAsia" w:ascii="宋体" w:hAnsi="宋体"/>
          <w:sz w:val="24"/>
        </w:rPr>
        <w:t>研究新出台的国家、省、市法规政策文件，收集、整理国内外法学前沿、法治热点问题，并结合前海实际对前海立法、规范性文件提出法律意见、建议；</w:t>
      </w:r>
    </w:p>
    <w:p>
      <w:pPr>
        <w:adjustRightInd w:val="0"/>
        <w:snapToGrid w:val="0"/>
        <w:spacing w:before="156" w:beforeLines="50" w:line="360" w:lineRule="exact"/>
        <w:ind w:left="840"/>
        <w:rPr>
          <w:rFonts w:ascii="宋体" w:hAnsi="宋体"/>
          <w:sz w:val="24"/>
        </w:rPr>
      </w:pPr>
      <w:r>
        <w:rPr>
          <w:rFonts w:hint="eastAsia" w:ascii="宋体" w:hAnsi="宋体"/>
          <w:sz w:val="24"/>
        </w:rPr>
        <w:t>2</w:t>
      </w:r>
      <w:r>
        <w:rPr>
          <w:rFonts w:ascii="宋体" w:hAnsi="宋体"/>
          <w:sz w:val="24"/>
        </w:rPr>
        <w:t>.2.2</w:t>
      </w:r>
      <w:r>
        <w:rPr>
          <w:rFonts w:hint="eastAsia" w:ascii="宋体" w:hAnsi="宋体"/>
          <w:sz w:val="24"/>
        </w:rPr>
        <w:t>关注并研究深圳市其他立法项目、规范性文件，并提出相应的法 律意见、总结经验，为前海合作区立法项目、规范性文件等提供立法技 术、立法思路、区域治理等支持；</w:t>
      </w:r>
    </w:p>
    <w:p>
      <w:pPr>
        <w:adjustRightInd w:val="0"/>
        <w:snapToGrid w:val="0"/>
        <w:spacing w:before="156" w:beforeLines="50" w:line="360" w:lineRule="exact"/>
        <w:ind w:left="840"/>
        <w:rPr>
          <w:rFonts w:ascii="宋体" w:hAnsi="宋体"/>
          <w:sz w:val="24"/>
        </w:rPr>
      </w:pPr>
      <w:r>
        <w:rPr>
          <w:rFonts w:hint="eastAsia" w:ascii="宋体" w:hAnsi="宋体"/>
          <w:sz w:val="24"/>
        </w:rPr>
        <w:t>2</w:t>
      </w:r>
      <w:r>
        <w:rPr>
          <w:rFonts w:ascii="宋体" w:hAnsi="宋体"/>
          <w:sz w:val="24"/>
        </w:rPr>
        <w:t>.2.3</w:t>
      </w:r>
      <w:r>
        <w:rPr>
          <w:rFonts w:hint="eastAsia" w:ascii="宋体" w:hAnsi="宋体"/>
          <w:sz w:val="24"/>
        </w:rPr>
        <w:t>协助开展前海深港国际法务区建设工作，就相关文件、制度进行合法合规性审查；</w:t>
      </w:r>
    </w:p>
    <w:p>
      <w:pPr>
        <w:adjustRightInd w:val="0"/>
        <w:snapToGrid w:val="0"/>
        <w:spacing w:before="156" w:beforeLines="50" w:line="360" w:lineRule="exact"/>
        <w:ind w:left="840"/>
        <w:rPr>
          <w:rFonts w:ascii="宋体" w:hAnsi="宋体"/>
          <w:sz w:val="24"/>
        </w:rPr>
      </w:pPr>
      <w:r>
        <w:rPr>
          <w:rFonts w:hint="eastAsia" w:ascii="宋体" w:hAnsi="宋体"/>
          <w:sz w:val="24"/>
        </w:rPr>
        <w:t>2</w:t>
      </w:r>
      <w:r>
        <w:rPr>
          <w:rFonts w:ascii="宋体" w:hAnsi="宋体"/>
          <w:sz w:val="24"/>
        </w:rPr>
        <w:t>.2.4</w:t>
      </w:r>
      <w:r>
        <w:rPr>
          <w:rFonts w:hint="eastAsia" w:ascii="宋体" w:hAnsi="宋体"/>
          <w:sz w:val="24"/>
        </w:rPr>
        <w:t>协助前海管理局研究制定前海新兴业态商事规则，接受前海管理局相关业务处室工作人员的业务咨询；</w:t>
      </w:r>
    </w:p>
    <w:p>
      <w:pPr>
        <w:adjustRightInd w:val="0"/>
        <w:snapToGrid w:val="0"/>
        <w:spacing w:before="156" w:beforeLines="50" w:line="360" w:lineRule="exact"/>
        <w:ind w:left="840"/>
        <w:rPr>
          <w:rFonts w:ascii="宋体" w:hAnsi="宋体"/>
          <w:sz w:val="24"/>
        </w:rPr>
      </w:pPr>
      <w:r>
        <w:rPr>
          <w:rFonts w:hint="eastAsia" w:ascii="宋体" w:hAnsi="宋体"/>
          <w:sz w:val="24"/>
        </w:rPr>
        <w:t>2</w:t>
      </w:r>
      <w:r>
        <w:rPr>
          <w:rFonts w:ascii="宋体" w:hAnsi="宋体"/>
          <w:sz w:val="24"/>
        </w:rPr>
        <w:t>.2.5</w:t>
      </w:r>
      <w:r>
        <w:rPr>
          <w:rFonts w:hint="eastAsia" w:ascii="宋体" w:hAnsi="宋体"/>
          <w:sz w:val="24"/>
        </w:rPr>
        <w:t>每年举办至少一场关于前海管理局规范性文件或者本市其他规范性文件的总结经验培训活动；</w:t>
      </w:r>
    </w:p>
    <w:p>
      <w:pPr>
        <w:adjustRightInd w:val="0"/>
        <w:snapToGrid w:val="0"/>
        <w:spacing w:before="156" w:beforeLines="50" w:line="360" w:lineRule="exact"/>
        <w:ind w:left="840"/>
        <w:rPr>
          <w:rFonts w:ascii="宋体" w:hAnsi="宋体"/>
          <w:sz w:val="24"/>
        </w:rPr>
      </w:pPr>
      <w:r>
        <w:rPr>
          <w:rFonts w:hint="eastAsia" w:ascii="宋体" w:hAnsi="宋体"/>
          <w:sz w:val="24"/>
        </w:rPr>
        <w:t>2.2.6协助开展前海法治创新工作等甲方交办的其他事务。</w:t>
      </w:r>
    </w:p>
    <w:p>
      <w:pPr>
        <w:adjustRightInd w:val="0"/>
        <w:snapToGrid w:val="0"/>
        <w:spacing w:before="156" w:beforeLines="50" w:line="360" w:lineRule="exact"/>
        <w:ind w:left="840"/>
        <w:rPr>
          <w:rFonts w:ascii="宋体" w:hAnsi="宋体"/>
          <w:sz w:val="24"/>
        </w:rPr>
      </w:pPr>
      <w:r>
        <w:rPr>
          <w:rFonts w:hint="eastAsia" w:ascii="宋体" w:hAnsi="宋体"/>
          <w:sz w:val="24"/>
        </w:rPr>
        <w:t>2</w:t>
      </w:r>
      <w:r>
        <w:rPr>
          <w:rFonts w:ascii="宋体" w:hAnsi="宋体"/>
          <w:sz w:val="24"/>
        </w:rPr>
        <w:t>.2.7</w:t>
      </w:r>
      <w:r>
        <w:rPr>
          <w:rFonts w:hint="eastAsia" w:ascii="宋体" w:hAnsi="宋体"/>
          <w:sz w:val="24"/>
        </w:rPr>
        <w:t>按照甲方要求，于本合同签订</w:t>
      </w:r>
      <w:r>
        <w:rPr>
          <w:rFonts w:ascii="宋体" w:hAnsi="宋体"/>
          <w:sz w:val="24"/>
        </w:rPr>
        <w:t>之日起一周内</w:t>
      </w:r>
      <w:r>
        <w:rPr>
          <w:rFonts w:hint="eastAsia" w:ascii="宋体" w:hAnsi="宋体"/>
          <w:sz w:val="24"/>
        </w:rPr>
        <w:t>派驻三名律师或律师助理常年驻点甲方指定</w:t>
      </w:r>
      <w:r>
        <w:rPr>
          <w:rFonts w:ascii="宋体" w:hAnsi="宋体"/>
          <w:sz w:val="24"/>
        </w:rPr>
        <w:t>的</w:t>
      </w:r>
      <w:r>
        <w:rPr>
          <w:rFonts w:hint="eastAsia" w:ascii="宋体" w:hAnsi="宋体"/>
          <w:sz w:val="24"/>
        </w:rPr>
        <w:t>办公场所（一周五天，每天八小时），提供法律专务服务。</w:t>
      </w:r>
    </w:p>
    <w:p>
      <w:pPr>
        <w:adjustRightInd w:val="0"/>
        <w:snapToGrid w:val="0"/>
        <w:spacing w:before="156" w:beforeLines="50" w:line="360" w:lineRule="exact"/>
        <w:ind w:left="840"/>
        <w:rPr>
          <w:rFonts w:ascii="宋体" w:hAnsi="宋体"/>
          <w:sz w:val="24"/>
        </w:rPr>
      </w:pPr>
      <w:r>
        <w:rPr>
          <w:rFonts w:hint="eastAsia" w:ascii="宋体" w:hAnsi="宋体"/>
          <w:sz w:val="24"/>
        </w:rPr>
        <w:t>2</w:t>
      </w:r>
      <w:r>
        <w:rPr>
          <w:rFonts w:ascii="宋体" w:hAnsi="宋体"/>
          <w:sz w:val="24"/>
        </w:rPr>
        <w:t>.2.8</w:t>
      </w:r>
      <w:r>
        <w:rPr>
          <w:rFonts w:hint="eastAsia" w:ascii="宋体" w:hAnsi="宋体"/>
          <w:sz w:val="24"/>
        </w:rPr>
        <w:t>派驻人员情况表作为本合同附件，乙方如需变更派驻人员，应当在30日前书面通知甲方并取得甲方同意，且应更新派驻人员信息表。</w:t>
      </w:r>
    </w:p>
    <w:p>
      <w:pPr>
        <w:adjustRightInd w:val="0"/>
        <w:snapToGrid w:val="0"/>
        <w:spacing w:before="156" w:beforeLines="50" w:line="360" w:lineRule="exact"/>
        <w:rPr>
          <w:rFonts w:ascii="宋体" w:hAnsi="宋体"/>
          <w:sz w:val="24"/>
        </w:rPr>
      </w:pPr>
      <w:r>
        <w:rPr>
          <w:rFonts w:hint="eastAsia" w:ascii="宋体" w:hAnsi="宋体"/>
          <w:sz w:val="24"/>
        </w:rPr>
        <w:t>2.3</w:t>
      </w:r>
      <w:r>
        <w:rPr>
          <w:rFonts w:ascii="宋体" w:hAnsi="宋体"/>
          <w:sz w:val="24"/>
        </w:rPr>
        <w:t xml:space="preserve">    </w:t>
      </w:r>
      <w:r>
        <w:rPr>
          <w:rFonts w:hint="eastAsia" w:ascii="宋体" w:hAnsi="宋体"/>
          <w:sz w:val="24"/>
        </w:rPr>
        <w:t>乙方</w:t>
      </w:r>
      <w:r>
        <w:rPr>
          <w:rFonts w:ascii="宋体" w:hAnsi="宋体"/>
          <w:sz w:val="24"/>
        </w:rPr>
        <w:t>应按</w:t>
      </w:r>
      <w:r>
        <w:rPr>
          <w:rFonts w:hint="eastAsia" w:ascii="宋体" w:hAnsi="宋体"/>
          <w:sz w:val="24"/>
        </w:rPr>
        <w:t>时</w:t>
      </w:r>
      <w:r>
        <w:rPr>
          <w:rFonts w:ascii="宋体" w:hAnsi="宋体"/>
          <w:sz w:val="24"/>
        </w:rPr>
        <w:t>提供以下服务成果：</w:t>
      </w:r>
    </w:p>
    <w:p>
      <w:pPr>
        <w:adjustRightInd w:val="0"/>
        <w:snapToGrid w:val="0"/>
        <w:spacing w:before="156" w:beforeLines="50" w:line="360" w:lineRule="exact"/>
        <w:ind w:left="718" w:leftChars="342" w:firstLine="120" w:firstLineChars="50"/>
        <w:rPr>
          <w:rFonts w:ascii="宋体" w:hAnsi="宋体"/>
          <w:sz w:val="24"/>
        </w:rPr>
      </w:pPr>
      <w:r>
        <w:rPr>
          <w:rFonts w:ascii="宋体" w:hAnsi="宋体"/>
          <w:sz w:val="24"/>
        </w:rPr>
        <w:t>2.3.1</w:t>
      </w:r>
      <w:r>
        <w:rPr>
          <w:rFonts w:hint="eastAsia" w:ascii="宋体" w:hAnsi="宋体"/>
          <w:sz w:val="24"/>
        </w:rPr>
        <w:t>每日记录工作台账，每季度完成季度工作总结报告（包括但不限于协助开展前海深港国际法务区建设工作、协助研究制定前海新兴业态商事规则、协助开展前海法治创新工作等内容）；</w:t>
      </w:r>
    </w:p>
    <w:p>
      <w:pPr>
        <w:adjustRightInd w:val="0"/>
        <w:snapToGrid w:val="0"/>
        <w:spacing w:before="156" w:beforeLines="50" w:line="360" w:lineRule="exact"/>
        <w:ind w:left="718" w:leftChars="342" w:firstLine="120" w:firstLineChars="50"/>
        <w:rPr>
          <w:rFonts w:ascii="宋体" w:hAnsi="宋体"/>
          <w:sz w:val="24"/>
        </w:rPr>
      </w:pPr>
      <w:r>
        <w:rPr>
          <w:rFonts w:ascii="宋体" w:hAnsi="宋体"/>
          <w:sz w:val="24"/>
        </w:rPr>
        <w:t>2.3.2</w:t>
      </w:r>
      <w:r>
        <w:rPr>
          <w:rFonts w:hint="eastAsia" w:ascii="宋体" w:hAnsi="宋体"/>
          <w:sz w:val="24"/>
        </w:rPr>
        <w:t>每年举办至少一场关于前海管理局规范性文件或者本市其他规范性文件的总结经验培训活动；</w:t>
      </w:r>
    </w:p>
    <w:p>
      <w:pPr>
        <w:adjustRightInd w:val="0"/>
        <w:snapToGrid w:val="0"/>
        <w:spacing w:before="156" w:beforeLines="50" w:line="360" w:lineRule="exact"/>
        <w:ind w:left="840" w:leftChars="400"/>
        <w:rPr>
          <w:rFonts w:ascii="宋体" w:hAnsi="宋体"/>
          <w:sz w:val="24"/>
        </w:rPr>
      </w:pPr>
      <w:r>
        <w:rPr>
          <w:rFonts w:ascii="宋体" w:hAnsi="宋体"/>
          <w:sz w:val="24"/>
        </w:rPr>
        <w:t>2.3.3</w:t>
      </w:r>
      <w:r>
        <w:rPr>
          <w:rFonts w:hint="eastAsia" w:ascii="宋体" w:hAnsi="宋体"/>
          <w:sz w:val="24"/>
        </w:rPr>
        <w:t>服务到期前，依据新出台的国家、省、市法规政策或收集、 整理国内外法学前沿、法治热点问题，并结合前海实际综合前海立法、规范性文件情况，提交一份法律研究报告；</w:t>
      </w:r>
    </w:p>
    <w:p>
      <w:pPr>
        <w:adjustRightInd w:val="0"/>
        <w:snapToGrid w:val="0"/>
        <w:spacing w:before="156" w:beforeLines="50" w:line="360" w:lineRule="exact"/>
        <w:ind w:left="840" w:leftChars="400"/>
        <w:rPr>
          <w:rFonts w:ascii="宋体" w:hAnsi="宋体"/>
          <w:sz w:val="24"/>
        </w:rPr>
      </w:pPr>
      <w:r>
        <w:rPr>
          <w:rFonts w:ascii="宋体" w:hAnsi="宋体"/>
          <w:sz w:val="24"/>
        </w:rPr>
        <w:t>2.3.4</w:t>
      </w:r>
      <w:r>
        <w:rPr>
          <w:rFonts w:hint="eastAsia" w:ascii="宋体" w:hAnsi="宋体"/>
          <w:sz w:val="24"/>
        </w:rPr>
        <w:t>服务到期前，提交不少于一份关于前海制定促进现代服务业发展的单项法规的建议和意见的报告。</w:t>
      </w:r>
    </w:p>
    <w:p>
      <w:pPr>
        <w:adjustRightInd w:val="0"/>
        <w:snapToGrid w:val="0"/>
        <w:spacing w:before="156" w:beforeLines="50" w:line="360" w:lineRule="exact"/>
        <w:ind w:left="840" w:leftChars="400"/>
        <w:rPr>
          <w:rFonts w:ascii="宋体" w:hAnsi="宋体"/>
          <w:sz w:val="24"/>
        </w:rPr>
      </w:pPr>
      <w:r>
        <w:rPr>
          <w:rFonts w:ascii="宋体" w:hAnsi="宋体"/>
          <w:sz w:val="24"/>
        </w:rPr>
        <w:t>2.3.5</w:t>
      </w:r>
      <w:r>
        <w:rPr>
          <w:rFonts w:hint="eastAsia" w:ascii="宋体" w:hAnsi="宋体"/>
          <w:sz w:val="24"/>
        </w:rPr>
        <w:t>法律服务</w:t>
      </w:r>
      <w:r>
        <w:rPr>
          <w:rFonts w:ascii="宋体" w:hAnsi="宋体"/>
          <w:sz w:val="24"/>
        </w:rPr>
        <w:t>成果</w:t>
      </w:r>
      <w:r>
        <w:rPr>
          <w:rFonts w:hint="eastAsia" w:ascii="宋体" w:hAnsi="宋体"/>
          <w:sz w:val="24"/>
        </w:rPr>
        <w:t>应</w:t>
      </w:r>
      <w:r>
        <w:rPr>
          <w:rFonts w:ascii="宋体" w:hAnsi="宋体"/>
          <w:sz w:val="24"/>
        </w:rPr>
        <w:t>按甲方要求</w:t>
      </w:r>
      <w:r>
        <w:rPr>
          <w:rFonts w:hint="eastAsia" w:ascii="宋体" w:hAnsi="宋体"/>
          <w:sz w:val="24"/>
        </w:rPr>
        <w:t>以书面纸质形式或电子文件形式提交。</w:t>
      </w:r>
    </w:p>
    <w:p>
      <w:pPr>
        <w:numPr>
          <w:ilvl w:val="0"/>
          <w:numId w:val="6"/>
        </w:numPr>
        <w:spacing w:before="312" w:beforeLines="100" w:line="360" w:lineRule="exact"/>
        <w:ind w:left="1134" w:hanging="1134"/>
        <w:rPr>
          <w:rFonts w:ascii="黑体" w:hAnsi="黑体" w:eastAsia="黑体"/>
          <w:b/>
          <w:bCs/>
          <w:sz w:val="24"/>
        </w:rPr>
      </w:pPr>
      <w:r>
        <w:rPr>
          <w:rFonts w:hint="eastAsia" w:ascii="黑体" w:hAnsi="黑体" w:eastAsia="黑体"/>
          <w:b/>
          <w:bCs/>
          <w:sz w:val="24"/>
        </w:rPr>
        <w:t>法律服务费用</w:t>
      </w:r>
    </w:p>
    <w:p>
      <w:pPr>
        <w:pStyle w:val="10"/>
        <w:numPr>
          <w:ilvl w:val="0"/>
          <w:numId w:val="9"/>
        </w:numPr>
        <w:adjustRightInd w:val="0"/>
        <w:snapToGrid w:val="0"/>
        <w:spacing w:before="156" w:beforeLines="50" w:line="360" w:lineRule="exact"/>
        <w:ind w:hanging="840"/>
        <w:rPr>
          <w:rFonts w:hAnsi="宋体"/>
        </w:rPr>
      </w:pPr>
      <w:r>
        <w:rPr>
          <w:rFonts w:hint="eastAsia" w:hAnsi="宋体"/>
        </w:rPr>
        <w:t>本合同项下甲方</w:t>
      </w:r>
      <w:r>
        <w:rPr>
          <w:rFonts w:hAnsi="宋体"/>
        </w:rPr>
        <w:t>向乙方</w:t>
      </w:r>
      <w:r>
        <w:rPr>
          <w:rFonts w:hint="eastAsia" w:hAnsi="宋体"/>
        </w:rPr>
        <w:t>法律专务服务服务费</w:t>
      </w:r>
      <w:r>
        <w:rPr>
          <w:rFonts w:hint="eastAsia" w:hAnsi="宋体" w:cs="Arial"/>
        </w:rPr>
        <w:t>（含一切税、费）</w:t>
      </w:r>
      <w:r>
        <w:rPr>
          <w:rFonts w:hint="eastAsia" w:hAnsi="宋体"/>
        </w:rPr>
        <w:t>为</w:t>
      </w:r>
      <w:r>
        <w:rPr>
          <w:rFonts w:hAnsi="宋体"/>
        </w:rPr>
        <w:t>人民</w:t>
      </w:r>
      <w:r>
        <w:rPr>
          <w:rFonts w:hint="eastAsia" w:hAnsi="宋体"/>
          <w:u w:val="single"/>
        </w:rPr>
        <w:t xml:space="preserve">   </w:t>
      </w:r>
      <w:r>
        <w:rPr>
          <w:rFonts w:hint="eastAsia" w:hAnsi="宋体"/>
        </w:rPr>
        <w:t>元整（小写：）。</w:t>
      </w:r>
    </w:p>
    <w:p>
      <w:pPr>
        <w:pStyle w:val="10"/>
        <w:numPr>
          <w:ilvl w:val="0"/>
          <w:numId w:val="9"/>
        </w:numPr>
        <w:adjustRightInd w:val="0"/>
        <w:snapToGrid w:val="0"/>
        <w:spacing w:before="156" w:beforeLines="50" w:line="360" w:lineRule="exact"/>
        <w:ind w:hanging="840"/>
        <w:rPr>
          <w:rFonts w:ascii="宋体" w:hAnsi="宋体" w:cs="宋体"/>
          <w:sz w:val="24"/>
        </w:rPr>
      </w:pPr>
      <w:r>
        <w:rPr>
          <w:rFonts w:hint="eastAsia" w:hAnsi="宋体"/>
        </w:rPr>
        <w:t>本合同签订后，乙方向甲方开具发票。甲方自收到乙方开具的载明相应金额的合格发票后</w:t>
      </w:r>
      <w:r>
        <w:rPr>
          <w:rFonts w:hint="eastAsia" w:hAnsi="宋体"/>
          <w:lang w:val="en-US" w:eastAsia="zh-CN"/>
        </w:rPr>
        <w:t>15</w:t>
      </w:r>
      <w:r>
        <w:rPr>
          <w:rFonts w:hint="eastAsia" w:hAnsi="宋体"/>
        </w:rPr>
        <w:t>个工作日内，</w:t>
      </w:r>
      <w:r>
        <w:rPr>
          <w:rFonts w:hint="eastAsia" w:ascii="Times New Roman" w:hAnsi="宋体" w:cs="Times New Roman"/>
          <w:sz w:val="24"/>
        </w:rPr>
        <w:t>根据</w:t>
      </w:r>
      <w:r>
        <w:rPr>
          <w:rFonts w:hint="eastAsia" w:ascii="Times New Roman" w:hAnsi="宋体" w:cs="Times New Roman"/>
          <w:sz w:val="24"/>
          <w:lang w:eastAsia="zh-CN"/>
        </w:rPr>
        <w:t>乙方</w:t>
      </w:r>
      <w:r>
        <w:rPr>
          <w:rFonts w:hint="eastAsia" w:ascii="Times New Roman" w:hAnsi="宋体" w:cs="Times New Roman"/>
          <w:sz w:val="24"/>
        </w:rPr>
        <w:t>提出的付款申请，</w:t>
      </w:r>
      <w:r>
        <w:rPr>
          <w:rFonts w:hint="eastAsia" w:hAnsi="宋体"/>
        </w:rPr>
        <w:t>向乙方指定银行账户支付合同总价 的50%,即人民</w:t>
      </w:r>
      <w:r>
        <w:rPr>
          <w:rFonts w:hint="eastAsia" w:hAnsi="宋体"/>
          <w:u w:val="none"/>
        </w:rPr>
        <w:t xml:space="preserve">         </w:t>
      </w:r>
      <w:r>
        <w:rPr>
          <w:rFonts w:hint="eastAsia" w:hAnsi="宋体"/>
        </w:rPr>
        <w:t>元整（小写：</w:t>
      </w:r>
      <w:r>
        <w:rPr>
          <w:rFonts w:hint="eastAsia" w:hAnsi="宋体"/>
          <w:u w:val="none"/>
        </w:rPr>
        <w:t xml:space="preserve">          </w:t>
      </w:r>
      <w:r>
        <w:rPr>
          <w:rFonts w:hint="eastAsia" w:hAnsi="宋体"/>
        </w:rPr>
        <w:t>）。</w:t>
      </w:r>
      <w:r>
        <w:rPr>
          <w:rFonts w:hint="eastAsia" w:ascii="Times New Roman" w:hAnsi="宋体" w:cs="Times New Roman"/>
          <w:sz w:val="24"/>
        </w:rPr>
        <w:t>如未及时收到发票，则</w:t>
      </w:r>
      <w:r>
        <w:rPr>
          <w:rFonts w:hint="eastAsia" w:ascii="Times New Roman" w:hAnsi="宋体" w:cs="Times New Roman"/>
          <w:sz w:val="24"/>
          <w:lang w:eastAsia="zh-CN"/>
        </w:rPr>
        <w:t>甲方</w:t>
      </w:r>
      <w:r>
        <w:rPr>
          <w:rFonts w:hint="eastAsia" w:ascii="Times New Roman" w:hAnsi="宋体" w:cs="Times New Roman"/>
          <w:sz w:val="24"/>
        </w:rPr>
        <w:t>相应付款时间顺延</w:t>
      </w:r>
      <w:r>
        <w:rPr>
          <w:rFonts w:hint="eastAsia" w:ascii="Times New Roman" w:hAnsi="宋体" w:cs="Times New Roman"/>
          <w:sz w:val="24"/>
          <w:lang w:eastAsia="zh-CN"/>
        </w:rPr>
        <w:t>。</w:t>
      </w:r>
    </w:p>
    <w:p>
      <w:pPr>
        <w:pStyle w:val="10"/>
        <w:numPr>
          <w:ilvl w:val="0"/>
          <w:numId w:val="9"/>
        </w:numPr>
        <w:adjustRightInd w:val="0"/>
        <w:snapToGrid w:val="0"/>
        <w:spacing w:before="156" w:beforeLines="50" w:line="360" w:lineRule="exact"/>
        <w:ind w:hanging="840"/>
        <w:rPr>
          <w:rFonts w:ascii="宋体" w:hAnsi="宋体" w:cs="宋体"/>
          <w:sz w:val="24"/>
        </w:rPr>
      </w:pPr>
      <w:r>
        <w:rPr>
          <w:rFonts w:hint="eastAsia" w:hAnsi="宋体"/>
        </w:rPr>
        <w:t>服务期满后，</w:t>
      </w:r>
      <w:r>
        <w:rPr>
          <w:rFonts w:hint="eastAsia" w:hAnsi="宋体"/>
          <w:lang w:eastAsia="zh-CN"/>
        </w:rPr>
        <w:t>乙方提交终期成果，</w:t>
      </w:r>
      <w:r>
        <w:rPr>
          <w:rFonts w:hint="eastAsia" w:hAnsi="宋体"/>
        </w:rPr>
        <w:t>经甲方</w:t>
      </w:r>
      <w:r>
        <w:rPr>
          <w:rFonts w:hint="eastAsia" w:hAnsi="宋体"/>
          <w:lang w:eastAsia="zh-CN"/>
        </w:rPr>
        <w:t>验收合格</w:t>
      </w:r>
      <w:r>
        <w:rPr>
          <w:rFonts w:hint="eastAsia" w:hAnsi="宋体"/>
          <w:lang w:val="en-US" w:eastAsia="zh-CN"/>
        </w:rPr>
        <w:t>，</w:t>
      </w:r>
      <w:r>
        <w:rPr>
          <w:rFonts w:hint="eastAsia" w:hAnsi="宋体"/>
        </w:rPr>
        <w:t>自收到乙方</w:t>
      </w:r>
      <w:r>
        <w:rPr>
          <w:rFonts w:hint="eastAsia" w:hAnsi="宋体"/>
          <w:lang w:eastAsia="zh-CN"/>
        </w:rPr>
        <w:t>付款申请及</w:t>
      </w:r>
      <w:r>
        <w:rPr>
          <w:rFonts w:hint="eastAsia" w:hAnsi="宋体"/>
        </w:rPr>
        <w:t>开具的载明相应金额的合格发票后十五个工作日内，向乙方指定银行账户支付合同总价的50%,即 人民</w:t>
      </w:r>
      <w:r>
        <w:rPr>
          <w:rFonts w:hint="eastAsia" w:hAnsi="宋体"/>
          <w:u w:val="single"/>
        </w:rPr>
        <w:t xml:space="preserve">            </w:t>
      </w:r>
      <w:r>
        <w:rPr>
          <w:rFonts w:hint="eastAsia" w:hAnsi="宋体"/>
        </w:rPr>
        <w:t>元整（小写：</w:t>
      </w:r>
      <w:r>
        <w:rPr>
          <w:rFonts w:hint="eastAsia" w:hAnsi="宋体"/>
          <w:u w:val="single"/>
        </w:rPr>
        <w:t xml:space="preserve">            </w:t>
      </w:r>
      <w:r>
        <w:rPr>
          <w:rFonts w:hint="eastAsia" w:hAnsi="宋体"/>
        </w:rPr>
        <w:t>）</w:t>
      </w:r>
      <w:r>
        <w:rPr>
          <w:rFonts w:hint="eastAsia" w:ascii="Times New Roman" w:hAnsi="宋体" w:cs="Times New Roman"/>
          <w:sz w:val="24"/>
        </w:rPr>
        <w:t>如未及时收到发票，则</w:t>
      </w:r>
      <w:r>
        <w:rPr>
          <w:rFonts w:hint="eastAsia" w:ascii="Times New Roman" w:hAnsi="宋体" w:cs="Times New Roman"/>
          <w:sz w:val="24"/>
          <w:lang w:eastAsia="zh-CN"/>
        </w:rPr>
        <w:t>甲方</w:t>
      </w:r>
      <w:r>
        <w:rPr>
          <w:rFonts w:hint="eastAsia" w:ascii="Times New Roman" w:hAnsi="宋体" w:cs="Times New Roman"/>
          <w:sz w:val="24"/>
        </w:rPr>
        <w:t>相应付款时间顺延</w:t>
      </w:r>
      <w:r>
        <w:rPr>
          <w:rFonts w:hint="eastAsia" w:ascii="Times New Roman" w:hAnsi="宋体" w:cs="Times New Roman"/>
          <w:sz w:val="24"/>
          <w:lang w:eastAsia="zh-CN"/>
        </w:rPr>
        <w:t>。</w:t>
      </w:r>
    </w:p>
    <w:p>
      <w:pPr>
        <w:numPr>
          <w:ilvl w:val="0"/>
          <w:numId w:val="9"/>
        </w:numPr>
        <w:adjustRightInd w:val="0"/>
        <w:snapToGrid w:val="0"/>
        <w:spacing w:before="156" w:beforeLines="50" w:line="360" w:lineRule="exact"/>
        <w:ind w:hanging="840"/>
        <w:rPr>
          <w:rFonts w:ascii="宋体" w:hAnsi="宋体"/>
          <w:sz w:val="24"/>
        </w:rPr>
      </w:pPr>
      <w:r>
        <w:rPr>
          <w:rFonts w:hint="eastAsia" w:ascii="宋体" w:hAnsi="宋体"/>
          <w:sz w:val="24"/>
        </w:rPr>
        <w:t>乙方指定的收款账户：</w:t>
      </w:r>
    </w:p>
    <w:p>
      <w:pPr>
        <w:adjustRightInd w:val="0"/>
        <w:snapToGrid w:val="0"/>
        <w:spacing w:line="500" w:lineRule="exact"/>
        <w:ind w:firstLine="849" w:firstLineChars="354"/>
        <w:rPr>
          <w:rFonts w:ascii="宋体" w:hAnsi="宋体"/>
          <w:sz w:val="24"/>
        </w:rPr>
      </w:pPr>
      <w:r>
        <w:rPr>
          <w:rFonts w:hint="eastAsia" w:ascii="宋体" w:hAnsi="宋体"/>
          <w:sz w:val="24"/>
        </w:rPr>
        <w:t>开户名：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adjustRightInd w:val="0"/>
        <w:snapToGrid w:val="0"/>
        <w:spacing w:line="500" w:lineRule="exact"/>
        <w:ind w:firstLine="849" w:firstLineChars="354"/>
        <w:rPr>
          <w:rFonts w:ascii="宋体" w:hAnsi="宋体"/>
          <w:sz w:val="24"/>
        </w:rPr>
      </w:pPr>
      <w:r>
        <w:rPr>
          <w:rFonts w:hint="eastAsia" w:ascii="宋体" w:hAnsi="宋体"/>
          <w:sz w:val="24"/>
        </w:rPr>
        <w:t>账号：</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adjustRightInd w:val="0"/>
        <w:snapToGrid w:val="0"/>
        <w:spacing w:line="500" w:lineRule="exact"/>
        <w:ind w:firstLine="849" w:firstLineChars="354"/>
        <w:rPr>
          <w:rFonts w:ascii="宋体" w:hAnsi="宋体"/>
          <w:sz w:val="24"/>
        </w:rPr>
      </w:pPr>
      <w:r>
        <w:rPr>
          <w:rFonts w:hint="eastAsia" w:ascii="宋体" w:hAnsi="宋体"/>
          <w:sz w:val="24"/>
        </w:rPr>
        <w:t>开户行：</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numPr>
          <w:ilvl w:val="0"/>
          <w:numId w:val="9"/>
        </w:numPr>
        <w:adjustRightInd w:val="0"/>
        <w:snapToGrid w:val="0"/>
        <w:spacing w:before="156" w:beforeLines="50" w:line="360" w:lineRule="exact"/>
        <w:ind w:hanging="840"/>
        <w:rPr>
          <w:rFonts w:ascii="宋体" w:hAnsi="宋体"/>
          <w:sz w:val="24"/>
        </w:rPr>
      </w:pPr>
      <w:r>
        <w:rPr>
          <w:rFonts w:hint="eastAsia" w:ascii="宋体" w:hAnsi="宋体"/>
          <w:sz w:val="24"/>
        </w:rPr>
        <w:t>甲方应按照税务机关开票要求提供税务登记证、纳税人识别号（不得简写）、法定地址、日常联系电话、开户银行全称及其账号。</w:t>
      </w:r>
    </w:p>
    <w:p>
      <w:pPr>
        <w:numPr>
          <w:ilvl w:val="0"/>
          <w:numId w:val="9"/>
        </w:numPr>
        <w:adjustRightInd w:val="0"/>
        <w:snapToGrid w:val="0"/>
        <w:spacing w:before="156" w:beforeLines="50" w:line="360" w:lineRule="exact"/>
        <w:ind w:hanging="840"/>
        <w:rPr>
          <w:rFonts w:ascii="宋体" w:hAnsi="宋体"/>
          <w:sz w:val="24"/>
        </w:rPr>
      </w:pPr>
      <w:r>
        <w:rPr>
          <w:rFonts w:hint="eastAsia" w:ascii="宋体" w:hAnsi="宋体"/>
          <w:sz w:val="24"/>
        </w:rPr>
        <w:t>开具发票细则</w:t>
      </w:r>
    </w:p>
    <w:p>
      <w:pPr>
        <w:autoSpaceDN w:val="0"/>
        <w:snapToGrid w:val="0"/>
        <w:spacing w:line="500" w:lineRule="exact"/>
        <w:ind w:firstLine="849" w:firstLineChars="354"/>
        <w:rPr>
          <w:rFonts w:ascii="宋体" w:hAnsi="宋体"/>
          <w:sz w:val="24"/>
        </w:rPr>
      </w:pPr>
      <w:r>
        <w:rPr>
          <w:rFonts w:hint="eastAsia" w:ascii="宋体" w:hAnsi="宋体"/>
          <w:sz w:val="24"/>
        </w:rPr>
        <w:t>甲方要求乙方开具：</w:t>
      </w:r>
    </w:p>
    <w:p>
      <w:pPr>
        <w:autoSpaceDN w:val="0"/>
        <w:snapToGrid w:val="0"/>
        <w:spacing w:line="500" w:lineRule="exact"/>
        <w:ind w:firstLine="849" w:firstLineChars="354"/>
        <w:rPr>
          <w:rFonts w:ascii="宋体" w:hAnsi="宋体"/>
          <w:sz w:val="24"/>
        </w:rPr>
      </w:pPr>
      <w:r>
        <w:rPr>
          <w:rFonts w:ascii="宋体" w:hAnsi="宋体"/>
          <w:sz w:val="24"/>
        </w:rPr>
        <w:sym w:font="Wingdings 2" w:char="F052"/>
      </w:r>
      <w:r>
        <w:rPr>
          <w:rFonts w:hint="eastAsia" w:ascii="宋体" w:hAnsi="宋体"/>
          <w:sz w:val="24"/>
        </w:rPr>
        <w:t>【增值税普通发票】；□【增值税专用发票】（需勾选对应选项）。</w:t>
      </w:r>
    </w:p>
    <w:p>
      <w:pPr>
        <w:autoSpaceDN w:val="0"/>
        <w:snapToGrid w:val="0"/>
        <w:spacing w:line="500" w:lineRule="exact"/>
        <w:ind w:left="718" w:leftChars="342" w:firstLine="122" w:firstLineChars="51"/>
        <w:rPr>
          <w:rFonts w:ascii="宋体" w:hAnsi="宋体"/>
          <w:sz w:val="24"/>
        </w:rPr>
      </w:pPr>
      <w:r>
        <w:rPr>
          <w:rFonts w:hint="eastAsia" w:ascii="宋体" w:hAnsi="宋体"/>
          <w:sz w:val="24"/>
        </w:rPr>
        <w:t>双方账户及税务信息条款如下，甲方如需改变账户信息，应在开票前以书面形式通知乙方：</w:t>
      </w:r>
    </w:p>
    <w:tbl>
      <w:tblPr>
        <w:tblStyle w:val="24"/>
        <w:tblW w:w="8558" w:type="dxa"/>
        <w:jc w:val="center"/>
        <w:tblLayout w:type="fixed"/>
        <w:tblCellMar>
          <w:top w:w="0" w:type="dxa"/>
          <w:left w:w="0" w:type="dxa"/>
          <w:bottom w:w="0" w:type="dxa"/>
          <w:right w:w="0" w:type="dxa"/>
        </w:tblCellMar>
      </w:tblPr>
      <w:tblGrid>
        <w:gridCol w:w="4248"/>
        <w:gridCol w:w="4310"/>
      </w:tblGrid>
      <w:tr>
        <w:tblPrEx>
          <w:tblCellMar>
            <w:top w:w="0" w:type="dxa"/>
            <w:left w:w="0" w:type="dxa"/>
            <w:bottom w:w="0" w:type="dxa"/>
            <w:right w:w="0" w:type="dxa"/>
          </w:tblCellMar>
        </w:tblPrEx>
        <w:trPr>
          <w:trHeight w:val="818" w:hRule="atLeast"/>
          <w:jc w:val="center"/>
        </w:trPr>
        <w:tc>
          <w:tcPr>
            <w:tcW w:w="4248"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rPr>
            </w:pPr>
            <w:r>
              <w:rPr>
                <w:rFonts w:hint="eastAsia" w:ascii="宋体" w:hAnsi="宋体"/>
                <w:sz w:val="24"/>
              </w:rPr>
              <w:t>甲方名称：深圳市前海深港现代服务业合作区管理局</w:t>
            </w:r>
          </w:p>
        </w:tc>
        <w:tc>
          <w:tcPr>
            <w:tcW w:w="4310"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rPr>
            </w:pPr>
            <w:r>
              <w:rPr>
                <w:rFonts w:hint="eastAsia" w:ascii="宋体" w:hAnsi="宋体"/>
                <w:sz w:val="24"/>
              </w:rPr>
              <w:t>乙方名称：</w:t>
            </w:r>
          </w:p>
          <w:p>
            <w:pPr>
              <w:pStyle w:val="23"/>
              <w:ind w:firstLine="0" w:firstLineChars="0"/>
              <w:rPr>
                <w:rFonts w:ascii="宋体" w:hAnsi="宋体"/>
              </w:rPr>
            </w:pPr>
          </w:p>
        </w:tc>
      </w:tr>
      <w:tr>
        <w:tblPrEx>
          <w:tblCellMar>
            <w:top w:w="0" w:type="dxa"/>
            <w:left w:w="0" w:type="dxa"/>
            <w:bottom w:w="0" w:type="dxa"/>
            <w:right w:w="0" w:type="dxa"/>
          </w:tblCellMar>
        </w:tblPrEx>
        <w:trPr>
          <w:trHeight w:val="267" w:hRule="atLeast"/>
          <w:jc w:val="center"/>
        </w:trPr>
        <w:tc>
          <w:tcPr>
            <w:tcW w:w="42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rPr>
            </w:pPr>
            <w:r>
              <w:rPr>
                <w:rFonts w:hint="eastAsia" w:ascii="宋体" w:hAnsi="宋体"/>
                <w:sz w:val="24"/>
              </w:rPr>
              <w:t>纳税人识别号：</w:t>
            </w:r>
          </w:p>
        </w:tc>
        <w:tc>
          <w:tcPr>
            <w:tcW w:w="43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rPr>
            </w:pPr>
            <w:r>
              <w:rPr>
                <w:rFonts w:hint="eastAsia" w:ascii="宋体" w:hAnsi="宋体"/>
                <w:sz w:val="24"/>
              </w:rPr>
              <w:t>纳税人识别号：</w:t>
            </w:r>
          </w:p>
        </w:tc>
      </w:tr>
      <w:tr>
        <w:tblPrEx>
          <w:tblCellMar>
            <w:top w:w="0" w:type="dxa"/>
            <w:left w:w="0" w:type="dxa"/>
            <w:bottom w:w="0" w:type="dxa"/>
            <w:right w:w="0" w:type="dxa"/>
          </w:tblCellMar>
        </w:tblPrEx>
        <w:trPr>
          <w:trHeight w:val="267" w:hRule="atLeast"/>
          <w:jc w:val="center"/>
        </w:trPr>
        <w:tc>
          <w:tcPr>
            <w:tcW w:w="4248"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rPr>
            </w:pPr>
            <w:r>
              <w:rPr>
                <w:rFonts w:hint="eastAsia" w:ascii="宋体" w:hAnsi="宋体"/>
                <w:sz w:val="24"/>
              </w:rPr>
              <w:t>户名：</w:t>
            </w:r>
          </w:p>
        </w:tc>
        <w:tc>
          <w:tcPr>
            <w:tcW w:w="431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rPr>
            </w:pPr>
            <w:r>
              <w:rPr>
                <w:rFonts w:hint="eastAsia" w:ascii="宋体" w:hAnsi="宋体"/>
                <w:sz w:val="24"/>
              </w:rPr>
              <w:t>户名：</w:t>
            </w:r>
          </w:p>
        </w:tc>
      </w:tr>
      <w:tr>
        <w:tblPrEx>
          <w:tblCellMar>
            <w:top w:w="0" w:type="dxa"/>
            <w:left w:w="0" w:type="dxa"/>
            <w:bottom w:w="0" w:type="dxa"/>
            <w:right w:w="0" w:type="dxa"/>
          </w:tblCellMar>
        </w:tblPrEx>
        <w:trPr>
          <w:trHeight w:val="267" w:hRule="atLeast"/>
          <w:jc w:val="center"/>
        </w:trPr>
        <w:tc>
          <w:tcPr>
            <w:tcW w:w="42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rPr>
            </w:pPr>
            <w:r>
              <w:rPr>
                <w:rFonts w:hint="eastAsia" w:ascii="宋体" w:hAnsi="宋体"/>
                <w:sz w:val="24"/>
              </w:rPr>
              <w:t>开户行：</w:t>
            </w:r>
          </w:p>
        </w:tc>
        <w:tc>
          <w:tcPr>
            <w:tcW w:w="4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rPr>
            </w:pPr>
            <w:r>
              <w:rPr>
                <w:rFonts w:hint="eastAsia" w:ascii="宋体" w:hAnsi="宋体"/>
                <w:sz w:val="24"/>
              </w:rPr>
              <w:t>开户行：</w:t>
            </w:r>
          </w:p>
        </w:tc>
      </w:tr>
      <w:tr>
        <w:tblPrEx>
          <w:tblCellMar>
            <w:top w:w="0" w:type="dxa"/>
            <w:left w:w="0" w:type="dxa"/>
            <w:bottom w:w="0" w:type="dxa"/>
            <w:right w:w="0" w:type="dxa"/>
          </w:tblCellMar>
        </w:tblPrEx>
        <w:trPr>
          <w:trHeight w:val="267" w:hRule="atLeast"/>
          <w:jc w:val="center"/>
        </w:trPr>
        <w:tc>
          <w:tcPr>
            <w:tcW w:w="42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rPr>
            </w:pPr>
            <w:r>
              <w:rPr>
                <w:rFonts w:hint="eastAsia" w:ascii="宋体" w:hAnsi="宋体"/>
                <w:sz w:val="24"/>
              </w:rPr>
              <w:t>账号：</w:t>
            </w:r>
          </w:p>
        </w:tc>
        <w:tc>
          <w:tcPr>
            <w:tcW w:w="4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rPr>
            </w:pPr>
            <w:r>
              <w:rPr>
                <w:rFonts w:hint="eastAsia" w:ascii="宋体" w:hAnsi="宋体"/>
                <w:sz w:val="24"/>
              </w:rPr>
              <w:t>账号：</w:t>
            </w:r>
          </w:p>
        </w:tc>
      </w:tr>
      <w:tr>
        <w:tblPrEx>
          <w:tblCellMar>
            <w:top w:w="0" w:type="dxa"/>
            <w:left w:w="0" w:type="dxa"/>
            <w:bottom w:w="0" w:type="dxa"/>
            <w:right w:w="0" w:type="dxa"/>
          </w:tblCellMar>
        </w:tblPrEx>
        <w:trPr>
          <w:trHeight w:val="267" w:hRule="atLeast"/>
          <w:jc w:val="center"/>
        </w:trPr>
        <w:tc>
          <w:tcPr>
            <w:tcW w:w="42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rPr>
            </w:pPr>
            <w:r>
              <w:rPr>
                <w:rFonts w:hint="eastAsia" w:ascii="宋体" w:hAnsi="宋体"/>
                <w:sz w:val="24"/>
              </w:rPr>
              <w:t>地址：</w:t>
            </w:r>
          </w:p>
        </w:tc>
        <w:tc>
          <w:tcPr>
            <w:tcW w:w="4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rPr>
            </w:pPr>
            <w:r>
              <w:rPr>
                <w:rFonts w:hint="eastAsia" w:ascii="宋体" w:hAnsi="宋体"/>
                <w:sz w:val="24"/>
              </w:rPr>
              <w:t>地址：</w:t>
            </w:r>
          </w:p>
        </w:tc>
      </w:tr>
      <w:tr>
        <w:tblPrEx>
          <w:tblCellMar>
            <w:top w:w="0" w:type="dxa"/>
            <w:left w:w="0" w:type="dxa"/>
            <w:bottom w:w="0" w:type="dxa"/>
            <w:right w:w="0" w:type="dxa"/>
          </w:tblCellMar>
        </w:tblPrEx>
        <w:trPr>
          <w:trHeight w:val="267" w:hRule="atLeast"/>
          <w:jc w:val="center"/>
        </w:trPr>
        <w:tc>
          <w:tcPr>
            <w:tcW w:w="42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rPr>
            </w:pPr>
            <w:r>
              <w:rPr>
                <w:rFonts w:hint="eastAsia" w:ascii="宋体" w:hAnsi="宋体"/>
                <w:sz w:val="24"/>
              </w:rPr>
              <w:t>联系电话：</w:t>
            </w:r>
          </w:p>
        </w:tc>
        <w:tc>
          <w:tcPr>
            <w:tcW w:w="4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utoSpaceDN w:val="0"/>
              <w:snapToGrid w:val="0"/>
              <w:spacing w:line="500" w:lineRule="exact"/>
              <w:rPr>
                <w:rFonts w:ascii="宋体" w:hAnsi="宋体"/>
                <w:sz w:val="24"/>
              </w:rPr>
            </w:pPr>
            <w:r>
              <w:rPr>
                <w:rFonts w:hint="eastAsia" w:ascii="宋体" w:hAnsi="宋体"/>
                <w:sz w:val="24"/>
              </w:rPr>
              <w:t>联系电话：</w:t>
            </w:r>
          </w:p>
        </w:tc>
      </w:tr>
    </w:tbl>
    <w:p>
      <w:pPr>
        <w:adjustRightInd w:val="0"/>
        <w:snapToGrid w:val="0"/>
        <w:spacing w:before="156" w:beforeLines="50" w:line="360" w:lineRule="exact"/>
        <w:rPr>
          <w:rFonts w:ascii="宋体" w:hAnsi="宋体"/>
          <w:sz w:val="24"/>
        </w:rPr>
      </w:pPr>
    </w:p>
    <w:p>
      <w:pPr>
        <w:numPr>
          <w:ilvl w:val="0"/>
          <w:numId w:val="6"/>
        </w:numPr>
        <w:spacing w:before="312" w:beforeLines="100" w:line="360" w:lineRule="exact"/>
        <w:rPr>
          <w:rFonts w:ascii="黑体" w:hAnsi="黑体" w:eastAsia="黑体"/>
          <w:b/>
          <w:bCs/>
          <w:sz w:val="24"/>
        </w:rPr>
      </w:pPr>
      <w:r>
        <w:rPr>
          <w:rFonts w:hint="eastAsia" w:ascii="黑体" w:hAnsi="黑体" w:eastAsia="黑体"/>
          <w:b/>
          <w:bCs/>
          <w:sz w:val="24"/>
        </w:rPr>
        <w:t>甲方权利义务</w:t>
      </w:r>
    </w:p>
    <w:p>
      <w:pPr>
        <w:numPr>
          <w:ilvl w:val="0"/>
          <w:numId w:val="10"/>
        </w:numPr>
        <w:adjustRightInd w:val="0"/>
        <w:snapToGrid w:val="0"/>
        <w:spacing w:before="156" w:beforeLines="50" w:line="360" w:lineRule="exact"/>
        <w:ind w:hanging="840"/>
        <w:rPr>
          <w:rFonts w:ascii="宋体" w:hAnsi="宋体"/>
          <w:sz w:val="24"/>
        </w:rPr>
      </w:pPr>
      <w:r>
        <w:rPr>
          <w:rFonts w:hint="eastAsia" w:ascii="宋体" w:hAnsi="宋体"/>
          <w:sz w:val="24"/>
        </w:rPr>
        <w:t>甲方应当向乙方充分披露与委托事项有关的背景信息，并提供有关资料、文件、证据、联系人及联系方式。除非另有书面指示，甲方提供给乙方的资料、文件、证据均应为复印件或复制品，原件应由甲方妥善保管。</w:t>
      </w:r>
    </w:p>
    <w:p>
      <w:pPr>
        <w:numPr>
          <w:ilvl w:val="0"/>
          <w:numId w:val="10"/>
        </w:numPr>
        <w:adjustRightInd w:val="0"/>
        <w:snapToGrid w:val="0"/>
        <w:spacing w:before="156" w:beforeLines="50" w:line="360" w:lineRule="exact"/>
        <w:ind w:hanging="840"/>
        <w:rPr>
          <w:rFonts w:ascii="宋体" w:hAnsi="宋体"/>
          <w:sz w:val="24"/>
        </w:rPr>
      </w:pPr>
      <w:r>
        <w:rPr>
          <w:rFonts w:hint="eastAsia" w:ascii="宋体" w:hAnsi="宋体"/>
          <w:sz w:val="24"/>
        </w:rPr>
        <w:t>甲方应保证向乙方所提供的信息均为真实、准确、完整的信息，所提供的资料、文件、证据均真实可靠，复印件及复制品与其原件完全一致。甲方保证未向乙方隐瞒、虚构或遗漏任何事实。</w:t>
      </w:r>
    </w:p>
    <w:p>
      <w:pPr>
        <w:numPr>
          <w:ilvl w:val="0"/>
          <w:numId w:val="10"/>
        </w:numPr>
        <w:adjustRightInd w:val="0"/>
        <w:snapToGrid w:val="0"/>
        <w:spacing w:before="156" w:beforeLines="50" w:line="360" w:lineRule="exact"/>
        <w:ind w:hanging="840"/>
        <w:rPr>
          <w:rFonts w:ascii="宋体" w:hAnsi="宋体"/>
          <w:sz w:val="24"/>
        </w:rPr>
      </w:pPr>
      <w:r>
        <w:rPr>
          <w:rFonts w:hint="eastAsia" w:ascii="宋体" w:hAnsi="宋体"/>
          <w:sz w:val="24"/>
        </w:rPr>
        <w:t>甲方应当为乙方办理法律事务提出明确、具体、合理的要求，并应为乙方提供法律服务提供一切必要的配合和条件。</w:t>
      </w:r>
    </w:p>
    <w:p>
      <w:pPr>
        <w:numPr>
          <w:ilvl w:val="0"/>
          <w:numId w:val="10"/>
        </w:numPr>
        <w:adjustRightInd w:val="0"/>
        <w:snapToGrid w:val="0"/>
        <w:spacing w:before="156" w:beforeLines="50" w:line="360" w:lineRule="exact"/>
        <w:ind w:hanging="840"/>
        <w:rPr>
          <w:rFonts w:ascii="宋体" w:hAnsi="宋体"/>
          <w:sz w:val="24"/>
        </w:rPr>
      </w:pPr>
      <w:r>
        <w:rPr>
          <w:rFonts w:hint="eastAsia" w:ascii="宋体" w:hAnsi="宋体"/>
          <w:sz w:val="24"/>
        </w:rPr>
        <w:t>甲方应理解并尊重乙方的执业准则和习惯。在需要乙方律师处理有关事务时，除非突发事件，否则应提前合理时间通知乙方，以便乙方做出安排。</w:t>
      </w:r>
    </w:p>
    <w:p>
      <w:pPr>
        <w:numPr>
          <w:ilvl w:val="0"/>
          <w:numId w:val="10"/>
        </w:numPr>
        <w:adjustRightInd w:val="0"/>
        <w:snapToGrid w:val="0"/>
        <w:spacing w:before="156" w:beforeLines="50" w:line="360" w:lineRule="exact"/>
        <w:ind w:hanging="840"/>
        <w:rPr>
          <w:rFonts w:ascii="宋体" w:hAnsi="宋体"/>
          <w:sz w:val="24"/>
        </w:rPr>
      </w:pPr>
      <w:r>
        <w:rPr>
          <w:rFonts w:hint="eastAsia" w:ascii="宋体" w:hAnsi="宋体"/>
          <w:sz w:val="24"/>
        </w:rPr>
        <w:t>甲方有责任对委托事项作出独立的判断、决策，甲方根据乙方提供的法律意见、建议、方案所作出的决定而导致的损失，非因乙方错误地运用法律等失职行为造成的，由甲方自行承担。</w:t>
      </w:r>
    </w:p>
    <w:p>
      <w:pPr>
        <w:numPr>
          <w:ilvl w:val="0"/>
          <w:numId w:val="10"/>
        </w:numPr>
        <w:adjustRightInd w:val="0"/>
        <w:snapToGrid w:val="0"/>
        <w:spacing w:before="156" w:beforeLines="50" w:line="360" w:lineRule="exact"/>
        <w:ind w:hanging="840"/>
        <w:rPr>
          <w:rFonts w:ascii="宋体" w:hAnsi="宋体"/>
          <w:sz w:val="24"/>
        </w:rPr>
      </w:pPr>
      <w:r>
        <w:rPr>
          <w:rFonts w:hint="eastAsia" w:ascii="宋体" w:hAnsi="宋体"/>
          <w:sz w:val="24"/>
        </w:rPr>
        <w:t>甲方应根据本合同按时足额向乙方支付法律服务费用及其他约定的费用。</w:t>
      </w:r>
    </w:p>
    <w:p>
      <w:pPr>
        <w:numPr>
          <w:ilvl w:val="0"/>
          <w:numId w:val="10"/>
        </w:numPr>
        <w:adjustRightInd w:val="0"/>
        <w:snapToGrid w:val="0"/>
        <w:spacing w:before="156" w:beforeLines="50" w:line="360" w:lineRule="exact"/>
        <w:ind w:hanging="840"/>
        <w:rPr>
          <w:rFonts w:ascii="宋体" w:hAnsi="宋体"/>
          <w:sz w:val="24"/>
        </w:rPr>
      </w:pPr>
      <w:r>
        <w:rPr>
          <w:rFonts w:hint="eastAsia" w:ascii="宋体" w:hAnsi="宋体"/>
          <w:sz w:val="24"/>
        </w:rPr>
        <w:t>甲方有权监督乙方的工作机制、工作情况并提出意见，乙方应及时调整或整改。</w:t>
      </w:r>
    </w:p>
    <w:p>
      <w:pPr>
        <w:numPr>
          <w:ilvl w:val="0"/>
          <w:numId w:val="10"/>
        </w:numPr>
        <w:adjustRightInd w:val="0"/>
        <w:snapToGrid w:val="0"/>
        <w:spacing w:before="156" w:beforeLines="50" w:line="360" w:lineRule="exact"/>
        <w:ind w:hanging="840"/>
        <w:rPr>
          <w:rFonts w:ascii="宋体" w:hAnsi="宋体"/>
          <w:sz w:val="24"/>
        </w:rPr>
      </w:pPr>
      <w:r>
        <w:rPr>
          <w:rFonts w:hint="eastAsia" w:ascii="宋体" w:hAnsi="宋体"/>
          <w:sz w:val="24"/>
        </w:rPr>
        <w:t>甲方有权要求乙方更换不称职的派驻人员。</w:t>
      </w:r>
    </w:p>
    <w:p>
      <w:pPr>
        <w:numPr>
          <w:ilvl w:val="0"/>
          <w:numId w:val="6"/>
        </w:numPr>
        <w:spacing w:before="312" w:beforeLines="100" w:line="360" w:lineRule="exact"/>
        <w:ind w:left="1134" w:hanging="1134"/>
        <w:rPr>
          <w:rFonts w:ascii="黑体" w:hAnsi="黑体" w:eastAsia="黑体"/>
          <w:b/>
          <w:bCs/>
          <w:sz w:val="24"/>
        </w:rPr>
      </w:pPr>
      <w:r>
        <w:rPr>
          <w:rFonts w:hint="eastAsia" w:ascii="黑体" w:hAnsi="黑体" w:eastAsia="黑体"/>
          <w:b/>
          <w:bCs/>
          <w:sz w:val="24"/>
        </w:rPr>
        <w:t>乙方权利义务</w:t>
      </w:r>
    </w:p>
    <w:p>
      <w:pPr>
        <w:numPr>
          <w:ilvl w:val="0"/>
          <w:numId w:val="11"/>
        </w:numPr>
        <w:adjustRightInd w:val="0"/>
        <w:snapToGrid w:val="0"/>
        <w:spacing w:before="156" w:beforeLines="50" w:line="360" w:lineRule="exact"/>
        <w:ind w:hanging="840"/>
        <w:rPr>
          <w:rFonts w:ascii="宋体" w:hAnsi="宋体"/>
          <w:sz w:val="24"/>
        </w:rPr>
      </w:pPr>
      <w:r>
        <w:rPr>
          <w:rFonts w:hint="eastAsia" w:ascii="宋体" w:hAnsi="宋体"/>
          <w:sz w:val="24"/>
        </w:rPr>
        <w:t>乙方应指派专业胜任的律师处理甲方委托事项，按照律师行业公认的业务标准和道德规范，勤勉尽责地为甲方提供高效、优质的法律服务。</w:t>
      </w:r>
    </w:p>
    <w:p>
      <w:pPr>
        <w:numPr>
          <w:ilvl w:val="0"/>
          <w:numId w:val="11"/>
        </w:numPr>
        <w:adjustRightInd w:val="0"/>
        <w:snapToGrid w:val="0"/>
        <w:spacing w:before="156" w:beforeLines="50" w:line="360" w:lineRule="exact"/>
        <w:ind w:hanging="840"/>
        <w:rPr>
          <w:rFonts w:ascii="宋体" w:hAnsi="宋体"/>
          <w:sz w:val="24"/>
        </w:rPr>
      </w:pPr>
      <w:r>
        <w:rPr>
          <w:rFonts w:hint="eastAsia" w:ascii="宋体" w:hAnsi="宋体"/>
          <w:sz w:val="24"/>
        </w:rPr>
        <w:t>乙方应诚实、守信、及时、勤勉地提供本合同第</w:t>
      </w:r>
      <w:r>
        <w:rPr>
          <w:rFonts w:ascii="宋体" w:hAnsi="宋体"/>
          <w:sz w:val="24"/>
        </w:rPr>
        <w:t>2</w:t>
      </w:r>
      <w:r>
        <w:rPr>
          <w:rFonts w:hint="eastAsia" w:ascii="宋体" w:hAnsi="宋体"/>
          <w:sz w:val="24"/>
        </w:rPr>
        <w:t>条约定的法律服务内容，维护甲方合法权益。</w:t>
      </w:r>
    </w:p>
    <w:p>
      <w:pPr>
        <w:numPr>
          <w:ilvl w:val="0"/>
          <w:numId w:val="11"/>
        </w:numPr>
        <w:adjustRightInd w:val="0"/>
        <w:snapToGrid w:val="0"/>
        <w:spacing w:before="156" w:beforeLines="50" w:line="360" w:lineRule="exact"/>
        <w:ind w:hanging="840"/>
        <w:rPr>
          <w:rFonts w:ascii="宋体" w:hAnsi="宋体"/>
          <w:sz w:val="24"/>
        </w:rPr>
      </w:pPr>
      <w:r>
        <w:rPr>
          <w:rFonts w:hint="eastAsia" w:ascii="宋体" w:hAnsi="宋体"/>
          <w:sz w:val="24"/>
        </w:rPr>
        <w:t>在甲方提前合理时间通知的情况下，应根据甲方的通知按时处理甲方委托之事项。如系紧急事件，乙方应根据甲方的通知，在可能的第一时间赶赴指定地点处理甲方委托之事项。</w:t>
      </w:r>
    </w:p>
    <w:p>
      <w:pPr>
        <w:numPr>
          <w:ilvl w:val="0"/>
          <w:numId w:val="11"/>
        </w:numPr>
        <w:adjustRightInd w:val="0"/>
        <w:snapToGrid w:val="0"/>
        <w:spacing w:before="156" w:beforeLines="50" w:line="360" w:lineRule="exact"/>
        <w:ind w:hanging="840"/>
        <w:rPr>
          <w:rFonts w:ascii="宋体" w:hAnsi="宋体"/>
          <w:sz w:val="24"/>
        </w:rPr>
      </w:pPr>
      <w:r>
        <w:rPr>
          <w:rFonts w:hint="eastAsia" w:ascii="宋体" w:hAnsi="宋体"/>
          <w:sz w:val="24"/>
        </w:rPr>
        <w:t>乙方应依照可适用的法律、法规、规章及相关经验，为甲方提供稳健、谨慎的法律意见或建议。</w:t>
      </w:r>
    </w:p>
    <w:p>
      <w:pPr>
        <w:numPr>
          <w:ilvl w:val="0"/>
          <w:numId w:val="11"/>
        </w:numPr>
        <w:adjustRightInd w:val="0"/>
        <w:snapToGrid w:val="0"/>
        <w:spacing w:before="156" w:beforeLines="50" w:line="360" w:lineRule="exact"/>
        <w:ind w:hanging="840"/>
        <w:rPr>
          <w:rFonts w:ascii="宋体" w:hAnsi="宋体"/>
          <w:sz w:val="24"/>
        </w:rPr>
      </w:pPr>
      <w:r>
        <w:rPr>
          <w:rFonts w:hint="eastAsia" w:ascii="宋体" w:hAnsi="宋体"/>
          <w:sz w:val="24"/>
        </w:rPr>
        <w:t>乙方应建立完整业务档案，按甲方要求及时口头或书面报告工作情况。</w:t>
      </w:r>
    </w:p>
    <w:p>
      <w:pPr>
        <w:numPr>
          <w:ilvl w:val="0"/>
          <w:numId w:val="11"/>
        </w:numPr>
        <w:adjustRightInd w:val="0"/>
        <w:snapToGrid w:val="0"/>
        <w:spacing w:before="156" w:beforeLines="50" w:line="360" w:lineRule="exact"/>
        <w:ind w:hanging="840"/>
        <w:rPr>
          <w:rFonts w:ascii="宋体" w:hAnsi="宋体"/>
          <w:sz w:val="24"/>
        </w:rPr>
      </w:pPr>
      <w:r>
        <w:rPr>
          <w:rFonts w:hint="eastAsia" w:ascii="宋体" w:hAnsi="宋体"/>
          <w:sz w:val="24"/>
        </w:rPr>
        <w:t>乙方应严格遵守职业道德，以保密方式处理自甲方、甲方工作人员或甲方关联机构获得的相关信息、资料、图纸、数据等，或由甲方明确指明为秘密的任何信息,以及乙方在提供法律服务及其他服务过程中所直接或间接取得、处理或接触的任何其他资料。未经甲方书面在先同意，乙方不得向任何第三方透露与法律服务有关的任何内容，即使向履行本合同有关的律师、</w:t>
      </w:r>
      <w:r>
        <w:rPr>
          <w:rFonts w:ascii="宋体" w:hAnsi="宋体"/>
          <w:sz w:val="24"/>
        </w:rPr>
        <w:t>律师助理</w:t>
      </w:r>
      <w:r>
        <w:rPr>
          <w:rFonts w:hint="eastAsia" w:ascii="宋体" w:hAnsi="宋体"/>
          <w:sz w:val="24"/>
        </w:rPr>
        <w:t>及其他工作人员提供，也应注意保密并限于履行合同的必需范围，且这些人员应接受至少与本条款同等严格的保密条款的约束。本款约定的保密义务在法律、法规或国家政策另有规定，或经甲方同意，或该秘密已由第三人合法地公开时，得予以解除。无论本合同或本合同其他条款效力是否发生变化，本保密条款始终约束乙方。</w:t>
      </w:r>
    </w:p>
    <w:p>
      <w:pPr>
        <w:numPr>
          <w:ilvl w:val="0"/>
          <w:numId w:val="11"/>
        </w:numPr>
        <w:adjustRightInd w:val="0"/>
        <w:snapToGrid w:val="0"/>
        <w:spacing w:before="156" w:beforeLines="50" w:line="360" w:lineRule="exact"/>
        <w:ind w:hanging="840"/>
        <w:rPr>
          <w:rFonts w:ascii="宋体" w:hAnsi="宋体"/>
          <w:sz w:val="24"/>
        </w:rPr>
      </w:pPr>
      <w:r>
        <w:rPr>
          <w:rFonts w:hint="eastAsia" w:ascii="宋体" w:hAnsi="宋体"/>
          <w:sz w:val="24"/>
        </w:rPr>
        <w:t>乙方对于甲方发送的文件，属于征求意见或合法性审查的，乙方应在收到后3个自然日内或按甲方要求的时间给予回复，回复内容包括但不限于文件合法合规、结构体例、语句表述等方面意见；乙方收到甲方通知参与会议、调研等活动的，乙方应在24小时之内给予甲方服务响应。</w:t>
      </w:r>
    </w:p>
    <w:p>
      <w:pPr>
        <w:numPr>
          <w:ilvl w:val="0"/>
          <w:numId w:val="11"/>
        </w:numPr>
        <w:adjustRightInd w:val="0"/>
        <w:snapToGrid w:val="0"/>
        <w:spacing w:before="156" w:beforeLines="50" w:line="360" w:lineRule="exact"/>
        <w:ind w:hanging="840"/>
        <w:rPr>
          <w:rFonts w:ascii="宋体" w:hAnsi="宋体"/>
          <w:sz w:val="24"/>
        </w:rPr>
      </w:pPr>
      <w:r>
        <w:rPr>
          <w:rFonts w:hint="eastAsia" w:ascii="宋体" w:hAnsi="宋体"/>
          <w:sz w:val="24"/>
        </w:rPr>
        <w:t>乙方律师在担任甲方法律专务期间，不得为任何第三方提供任何不利于甲方的咨询意见，但因履行法定义务或根据监管部门、司法部门的要求提供的不受此限。</w:t>
      </w:r>
    </w:p>
    <w:p>
      <w:pPr>
        <w:numPr>
          <w:ilvl w:val="0"/>
          <w:numId w:val="11"/>
        </w:numPr>
        <w:adjustRightInd w:val="0"/>
        <w:snapToGrid w:val="0"/>
        <w:spacing w:before="156" w:beforeLines="50" w:line="360" w:lineRule="exact"/>
        <w:ind w:hanging="840"/>
        <w:rPr>
          <w:rFonts w:ascii="宋体" w:hAnsi="宋体"/>
          <w:sz w:val="24"/>
        </w:rPr>
      </w:pPr>
      <w:r>
        <w:rPr>
          <w:rFonts w:hint="eastAsia" w:ascii="宋体" w:hAnsi="宋体"/>
          <w:sz w:val="24"/>
        </w:rPr>
        <w:t>乙方服务关键信息如有变更，应当提前30日书面通知甲方。关键信息的变更包括但不限于团队成员变更，派驻人员变更等。</w:t>
      </w:r>
    </w:p>
    <w:p>
      <w:pPr>
        <w:numPr>
          <w:ilvl w:val="0"/>
          <w:numId w:val="11"/>
        </w:numPr>
        <w:adjustRightInd w:val="0"/>
        <w:snapToGrid w:val="0"/>
        <w:spacing w:before="156" w:beforeLines="50" w:line="360" w:lineRule="exact"/>
        <w:ind w:hanging="840"/>
        <w:rPr>
          <w:rFonts w:ascii="宋体" w:hAnsi="宋体"/>
          <w:sz w:val="24"/>
        </w:rPr>
      </w:pPr>
      <w:r>
        <w:rPr>
          <w:rFonts w:hint="eastAsia" w:ascii="宋体" w:hAnsi="宋体"/>
          <w:sz w:val="24"/>
        </w:rPr>
        <w:t>甲方支付的法律服务费用均由乙方统一收取，乙方律师不得直接从甲方收取任何报酬。</w:t>
      </w:r>
    </w:p>
    <w:p>
      <w:pPr>
        <w:numPr>
          <w:ilvl w:val="0"/>
          <w:numId w:val="11"/>
        </w:numPr>
        <w:adjustRightInd w:val="0"/>
        <w:snapToGrid w:val="0"/>
        <w:spacing w:before="156" w:beforeLines="50" w:line="360" w:lineRule="exact"/>
        <w:ind w:hanging="840"/>
        <w:rPr>
          <w:rFonts w:ascii="宋体" w:hAnsi="宋体"/>
          <w:sz w:val="24"/>
        </w:rPr>
      </w:pPr>
      <w:r>
        <w:rPr>
          <w:rFonts w:hint="eastAsia" w:ascii="宋体" w:hAnsi="宋体"/>
          <w:sz w:val="24"/>
        </w:rPr>
        <w:t>遵守其他基于诚信义务而产生的合同义务。</w:t>
      </w:r>
    </w:p>
    <w:p>
      <w:pPr>
        <w:numPr>
          <w:ilvl w:val="0"/>
          <w:numId w:val="11"/>
        </w:numPr>
        <w:adjustRightInd w:val="0"/>
        <w:snapToGrid w:val="0"/>
        <w:spacing w:before="156" w:beforeLines="50" w:line="360" w:lineRule="exact"/>
        <w:ind w:hanging="840"/>
        <w:rPr>
          <w:rFonts w:ascii="宋体" w:hAnsi="宋体"/>
          <w:sz w:val="24"/>
        </w:rPr>
      </w:pPr>
      <w:r>
        <w:rPr>
          <w:rFonts w:hint="eastAsia" w:ascii="宋体" w:hAnsi="宋体"/>
          <w:sz w:val="24"/>
        </w:rPr>
        <w:t>乙方有维护甲方声誉的义务，不得以甲方名义从事与本合同项下服务内容无关的任何事务。</w:t>
      </w:r>
    </w:p>
    <w:p>
      <w:pPr>
        <w:numPr>
          <w:ilvl w:val="0"/>
          <w:numId w:val="6"/>
        </w:numPr>
        <w:spacing w:before="312" w:beforeLines="100" w:line="360" w:lineRule="exact"/>
        <w:ind w:left="1134" w:hanging="1134"/>
        <w:rPr>
          <w:rFonts w:ascii="宋体" w:hAnsi="宋体" w:cs="宋体"/>
          <w:b/>
          <w:bCs/>
          <w:kern w:val="0"/>
          <w:sz w:val="24"/>
        </w:rPr>
      </w:pPr>
      <w:r>
        <w:rPr>
          <w:rFonts w:ascii="黑体" w:hAnsi="黑体" w:eastAsia="黑体"/>
          <w:b/>
          <w:bCs/>
          <w:sz w:val="24"/>
        </w:rPr>
        <w:t>成果权属与知识产权</w:t>
      </w:r>
    </w:p>
    <w:p>
      <w:pPr>
        <w:widowControl/>
        <w:spacing w:line="500" w:lineRule="exact"/>
        <w:ind w:left="480" w:hanging="480" w:hangingChars="200"/>
        <w:rPr>
          <w:rFonts w:ascii="宋体" w:hAnsi="宋体" w:cs="宋体"/>
          <w:sz w:val="24"/>
        </w:rPr>
      </w:pPr>
      <w:r>
        <w:rPr>
          <w:rFonts w:hint="eastAsia" w:ascii="宋体" w:hAnsi="宋体" w:cs="宋体"/>
          <w:sz w:val="24"/>
        </w:rPr>
        <w:t>6.1  本项目全部阶段性成果和最终成果（包括为后续服务范围所编制的文件）的知识产权以及与之相关的所有权利归甲方所有；本合同签署前双方已经拥有的知识产权权利，仍归各自所有。</w:t>
      </w:r>
    </w:p>
    <w:p>
      <w:pPr>
        <w:widowControl/>
        <w:spacing w:line="500" w:lineRule="exact"/>
        <w:ind w:left="480" w:hanging="480" w:hangingChars="200"/>
        <w:rPr>
          <w:rFonts w:ascii="宋体" w:hAnsi="宋体" w:cs="宋体"/>
          <w:sz w:val="24"/>
        </w:rPr>
      </w:pPr>
      <w:r>
        <w:rPr>
          <w:rFonts w:hint="eastAsia" w:ascii="宋体" w:hAnsi="宋体" w:cs="宋体"/>
          <w:sz w:val="24"/>
        </w:rPr>
        <w:t>6.2  双方确定，甲方有权对乙方按照合同约定提供的研究开发成果（如有），进行后续改进。由此产生的具有实质性或创造性技术进步特征的新的技术成果及其权利归属，全部由甲方享有。具体相关利益的分配办法如下：甲方100%。</w:t>
      </w:r>
    </w:p>
    <w:p>
      <w:pPr>
        <w:widowControl/>
        <w:spacing w:line="500" w:lineRule="exact"/>
        <w:ind w:left="480" w:hanging="480" w:hangingChars="200"/>
        <w:rPr>
          <w:rFonts w:ascii="宋体" w:hAnsi="宋体" w:cs="宋体"/>
          <w:sz w:val="24"/>
        </w:rPr>
      </w:pPr>
      <w:r>
        <w:rPr>
          <w:rFonts w:hint="eastAsia" w:ascii="宋体" w:hAnsi="宋体" w:cs="宋体"/>
          <w:sz w:val="24"/>
        </w:rPr>
        <w:t>6.3  乙方所提交的全部中间成果和最终成果文件及任何数据、资料、软件等不得侵犯任何第三方的知识产权或其他权利，由于使用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500" w:lineRule="exact"/>
        <w:ind w:left="480" w:hanging="480" w:hangingChars="200"/>
        <w:rPr>
          <w:rFonts w:ascii="宋体" w:hAnsi="宋体" w:cs="宋体"/>
          <w:sz w:val="24"/>
        </w:rPr>
      </w:pPr>
      <w:r>
        <w:rPr>
          <w:rFonts w:hint="eastAsia" w:ascii="宋体" w:hAnsi="宋体" w:cs="宋体"/>
          <w:sz w:val="24"/>
        </w:rPr>
        <w:t>6.4 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widowControl/>
        <w:spacing w:line="500" w:lineRule="exact"/>
        <w:ind w:left="480" w:hanging="480" w:hangingChars="200"/>
        <w:rPr>
          <w:rFonts w:ascii="宋体" w:hAnsi="宋体" w:cs="宋体"/>
          <w:sz w:val="24"/>
        </w:rPr>
      </w:pPr>
      <w:r>
        <w:rPr>
          <w:rFonts w:hint="eastAsia" w:ascii="宋体" w:hAnsi="宋体" w:cs="宋体"/>
          <w:sz w:val="24"/>
        </w:rPr>
        <w:t>6.5 乙方完成本合同项目的研究人员享有在有关技术成果文件上署名的权利和与甲方共同获得有关荣誉证书、奖励的权利。</w:t>
      </w:r>
    </w:p>
    <w:p>
      <w:pPr>
        <w:widowControl/>
        <w:spacing w:line="500" w:lineRule="exact"/>
        <w:rPr>
          <w:rFonts w:ascii="黑体" w:hAnsi="黑体" w:eastAsia="黑体"/>
          <w:b/>
          <w:bCs/>
          <w:sz w:val="24"/>
        </w:rPr>
      </w:pPr>
      <w:r>
        <w:rPr>
          <w:rFonts w:hint="eastAsia" w:ascii="黑体" w:hAnsi="黑体" w:eastAsia="黑体"/>
          <w:b/>
          <w:bCs/>
          <w:sz w:val="24"/>
        </w:rPr>
        <w:t>第七条 保密</w:t>
      </w:r>
    </w:p>
    <w:p>
      <w:pPr>
        <w:widowControl/>
        <w:spacing w:line="500" w:lineRule="exact"/>
        <w:ind w:left="480" w:hanging="480" w:hangingChars="200"/>
        <w:rPr>
          <w:rFonts w:ascii="宋体" w:hAnsi="宋体" w:cs="宋体"/>
          <w:sz w:val="24"/>
        </w:rPr>
      </w:pPr>
      <w:r>
        <w:rPr>
          <w:rFonts w:hint="eastAsia" w:ascii="宋体" w:hAnsi="宋体" w:cs="宋体"/>
          <w:sz w:val="24"/>
        </w:rPr>
        <w:t>7.1 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pPr>
        <w:widowControl/>
        <w:spacing w:line="500" w:lineRule="exact"/>
        <w:ind w:left="480" w:hanging="480" w:hangingChars="200"/>
        <w:rPr>
          <w:rFonts w:ascii="宋体" w:hAnsi="宋体" w:cs="宋体"/>
          <w:sz w:val="24"/>
        </w:rPr>
      </w:pPr>
      <w:r>
        <w:rPr>
          <w:rFonts w:hint="eastAsia" w:ascii="宋体" w:hAnsi="宋体" w:cs="宋体"/>
          <w:sz w:val="24"/>
        </w:rPr>
        <w:t>7.2 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500" w:lineRule="exact"/>
        <w:ind w:left="480" w:hanging="480" w:hangingChars="200"/>
        <w:rPr>
          <w:rFonts w:ascii="宋体" w:hAnsi="宋体" w:cs="宋体"/>
          <w:sz w:val="24"/>
        </w:rPr>
      </w:pPr>
      <w:r>
        <w:rPr>
          <w:rFonts w:hint="eastAsia" w:ascii="宋体" w:hAnsi="宋体" w:cs="宋体"/>
          <w:sz w:val="24"/>
        </w:rPr>
        <w:t>7.3  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500" w:lineRule="exact"/>
        <w:rPr>
          <w:rFonts w:ascii="宋体" w:hAnsi="宋体" w:cs="宋体"/>
          <w:sz w:val="24"/>
        </w:rPr>
      </w:pPr>
      <w:r>
        <w:rPr>
          <w:rFonts w:hint="eastAsia" w:ascii="宋体" w:hAnsi="宋体" w:cs="宋体"/>
          <w:sz w:val="24"/>
        </w:rPr>
        <w:t>7.4  乙方实施项目的程序应符合国家安全、保密的有关规定和标准。</w:t>
      </w:r>
    </w:p>
    <w:p>
      <w:pPr>
        <w:widowControl/>
        <w:spacing w:line="500" w:lineRule="exact"/>
        <w:rPr>
          <w:rFonts w:ascii="宋体" w:hAnsi="宋体" w:cs="宋体"/>
          <w:sz w:val="24"/>
        </w:rPr>
      </w:pPr>
      <w:r>
        <w:rPr>
          <w:rFonts w:hint="eastAsia" w:ascii="宋体" w:hAnsi="宋体" w:cs="宋体"/>
          <w:sz w:val="24"/>
        </w:rPr>
        <w:t>7.5  上述保密义务不适用以下情况：</w:t>
      </w:r>
    </w:p>
    <w:p>
      <w:pPr>
        <w:widowControl/>
        <w:spacing w:line="500" w:lineRule="exact"/>
        <w:ind w:firstLine="480" w:firstLineChars="200"/>
        <w:rPr>
          <w:rFonts w:ascii="宋体" w:hAnsi="宋体" w:cs="宋体"/>
          <w:sz w:val="24"/>
        </w:rPr>
      </w:pPr>
      <w:r>
        <w:rPr>
          <w:rFonts w:hint="eastAsia" w:ascii="宋体" w:hAnsi="宋体" w:cs="宋体"/>
          <w:sz w:val="24"/>
        </w:rPr>
        <w:t>7.5.1获取的信息已被合法公开；</w:t>
      </w:r>
    </w:p>
    <w:p>
      <w:pPr>
        <w:widowControl/>
        <w:spacing w:line="500" w:lineRule="exact"/>
        <w:ind w:firstLine="480" w:firstLineChars="200"/>
        <w:rPr>
          <w:rFonts w:ascii="宋体" w:hAnsi="宋体" w:cs="宋体"/>
          <w:sz w:val="24"/>
        </w:rPr>
      </w:pPr>
      <w:r>
        <w:rPr>
          <w:rFonts w:hint="eastAsia" w:ascii="宋体" w:hAnsi="宋体" w:cs="宋体"/>
          <w:sz w:val="24"/>
        </w:rPr>
        <w:t>7.5.2获得信息拥有方书面许可并在该许可范围内披露；</w:t>
      </w:r>
    </w:p>
    <w:p>
      <w:pPr>
        <w:widowControl/>
        <w:spacing w:line="500" w:lineRule="exact"/>
        <w:ind w:firstLine="480" w:firstLineChars="200"/>
        <w:rPr>
          <w:rFonts w:ascii="宋体" w:hAnsi="宋体" w:cs="宋体"/>
          <w:sz w:val="24"/>
        </w:rPr>
      </w:pPr>
      <w:r>
        <w:rPr>
          <w:rFonts w:hint="eastAsia" w:ascii="宋体" w:hAnsi="宋体" w:cs="宋体"/>
          <w:sz w:val="24"/>
        </w:rPr>
        <w:t>7.5.3国家法律、法规规定的情形。</w:t>
      </w:r>
    </w:p>
    <w:p>
      <w:pPr>
        <w:widowControl/>
        <w:spacing w:line="500" w:lineRule="exact"/>
        <w:ind w:left="480" w:hanging="480" w:hangingChars="200"/>
        <w:rPr>
          <w:rFonts w:ascii="宋体" w:hAnsi="宋体" w:cs="宋体"/>
          <w:sz w:val="24"/>
        </w:rPr>
      </w:pPr>
      <w:r>
        <w:rPr>
          <w:rFonts w:hint="eastAsia" w:ascii="宋体" w:hAnsi="宋体" w:cs="宋体"/>
          <w:sz w:val="24"/>
        </w:rPr>
        <w:t>7.6  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500" w:lineRule="exact"/>
        <w:ind w:left="480" w:hanging="480" w:hangingChars="200"/>
        <w:rPr>
          <w:rFonts w:ascii="宋体" w:hAnsi="宋体" w:cs="宋体"/>
          <w:sz w:val="24"/>
        </w:rPr>
      </w:pPr>
      <w:r>
        <w:rPr>
          <w:rFonts w:hint="eastAsia" w:ascii="宋体" w:hAnsi="宋体" w:cs="宋体"/>
          <w:sz w:val="24"/>
        </w:rPr>
        <w:t>7.7  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widowControl/>
        <w:spacing w:line="500" w:lineRule="exact"/>
        <w:ind w:left="480" w:hanging="480" w:hangingChars="200"/>
        <w:rPr>
          <w:rFonts w:ascii="宋体" w:hAnsi="宋体" w:cs="宋体"/>
          <w:sz w:val="24"/>
        </w:rPr>
      </w:pPr>
      <w:r>
        <w:rPr>
          <w:rFonts w:hint="eastAsia" w:ascii="宋体" w:hAnsi="宋体" w:cs="宋体"/>
          <w:sz w:val="24"/>
        </w:rPr>
        <w:t>7.8  无论本合同或本合同其他条款是否有效，本保密条款始终约束双方。国家秘密的保密期限由国家有关部门确定，工作秘密的保密期限由甲方确定。</w:t>
      </w:r>
    </w:p>
    <w:p>
      <w:pPr>
        <w:numPr>
          <w:ilvl w:val="255"/>
          <w:numId w:val="0"/>
        </w:numPr>
        <w:spacing w:before="312" w:beforeLines="100" w:line="360" w:lineRule="exact"/>
        <w:rPr>
          <w:rFonts w:ascii="黑体" w:hAnsi="黑体" w:eastAsia="黑体"/>
          <w:b/>
          <w:bCs/>
          <w:sz w:val="24"/>
        </w:rPr>
      </w:pPr>
      <w:r>
        <w:rPr>
          <w:rFonts w:hint="eastAsia" w:ascii="黑体" w:hAnsi="黑体" w:eastAsia="黑体"/>
          <w:b/>
          <w:bCs/>
          <w:sz w:val="24"/>
        </w:rPr>
        <w:t>第八条  合同变更和解除</w:t>
      </w:r>
    </w:p>
    <w:p>
      <w:pPr>
        <w:numPr>
          <w:ilvl w:val="255"/>
          <w:numId w:val="0"/>
        </w:numPr>
        <w:spacing w:before="312" w:beforeLines="100" w:line="360" w:lineRule="exact"/>
        <w:rPr>
          <w:rFonts w:ascii="宋体" w:hAnsi="宋体"/>
          <w:sz w:val="24"/>
        </w:rPr>
      </w:pPr>
      <w:r>
        <w:rPr>
          <w:rFonts w:hint="eastAsia" w:ascii="宋体" w:hAnsi="宋体"/>
          <w:sz w:val="24"/>
        </w:rPr>
        <w:t>8.1  甲乙双方经协商一致，可以变更或者解除本合同。</w:t>
      </w:r>
    </w:p>
    <w:p>
      <w:pPr>
        <w:numPr>
          <w:ilvl w:val="255"/>
          <w:numId w:val="0"/>
        </w:numPr>
        <w:spacing w:before="312" w:beforeLines="100" w:line="360" w:lineRule="exact"/>
        <w:rPr>
          <w:rFonts w:ascii="宋体" w:hAnsi="宋体"/>
          <w:sz w:val="24"/>
        </w:rPr>
      </w:pPr>
      <w:r>
        <w:rPr>
          <w:rFonts w:hint="eastAsia" w:ascii="宋体" w:hAnsi="宋体"/>
          <w:sz w:val="24"/>
        </w:rPr>
        <w:t>8.2  乙方有下列情形之一的，甲方有权单方解除本合同：</w:t>
      </w:r>
    </w:p>
    <w:p>
      <w:pPr>
        <w:numPr>
          <w:ilvl w:val="255"/>
          <w:numId w:val="0"/>
        </w:numPr>
        <w:adjustRightInd w:val="0"/>
        <w:snapToGrid w:val="0"/>
        <w:spacing w:before="156" w:beforeLines="50" w:line="360" w:lineRule="exact"/>
        <w:ind w:left="851"/>
        <w:rPr>
          <w:rFonts w:ascii="宋体" w:hAnsi="宋体"/>
          <w:sz w:val="24"/>
        </w:rPr>
      </w:pPr>
      <w:r>
        <w:rPr>
          <w:rFonts w:hint="eastAsia" w:ascii="宋体" w:hAnsi="宋体"/>
          <w:sz w:val="24"/>
        </w:rPr>
        <w:t>8.2.1   未经甲方同意，擅自更换作为甲方法律顾问负责律师的；</w:t>
      </w:r>
    </w:p>
    <w:p>
      <w:pPr>
        <w:numPr>
          <w:ilvl w:val="255"/>
          <w:numId w:val="0"/>
        </w:numPr>
        <w:adjustRightInd w:val="0"/>
        <w:snapToGrid w:val="0"/>
        <w:spacing w:before="156" w:beforeLines="50" w:line="360" w:lineRule="exact"/>
        <w:ind w:left="851"/>
        <w:rPr>
          <w:rFonts w:ascii="宋体" w:hAnsi="宋体"/>
          <w:sz w:val="24"/>
        </w:rPr>
      </w:pPr>
      <w:r>
        <w:rPr>
          <w:rFonts w:hint="eastAsia" w:ascii="宋体" w:hAnsi="宋体"/>
          <w:sz w:val="24"/>
        </w:rPr>
        <w:t>8.2.2   因乙方委派的律师、</w:t>
      </w:r>
      <w:r>
        <w:rPr>
          <w:rFonts w:ascii="宋体" w:hAnsi="宋体"/>
          <w:sz w:val="24"/>
        </w:rPr>
        <w:t>律师助理</w:t>
      </w:r>
      <w:r>
        <w:rPr>
          <w:rFonts w:hint="eastAsia" w:ascii="宋体" w:hAnsi="宋体"/>
          <w:sz w:val="24"/>
        </w:rPr>
        <w:t>工作延误、失职、失误导致甲方蒙受损失的。</w:t>
      </w:r>
    </w:p>
    <w:p>
      <w:pPr>
        <w:numPr>
          <w:ilvl w:val="255"/>
          <w:numId w:val="0"/>
        </w:numPr>
        <w:tabs>
          <w:tab w:val="left" w:pos="851"/>
        </w:tabs>
        <w:adjustRightInd w:val="0"/>
        <w:snapToGrid w:val="0"/>
        <w:spacing w:before="156" w:beforeLines="50" w:line="360" w:lineRule="exact"/>
        <w:rPr>
          <w:rFonts w:ascii="宋体" w:hAnsi="宋体"/>
          <w:sz w:val="24"/>
        </w:rPr>
      </w:pPr>
      <w:r>
        <w:rPr>
          <w:rFonts w:hint="eastAsia" w:ascii="宋体" w:hAnsi="宋体"/>
          <w:sz w:val="24"/>
        </w:rPr>
        <w:t>8.3  甲方有下列情形之一的，乙方有权单方解除本合同：</w:t>
      </w:r>
    </w:p>
    <w:p>
      <w:pPr>
        <w:numPr>
          <w:ilvl w:val="255"/>
          <w:numId w:val="0"/>
        </w:numPr>
        <w:tabs>
          <w:tab w:val="left" w:pos="851"/>
        </w:tabs>
        <w:adjustRightInd w:val="0"/>
        <w:snapToGrid w:val="0"/>
        <w:spacing w:before="156" w:beforeLines="50" w:line="360" w:lineRule="exact"/>
        <w:ind w:firstLine="720" w:firstLineChars="300"/>
        <w:rPr>
          <w:rFonts w:ascii="宋体" w:hAnsi="宋体"/>
          <w:sz w:val="24"/>
        </w:rPr>
      </w:pPr>
      <w:r>
        <w:rPr>
          <w:rFonts w:hint="eastAsia" w:ascii="宋体" w:hAnsi="宋体"/>
          <w:sz w:val="24"/>
        </w:rPr>
        <w:t>8.3.1  甲方的委托事项违反法律、行政法规规定，或者违反律师执业规范和执业纪律的；</w:t>
      </w:r>
    </w:p>
    <w:p>
      <w:pPr>
        <w:numPr>
          <w:ilvl w:val="255"/>
          <w:numId w:val="0"/>
        </w:numPr>
        <w:adjustRightInd w:val="0"/>
        <w:snapToGrid w:val="0"/>
        <w:spacing w:before="156" w:beforeLines="50" w:line="360" w:lineRule="exact"/>
        <w:ind w:firstLine="720" w:firstLineChars="300"/>
        <w:rPr>
          <w:rFonts w:ascii="宋体" w:hAnsi="宋体"/>
          <w:sz w:val="24"/>
        </w:rPr>
      </w:pPr>
      <w:r>
        <w:rPr>
          <w:rFonts w:hint="eastAsia" w:ascii="宋体" w:hAnsi="宋体"/>
          <w:sz w:val="24"/>
        </w:rPr>
        <w:t>8.3.2  甲方有捏造事实、伪造证据或者隐瞒重要情节等情形的；</w:t>
      </w:r>
    </w:p>
    <w:p>
      <w:pPr>
        <w:numPr>
          <w:ilvl w:val="255"/>
          <w:numId w:val="0"/>
        </w:numPr>
        <w:adjustRightInd w:val="0"/>
        <w:snapToGrid w:val="0"/>
        <w:spacing w:before="156" w:beforeLines="50" w:line="360" w:lineRule="exact"/>
        <w:ind w:firstLine="720" w:firstLineChars="300"/>
        <w:rPr>
          <w:rFonts w:ascii="宋体" w:hAnsi="宋体"/>
          <w:sz w:val="24"/>
        </w:rPr>
      </w:pPr>
      <w:r>
        <w:rPr>
          <w:rFonts w:hint="eastAsia" w:ascii="宋体" w:hAnsi="宋体"/>
          <w:sz w:val="24"/>
        </w:rPr>
        <w:t>8.3.3  如甲方未按照本合同约定的时间支付服务费，乙方书面催告甲方并给予不少于</w:t>
      </w:r>
      <w:r>
        <w:rPr>
          <w:rFonts w:ascii="宋体" w:hAnsi="宋体"/>
          <w:sz w:val="24"/>
        </w:rPr>
        <w:t>30</w:t>
      </w:r>
      <w:r>
        <w:rPr>
          <w:rFonts w:hint="eastAsia" w:ascii="宋体" w:hAnsi="宋体"/>
          <w:sz w:val="24"/>
        </w:rPr>
        <w:t>个工作日的履行期限后甲方仍未支付的。</w:t>
      </w:r>
    </w:p>
    <w:p>
      <w:pPr>
        <w:widowControl/>
        <w:spacing w:before="312" w:beforeLines="100" w:line="360" w:lineRule="exact"/>
        <w:rPr>
          <w:rFonts w:ascii="黑体" w:hAnsi="黑体" w:eastAsia="黑体"/>
          <w:b/>
          <w:bCs/>
          <w:sz w:val="24"/>
        </w:rPr>
      </w:pPr>
      <w:r>
        <w:rPr>
          <w:rFonts w:hint="eastAsia" w:ascii="黑体" w:hAnsi="黑体" w:eastAsia="黑体"/>
          <w:b/>
          <w:bCs/>
          <w:sz w:val="24"/>
        </w:rPr>
        <w:t>第九条  违约责任</w:t>
      </w:r>
    </w:p>
    <w:p>
      <w:pPr>
        <w:widowControl/>
        <w:spacing w:line="500" w:lineRule="exact"/>
        <w:ind w:left="480" w:hanging="480" w:hangingChars="200"/>
        <w:rPr>
          <w:rFonts w:ascii="宋体" w:hAnsi="宋体" w:cs="宋体"/>
          <w:sz w:val="24"/>
        </w:rPr>
      </w:pPr>
      <w:r>
        <w:rPr>
          <w:rFonts w:hint="eastAsia" w:ascii="宋体" w:hAnsi="宋体" w:cs="宋体"/>
          <w:sz w:val="24"/>
        </w:rPr>
        <w:t>9. 1 乙方未按照本合同约定的时间完成本项目各阶段工作，每延迟一日，甲方有权自尚未支付的合同款项中扣除本合同服务费总金额的1‰的逾期违约金。</w:t>
      </w:r>
    </w:p>
    <w:p>
      <w:pPr>
        <w:widowControl/>
        <w:spacing w:line="500" w:lineRule="exact"/>
        <w:ind w:left="480" w:hanging="480" w:hangingChars="200"/>
        <w:rPr>
          <w:rFonts w:ascii="宋体" w:hAnsi="宋体" w:cs="宋体"/>
          <w:sz w:val="24"/>
        </w:rPr>
      </w:pPr>
      <w:r>
        <w:rPr>
          <w:rFonts w:hint="eastAsia" w:ascii="宋体" w:hAnsi="宋体" w:cs="宋体"/>
          <w:sz w:val="24"/>
        </w:rPr>
        <w:t>9.2 本合同项下的工作内容不可分割，任一文件的迟延交付均视为整个项目的迟延交付。</w:t>
      </w:r>
    </w:p>
    <w:p>
      <w:pPr>
        <w:widowControl/>
        <w:spacing w:line="500" w:lineRule="exact"/>
        <w:ind w:left="480" w:hanging="480" w:hangingChars="200"/>
        <w:rPr>
          <w:rFonts w:ascii="宋体" w:hAnsi="宋体" w:cs="宋体"/>
          <w:sz w:val="24"/>
        </w:rPr>
      </w:pPr>
      <w:r>
        <w:rPr>
          <w:rFonts w:hint="eastAsia" w:ascii="宋体" w:hAnsi="宋体" w:cs="宋体"/>
          <w:sz w:val="24"/>
        </w:rPr>
        <w:t>9.3 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widowControl/>
        <w:spacing w:line="500" w:lineRule="exact"/>
        <w:ind w:left="959" w:leftChars="228" w:hanging="480" w:hangingChars="200"/>
        <w:rPr>
          <w:rFonts w:ascii="宋体" w:hAnsi="宋体" w:cs="宋体"/>
          <w:sz w:val="24"/>
        </w:rPr>
      </w:pPr>
      <w:r>
        <w:rPr>
          <w:rFonts w:hint="eastAsia" w:ascii="宋体" w:hAnsi="宋体" w:cs="宋体"/>
          <w:sz w:val="24"/>
        </w:rPr>
        <w:t>9.3.1 乙方未能按合同约定的日期(含协商延缓的日期)提交各阶段工作成果，延误时间超过15个工作日；</w:t>
      </w:r>
    </w:p>
    <w:p>
      <w:pPr>
        <w:widowControl/>
        <w:spacing w:line="500" w:lineRule="exact"/>
        <w:ind w:left="959" w:leftChars="228" w:hanging="480" w:hangingChars="200"/>
        <w:rPr>
          <w:rFonts w:ascii="宋体" w:hAnsi="宋体" w:cs="宋体"/>
          <w:sz w:val="24"/>
        </w:rPr>
      </w:pPr>
      <w:r>
        <w:rPr>
          <w:rFonts w:hint="eastAsia" w:ascii="宋体" w:hAnsi="宋体" w:cs="宋体"/>
          <w:sz w:val="24"/>
        </w:rPr>
        <w:t>9.3.2 因乙方工作的错误或遗漏造成成果质量损失，工作成果质量低劣，不能满足甲方工作需要和要求；</w:t>
      </w:r>
    </w:p>
    <w:p>
      <w:pPr>
        <w:widowControl/>
        <w:spacing w:line="500" w:lineRule="exact"/>
        <w:ind w:firstLine="480" w:firstLineChars="200"/>
        <w:rPr>
          <w:rFonts w:ascii="宋体" w:hAnsi="宋体" w:cs="宋体"/>
          <w:sz w:val="24"/>
        </w:rPr>
      </w:pPr>
      <w:r>
        <w:rPr>
          <w:rFonts w:hint="eastAsia" w:ascii="宋体" w:hAnsi="宋体" w:cs="宋体"/>
          <w:sz w:val="24"/>
        </w:rPr>
        <w:t>9.3.3 乙方虽如期提交最终成果，但连续二次未能通过甲方验收的；</w:t>
      </w:r>
    </w:p>
    <w:p>
      <w:pPr>
        <w:widowControl/>
        <w:spacing w:line="500" w:lineRule="exact"/>
        <w:ind w:left="959" w:leftChars="228" w:hanging="480" w:hangingChars="200"/>
        <w:rPr>
          <w:rFonts w:ascii="宋体" w:hAnsi="宋体" w:cs="宋体"/>
          <w:sz w:val="24"/>
        </w:rPr>
      </w:pPr>
      <w:r>
        <w:rPr>
          <w:rFonts w:hint="eastAsia" w:ascii="宋体" w:hAnsi="宋体" w:cs="宋体"/>
          <w:sz w:val="24"/>
        </w:rPr>
        <w:t>9.3.4 未经甲方书面在先同意，乙方擅自将本合同项目与任何第三方合作，或将本合同标的全部或部分擅自转包或分包给任何第三方，且未按甲方的要求终止与第三方的合同的；</w:t>
      </w:r>
    </w:p>
    <w:p>
      <w:pPr>
        <w:widowControl/>
        <w:spacing w:line="500" w:lineRule="exact"/>
        <w:ind w:left="959" w:leftChars="228" w:hanging="480" w:hangingChars="200"/>
        <w:rPr>
          <w:rFonts w:ascii="宋体" w:hAnsi="宋体" w:cs="宋体"/>
          <w:sz w:val="24"/>
        </w:rPr>
      </w:pPr>
      <w:r>
        <w:rPr>
          <w:rFonts w:hint="eastAsia" w:ascii="宋体" w:hAnsi="宋体" w:cs="宋体"/>
          <w:sz w:val="24"/>
        </w:rPr>
        <w:t>9.3.5 项目负责人未承担本合同项目实质性工作，或未经甲方书面在先同意，乙方擅自更换项目负责人的；</w:t>
      </w:r>
    </w:p>
    <w:p>
      <w:pPr>
        <w:widowControl/>
        <w:spacing w:line="500" w:lineRule="exact"/>
        <w:ind w:left="959" w:leftChars="228" w:hanging="480" w:hangingChars="200"/>
        <w:rPr>
          <w:rFonts w:ascii="宋体" w:hAnsi="宋体" w:cs="宋体"/>
          <w:sz w:val="24"/>
        </w:rPr>
      </w:pPr>
      <w:r>
        <w:rPr>
          <w:rFonts w:hint="eastAsia" w:ascii="宋体" w:hAnsi="宋体" w:cs="宋体"/>
          <w:sz w:val="24"/>
        </w:rPr>
        <w:t>9.3.6发现乙方或乙方工作人员出现全部或部分丧失履行委托服务能力的情况，甲方有权通知乙方限期整改或更换工作人员，期限届满乙方并未进行改善的；</w:t>
      </w:r>
    </w:p>
    <w:p>
      <w:pPr>
        <w:widowControl/>
        <w:spacing w:line="500" w:lineRule="exact"/>
        <w:ind w:firstLine="480" w:firstLineChars="200"/>
        <w:rPr>
          <w:rFonts w:ascii="宋体" w:hAnsi="宋体" w:cs="宋体"/>
          <w:sz w:val="24"/>
        </w:rPr>
      </w:pPr>
      <w:r>
        <w:rPr>
          <w:rFonts w:hint="eastAsia" w:ascii="宋体" w:hAnsi="宋体" w:cs="宋体"/>
          <w:sz w:val="24"/>
        </w:rPr>
        <w:t>9.3.7乙方明确表示或者以自己的行为表明不履行本合同的。</w:t>
      </w:r>
    </w:p>
    <w:p>
      <w:pPr>
        <w:widowControl/>
        <w:spacing w:line="500" w:lineRule="exact"/>
        <w:ind w:left="959" w:leftChars="228" w:hanging="480" w:hangingChars="200"/>
        <w:rPr>
          <w:rFonts w:ascii="宋体" w:hAnsi="宋体" w:cs="宋体"/>
          <w:sz w:val="24"/>
        </w:rPr>
      </w:pPr>
      <w:r>
        <w:rPr>
          <w:rFonts w:hint="eastAsia" w:ascii="宋体" w:hAnsi="宋体" w:cs="宋体"/>
          <w:sz w:val="24"/>
        </w:rPr>
        <w:t>9.4  除因</w:t>
      </w:r>
      <w:r>
        <w:rPr>
          <w:rFonts w:hint="eastAsia" w:ascii="宋体" w:hAnsi="宋体" w:cs="宋体"/>
          <w:kern w:val="0"/>
          <w:sz w:val="24"/>
        </w:rPr>
        <w:t>甲方付款审批影响支付进度的情况外，</w:t>
      </w:r>
      <w:r>
        <w:rPr>
          <w:rFonts w:hint="eastAsia" w:ascii="宋体" w:hAnsi="宋体" w:cs="宋体"/>
          <w:sz w:val="24"/>
        </w:rPr>
        <w:t>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widowControl/>
        <w:spacing w:line="500" w:lineRule="exact"/>
        <w:ind w:left="959" w:leftChars="228" w:hanging="480" w:hangingChars="200"/>
        <w:rPr>
          <w:rFonts w:ascii="宋体" w:hAnsi="宋体" w:cs="宋体"/>
          <w:sz w:val="24"/>
        </w:rPr>
      </w:pPr>
      <w:r>
        <w:rPr>
          <w:rFonts w:hint="eastAsia" w:ascii="宋体" w:hAnsi="宋体" w:cs="宋体"/>
          <w:sz w:val="24"/>
        </w:rPr>
        <w:t>9.5 上述违约责任各自独立且可累加。本合同所约定的违约金如低于因违约行为所造成的损失，违约方应补偿上述不足部分的损失。</w:t>
      </w:r>
    </w:p>
    <w:p>
      <w:pPr>
        <w:numPr>
          <w:ilvl w:val="255"/>
          <w:numId w:val="0"/>
        </w:numPr>
        <w:spacing w:before="312" w:beforeLines="100" w:line="360" w:lineRule="exact"/>
        <w:rPr>
          <w:rFonts w:ascii="黑体" w:hAnsi="黑体" w:eastAsia="黑体"/>
          <w:b/>
          <w:bCs/>
          <w:sz w:val="24"/>
        </w:rPr>
      </w:pPr>
      <w:r>
        <w:rPr>
          <w:rFonts w:hint="eastAsia" w:ascii="黑体" w:hAnsi="黑体" w:eastAsia="黑体"/>
          <w:b/>
          <w:bCs/>
          <w:sz w:val="24"/>
        </w:rPr>
        <w:t>第十条  争议解决</w:t>
      </w:r>
    </w:p>
    <w:p>
      <w:pPr>
        <w:numPr>
          <w:ilvl w:val="0"/>
          <w:numId w:val="12"/>
        </w:numPr>
        <w:adjustRightInd w:val="0"/>
        <w:snapToGrid w:val="0"/>
        <w:spacing w:before="156" w:beforeLines="50" w:line="360" w:lineRule="exact"/>
        <w:ind w:left="778" w:hanging="777" w:hangingChars="324"/>
        <w:rPr>
          <w:rFonts w:ascii="宋体" w:hAnsi="宋体"/>
          <w:sz w:val="24"/>
        </w:rPr>
      </w:pPr>
      <w:r>
        <w:rPr>
          <w:rFonts w:hint="eastAsia" w:ascii="宋体" w:hAnsi="宋体"/>
          <w:sz w:val="24"/>
        </w:rPr>
        <w:t>本合同适用中华人民共和国法律。</w:t>
      </w:r>
    </w:p>
    <w:p>
      <w:pPr>
        <w:numPr>
          <w:ilvl w:val="0"/>
          <w:numId w:val="12"/>
        </w:numPr>
        <w:adjustRightInd w:val="0"/>
        <w:snapToGrid w:val="0"/>
        <w:spacing w:before="156" w:beforeLines="50" w:line="360" w:lineRule="exact"/>
        <w:ind w:left="778" w:hanging="777" w:hangingChars="324"/>
        <w:rPr>
          <w:rFonts w:ascii="宋体" w:hAnsi="宋体"/>
          <w:sz w:val="24"/>
        </w:rPr>
      </w:pPr>
      <w:r>
        <w:rPr>
          <w:rFonts w:hint="eastAsia" w:ascii="宋体" w:hAnsi="宋体"/>
          <w:sz w:val="24"/>
        </w:rPr>
        <w:t>甲乙双方如果发生争议，应当友好协商解决。经协商三十日不能解决的或一方不愿协商的，</w:t>
      </w:r>
      <w:r>
        <w:rPr>
          <w:rFonts w:hint="eastAsia" w:ascii="宋体" w:hAnsi="宋体" w:cs="Arial"/>
          <w:sz w:val="24"/>
        </w:rPr>
        <w:t>任何一方均可向深圳前海合作区人民法院起诉。</w:t>
      </w:r>
    </w:p>
    <w:p>
      <w:pPr>
        <w:numPr>
          <w:ilvl w:val="255"/>
          <w:numId w:val="0"/>
        </w:numPr>
        <w:spacing w:before="312" w:beforeLines="100" w:line="360" w:lineRule="exact"/>
        <w:rPr>
          <w:rFonts w:ascii="黑体" w:hAnsi="黑体" w:eastAsia="黑体"/>
          <w:b/>
          <w:bCs/>
          <w:sz w:val="24"/>
        </w:rPr>
      </w:pPr>
      <w:r>
        <w:rPr>
          <w:rFonts w:hint="eastAsia" w:ascii="黑体" w:hAnsi="黑体" w:eastAsia="黑体"/>
          <w:b/>
          <w:bCs/>
          <w:sz w:val="24"/>
        </w:rPr>
        <w:t>第十一条 通知和送达</w:t>
      </w:r>
    </w:p>
    <w:p>
      <w:pPr>
        <w:numPr>
          <w:ilvl w:val="0"/>
          <w:numId w:val="13"/>
        </w:numPr>
        <w:adjustRightInd w:val="0"/>
        <w:snapToGrid w:val="0"/>
        <w:spacing w:before="156" w:beforeLines="50" w:line="360" w:lineRule="exact"/>
        <w:ind w:left="778" w:hanging="777" w:hangingChars="324"/>
        <w:rPr>
          <w:rFonts w:ascii="宋体" w:hAnsi="宋体"/>
          <w:sz w:val="24"/>
        </w:rPr>
      </w:pPr>
      <w:r>
        <w:rPr>
          <w:rFonts w:hint="eastAsia" w:ascii="宋体" w:hAnsi="宋体"/>
          <w:sz w:val="24"/>
        </w:rPr>
        <w:t>与本合同履行有关的通知应当以书面方式提交对方，书面方式可以邮寄、挂号邮寄、专人送达、传真、电子邮件等方式送达。乙方和甲方均应视需要选择合适的送达方式。</w:t>
      </w:r>
    </w:p>
    <w:p>
      <w:pPr>
        <w:numPr>
          <w:ilvl w:val="0"/>
          <w:numId w:val="13"/>
        </w:numPr>
        <w:adjustRightInd w:val="0"/>
        <w:snapToGrid w:val="0"/>
        <w:spacing w:before="156" w:beforeLines="50" w:line="360" w:lineRule="exact"/>
        <w:ind w:left="778" w:hanging="777" w:hangingChars="324"/>
        <w:rPr>
          <w:rFonts w:ascii="宋体" w:hAnsi="宋体"/>
          <w:sz w:val="24"/>
        </w:rPr>
      </w:pPr>
      <w:r>
        <w:rPr>
          <w:rFonts w:hint="eastAsia" w:ascii="宋体" w:hAnsi="宋体"/>
          <w:sz w:val="24"/>
        </w:rPr>
        <w:t>通过传真方式的，在发出传真时视为送达；以邮寄方式的，</w:t>
      </w:r>
      <w:r>
        <w:rPr>
          <w:rFonts w:hint="eastAsia" w:ascii="宋体" w:hAnsi="宋体" w:cs="Arial"/>
          <w:sz w:val="24"/>
        </w:rPr>
        <w:t>邮局在信封面盖收邮戳之日起3个工作日</w:t>
      </w:r>
      <w:r>
        <w:rPr>
          <w:rFonts w:hint="eastAsia" w:ascii="宋体" w:hAnsi="宋体"/>
          <w:sz w:val="24"/>
        </w:rPr>
        <w:t>视为送达；以电子邮件方式发送的，自发出时起24小时内视为送达。</w:t>
      </w:r>
    </w:p>
    <w:p>
      <w:pPr>
        <w:numPr>
          <w:ilvl w:val="0"/>
          <w:numId w:val="13"/>
        </w:numPr>
        <w:adjustRightInd w:val="0"/>
        <w:snapToGrid w:val="0"/>
        <w:spacing w:before="156" w:beforeLines="50" w:line="360" w:lineRule="exact"/>
        <w:ind w:left="778" w:hanging="777" w:hangingChars="324"/>
        <w:rPr>
          <w:rFonts w:ascii="宋体" w:hAnsi="宋体"/>
          <w:sz w:val="24"/>
        </w:rPr>
      </w:pPr>
      <w:r>
        <w:rPr>
          <w:rFonts w:hint="eastAsia" w:ascii="宋体" w:hAnsi="宋体"/>
          <w:sz w:val="24"/>
        </w:rPr>
        <w:t>甲乙双方任何一方变更名称、地址、法定代表人、联系人、电话、传真、电子信箱，应当书面通知对方；变更信息方未书面通知对方的或对方在收到书面通知前，对方按原信息送达的，视为对方已完成送达，因此造成信息变更方的不便和损失由信息变更方承担。</w:t>
      </w:r>
    </w:p>
    <w:p>
      <w:pPr>
        <w:numPr>
          <w:ilvl w:val="255"/>
          <w:numId w:val="0"/>
        </w:numPr>
        <w:spacing w:before="312" w:beforeLines="100" w:line="360" w:lineRule="exact"/>
        <w:rPr>
          <w:rFonts w:ascii="黑体" w:hAnsi="黑体" w:eastAsia="黑体"/>
          <w:b/>
          <w:bCs/>
          <w:sz w:val="24"/>
        </w:rPr>
      </w:pPr>
      <w:r>
        <w:rPr>
          <w:rFonts w:hint="eastAsia" w:ascii="黑体" w:hAnsi="黑体" w:eastAsia="黑体"/>
          <w:b/>
          <w:bCs/>
          <w:sz w:val="24"/>
        </w:rPr>
        <w:t>第十二条 合同生效及其他</w:t>
      </w:r>
    </w:p>
    <w:p>
      <w:pPr>
        <w:numPr>
          <w:ilvl w:val="0"/>
          <w:numId w:val="14"/>
        </w:numPr>
        <w:adjustRightInd w:val="0"/>
        <w:snapToGrid w:val="0"/>
        <w:spacing w:before="156" w:beforeLines="50" w:line="360" w:lineRule="exact"/>
        <w:ind w:left="778" w:hanging="777" w:hangingChars="324"/>
        <w:rPr>
          <w:rFonts w:ascii="宋体" w:hAnsi="宋体"/>
          <w:sz w:val="24"/>
        </w:rPr>
      </w:pPr>
      <w:r>
        <w:rPr>
          <w:rFonts w:hint="eastAsia" w:ascii="宋体" w:hAnsi="宋体"/>
          <w:sz w:val="24"/>
        </w:rPr>
        <w:t>本合同作为乙方和甲方之间的最终的、完整的合同，取代之前双方作出的口头或书面的约定（如有）。</w:t>
      </w:r>
    </w:p>
    <w:p>
      <w:pPr>
        <w:numPr>
          <w:ilvl w:val="0"/>
          <w:numId w:val="14"/>
        </w:numPr>
        <w:adjustRightInd w:val="0"/>
        <w:snapToGrid w:val="0"/>
        <w:spacing w:before="156" w:beforeLines="50" w:line="360" w:lineRule="exact"/>
        <w:ind w:left="778" w:hanging="777" w:hangingChars="324"/>
        <w:rPr>
          <w:rFonts w:ascii="宋体" w:hAnsi="宋体"/>
          <w:sz w:val="24"/>
        </w:rPr>
      </w:pPr>
      <w:r>
        <w:rPr>
          <w:rFonts w:hint="eastAsia" w:ascii="宋体" w:hAnsi="宋体"/>
          <w:sz w:val="24"/>
        </w:rPr>
        <w:t>本合同经双方法定代表人或其授权代表签字并加盖公章之日起生效，有效期为一年。服务期限届满前，如经甲方履约评价为优秀，双方可以续签合同。</w:t>
      </w:r>
    </w:p>
    <w:p>
      <w:pPr>
        <w:numPr>
          <w:ilvl w:val="0"/>
          <w:numId w:val="14"/>
        </w:numPr>
        <w:adjustRightInd w:val="0"/>
        <w:snapToGrid w:val="0"/>
        <w:spacing w:before="156" w:beforeLines="50" w:line="360" w:lineRule="exact"/>
        <w:ind w:left="778" w:hanging="777" w:hangingChars="324"/>
        <w:rPr>
          <w:rFonts w:ascii="宋体" w:hAnsi="宋体"/>
          <w:sz w:val="24"/>
        </w:rPr>
      </w:pPr>
      <w:r>
        <w:rPr>
          <w:rFonts w:hint="eastAsia" w:ascii="宋体" w:hAnsi="宋体"/>
          <w:sz w:val="24"/>
        </w:rPr>
        <w:t>本合同附件为合同不可分割的组成部分，与本合同一并加盖骑缝章后具有同等法律效力。若附件与合同正文有任何冲突，以合同正文为准。</w:t>
      </w:r>
    </w:p>
    <w:p>
      <w:pPr>
        <w:numPr>
          <w:ilvl w:val="0"/>
          <w:numId w:val="14"/>
        </w:numPr>
        <w:adjustRightInd w:val="0"/>
        <w:snapToGrid w:val="0"/>
        <w:spacing w:before="156" w:beforeLines="50" w:line="360" w:lineRule="exact"/>
        <w:ind w:left="778" w:hanging="777" w:hangingChars="324"/>
        <w:rPr>
          <w:rFonts w:ascii="宋体" w:hAnsi="宋体"/>
          <w:sz w:val="24"/>
        </w:rPr>
      </w:pPr>
      <w:r>
        <w:rPr>
          <w:rFonts w:hint="eastAsia" w:ascii="宋体" w:hAnsi="宋体"/>
          <w:sz w:val="24"/>
        </w:rPr>
        <w:t>本合同中的任何条款如因任何原因导致全部或部分无效，本合同的其它条款仍保持原有的效力，应当予以履行。</w:t>
      </w:r>
    </w:p>
    <w:p>
      <w:pPr>
        <w:numPr>
          <w:ilvl w:val="0"/>
          <w:numId w:val="14"/>
        </w:numPr>
        <w:adjustRightInd w:val="0"/>
        <w:snapToGrid w:val="0"/>
        <w:spacing w:before="156" w:beforeLines="50" w:line="360" w:lineRule="exact"/>
        <w:ind w:left="778" w:hanging="777" w:hangingChars="324"/>
        <w:rPr>
          <w:rFonts w:ascii="宋体" w:hAnsi="宋体"/>
          <w:sz w:val="24"/>
        </w:rPr>
      </w:pPr>
      <w:r>
        <w:rPr>
          <w:rFonts w:hint="eastAsia" w:ascii="宋体" w:hAnsi="宋体"/>
          <w:sz w:val="24"/>
        </w:rPr>
        <w:t>本合同未尽事宜，由双方协商签订补充协议进行约定。补充协议应以书面形式作成，经双方法定代表人或其授权代表签字、盖章后与本合同具有同等法律效力。</w:t>
      </w:r>
    </w:p>
    <w:p>
      <w:pPr>
        <w:numPr>
          <w:ilvl w:val="0"/>
          <w:numId w:val="14"/>
        </w:numPr>
        <w:adjustRightInd w:val="0"/>
        <w:snapToGrid w:val="0"/>
        <w:spacing w:before="156" w:beforeLines="50" w:line="360" w:lineRule="exact"/>
        <w:ind w:left="778" w:hanging="777" w:hangingChars="324"/>
        <w:rPr>
          <w:rFonts w:ascii="宋体" w:hAnsi="宋体"/>
          <w:sz w:val="24"/>
        </w:rPr>
      </w:pPr>
      <w:r>
        <w:rPr>
          <w:rFonts w:hint="eastAsia" w:ascii="宋体" w:hAnsi="宋体"/>
          <w:sz w:val="24"/>
        </w:rPr>
        <w:t>本合同一式六份，双方各执三份，均具有同等法律效力。</w:t>
      </w:r>
    </w:p>
    <w:p>
      <w:pPr>
        <w:adjustRightInd w:val="0"/>
        <w:snapToGrid w:val="0"/>
        <w:spacing w:before="156" w:beforeLines="50" w:line="360" w:lineRule="exact"/>
        <w:ind w:left="778"/>
        <w:rPr>
          <w:rFonts w:ascii="宋体" w:hAnsi="宋体"/>
          <w:sz w:val="24"/>
        </w:rPr>
      </w:pPr>
    </w:p>
    <w:p>
      <w:pPr>
        <w:adjustRightInd w:val="0"/>
        <w:snapToGrid w:val="0"/>
        <w:spacing w:before="156" w:beforeLines="50" w:line="360" w:lineRule="exact"/>
        <w:ind w:left="778"/>
        <w:rPr>
          <w:rFonts w:ascii="宋体" w:hAnsi="宋体" w:cs="宋体"/>
          <w:sz w:val="24"/>
        </w:rPr>
      </w:pPr>
      <w:r>
        <w:rPr>
          <w:rFonts w:hint="eastAsia" w:ascii="宋体" w:hAnsi="宋体"/>
          <w:sz w:val="24"/>
        </w:rPr>
        <w:t>（以下无正文，</w:t>
      </w:r>
      <w:r>
        <w:rPr>
          <w:rFonts w:ascii="宋体" w:hAnsi="宋体"/>
          <w:sz w:val="24"/>
        </w:rPr>
        <w:t>为签章栏</w:t>
      </w:r>
      <w:r>
        <w:rPr>
          <w:rFonts w:hint="eastAsia" w:ascii="宋体" w:hAnsi="宋体"/>
          <w:sz w:val="24"/>
        </w:rPr>
        <w:t>）</w:t>
      </w:r>
    </w:p>
    <w:p>
      <w:pPr>
        <w:adjustRightInd w:val="0"/>
        <w:snapToGrid w:val="0"/>
        <w:spacing w:line="360" w:lineRule="auto"/>
        <w:rPr>
          <w:rFonts w:ascii="宋体" w:hAnsi="宋体" w:cs="宋体"/>
          <w:sz w:val="24"/>
        </w:rPr>
      </w:pP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ind w:firstLine="720" w:firstLineChars="300"/>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注：本合同样本仅供参考，非实质性条款内容可由采购人和中标人协商确定。</w:t>
      </w:r>
    </w:p>
    <w:p>
      <w:pPr>
        <w:snapToGrid w:val="0"/>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3" w:name="_Toc25518"/>
      <w:r>
        <w:rPr>
          <w:rFonts w:hint="eastAsia" w:ascii="宋体" w:hAnsi="宋体" w:cs="宋体"/>
          <w:b/>
          <w:bCs/>
          <w:sz w:val="24"/>
        </w:rPr>
        <w:t>用户需求书</w:t>
      </w:r>
      <w:bookmarkEnd w:id="13"/>
    </w:p>
    <w:p>
      <w:pPr>
        <w:pStyle w:val="54"/>
        <w:tabs>
          <w:tab w:val="left" w:pos="720"/>
        </w:tabs>
        <w:autoSpaceDE w:val="0"/>
        <w:autoSpaceDN w:val="0"/>
        <w:adjustRightInd w:val="0"/>
        <w:spacing w:line="360" w:lineRule="auto"/>
        <w:ind w:right="17" w:firstLine="482"/>
        <w:jc w:val="left"/>
        <w:outlineLvl w:val="1"/>
        <w:rPr>
          <w:rFonts w:ascii="宋体" w:hAnsi="宋体" w:cs="宋体"/>
          <w:b/>
          <w:sz w:val="24"/>
        </w:rPr>
      </w:pPr>
      <w:bookmarkStart w:id="14" w:name="_Toc11045"/>
      <w:bookmarkStart w:id="15" w:name="_Toc23726"/>
      <w:r>
        <w:rPr>
          <w:rFonts w:hint="eastAsia" w:ascii="宋体" w:hAnsi="宋体" w:cs="宋体"/>
          <w:b/>
          <w:sz w:val="24"/>
        </w:rPr>
        <w:t>一、</w:t>
      </w:r>
      <w:bookmarkEnd w:id="14"/>
      <w:bookmarkEnd w:id="15"/>
      <w:bookmarkStart w:id="16" w:name="_Toc51746099"/>
      <w:r>
        <w:rPr>
          <w:rFonts w:hint="eastAsia" w:ascii="宋体" w:hAnsi="宋体" w:cs="宋体"/>
          <w:b/>
          <w:sz w:val="24"/>
          <w:lang w:val="zh-CN"/>
        </w:rPr>
        <w:t>项目</w:t>
      </w:r>
      <w:r>
        <w:rPr>
          <w:rFonts w:hint="eastAsia" w:ascii="宋体" w:hAnsi="宋体" w:cs="宋体"/>
          <w:b/>
          <w:sz w:val="24"/>
        </w:rPr>
        <w:t>背景</w:t>
      </w:r>
    </w:p>
    <w:bookmarkEnd w:id="16"/>
    <w:p>
      <w:pPr>
        <w:spacing w:line="500" w:lineRule="exact"/>
        <w:ind w:firstLine="480" w:firstLineChars="200"/>
        <w:rPr>
          <w:rFonts w:ascii="宋体" w:hAnsi="宋体" w:cs="宋体"/>
          <w:sz w:val="24"/>
        </w:rPr>
      </w:pPr>
      <w:r>
        <w:rPr>
          <w:rFonts w:hint="eastAsia" w:ascii="宋体" w:hAnsi="宋体" w:cs="宋体"/>
          <w:sz w:val="24"/>
        </w:rPr>
        <w:t>为贯彻落实《中共中央 国务院关于支持深圳建设中国特色社会主义先行示范区的意见》（以下简称《意见》）《全面深化前海深港现代服务业合作区改革开放方案》（以下简称《方案》），加快建设前海深港国际法务区和前海中国特色社会主义法治建设示范区，拟通过简易招标方式遴选委托专业机构开展《前海管理局2022-2023年度法律专务服务项目》。项目开展的必要性和重要性主要包括以下方面：</w:t>
      </w:r>
    </w:p>
    <w:p>
      <w:pPr>
        <w:spacing w:line="500" w:lineRule="exact"/>
        <w:ind w:firstLine="482" w:firstLineChars="200"/>
        <w:rPr>
          <w:rFonts w:ascii="宋体" w:hAnsi="宋体" w:cs="宋体"/>
          <w:sz w:val="24"/>
        </w:rPr>
      </w:pPr>
      <w:r>
        <w:rPr>
          <w:rFonts w:hint="eastAsia" w:ascii="宋体" w:hAnsi="宋体" w:cs="宋体"/>
          <w:b/>
          <w:bCs/>
          <w:sz w:val="24"/>
        </w:rPr>
        <w:t>（一）为提高前海合作区法律事务对外开放水平提供不同法系、跨境法律规则衔接的实质研究。</w:t>
      </w:r>
      <w:r>
        <w:rPr>
          <w:rFonts w:hint="eastAsia" w:ascii="宋体" w:hAnsi="宋体" w:cs="宋体"/>
          <w:sz w:val="24"/>
        </w:rPr>
        <w:t>为深刻落实《方案》“提升法律事务对外开放水平”“探索不同法系、跨境法律规则衔接，建立能够实际解决国际商事纠纷且极具权威性的“国际商事争议解决中心”，需要实质了解国家、省、市新出台的法律、政策文件并结合国内外法学前沿及热点问题研究，促进前海相关立法、规范性文件与港澳区际规则在不同法系、跨境法律规则实际衔接，为推进前海合作区提升法律事务对外开放水平、扩大对外开放、前海深港国际金融城建设等重大事项，提供决策所需的必要数据分析。</w:t>
      </w:r>
    </w:p>
    <w:p>
      <w:pPr>
        <w:spacing w:line="500" w:lineRule="exact"/>
        <w:ind w:firstLine="482" w:firstLineChars="200"/>
        <w:rPr>
          <w:rFonts w:ascii="宋体" w:hAnsi="宋体" w:cs="宋体"/>
          <w:sz w:val="24"/>
        </w:rPr>
      </w:pPr>
      <w:r>
        <w:rPr>
          <w:rFonts w:hint="eastAsia" w:ascii="宋体" w:hAnsi="宋体" w:cs="宋体"/>
          <w:b/>
          <w:bCs/>
          <w:sz w:val="24"/>
        </w:rPr>
        <w:t>（二）建立扩区后立法、规范性文件的全覆盖性。</w:t>
      </w:r>
      <w:r>
        <w:rPr>
          <w:rFonts w:hint="eastAsia" w:ascii="宋体" w:hAnsi="宋体" w:cs="宋体"/>
          <w:sz w:val="24"/>
        </w:rPr>
        <w:t>《方案》发布后，前海合作区在原桂湾、前湾、妈湾片区的基础上，新增蛇口及大小南山片区、会展新城及海洋新城片区、机场及周边片区、宝安中心区及大铲湾片区。原前海合作区政策理论上应当覆盖新增区域，但必然有政策重复、政策冲突。虽然，目前采用同一政策政策不可重复享受的原则作为过渡期，但仍</w:t>
      </w:r>
      <w:r>
        <w:rPr>
          <w:rFonts w:ascii="宋体" w:hAnsi="宋体" w:cs="宋体"/>
          <w:sz w:val="24"/>
        </w:rPr>
        <w:t>有必要</w:t>
      </w:r>
      <w:r>
        <w:rPr>
          <w:rFonts w:hint="eastAsia" w:ascii="宋体" w:hAnsi="宋体" w:cs="宋体"/>
          <w:sz w:val="24"/>
        </w:rPr>
        <w:t>对原</w:t>
      </w:r>
      <w:r>
        <w:rPr>
          <w:rFonts w:ascii="宋体" w:hAnsi="宋体" w:cs="宋体"/>
          <w:sz w:val="24"/>
        </w:rPr>
        <w:t>前海</w:t>
      </w:r>
      <w:r>
        <w:rPr>
          <w:rFonts w:hint="eastAsia" w:ascii="宋体" w:hAnsi="宋体" w:cs="宋体"/>
          <w:sz w:val="24"/>
        </w:rPr>
        <w:t>、原宝安、原南山以及深圳市其他立法项目、规范性文件等进行研究，结合民生实际，为前海合作区立法、规范性文件等提供立法技术、立法思路、区域治理等支持，完成扩区后的使命。</w:t>
      </w:r>
    </w:p>
    <w:p>
      <w:pPr>
        <w:spacing w:line="500" w:lineRule="exact"/>
        <w:ind w:firstLine="482" w:firstLineChars="200"/>
        <w:rPr>
          <w:rFonts w:ascii="宋体" w:hAnsi="宋体" w:cs="宋体"/>
          <w:b/>
          <w:sz w:val="24"/>
        </w:rPr>
      </w:pPr>
      <w:r>
        <w:rPr>
          <w:rFonts w:hint="eastAsia" w:ascii="宋体" w:hAnsi="宋体" w:cs="宋体"/>
          <w:b/>
          <w:bCs/>
          <w:sz w:val="24"/>
        </w:rPr>
        <w:t>（三）为更好开展前海深港法务区建设工作。</w:t>
      </w:r>
      <w:r>
        <w:rPr>
          <w:rFonts w:hint="eastAsia" w:ascii="宋体" w:hAnsi="宋体" w:cs="宋体"/>
          <w:sz w:val="24"/>
        </w:rPr>
        <w:t>随着《深圳市前海深港现代服务业合作区管理局关于支持前海深港国际法务区高端法律服务业集聚的实施办法（试行）》（深前海规〔2022〕7号，以下简称《实施办法》）实施，前海深港国际法务区建设正式揭开了帷幕，下一步除了落实《实施办法》还应当将《实施办法》实施之前的法务区建设工作与实施后的法务区建设工作做好衔接，为建设前海深港法务区相关文件、制度进行合法合规性审查。</w:t>
      </w:r>
    </w:p>
    <w:p>
      <w:pPr>
        <w:pStyle w:val="54"/>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二、工作内容</w:t>
      </w:r>
    </w:p>
    <w:p>
      <w:pPr>
        <w:pStyle w:val="64"/>
        <w:spacing w:line="500" w:lineRule="exact"/>
        <w:ind w:firstLine="480" w:firstLineChars="200"/>
        <w:jc w:val="both"/>
        <w:rPr>
          <w:rFonts w:ascii="宋体" w:hAnsi="宋体" w:cs="宋体"/>
          <w:kern w:val="2"/>
        </w:rPr>
      </w:pPr>
      <w:r>
        <w:rPr>
          <w:rFonts w:hint="eastAsia" w:ascii="宋体" w:hAnsi="宋体" w:cs="宋体"/>
          <w:kern w:val="2"/>
        </w:rPr>
        <w:t>（一）研究新出台的国家、省、市法规政策文件，收集、整理国内外法学前沿、法治热点问题，并结合前海实际对前海立法、规范性文件提出法律意见、建议；</w:t>
      </w:r>
    </w:p>
    <w:p>
      <w:pPr>
        <w:pStyle w:val="64"/>
        <w:spacing w:line="500" w:lineRule="exact"/>
        <w:ind w:firstLine="480" w:firstLineChars="200"/>
        <w:jc w:val="both"/>
        <w:rPr>
          <w:rFonts w:ascii="宋体" w:hAnsi="宋体" w:cs="宋体"/>
          <w:kern w:val="2"/>
        </w:rPr>
      </w:pPr>
      <w:r>
        <w:rPr>
          <w:rFonts w:hint="eastAsia" w:ascii="宋体" w:hAnsi="宋体" w:cs="宋体"/>
          <w:kern w:val="2"/>
        </w:rPr>
        <w:t>（二）关注并研究深圳市其他立法项目、规范性文件，并提出相应的法律意见、总结经验，为前海合作区立法项目、规范性文件等提供立法技术、立法思路、区域治理等支持；</w:t>
      </w:r>
    </w:p>
    <w:p>
      <w:pPr>
        <w:pStyle w:val="64"/>
        <w:spacing w:line="500" w:lineRule="exact"/>
        <w:ind w:firstLine="480" w:firstLineChars="200"/>
        <w:jc w:val="both"/>
        <w:rPr>
          <w:rFonts w:ascii="宋体" w:hAnsi="宋体" w:cs="宋体"/>
          <w:kern w:val="2"/>
        </w:rPr>
      </w:pPr>
      <w:r>
        <w:rPr>
          <w:rFonts w:hint="eastAsia" w:ascii="宋体" w:hAnsi="宋体" w:cs="宋体"/>
          <w:kern w:val="2"/>
        </w:rPr>
        <w:t>（三）每年举办至少一场关于前海管理局规范性文件或者本市其他规范性文件的总结经验培训活动；</w:t>
      </w:r>
    </w:p>
    <w:p>
      <w:pPr>
        <w:pStyle w:val="64"/>
        <w:spacing w:line="500" w:lineRule="exact"/>
        <w:ind w:firstLine="480" w:firstLineChars="200"/>
        <w:jc w:val="both"/>
        <w:rPr>
          <w:rFonts w:ascii="宋体" w:hAnsi="宋体" w:cs="宋体"/>
          <w:kern w:val="2"/>
        </w:rPr>
      </w:pPr>
      <w:r>
        <w:rPr>
          <w:rFonts w:hint="eastAsia" w:ascii="宋体" w:hAnsi="宋体" w:cs="宋体"/>
          <w:kern w:val="2"/>
        </w:rPr>
        <w:t>（四）协助开展前海深港国际法务区建设工作，就相关文件、制度进行合法合规性审查；</w:t>
      </w:r>
    </w:p>
    <w:p>
      <w:pPr>
        <w:pStyle w:val="64"/>
        <w:spacing w:line="500" w:lineRule="exact"/>
        <w:ind w:firstLine="480" w:firstLineChars="200"/>
        <w:jc w:val="both"/>
        <w:rPr>
          <w:rFonts w:ascii="宋体" w:hAnsi="宋体" w:cs="宋体"/>
          <w:kern w:val="2"/>
        </w:rPr>
      </w:pPr>
      <w:r>
        <w:rPr>
          <w:rFonts w:hint="eastAsia" w:ascii="宋体" w:hAnsi="宋体" w:cs="宋体"/>
          <w:kern w:val="2"/>
        </w:rPr>
        <w:t>（五）协助前海管理局研究制定前海新兴业态商事规则，接受管理局相关业务处室工作人员的业务咨询；</w:t>
      </w:r>
    </w:p>
    <w:p>
      <w:pPr>
        <w:pStyle w:val="64"/>
        <w:spacing w:line="500" w:lineRule="exact"/>
        <w:ind w:firstLine="480" w:firstLineChars="200"/>
        <w:jc w:val="both"/>
        <w:rPr>
          <w:rFonts w:ascii="宋体" w:hAnsi="宋体" w:cs="宋体"/>
          <w:kern w:val="2"/>
        </w:rPr>
      </w:pPr>
      <w:r>
        <w:rPr>
          <w:rFonts w:hint="eastAsia" w:ascii="宋体" w:hAnsi="宋体" w:cs="宋体"/>
          <w:kern w:val="2"/>
        </w:rPr>
        <w:t>（六）协助开展前海法治创新工作等前海管理局交办的其他事务。</w:t>
      </w:r>
    </w:p>
    <w:p>
      <w:pPr>
        <w:pStyle w:val="54"/>
        <w:tabs>
          <w:tab w:val="left" w:pos="720"/>
        </w:tabs>
        <w:autoSpaceDE w:val="0"/>
        <w:autoSpaceDN w:val="0"/>
        <w:adjustRightInd w:val="0"/>
        <w:spacing w:line="500" w:lineRule="exact"/>
        <w:ind w:firstLine="482"/>
        <w:outlineLvl w:val="1"/>
        <w:rPr>
          <w:rFonts w:ascii="宋体" w:hAnsi="宋体" w:cs="宋体"/>
          <w:b/>
          <w:sz w:val="24"/>
        </w:rPr>
      </w:pPr>
      <w:r>
        <w:rPr>
          <w:rFonts w:hint="eastAsia" w:ascii="宋体" w:hAnsi="宋体" w:cs="宋体"/>
          <w:b/>
          <w:sz w:val="24"/>
        </w:rPr>
        <w:t>三、工作标准</w:t>
      </w:r>
    </w:p>
    <w:p>
      <w:pPr>
        <w:pStyle w:val="64"/>
        <w:spacing w:line="500" w:lineRule="exact"/>
        <w:ind w:firstLine="480" w:firstLineChars="200"/>
        <w:jc w:val="both"/>
        <w:rPr>
          <w:rFonts w:ascii="宋体" w:hAnsi="宋体" w:cs="宋体"/>
          <w:kern w:val="2"/>
        </w:rPr>
      </w:pPr>
      <w:r>
        <w:rPr>
          <w:rFonts w:hint="eastAsia" w:ascii="宋体" w:hAnsi="宋体" w:cs="宋体"/>
          <w:kern w:val="2"/>
        </w:rPr>
        <w:t>（一）服务要求</w:t>
      </w:r>
    </w:p>
    <w:p>
      <w:pPr>
        <w:pStyle w:val="64"/>
        <w:spacing w:line="500" w:lineRule="exact"/>
        <w:ind w:firstLine="480" w:firstLineChars="200"/>
        <w:jc w:val="both"/>
        <w:rPr>
          <w:rFonts w:ascii="宋体" w:hAnsi="宋体" w:cs="宋体"/>
          <w:kern w:val="2"/>
        </w:rPr>
      </w:pPr>
      <w:r>
        <w:rPr>
          <w:rFonts w:hint="eastAsia" w:ascii="宋体" w:hAnsi="宋体" w:cs="宋体"/>
          <w:kern w:val="2"/>
        </w:rPr>
        <w:t>本法律专务项目服务参照《深圳市人民政府法律顾问工作规则》、《深圳市人民政府法律顾问及法律助理管理试行办法》规定执行，法律专务服务单位应组成固定工作团队，并指派三名法律专员在前海管理局指定地点驻点办公，主要服务前海管理局法治建设工作事项。</w:t>
      </w:r>
    </w:p>
    <w:p>
      <w:pPr>
        <w:pStyle w:val="64"/>
        <w:spacing w:line="500" w:lineRule="exact"/>
        <w:ind w:firstLine="480" w:firstLineChars="200"/>
        <w:jc w:val="both"/>
        <w:rPr>
          <w:rFonts w:ascii="宋体" w:hAnsi="宋体" w:cs="宋体"/>
          <w:kern w:val="2"/>
        </w:rPr>
      </w:pPr>
      <w:r>
        <w:rPr>
          <w:rFonts w:hint="eastAsia" w:ascii="宋体" w:hAnsi="宋体" w:cs="宋体"/>
          <w:kern w:val="2"/>
        </w:rPr>
        <w:t>（二）派驻法律专员条件</w:t>
      </w:r>
    </w:p>
    <w:p>
      <w:pPr>
        <w:pStyle w:val="64"/>
        <w:spacing w:line="500" w:lineRule="exact"/>
        <w:ind w:firstLine="480" w:firstLineChars="200"/>
        <w:jc w:val="both"/>
        <w:rPr>
          <w:rFonts w:ascii="宋体" w:hAnsi="宋体" w:cs="宋体"/>
          <w:kern w:val="2"/>
        </w:rPr>
      </w:pPr>
      <w:r>
        <w:rPr>
          <w:rFonts w:hint="eastAsia" w:ascii="宋体" w:hAnsi="宋体" w:cs="宋体"/>
          <w:kern w:val="2"/>
        </w:rPr>
        <w:t>1.全日制国民教育法律本科或以上学历，取得法学学士或以上学位；</w:t>
      </w:r>
    </w:p>
    <w:p>
      <w:pPr>
        <w:pStyle w:val="64"/>
        <w:spacing w:line="500" w:lineRule="exact"/>
        <w:ind w:firstLine="480" w:firstLineChars="200"/>
        <w:jc w:val="both"/>
        <w:rPr>
          <w:rFonts w:ascii="宋体" w:hAnsi="宋体" w:cs="宋体"/>
          <w:kern w:val="2"/>
        </w:rPr>
      </w:pPr>
      <w:r>
        <w:rPr>
          <w:rFonts w:hint="eastAsia" w:ascii="宋体" w:hAnsi="宋体" w:cs="宋体"/>
          <w:kern w:val="2"/>
        </w:rPr>
        <w:t>2.本科学历（含双学士）人员，年龄应当在30周岁或以下；硕士学历人员，年龄应当在33周岁或以下；博士学历人员，年龄应当在35周岁或以下；</w:t>
      </w:r>
    </w:p>
    <w:p>
      <w:pPr>
        <w:pStyle w:val="64"/>
        <w:spacing w:line="500" w:lineRule="exact"/>
        <w:ind w:firstLine="480" w:firstLineChars="200"/>
        <w:jc w:val="both"/>
        <w:rPr>
          <w:rFonts w:ascii="宋体" w:hAnsi="宋体" w:cs="宋体"/>
          <w:kern w:val="2"/>
        </w:rPr>
      </w:pPr>
      <w:r>
        <w:rPr>
          <w:rFonts w:hint="eastAsia" w:ascii="宋体" w:hAnsi="宋体" w:cs="宋体"/>
          <w:kern w:val="2"/>
        </w:rPr>
        <w:t>3.法律功底扎实，取得国家法律职业资格（A类）；</w:t>
      </w:r>
    </w:p>
    <w:p>
      <w:pPr>
        <w:pStyle w:val="64"/>
        <w:spacing w:line="500" w:lineRule="exact"/>
        <w:ind w:firstLine="480" w:firstLineChars="200"/>
        <w:jc w:val="both"/>
        <w:rPr>
          <w:rFonts w:ascii="宋体" w:hAnsi="宋体" w:cs="宋体"/>
          <w:kern w:val="2"/>
        </w:rPr>
      </w:pPr>
      <w:r>
        <w:rPr>
          <w:rFonts w:hint="eastAsia" w:ascii="宋体" w:hAnsi="宋体" w:cs="宋体"/>
          <w:kern w:val="2"/>
        </w:rPr>
        <w:t>4.身体健康，品行良好，计算机操作熟练，沟通协调与文字写作能力较强；</w:t>
      </w:r>
    </w:p>
    <w:p>
      <w:pPr>
        <w:pStyle w:val="64"/>
        <w:spacing w:line="500" w:lineRule="exact"/>
        <w:ind w:firstLine="480" w:firstLineChars="200"/>
        <w:jc w:val="both"/>
        <w:rPr>
          <w:rFonts w:ascii="宋体" w:hAnsi="宋体" w:cs="宋体"/>
          <w:kern w:val="2"/>
        </w:rPr>
      </w:pPr>
      <w:r>
        <w:rPr>
          <w:rFonts w:hint="eastAsia" w:ascii="宋体" w:hAnsi="宋体" w:cs="宋体"/>
          <w:kern w:val="2"/>
        </w:rPr>
        <w:t>5.有立法经验的优先。</w:t>
      </w:r>
    </w:p>
    <w:p>
      <w:pPr>
        <w:pStyle w:val="64"/>
        <w:spacing w:line="500" w:lineRule="exact"/>
        <w:ind w:firstLine="480" w:firstLineChars="200"/>
        <w:jc w:val="both"/>
        <w:rPr>
          <w:rFonts w:ascii="宋体" w:hAnsi="宋体" w:cs="宋体"/>
          <w:b/>
        </w:rPr>
      </w:pPr>
      <w:r>
        <w:rPr>
          <w:rFonts w:hint="eastAsia" w:ascii="宋体" w:hAnsi="宋体" w:cs="宋体"/>
          <w:kern w:val="2"/>
        </w:rPr>
        <w:t>律师事务所和指派的法律专员近三年来（2020年1月1日至今）未受过相关部门处罚且没有不良执业记录。</w:t>
      </w:r>
    </w:p>
    <w:p>
      <w:pPr>
        <w:pStyle w:val="54"/>
        <w:tabs>
          <w:tab w:val="left" w:pos="720"/>
        </w:tabs>
        <w:autoSpaceDE w:val="0"/>
        <w:autoSpaceDN w:val="0"/>
        <w:adjustRightInd w:val="0"/>
        <w:spacing w:line="500" w:lineRule="exact"/>
        <w:ind w:firstLine="482"/>
        <w:outlineLvl w:val="1"/>
        <w:rPr>
          <w:rFonts w:ascii="宋体" w:hAnsi="宋体" w:cs="宋体"/>
          <w:b/>
          <w:sz w:val="24"/>
        </w:rPr>
      </w:pPr>
      <w:r>
        <w:rPr>
          <w:rFonts w:hint="eastAsia" w:ascii="宋体" w:hAnsi="宋体" w:cs="宋体"/>
          <w:b/>
          <w:sz w:val="24"/>
        </w:rPr>
        <w:t>四、工作成果要求</w:t>
      </w:r>
    </w:p>
    <w:p>
      <w:pPr>
        <w:pStyle w:val="64"/>
        <w:spacing w:line="500" w:lineRule="exact"/>
        <w:ind w:firstLine="480" w:firstLineChars="200"/>
        <w:jc w:val="both"/>
        <w:rPr>
          <w:rFonts w:ascii="宋体" w:hAnsi="宋体" w:cs="宋体"/>
          <w:kern w:val="2"/>
        </w:rPr>
      </w:pPr>
      <w:r>
        <w:rPr>
          <w:rFonts w:hint="eastAsia" w:ascii="宋体" w:hAnsi="宋体" w:cs="宋体"/>
          <w:kern w:val="2"/>
        </w:rPr>
        <w:t>（一）每日记录工作台账，每季度完成季度工作总结报告（包括但不限于协助开展前海深港国际法务区建设工作、协助研究制定前海新兴业态商事规则、协助开展前海法治创新工作等内容）；</w:t>
      </w:r>
    </w:p>
    <w:p>
      <w:pPr>
        <w:pStyle w:val="64"/>
        <w:spacing w:line="500" w:lineRule="exact"/>
        <w:ind w:firstLine="480" w:firstLineChars="200"/>
        <w:jc w:val="both"/>
        <w:rPr>
          <w:rFonts w:ascii="宋体" w:hAnsi="宋体" w:cs="宋体"/>
          <w:kern w:val="2"/>
        </w:rPr>
      </w:pPr>
      <w:r>
        <w:rPr>
          <w:rFonts w:hint="eastAsia" w:ascii="宋体" w:hAnsi="宋体" w:cs="宋体"/>
          <w:kern w:val="2"/>
        </w:rPr>
        <w:t>（二）每年举办至少一场关于前海管理局规范性文件或者本市其他规范性文件的总结经验培训活动；</w:t>
      </w:r>
    </w:p>
    <w:p>
      <w:pPr>
        <w:pStyle w:val="64"/>
        <w:spacing w:line="500" w:lineRule="exact"/>
        <w:ind w:firstLine="480" w:firstLineChars="200"/>
        <w:jc w:val="both"/>
        <w:rPr>
          <w:rFonts w:ascii="宋体" w:hAnsi="宋体" w:cs="宋体"/>
          <w:kern w:val="2"/>
        </w:rPr>
      </w:pPr>
      <w:r>
        <w:rPr>
          <w:rFonts w:hint="eastAsia" w:ascii="宋体" w:hAnsi="宋体" w:cs="宋体"/>
          <w:kern w:val="2"/>
        </w:rPr>
        <w:t>（三）服务到期前，依据新出台的国家、省、市法规政策或收集、 整理国内外法学前沿、法治热点问题，并结合前海实际综合前海立法、规范性文件情况，提交一份法律研究报告；</w:t>
      </w:r>
    </w:p>
    <w:p>
      <w:pPr>
        <w:pStyle w:val="64"/>
        <w:spacing w:line="500" w:lineRule="exact"/>
        <w:ind w:firstLine="480" w:firstLineChars="200"/>
        <w:jc w:val="both"/>
        <w:rPr>
          <w:rFonts w:ascii="宋体" w:hAnsi="宋体" w:cs="宋体"/>
          <w:kern w:val="2"/>
        </w:rPr>
      </w:pPr>
      <w:r>
        <w:rPr>
          <w:rFonts w:hint="eastAsia" w:ascii="宋体" w:hAnsi="宋体" w:cs="宋体"/>
          <w:kern w:val="2"/>
        </w:rPr>
        <w:t>（四）服务到期前，提交不少于一份关于前海制定促进现代服务业发展的单项法规的建议和意见的报告。</w:t>
      </w:r>
    </w:p>
    <w:p>
      <w:pPr>
        <w:pStyle w:val="64"/>
        <w:spacing w:line="500" w:lineRule="exact"/>
        <w:ind w:firstLine="480" w:firstLineChars="200"/>
        <w:jc w:val="both"/>
        <w:rPr>
          <w:rFonts w:ascii="宋体" w:hAnsi="宋体" w:cs="宋体"/>
          <w:kern w:val="2"/>
        </w:rPr>
      </w:pPr>
      <w:r>
        <w:rPr>
          <w:rFonts w:hint="eastAsia" w:ascii="宋体" w:hAnsi="宋体" w:cs="宋体"/>
          <w:kern w:val="2"/>
        </w:rPr>
        <w:t>（五）法律服务成果应按甲方要求以书面纸质形式或电子文件形式提交。</w:t>
      </w:r>
    </w:p>
    <w:p>
      <w:pPr>
        <w:pStyle w:val="54"/>
        <w:tabs>
          <w:tab w:val="left" w:pos="720"/>
        </w:tabs>
        <w:autoSpaceDE w:val="0"/>
        <w:autoSpaceDN w:val="0"/>
        <w:adjustRightInd w:val="0"/>
        <w:spacing w:line="500" w:lineRule="exact"/>
        <w:ind w:firstLine="482"/>
        <w:outlineLvl w:val="1"/>
        <w:rPr>
          <w:rFonts w:ascii="宋体" w:hAnsi="宋体" w:cs="宋体"/>
          <w:b/>
          <w:bCs/>
          <w:sz w:val="24"/>
        </w:rPr>
      </w:pPr>
      <w:r>
        <w:rPr>
          <w:rFonts w:hint="eastAsia" w:ascii="宋体" w:hAnsi="宋体" w:cs="宋体"/>
          <w:b/>
          <w:bCs/>
          <w:sz w:val="24"/>
        </w:rPr>
        <w:t>五、验收方式</w:t>
      </w:r>
    </w:p>
    <w:p>
      <w:pPr>
        <w:pStyle w:val="54"/>
        <w:tabs>
          <w:tab w:val="left" w:pos="720"/>
        </w:tabs>
        <w:autoSpaceDE w:val="0"/>
        <w:autoSpaceDN w:val="0"/>
        <w:adjustRightInd w:val="0"/>
        <w:spacing w:line="500" w:lineRule="exact"/>
        <w:ind w:firstLine="480"/>
        <w:rPr>
          <w:rFonts w:ascii="宋体" w:hAnsi="宋体" w:cs="宋体"/>
          <w:bCs/>
          <w:sz w:val="24"/>
        </w:rPr>
      </w:pPr>
      <w:r>
        <w:rPr>
          <w:rFonts w:hint="eastAsia" w:ascii="宋体" w:hAnsi="宋体" w:cs="宋体"/>
          <w:bCs/>
          <w:sz w:val="24"/>
        </w:rPr>
        <w:t>最终成果验收合格的标志为采购人审查通过。</w:t>
      </w:r>
    </w:p>
    <w:p>
      <w:pPr>
        <w:pStyle w:val="54"/>
        <w:tabs>
          <w:tab w:val="left" w:pos="720"/>
        </w:tabs>
        <w:autoSpaceDE w:val="0"/>
        <w:autoSpaceDN w:val="0"/>
        <w:adjustRightInd w:val="0"/>
        <w:spacing w:line="500" w:lineRule="exact"/>
        <w:ind w:firstLine="482"/>
        <w:outlineLvl w:val="1"/>
        <w:rPr>
          <w:rFonts w:ascii="宋体" w:hAnsi="宋体" w:cs="宋体"/>
          <w:b/>
          <w:sz w:val="24"/>
        </w:rPr>
      </w:pPr>
      <w:r>
        <w:rPr>
          <w:rFonts w:hint="eastAsia" w:ascii="宋体" w:hAnsi="宋体" w:cs="宋体"/>
          <w:b/>
          <w:sz w:val="24"/>
        </w:rPr>
        <w:t>六、项目人员组成</w:t>
      </w:r>
    </w:p>
    <w:p>
      <w:pPr>
        <w:pStyle w:val="54"/>
        <w:tabs>
          <w:tab w:val="left" w:pos="720"/>
        </w:tabs>
        <w:autoSpaceDE w:val="0"/>
        <w:autoSpaceDN w:val="0"/>
        <w:adjustRightInd w:val="0"/>
        <w:spacing w:line="500" w:lineRule="exact"/>
        <w:ind w:firstLine="480"/>
        <w:rPr>
          <w:rFonts w:ascii="宋体" w:hAnsi="宋体" w:cs="宋体"/>
          <w:bCs/>
          <w:sz w:val="24"/>
        </w:rPr>
      </w:pPr>
      <w:r>
        <w:rPr>
          <w:rFonts w:hint="eastAsia" w:ascii="宋体" w:hAnsi="宋体" w:cs="宋体"/>
          <w:bCs/>
          <w:sz w:val="24"/>
        </w:rPr>
        <w:t>中标人需根据项目内容组建专业团队负责本项目工作，包括派驻团队成员。</w:t>
      </w:r>
    </w:p>
    <w:p>
      <w:pPr>
        <w:pStyle w:val="54"/>
        <w:tabs>
          <w:tab w:val="left" w:pos="720"/>
        </w:tabs>
        <w:autoSpaceDE w:val="0"/>
        <w:autoSpaceDN w:val="0"/>
        <w:adjustRightInd w:val="0"/>
        <w:spacing w:line="500" w:lineRule="exact"/>
        <w:ind w:firstLine="482"/>
        <w:outlineLvl w:val="1"/>
        <w:rPr>
          <w:rFonts w:ascii="宋体" w:hAnsi="宋体" w:cs="宋体"/>
          <w:b/>
          <w:sz w:val="24"/>
        </w:rPr>
      </w:pPr>
      <w:r>
        <w:rPr>
          <w:rFonts w:hint="eastAsia" w:ascii="宋体" w:hAnsi="宋体" w:cs="宋体"/>
          <w:b/>
          <w:sz w:val="24"/>
        </w:rPr>
        <w:t>七、商务要求</w:t>
      </w:r>
    </w:p>
    <w:p>
      <w:pPr>
        <w:tabs>
          <w:tab w:val="left" w:pos="720"/>
        </w:tabs>
        <w:autoSpaceDE w:val="0"/>
        <w:autoSpaceDN w:val="0"/>
        <w:adjustRightInd w:val="0"/>
        <w:spacing w:line="500" w:lineRule="exact"/>
        <w:ind w:firstLine="482" w:firstLineChars="200"/>
        <w:outlineLvl w:val="2"/>
        <w:rPr>
          <w:rFonts w:ascii="宋体" w:hAnsi="宋体" w:cs="宋体"/>
          <w:sz w:val="24"/>
        </w:rPr>
      </w:pPr>
      <w:r>
        <w:rPr>
          <w:rFonts w:hint="eastAsia" w:ascii="宋体" w:hAnsi="宋体" w:cs="宋体"/>
          <w:b/>
          <w:bCs/>
          <w:kern w:val="0"/>
          <w:sz w:val="24"/>
        </w:rPr>
        <w:t>（一）服务期限</w:t>
      </w:r>
    </w:p>
    <w:p>
      <w:pPr>
        <w:spacing w:line="500" w:lineRule="exact"/>
        <w:ind w:firstLine="480" w:firstLineChars="200"/>
      </w:pPr>
      <w:r>
        <w:rPr>
          <w:rFonts w:hint="eastAsia" w:ascii="宋体" w:hAnsi="宋体" w:cs="宋体"/>
          <w:sz w:val="24"/>
        </w:rPr>
        <w:t>自合同签订之日起一年内完成。</w:t>
      </w:r>
    </w:p>
    <w:p>
      <w:pPr>
        <w:tabs>
          <w:tab w:val="left" w:pos="720"/>
        </w:tabs>
        <w:autoSpaceDE w:val="0"/>
        <w:autoSpaceDN w:val="0"/>
        <w:adjustRightInd w:val="0"/>
        <w:spacing w:line="500" w:lineRule="exact"/>
        <w:ind w:firstLine="482" w:firstLineChars="200"/>
        <w:outlineLvl w:val="2"/>
        <w:rPr>
          <w:rFonts w:ascii="宋体" w:hAnsi="宋体" w:cs="宋体"/>
          <w:b/>
          <w:bCs/>
          <w:kern w:val="0"/>
          <w:sz w:val="24"/>
        </w:rPr>
      </w:pPr>
      <w:r>
        <w:rPr>
          <w:rFonts w:hint="eastAsia" w:ascii="宋体" w:hAnsi="宋体" w:cs="宋体"/>
          <w:b/>
          <w:bCs/>
          <w:kern w:val="0"/>
          <w:sz w:val="24"/>
        </w:rPr>
        <w:t>（二）报价要求</w:t>
      </w:r>
    </w:p>
    <w:p>
      <w:pPr>
        <w:widowControl/>
        <w:spacing w:line="500" w:lineRule="exact"/>
        <w:ind w:firstLine="480" w:firstLineChars="200"/>
        <w:rPr>
          <w:rFonts w:ascii="宋体" w:hAnsi="宋体" w:cs="宋体"/>
          <w:sz w:val="24"/>
        </w:rPr>
      </w:pPr>
      <w:r>
        <w:rPr>
          <w:rFonts w:hint="eastAsia" w:ascii="宋体" w:hAnsi="宋体" w:cs="宋体"/>
          <w:sz w:val="24"/>
        </w:rPr>
        <w:t>1.本次投标为总价包干，投标报价总价作为中标人与采购人签定的合同金额。项目预算控制50</w:t>
      </w:r>
      <w:r>
        <w:rPr>
          <w:rFonts w:hint="eastAsia" w:ascii="宋体" w:hAnsi="宋体" w:cs="宋体"/>
          <w:sz w:val="24"/>
          <w:lang w:val="en-US" w:eastAsia="zh-CN"/>
        </w:rPr>
        <w:t>.5</w:t>
      </w:r>
      <w:r>
        <w:rPr>
          <w:rFonts w:hint="eastAsia" w:ascii="宋体" w:hAnsi="宋体" w:cs="宋体"/>
          <w:sz w:val="24"/>
        </w:rPr>
        <w:t>万元以内，投标人的报价不可高于预算（限价），否则投标人的投标文件视同无效。项目服务费包括调研费、中标服务费、资料费、税金、差旅费、运营维护等所有费用，并提供合同要求的成果文件，以及其它相关服务的全部费用。</w:t>
      </w:r>
    </w:p>
    <w:p>
      <w:pPr>
        <w:widowControl/>
        <w:spacing w:line="500" w:lineRule="exact"/>
        <w:ind w:firstLine="480" w:firstLineChars="200"/>
        <w:rPr>
          <w:rFonts w:ascii="宋体" w:hAnsi="宋体" w:cs="宋体"/>
          <w:sz w:val="24"/>
        </w:rPr>
      </w:pPr>
      <w:r>
        <w:rPr>
          <w:rFonts w:hint="eastAsia" w:ascii="宋体" w:hAnsi="宋体" w:cs="宋体"/>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500" w:lineRule="exact"/>
        <w:ind w:firstLine="480" w:firstLineChars="20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500" w:lineRule="exact"/>
        <w:ind w:firstLine="480" w:firstLineChars="200"/>
        <w:rPr>
          <w:rFonts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500" w:lineRule="exact"/>
        <w:ind w:firstLine="480" w:firstLineChars="200"/>
        <w:rPr>
          <w:rFonts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500" w:lineRule="exact"/>
        <w:ind w:firstLine="482" w:firstLineChars="200"/>
        <w:outlineLvl w:val="2"/>
        <w:rPr>
          <w:rFonts w:ascii="宋体" w:hAnsi="宋体" w:cs="宋体"/>
          <w:b/>
          <w:bCs/>
          <w:kern w:val="0"/>
          <w:sz w:val="24"/>
        </w:rPr>
      </w:pPr>
      <w:r>
        <w:rPr>
          <w:rFonts w:hint="eastAsia" w:ascii="宋体" w:hAnsi="宋体" w:cs="宋体"/>
          <w:b/>
          <w:bCs/>
          <w:kern w:val="0"/>
          <w:sz w:val="24"/>
        </w:rPr>
        <w:t>（三）付款方式</w:t>
      </w:r>
    </w:p>
    <w:p>
      <w:pPr>
        <w:widowControl/>
        <w:spacing w:line="500" w:lineRule="exact"/>
        <w:ind w:firstLine="480" w:firstLineChars="200"/>
        <w:rPr>
          <w:rFonts w:ascii="宋体" w:hAnsi="宋体" w:cs="宋体"/>
          <w:sz w:val="24"/>
        </w:rPr>
      </w:pPr>
      <w:r>
        <w:rPr>
          <w:rFonts w:hint="eastAsia" w:ascii="宋体" w:hAnsi="宋体" w:cs="宋体"/>
          <w:sz w:val="24"/>
        </w:rPr>
        <w:t>项目资金分2期支付至中标人指定银行账户：</w:t>
      </w:r>
    </w:p>
    <w:p>
      <w:pPr>
        <w:widowControl/>
        <w:spacing w:line="500" w:lineRule="exact"/>
        <w:ind w:firstLine="480" w:firstLineChars="200"/>
        <w:rPr>
          <w:rFonts w:ascii="宋体" w:hAnsi="宋体" w:cs="宋体"/>
          <w:sz w:val="24"/>
        </w:rPr>
      </w:pPr>
      <w:r>
        <w:rPr>
          <w:rFonts w:hint="eastAsia" w:ascii="宋体" w:hAnsi="宋体" w:cs="宋体"/>
          <w:sz w:val="24"/>
        </w:rPr>
        <w:t>1.第1期：自本合同签订之日起15个工作日内，根据中标人提出的付款申请，采购人向中标人支付总价款的50%；</w:t>
      </w:r>
    </w:p>
    <w:p>
      <w:pPr>
        <w:widowControl/>
        <w:spacing w:line="500" w:lineRule="exact"/>
        <w:ind w:firstLine="480" w:firstLineChars="200"/>
        <w:rPr>
          <w:rFonts w:ascii="宋体" w:hAnsi="宋体" w:cs="宋体"/>
          <w:sz w:val="24"/>
        </w:rPr>
      </w:pPr>
      <w:r>
        <w:rPr>
          <w:rFonts w:hint="eastAsia" w:ascii="宋体" w:hAnsi="宋体" w:cs="宋体"/>
          <w:sz w:val="24"/>
        </w:rPr>
        <w:t>2.第2期：中标人提交终期成果，经采购人审查通过后15个工作日内，根据中标人提出的付款申请，采购人向中标人支付总价款的50%。</w:t>
      </w:r>
    </w:p>
    <w:p>
      <w:pPr>
        <w:widowControl/>
        <w:spacing w:line="500" w:lineRule="exact"/>
        <w:ind w:firstLine="480" w:firstLineChars="200"/>
        <w:rPr>
          <w:rFonts w:ascii="宋体" w:hAnsi="宋体" w:cs="宋体"/>
          <w:sz w:val="24"/>
        </w:rPr>
      </w:pPr>
      <w:r>
        <w:rPr>
          <w:rFonts w:hint="eastAsia" w:ascii="宋体" w:hAnsi="宋体" w:cs="宋体"/>
          <w:sz w:val="24"/>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sz w:val="24"/>
        </w:rPr>
        <w:t>采购人</w:t>
      </w:r>
      <w:r>
        <w:rPr>
          <w:rFonts w:hint="eastAsia" w:ascii="宋体" w:hAnsi="宋体" w:cs="宋体"/>
          <w:sz w:val="24"/>
        </w:rPr>
        <w:t>付款审批影响支付进度，请</w:t>
      </w:r>
      <w:r>
        <w:rPr>
          <w:rFonts w:ascii="宋体" w:hAnsi="宋体" w:cs="宋体"/>
          <w:sz w:val="24"/>
        </w:rPr>
        <w:t>中标人</w:t>
      </w:r>
      <w:r>
        <w:rPr>
          <w:rFonts w:hint="eastAsia" w:ascii="宋体" w:hAnsi="宋体" w:cs="宋体"/>
          <w:sz w:val="24"/>
        </w:rPr>
        <w:t>予以谅解，并不得就此向</w:t>
      </w:r>
      <w:r>
        <w:rPr>
          <w:rFonts w:ascii="宋体" w:hAnsi="宋体" w:cs="宋体"/>
          <w:sz w:val="24"/>
        </w:rPr>
        <w:t>采购人</w:t>
      </w:r>
      <w:r>
        <w:rPr>
          <w:rFonts w:hint="eastAsia" w:ascii="宋体" w:hAnsi="宋体" w:cs="宋体"/>
          <w:sz w:val="24"/>
        </w:rPr>
        <w:t>索赔。</w:t>
      </w:r>
    </w:p>
    <w:p>
      <w:pPr>
        <w:tabs>
          <w:tab w:val="left" w:pos="720"/>
        </w:tabs>
        <w:autoSpaceDE w:val="0"/>
        <w:autoSpaceDN w:val="0"/>
        <w:adjustRightInd w:val="0"/>
        <w:spacing w:line="500" w:lineRule="exact"/>
        <w:ind w:firstLine="420" w:firstLineChars="200"/>
        <w:outlineLvl w:val="2"/>
        <w:rPr>
          <w:rFonts w:ascii="宋体" w:hAnsi="宋体" w:cs="宋体"/>
          <w:b/>
          <w:bCs/>
          <w:kern w:val="0"/>
          <w:sz w:val="24"/>
        </w:rPr>
      </w:pPr>
      <w:r>
        <w:rPr>
          <w:rFonts w:hint="eastAsia"/>
        </w:rPr>
        <w:t>★</w:t>
      </w:r>
      <w:r>
        <w:rPr>
          <w:rFonts w:hint="eastAsia" w:ascii="宋体" w:hAnsi="宋体" w:cs="宋体"/>
          <w:b/>
          <w:bCs/>
          <w:kern w:val="0"/>
          <w:sz w:val="24"/>
        </w:rPr>
        <w:t>（四）成果权属与知识产权</w:t>
      </w:r>
    </w:p>
    <w:p>
      <w:pPr>
        <w:widowControl/>
        <w:spacing w:line="500" w:lineRule="exact"/>
        <w:ind w:firstLine="480" w:firstLineChars="200"/>
        <w:rPr>
          <w:rFonts w:ascii="宋体" w:hAnsi="宋体" w:cs="宋体"/>
          <w:sz w:val="24"/>
        </w:rPr>
      </w:pPr>
      <w:r>
        <w:rPr>
          <w:rFonts w:hint="eastAsia" w:ascii="宋体" w:hAnsi="宋体" w:cs="宋体"/>
          <w:sz w:val="24"/>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500" w:lineRule="exact"/>
        <w:ind w:firstLine="480" w:firstLineChars="200"/>
        <w:rPr>
          <w:rFonts w:ascii="宋体" w:hAnsi="宋体" w:cs="宋体"/>
          <w:sz w:val="24"/>
        </w:rPr>
      </w:pPr>
      <w:r>
        <w:rPr>
          <w:rFonts w:hint="eastAsia" w:ascii="宋体" w:hAnsi="宋体" w:cs="宋体"/>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甲方100%。</w:t>
      </w:r>
    </w:p>
    <w:p>
      <w:pPr>
        <w:widowControl/>
        <w:spacing w:line="500" w:lineRule="exact"/>
        <w:ind w:firstLine="480" w:firstLineChars="200"/>
        <w:rPr>
          <w:rFonts w:ascii="宋体" w:hAnsi="宋体" w:cs="宋体"/>
          <w:sz w:val="24"/>
        </w:rPr>
      </w:pPr>
      <w:r>
        <w:rPr>
          <w:rFonts w:hint="eastAsia" w:ascii="宋体" w:hAnsi="宋体" w:cs="宋体"/>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500" w:lineRule="exact"/>
        <w:ind w:firstLine="480" w:firstLineChars="200"/>
        <w:rPr>
          <w:rFonts w:ascii="宋体" w:hAnsi="宋体" w:cs="宋体"/>
          <w:sz w:val="24"/>
        </w:rPr>
      </w:pPr>
      <w:r>
        <w:rPr>
          <w:rFonts w:hint="eastAsia" w:ascii="宋体" w:hAnsi="宋体" w:cs="宋体"/>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spacing w:line="500" w:lineRule="exact"/>
        <w:ind w:firstLine="480" w:firstLineChars="200"/>
        <w:rPr>
          <w:rFonts w:ascii="宋体" w:hAnsi="宋体" w:cs="宋体"/>
          <w:sz w:val="24"/>
        </w:rPr>
      </w:pPr>
      <w:r>
        <w:rPr>
          <w:rFonts w:hint="eastAsia" w:ascii="宋体" w:hAnsi="宋体" w:cs="宋体"/>
          <w:sz w:val="24"/>
        </w:rPr>
        <w:t>5.中标人完成本合同项目的研究人员享有在有关技术成果文件上署名的权利和与采购人共同获得有关荣誉证书、奖励的权利。</w:t>
      </w:r>
    </w:p>
    <w:p>
      <w:pPr>
        <w:widowControl/>
        <w:spacing w:line="500" w:lineRule="exact"/>
        <w:ind w:firstLine="420" w:firstLineChars="200"/>
        <w:outlineLvl w:val="2"/>
        <w:rPr>
          <w:rFonts w:ascii="宋体" w:hAnsi="宋体" w:cs="宋体"/>
          <w:b/>
          <w:bCs/>
          <w:sz w:val="24"/>
        </w:rPr>
      </w:pPr>
      <w:r>
        <w:rPr>
          <w:rFonts w:hint="eastAsia"/>
        </w:rPr>
        <w:t>★</w:t>
      </w:r>
      <w:r>
        <w:rPr>
          <w:rFonts w:hint="eastAsia" w:ascii="宋体" w:hAnsi="宋体" w:cs="宋体"/>
          <w:b/>
          <w:bCs/>
          <w:kern w:val="0"/>
          <w:sz w:val="24"/>
        </w:rPr>
        <w:t>（五）</w:t>
      </w:r>
      <w:r>
        <w:rPr>
          <w:rFonts w:hint="eastAsia" w:ascii="宋体" w:hAnsi="宋体" w:cs="宋体"/>
          <w:b/>
          <w:bCs/>
          <w:sz w:val="24"/>
        </w:rPr>
        <w:t>保密条款</w:t>
      </w:r>
    </w:p>
    <w:p>
      <w:pPr>
        <w:widowControl/>
        <w:spacing w:line="500" w:lineRule="exact"/>
        <w:ind w:firstLine="480" w:firstLineChars="200"/>
        <w:rPr>
          <w:rFonts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甲方内部数据资料。</w:t>
      </w:r>
    </w:p>
    <w:p>
      <w:pPr>
        <w:widowControl/>
        <w:spacing w:line="500" w:lineRule="exact"/>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500" w:lineRule="exact"/>
        <w:ind w:firstLine="480" w:firstLineChars="200"/>
        <w:rPr>
          <w:rFonts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500" w:lineRule="exact"/>
        <w:ind w:firstLine="480" w:firstLineChars="200"/>
        <w:rPr>
          <w:rFonts w:ascii="宋体" w:hAnsi="宋体" w:cs="宋体"/>
          <w:sz w:val="24"/>
        </w:rPr>
      </w:pPr>
      <w:r>
        <w:rPr>
          <w:rFonts w:hint="eastAsia" w:ascii="宋体" w:hAnsi="宋体" w:cs="宋体"/>
          <w:sz w:val="24"/>
        </w:rPr>
        <w:t>4.中标人实施项目的程序应符合国家安全、保密的有关规定和标准。</w:t>
      </w:r>
    </w:p>
    <w:p>
      <w:pPr>
        <w:widowControl/>
        <w:spacing w:line="500" w:lineRule="exact"/>
        <w:ind w:firstLine="480" w:firstLineChars="200"/>
        <w:rPr>
          <w:rFonts w:ascii="宋体" w:hAnsi="宋体" w:cs="宋体"/>
          <w:sz w:val="24"/>
        </w:rPr>
      </w:pPr>
      <w:r>
        <w:rPr>
          <w:rFonts w:hint="eastAsia" w:ascii="宋体" w:hAnsi="宋体" w:cs="宋体"/>
          <w:sz w:val="24"/>
        </w:rPr>
        <w:t>5.上述保密义务不适用以下情况：</w:t>
      </w:r>
    </w:p>
    <w:p>
      <w:pPr>
        <w:widowControl/>
        <w:spacing w:line="500" w:lineRule="exact"/>
        <w:ind w:firstLine="480" w:firstLineChars="200"/>
        <w:rPr>
          <w:rFonts w:ascii="宋体" w:hAnsi="宋体" w:cs="宋体"/>
          <w:sz w:val="24"/>
        </w:rPr>
      </w:pPr>
      <w:r>
        <w:rPr>
          <w:rFonts w:hint="eastAsia" w:ascii="宋体" w:hAnsi="宋体" w:cs="宋体"/>
          <w:sz w:val="24"/>
        </w:rPr>
        <w:t>（1）获取的信息已被合法公开；</w:t>
      </w:r>
    </w:p>
    <w:p>
      <w:pPr>
        <w:widowControl/>
        <w:spacing w:line="500" w:lineRule="exact"/>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500" w:lineRule="exact"/>
        <w:ind w:firstLine="480" w:firstLineChars="200"/>
        <w:rPr>
          <w:rFonts w:ascii="宋体" w:hAnsi="宋体" w:cs="宋体"/>
          <w:sz w:val="24"/>
        </w:rPr>
      </w:pPr>
      <w:r>
        <w:rPr>
          <w:rFonts w:hint="eastAsia" w:ascii="宋体" w:hAnsi="宋体" w:cs="宋体"/>
          <w:sz w:val="24"/>
        </w:rPr>
        <w:t>（3）国家法律、法规规定的情形。</w:t>
      </w:r>
    </w:p>
    <w:p>
      <w:pPr>
        <w:widowControl/>
        <w:spacing w:line="500" w:lineRule="exact"/>
        <w:ind w:firstLine="480" w:firstLineChars="200"/>
        <w:rPr>
          <w:rFonts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widowControl/>
        <w:spacing w:line="500" w:lineRule="exact"/>
        <w:ind w:firstLine="480" w:firstLineChars="200"/>
        <w:rPr>
          <w:rFonts w:ascii="宋体" w:hAnsi="宋体" w:cs="宋体"/>
          <w:sz w:val="24"/>
        </w:rPr>
      </w:pPr>
      <w:r>
        <w:rPr>
          <w:rFonts w:hint="eastAsia" w:ascii="宋体" w:hAnsi="宋体" w:cs="宋体"/>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500" w:lineRule="exact"/>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8.无论本合同或本合同其他条款是否有效，本保密条款始终约束双方。国家秘密的保密期限由国家有关部门确定，工作秘密的保密期限由采购人确定。</w:t>
      </w:r>
    </w:p>
    <w:p>
      <w:pPr>
        <w:widowControl/>
        <w:spacing w:line="500" w:lineRule="exact"/>
        <w:ind w:firstLine="420" w:firstLineChars="200"/>
        <w:outlineLvl w:val="2"/>
        <w:rPr>
          <w:rFonts w:ascii="宋体" w:hAnsi="宋体" w:cs="宋体"/>
          <w:b/>
          <w:bCs/>
          <w:sz w:val="24"/>
        </w:rPr>
      </w:pPr>
      <w:r>
        <w:rPr>
          <w:rFonts w:hint="eastAsia"/>
        </w:rPr>
        <w:t>★</w:t>
      </w:r>
      <w:r>
        <w:rPr>
          <w:rFonts w:hint="eastAsia" w:ascii="宋体" w:hAnsi="宋体" w:cs="宋体"/>
          <w:b/>
          <w:bCs/>
          <w:kern w:val="0"/>
          <w:sz w:val="24"/>
        </w:rPr>
        <w:t>（六）</w:t>
      </w:r>
      <w:r>
        <w:rPr>
          <w:rFonts w:hint="eastAsia" w:ascii="宋体" w:hAnsi="宋体" w:cs="宋体"/>
          <w:b/>
          <w:bCs/>
          <w:sz w:val="24"/>
        </w:rPr>
        <w:t>违约责任</w:t>
      </w:r>
    </w:p>
    <w:p>
      <w:pPr>
        <w:widowControl/>
        <w:spacing w:line="500" w:lineRule="exact"/>
        <w:ind w:firstLine="480" w:firstLineChars="200"/>
        <w:rPr>
          <w:rFonts w:ascii="宋体" w:hAnsi="宋体" w:cs="宋体"/>
          <w:sz w:val="24"/>
        </w:rPr>
      </w:pPr>
      <w:r>
        <w:rPr>
          <w:rFonts w:hint="eastAsia" w:ascii="宋体" w:hAnsi="宋体" w:cs="宋体"/>
          <w:sz w:val="24"/>
        </w:rPr>
        <w:t>1.中标人未按照本合同约定的时间完成本项目各阶段工作，每延迟一日，采购人有权自尚未支付的合同款项中扣除本合同服务费总金额的1‰的逾期违约金。</w:t>
      </w:r>
    </w:p>
    <w:p>
      <w:pPr>
        <w:widowControl/>
        <w:spacing w:line="500" w:lineRule="exact"/>
        <w:ind w:firstLine="480" w:firstLineChars="200"/>
        <w:rPr>
          <w:rFonts w:ascii="宋体" w:hAnsi="宋体" w:cs="宋体"/>
          <w:sz w:val="24"/>
        </w:rPr>
      </w:pPr>
      <w:r>
        <w:rPr>
          <w:rFonts w:hint="eastAsia" w:ascii="宋体" w:hAnsi="宋体" w:cs="宋体"/>
          <w:sz w:val="24"/>
        </w:rPr>
        <w:t>2.本合同项下的工作内容不可分割，任一文件的迟延交付均视为整个项目的迟延交付。</w:t>
      </w:r>
    </w:p>
    <w:p>
      <w:pPr>
        <w:widowControl/>
        <w:spacing w:line="500" w:lineRule="exact"/>
        <w:ind w:firstLine="480" w:firstLineChars="200"/>
        <w:rPr>
          <w:rFonts w:ascii="宋体" w:hAnsi="宋体" w:cs="宋体"/>
          <w:sz w:val="24"/>
        </w:rPr>
      </w:pPr>
      <w:r>
        <w:rPr>
          <w:rFonts w:hint="eastAsia" w:ascii="宋体" w:hAnsi="宋体" w:cs="宋体"/>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500" w:lineRule="exact"/>
        <w:ind w:firstLine="480" w:firstLineChars="200"/>
        <w:rPr>
          <w:rFonts w:ascii="宋体" w:hAnsi="宋体" w:cs="宋体"/>
          <w:sz w:val="24"/>
        </w:rPr>
      </w:pPr>
      <w:r>
        <w:rPr>
          <w:rFonts w:hint="eastAsia" w:ascii="宋体" w:hAnsi="宋体" w:cs="宋体"/>
          <w:sz w:val="24"/>
        </w:rPr>
        <w:t>（1）中标人未能按合同约定的日期(含协商延缓的日期)提交各阶段工作成果，延误时间超过15个工作日；</w:t>
      </w:r>
    </w:p>
    <w:p>
      <w:pPr>
        <w:widowControl/>
        <w:spacing w:line="500" w:lineRule="exact"/>
        <w:ind w:firstLine="480" w:firstLineChars="200"/>
        <w:rPr>
          <w:rFonts w:ascii="宋体" w:hAnsi="宋体" w:cs="宋体"/>
          <w:sz w:val="24"/>
        </w:rPr>
      </w:pPr>
      <w:r>
        <w:rPr>
          <w:rFonts w:hint="eastAsia" w:ascii="宋体" w:hAnsi="宋体" w:cs="宋体"/>
          <w:sz w:val="24"/>
        </w:rPr>
        <w:t>（2）因中标人工作的错误或遗漏造成成果质量损失，工作成果质量低劣，不能满足采购人工作需要和要求；</w:t>
      </w:r>
    </w:p>
    <w:p>
      <w:pPr>
        <w:widowControl/>
        <w:spacing w:line="500" w:lineRule="exact"/>
        <w:ind w:firstLine="480" w:firstLineChars="200"/>
        <w:rPr>
          <w:rFonts w:ascii="宋体" w:hAnsi="宋体" w:cs="宋体"/>
          <w:sz w:val="24"/>
        </w:rPr>
      </w:pPr>
      <w:r>
        <w:rPr>
          <w:rFonts w:hint="eastAsia" w:ascii="宋体" w:hAnsi="宋体" w:cs="宋体"/>
          <w:sz w:val="24"/>
        </w:rPr>
        <w:t>（3）中标人虽如期提交最终成果，但连续二次未能通过采购人验收的；</w:t>
      </w:r>
    </w:p>
    <w:p>
      <w:pPr>
        <w:widowControl/>
        <w:spacing w:line="500" w:lineRule="exact"/>
        <w:ind w:firstLine="480" w:firstLineChars="200"/>
        <w:rPr>
          <w:rFonts w:ascii="宋体" w:hAnsi="宋体" w:cs="宋体"/>
          <w:sz w:val="24"/>
        </w:rPr>
      </w:pPr>
      <w:r>
        <w:rPr>
          <w:rFonts w:hint="eastAsia" w:ascii="宋体" w:hAnsi="宋体" w:cs="宋体"/>
          <w:sz w:val="24"/>
        </w:rPr>
        <w:t>（4）未经采购人书面在先同意，中标人擅自将本合同项目与任何第三方合作，或将本合同标的全部或部分擅自转包或分包给任何第三方，且未按采购人的要求终止与第三方的合同的；</w:t>
      </w:r>
    </w:p>
    <w:p>
      <w:pPr>
        <w:widowControl/>
        <w:spacing w:line="500" w:lineRule="exact"/>
        <w:ind w:firstLine="480" w:firstLineChars="200"/>
        <w:rPr>
          <w:rFonts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widowControl/>
        <w:spacing w:line="500" w:lineRule="exact"/>
        <w:ind w:firstLine="480" w:firstLineChars="200"/>
        <w:rPr>
          <w:rFonts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widowControl/>
        <w:spacing w:line="500" w:lineRule="exact"/>
        <w:ind w:firstLine="480" w:firstLineChars="200"/>
        <w:rPr>
          <w:rFonts w:ascii="宋体" w:hAnsi="宋体" w:cs="宋体"/>
          <w:sz w:val="24"/>
        </w:rPr>
      </w:pPr>
      <w:r>
        <w:rPr>
          <w:rFonts w:hint="eastAsia" w:ascii="宋体" w:hAnsi="宋体" w:cs="宋体"/>
          <w:sz w:val="24"/>
        </w:rPr>
        <w:t>（7）中标人明确表示或者以自己的行为表明不履行本合同的。</w:t>
      </w:r>
    </w:p>
    <w:p>
      <w:pPr>
        <w:widowControl/>
        <w:spacing w:line="500" w:lineRule="exact"/>
        <w:ind w:firstLine="480" w:firstLineChars="200"/>
        <w:rPr>
          <w:rFonts w:ascii="宋体" w:hAnsi="宋体" w:cs="宋体"/>
          <w:sz w:val="24"/>
        </w:rPr>
      </w:pPr>
      <w:r>
        <w:rPr>
          <w:rFonts w:hint="eastAsia" w:ascii="宋体" w:hAnsi="宋体" w:cs="宋体"/>
          <w:sz w:val="24"/>
        </w:rPr>
        <w:t>4.除因</w:t>
      </w:r>
      <w:r>
        <w:rPr>
          <w:rFonts w:hint="eastAsia" w:ascii="宋体" w:hAnsi="宋体" w:cs="宋体"/>
          <w:kern w:val="0"/>
          <w:sz w:val="24"/>
        </w:rPr>
        <w:t>采购人付款审批影响支付进度的情况外，</w:t>
      </w:r>
      <w:r>
        <w:rPr>
          <w:rFonts w:hint="eastAsia" w:ascii="宋体" w:hAnsi="宋体" w:cs="宋体"/>
          <w:sz w:val="24"/>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500" w:lineRule="exact"/>
        <w:ind w:firstLine="480" w:firstLineChars="200"/>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w:t>
      </w:r>
    </w:p>
    <w:p>
      <w:pPr>
        <w:spacing w:line="360" w:lineRule="auto"/>
        <w:jc w:val="center"/>
        <w:outlineLvl w:val="0"/>
        <w:rPr>
          <w:rFonts w:ascii="宋体" w:cs="宋体"/>
          <w:b/>
          <w:bCs/>
          <w:sz w:val="24"/>
        </w:rPr>
      </w:pPr>
      <w:r>
        <w:rPr>
          <w:rFonts w:hint="eastAsia" w:ascii="宋体" w:hAnsi="宋体" w:cs="宋体"/>
          <w:sz w:val="24"/>
        </w:rPr>
        <w:br w:type="page"/>
      </w:r>
      <w:bookmarkStart w:id="17" w:name="_Toc23822"/>
      <w:r>
        <w:rPr>
          <w:rFonts w:hint="eastAsia" w:ascii="宋体" w:cs="宋体"/>
          <w:b/>
          <w:bCs/>
          <w:sz w:val="24"/>
        </w:rPr>
        <w:t>第六章 投标文件初审及招标项目评分表</w:t>
      </w:r>
      <w:bookmarkEnd w:id="17"/>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w:t>
            </w:r>
          </w:p>
        </w:tc>
        <w:tc>
          <w:tcPr>
            <w:tcW w:w="7108" w:type="dxa"/>
          </w:tcPr>
          <w:p>
            <w:pPr>
              <w:spacing w:line="360" w:lineRule="auto"/>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2</w:t>
            </w:r>
          </w:p>
        </w:tc>
        <w:tc>
          <w:tcPr>
            <w:tcW w:w="7108"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3</w:t>
            </w:r>
          </w:p>
        </w:tc>
        <w:tc>
          <w:tcPr>
            <w:tcW w:w="7108" w:type="dxa"/>
            <w:vAlign w:val="center"/>
          </w:tcPr>
          <w:p>
            <w:pPr>
              <w:spacing w:line="360" w:lineRule="auto"/>
              <w:rPr>
                <w:rFonts w:ascii="宋体" w:hAnsi="宋体" w:cs="宋体"/>
                <w:sz w:val="24"/>
              </w:rPr>
            </w:pPr>
            <w:r>
              <w:rPr>
                <w:rFonts w:hint="eastAsia" w:ascii="宋体" w:hAnsi="宋体" w:cs="宋体"/>
                <w:sz w:val="24"/>
              </w:rPr>
              <w:t>投标文件未按规定密封、签字、盖章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4</w:t>
            </w:r>
          </w:p>
        </w:tc>
        <w:tc>
          <w:tcPr>
            <w:tcW w:w="7108"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5</w:t>
            </w:r>
          </w:p>
        </w:tc>
        <w:tc>
          <w:tcPr>
            <w:tcW w:w="7108" w:type="dxa"/>
            <w:vAlign w:val="center"/>
          </w:tcPr>
          <w:p>
            <w:pPr>
              <w:spacing w:line="360" w:lineRule="auto"/>
              <w:rPr>
                <w:rFonts w:ascii="宋体" w:hAnsi="宋体" w:cs="宋体"/>
                <w:sz w:val="24"/>
              </w:rPr>
            </w:pPr>
            <w:r>
              <w:rPr>
                <w:rFonts w:hint="eastAsia" w:ascii="宋体" w:hAnsi="宋体" w:cs="宋体"/>
                <w:sz w:val="24"/>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6</w:t>
            </w:r>
          </w:p>
        </w:tc>
        <w:tc>
          <w:tcPr>
            <w:tcW w:w="7108"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7</w:t>
            </w:r>
          </w:p>
        </w:tc>
        <w:tc>
          <w:tcPr>
            <w:tcW w:w="7108"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8</w:t>
            </w:r>
          </w:p>
        </w:tc>
        <w:tc>
          <w:tcPr>
            <w:tcW w:w="7108"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9</w:t>
            </w:r>
          </w:p>
        </w:tc>
        <w:tc>
          <w:tcPr>
            <w:tcW w:w="7108"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10</w:t>
            </w:r>
          </w:p>
        </w:tc>
        <w:tc>
          <w:tcPr>
            <w:tcW w:w="7108"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招标项目评分表</w:t>
      </w:r>
    </w:p>
    <w:tbl>
      <w:tblPr>
        <w:tblStyle w:val="24"/>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946"/>
        <w:gridCol w:w="6457"/>
        <w:gridCol w:w="668"/>
        <w:gridCol w:w="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946"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645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6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984"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946"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b/>
                <w:sz w:val="24"/>
              </w:rPr>
              <w:t>投标报价</w:t>
            </w:r>
          </w:p>
        </w:tc>
        <w:tc>
          <w:tcPr>
            <w:tcW w:w="6457" w:type="dxa"/>
            <w:vAlign w:val="center"/>
          </w:tcPr>
          <w:p>
            <w:pPr>
              <w:pStyle w:val="9"/>
              <w:spacing w:line="360" w:lineRule="auto"/>
              <w:rPr>
                <w:rFonts w:ascii="宋体" w:hAnsi="宋体" w:cs="宋体"/>
                <w:kern w:val="0"/>
                <w:sz w:val="24"/>
              </w:rPr>
            </w:pPr>
            <w:r>
              <w:rPr>
                <w:rFonts w:hint="eastAsia" w:ascii="宋体" w:hAnsi="宋体" w:cs="宋体"/>
                <w:kern w:val="0"/>
                <w:sz w:val="24"/>
              </w:rPr>
              <w:t>采用低价优先法计算，即满足招标文件要求且投标价格最低的投标报价为评标基准价，其价格分为满分。其他投标人的价格分统一按照下列公式计算：</w:t>
            </w:r>
          </w:p>
          <w:p>
            <w:pPr>
              <w:pStyle w:val="9"/>
              <w:spacing w:line="360" w:lineRule="auto"/>
              <w:rPr>
                <w:rFonts w:ascii="宋体" w:hAnsi="宋体" w:cs="宋体"/>
                <w:kern w:val="0"/>
                <w:sz w:val="24"/>
              </w:rPr>
            </w:pPr>
            <w:r>
              <w:rPr>
                <w:rFonts w:hint="eastAsia" w:ascii="宋体" w:hAnsi="宋体" w:cs="宋体"/>
                <w:b/>
                <w:bCs/>
                <w:kern w:val="0"/>
                <w:sz w:val="24"/>
              </w:rPr>
              <w:t>投标报价得分=(评标基准价／投标报价)×10</w:t>
            </w:r>
          </w:p>
          <w:p>
            <w:pPr>
              <w:numPr>
                <w:ilvl w:val="0"/>
                <w:numId w:val="15"/>
              </w:numPr>
              <w:spacing w:line="360" w:lineRule="auto"/>
              <w:ind w:left="250" w:hanging="249" w:hangingChars="104"/>
              <w:jc w:val="left"/>
              <w:rPr>
                <w:rFonts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pPr>
              <w:numPr>
                <w:ilvl w:val="0"/>
                <w:numId w:val="15"/>
              </w:numPr>
              <w:spacing w:line="360" w:lineRule="auto"/>
              <w:ind w:left="250" w:hanging="249" w:hangingChars="104"/>
              <w:jc w:val="left"/>
              <w:rPr>
                <w:rFonts w:ascii="宋体" w:hAnsi="宋体" w:cs="宋体"/>
                <w:bCs/>
                <w:sz w:val="24"/>
              </w:rPr>
            </w:pPr>
            <w:r>
              <w:rPr>
                <w:rFonts w:hint="eastAsia" w:ascii="宋体" w:hAnsi="宋体" w:cs="宋体"/>
                <w:bCs/>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9"/>
              <w:spacing w:line="360" w:lineRule="auto"/>
              <w:ind w:left="216" w:leftChars="103"/>
              <w:rPr>
                <w:rFonts w:ascii="宋体" w:hAnsi="宋体" w:cs="宋体"/>
                <w:kern w:val="0"/>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6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10</w:t>
            </w:r>
          </w:p>
        </w:tc>
        <w:tc>
          <w:tcPr>
            <w:tcW w:w="984"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rPr>
              <w:t>60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946"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645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6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984"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w:t>
            </w:r>
          </w:p>
        </w:tc>
        <w:tc>
          <w:tcPr>
            <w:tcW w:w="946"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项目负责人</w:t>
            </w:r>
          </w:p>
        </w:tc>
        <w:tc>
          <w:tcPr>
            <w:tcW w:w="6457" w:type="dxa"/>
            <w:vAlign w:val="center"/>
          </w:tcPr>
          <w:p>
            <w:pPr>
              <w:pStyle w:val="53"/>
              <w:widowControl/>
              <w:numPr>
                <w:ilvl w:val="0"/>
                <w:numId w:val="16"/>
              </w:numPr>
              <w:tabs>
                <w:tab w:val="left" w:pos="426"/>
              </w:tabs>
              <w:spacing w:line="360" w:lineRule="auto"/>
              <w:ind w:left="0" w:firstLine="0" w:firstLineChars="0"/>
              <w:rPr>
                <w:rFonts w:ascii="宋体" w:hAnsi="宋体" w:cs="宋体"/>
                <w:b/>
                <w:bCs/>
                <w:sz w:val="24"/>
              </w:rPr>
            </w:pPr>
            <w:r>
              <w:rPr>
                <w:rFonts w:hint="eastAsia" w:ascii="宋体" w:hAnsi="宋体" w:cs="宋体"/>
                <w:b/>
                <w:bCs/>
                <w:sz w:val="24"/>
              </w:rPr>
              <w:t>评分内容：</w:t>
            </w:r>
          </w:p>
          <w:p>
            <w:pPr>
              <w:pStyle w:val="53"/>
              <w:widowControl/>
              <w:tabs>
                <w:tab w:val="left" w:pos="426"/>
              </w:tabs>
              <w:spacing w:line="360" w:lineRule="auto"/>
              <w:ind w:firstLine="0" w:firstLineChars="0"/>
              <w:rPr>
                <w:rFonts w:ascii="宋体" w:hAnsi="宋体" w:cs="宋体"/>
                <w:sz w:val="24"/>
              </w:rPr>
            </w:pPr>
            <w:r>
              <w:rPr>
                <w:rFonts w:hint="eastAsia" w:ascii="宋体" w:hAnsi="宋体" w:cs="宋体"/>
                <w:sz w:val="24"/>
              </w:rPr>
              <w:t>1.拟安排本项目的项目负责人(仅一人)具有10年及以上律师执业经验得3分，具有15年及以上律师执业经验得5分。</w:t>
            </w:r>
          </w:p>
          <w:p>
            <w:pPr>
              <w:pStyle w:val="53"/>
              <w:widowControl/>
              <w:tabs>
                <w:tab w:val="left" w:pos="426"/>
              </w:tabs>
              <w:spacing w:line="360" w:lineRule="auto"/>
              <w:ind w:firstLine="0" w:firstLineChars="0"/>
              <w:rPr>
                <w:rFonts w:ascii="宋体" w:hAnsi="宋体" w:cs="宋体"/>
                <w:sz w:val="24"/>
              </w:rPr>
            </w:pPr>
            <w:r>
              <w:rPr>
                <w:rFonts w:hint="eastAsia" w:ascii="宋体" w:hAnsi="宋体" w:cs="宋体"/>
                <w:sz w:val="24"/>
              </w:rPr>
              <w:t>2.担任过地市级政府立法咨询专家的得3分，担任过省级及以上政府立法咨询专家的得5分。</w:t>
            </w:r>
          </w:p>
          <w:p>
            <w:pPr>
              <w:pStyle w:val="53"/>
              <w:widowControl/>
              <w:tabs>
                <w:tab w:val="left" w:pos="426"/>
              </w:tabs>
              <w:spacing w:line="360" w:lineRule="auto"/>
              <w:ind w:firstLine="0" w:firstLineChars="0"/>
              <w:rPr>
                <w:rFonts w:ascii="宋体" w:hAnsi="宋体" w:cs="宋体"/>
                <w:sz w:val="24"/>
              </w:rPr>
            </w:pPr>
            <w:r>
              <w:rPr>
                <w:rFonts w:hint="eastAsia" w:ascii="宋体" w:hAnsi="宋体" w:cs="宋体"/>
                <w:sz w:val="24"/>
              </w:rPr>
              <w:t>3.曾荣获地级市律师行业表彰得3分，获省级及以上律师行业表彰得5分。</w:t>
            </w:r>
          </w:p>
          <w:p>
            <w:pPr>
              <w:pStyle w:val="53"/>
              <w:widowControl/>
              <w:tabs>
                <w:tab w:val="left" w:pos="426"/>
              </w:tabs>
              <w:spacing w:line="360" w:lineRule="auto"/>
              <w:ind w:firstLine="0" w:firstLineChars="0"/>
              <w:rPr>
                <w:rFonts w:ascii="宋体" w:hAnsi="宋体" w:cs="宋体"/>
                <w:sz w:val="24"/>
              </w:rPr>
            </w:pPr>
            <w:r>
              <w:rPr>
                <w:rFonts w:hint="eastAsia" w:ascii="宋体" w:hAnsi="宋体" w:cs="宋体"/>
                <w:sz w:val="24"/>
              </w:rPr>
              <w:t>本项满分15分。</w:t>
            </w:r>
          </w:p>
          <w:p>
            <w:pPr>
              <w:pStyle w:val="53"/>
              <w:widowControl/>
              <w:numPr>
                <w:ilvl w:val="0"/>
                <w:numId w:val="16"/>
              </w:numPr>
              <w:tabs>
                <w:tab w:val="left" w:pos="426"/>
              </w:tabs>
              <w:spacing w:line="360" w:lineRule="auto"/>
              <w:ind w:left="0" w:firstLine="0" w:firstLineChars="0"/>
              <w:rPr>
                <w:rFonts w:ascii="宋体" w:hAnsi="宋体" w:cs="宋体"/>
                <w:b/>
                <w:bCs/>
                <w:sz w:val="24"/>
              </w:rPr>
            </w:pPr>
            <w:r>
              <w:rPr>
                <w:rFonts w:hint="eastAsia" w:ascii="宋体" w:hAnsi="宋体" w:cs="宋体"/>
                <w:b/>
                <w:bCs/>
                <w:sz w:val="24"/>
              </w:rPr>
              <w:t>评分依据：</w:t>
            </w:r>
          </w:p>
          <w:p>
            <w:pPr>
              <w:pStyle w:val="53"/>
              <w:widowControl/>
              <w:tabs>
                <w:tab w:val="left" w:pos="426"/>
              </w:tabs>
              <w:spacing w:line="360" w:lineRule="auto"/>
              <w:ind w:firstLine="0" w:firstLineChars="0"/>
              <w:rPr>
                <w:rFonts w:ascii="宋体" w:hAnsi="宋体" w:cs="宋体"/>
                <w:sz w:val="24"/>
              </w:rPr>
            </w:pPr>
            <w:r>
              <w:rPr>
                <w:rFonts w:hint="eastAsia" w:ascii="宋体" w:hAnsi="宋体" w:cs="宋体"/>
                <w:sz w:val="24"/>
              </w:rPr>
              <w:t>1.律师执业经验：提供能证明执业年限的律师执业证书（以注册时间开始计算）。</w:t>
            </w:r>
          </w:p>
          <w:p>
            <w:pPr>
              <w:pStyle w:val="53"/>
              <w:widowControl/>
              <w:tabs>
                <w:tab w:val="left" w:pos="426"/>
              </w:tabs>
              <w:spacing w:line="360" w:lineRule="auto"/>
              <w:ind w:firstLine="0" w:firstLineChars="0"/>
              <w:rPr>
                <w:rFonts w:ascii="宋体" w:hAnsi="宋体" w:cs="宋体"/>
                <w:sz w:val="24"/>
              </w:rPr>
            </w:pPr>
            <w:r>
              <w:rPr>
                <w:rFonts w:hint="eastAsia" w:ascii="宋体" w:hAnsi="宋体" w:cs="宋体"/>
                <w:sz w:val="24"/>
              </w:rPr>
              <w:t>2.政府立法咨询专家经验：提供担任政府立法咨询专家的证书等证明材料作为可以得分的依据。</w:t>
            </w:r>
          </w:p>
          <w:p>
            <w:pPr>
              <w:pStyle w:val="53"/>
              <w:widowControl/>
              <w:tabs>
                <w:tab w:val="left" w:pos="426"/>
              </w:tabs>
              <w:spacing w:line="360" w:lineRule="auto"/>
              <w:ind w:firstLine="0" w:firstLineChars="0"/>
              <w:rPr>
                <w:rFonts w:ascii="宋体" w:hAnsi="宋体" w:cs="宋体"/>
                <w:sz w:val="24"/>
              </w:rPr>
            </w:pPr>
            <w:r>
              <w:rPr>
                <w:rFonts w:hint="eastAsia" w:ascii="宋体" w:hAnsi="宋体" w:cs="宋体"/>
                <w:sz w:val="24"/>
              </w:rPr>
              <w:t>3.表彰证明：提供相关荣誉证书。</w:t>
            </w:r>
          </w:p>
          <w:p>
            <w:pPr>
              <w:pStyle w:val="53"/>
              <w:widowControl/>
              <w:tabs>
                <w:tab w:val="left" w:pos="426"/>
              </w:tabs>
              <w:spacing w:line="360" w:lineRule="auto"/>
              <w:ind w:firstLine="0" w:firstLineChars="0"/>
              <w:rPr>
                <w:rFonts w:ascii="宋体" w:hAnsi="宋体" w:cs="宋体"/>
                <w:kern w:val="0"/>
                <w:sz w:val="24"/>
                <w:lang w:val="zh-CN"/>
              </w:rPr>
            </w:pPr>
            <w:r>
              <w:rPr>
                <w:rFonts w:hint="eastAsia" w:ascii="宋体" w:hAnsi="宋体" w:cs="宋体"/>
                <w:sz w:val="24"/>
              </w:rPr>
              <w:t>4.投标人须提供上述人员近</w:t>
            </w:r>
            <w:r>
              <w:rPr>
                <w:rFonts w:hint="eastAsia" w:ascii="宋体" w:hAnsi="宋体" w:cs="宋体"/>
                <w:sz w:val="24"/>
                <w:lang w:eastAsia="zh-CN"/>
              </w:rPr>
              <w:t>三</w:t>
            </w:r>
            <w:r>
              <w:rPr>
                <w:rFonts w:hint="eastAsia" w:ascii="宋体" w:hAnsi="宋体" w:cs="宋体"/>
                <w:sz w:val="24"/>
              </w:rPr>
              <w:t>个月任</w:t>
            </w:r>
            <w:r>
              <w:rPr>
                <w:rFonts w:hint="eastAsia" w:ascii="宋体" w:hAnsi="宋体" w:cs="宋体"/>
                <w:sz w:val="24"/>
                <w:lang w:eastAsia="zh-CN"/>
              </w:rPr>
              <w:t>一</w:t>
            </w:r>
            <w:r>
              <w:rPr>
                <w:rFonts w:hint="eastAsia" w:ascii="宋体" w:hAnsi="宋体" w:cs="宋体"/>
                <w:sz w:val="24"/>
              </w:rPr>
              <w:t>个月的社保缴纳记录或加盖企业公章的社保承诺函。所有资料均要求复印件加盖公章，原件备查。</w:t>
            </w:r>
          </w:p>
        </w:tc>
        <w:tc>
          <w:tcPr>
            <w:tcW w:w="6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15</w:t>
            </w:r>
          </w:p>
        </w:tc>
        <w:tc>
          <w:tcPr>
            <w:tcW w:w="984"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2</w:t>
            </w:r>
          </w:p>
        </w:tc>
        <w:tc>
          <w:tcPr>
            <w:tcW w:w="946"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项目团队实力（项目负责人除外）</w:t>
            </w:r>
          </w:p>
        </w:tc>
        <w:tc>
          <w:tcPr>
            <w:tcW w:w="6457" w:type="dxa"/>
            <w:vAlign w:val="center"/>
          </w:tcPr>
          <w:p>
            <w:pPr>
              <w:pStyle w:val="53"/>
              <w:widowControl/>
              <w:numPr>
                <w:ilvl w:val="0"/>
                <w:numId w:val="17"/>
              </w:numPr>
              <w:tabs>
                <w:tab w:val="left" w:pos="426"/>
              </w:tabs>
              <w:spacing w:line="360" w:lineRule="auto"/>
              <w:ind w:left="0" w:firstLine="0" w:firstLineChars="0"/>
              <w:rPr>
                <w:rFonts w:ascii="宋体" w:hAnsi="宋体" w:cs="宋体"/>
                <w:b/>
                <w:bCs/>
                <w:sz w:val="24"/>
              </w:rPr>
            </w:pPr>
            <w:r>
              <w:rPr>
                <w:rFonts w:hint="eastAsia" w:ascii="宋体" w:hAnsi="宋体" w:cs="宋体"/>
                <w:b/>
                <w:bCs/>
                <w:sz w:val="24"/>
              </w:rPr>
              <w:t>评分内容：</w:t>
            </w:r>
          </w:p>
          <w:p>
            <w:pPr>
              <w:pStyle w:val="53"/>
              <w:widowControl/>
              <w:tabs>
                <w:tab w:val="left" w:pos="426"/>
              </w:tabs>
              <w:spacing w:line="360" w:lineRule="auto"/>
              <w:ind w:firstLine="0" w:firstLineChars="0"/>
              <w:rPr>
                <w:rFonts w:ascii="宋体" w:hAnsi="宋体" w:cs="宋体"/>
                <w:sz w:val="24"/>
              </w:rPr>
            </w:pPr>
            <w:r>
              <w:rPr>
                <w:rFonts w:hint="eastAsia" w:ascii="宋体" w:hAnsi="宋体" w:cs="宋体"/>
                <w:sz w:val="24"/>
              </w:rPr>
              <w:t>1.拟安排本项目的团队成员</w:t>
            </w:r>
            <w:r>
              <w:rPr>
                <w:rFonts w:hint="eastAsia" w:ascii="宋体" w:hAnsi="宋体" w:cs="宋体"/>
                <w:sz w:val="24"/>
                <w:lang w:val="en-US" w:eastAsia="zh-CN"/>
              </w:rPr>
              <w:t>任一</w:t>
            </w:r>
            <w:r>
              <w:rPr>
                <w:rFonts w:hint="eastAsia" w:ascii="宋体" w:hAnsi="宋体" w:cs="宋体"/>
                <w:sz w:val="24"/>
              </w:rPr>
              <w:t>具有博士及以上学历的得</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lang w:eastAsia="zh-CN"/>
              </w:rPr>
              <w:t>任一</w:t>
            </w:r>
            <w:r>
              <w:rPr>
                <w:rFonts w:hint="eastAsia" w:ascii="宋体" w:hAnsi="宋体" w:cs="宋体"/>
                <w:sz w:val="24"/>
              </w:rPr>
              <w:t>具有硕士学历的得</w:t>
            </w:r>
            <w:r>
              <w:rPr>
                <w:rFonts w:hint="eastAsia" w:ascii="宋体" w:hAnsi="宋体" w:cs="宋体"/>
                <w:sz w:val="24"/>
                <w:lang w:val="en-US" w:eastAsia="zh-CN"/>
              </w:rPr>
              <w:t>3</w:t>
            </w:r>
            <w:r>
              <w:rPr>
                <w:rFonts w:hint="eastAsia" w:ascii="宋体" w:hAnsi="宋体" w:cs="宋体"/>
                <w:sz w:val="24"/>
              </w:rPr>
              <w:t>分，本项最高得5分；</w:t>
            </w:r>
          </w:p>
          <w:p>
            <w:pPr>
              <w:pStyle w:val="53"/>
              <w:widowControl/>
              <w:tabs>
                <w:tab w:val="left" w:pos="426"/>
              </w:tabs>
              <w:spacing w:line="360" w:lineRule="auto"/>
              <w:ind w:firstLine="0" w:firstLineChars="0"/>
              <w:rPr>
                <w:rFonts w:ascii="宋体" w:hAnsi="宋体" w:cs="宋体"/>
                <w:sz w:val="24"/>
              </w:rPr>
            </w:pPr>
            <w:r>
              <w:rPr>
                <w:rFonts w:hint="eastAsia" w:ascii="宋体" w:hAnsi="宋体" w:cs="宋体"/>
                <w:sz w:val="24"/>
              </w:rPr>
              <w:t>2.拟安排本项目的团队成员每有1人具有5年及以上律师执业经验的得1分，本项最高得5分；（提供律师执业证）</w:t>
            </w:r>
          </w:p>
          <w:p>
            <w:pPr>
              <w:pStyle w:val="53"/>
              <w:widowControl/>
              <w:tabs>
                <w:tab w:val="left" w:pos="426"/>
              </w:tabs>
              <w:spacing w:line="360" w:lineRule="auto"/>
              <w:ind w:firstLine="0" w:firstLineChars="0"/>
              <w:rPr>
                <w:rFonts w:ascii="宋体" w:hAnsi="宋体" w:cs="宋体"/>
                <w:sz w:val="24"/>
              </w:rPr>
            </w:pPr>
            <w:r>
              <w:rPr>
                <w:rFonts w:ascii="宋体" w:hAnsi="宋体" w:cs="宋体"/>
                <w:sz w:val="24"/>
              </w:rPr>
              <w:t>3</w:t>
            </w:r>
            <w:r>
              <w:rPr>
                <w:rFonts w:hint="eastAsia" w:ascii="宋体" w:hAnsi="宋体" w:cs="宋体"/>
                <w:sz w:val="24"/>
              </w:rPr>
              <w:t>.拟安排本项目的团队成员每有1名粤港澳大湾区执业律师的得0.5分，本项最高得5分；（提供粤港澳大湾区执业律师证书复印件）</w:t>
            </w:r>
          </w:p>
          <w:p>
            <w:pPr>
              <w:pStyle w:val="53"/>
              <w:widowControl/>
              <w:numPr>
                <w:ilvl w:val="0"/>
                <w:numId w:val="17"/>
              </w:numPr>
              <w:tabs>
                <w:tab w:val="left" w:pos="426"/>
              </w:tabs>
              <w:spacing w:line="360" w:lineRule="auto"/>
              <w:ind w:left="0" w:firstLine="0" w:firstLineChars="0"/>
              <w:rPr>
                <w:rFonts w:ascii="宋体" w:hAnsi="宋体" w:cs="宋体"/>
                <w:b/>
                <w:bCs/>
                <w:sz w:val="24"/>
              </w:rPr>
            </w:pPr>
            <w:r>
              <w:rPr>
                <w:rFonts w:hint="eastAsia" w:ascii="宋体" w:hAnsi="宋体" w:cs="宋体"/>
                <w:b/>
                <w:bCs/>
                <w:sz w:val="24"/>
              </w:rPr>
              <w:t>评分依据：</w:t>
            </w:r>
          </w:p>
          <w:p>
            <w:pPr>
              <w:widowControl/>
              <w:spacing w:line="360" w:lineRule="auto"/>
              <w:ind w:firstLine="0" w:firstLineChars="0"/>
              <w:rPr>
                <w:rFonts w:ascii="宋体" w:hAnsi="宋体" w:cs="宋体"/>
                <w:sz w:val="24"/>
              </w:rPr>
            </w:pPr>
            <w:r>
              <w:rPr>
                <w:rFonts w:hint="eastAsia" w:ascii="宋体" w:hAnsi="宋体" w:cs="宋体"/>
                <w:sz w:val="24"/>
              </w:rPr>
              <w:t>1.投标人须提供上述人员近</w:t>
            </w:r>
            <w:r>
              <w:rPr>
                <w:rFonts w:hint="eastAsia" w:ascii="宋体" w:hAnsi="宋体" w:cs="宋体"/>
                <w:sz w:val="24"/>
                <w:lang w:eastAsia="zh-CN"/>
              </w:rPr>
              <w:t>三</w:t>
            </w:r>
            <w:r>
              <w:rPr>
                <w:rFonts w:hint="eastAsia" w:ascii="宋体" w:hAnsi="宋体" w:cs="宋体"/>
                <w:sz w:val="24"/>
              </w:rPr>
              <w:t>个月任</w:t>
            </w:r>
            <w:r>
              <w:rPr>
                <w:rFonts w:hint="eastAsia" w:ascii="宋体" w:hAnsi="宋体" w:cs="宋体"/>
                <w:sz w:val="24"/>
                <w:lang w:eastAsia="zh-CN"/>
              </w:rPr>
              <w:t>一</w:t>
            </w:r>
            <w:r>
              <w:rPr>
                <w:rFonts w:hint="eastAsia" w:ascii="宋体" w:hAnsi="宋体" w:cs="宋体"/>
                <w:sz w:val="24"/>
              </w:rPr>
              <w:t>个月的社保缴纳记录或加盖企业公章的社保承诺函</w:t>
            </w:r>
            <w:r>
              <w:rPr>
                <w:rFonts w:hint="eastAsia" w:ascii="宋体" w:hAnsi="宋体" w:cs="宋体"/>
                <w:sz w:val="24"/>
                <w:lang w:eastAsia="zh-CN"/>
              </w:rPr>
              <w:t>。</w:t>
            </w:r>
            <w:r>
              <w:rPr>
                <w:rFonts w:hint="eastAsia" w:ascii="宋体" w:hAnsi="宋体" w:cs="宋体"/>
                <w:sz w:val="24"/>
              </w:rPr>
              <w:t>所有资料均要求复印件加盖公章，原件备查；</w:t>
            </w:r>
          </w:p>
          <w:p>
            <w:pPr>
              <w:pStyle w:val="53"/>
              <w:widowControl/>
              <w:tabs>
                <w:tab w:val="left" w:pos="426"/>
              </w:tabs>
              <w:spacing w:line="360" w:lineRule="auto"/>
              <w:ind w:firstLine="0" w:firstLineChars="0"/>
              <w:rPr>
                <w:rFonts w:ascii="宋体" w:hAnsi="宋体" w:cs="宋体"/>
                <w:sz w:val="24"/>
              </w:rPr>
            </w:pPr>
            <w:r>
              <w:rPr>
                <w:rFonts w:hint="eastAsia" w:ascii="宋体" w:hAnsi="宋体" w:cs="宋体"/>
                <w:sz w:val="24"/>
              </w:rPr>
              <w:t>2.提供团队成员清单；</w:t>
            </w:r>
          </w:p>
          <w:p>
            <w:pPr>
              <w:pStyle w:val="53"/>
              <w:widowControl/>
              <w:tabs>
                <w:tab w:val="left" w:pos="426"/>
              </w:tabs>
              <w:spacing w:line="360" w:lineRule="auto"/>
              <w:ind w:firstLine="0" w:firstLineChars="0"/>
              <w:rPr>
                <w:rFonts w:hint="eastAsia" w:ascii="宋体" w:hAnsi="宋体" w:eastAsia="宋体" w:cs="宋体"/>
                <w:sz w:val="24"/>
                <w:lang w:eastAsia="zh-CN"/>
              </w:rPr>
            </w:pPr>
            <w:r>
              <w:rPr>
                <w:rFonts w:hint="eastAsia" w:ascii="宋体" w:hAnsi="宋体" w:cs="宋体"/>
                <w:sz w:val="24"/>
              </w:rPr>
              <w:t>3.律师执业证明(以执业证编号第6-9位号码体现执业年限)</w:t>
            </w:r>
            <w:r>
              <w:rPr>
                <w:rFonts w:hint="eastAsia"/>
                <w:lang w:eastAsia="zh-CN"/>
              </w:rPr>
              <w:t>。</w:t>
            </w:r>
          </w:p>
          <w:p>
            <w:pPr>
              <w:pStyle w:val="53"/>
              <w:widowControl/>
              <w:tabs>
                <w:tab w:val="left" w:pos="426"/>
              </w:tabs>
              <w:spacing w:line="360" w:lineRule="auto"/>
              <w:ind w:firstLine="0" w:firstLineChars="0"/>
              <w:rPr>
                <w:rFonts w:ascii="宋体" w:hAnsi="宋体" w:cs="宋体"/>
                <w:sz w:val="24"/>
                <w:lang w:val="zh-CN"/>
              </w:rPr>
            </w:pPr>
          </w:p>
        </w:tc>
        <w:tc>
          <w:tcPr>
            <w:tcW w:w="668" w:type="dxa"/>
            <w:vAlign w:val="center"/>
          </w:tcPr>
          <w:p>
            <w:pPr>
              <w:autoSpaceDE w:val="0"/>
              <w:autoSpaceDN w:val="0"/>
              <w:adjustRightInd w:val="0"/>
              <w:spacing w:line="360" w:lineRule="auto"/>
              <w:jc w:val="center"/>
            </w:pPr>
            <w:r>
              <w:rPr>
                <w:rFonts w:hint="eastAsia" w:ascii="宋体" w:hAnsi="宋体" w:cs="宋体"/>
                <w:sz w:val="24"/>
              </w:rPr>
              <w:t>15</w:t>
            </w:r>
          </w:p>
        </w:tc>
        <w:tc>
          <w:tcPr>
            <w:tcW w:w="984"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w:t>
            </w:r>
          </w:p>
        </w:tc>
        <w:tc>
          <w:tcPr>
            <w:tcW w:w="946"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同类业绩情况</w:t>
            </w:r>
          </w:p>
        </w:tc>
        <w:tc>
          <w:tcPr>
            <w:tcW w:w="6457" w:type="dxa"/>
          </w:tcPr>
          <w:p>
            <w:pPr>
              <w:pStyle w:val="53"/>
              <w:widowControl/>
              <w:numPr>
                <w:ilvl w:val="0"/>
                <w:numId w:val="18"/>
              </w:numPr>
              <w:spacing w:line="360" w:lineRule="auto"/>
              <w:ind w:left="0" w:firstLine="0" w:firstLineChars="0"/>
              <w:rPr>
                <w:rFonts w:ascii="宋体" w:hAnsi="宋体" w:cs="宋体"/>
                <w:b/>
                <w:bCs/>
                <w:sz w:val="24"/>
              </w:rPr>
            </w:pPr>
            <w:r>
              <w:rPr>
                <w:rFonts w:hint="eastAsia" w:ascii="宋体" w:hAnsi="宋体" w:cs="宋体"/>
                <w:b/>
                <w:bCs/>
                <w:sz w:val="24"/>
              </w:rPr>
              <w:t>评分内容：</w:t>
            </w:r>
          </w:p>
          <w:p>
            <w:pPr>
              <w:pStyle w:val="53"/>
              <w:widowControl/>
              <w:spacing w:line="360" w:lineRule="auto"/>
              <w:ind w:firstLine="0" w:firstLineChars="0"/>
              <w:rPr>
                <w:rFonts w:ascii="宋体" w:hAnsi="宋体" w:cs="宋体"/>
                <w:sz w:val="24"/>
              </w:rPr>
            </w:pPr>
            <w:r>
              <w:rPr>
                <w:rFonts w:hint="eastAsia" w:ascii="宋体" w:hAnsi="宋体" w:cs="宋体"/>
                <w:sz w:val="24"/>
              </w:rPr>
              <w:t>投标人2018年8月1日至投标截止之日，以合同签订时间为准，有接受法定机构或政府行政部门委托，进行依法行政、法律专务、规范性文件审查、立法项目咨询服务等同类业绩，每有一个得5分，本项最高得15分。</w:t>
            </w:r>
          </w:p>
          <w:p>
            <w:pPr>
              <w:pStyle w:val="53"/>
              <w:widowControl/>
              <w:numPr>
                <w:ilvl w:val="0"/>
                <w:numId w:val="18"/>
              </w:numPr>
              <w:spacing w:line="360" w:lineRule="auto"/>
              <w:ind w:left="0" w:firstLine="0" w:firstLineChars="0"/>
              <w:rPr>
                <w:rFonts w:ascii="宋体" w:hAnsi="宋体" w:cs="宋体"/>
                <w:sz w:val="24"/>
              </w:rPr>
            </w:pPr>
            <w:r>
              <w:rPr>
                <w:rFonts w:hint="eastAsia" w:ascii="宋体" w:hAnsi="宋体" w:cs="宋体"/>
                <w:b/>
                <w:bCs/>
                <w:sz w:val="24"/>
              </w:rPr>
              <w:t>评分依据：</w:t>
            </w:r>
          </w:p>
          <w:p>
            <w:pPr>
              <w:pStyle w:val="53"/>
              <w:widowControl/>
              <w:spacing w:line="360" w:lineRule="auto"/>
              <w:ind w:firstLine="0" w:firstLineChars="0"/>
              <w:rPr>
                <w:rFonts w:ascii="宋体" w:hAnsi="宋体" w:cs="宋体"/>
                <w:sz w:val="24"/>
              </w:rPr>
            </w:pPr>
            <w:r>
              <w:rPr>
                <w:rFonts w:hint="eastAsia" w:ascii="宋体" w:hAnsi="宋体" w:cs="宋体"/>
                <w:sz w:val="24"/>
              </w:rPr>
              <w:t>须提供合同关键信息（包含日期页、主要内容页、盖章页等）复印件加盖公章，原件备查。未提供或提供不齐全或无法分辨的不得分。</w:t>
            </w:r>
          </w:p>
        </w:tc>
        <w:tc>
          <w:tcPr>
            <w:tcW w:w="6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15</w:t>
            </w:r>
          </w:p>
        </w:tc>
        <w:tc>
          <w:tcPr>
            <w:tcW w:w="984"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4</w:t>
            </w:r>
          </w:p>
        </w:tc>
        <w:tc>
          <w:tcPr>
            <w:tcW w:w="946"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机构社会声誉</w:t>
            </w:r>
          </w:p>
        </w:tc>
        <w:tc>
          <w:tcPr>
            <w:tcW w:w="6457" w:type="dxa"/>
          </w:tcPr>
          <w:p>
            <w:pPr>
              <w:pStyle w:val="53"/>
              <w:widowControl/>
              <w:numPr>
                <w:ilvl w:val="0"/>
                <w:numId w:val="19"/>
              </w:numPr>
              <w:spacing w:line="360" w:lineRule="auto"/>
              <w:ind w:left="0" w:firstLine="0" w:firstLineChars="0"/>
              <w:rPr>
                <w:rFonts w:ascii="宋体" w:hAnsi="宋体" w:cs="宋体"/>
                <w:b/>
                <w:bCs/>
                <w:sz w:val="24"/>
              </w:rPr>
            </w:pPr>
            <w:r>
              <w:rPr>
                <w:rFonts w:hint="eastAsia" w:ascii="宋体" w:hAnsi="宋体" w:cs="宋体"/>
                <w:b/>
                <w:bCs/>
                <w:sz w:val="24"/>
              </w:rPr>
              <w:t>评分内容：</w:t>
            </w:r>
          </w:p>
          <w:p>
            <w:pPr>
              <w:pStyle w:val="53"/>
              <w:widowControl/>
              <w:spacing w:line="360" w:lineRule="auto"/>
              <w:ind w:firstLine="0" w:firstLineChars="0"/>
              <w:rPr>
                <w:rFonts w:ascii="宋体" w:hAnsi="宋体" w:cs="宋体"/>
                <w:sz w:val="24"/>
              </w:rPr>
            </w:pPr>
            <w:r>
              <w:rPr>
                <w:rFonts w:hint="eastAsia" w:ascii="宋体" w:hAnsi="宋体" w:cs="宋体"/>
                <w:sz w:val="24"/>
              </w:rPr>
              <w:t>1.投标人2018年8月1日至投标截止之日，所获地级市律师行业以上相关的荣誉情况。每个奖项得2分，满分6分。</w:t>
            </w:r>
          </w:p>
          <w:p>
            <w:pPr>
              <w:pStyle w:val="53"/>
              <w:widowControl/>
              <w:spacing w:line="360" w:lineRule="auto"/>
              <w:ind w:firstLine="0" w:firstLineChars="0"/>
              <w:rPr>
                <w:rFonts w:ascii="宋体" w:hAnsi="宋体" w:cs="宋体"/>
                <w:sz w:val="24"/>
              </w:rPr>
            </w:pPr>
            <w:r>
              <w:rPr>
                <w:rFonts w:hint="eastAsia" w:ascii="宋体" w:hAnsi="宋体" w:cs="宋体"/>
                <w:sz w:val="24"/>
              </w:rPr>
              <w:t>2.投标人2018年8月1日至投标截止之日，曾获地市级政府部门在立法咨询相关领域嘉奖的得3分，获省级及以上政府部门在立法咨询相关领域嘉奖的得6分。本项满分6分。（提供荣誉证书或相关嘉奖证明或感谢信）</w:t>
            </w:r>
          </w:p>
          <w:p>
            <w:pPr>
              <w:pStyle w:val="53"/>
              <w:widowControl/>
              <w:numPr>
                <w:ilvl w:val="0"/>
                <w:numId w:val="19"/>
              </w:numPr>
              <w:spacing w:line="360" w:lineRule="auto"/>
              <w:ind w:left="0" w:firstLine="0" w:firstLineChars="0"/>
              <w:rPr>
                <w:rFonts w:ascii="宋体" w:hAnsi="宋体" w:cs="宋体"/>
                <w:b/>
                <w:bCs/>
                <w:kern w:val="0"/>
                <w:sz w:val="24"/>
              </w:rPr>
            </w:pPr>
            <w:r>
              <w:rPr>
                <w:rFonts w:hint="eastAsia" w:ascii="宋体" w:hAnsi="宋体" w:cs="宋体"/>
                <w:b/>
                <w:bCs/>
                <w:sz w:val="24"/>
              </w:rPr>
              <w:t>评分依据：</w:t>
            </w:r>
          </w:p>
          <w:p>
            <w:pPr>
              <w:pStyle w:val="53"/>
              <w:widowControl/>
              <w:spacing w:line="360" w:lineRule="auto"/>
              <w:ind w:firstLine="0" w:firstLineChars="0"/>
              <w:rPr>
                <w:rFonts w:ascii="宋体" w:hAnsi="宋体" w:cs="宋体"/>
                <w:b/>
                <w:kern w:val="0"/>
                <w:sz w:val="24"/>
              </w:rPr>
            </w:pPr>
            <w:r>
              <w:rPr>
                <w:rFonts w:hint="eastAsia" w:ascii="宋体" w:hAnsi="宋体" w:cs="宋体"/>
                <w:sz w:val="24"/>
              </w:rPr>
              <w:t>1.提供荣誉证明文件清晰的原件复印件并加盖投标人公章。2.评分中出现无证明材料或专家无法凭所提供资料判断是否得分的情况，一律做不得分处理。</w:t>
            </w:r>
          </w:p>
        </w:tc>
        <w:tc>
          <w:tcPr>
            <w:tcW w:w="6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12</w:t>
            </w:r>
          </w:p>
        </w:tc>
        <w:tc>
          <w:tcPr>
            <w:tcW w:w="984"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5</w:t>
            </w:r>
          </w:p>
        </w:tc>
        <w:tc>
          <w:tcPr>
            <w:tcW w:w="946"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企业</w:t>
            </w:r>
          </w:p>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诚信</w:t>
            </w:r>
          </w:p>
        </w:tc>
        <w:tc>
          <w:tcPr>
            <w:tcW w:w="6457" w:type="dxa"/>
            <w:vAlign w:val="center"/>
          </w:tcPr>
          <w:p>
            <w:pPr>
              <w:wordWrap w:val="0"/>
              <w:spacing w:line="360" w:lineRule="auto"/>
              <w:rPr>
                <w:rFonts w:ascii="宋体" w:hAnsi="宋体" w:cs="宋体"/>
                <w:kern w:val="0"/>
                <w:sz w:val="24"/>
                <w:lang w:val="zh-CN"/>
              </w:rPr>
            </w:pPr>
            <w:r>
              <w:rPr>
                <w:rFonts w:hint="eastAsia" w:ascii="宋体" w:hAnsi="宋体" w:cs="宋体"/>
                <w:sz w:val="24"/>
              </w:rPr>
              <w:t>投标人在参与政府采购活动中存在诚信相关问题且在主管部门相关处理措施实施期限内的，本项不得分，否则得满分。投标人按招标文件格式要求提供《企业诚信声明与承诺》的得满分，其他不得分。</w:t>
            </w:r>
          </w:p>
        </w:tc>
        <w:tc>
          <w:tcPr>
            <w:tcW w:w="668" w:type="dxa"/>
            <w:vAlign w:val="center"/>
          </w:tcPr>
          <w:p>
            <w:pPr>
              <w:spacing w:line="360" w:lineRule="auto"/>
              <w:jc w:val="center"/>
              <w:rPr>
                <w:rFonts w:ascii="宋体" w:hAnsi="宋体" w:cs="宋体"/>
                <w:sz w:val="24"/>
              </w:rPr>
            </w:pPr>
            <w:r>
              <w:rPr>
                <w:rFonts w:hint="eastAsia" w:ascii="宋体" w:hAnsi="宋体" w:cs="宋体"/>
                <w:sz w:val="24"/>
              </w:rPr>
              <w:t>3</w:t>
            </w:r>
          </w:p>
        </w:tc>
        <w:tc>
          <w:tcPr>
            <w:tcW w:w="984" w:type="dxa"/>
            <w:vAlign w:val="center"/>
          </w:tcPr>
          <w:p>
            <w:pPr>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30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946"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6457"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评分规则</w:t>
            </w:r>
          </w:p>
        </w:tc>
        <w:tc>
          <w:tcPr>
            <w:tcW w:w="6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984"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946"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对项目需求的理解和响应</w:t>
            </w:r>
          </w:p>
        </w:tc>
        <w:tc>
          <w:tcPr>
            <w:tcW w:w="6457" w:type="dxa"/>
            <w:vAlign w:val="center"/>
          </w:tcPr>
          <w:p>
            <w:pPr>
              <w:pStyle w:val="53"/>
              <w:widowControl/>
              <w:spacing w:line="360" w:lineRule="auto"/>
              <w:ind w:firstLine="0" w:firstLineChars="0"/>
              <w:jc w:val="left"/>
              <w:rPr>
                <w:rFonts w:ascii="宋体" w:hAnsi="宋体" w:cs="宋体"/>
                <w:b/>
                <w:bCs/>
                <w:sz w:val="24"/>
                <w:lang w:val="zh-CN"/>
              </w:rPr>
            </w:pPr>
            <w:r>
              <w:rPr>
                <w:rFonts w:hint="eastAsia" w:ascii="宋体" w:hAnsi="宋体" w:cs="宋体"/>
                <w:b/>
                <w:bCs/>
                <w:sz w:val="24"/>
                <w:lang w:val="zh-CN"/>
              </w:rPr>
              <w:t>（一）评审内容：</w:t>
            </w:r>
          </w:p>
          <w:p>
            <w:pPr>
              <w:pStyle w:val="53"/>
              <w:widowControl/>
              <w:spacing w:line="360" w:lineRule="auto"/>
              <w:ind w:firstLine="0" w:firstLineChars="0"/>
              <w:jc w:val="left"/>
              <w:rPr>
                <w:rFonts w:ascii="宋体" w:hAnsi="宋体" w:cs="宋体"/>
                <w:sz w:val="24"/>
                <w:lang w:val="zh-CN"/>
              </w:rPr>
            </w:pPr>
            <w:r>
              <w:rPr>
                <w:rFonts w:hint="eastAsia" w:ascii="宋体" w:hAnsi="宋体" w:cs="宋体"/>
                <w:sz w:val="24"/>
                <w:lang w:val="zh-CN"/>
              </w:rPr>
              <w:t>根据投标文件里</w:t>
            </w:r>
            <w:r>
              <w:rPr>
                <w:rFonts w:hint="eastAsia" w:ascii="宋体" w:hAnsi="宋体" w:cs="宋体"/>
                <w:sz w:val="24"/>
              </w:rPr>
              <w:t>分析</w:t>
            </w:r>
            <w:r>
              <w:rPr>
                <w:rFonts w:hint="eastAsia" w:ascii="宋体" w:hAnsi="宋体" w:cs="宋体"/>
                <w:sz w:val="24"/>
                <w:lang w:val="zh-CN"/>
              </w:rPr>
              <w:t>方案的判断情况比较得分：</w:t>
            </w:r>
          </w:p>
          <w:p>
            <w:pPr>
              <w:pStyle w:val="53"/>
              <w:widowControl/>
              <w:spacing w:line="360" w:lineRule="auto"/>
              <w:ind w:firstLine="0" w:firstLineChars="0"/>
              <w:jc w:val="left"/>
              <w:rPr>
                <w:rFonts w:ascii="宋体" w:hAnsi="宋体" w:cs="宋体"/>
                <w:sz w:val="24"/>
                <w:lang w:val="zh-CN"/>
              </w:rPr>
            </w:pPr>
            <w:r>
              <w:rPr>
                <w:rFonts w:hint="eastAsia" w:ascii="宋体" w:hAnsi="宋体" w:cs="宋体"/>
                <w:sz w:val="24"/>
                <w:lang w:val="zh-CN"/>
              </w:rPr>
              <w:t>1.本项目服务工作内容的理解；</w:t>
            </w:r>
          </w:p>
          <w:p>
            <w:pPr>
              <w:pStyle w:val="53"/>
              <w:widowControl/>
              <w:spacing w:line="360" w:lineRule="auto"/>
              <w:ind w:firstLine="0" w:firstLineChars="0"/>
              <w:jc w:val="left"/>
              <w:rPr>
                <w:rFonts w:ascii="宋体" w:hAnsi="宋体" w:cs="宋体"/>
                <w:sz w:val="24"/>
                <w:lang w:val="zh-CN"/>
              </w:rPr>
            </w:pPr>
            <w:r>
              <w:rPr>
                <w:rFonts w:hint="eastAsia" w:ascii="宋体" w:hAnsi="宋体" w:cs="宋体"/>
                <w:sz w:val="24"/>
                <w:lang w:val="zh-CN"/>
              </w:rPr>
              <w:t>2.工作思路；</w:t>
            </w:r>
          </w:p>
          <w:p>
            <w:pPr>
              <w:pStyle w:val="53"/>
              <w:widowControl/>
              <w:spacing w:line="360" w:lineRule="auto"/>
              <w:ind w:firstLine="0" w:firstLineChars="0"/>
              <w:jc w:val="left"/>
              <w:rPr>
                <w:rFonts w:ascii="宋体" w:hAnsi="宋体" w:cs="宋体"/>
                <w:sz w:val="24"/>
              </w:rPr>
            </w:pPr>
            <w:r>
              <w:rPr>
                <w:rFonts w:hint="eastAsia" w:ascii="宋体" w:hAnsi="宋体" w:cs="宋体"/>
                <w:sz w:val="24"/>
                <w:lang w:val="zh-CN"/>
              </w:rPr>
              <w:t>3.相关配套措施</w:t>
            </w:r>
            <w:r>
              <w:rPr>
                <w:rFonts w:hint="eastAsia" w:ascii="宋体" w:hAnsi="宋体" w:cs="宋体"/>
                <w:sz w:val="24"/>
              </w:rPr>
              <w:t>。</w:t>
            </w:r>
          </w:p>
          <w:p>
            <w:pPr>
              <w:pStyle w:val="53"/>
              <w:widowControl/>
              <w:spacing w:line="360" w:lineRule="auto"/>
              <w:ind w:firstLine="0" w:firstLineChars="0"/>
              <w:jc w:val="left"/>
              <w:rPr>
                <w:rFonts w:ascii="宋体" w:hAnsi="宋体" w:cs="宋体"/>
                <w:b/>
                <w:bCs/>
                <w:sz w:val="24"/>
                <w:lang w:val="zh-CN"/>
              </w:rPr>
            </w:pPr>
            <w:r>
              <w:rPr>
                <w:rFonts w:hint="eastAsia" w:ascii="宋体" w:hAnsi="宋体" w:cs="宋体"/>
                <w:b/>
                <w:bCs/>
                <w:sz w:val="24"/>
                <w:lang w:val="zh-CN"/>
              </w:rPr>
              <w:t>（二）评审标准：</w:t>
            </w:r>
          </w:p>
          <w:p>
            <w:pPr>
              <w:pStyle w:val="53"/>
              <w:widowControl/>
              <w:spacing w:line="360" w:lineRule="auto"/>
              <w:ind w:firstLine="0" w:firstLineChars="0"/>
              <w:jc w:val="left"/>
              <w:rPr>
                <w:rFonts w:ascii="宋体" w:hAnsi="宋体" w:cs="宋体"/>
                <w:sz w:val="24"/>
                <w:lang w:val="zh-CN"/>
              </w:rPr>
            </w:pPr>
            <w:r>
              <w:rPr>
                <w:rFonts w:hint="eastAsia" w:ascii="宋体" w:hAnsi="宋体" w:cs="宋体"/>
                <w:sz w:val="24"/>
                <w:lang w:val="zh-CN"/>
              </w:rPr>
              <w:t>满足</w:t>
            </w:r>
            <w:r>
              <w:rPr>
                <w:rFonts w:hint="eastAsia" w:ascii="宋体" w:hAnsi="宋体" w:cs="宋体"/>
                <w:sz w:val="24"/>
              </w:rPr>
              <w:t>三</w:t>
            </w:r>
            <w:r>
              <w:rPr>
                <w:rFonts w:hint="eastAsia" w:ascii="宋体" w:hAnsi="宋体" w:cs="宋体"/>
                <w:sz w:val="24"/>
                <w:lang w:val="zh-CN"/>
              </w:rPr>
              <w:t>点得</w:t>
            </w:r>
            <w:r>
              <w:rPr>
                <w:rFonts w:hint="eastAsia" w:ascii="宋体" w:hAnsi="宋体" w:cs="宋体"/>
                <w:sz w:val="24"/>
              </w:rPr>
              <w:t>3</w:t>
            </w:r>
            <w:r>
              <w:rPr>
                <w:rFonts w:hint="eastAsia" w:ascii="宋体" w:hAnsi="宋体" w:cs="宋体"/>
                <w:sz w:val="24"/>
                <w:lang w:val="zh-CN"/>
              </w:rPr>
              <w:t>分，满足任意一点得</w:t>
            </w:r>
            <w:r>
              <w:rPr>
                <w:rFonts w:hint="eastAsia" w:ascii="宋体" w:hAnsi="宋体" w:cs="宋体"/>
                <w:sz w:val="24"/>
              </w:rPr>
              <w:t>1</w:t>
            </w:r>
            <w:r>
              <w:rPr>
                <w:rFonts w:hint="eastAsia" w:ascii="宋体" w:hAnsi="宋体" w:cs="宋体"/>
                <w:sz w:val="24"/>
                <w:lang w:val="zh-CN"/>
              </w:rPr>
              <w:t>分，</w:t>
            </w:r>
            <w:r>
              <w:rPr>
                <w:rFonts w:ascii="宋体" w:hAnsi="宋体" w:cs="宋体"/>
                <w:sz w:val="24"/>
              </w:rPr>
              <w:t>均</w:t>
            </w:r>
            <w:r>
              <w:rPr>
                <w:rFonts w:hint="eastAsia" w:ascii="宋体" w:hAnsi="宋体" w:cs="宋体"/>
                <w:sz w:val="24"/>
                <w:lang w:val="zh-CN"/>
              </w:rPr>
              <w:t>未满足不得分。</w:t>
            </w:r>
          </w:p>
          <w:p>
            <w:pPr>
              <w:spacing w:line="360" w:lineRule="auto"/>
              <w:rPr>
                <w:rFonts w:ascii="宋体" w:hAnsi="宋体" w:cs="宋体"/>
                <w:sz w:val="24"/>
              </w:rPr>
            </w:pPr>
            <w:r>
              <w:rPr>
                <w:rFonts w:hint="eastAsia" w:ascii="宋体" w:hAnsi="宋体" w:cs="宋体"/>
                <w:sz w:val="24"/>
              </w:rPr>
              <w:t>在此基础上，专家根据各供应商的具体响应内容按照方案的完整性、规范性及内容的合理性进一步评审：</w:t>
            </w:r>
          </w:p>
          <w:p>
            <w:pPr>
              <w:spacing w:line="360" w:lineRule="auto"/>
              <w:rPr>
                <w:rFonts w:ascii="宋体" w:hAnsi="宋体" w:cs="宋体"/>
                <w:sz w:val="24"/>
              </w:rPr>
            </w:pPr>
            <w:r>
              <w:rPr>
                <w:rFonts w:hint="eastAsia" w:ascii="宋体" w:hAnsi="宋体" w:cs="宋体"/>
                <w:sz w:val="24"/>
              </w:rPr>
              <w:t>①投标文件响应内容全面；</w:t>
            </w:r>
          </w:p>
          <w:p>
            <w:pPr>
              <w:spacing w:line="360" w:lineRule="auto"/>
              <w:rPr>
                <w:rFonts w:ascii="宋体" w:hAnsi="宋体" w:cs="宋体"/>
                <w:sz w:val="24"/>
              </w:rPr>
            </w:pPr>
            <w:r>
              <w:rPr>
                <w:rFonts w:hint="eastAsia" w:ascii="宋体" w:hAnsi="宋体" w:cs="宋体"/>
                <w:sz w:val="24"/>
              </w:rPr>
              <w:t>②投标文件响应内容具体；</w:t>
            </w:r>
          </w:p>
          <w:p>
            <w:pPr>
              <w:spacing w:line="360" w:lineRule="auto"/>
              <w:rPr>
                <w:rFonts w:ascii="宋体" w:hAnsi="宋体" w:cs="宋体"/>
                <w:sz w:val="24"/>
              </w:rPr>
            </w:pPr>
            <w:r>
              <w:rPr>
                <w:rFonts w:hint="eastAsia" w:ascii="宋体" w:hAnsi="宋体" w:cs="宋体"/>
                <w:sz w:val="24"/>
              </w:rPr>
              <w:t>③投标文件响应内容针对性强；</w:t>
            </w:r>
          </w:p>
          <w:p>
            <w:pPr>
              <w:spacing w:line="360" w:lineRule="auto"/>
              <w:rPr>
                <w:rFonts w:ascii="宋体" w:hAnsi="宋体" w:cs="宋体"/>
                <w:sz w:val="24"/>
              </w:rPr>
            </w:pPr>
            <w:r>
              <w:rPr>
                <w:rFonts w:hint="eastAsia" w:ascii="宋体" w:hAnsi="宋体" w:cs="宋体"/>
                <w:sz w:val="24"/>
              </w:rPr>
              <w:t>④投标文件响应内容科学合理；</w:t>
            </w:r>
          </w:p>
          <w:p>
            <w:pPr>
              <w:spacing w:line="360" w:lineRule="auto"/>
              <w:rPr>
                <w:rFonts w:ascii="宋体" w:hAnsi="宋体" w:cs="宋体"/>
                <w:sz w:val="24"/>
              </w:rPr>
            </w:pPr>
            <w:r>
              <w:rPr>
                <w:rFonts w:hint="eastAsia" w:ascii="宋体" w:hAnsi="宋体" w:cs="宋体"/>
                <w:sz w:val="24"/>
              </w:rPr>
              <w:t>⑤投标文件响应内容可操作性强。</w:t>
            </w:r>
          </w:p>
          <w:p>
            <w:pPr>
              <w:pStyle w:val="53"/>
              <w:widowControl/>
              <w:spacing w:line="360" w:lineRule="auto"/>
              <w:ind w:firstLine="0" w:firstLineChars="0"/>
              <w:jc w:val="left"/>
              <w:rPr>
                <w:rFonts w:ascii="宋体" w:hAnsi="宋体" w:cs="宋体"/>
                <w:sz w:val="24"/>
              </w:rPr>
            </w:pPr>
            <w:r>
              <w:rPr>
                <w:rFonts w:hint="eastAsia" w:ascii="宋体" w:hAnsi="宋体" w:cs="宋体"/>
                <w:sz w:val="24"/>
              </w:rPr>
              <w:t>满足以上5项的评价为优加7分；满足以上4项的评价为良加4分；满足以上3项的评价为中加1分；其他情况评价为差不加分。</w:t>
            </w:r>
          </w:p>
        </w:tc>
        <w:tc>
          <w:tcPr>
            <w:tcW w:w="6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10</w:t>
            </w:r>
          </w:p>
        </w:tc>
        <w:tc>
          <w:tcPr>
            <w:tcW w:w="984"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2</w:t>
            </w:r>
          </w:p>
        </w:tc>
        <w:tc>
          <w:tcPr>
            <w:tcW w:w="946"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工作安排科学性</w:t>
            </w:r>
          </w:p>
        </w:tc>
        <w:tc>
          <w:tcPr>
            <w:tcW w:w="6457" w:type="dxa"/>
            <w:vAlign w:val="center"/>
          </w:tcPr>
          <w:p>
            <w:pPr>
              <w:spacing w:line="360" w:lineRule="auto"/>
              <w:ind w:right="-107" w:rightChars="-51"/>
              <w:rPr>
                <w:rFonts w:ascii="宋体" w:hAnsi="宋体" w:cs="宋体"/>
                <w:b/>
                <w:bCs/>
                <w:sz w:val="24"/>
              </w:rPr>
            </w:pPr>
            <w:r>
              <w:rPr>
                <w:rFonts w:hint="eastAsia" w:ascii="宋体" w:hAnsi="宋体" w:cs="宋体"/>
                <w:b/>
                <w:bCs/>
                <w:sz w:val="24"/>
              </w:rPr>
              <w:t>（一）评分内容：</w:t>
            </w:r>
          </w:p>
          <w:p>
            <w:pPr>
              <w:spacing w:line="360" w:lineRule="auto"/>
              <w:ind w:right="-107" w:rightChars="-51"/>
              <w:rPr>
                <w:rFonts w:ascii="宋体" w:hAnsi="宋体" w:cs="宋体"/>
                <w:sz w:val="24"/>
              </w:rPr>
            </w:pPr>
            <w:r>
              <w:rPr>
                <w:rFonts w:hint="eastAsia" w:ascii="宋体" w:hAnsi="宋体" w:cs="宋体"/>
                <w:sz w:val="24"/>
              </w:rPr>
              <w:t>考察投标人针对本项目的实施方案，需包括但不仅限于以下内容：</w:t>
            </w:r>
          </w:p>
          <w:p>
            <w:pPr>
              <w:spacing w:line="360" w:lineRule="auto"/>
              <w:ind w:right="-107" w:rightChars="-51"/>
              <w:rPr>
                <w:rFonts w:ascii="宋体" w:hAnsi="宋体" w:cs="宋体"/>
                <w:sz w:val="24"/>
              </w:rPr>
            </w:pPr>
            <w:r>
              <w:rPr>
                <w:rFonts w:hint="eastAsia" w:ascii="宋体" w:hAnsi="宋体" w:cs="宋体"/>
                <w:sz w:val="24"/>
              </w:rPr>
              <w:t>1、项目管理方案(包括人员安排)；</w:t>
            </w:r>
          </w:p>
          <w:p>
            <w:pPr>
              <w:spacing w:line="360" w:lineRule="auto"/>
              <w:ind w:right="-107" w:rightChars="-51"/>
              <w:rPr>
                <w:rFonts w:ascii="宋体" w:hAnsi="宋体" w:cs="宋体"/>
                <w:sz w:val="24"/>
              </w:rPr>
            </w:pPr>
            <w:r>
              <w:rPr>
                <w:rFonts w:hint="eastAsia" w:ascii="宋体" w:hAnsi="宋体" w:cs="宋体"/>
                <w:sz w:val="24"/>
              </w:rPr>
              <w:t>2、工作实施计划；</w:t>
            </w:r>
          </w:p>
          <w:p>
            <w:pPr>
              <w:spacing w:line="360" w:lineRule="auto"/>
              <w:ind w:right="-107" w:rightChars="-51"/>
              <w:rPr>
                <w:rFonts w:ascii="宋体" w:hAnsi="宋体" w:cs="宋体"/>
                <w:sz w:val="24"/>
              </w:rPr>
            </w:pPr>
            <w:r>
              <w:rPr>
                <w:rFonts w:hint="eastAsia" w:ascii="宋体" w:hAnsi="宋体" w:cs="宋体"/>
                <w:sz w:val="24"/>
              </w:rPr>
              <w:t>3、保障措施。</w:t>
            </w:r>
          </w:p>
          <w:p>
            <w:pPr>
              <w:spacing w:line="360" w:lineRule="auto"/>
              <w:ind w:right="-107" w:rightChars="-51"/>
              <w:rPr>
                <w:rFonts w:ascii="宋体" w:hAnsi="宋体" w:cs="宋体"/>
                <w:b/>
                <w:bCs/>
                <w:sz w:val="24"/>
              </w:rPr>
            </w:pPr>
            <w:r>
              <w:rPr>
                <w:rFonts w:hint="eastAsia" w:ascii="宋体" w:hAnsi="宋体" w:cs="宋体"/>
                <w:b/>
                <w:bCs/>
                <w:sz w:val="24"/>
              </w:rPr>
              <w:t>（二）评分依据：</w:t>
            </w:r>
          </w:p>
          <w:p>
            <w:pPr>
              <w:spacing w:line="360" w:lineRule="auto"/>
              <w:ind w:right="-107" w:rightChars="-51"/>
              <w:rPr>
                <w:rFonts w:ascii="宋体" w:hAnsi="宋体" w:cs="宋体"/>
                <w:sz w:val="24"/>
              </w:rPr>
            </w:pPr>
            <w:r>
              <w:rPr>
                <w:rFonts w:hint="eastAsia" w:ascii="宋体" w:hAnsi="宋体" w:cs="宋体"/>
                <w:sz w:val="24"/>
              </w:rPr>
              <w:t>考察以上三点得3分，满足任意两点得2分，满足一点得1分，其他情况不得分。</w:t>
            </w:r>
          </w:p>
          <w:p>
            <w:pPr>
              <w:spacing w:line="360" w:lineRule="auto"/>
              <w:ind w:right="-107" w:rightChars="-51"/>
              <w:rPr>
                <w:rFonts w:ascii="宋体" w:hAnsi="宋体" w:cs="宋体"/>
                <w:sz w:val="24"/>
              </w:rPr>
            </w:pPr>
            <w:r>
              <w:rPr>
                <w:rFonts w:hint="eastAsia" w:ascii="宋体" w:hAnsi="宋体" w:cs="宋体"/>
                <w:sz w:val="24"/>
              </w:rPr>
              <w:t>在此基础上，根据各供应商的具体响应内容按照方案的完整性、规范性及内容的合理性进一步评审：</w:t>
            </w:r>
          </w:p>
          <w:p>
            <w:pPr>
              <w:spacing w:line="360" w:lineRule="auto"/>
              <w:ind w:right="-107" w:rightChars="-51"/>
              <w:rPr>
                <w:rFonts w:ascii="宋体" w:hAnsi="宋体" w:cs="宋体"/>
                <w:sz w:val="24"/>
              </w:rPr>
            </w:pPr>
            <w:r>
              <w:rPr>
                <w:rFonts w:hint="eastAsia" w:ascii="宋体" w:hAnsi="宋体" w:cs="宋体"/>
                <w:sz w:val="24"/>
              </w:rPr>
              <w:t>①投标文件响应内容全面；</w:t>
            </w:r>
          </w:p>
          <w:p>
            <w:pPr>
              <w:spacing w:line="360" w:lineRule="auto"/>
              <w:ind w:right="-107" w:rightChars="-51"/>
              <w:rPr>
                <w:rFonts w:ascii="宋体" w:hAnsi="宋体" w:cs="宋体"/>
                <w:sz w:val="24"/>
              </w:rPr>
            </w:pPr>
            <w:r>
              <w:rPr>
                <w:rFonts w:hint="eastAsia" w:ascii="宋体" w:hAnsi="宋体" w:cs="宋体"/>
                <w:sz w:val="24"/>
              </w:rPr>
              <w:t>②投标文件响应内容具体；</w:t>
            </w:r>
          </w:p>
          <w:p>
            <w:pPr>
              <w:spacing w:line="360" w:lineRule="auto"/>
              <w:ind w:right="-107" w:rightChars="-51"/>
              <w:rPr>
                <w:rFonts w:ascii="宋体" w:hAnsi="宋体" w:cs="宋体"/>
                <w:sz w:val="24"/>
              </w:rPr>
            </w:pPr>
            <w:r>
              <w:rPr>
                <w:rFonts w:hint="eastAsia" w:ascii="宋体" w:hAnsi="宋体" w:cs="宋体"/>
                <w:sz w:val="24"/>
              </w:rPr>
              <w:t>③投标文件响应内容针对性强；</w:t>
            </w:r>
          </w:p>
          <w:p>
            <w:pPr>
              <w:spacing w:line="360" w:lineRule="auto"/>
              <w:ind w:right="-107" w:rightChars="-51"/>
              <w:rPr>
                <w:rFonts w:ascii="宋体" w:hAnsi="宋体" w:cs="宋体"/>
                <w:sz w:val="24"/>
              </w:rPr>
            </w:pPr>
            <w:r>
              <w:rPr>
                <w:rFonts w:hint="eastAsia" w:ascii="宋体" w:hAnsi="宋体" w:cs="宋体"/>
                <w:sz w:val="24"/>
              </w:rPr>
              <w:t>④投标文件响应内容科学合理；</w:t>
            </w:r>
          </w:p>
          <w:p>
            <w:pPr>
              <w:spacing w:line="360" w:lineRule="auto"/>
              <w:ind w:right="-107" w:rightChars="-51"/>
              <w:rPr>
                <w:rFonts w:ascii="宋体" w:hAnsi="宋体" w:cs="宋体"/>
                <w:sz w:val="24"/>
              </w:rPr>
            </w:pPr>
            <w:r>
              <w:rPr>
                <w:rFonts w:hint="eastAsia" w:ascii="宋体" w:hAnsi="宋体" w:cs="宋体"/>
                <w:sz w:val="24"/>
              </w:rPr>
              <w:t>⑤投标文件响应内容可操作性强。</w:t>
            </w:r>
          </w:p>
          <w:p>
            <w:pPr>
              <w:pStyle w:val="53"/>
              <w:widowControl/>
              <w:spacing w:line="360" w:lineRule="auto"/>
              <w:ind w:firstLine="0" w:firstLineChars="0"/>
              <w:jc w:val="left"/>
              <w:rPr>
                <w:rFonts w:ascii="宋体" w:hAnsi="宋体" w:cs="宋体"/>
                <w:sz w:val="24"/>
              </w:rPr>
            </w:pPr>
            <w:r>
              <w:rPr>
                <w:rFonts w:hint="eastAsia" w:ascii="宋体" w:hAnsi="宋体" w:cs="宋体"/>
                <w:sz w:val="24"/>
              </w:rPr>
              <w:t>满足以上5项的评价为优加7分；满足以上4项的评价为良加4分；满足以上3项的评价为中加1分；其他情况评价为差不加分。</w:t>
            </w:r>
          </w:p>
        </w:tc>
        <w:tc>
          <w:tcPr>
            <w:tcW w:w="6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10</w:t>
            </w:r>
          </w:p>
        </w:tc>
        <w:tc>
          <w:tcPr>
            <w:tcW w:w="984"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3</w:t>
            </w:r>
          </w:p>
        </w:tc>
        <w:tc>
          <w:tcPr>
            <w:tcW w:w="946"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合理化建议</w:t>
            </w:r>
          </w:p>
        </w:tc>
        <w:tc>
          <w:tcPr>
            <w:tcW w:w="6457" w:type="dxa"/>
            <w:vAlign w:val="center"/>
          </w:tcPr>
          <w:p>
            <w:pPr>
              <w:pStyle w:val="53"/>
              <w:widowControl/>
              <w:spacing w:line="360" w:lineRule="auto"/>
              <w:ind w:firstLine="0" w:firstLineChars="0"/>
              <w:jc w:val="left"/>
              <w:rPr>
                <w:rFonts w:ascii="宋体" w:hAnsi="宋体" w:cs="宋体"/>
                <w:b/>
                <w:bCs/>
                <w:sz w:val="24"/>
                <w:lang w:val="zh-CN"/>
              </w:rPr>
            </w:pPr>
            <w:r>
              <w:rPr>
                <w:rFonts w:hint="eastAsia" w:ascii="宋体" w:hAnsi="宋体" w:cs="宋体"/>
                <w:b/>
                <w:bCs/>
                <w:sz w:val="24"/>
                <w:lang w:val="zh-CN"/>
              </w:rPr>
              <w:t>（一）评审内容：</w:t>
            </w:r>
          </w:p>
          <w:p>
            <w:pPr>
              <w:pStyle w:val="53"/>
              <w:widowControl/>
              <w:spacing w:line="360" w:lineRule="auto"/>
              <w:ind w:firstLine="0" w:firstLineChars="0"/>
              <w:jc w:val="left"/>
              <w:rPr>
                <w:rFonts w:ascii="宋体" w:hAnsi="宋体" w:cs="宋体"/>
                <w:sz w:val="24"/>
                <w:lang w:val="zh-CN"/>
              </w:rPr>
            </w:pPr>
            <w:r>
              <w:rPr>
                <w:rFonts w:hint="eastAsia" w:ascii="宋体" w:hAnsi="宋体" w:cs="宋体"/>
                <w:sz w:val="24"/>
                <w:lang w:val="zh-CN"/>
              </w:rPr>
              <w:t>根据招标文件的需求和投标文件响应情况，编制项目重点难点分析、应对措施及相关的合理化建议。包含但不限于以下内容：</w:t>
            </w:r>
          </w:p>
          <w:p>
            <w:pPr>
              <w:pStyle w:val="53"/>
              <w:widowControl/>
              <w:spacing w:line="360" w:lineRule="auto"/>
              <w:ind w:firstLine="0" w:firstLineChars="0"/>
              <w:jc w:val="left"/>
              <w:rPr>
                <w:rFonts w:ascii="宋体" w:hAnsi="宋体" w:cs="宋体"/>
                <w:sz w:val="24"/>
                <w:lang w:val="zh-CN"/>
              </w:rPr>
            </w:pPr>
            <w:r>
              <w:rPr>
                <w:rFonts w:hint="eastAsia" w:ascii="宋体" w:hAnsi="宋体" w:cs="宋体"/>
                <w:sz w:val="24"/>
              </w:rPr>
              <w:t>1、对重点难点问题的把握与分析</w:t>
            </w:r>
            <w:r>
              <w:rPr>
                <w:rFonts w:hint="eastAsia" w:ascii="宋体" w:hAnsi="宋体" w:cs="宋体"/>
                <w:sz w:val="24"/>
                <w:lang w:val="zh-CN"/>
              </w:rPr>
              <w:t>；</w:t>
            </w:r>
          </w:p>
          <w:p>
            <w:pPr>
              <w:pStyle w:val="53"/>
              <w:widowControl/>
              <w:spacing w:line="360" w:lineRule="auto"/>
              <w:ind w:firstLine="0" w:firstLineChars="0"/>
              <w:jc w:val="left"/>
              <w:rPr>
                <w:rFonts w:ascii="宋体" w:hAnsi="宋体" w:cs="宋体"/>
                <w:sz w:val="24"/>
                <w:lang w:val="zh-CN"/>
              </w:rPr>
            </w:pPr>
            <w:r>
              <w:rPr>
                <w:rFonts w:hint="eastAsia" w:ascii="宋体" w:hAnsi="宋体" w:cs="宋体"/>
                <w:sz w:val="24"/>
              </w:rPr>
              <w:t>2、对重点难点问题的应对措施和合理化建议</w:t>
            </w:r>
            <w:r>
              <w:rPr>
                <w:rFonts w:hint="eastAsia" w:ascii="宋体" w:hAnsi="宋体" w:cs="宋体"/>
                <w:sz w:val="24"/>
                <w:lang w:val="zh-CN"/>
              </w:rPr>
              <w:t>。</w:t>
            </w:r>
          </w:p>
          <w:p>
            <w:pPr>
              <w:pStyle w:val="53"/>
              <w:widowControl/>
              <w:spacing w:line="360" w:lineRule="auto"/>
              <w:ind w:firstLine="0" w:firstLineChars="0"/>
              <w:jc w:val="left"/>
              <w:rPr>
                <w:rFonts w:ascii="宋体" w:hAnsi="宋体" w:cs="宋体"/>
                <w:b/>
                <w:bCs/>
                <w:sz w:val="24"/>
                <w:lang w:val="zh-CN"/>
              </w:rPr>
            </w:pPr>
            <w:r>
              <w:rPr>
                <w:rFonts w:hint="eastAsia" w:ascii="宋体" w:hAnsi="宋体" w:cs="宋体"/>
                <w:b/>
                <w:bCs/>
                <w:sz w:val="24"/>
                <w:lang w:val="zh-CN"/>
              </w:rPr>
              <w:t xml:space="preserve">（二）评分标准： </w:t>
            </w:r>
          </w:p>
          <w:p>
            <w:pPr>
              <w:pStyle w:val="53"/>
              <w:widowControl/>
              <w:spacing w:line="360" w:lineRule="auto"/>
              <w:ind w:firstLine="0" w:firstLineChars="0"/>
              <w:jc w:val="left"/>
              <w:rPr>
                <w:rFonts w:ascii="宋体" w:hAnsi="宋体" w:cs="宋体"/>
                <w:sz w:val="24"/>
                <w:lang w:val="zh-CN"/>
              </w:rPr>
            </w:pPr>
            <w:r>
              <w:rPr>
                <w:rFonts w:hint="eastAsia" w:ascii="宋体" w:hAnsi="宋体" w:cs="宋体"/>
                <w:sz w:val="24"/>
                <w:lang w:val="zh-CN"/>
              </w:rPr>
              <w:t>满足</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3</w:t>
            </w:r>
            <w:r>
              <w:rPr>
                <w:rFonts w:hint="eastAsia" w:ascii="宋体" w:hAnsi="宋体" w:cs="宋体"/>
                <w:sz w:val="24"/>
                <w:lang w:val="zh-CN"/>
              </w:rPr>
              <w:t>分，满足任意一点得1</w:t>
            </w:r>
            <w:r>
              <w:rPr>
                <w:rFonts w:hint="eastAsia" w:ascii="宋体" w:hAnsi="宋体" w:cs="宋体"/>
                <w:sz w:val="24"/>
              </w:rPr>
              <w:t>.5</w:t>
            </w:r>
            <w:r>
              <w:rPr>
                <w:rFonts w:hint="eastAsia" w:ascii="宋体" w:hAnsi="宋体" w:cs="宋体"/>
                <w:sz w:val="24"/>
                <w:lang w:val="zh-CN"/>
              </w:rPr>
              <w:t>分，</w:t>
            </w:r>
            <w:r>
              <w:rPr>
                <w:rFonts w:ascii="宋体" w:hAnsi="宋体" w:cs="宋体"/>
                <w:sz w:val="24"/>
              </w:rPr>
              <w:t>均</w:t>
            </w:r>
            <w:r>
              <w:rPr>
                <w:rFonts w:hint="eastAsia" w:ascii="宋体" w:hAnsi="宋体" w:cs="宋体"/>
                <w:sz w:val="24"/>
                <w:lang w:val="zh-CN"/>
              </w:rPr>
              <w:t xml:space="preserve">未满足不得分。 </w:t>
            </w:r>
          </w:p>
          <w:p>
            <w:pPr>
              <w:pStyle w:val="53"/>
              <w:widowControl/>
              <w:spacing w:line="360" w:lineRule="auto"/>
              <w:ind w:firstLine="0" w:firstLineChars="0"/>
              <w:jc w:val="left"/>
              <w:rPr>
                <w:rFonts w:ascii="宋体" w:hAnsi="宋体" w:cs="宋体"/>
                <w:sz w:val="24"/>
                <w:lang w:val="zh-CN"/>
              </w:rPr>
            </w:pPr>
            <w:r>
              <w:rPr>
                <w:rFonts w:hint="eastAsia" w:ascii="宋体" w:hAnsi="宋体" w:cs="宋体"/>
                <w:sz w:val="24"/>
                <w:lang w:val="zh-CN"/>
              </w:rPr>
              <w:t xml:space="preserve">在此基础上，专家根据各供应商的具体响应内容进一步评审： </w:t>
            </w:r>
          </w:p>
          <w:p>
            <w:pPr>
              <w:spacing w:line="360" w:lineRule="auto"/>
              <w:ind w:right="-107" w:rightChars="-51"/>
              <w:rPr>
                <w:rFonts w:ascii="宋体" w:hAnsi="宋体" w:cs="宋体"/>
                <w:sz w:val="24"/>
              </w:rPr>
            </w:pPr>
            <w:r>
              <w:rPr>
                <w:rFonts w:hint="eastAsia" w:ascii="宋体" w:hAnsi="宋体" w:cs="宋体"/>
                <w:sz w:val="24"/>
              </w:rPr>
              <w:t>（1）找出2个及以上项目重点难点，并提出针对性强的解决方案，评价为优加7分；（2）找出1个项目重点难点，分析基本清楚、解决方案针对性较好的，评价为良加4分；（3）对项目重点难点分析仅做概括性描述的，评价为中加1分；（4）对项目重点难点分析不全面、解决方案缺乏针对性的为差不加分。</w:t>
            </w:r>
          </w:p>
        </w:tc>
        <w:tc>
          <w:tcPr>
            <w:tcW w:w="6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10</w:t>
            </w:r>
          </w:p>
        </w:tc>
        <w:tc>
          <w:tcPr>
            <w:tcW w:w="984"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bl>
    <w:p/>
    <w:p>
      <w:pPr>
        <w:pStyle w:val="4"/>
        <w:jc w:val="both"/>
        <w:rPr>
          <w:rFonts w:ascii="宋体" w:eastAsia="宋体" w:cs="宋体"/>
          <w:b/>
          <w:bCs/>
          <w:sz w:val="24"/>
          <w:szCs w:val="24"/>
        </w:rPr>
        <w:sectPr>
          <w:pgSz w:w="11906" w:h="16838"/>
          <w:pgMar w:top="1440" w:right="1800" w:bottom="1440" w:left="1800" w:header="851" w:footer="992" w:gutter="0"/>
          <w:cols w:space="720" w:num="1"/>
          <w:docGrid w:type="lines" w:linePitch="312" w:charSpace="0"/>
        </w:sectPr>
      </w:pPr>
    </w:p>
    <w:p>
      <w:pPr>
        <w:spacing w:line="360" w:lineRule="auto"/>
        <w:jc w:val="center"/>
        <w:outlineLvl w:val="0"/>
        <w:rPr>
          <w:rFonts w:ascii="宋体" w:hAnsi="宋体" w:cs="宋体"/>
          <w:b/>
          <w:bCs/>
          <w:sz w:val="24"/>
        </w:rPr>
      </w:pPr>
      <w:bookmarkStart w:id="18" w:name="_Toc9548"/>
      <w:bookmarkStart w:id="19" w:name="_Hlk28269117"/>
      <w:r>
        <w:rPr>
          <w:rFonts w:hint="eastAsia" w:ascii="宋体" w:hAnsi="宋体" w:cs="宋体"/>
          <w:b/>
          <w:bCs/>
          <w:sz w:val="24"/>
        </w:rPr>
        <w:t>第七章 附件（投标文件格式）</w:t>
      </w:r>
      <w:bookmarkEnd w:id="18"/>
    </w:p>
    <w:p>
      <w:pPr>
        <w:keepNext/>
        <w:keepLines/>
        <w:spacing w:before="260" w:after="260" w:line="440" w:lineRule="exact"/>
        <w:jc w:val="center"/>
        <w:outlineLvl w:val="1"/>
        <w:rPr>
          <w:rFonts w:ascii="宋体" w:hAnsi="宋体" w:cs="宋体"/>
          <w:b/>
          <w:bCs/>
          <w:sz w:val="24"/>
        </w:rPr>
      </w:pPr>
      <w:bookmarkStart w:id="20" w:name="_Toc31827"/>
      <w:bookmarkStart w:id="21" w:name="_Toc19494"/>
      <w:bookmarkStart w:id="22" w:name="_Toc5116"/>
      <w:bookmarkStart w:id="23" w:name="_Toc6548"/>
      <w:r>
        <w:rPr>
          <w:rFonts w:hint="eastAsia" w:ascii="宋体" w:hAnsi="宋体" w:cs="宋体"/>
          <w:b/>
          <w:bCs/>
          <w:sz w:val="24"/>
        </w:rPr>
        <w:t>1、投标文件密封袋/封面参考</w:t>
      </w:r>
      <w:bookmarkEnd w:id="20"/>
      <w:bookmarkEnd w:id="21"/>
      <w:bookmarkEnd w:id="22"/>
      <w:bookmarkEnd w:id="23"/>
    </w:p>
    <w:tbl>
      <w:tblPr>
        <w:tblStyle w:val="2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10"/>
              <w:tabs>
                <w:tab w:val="left" w:pos="562"/>
                <w:tab w:val="left" w:pos="3372"/>
                <w:tab w:val="left" w:pos="3653"/>
              </w:tabs>
              <w:spacing w:line="360" w:lineRule="auto"/>
              <w:rPr>
                <w:rFonts w:ascii="仿宋_GB2312" w:eastAsia="仿宋_GB2312"/>
                <w:b/>
                <w:sz w:val="32"/>
              </w:rPr>
            </w:pPr>
          </w:p>
          <w:p>
            <w:pPr>
              <w:pStyle w:val="10"/>
              <w:tabs>
                <w:tab w:val="left" w:pos="562"/>
                <w:tab w:val="left" w:pos="3372"/>
                <w:tab w:val="left" w:pos="3653"/>
              </w:tabs>
              <w:spacing w:line="360" w:lineRule="auto"/>
              <w:jc w:val="center"/>
              <w:rPr>
                <w:rFonts w:ascii="黑体" w:eastAsia="黑体"/>
                <w:b/>
                <w:sz w:val="72"/>
                <w:szCs w:val="72"/>
              </w:rPr>
            </w:pPr>
          </w:p>
          <w:p>
            <w:pPr>
              <w:pStyle w:val="10"/>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10"/>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10"/>
              <w:tabs>
                <w:tab w:val="left" w:pos="562"/>
                <w:tab w:val="left" w:pos="3372"/>
                <w:tab w:val="left" w:pos="3653"/>
              </w:tabs>
              <w:spacing w:line="360" w:lineRule="auto"/>
              <w:rPr>
                <w:rFonts w:ascii="仿宋_GB2312" w:eastAsia="仿宋_GB2312"/>
                <w:b/>
                <w:sz w:val="32"/>
              </w:rPr>
            </w:pPr>
          </w:p>
          <w:p/>
          <w:p>
            <w:pPr>
              <w:pStyle w:val="10"/>
              <w:tabs>
                <w:tab w:val="left" w:pos="562"/>
                <w:tab w:val="left" w:pos="3372"/>
                <w:tab w:val="left" w:pos="3653"/>
              </w:tabs>
              <w:spacing w:line="400" w:lineRule="exact"/>
              <w:ind w:firstLine="900" w:firstLineChars="320"/>
              <w:rPr>
                <w:rFonts w:ascii="仿宋_GB2312" w:eastAsia="仿宋_GB2312"/>
                <w:b/>
                <w:sz w:val="28"/>
                <w:szCs w:val="28"/>
              </w:rPr>
            </w:pPr>
          </w:p>
          <w:p>
            <w:pPr>
              <w:pStyle w:val="10"/>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10"/>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10"/>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10"/>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10"/>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10"/>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pPr>
        <w:spacing w:line="360" w:lineRule="auto"/>
        <w:jc w:val="center"/>
        <w:rPr>
          <w:rFonts w:ascii="宋体" w:hAnsi="宋体" w:cs="宋体"/>
          <w:b/>
          <w:bCs/>
          <w:sz w:val="24"/>
        </w:rPr>
      </w:pPr>
    </w:p>
    <w:p>
      <w:pPr>
        <w:spacing w:before="100" w:beforeAutospacing="1" w:after="100" w:afterAutospacing="1"/>
        <w:jc w:val="center"/>
        <w:outlineLvl w:val="1"/>
        <w:rPr>
          <w:rFonts w:ascii="宋体" w:hAnsi="宋体" w:cs="宋体"/>
          <w:b/>
          <w:sz w:val="24"/>
        </w:rPr>
      </w:pPr>
      <w:bookmarkStart w:id="24" w:name="_Toc16724"/>
      <w:r>
        <w:rPr>
          <w:rFonts w:hint="eastAsia" w:ascii="宋体" w:hAnsi="宋体" w:cs="宋体"/>
          <w:b/>
          <w:sz w:val="24"/>
        </w:rPr>
        <w:t>2、投标文件—目录</w:t>
      </w:r>
      <w:bookmarkEnd w:id="24"/>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20"/>
        </w:numPr>
        <w:tabs>
          <w:tab w:val="left" w:pos="640"/>
          <w:tab w:val="clear" w:pos="425"/>
        </w:tabs>
        <w:spacing w:line="360" w:lineRule="auto"/>
        <w:ind w:left="625" w:hanging="625"/>
        <w:rPr>
          <w:rFonts w:ascii="宋体" w:hAnsi="宋体" w:cs="宋体"/>
          <w:sz w:val="24"/>
        </w:rPr>
      </w:pPr>
      <w:r>
        <w:rPr>
          <w:rFonts w:hint="eastAsia" w:ascii="宋体" w:hAnsi="宋体" w:cs="宋体"/>
          <w:sz w:val="24"/>
        </w:rPr>
        <w:t>投标一览表；</w:t>
      </w:r>
    </w:p>
    <w:p>
      <w:pPr>
        <w:numPr>
          <w:ilvl w:val="0"/>
          <w:numId w:val="20"/>
        </w:numPr>
        <w:tabs>
          <w:tab w:val="left" w:pos="640"/>
          <w:tab w:val="clear" w:pos="425"/>
        </w:tabs>
        <w:spacing w:line="360" w:lineRule="auto"/>
        <w:ind w:left="625" w:hanging="625"/>
        <w:rPr>
          <w:rFonts w:ascii="宋体" w:hAnsi="宋体" w:cs="宋体"/>
          <w:sz w:val="24"/>
        </w:rPr>
      </w:pPr>
      <w:r>
        <w:rPr>
          <w:rFonts w:hint="eastAsia" w:ascii="宋体" w:hAnsi="宋体" w:cs="宋体"/>
          <w:sz w:val="24"/>
        </w:rPr>
        <w:t>分类报价明细表；</w:t>
      </w:r>
    </w:p>
    <w:p>
      <w:pPr>
        <w:spacing w:line="360" w:lineRule="auto"/>
        <w:rPr>
          <w:rFonts w:ascii="宋体" w:hAnsi="宋体" w:cs="宋体"/>
          <w:b/>
          <w:bCs/>
          <w:sz w:val="24"/>
          <w:u w:val="wave"/>
        </w:rPr>
      </w:pPr>
      <w:r>
        <w:rPr>
          <w:rFonts w:hint="eastAsia" w:ascii="宋体" w:hAnsi="宋体" w:cs="宋体"/>
          <w:b/>
          <w:bCs/>
          <w:sz w:val="24"/>
        </w:rPr>
        <w:t>（二）商务部分</w:t>
      </w:r>
    </w:p>
    <w:p>
      <w:pPr>
        <w:numPr>
          <w:ilvl w:val="0"/>
          <w:numId w:val="21"/>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投标函；</w:t>
      </w:r>
    </w:p>
    <w:p>
      <w:pPr>
        <w:numPr>
          <w:ilvl w:val="0"/>
          <w:numId w:val="2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律师事务所执业许可证副本复印件(加盖投标人公章)；</w:t>
      </w:r>
    </w:p>
    <w:p>
      <w:pPr>
        <w:numPr>
          <w:ilvl w:val="0"/>
          <w:numId w:val="2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政府采购投标及履约承诺函；</w:t>
      </w:r>
    </w:p>
    <w:p>
      <w:pPr>
        <w:numPr>
          <w:ilvl w:val="0"/>
          <w:numId w:val="2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关于资格的声明函；</w:t>
      </w:r>
    </w:p>
    <w:p>
      <w:pPr>
        <w:numPr>
          <w:ilvl w:val="0"/>
          <w:numId w:val="2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法人代表证明书及身份证明；</w:t>
      </w:r>
    </w:p>
    <w:p>
      <w:pPr>
        <w:numPr>
          <w:ilvl w:val="0"/>
          <w:numId w:val="21"/>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法定代表人授权书及身份证明；</w:t>
      </w:r>
    </w:p>
    <w:p>
      <w:pPr>
        <w:numPr>
          <w:ilvl w:val="0"/>
          <w:numId w:val="21"/>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招标代理服务费承诺书；</w:t>
      </w:r>
    </w:p>
    <w:p>
      <w:pPr>
        <w:numPr>
          <w:ilvl w:val="0"/>
          <w:numId w:val="21"/>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投标人简介；</w:t>
      </w:r>
    </w:p>
    <w:p>
      <w:pPr>
        <w:numPr>
          <w:ilvl w:val="0"/>
          <w:numId w:val="21"/>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项目负责人；</w:t>
      </w:r>
    </w:p>
    <w:p>
      <w:pPr>
        <w:numPr>
          <w:ilvl w:val="0"/>
          <w:numId w:val="21"/>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项目团队实力（项目负责人除外）；</w:t>
      </w:r>
    </w:p>
    <w:p>
      <w:pPr>
        <w:numPr>
          <w:ilvl w:val="0"/>
          <w:numId w:val="21"/>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同类业绩情况；</w:t>
      </w:r>
    </w:p>
    <w:p>
      <w:pPr>
        <w:numPr>
          <w:ilvl w:val="0"/>
          <w:numId w:val="21"/>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机构社会声誉；</w:t>
      </w:r>
    </w:p>
    <w:p>
      <w:pPr>
        <w:numPr>
          <w:ilvl w:val="0"/>
          <w:numId w:val="21"/>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企业诚信；</w:t>
      </w:r>
    </w:p>
    <w:p>
      <w:pPr>
        <w:numPr>
          <w:ilvl w:val="0"/>
          <w:numId w:val="21"/>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numPr>
          <w:ilvl w:val="0"/>
          <w:numId w:val="22"/>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numPr>
          <w:ilvl w:val="0"/>
          <w:numId w:val="22"/>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对项目需求的理解和响应；</w:t>
      </w:r>
    </w:p>
    <w:p>
      <w:pPr>
        <w:numPr>
          <w:ilvl w:val="0"/>
          <w:numId w:val="22"/>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工作安排科学性；</w:t>
      </w:r>
    </w:p>
    <w:p>
      <w:pPr>
        <w:numPr>
          <w:ilvl w:val="0"/>
          <w:numId w:val="22"/>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合理化建议；</w:t>
      </w:r>
    </w:p>
    <w:p>
      <w:pPr>
        <w:numPr>
          <w:ilvl w:val="0"/>
          <w:numId w:val="22"/>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投标人认为有必要提供的其他材料。</w:t>
      </w:r>
    </w:p>
    <w:p>
      <w:pP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23"/>
        </w:numPr>
        <w:tabs>
          <w:tab w:val="left" w:pos="640"/>
          <w:tab w:val="clear" w:pos="425"/>
        </w:tabs>
        <w:ind w:left="625" w:hanging="625"/>
        <w:rPr>
          <w:rFonts w:ascii="宋体" w:hAnsi="宋体" w:cs="宋体"/>
          <w:sz w:val="24"/>
        </w:rPr>
      </w:pPr>
      <w:r>
        <w:rPr>
          <w:rFonts w:hint="eastAsia" w:ascii="宋体" w:hAnsi="宋体" w:cs="宋体"/>
          <w:sz w:val="24"/>
        </w:rPr>
        <w:t>投标一览表；</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4"/>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2896"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131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ascii="宋体" w:hAnsi="宋体" w:cs="宋体"/>
                <w:sz w:val="24"/>
                <w:u w:val="single"/>
              </w:rPr>
            </w:pPr>
          </w:p>
        </w:tc>
        <w:tc>
          <w:tcPr>
            <w:tcW w:w="2896" w:type="dxa"/>
            <w:vAlign w:val="center"/>
          </w:tcPr>
          <w:p>
            <w:pPr>
              <w:spacing w:line="360" w:lineRule="auto"/>
              <w:jc w:val="center"/>
              <w:rPr>
                <w:rFonts w:ascii="宋体" w:hAnsi="宋体" w:cs="宋体"/>
                <w:sz w:val="24"/>
                <w:u w:val="single"/>
              </w:rPr>
            </w:pPr>
          </w:p>
        </w:tc>
        <w:tc>
          <w:tcPr>
            <w:tcW w:w="131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10"/>
      </w:pPr>
    </w:p>
    <w:p>
      <w:pPr>
        <w:numPr>
          <w:ilvl w:val="0"/>
          <w:numId w:val="23"/>
        </w:numPr>
        <w:tabs>
          <w:tab w:val="left" w:pos="640"/>
          <w:tab w:val="clear" w:pos="425"/>
        </w:tabs>
        <w:ind w:left="625" w:hanging="625"/>
        <w:rPr>
          <w:rFonts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360" w:lineRule="auto"/>
        <w:jc w:val="center"/>
        <w:rPr>
          <w:rFonts w:ascii="宋体" w:hAnsi="宋体" w:cs="宋体"/>
          <w:b/>
          <w:bCs/>
          <w:sz w:val="24"/>
        </w:rPr>
      </w:pPr>
      <w:r>
        <w:rPr>
          <w:rFonts w:hint="eastAsia" w:ascii="宋体" w:hAnsi="宋体" w:cs="宋体"/>
          <w:b/>
          <w:bCs/>
          <w:sz w:val="24"/>
        </w:rPr>
        <w:t>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序号</w:t>
            </w:r>
          </w:p>
        </w:tc>
        <w:tc>
          <w:tcPr>
            <w:tcW w:w="2212" w:type="dxa"/>
            <w:vAlign w:val="center"/>
          </w:tcPr>
          <w:p>
            <w:pPr>
              <w:pStyle w:val="12"/>
              <w:spacing w:line="360" w:lineRule="auto"/>
              <w:jc w:val="center"/>
              <w:rPr>
                <w:rFonts w:hAnsi="宋体" w:cs="宋体"/>
                <w:sz w:val="24"/>
              </w:rPr>
            </w:pPr>
            <w:r>
              <w:rPr>
                <w:rFonts w:hint="eastAsia" w:hAnsi="宋体" w:cs="宋体"/>
                <w:sz w:val="24"/>
              </w:rPr>
              <w:t>项目名称、内容</w:t>
            </w:r>
          </w:p>
        </w:tc>
        <w:tc>
          <w:tcPr>
            <w:tcW w:w="720" w:type="dxa"/>
            <w:vAlign w:val="center"/>
          </w:tcPr>
          <w:p>
            <w:pPr>
              <w:pStyle w:val="12"/>
              <w:spacing w:line="360" w:lineRule="auto"/>
              <w:jc w:val="center"/>
              <w:rPr>
                <w:rFonts w:hAnsi="宋体" w:cs="宋体"/>
                <w:sz w:val="24"/>
              </w:rPr>
            </w:pPr>
            <w:r>
              <w:rPr>
                <w:rFonts w:hint="eastAsia" w:hAnsi="宋体" w:cs="宋体"/>
                <w:sz w:val="24"/>
              </w:rPr>
              <w:t>单位</w:t>
            </w:r>
          </w:p>
        </w:tc>
        <w:tc>
          <w:tcPr>
            <w:tcW w:w="1800" w:type="dxa"/>
            <w:vAlign w:val="center"/>
          </w:tcPr>
          <w:p>
            <w:pPr>
              <w:pStyle w:val="12"/>
              <w:spacing w:line="360" w:lineRule="auto"/>
              <w:jc w:val="center"/>
              <w:rPr>
                <w:rFonts w:hAnsi="宋体" w:cs="宋体"/>
                <w:sz w:val="24"/>
              </w:rPr>
            </w:pPr>
            <w:r>
              <w:rPr>
                <w:rFonts w:hint="eastAsia" w:hAnsi="宋体" w:cs="宋体"/>
                <w:sz w:val="24"/>
              </w:rPr>
              <w:t>数量（工作量）</w:t>
            </w:r>
          </w:p>
        </w:tc>
        <w:tc>
          <w:tcPr>
            <w:tcW w:w="1620" w:type="dxa"/>
            <w:vAlign w:val="center"/>
          </w:tcPr>
          <w:p>
            <w:pPr>
              <w:pStyle w:val="12"/>
              <w:spacing w:line="360" w:lineRule="auto"/>
              <w:jc w:val="center"/>
              <w:rPr>
                <w:rFonts w:hAnsi="宋体" w:cs="宋体"/>
                <w:sz w:val="24"/>
              </w:rPr>
            </w:pPr>
            <w:r>
              <w:rPr>
                <w:rFonts w:hint="eastAsia" w:hAnsi="宋体" w:cs="宋体"/>
                <w:sz w:val="24"/>
              </w:rPr>
              <w:t>单价</w:t>
            </w:r>
          </w:p>
        </w:tc>
        <w:tc>
          <w:tcPr>
            <w:tcW w:w="1620" w:type="dxa"/>
            <w:vAlign w:val="center"/>
          </w:tcPr>
          <w:p>
            <w:pPr>
              <w:pStyle w:val="12"/>
              <w:spacing w:line="360" w:lineRule="auto"/>
              <w:jc w:val="center"/>
              <w:rPr>
                <w:rFonts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1</w:t>
            </w:r>
          </w:p>
        </w:tc>
        <w:tc>
          <w:tcPr>
            <w:tcW w:w="2212" w:type="dxa"/>
            <w:vAlign w:val="center"/>
          </w:tcPr>
          <w:p>
            <w:pPr>
              <w:pStyle w:val="12"/>
              <w:spacing w:line="360" w:lineRule="auto"/>
              <w:jc w:val="center"/>
              <w:rPr>
                <w:rFonts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2</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3</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4</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5</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6</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7</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8</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9</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rPr>
            </w:pPr>
            <w:r>
              <w:rPr>
                <w:rFonts w:hint="eastAsia" w:hAnsi="宋体" w:cs="宋体"/>
                <w:sz w:val="24"/>
              </w:rPr>
              <w:t>…</w:t>
            </w:r>
          </w:p>
        </w:tc>
        <w:tc>
          <w:tcPr>
            <w:tcW w:w="2212" w:type="dxa"/>
            <w:vAlign w:val="center"/>
          </w:tcPr>
          <w:p>
            <w:pPr>
              <w:pStyle w:val="12"/>
              <w:spacing w:line="360" w:lineRule="auto"/>
              <w:jc w:val="center"/>
              <w:rPr>
                <w:rFonts w:hAnsi="宋体" w:cs="宋体"/>
                <w:sz w:val="24"/>
              </w:rPr>
            </w:pPr>
            <w:r>
              <w:rPr>
                <w:rFonts w:hint="eastAsia" w:hAnsi="宋体" w:cs="宋体"/>
                <w:sz w:val="24"/>
              </w:rPr>
              <w:t>…</w:t>
            </w:r>
          </w:p>
        </w:tc>
        <w:tc>
          <w:tcPr>
            <w:tcW w:w="720" w:type="dxa"/>
            <w:vAlign w:val="center"/>
          </w:tcPr>
          <w:p>
            <w:pPr>
              <w:pStyle w:val="12"/>
              <w:spacing w:line="360" w:lineRule="auto"/>
              <w:jc w:val="center"/>
              <w:rPr>
                <w:rFonts w:hAnsi="宋体" w:cs="宋体"/>
                <w:sz w:val="24"/>
              </w:rPr>
            </w:pPr>
          </w:p>
        </w:tc>
        <w:tc>
          <w:tcPr>
            <w:tcW w:w="180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c>
          <w:tcPr>
            <w:tcW w:w="1620"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2"/>
              <w:spacing w:line="360" w:lineRule="auto"/>
              <w:rPr>
                <w:rFonts w:hAnsi="宋体" w:cs="宋体"/>
                <w:sz w:val="24"/>
              </w:rPr>
            </w:pPr>
            <w:r>
              <w:rPr>
                <w:rFonts w:hint="eastAsia" w:hAnsi="宋体" w:cs="宋体"/>
                <w:sz w:val="24"/>
              </w:rPr>
              <w:t>报价合计</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outlineLvl w:val="2"/>
        <w:rPr>
          <w:rFonts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24"/>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spacing w:line="360" w:lineRule="auto"/>
        <w:jc w:val="center"/>
        <w:rPr>
          <w:rFonts w:ascii="宋体" w:hAnsi="宋体" w:cs="宋体"/>
          <w:b/>
          <w:bCs/>
          <w:sz w:val="24"/>
        </w:rPr>
      </w:pPr>
      <w:r>
        <w:rPr>
          <w:rFonts w:hint="eastAsia" w:ascii="宋体" w:hAnsi="宋体" w:cs="宋体"/>
          <w:b/>
          <w:bCs/>
          <w:sz w:val="24"/>
        </w:rPr>
        <w:t>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一份正本四份副本以及1份电子文档的</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10"/>
      </w:pPr>
    </w:p>
    <w:p>
      <w:pPr>
        <w:numPr>
          <w:ilvl w:val="0"/>
          <w:numId w:val="24"/>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必须是在中华人民共和国国家司法行政主管部门合法登记注册，持有经年检合格的律师事务所执业许可证的律师事务所或其分支机构（同一家律师事务所只能授权一家分支机构参与投标，且该律师事务所不能与下属的分支机构同时参与投标）（如为律师事务所投标，则提供律师事务所《执业许可证》扫描件，原件备查；如为分支机构投标，则提供总所授权及分支机构《执业许可证》扫描件，原件备查）</w:t>
      </w:r>
    </w:p>
    <w:p>
      <w:pPr>
        <w:numPr>
          <w:ilvl w:val="255"/>
          <w:numId w:val="0"/>
        </w:numPr>
        <w:tabs>
          <w:tab w:val="left" w:pos="640"/>
          <w:tab w:val="left" w:pos="1260"/>
          <w:tab w:val="left" w:pos="1418"/>
        </w:tabs>
        <w:spacing w:line="360" w:lineRule="auto"/>
        <w:rPr>
          <w:rFonts w:ascii="宋体" w:hAnsi="宋体" w:cs="宋体"/>
          <w:sz w:val="24"/>
          <w:lang w:val="fr-CH"/>
        </w:rPr>
      </w:pPr>
    </w:p>
    <w:p>
      <w:pPr>
        <w:numPr>
          <w:ilvl w:val="0"/>
          <w:numId w:val="24"/>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政府采购投标及履约承诺函；</w:t>
      </w:r>
    </w:p>
    <w:p>
      <w:pPr>
        <w:spacing w:line="360" w:lineRule="auto"/>
        <w:jc w:val="center"/>
        <w:rPr>
          <w:rFonts w:ascii="宋体" w:hAnsi="宋体" w:cs="宋体"/>
          <w:b/>
          <w:bCs/>
          <w:sz w:val="24"/>
          <w:lang w:val="fr-CH"/>
        </w:rPr>
      </w:pP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25"/>
        </w:numPr>
        <w:spacing w:line="360" w:lineRule="auto"/>
        <w:ind w:firstLine="480" w:firstLineChars="200"/>
        <w:rPr>
          <w:rFonts w:ascii="宋体" w:hAnsi="宋体" w:cs="宋体"/>
          <w:sz w:val="24"/>
        </w:rPr>
      </w:pPr>
      <w:r>
        <w:rPr>
          <w:rFonts w:hint="eastAsia" w:ascii="宋体" w:hAnsi="宋体" w:cs="宋体"/>
          <w:sz w:val="24"/>
        </w:rPr>
        <w:t>我单位本招标项目所提供的货物或服务未侵犯知识产权。</w:t>
      </w:r>
    </w:p>
    <w:p>
      <w:pPr>
        <w:widowControl/>
        <w:numPr>
          <w:ilvl w:val="0"/>
          <w:numId w:val="25"/>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w:t>
      </w:r>
      <w:r>
        <w:rPr>
          <w:rFonts w:hint="eastAsia" w:ascii="宋体" w:hAnsi="宋体" w:cs="宋体"/>
          <w:b/>
          <w:bCs/>
          <w:kern w:val="0"/>
          <w:sz w:val="24"/>
        </w:rPr>
        <w:t>投标近三年内（投标人成立不足三年的可从成立之日起算）在经营活动中没有重大违法记录以及不存在被有关部门禁止参与政府采购活动且在有效期内的情况</w:t>
      </w:r>
      <w:r>
        <w:rPr>
          <w:rFonts w:hint="eastAsia" w:ascii="宋体" w:hAnsi="宋体" w:cs="宋体"/>
          <w:kern w:val="0"/>
          <w:sz w:val="24"/>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25"/>
        </w:numPr>
        <w:shd w:val="clear" w:color="auto" w:fill="FFFFFF"/>
        <w:spacing w:line="360" w:lineRule="auto"/>
        <w:ind w:right="-4" w:firstLine="482" w:firstLineChars="200"/>
        <w:jc w:val="left"/>
        <w:rPr>
          <w:rFonts w:ascii="宋体" w:hAnsi="宋体" w:cs="宋体"/>
          <w:b/>
          <w:bCs/>
          <w:kern w:val="0"/>
          <w:sz w:val="24"/>
        </w:rPr>
      </w:pPr>
      <w:r>
        <w:rPr>
          <w:rFonts w:hint="eastAsia" w:ascii="宋体" w:hAnsi="宋体" w:cs="宋体"/>
          <w:b/>
          <w:bCs/>
          <w:sz w:val="24"/>
        </w:rPr>
        <w:t>我单位</w:t>
      </w:r>
      <w:r>
        <w:rPr>
          <w:rFonts w:hint="eastAsia" w:ascii="宋体" w:hAnsi="宋体" w:cs="宋体"/>
          <w:b/>
          <w:bCs/>
          <w:kern w:val="0"/>
          <w:sz w:val="24"/>
        </w:rPr>
        <w:t>及其法定代表人近三年内（投标人成立不足三年的可从成立之日起算）无行贿犯罪记录；</w:t>
      </w:r>
    </w:p>
    <w:p>
      <w:pPr>
        <w:numPr>
          <w:ilvl w:val="0"/>
          <w:numId w:val="25"/>
        </w:numPr>
        <w:spacing w:line="360" w:lineRule="auto"/>
        <w:ind w:firstLine="480" w:firstLineChars="200"/>
        <w:rPr>
          <w:rFonts w:ascii="宋体" w:hAnsi="宋体" w:cs="宋体"/>
          <w:sz w:val="24"/>
        </w:rPr>
      </w:pPr>
      <w:r>
        <w:rPr>
          <w:rFonts w:hint="eastAsia" w:ascii="宋体" w:hAnsi="宋体" w:cs="宋体"/>
          <w:sz w:val="24"/>
        </w:rPr>
        <w:t>我单位具备《中华人民共和国政府采购法》第二十二条第一款的条件。</w:t>
      </w:r>
    </w:p>
    <w:p>
      <w:pPr>
        <w:numPr>
          <w:ilvl w:val="0"/>
          <w:numId w:val="25"/>
        </w:numPr>
        <w:spacing w:line="360" w:lineRule="auto"/>
        <w:ind w:firstLine="480" w:firstLineChars="200"/>
        <w:rPr>
          <w:rFonts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w:t>
      </w:r>
      <w:r>
        <w:rPr>
          <w:rFonts w:hint="eastAsia" w:ascii="宋体" w:hAnsi="宋体" w:cs="宋体"/>
          <w:sz w:val="24"/>
        </w:rPr>
        <w:t>深圳信用网</w:t>
      </w:r>
      <w:r>
        <w:rPr>
          <w:rFonts w:hint="eastAsia" w:ascii="宋体" w:hAnsi="宋体" w:cs="宋体"/>
          <w:kern w:val="0"/>
          <w:sz w:val="24"/>
        </w:rPr>
        <w:t>（www.szcredit.org.cn）等4个官网中列入“失信被执行人、重大税收违法案件当事人名单、政府采购严重违法失信行为记录名单”</w:t>
      </w:r>
      <w:r>
        <w:rPr>
          <w:rFonts w:hint="eastAsia" w:ascii="宋体" w:hAnsi="宋体" w:cs="宋体"/>
          <w:sz w:val="24"/>
        </w:rPr>
        <w:t>。</w:t>
      </w:r>
    </w:p>
    <w:p>
      <w:pPr>
        <w:numPr>
          <w:ilvl w:val="0"/>
          <w:numId w:val="25"/>
        </w:numPr>
        <w:spacing w:line="360" w:lineRule="auto"/>
        <w:ind w:firstLine="480" w:firstLineChars="200"/>
        <w:rPr>
          <w:rFonts w:ascii="宋体" w:hAnsi="宋体" w:cs="宋体"/>
          <w:sz w:val="24"/>
        </w:rPr>
      </w:pPr>
      <w:r>
        <w:rPr>
          <w:rFonts w:hint="eastAsia" w:ascii="宋体" w:hAnsi="宋体" w:cs="宋体"/>
          <w:sz w:val="24"/>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25"/>
        </w:numPr>
        <w:spacing w:line="360" w:lineRule="auto"/>
        <w:ind w:firstLine="480" w:firstLineChars="200"/>
        <w:rPr>
          <w:rFonts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25"/>
        </w:numPr>
        <w:spacing w:line="360" w:lineRule="auto"/>
        <w:ind w:firstLine="480" w:firstLineChars="200"/>
        <w:rPr>
          <w:rFonts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25"/>
        </w:numPr>
        <w:spacing w:line="360" w:lineRule="auto"/>
        <w:ind w:firstLine="480" w:firstLineChars="200"/>
        <w:rPr>
          <w:rFonts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25"/>
        </w:numPr>
        <w:spacing w:line="360" w:lineRule="auto"/>
        <w:ind w:firstLine="480" w:firstLineChars="200"/>
        <w:rPr>
          <w:rFonts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25"/>
        </w:numPr>
        <w:spacing w:line="360" w:lineRule="auto"/>
        <w:ind w:firstLine="480" w:firstLineChars="200"/>
        <w:rPr>
          <w:rFonts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25"/>
        </w:numPr>
        <w:spacing w:line="360" w:lineRule="auto"/>
        <w:ind w:firstLine="480" w:firstLineChars="200"/>
        <w:rPr>
          <w:rFonts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日期：   年  月   日</w:t>
      </w:r>
    </w:p>
    <w:p>
      <w:pPr>
        <w:numPr>
          <w:ilvl w:val="0"/>
          <w:numId w:val="24"/>
        </w:numPr>
        <w:tabs>
          <w:tab w:val="left" w:pos="640"/>
          <w:tab w:val="left" w:pos="1260"/>
          <w:tab w:val="left" w:pos="1418"/>
        </w:tabs>
        <w:spacing w:line="360" w:lineRule="auto"/>
        <w:ind w:left="645" w:hanging="645"/>
        <w:rPr>
          <w:rFonts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360" w:lineRule="auto"/>
        <w:jc w:val="center"/>
        <w:rPr>
          <w:rFonts w:ascii="宋体" w:hAnsi="宋体" w:cs="宋体"/>
          <w:b/>
          <w:bCs/>
          <w:sz w:val="24"/>
        </w:rPr>
      </w:pPr>
      <w:r>
        <w:rPr>
          <w:rFonts w:hint="eastAsia" w:ascii="宋体" w:hAnsi="宋体" w:cs="宋体"/>
          <w:b/>
          <w:bCs/>
          <w:sz w:val="24"/>
        </w:rPr>
        <w:t>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tabs>
          <w:tab w:val="left" w:pos="4860"/>
        </w:tabs>
        <w:adjustRightInd w:val="0"/>
        <w:snapToGrid w:val="0"/>
        <w:spacing w:line="360" w:lineRule="auto"/>
        <w:ind w:right="105" w:rightChars="50"/>
        <w:rPr>
          <w:rFonts w:ascii="宋体" w:hAnsi="宋体" w:cs="宋体"/>
          <w:sz w:val="24"/>
        </w:rPr>
      </w:pPr>
      <w:r>
        <w:rPr>
          <w:rFonts w:hint="eastAsia" w:ascii="宋体" w:hAnsi="宋体" w:cs="宋体"/>
          <w:sz w:val="24"/>
        </w:rPr>
        <w:t>投标供应商名称（盖章）：</w:t>
      </w:r>
    </w:p>
    <w:p>
      <w:pPr>
        <w:spacing w:line="360" w:lineRule="auto"/>
        <w:rPr>
          <w:rFonts w:ascii="宋体" w:hAnsi="宋体" w:cs="宋体"/>
          <w:kern w:val="0"/>
          <w:sz w:val="24"/>
        </w:rPr>
      </w:pPr>
      <w:r>
        <w:rPr>
          <w:rFonts w:hint="eastAsia" w:ascii="宋体" w:hAnsi="宋体" w:cs="宋体"/>
          <w:sz w:val="24"/>
        </w:rPr>
        <w:t>日期：   年     月     日</w:t>
      </w:r>
    </w:p>
    <w:p>
      <w:pPr>
        <w:numPr>
          <w:ilvl w:val="0"/>
          <w:numId w:val="24"/>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w:t>
      </w:r>
      <w:r>
        <w:rPr>
          <w:rFonts w:ascii="宋体" w:hAnsi="宋体" w:cs="宋体"/>
          <w:sz w:val="24"/>
        </w:rPr>
        <w:t>定代表</w:t>
      </w:r>
      <w:r>
        <w:rPr>
          <w:rFonts w:hint="eastAsia" w:ascii="宋体" w:hAnsi="宋体" w:cs="宋体"/>
          <w:sz w:val="24"/>
          <w:lang w:val="fr-CH"/>
        </w:rPr>
        <w:t>人证明书及身份证明；</w:t>
      </w:r>
    </w:p>
    <w:p>
      <w:pPr>
        <w:spacing w:before="120" w:after="120" w:line="360" w:lineRule="auto"/>
        <w:jc w:val="center"/>
        <w:rPr>
          <w:rFonts w:ascii="宋体" w:hAnsi="宋体" w:cs="宋体"/>
          <w:b/>
          <w:sz w:val="24"/>
        </w:rPr>
      </w:pPr>
    </w:p>
    <w:p>
      <w:pPr>
        <w:spacing w:before="120" w:after="120" w:line="360" w:lineRule="auto"/>
        <w:jc w:val="center"/>
        <w:rPr>
          <w:rFonts w:ascii="宋体" w:hAnsi="宋体" w:cs="宋体"/>
          <w:sz w:val="24"/>
          <w:u w:val="single"/>
        </w:rPr>
      </w:pPr>
      <w:r>
        <w:rPr>
          <w:rFonts w:hint="eastAsia" w:ascii="宋体" w:hAnsi="宋体" w:cs="宋体"/>
          <w:b/>
          <w:sz w:val="24"/>
        </w:rPr>
        <w:t>法定代表人证明书</w:t>
      </w: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tabs>
          <w:tab w:val="left" w:pos="3780"/>
        </w:tabs>
        <w:spacing w:line="360" w:lineRule="auto"/>
        <w:rPr>
          <w:rFonts w:ascii="宋体" w:hAnsi="宋体" w:cs="宋体"/>
          <w:sz w:val="24"/>
        </w:rPr>
      </w:pPr>
      <w:r>
        <w:rPr>
          <w:rFonts w:hint="eastAsia" w:ascii="宋体" w:hAnsi="宋体" w:cs="宋体"/>
          <w:sz w:val="24"/>
        </w:rPr>
        <w:t>投标供应商名称（盖章）：</w:t>
      </w:r>
    </w:p>
    <w:p>
      <w:pPr>
        <w:tabs>
          <w:tab w:val="left" w:pos="3780"/>
        </w:tabs>
        <w:spacing w:line="360" w:lineRule="auto"/>
        <w:rPr>
          <w:rFonts w:ascii="宋体" w:hAnsi="宋体" w:cs="宋体"/>
          <w:sz w:val="24"/>
        </w:rPr>
      </w:pPr>
      <w:r>
        <w:rPr>
          <w:rFonts w:hint="eastAsia" w:ascii="宋体" w:hAnsi="宋体" w:cs="宋体"/>
          <w:sz w:val="24"/>
        </w:rPr>
        <w:t>法定代表人（签字或签章）：</w:t>
      </w:r>
    </w:p>
    <w:p>
      <w:pPr>
        <w:spacing w:before="120" w:after="120"/>
        <w:jc w:val="left"/>
        <w:rPr>
          <w:rFonts w:ascii="宋体" w:hAnsi="宋体" w:cs="宋体"/>
          <w:szCs w:val="21"/>
        </w:rPr>
      </w:pP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2"/>
              <w:spacing w:line="360" w:lineRule="auto"/>
              <w:rPr>
                <w:rFonts w:ascii="Arial Narrow" w:hAnsi="Arial Narrow"/>
                <w:b/>
                <w:bCs/>
                <w:szCs w:val="21"/>
              </w:rPr>
            </w:pPr>
          </w:p>
        </w:tc>
        <w:tc>
          <w:tcPr>
            <w:tcW w:w="4240" w:type="dxa"/>
          </w:tcPr>
          <w:p>
            <w:pPr>
              <w:pStyle w:val="12"/>
              <w:spacing w:line="360" w:lineRule="auto"/>
              <w:rPr>
                <w:rFonts w:ascii="Arial Narrow" w:hAnsi="Arial Narrow"/>
                <w:b/>
                <w:bCs/>
                <w:szCs w:val="21"/>
              </w:rPr>
            </w:pPr>
          </w:p>
        </w:tc>
      </w:tr>
    </w:tbl>
    <w:p>
      <w:pPr>
        <w:pStyle w:val="10"/>
        <w:rPr>
          <w:lang w:val="fr-CH"/>
        </w:rPr>
      </w:pPr>
    </w:p>
    <w:p>
      <w:pPr>
        <w:numPr>
          <w:ilvl w:val="0"/>
          <w:numId w:val="24"/>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12"/>
        <w:spacing w:line="360" w:lineRule="auto"/>
        <w:jc w:val="center"/>
        <w:rPr>
          <w:rFonts w:hAnsi="宋体" w:cs="宋体"/>
          <w:b/>
          <w:sz w:val="24"/>
        </w:rPr>
      </w:pPr>
    </w:p>
    <w:p>
      <w:pPr>
        <w:pStyle w:val="12"/>
        <w:spacing w:line="360" w:lineRule="auto"/>
        <w:jc w:val="center"/>
        <w:rPr>
          <w:rFonts w:hAnsi="宋体" w:cs="宋体"/>
          <w:b/>
          <w:sz w:val="24"/>
        </w:rPr>
      </w:pPr>
      <w:r>
        <w:rPr>
          <w:rFonts w:hint="eastAsia" w:hAnsi="宋体" w:cs="宋体"/>
          <w:b/>
          <w:sz w:val="24"/>
        </w:rPr>
        <w:t>法定代表人授权书</w:t>
      </w:r>
    </w:p>
    <w:p>
      <w:pPr>
        <w:pStyle w:val="12"/>
        <w:spacing w:line="360" w:lineRule="auto"/>
        <w:rPr>
          <w:rFonts w:hAnsi="宋体" w:cs="宋体"/>
          <w:sz w:val="24"/>
        </w:rPr>
      </w:pPr>
    </w:p>
    <w:p>
      <w:pPr>
        <w:pStyle w:val="12"/>
        <w:spacing w:line="360" w:lineRule="auto"/>
        <w:rPr>
          <w:rFonts w:hAnsi="宋体" w:cs="宋体"/>
          <w:sz w:val="24"/>
        </w:rPr>
      </w:pPr>
      <w:r>
        <w:rPr>
          <w:rFonts w:hint="eastAsia" w:hAnsi="宋体" w:cs="宋体"/>
          <w:b/>
          <w:sz w:val="24"/>
        </w:rPr>
        <w:t>深圳市前海深港现代服务业合作区管理局：</w:t>
      </w:r>
    </w:p>
    <w:p>
      <w:pPr>
        <w:pStyle w:val="12"/>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2"/>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法定代表人（签字或签章）：</w:t>
      </w:r>
    </w:p>
    <w:p>
      <w:pPr>
        <w:tabs>
          <w:tab w:val="left" w:pos="3780"/>
        </w:tabs>
        <w:spacing w:line="360" w:lineRule="auto"/>
        <w:jc w:val="left"/>
        <w:rPr>
          <w:rFonts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br w:type="page"/>
      </w:r>
    </w:p>
    <w:p>
      <w:pPr>
        <w:numPr>
          <w:ilvl w:val="0"/>
          <w:numId w:val="24"/>
        </w:numPr>
        <w:tabs>
          <w:tab w:val="left" w:pos="640"/>
          <w:tab w:val="left" w:pos="1260"/>
          <w:tab w:val="left" w:pos="1418"/>
        </w:tabs>
        <w:spacing w:line="360" w:lineRule="auto"/>
        <w:ind w:left="640" w:hanging="640"/>
        <w:rPr>
          <w:rFonts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致：友和保险经纪有限公司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投标供应商地址：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日期：   年     月     日</w:t>
      </w:r>
    </w:p>
    <w:p>
      <w:pPr>
        <w:pStyle w:val="10"/>
        <w:rPr>
          <w:lang w:val="fr-CH"/>
        </w:rPr>
      </w:pPr>
    </w:p>
    <w:p>
      <w:pPr>
        <w:tabs>
          <w:tab w:val="left" w:pos="640"/>
          <w:tab w:val="left" w:pos="1260"/>
          <w:tab w:val="left" w:pos="1418"/>
        </w:tabs>
        <w:spacing w:line="360" w:lineRule="auto"/>
        <w:rPr>
          <w:rFonts w:ascii="宋体" w:hAnsi="宋体" w:cs="宋体"/>
          <w:sz w:val="24"/>
          <w:lang w:val="fr-CH"/>
        </w:rPr>
      </w:pPr>
    </w:p>
    <w:p>
      <w:pPr>
        <w:numPr>
          <w:ilvl w:val="0"/>
          <w:numId w:val="24"/>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rPr>
        <w:t>供应商</w:t>
      </w:r>
      <w:r>
        <w:rPr>
          <w:rFonts w:hint="eastAsia" w:ascii="宋体" w:hAnsi="宋体" w:cs="宋体"/>
          <w:sz w:val="24"/>
          <w:lang w:val="fr-CH"/>
        </w:rPr>
        <w:t>简介；</w:t>
      </w:r>
    </w:p>
    <w:p>
      <w:pPr>
        <w:pStyle w:val="12"/>
        <w:spacing w:line="360" w:lineRule="auto"/>
        <w:jc w:val="center"/>
        <w:rPr>
          <w:rFonts w:hAnsi="宋体" w:cs="宋体"/>
          <w:b/>
          <w:bCs/>
          <w:sz w:val="24"/>
        </w:rPr>
      </w:pPr>
      <w:r>
        <w:rPr>
          <w:rFonts w:hint="eastAsia" w:hAnsi="宋体" w:cs="宋体"/>
          <w:b/>
          <w:bCs/>
          <w:sz w:val="24"/>
        </w:rPr>
        <w:t>供应商基本情况一览表</w:t>
      </w:r>
    </w:p>
    <w:p>
      <w:pPr>
        <w:pStyle w:val="12"/>
        <w:spacing w:line="360" w:lineRule="auto"/>
        <w:ind w:firstLine="420"/>
        <w:rPr>
          <w:rFonts w:hAnsi="宋体" w:cs="宋体"/>
          <w:sz w:val="24"/>
        </w:rPr>
      </w:pPr>
      <w:r>
        <w:rPr>
          <w:rFonts w:hint="eastAsia" w:hAnsi="宋体" w:cs="宋体"/>
          <w:sz w:val="24"/>
        </w:rPr>
        <w:t>1．名称及概况：</w:t>
      </w:r>
    </w:p>
    <w:p>
      <w:pPr>
        <w:pStyle w:val="12"/>
        <w:spacing w:line="360" w:lineRule="auto"/>
        <w:ind w:firstLine="420"/>
        <w:rPr>
          <w:rFonts w:hAnsi="宋体" w:cs="宋体"/>
          <w:sz w:val="24"/>
        </w:rPr>
      </w:pPr>
      <w:r>
        <w:rPr>
          <w:rFonts w:hint="eastAsia" w:hAnsi="宋体" w:cs="宋体"/>
          <w:sz w:val="24"/>
        </w:rPr>
        <w:t>（1）供应商名称：_______________________________________</w:t>
      </w:r>
    </w:p>
    <w:p>
      <w:pPr>
        <w:pStyle w:val="12"/>
        <w:spacing w:line="360" w:lineRule="auto"/>
        <w:ind w:firstLine="420"/>
        <w:rPr>
          <w:rFonts w:hAnsi="宋体" w:cs="宋体"/>
          <w:sz w:val="24"/>
        </w:rPr>
      </w:pPr>
      <w:r>
        <w:rPr>
          <w:rFonts w:hint="eastAsia" w:hAnsi="宋体" w:cs="宋体"/>
          <w:sz w:val="24"/>
        </w:rPr>
        <w:t>（2）地址：______________________________________________</w:t>
      </w:r>
    </w:p>
    <w:p>
      <w:pPr>
        <w:pStyle w:val="12"/>
        <w:spacing w:line="360" w:lineRule="auto"/>
        <w:ind w:firstLine="660" w:firstLineChars="275"/>
        <w:rPr>
          <w:rFonts w:hAnsi="宋体" w:cs="宋体"/>
          <w:sz w:val="24"/>
        </w:rPr>
      </w:pPr>
      <w:r>
        <w:rPr>
          <w:rFonts w:hint="eastAsia" w:hAnsi="宋体" w:cs="宋体"/>
          <w:sz w:val="24"/>
        </w:rPr>
        <w:t xml:space="preserve">   邮政编码：___________________________________________</w:t>
      </w:r>
    </w:p>
    <w:p>
      <w:pPr>
        <w:pStyle w:val="12"/>
        <w:spacing w:line="360" w:lineRule="auto"/>
        <w:ind w:firstLine="420"/>
        <w:rPr>
          <w:rFonts w:hAnsi="宋体" w:cs="宋体"/>
          <w:sz w:val="24"/>
        </w:rPr>
      </w:pPr>
      <w:r>
        <w:rPr>
          <w:rFonts w:hint="eastAsia" w:hAnsi="宋体" w:cs="宋体"/>
          <w:sz w:val="24"/>
        </w:rPr>
        <w:t xml:space="preserve">     电话号码：___________________________________________ </w:t>
      </w:r>
    </w:p>
    <w:p>
      <w:pPr>
        <w:pStyle w:val="12"/>
        <w:spacing w:line="360" w:lineRule="auto"/>
        <w:ind w:firstLine="420"/>
        <w:rPr>
          <w:rFonts w:hAnsi="宋体" w:cs="宋体"/>
          <w:sz w:val="24"/>
        </w:rPr>
      </w:pPr>
      <w:r>
        <w:rPr>
          <w:rFonts w:hint="eastAsia" w:hAnsi="宋体" w:cs="宋体"/>
          <w:sz w:val="24"/>
        </w:rPr>
        <w:t xml:space="preserve">     传真号码：___________________________________________ </w:t>
      </w:r>
    </w:p>
    <w:p>
      <w:pPr>
        <w:pStyle w:val="12"/>
        <w:spacing w:line="360" w:lineRule="auto"/>
        <w:ind w:firstLine="420"/>
        <w:rPr>
          <w:rFonts w:hAnsi="宋体" w:cs="宋体"/>
          <w:sz w:val="24"/>
        </w:rPr>
      </w:pPr>
      <w:r>
        <w:rPr>
          <w:rFonts w:hint="eastAsia" w:hAnsi="宋体" w:cs="宋体"/>
          <w:sz w:val="24"/>
        </w:rPr>
        <w:t>（3）成立和／或注册日期：_________________________________</w:t>
      </w:r>
    </w:p>
    <w:p>
      <w:pPr>
        <w:pStyle w:val="12"/>
        <w:spacing w:line="360" w:lineRule="auto"/>
        <w:ind w:firstLine="420"/>
        <w:rPr>
          <w:rFonts w:hAnsi="宋体" w:cs="宋体"/>
          <w:sz w:val="24"/>
        </w:rPr>
      </w:pPr>
      <w:r>
        <w:rPr>
          <w:rFonts w:hint="eastAsia" w:hAnsi="宋体" w:cs="宋体"/>
          <w:sz w:val="24"/>
        </w:rPr>
        <w:t>（4）法人代表：___________________________________________</w:t>
      </w:r>
    </w:p>
    <w:p>
      <w:pPr>
        <w:pStyle w:val="12"/>
        <w:spacing w:line="360" w:lineRule="auto"/>
        <w:ind w:firstLine="420"/>
        <w:rPr>
          <w:rFonts w:hAnsi="宋体" w:cs="宋体"/>
          <w:sz w:val="24"/>
        </w:rPr>
      </w:pPr>
      <w:r>
        <w:rPr>
          <w:rFonts w:hint="eastAsia" w:hAnsi="宋体" w:cs="宋体"/>
          <w:sz w:val="24"/>
        </w:rPr>
        <w:t>（5）开户银行：___________________________________________</w:t>
      </w:r>
    </w:p>
    <w:p>
      <w:pPr>
        <w:pStyle w:val="12"/>
        <w:spacing w:line="360" w:lineRule="auto"/>
        <w:ind w:firstLine="420"/>
        <w:rPr>
          <w:rFonts w:hAnsi="宋体" w:cs="宋体"/>
          <w:sz w:val="24"/>
        </w:rPr>
      </w:pPr>
      <w:r>
        <w:rPr>
          <w:rFonts w:hint="eastAsia" w:hAnsi="宋体" w:cs="宋体"/>
          <w:sz w:val="24"/>
        </w:rPr>
        <w:t>（6）开户帐号：___________________________________________</w:t>
      </w:r>
    </w:p>
    <w:p>
      <w:pPr>
        <w:pStyle w:val="12"/>
        <w:spacing w:line="360" w:lineRule="auto"/>
        <w:ind w:firstLine="420"/>
        <w:rPr>
          <w:rFonts w:hAnsi="宋体" w:cs="宋体"/>
          <w:sz w:val="24"/>
        </w:rPr>
      </w:pPr>
      <w:r>
        <w:rPr>
          <w:rFonts w:hint="eastAsia" w:hAnsi="宋体" w:cs="宋体"/>
          <w:sz w:val="24"/>
        </w:rPr>
        <w:t>（7）注册资金：___________________________________________</w:t>
      </w:r>
    </w:p>
    <w:p>
      <w:pPr>
        <w:pStyle w:val="12"/>
        <w:spacing w:line="360" w:lineRule="auto"/>
        <w:ind w:firstLine="420"/>
        <w:rPr>
          <w:rFonts w:hAnsi="宋体" w:cs="宋体"/>
          <w:sz w:val="24"/>
        </w:rPr>
      </w:pPr>
      <w:r>
        <w:rPr>
          <w:rFonts w:hint="eastAsia" w:hAnsi="宋体" w:cs="宋体"/>
          <w:sz w:val="24"/>
        </w:rPr>
        <w:t>（8）近两年财务基本情况</w:t>
      </w:r>
    </w:p>
    <w:p>
      <w:pPr>
        <w:pStyle w:val="12"/>
        <w:spacing w:line="360" w:lineRule="auto"/>
        <w:ind w:firstLine="420"/>
        <w:rPr>
          <w:rFonts w:hAnsi="宋体" w:cs="宋体"/>
          <w:sz w:val="24"/>
        </w:rPr>
      </w:pPr>
      <w:r>
        <w:rPr>
          <w:rFonts w:hint="eastAsia" w:hAnsi="宋体" w:cs="宋体"/>
          <w:sz w:val="24"/>
        </w:rPr>
        <w:t xml:space="preserve">    ①货币资金期末数：_____________________________________</w:t>
      </w:r>
    </w:p>
    <w:p>
      <w:pPr>
        <w:pStyle w:val="12"/>
        <w:spacing w:line="360" w:lineRule="auto"/>
        <w:ind w:firstLine="420"/>
        <w:rPr>
          <w:rFonts w:hAnsi="宋体" w:cs="宋体"/>
          <w:sz w:val="24"/>
        </w:rPr>
      </w:pPr>
      <w:r>
        <w:rPr>
          <w:rFonts w:hint="eastAsia" w:hAnsi="宋体" w:cs="宋体"/>
          <w:sz w:val="24"/>
        </w:rPr>
        <w:t xml:space="preserve">    ③年营业总额（值）：___________________________________</w:t>
      </w:r>
    </w:p>
    <w:p>
      <w:pPr>
        <w:pStyle w:val="12"/>
        <w:spacing w:line="360" w:lineRule="auto"/>
        <w:ind w:firstLine="420"/>
        <w:rPr>
          <w:rFonts w:hAnsi="宋体" w:cs="宋体"/>
          <w:sz w:val="24"/>
        </w:rPr>
      </w:pPr>
      <w:r>
        <w:rPr>
          <w:rFonts w:hint="eastAsia" w:hAnsi="宋体" w:cs="宋体"/>
          <w:sz w:val="24"/>
        </w:rPr>
        <w:t xml:space="preserve">    ③资产负债率：_________________________________________</w:t>
      </w:r>
    </w:p>
    <w:p>
      <w:pPr>
        <w:pStyle w:val="12"/>
        <w:spacing w:line="360" w:lineRule="auto"/>
        <w:ind w:firstLine="420"/>
        <w:rPr>
          <w:rFonts w:hAnsi="宋体" w:cs="宋体"/>
          <w:sz w:val="24"/>
        </w:rPr>
      </w:pPr>
      <w:r>
        <w:rPr>
          <w:rFonts w:hint="eastAsia" w:hAnsi="宋体" w:cs="宋体"/>
          <w:sz w:val="24"/>
        </w:rPr>
        <w:t xml:space="preserve">    ④销售利润率：_________________________________________</w:t>
      </w:r>
    </w:p>
    <w:p>
      <w:pPr>
        <w:pStyle w:val="12"/>
        <w:spacing w:line="360" w:lineRule="auto"/>
        <w:ind w:firstLine="420"/>
        <w:rPr>
          <w:rFonts w:hAnsi="宋体" w:cs="宋体"/>
          <w:sz w:val="24"/>
        </w:rPr>
      </w:pPr>
      <w:r>
        <w:rPr>
          <w:rFonts w:hint="eastAsia" w:hAnsi="宋体" w:cs="宋体"/>
          <w:sz w:val="24"/>
        </w:rPr>
        <w:t xml:space="preserve">    ⑤资本收益率：_________________________________________</w:t>
      </w:r>
    </w:p>
    <w:p>
      <w:pPr>
        <w:pStyle w:val="12"/>
        <w:spacing w:line="360" w:lineRule="auto"/>
        <w:ind w:firstLine="420"/>
        <w:rPr>
          <w:rFonts w:hAnsi="宋体" w:cs="宋体"/>
          <w:sz w:val="24"/>
        </w:rPr>
      </w:pPr>
      <w:r>
        <w:rPr>
          <w:rFonts w:hint="eastAsia" w:hAnsi="宋体" w:cs="宋体"/>
          <w:sz w:val="24"/>
        </w:rPr>
        <w:t>（9）项目主要联系人（姓名、职务、通讯）：</w:t>
      </w:r>
    </w:p>
    <w:p>
      <w:pPr>
        <w:pStyle w:val="12"/>
        <w:spacing w:line="360" w:lineRule="auto"/>
        <w:rPr>
          <w:rFonts w:hAnsi="宋体" w:cs="宋体"/>
          <w:sz w:val="24"/>
        </w:rPr>
      </w:pPr>
      <w:r>
        <w:rPr>
          <w:rFonts w:hint="eastAsia" w:hAnsi="宋体" w:cs="宋体"/>
          <w:sz w:val="24"/>
        </w:rPr>
        <w:t>_____________________________________________________________________</w:t>
      </w:r>
    </w:p>
    <w:p>
      <w:pPr>
        <w:pStyle w:val="12"/>
        <w:spacing w:line="360" w:lineRule="auto"/>
        <w:ind w:firstLine="420"/>
        <w:rPr>
          <w:rFonts w:hAnsi="宋体" w:cs="宋体"/>
          <w:sz w:val="24"/>
        </w:rPr>
      </w:pPr>
      <w:r>
        <w:rPr>
          <w:rFonts w:hint="eastAsia" w:hAnsi="宋体" w:cs="宋体"/>
          <w:sz w:val="24"/>
        </w:rPr>
        <w:t>（10）公司概况；</w:t>
      </w:r>
    </w:p>
    <w:p>
      <w:pPr>
        <w:pStyle w:val="12"/>
        <w:spacing w:line="360" w:lineRule="auto"/>
        <w:ind w:firstLine="420"/>
        <w:rPr>
          <w:rFonts w:hAnsi="宋体" w:cs="宋体"/>
          <w:sz w:val="24"/>
        </w:rPr>
      </w:pPr>
      <w:r>
        <w:rPr>
          <w:rFonts w:hint="eastAsia" w:hAnsi="宋体" w:cs="宋体"/>
          <w:sz w:val="24"/>
        </w:rPr>
        <w:t>（11）公司组织机构；</w:t>
      </w:r>
    </w:p>
    <w:p>
      <w:pPr>
        <w:pStyle w:val="12"/>
        <w:spacing w:line="360" w:lineRule="auto"/>
        <w:ind w:firstLine="420"/>
        <w:rPr>
          <w:rFonts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10"/>
        <w:rPr>
          <w:lang w:val="fr-CH"/>
        </w:rPr>
      </w:pPr>
    </w:p>
    <w:p>
      <w:pPr>
        <w:numPr>
          <w:ilvl w:val="0"/>
          <w:numId w:val="24"/>
        </w:numPr>
        <w:tabs>
          <w:tab w:val="left" w:pos="640"/>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项目负责人</w:t>
      </w:r>
      <w:r>
        <w:rPr>
          <w:rFonts w:hint="eastAsia" w:ascii="宋体" w:hAnsi="宋体" w:cs="宋体"/>
          <w:sz w:val="24"/>
        </w:rPr>
        <w:t>；</w:t>
      </w:r>
    </w:p>
    <w:p>
      <w:pPr>
        <w:numPr>
          <w:ilvl w:val="0"/>
          <w:numId w:val="24"/>
        </w:numPr>
        <w:tabs>
          <w:tab w:val="left" w:pos="640"/>
        </w:tabs>
        <w:spacing w:line="360" w:lineRule="auto"/>
        <w:ind w:left="845" w:hanging="845"/>
        <w:rPr>
          <w:rFonts w:ascii="宋体" w:hAnsi="宋体" w:cs="宋体"/>
          <w:sz w:val="24"/>
          <w:lang w:val="fr-CH"/>
        </w:rPr>
      </w:pPr>
      <w:r>
        <w:rPr>
          <w:rFonts w:hint="eastAsia" w:ascii="宋体" w:hAnsi="宋体" w:cs="宋体"/>
          <w:sz w:val="24"/>
          <w:lang w:val="fr-CH"/>
        </w:rPr>
        <w:t>项目团队实力（项目负责人除外）</w:t>
      </w:r>
      <w:r>
        <w:rPr>
          <w:rFonts w:hint="eastAsia" w:ascii="宋体" w:hAnsi="宋体" w:cs="宋体"/>
          <w:sz w:val="24"/>
        </w:rPr>
        <w:t>；</w:t>
      </w:r>
    </w:p>
    <w:p>
      <w:pPr>
        <w:numPr>
          <w:ilvl w:val="0"/>
          <w:numId w:val="24"/>
        </w:numPr>
        <w:tabs>
          <w:tab w:val="left" w:pos="640"/>
        </w:tabs>
        <w:spacing w:line="360" w:lineRule="auto"/>
        <w:ind w:left="845" w:hanging="845"/>
        <w:rPr>
          <w:rFonts w:ascii="宋体" w:hAnsi="宋体" w:cs="宋体"/>
          <w:sz w:val="24"/>
          <w:lang w:val="fr-CH"/>
        </w:rPr>
      </w:pPr>
      <w:r>
        <w:rPr>
          <w:rFonts w:hint="eastAsia" w:ascii="宋体" w:hAnsi="宋体" w:cs="宋体"/>
          <w:sz w:val="24"/>
          <w:lang w:val="fr-CH"/>
        </w:rPr>
        <w:t>同类业绩情况</w:t>
      </w:r>
      <w:r>
        <w:rPr>
          <w:rFonts w:hint="eastAsia" w:ascii="宋体" w:hAnsi="宋体" w:cs="宋体"/>
          <w:sz w:val="24"/>
        </w:rPr>
        <w:t>；</w:t>
      </w:r>
    </w:p>
    <w:p>
      <w:pPr>
        <w:numPr>
          <w:ilvl w:val="0"/>
          <w:numId w:val="24"/>
        </w:numPr>
        <w:tabs>
          <w:tab w:val="left" w:pos="640"/>
        </w:tabs>
        <w:spacing w:line="360" w:lineRule="auto"/>
        <w:ind w:left="845" w:hanging="845"/>
        <w:rPr>
          <w:rFonts w:ascii="宋体" w:hAnsi="宋体" w:cs="宋体"/>
          <w:sz w:val="24"/>
        </w:rPr>
      </w:pPr>
      <w:r>
        <w:rPr>
          <w:rFonts w:hint="eastAsia" w:ascii="宋体" w:hAnsi="宋体" w:cs="宋体"/>
          <w:sz w:val="24"/>
          <w:lang w:val="fr-CH"/>
        </w:rPr>
        <w:t>机构社会声誉</w:t>
      </w:r>
      <w:r>
        <w:rPr>
          <w:rFonts w:hint="eastAsia" w:ascii="宋体" w:hAnsi="宋体" w:cs="宋体"/>
          <w:sz w:val="24"/>
        </w:rPr>
        <w:t>；</w:t>
      </w:r>
    </w:p>
    <w:p>
      <w:pPr>
        <w:tabs>
          <w:tab w:val="left" w:pos="640"/>
          <w:tab w:val="left" w:pos="1260"/>
          <w:tab w:val="left" w:pos="1418"/>
        </w:tabs>
        <w:jc w:val="center"/>
        <w:rPr>
          <w:rFonts w:ascii="宋体" w:hAnsi="宋体" w:cs="宋体"/>
          <w:b/>
          <w:bCs/>
          <w:szCs w:val="21"/>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24"/>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企业诚信；</w:t>
      </w:r>
    </w:p>
    <w:p>
      <w:pPr>
        <w:spacing w:line="360" w:lineRule="auto"/>
        <w:jc w:val="center"/>
        <w:rPr>
          <w:rFonts w:ascii="宋体" w:hAnsi="宋体" w:cs="宋体"/>
          <w:b/>
          <w:bCs/>
          <w:sz w:val="24"/>
        </w:rPr>
      </w:pPr>
      <w:r>
        <w:rPr>
          <w:rFonts w:hint="eastAsia" w:ascii="宋体" w:hAnsi="宋体" w:cs="宋体"/>
          <w:b/>
          <w:bCs/>
          <w:sz w:val="24"/>
        </w:rPr>
        <w:t>企业诚信声明与承诺</w:t>
      </w:r>
    </w:p>
    <w:p>
      <w:pPr>
        <w:spacing w:line="360" w:lineRule="auto"/>
        <w:rPr>
          <w:rFonts w:ascii="宋体" w:hAnsi="宋体" w:cs="宋体"/>
          <w:b/>
          <w:bCs/>
          <w:sz w:val="24"/>
        </w:rPr>
      </w:pPr>
      <w:r>
        <w:rPr>
          <w:rFonts w:hint="eastAsia" w:ascii="宋体" w:hAnsi="宋体" w:cs="宋体"/>
          <w:b/>
          <w:bCs/>
          <w:sz w:val="24"/>
        </w:rPr>
        <w:t>友和保险经纪有限公司：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12"/>
        <w:spacing w:line="360" w:lineRule="auto"/>
        <w:jc w:val="left"/>
        <w:rPr>
          <w:rFonts w:hAnsi="宋体" w:cs="宋体"/>
          <w:sz w:val="24"/>
        </w:rPr>
      </w:pPr>
    </w:p>
    <w:p>
      <w:pPr>
        <w:pStyle w:val="12"/>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10"/>
        <w:rPr>
          <w:lang w:val="fr-CH"/>
        </w:rPr>
      </w:pPr>
    </w:p>
    <w:p>
      <w:pPr>
        <w:numPr>
          <w:ilvl w:val="0"/>
          <w:numId w:val="24"/>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br w:type="page"/>
      </w:r>
      <w:r>
        <w:rPr>
          <w:rFonts w:hint="eastAsia" w:ascii="宋体" w:hAnsi="宋体" w:cs="宋体"/>
          <w:sz w:val="24"/>
        </w:rPr>
        <w:t>投标人认为有必要提供的其他材料。</w:t>
      </w:r>
    </w:p>
    <w:p>
      <w:pPr>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26"/>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spacing w:after="78" w:line="360" w:lineRule="auto"/>
        <w:jc w:val="center"/>
        <w:rPr>
          <w:rFonts w:ascii="宋体" w:hAnsi="宋体" w:cs="宋体"/>
          <w:b/>
          <w:bCs/>
          <w:sz w:val="24"/>
          <w:lang w:val="fr-CH"/>
        </w:rPr>
      </w:pPr>
      <w:r>
        <w:rPr>
          <w:rFonts w:hint="eastAsia" w:ascii="宋体" w:hAnsi="宋体" w:cs="宋体"/>
          <w:b/>
          <w:bCs/>
          <w:sz w:val="24"/>
          <w:lang w:val="fr-CH"/>
        </w:rPr>
        <w:t>用户需求响应表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4"/>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
                <w:sz w:val="24"/>
              </w:rPr>
              <w:t>我司完全响应满足招标文件“第五章 用户需求书”的全部内容”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1.“投标文件响应”填写说明：此项投标人必须完全响应满足，请投标人于“投标文件响应”栏中填写“</w:t>
      </w:r>
      <w:r>
        <w:rPr>
          <w:rFonts w:hint="eastAsia" w:ascii="宋体" w:hAnsi="宋体" w:cs="宋体"/>
          <w:b/>
          <w:sz w:val="24"/>
        </w:rPr>
        <w:t>我司完全响应满足招标文件“第五章 用户需求书”的全部内容</w:t>
      </w:r>
      <w:r>
        <w:rPr>
          <w:rFonts w:hint="eastAsia" w:ascii="宋体" w:hAnsi="宋体" w:cs="宋体"/>
          <w:bCs/>
          <w:sz w:val="24"/>
        </w:rPr>
        <w:t>”即可；</w:t>
      </w:r>
    </w:p>
    <w:p>
      <w:pPr>
        <w:spacing w:after="78" w:line="360" w:lineRule="auto"/>
        <w:rPr>
          <w:rFonts w:ascii="宋体" w:hAnsi="宋体" w:cs="宋体"/>
          <w:bCs/>
          <w:sz w:val="24"/>
        </w:rPr>
      </w:pPr>
      <w:r>
        <w:rPr>
          <w:rFonts w:hint="eastAsia" w:ascii="宋体" w:hAnsi="宋体" w:cs="宋体"/>
          <w:bCs/>
          <w:sz w:val="24"/>
        </w:rPr>
        <w:t>无需另行编制填写内容。</w:t>
      </w:r>
    </w:p>
    <w:p>
      <w:pPr>
        <w:spacing w:after="78" w:line="360" w:lineRule="auto"/>
        <w:rPr>
          <w:rFonts w:ascii="宋体" w:hAnsi="宋体" w:cs="宋体"/>
          <w:bCs/>
          <w:sz w:val="24"/>
        </w:rPr>
      </w:pPr>
      <w:r>
        <w:rPr>
          <w:rFonts w:hint="eastAsia" w:ascii="宋体" w:hAnsi="宋体" w:cs="宋体"/>
          <w:bCs/>
          <w:sz w:val="24"/>
        </w:rPr>
        <w:t>2.若响应情况优于招标要求，应作详细说明；“偏离情况”栏中根据响应情况填写，没有达到要求的填“负偏离”，达到要求的填“符合”，优于要求的填“正偏离”。</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26"/>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t>对项目需求的理解和响应；</w:t>
      </w:r>
    </w:p>
    <w:p>
      <w:pPr>
        <w:numPr>
          <w:ilvl w:val="0"/>
          <w:numId w:val="26"/>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t>工作安排科学性；</w:t>
      </w:r>
    </w:p>
    <w:p>
      <w:pPr>
        <w:numPr>
          <w:ilvl w:val="0"/>
          <w:numId w:val="26"/>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t>合理化建议；</w:t>
      </w: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26"/>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19"/>
    </w:p>
    <w:p>
      <w:pPr>
        <w:tabs>
          <w:tab w:val="left" w:pos="360"/>
        </w:tabs>
        <w:spacing w:line="300" w:lineRule="auto"/>
        <w:outlineLvl w:val="0"/>
        <w:rPr>
          <w:rFonts w:ascii="宋体" w:hAnsi="宋体" w:cs="宋体"/>
          <w:b/>
          <w:bCs/>
          <w:sz w:val="24"/>
        </w:rPr>
      </w:pPr>
      <w:r>
        <w:rPr>
          <w:rFonts w:hint="eastAsia" w:ascii="宋体" w:hAnsi="宋体" w:cs="宋体"/>
          <w:sz w:val="24"/>
          <w:lang w:val="fr-CH"/>
        </w:rPr>
        <w:br w:type="page"/>
      </w:r>
      <w:bookmarkStart w:id="25" w:name="_Toc742"/>
      <w:bookmarkStart w:id="26" w:name="_Toc6251"/>
      <w:r>
        <w:rPr>
          <w:rFonts w:hint="eastAsia" w:ascii="宋体" w:hAnsi="宋体" w:cs="宋体"/>
          <w:b/>
          <w:bCs/>
          <w:sz w:val="24"/>
        </w:rPr>
        <w:t>附件：相关政策</w:t>
      </w:r>
      <w:bookmarkEnd w:id="25"/>
      <w:bookmarkEnd w:id="26"/>
    </w:p>
    <w:p>
      <w:pPr>
        <w:tabs>
          <w:tab w:val="left" w:pos="360"/>
        </w:tabs>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10"/>
        <w:tabs>
          <w:tab w:val="left" w:pos="562"/>
          <w:tab w:val="left" w:pos="3372"/>
          <w:tab w:val="left" w:pos="3653"/>
        </w:tabs>
        <w:rPr>
          <w:rFonts w:ascii="宋体" w:hAnsi="宋体" w:cs="宋体"/>
        </w:rPr>
      </w:pPr>
    </w:p>
    <w:p>
      <w:pPr>
        <w:widowControl/>
        <w:shd w:val="clear" w:color="auto" w:fill="FFFFFF"/>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jc w:val="right"/>
        <w:rPr>
          <w:rFonts w:ascii="宋体" w:hAnsi="宋体" w:cs="宋体"/>
          <w:kern w:val="0"/>
          <w:sz w:val="24"/>
        </w:rPr>
      </w:pPr>
      <w:r>
        <w:rPr>
          <w:rFonts w:hint="eastAsia" w:ascii="宋体" w:hAnsi="宋体" w:cs="宋体"/>
          <w:kern w:val="0"/>
          <w:sz w:val="24"/>
        </w:rPr>
        <w:t>财  政  部</w:t>
      </w:r>
    </w:p>
    <w:p>
      <w:pPr>
        <w:widowControl/>
        <w:shd w:val="clear" w:color="auto" w:fill="FFFFFF"/>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jc w:val="left"/>
        <w:rPr>
          <w:rFonts w:ascii="宋体" w:hAnsi="宋体" w:cs="宋体"/>
          <w:kern w:val="0"/>
          <w:sz w:val="24"/>
        </w:rPr>
      </w:pPr>
    </w:p>
    <w:p>
      <w:pPr>
        <w:jc w:val="center"/>
        <w:rPr>
          <w:rFonts w:ascii="宋体" w:hAnsi="宋体" w:cs="宋体"/>
          <w:b/>
          <w:bCs/>
          <w:sz w:val="24"/>
        </w:rPr>
      </w:pPr>
      <w:r>
        <w:rPr>
          <w:rFonts w:hint="eastAsia" w:ascii="宋体" w:hAnsi="宋体" w:cs="宋体"/>
          <w:b/>
          <w:bCs/>
          <w:sz w:val="24"/>
        </w:rPr>
        <w:t>政府采购促进中小企业发展管理办法</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（二）在工程采购项目中，工程由中小企业承建，即工 程施工单位为中小企业；</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10"/>
        <w:tabs>
          <w:tab w:val="left" w:pos="562"/>
          <w:tab w:val="left" w:pos="3372"/>
          <w:tab w:val="left" w:pos="3653"/>
        </w:tabs>
        <w:ind w:firstLine="480" w:firstLineChars="200"/>
        <w:rPr>
          <w:rFonts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（四）框架协议采购项目；</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（一）将采购项目整体或者设置采购包专门面向中小企业采购；</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第十二条 采购项目涉及中小企业采购的，采购文件应当明确以下内容：</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（三）非预留份额的采购项目或者采购包，明确有关价格扣除比例或者价格分加分比例；</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（六）明确采购标的对应的中小企业划分标准所属行业；</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（七）法律法规和省级以上人民政府财政部门规定的其他事项。</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10"/>
        <w:tabs>
          <w:tab w:val="left" w:pos="562"/>
          <w:tab w:val="left" w:pos="3372"/>
          <w:tab w:val="left" w:pos="3653"/>
        </w:tabs>
        <w:spacing w:before="5"/>
        <w:rPr>
          <w:rFonts w:ascii="宋体" w:hAnsi="宋体" w:cs="宋体"/>
        </w:rPr>
      </w:pP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附：1.中小企业声明函</w:t>
      </w:r>
    </w:p>
    <w:p>
      <w:pPr>
        <w:pStyle w:val="10"/>
        <w:tabs>
          <w:tab w:val="left" w:pos="562"/>
          <w:tab w:val="left" w:pos="3372"/>
          <w:tab w:val="left" w:pos="3653"/>
        </w:tabs>
        <w:ind w:firstLine="960" w:firstLineChars="400"/>
        <w:rPr>
          <w:rFonts w:ascii="宋体" w:hAnsi="宋体" w:cs="宋体"/>
          <w:kern w:val="0"/>
        </w:rPr>
      </w:pPr>
      <w:r>
        <w:rPr>
          <w:rFonts w:hint="eastAsia" w:ascii="宋体" w:hAnsi="宋体" w:cs="宋体"/>
          <w:kern w:val="0"/>
        </w:rPr>
        <w:t>2.面向中小企业预留项目执行情况公告</w:t>
      </w:r>
    </w:p>
    <w:p>
      <w:pPr>
        <w:pStyle w:val="10"/>
        <w:tabs>
          <w:tab w:val="left" w:pos="562"/>
          <w:tab w:val="left" w:pos="3372"/>
          <w:tab w:val="left" w:pos="3653"/>
        </w:tabs>
        <w:spacing w:before="30"/>
        <w:rPr>
          <w:rFonts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jc w:val="center"/>
        <w:rPr>
          <w:rFonts w:ascii="宋体" w:hAnsi="宋体" w:cs="宋体"/>
          <w:sz w:val="24"/>
        </w:rPr>
      </w:pPr>
      <w:r>
        <w:rPr>
          <w:rFonts w:hint="eastAsia" w:ascii="宋体" w:hAnsi="宋体" w:cs="宋体"/>
          <w:sz w:val="24"/>
        </w:rPr>
        <w:t>中小企业声明函（货物）</w:t>
      </w:r>
    </w:p>
    <w:p>
      <w:pPr>
        <w:pStyle w:val="10"/>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10"/>
        <w:tabs>
          <w:tab w:val="left" w:pos="562"/>
          <w:tab w:val="left" w:pos="3372"/>
          <w:tab w:val="left" w:pos="3653"/>
        </w:tabs>
        <w:ind w:firstLine="480" w:firstLineChars="200"/>
        <w:rPr>
          <w:rFonts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10"/>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10"/>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10"/>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10"/>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10"/>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0"/>
        <w:tabs>
          <w:tab w:val="left" w:pos="562"/>
          <w:tab w:val="left" w:pos="3372"/>
          <w:tab w:val="left" w:pos="3653"/>
        </w:tabs>
        <w:ind w:left="4200" w:leftChars="2000"/>
        <w:rPr>
          <w:rFonts w:ascii="宋体" w:hAnsi="宋体" w:cs="宋体"/>
        </w:rPr>
      </w:pPr>
      <w:r>
        <w:rPr>
          <w:rFonts w:hint="eastAsia" w:ascii="宋体" w:hAnsi="宋体" w:cs="宋体"/>
          <w:spacing w:val="-2"/>
        </w:rPr>
        <w:t>企业名称（盖章）日期：</w:t>
      </w:r>
    </w:p>
    <w:p>
      <w:pPr>
        <w:pStyle w:val="10"/>
        <w:tabs>
          <w:tab w:val="left" w:pos="562"/>
          <w:tab w:val="left" w:pos="3372"/>
          <w:tab w:val="left" w:pos="3653"/>
        </w:tabs>
        <w:jc w:val="center"/>
        <w:rPr>
          <w:rFonts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10"/>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10"/>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10"/>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10"/>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10"/>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10"/>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10"/>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0"/>
        <w:tabs>
          <w:tab w:val="left" w:pos="562"/>
          <w:tab w:val="left" w:pos="3372"/>
          <w:tab w:val="left" w:pos="3653"/>
        </w:tabs>
        <w:ind w:left="4200" w:leftChars="2000"/>
        <w:rPr>
          <w:rFonts w:ascii="宋体" w:hAnsi="宋体" w:cs="宋体"/>
          <w:spacing w:val="-2"/>
        </w:rPr>
      </w:pPr>
    </w:p>
    <w:p>
      <w:pPr>
        <w:pStyle w:val="10"/>
        <w:tabs>
          <w:tab w:val="left" w:pos="562"/>
          <w:tab w:val="left" w:pos="3372"/>
          <w:tab w:val="left" w:pos="3653"/>
        </w:tabs>
        <w:ind w:left="4200" w:leftChars="2000"/>
        <w:rPr>
          <w:rFonts w:ascii="宋体" w:hAnsi="宋体" w:cs="宋体"/>
          <w:spacing w:val="-2"/>
        </w:rPr>
      </w:pPr>
      <w:r>
        <w:rPr>
          <w:rFonts w:hint="eastAsia" w:ascii="宋体" w:hAnsi="宋体" w:cs="宋体"/>
          <w:spacing w:val="-2"/>
        </w:rPr>
        <w:t>企业名称（盖章）日期：</w:t>
      </w:r>
    </w:p>
    <w:p>
      <w:pPr>
        <w:pStyle w:val="10"/>
        <w:tabs>
          <w:tab w:val="left" w:pos="562"/>
          <w:tab w:val="left" w:pos="3372"/>
          <w:tab w:val="left" w:pos="3653"/>
        </w:tabs>
        <w:rPr>
          <w:rFonts w:ascii="宋体" w:hAnsi="宋体" w:cs="宋体"/>
          <w:spacing w:val="-2"/>
        </w:rPr>
      </w:pPr>
    </w:p>
    <w:p>
      <w:pPr>
        <w:pStyle w:val="10"/>
        <w:tabs>
          <w:tab w:val="left" w:pos="562"/>
          <w:tab w:val="left" w:pos="3372"/>
          <w:tab w:val="left" w:pos="3653"/>
        </w:tabs>
        <w:spacing w:before="30"/>
        <w:rPr>
          <w:rFonts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10"/>
        <w:tabs>
          <w:tab w:val="left" w:pos="562"/>
          <w:tab w:val="left" w:pos="3372"/>
          <w:tab w:val="left" w:pos="3653"/>
        </w:tabs>
        <w:ind w:firstLine="480" w:firstLineChars="200"/>
        <w:rPr>
          <w:rFonts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10"/>
        <w:tabs>
          <w:tab w:val="left" w:pos="562"/>
          <w:tab w:val="left" w:pos="3372"/>
          <w:tab w:val="left" w:pos="3653"/>
        </w:tabs>
        <w:ind w:firstLine="480" w:firstLineChars="200"/>
        <w:rPr>
          <w:rFonts w:ascii="宋体" w:hAnsi="宋体" w:cs="宋体"/>
        </w:rPr>
      </w:pPr>
      <w:r>
        <w:rPr>
          <w:rFonts w:hint="eastAsia" w:ascii="宋体" w:hAnsi="宋体" w:cs="宋体"/>
        </w:rPr>
        <w:t>本部门（单位）××年预留项目面向中小企业采购共计××万元，其中，面向小微企业采购××万元，占××%。</w:t>
      </w:r>
    </w:p>
    <w:p>
      <w:pPr>
        <w:pStyle w:val="10"/>
        <w:tabs>
          <w:tab w:val="left" w:pos="562"/>
          <w:tab w:val="left" w:pos="3372"/>
          <w:tab w:val="left" w:pos="3653"/>
        </w:tabs>
        <w:jc w:val="center"/>
        <w:rPr>
          <w:rFonts w:ascii="宋体" w:hAnsi="宋体" w:cs="宋体"/>
          <w:b/>
          <w:bCs/>
        </w:rPr>
      </w:pPr>
      <w:r>
        <w:rPr>
          <w:rFonts w:hint="eastAsia" w:ascii="宋体" w:hAnsi="宋体" w:cs="宋体"/>
          <w:b/>
          <w:bCs/>
        </w:rPr>
        <w:t>面向中小企业预留项目明细</w:t>
      </w:r>
    </w:p>
    <w:tbl>
      <w:tblPr>
        <w:tblStyle w:val="24"/>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8"/>
              <w:jc w:val="center"/>
              <w:rPr>
                <w:b/>
                <w:sz w:val="24"/>
                <w:szCs w:val="24"/>
              </w:rPr>
            </w:pPr>
            <w:r>
              <w:rPr>
                <w:rFonts w:hint="eastAsia"/>
                <w:b/>
                <w:sz w:val="24"/>
                <w:szCs w:val="24"/>
              </w:rPr>
              <w:t>序号</w:t>
            </w:r>
          </w:p>
        </w:tc>
        <w:tc>
          <w:tcPr>
            <w:tcW w:w="1866" w:type="dxa"/>
            <w:vAlign w:val="center"/>
          </w:tcPr>
          <w:p>
            <w:pPr>
              <w:pStyle w:val="58"/>
              <w:jc w:val="center"/>
              <w:rPr>
                <w:b/>
                <w:sz w:val="24"/>
                <w:szCs w:val="24"/>
              </w:rPr>
            </w:pPr>
            <w:r>
              <w:rPr>
                <w:rFonts w:hint="eastAsia"/>
                <w:b/>
                <w:sz w:val="24"/>
                <w:szCs w:val="24"/>
              </w:rPr>
              <w:t>项目名称</w:t>
            </w:r>
          </w:p>
        </w:tc>
        <w:tc>
          <w:tcPr>
            <w:tcW w:w="2010" w:type="dxa"/>
            <w:vAlign w:val="center"/>
          </w:tcPr>
          <w:p>
            <w:pPr>
              <w:pStyle w:val="58"/>
              <w:jc w:val="center"/>
              <w:rPr>
                <w:b/>
                <w:sz w:val="24"/>
                <w:szCs w:val="24"/>
              </w:rPr>
            </w:pPr>
            <w:r>
              <w:rPr>
                <w:rFonts w:hint="eastAsia"/>
                <w:b/>
                <w:sz w:val="24"/>
                <w:szCs w:val="24"/>
              </w:rPr>
              <w:t>预留选项</w:t>
            </w:r>
          </w:p>
        </w:tc>
        <w:tc>
          <w:tcPr>
            <w:tcW w:w="2296" w:type="dxa"/>
            <w:vAlign w:val="center"/>
          </w:tcPr>
          <w:p>
            <w:pPr>
              <w:pStyle w:val="58"/>
              <w:jc w:val="center"/>
              <w:rPr>
                <w:b/>
                <w:sz w:val="24"/>
                <w:szCs w:val="24"/>
              </w:rPr>
            </w:pPr>
            <w:r>
              <w:rPr>
                <w:rFonts w:hint="eastAsia"/>
                <w:b/>
                <w:sz w:val="24"/>
                <w:szCs w:val="24"/>
              </w:rPr>
              <w:t>面向中小企业采购金额</w:t>
            </w:r>
          </w:p>
        </w:tc>
        <w:tc>
          <w:tcPr>
            <w:tcW w:w="1784" w:type="dxa"/>
            <w:vAlign w:val="center"/>
          </w:tcPr>
          <w:p>
            <w:pPr>
              <w:pStyle w:val="58"/>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58"/>
              <w:jc w:val="center"/>
              <w:rPr>
                <w:sz w:val="24"/>
                <w:szCs w:val="24"/>
              </w:rPr>
            </w:pPr>
          </w:p>
        </w:tc>
        <w:tc>
          <w:tcPr>
            <w:tcW w:w="1866" w:type="dxa"/>
            <w:tcBorders>
              <w:bottom w:val="nil"/>
            </w:tcBorders>
            <w:vAlign w:val="center"/>
          </w:tcPr>
          <w:p>
            <w:pPr>
              <w:pStyle w:val="58"/>
              <w:jc w:val="center"/>
              <w:rPr>
                <w:sz w:val="24"/>
                <w:szCs w:val="24"/>
              </w:rPr>
            </w:pPr>
          </w:p>
        </w:tc>
        <w:tc>
          <w:tcPr>
            <w:tcW w:w="2010" w:type="dxa"/>
            <w:tcBorders>
              <w:bottom w:val="nil"/>
            </w:tcBorders>
            <w:vAlign w:val="center"/>
          </w:tcPr>
          <w:p>
            <w:pPr>
              <w:pStyle w:val="58"/>
              <w:jc w:val="center"/>
              <w:rPr>
                <w:sz w:val="24"/>
                <w:szCs w:val="24"/>
              </w:rPr>
            </w:pPr>
            <w:r>
              <w:rPr>
                <w:rFonts w:hint="eastAsia"/>
                <w:sz w:val="24"/>
                <w:szCs w:val="24"/>
              </w:rPr>
              <w:t>（填写“采购项</w:t>
            </w:r>
          </w:p>
        </w:tc>
        <w:tc>
          <w:tcPr>
            <w:tcW w:w="2296" w:type="dxa"/>
            <w:tcBorders>
              <w:bottom w:val="nil"/>
            </w:tcBorders>
            <w:vAlign w:val="center"/>
          </w:tcPr>
          <w:p>
            <w:pPr>
              <w:pStyle w:val="58"/>
              <w:jc w:val="center"/>
              <w:rPr>
                <w:sz w:val="24"/>
                <w:szCs w:val="24"/>
              </w:rPr>
            </w:pPr>
          </w:p>
        </w:tc>
        <w:tc>
          <w:tcPr>
            <w:tcW w:w="1784" w:type="dxa"/>
            <w:vMerge w:val="restart"/>
            <w:vAlign w:val="center"/>
          </w:tcPr>
          <w:p>
            <w:pPr>
              <w:pStyle w:val="58"/>
              <w:jc w:val="center"/>
              <w:rPr>
                <w:sz w:val="24"/>
                <w:szCs w:val="24"/>
              </w:rPr>
            </w:pPr>
          </w:p>
          <w:p>
            <w:pPr>
              <w:pStyle w:val="58"/>
              <w:jc w:val="center"/>
              <w:rPr>
                <w:sz w:val="24"/>
                <w:szCs w:val="24"/>
              </w:rPr>
            </w:pPr>
          </w:p>
          <w:p>
            <w:pPr>
              <w:pStyle w:val="58"/>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p>
        </w:tc>
        <w:tc>
          <w:tcPr>
            <w:tcW w:w="2010" w:type="dxa"/>
            <w:tcBorders>
              <w:top w:val="nil"/>
              <w:bottom w:val="nil"/>
            </w:tcBorders>
            <w:vAlign w:val="center"/>
          </w:tcPr>
          <w:p>
            <w:pPr>
              <w:pStyle w:val="58"/>
              <w:jc w:val="center"/>
              <w:rPr>
                <w:sz w:val="24"/>
                <w:szCs w:val="24"/>
              </w:rPr>
            </w:pPr>
            <w:r>
              <w:rPr>
                <w:rFonts w:hint="eastAsia"/>
                <w:sz w:val="24"/>
                <w:szCs w:val="24"/>
              </w:rPr>
              <w:t>目整体预留”、</w:t>
            </w:r>
          </w:p>
        </w:tc>
        <w:tc>
          <w:tcPr>
            <w:tcW w:w="2296" w:type="dxa"/>
            <w:tcBorders>
              <w:top w:val="nil"/>
              <w:bottom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p>
        </w:tc>
        <w:tc>
          <w:tcPr>
            <w:tcW w:w="2010" w:type="dxa"/>
            <w:tcBorders>
              <w:top w:val="nil"/>
              <w:bottom w:val="nil"/>
            </w:tcBorders>
            <w:vAlign w:val="center"/>
          </w:tcPr>
          <w:p>
            <w:pPr>
              <w:pStyle w:val="58"/>
              <w:jc w:val="center"/>
              <w:rPr>
                <w:sz w:val="24"/>
                <w:szCs w:val="24"/>
              </w:rPr>
            </w:pPr>
            <w:r>
              <w:rPr>
                <w:rFonts w:hint="eastAsia"/>
                <w:sz w:val="24"/>
                <w:szCs w:val="24"/>
              </w:rPr>
              <w:t>“设置专门采购</w:t>
            </w:r>
          </w:p>
        </w:tc>
        <w:tc>
          <w:tcPr>
            <w:tcW w:w="2296" w:type="dxa"/>
            <w:tcBorders>
              <w:top w:val="nil"/>
              <w:bottom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r>
              <w:rPr>
                <w:rFonts w:hint="eastAsia"/>
                <w:sz w:val="24"/>
                <w:szCs w:val="24"/>
              </w:rPr>
              <w:t>（填写集中采</w:t>
            </w:r>
          </w:p>
        </w:tc>
        <w:tc>
          <w:tcPr>
            <w:tcW w:w="2010" w:type="dxa"/>
            <w:tcBorders>
              <w:top w:val="nil"/>
              <w:bottom w:val="nil"/>
            </w:tcBorders>
            <w:vAlign w:val="center"/>
          </w:tcPr>
          <w:p>
            <w:pPr>
              <w:pStyle w:val="58"/>
              <w:jc w:val="center"/>
              <w:rPr>
                <w:sz w:val="24"/>
                <w:szCs w:val="24"/>
              </w:rPr>
            </w:pPr>
            <w:r>
              <w:rPr>
                <w:rFonts w:hint="eastAsia"/>
                <w:sz w:val="24"/>
                <w:szCs w:val="24"/>
              </w:rPr>
              <w:t>包”、“要求以</w:t>
            </w:r>
          </w:p>
        </w:tc>
        <w:tc>
          <w:tcPr>
            <w:tcW w:w="2296" w:type="dxa"/>
            <w:tcBorders>
              <w:top w:val="nil"/>
              <w:bottom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r>
              <w:rPr>
                <w:rFonts w:hint="eastAsia"/>
                <w:sz w:val="24"/>
                <w:szCs w:val="24"/>
              </w:rPr>
              <w:t>购目录以内或</w:t>
            </w:r>
          </w:p>
        </w:tc>
        <w:tc>
          <w:tcPr>
            <w:tcW w:w="2010" w:type="dxa"/>
            <w:tcBorders>
              <w:top w:val="nil"/>
              <w:bottom w:val="nil"/>
            </w:tcBorders>
            <w:vAlign w:val="center"/>
          </w:tcPr>
          <w:p>
            <w:pPr>
              <w:pStyle w:val="58"/>
              <w:jc w:val="center"/>
              <w:rPr>
                <w:sz w:val="24"/>
                <w:szCs w:val="24"/>
              </w:rPr>
            </w:pPr>
            <w:r>
              <w:rPr>
                <w:rFonts w:hint="eastAsia"/>
                <w:sz w:val="24"/>
                <w:szCs w:val="24"/>
              </w:rPr>
              <w:t>联合体形式参</w:t>
            </w:r>
          </w:p>
        </w:tc>
        <w:tc>
          <w:tcPr>
            <w:tcW w:w="2296" w:type="dxa"/>
            <w:tcBorders>
              <w:top w:val="nil"/>
              <w:bottom w:val="nil"/>
            </w:tcBorders>
            <w:vAlign w:val="center"/>
          </w:tcPr>
          <w:p>
            <w:pPr>
              <w:pStyle w:val="58"/>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r>
              <w:rPr>
                <w:rFonts w:hint="eastAsia"/>
                <w:sz w:val="24"/>
                <w:szCs w:val="24"/>
              </w:rPr>
              <w:t>者采购限额标</w:t>
            </w:r>
          </w:p>
        </w:tc>
        <w:tc>
          <w:tcPr>
            <w:tcW w:w="2010" w:type="dxa"/>
            <w:tcBorders>
              <w:top w:val="nil"/>
              <w:bottom w:val="nil"/>
            </w:tcBorders>
            <w:vAlign w:val="center"/>
          </w:tcPr>
          <w:p>
            <w:pPr>
              <w:pStyle w:val="58"/>
              <w:jc w:val="center"/>
              <w:rPr>
                <w:sz w:val="24"/>
                <w:szCs w:val="24"/>
              </w:rPr>
            </w:pPr>
            <w:r>
              <w:rPr>
                <w:rFonts w:hint="eastAsia"/>
                <w:sz w:val="24"/>
                <w:szCs w:val="24"/>
              </w:rPr>
              <w:t>加”或者“要求</w:t>
            </w:r>
          </w:p>
        </w:tc>
        <w:tc>
          <w:tcPr>
            <w:tcW w:w="2296" w:type="dxa"/>
            <w:tcBorders>
              <w:top w:val="nil"/>
              <w:bottom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58"/>
              <w:jc w:val="center"/>
              <w:rPr>
                <w:sz w:val="24"/>
                <w:szCs w:val="24"/>
              </w:rPr>
            </w:pPr>
            <w:r>
              <w:rPr>
                <w:rFonts w:hint="eastAsia"/>
                <w:sz w:val="24"/>
                <w:szCs w:val="24"/>
              </w:rPr>
              <w:t>合同分包”，除</w:t>
            </w:r>
          </w:p>
        </w:tc>
        <w:tc>
          <w:tcPr>
            <w:tcW w:w="2296" w:type="dxa"/>
            <w:tcBorders>
              <w:top w:val="nil"/>
              <w:bottom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p>
        </w:tc>
        <w:tc>
          <w:tcPr>
            <w:tcW w:w="2010" w:type="dxa"/>
            <w:tcBorders>
              <w:top w:val="nil"/>
              <w:bottom w:val="nil"/>
            </w:tcBorders>
            <w:vAlign w:val="center"/>
          </w:tcPr>
          <w:p>
            <w:pPr>
              <w:pStyle w:val="58"/>
              <w:jc w:val="center"/>
              <w:rPr>
                <w:sz w:val="24"/>
                <w:szCs w:val="24"/>
              </w:rPr>
            </w:pPr>
            <w:r>
              <w:rPr>
                <w:rFonts w:hint="eastAsia"/>
                <w:sz w:val="24"/>
                <w:szCs w:val="24"/>
              </w:rPr>
              <w:t>“采购项目全部</w:t>
            </w:r>
          </w:p>
        </w:tc>
        <w:tc>
          <w:tcPr>
            <w:tcW w:w="2296" w:type="dxa"/>
            <w:tcBorders>
              <w:top w:val="nil"/>
              <w:bottom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p>
        </w:tc>
        <w:tc>
          <w:tcPr>
            <w:tcW w:w="2010" w:type="dxa"/>
            <w:tcBorders>
              <w:top w:val="nil"/>
              <w:bottom w:val="nil"/>
            </w:tcBorders>
            <w:vAlign w:val="center"/>
          </w:tcPr>
          <w:p>
            <w:pPr>
              <w:pStyle w:val="58"/>
              <w:jc w:val="center"/>
              <w:rPr>
                <w:sz w:val="24"/>
                <w:szCs w:val="24"/>
              </w:rPr>
            </w:pPr>
            <w:r>
              <w:rPr>
                <w:rFonts w:hint="eastAsia"/>
                <w:sz w:val="24"/>
                <w:szCs w:val="24"/>
              </w:rPr>
              <w:t>预留”外，还应</w:t>
            </w:r>
          </w:p>
        </w:tc>
        <w:tc>
          <w:tcPr>
            <w:tcW w:w="2296" w:type="dxa"/>
            <w:tcBorders>
              <w:top w:val="nil"/>
              <w:bottom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8"/>
              <w:jc w:val="center"/>
              <w:rPr>
                <w:sz w:val="24"/>
                <w:szCs w:val="24"/>
              </w:rPr>
            </w:pPr>
          </w:p>
        </w:tc>
        <w:tc>
          <w:tcPr>
            <w:tcW w:w="2010" w:type="dxa"/>
            <w:tcBorders>
              <w:top w:val="nil"/>
              <w:bottom w:val="nil"/>
            </w:tcBorders>
            <w:vAlign w:val="center"/>
          </w:tcPr>
          <w:p>
            <w:pPr>
              <w:pStyle w:val="58"/>
              <w:jc w:val="center"/>
              <w:rPr>
                <w:sz w:val="24"/>
                <w:szCs w:val="24"/>
              </w:rPr>
            </w:pPr>
            <w:r>
              <w:rPr>
                <w:rFonts w:hint="eastAsia"/>
                <w:sz w:val="24"/>
                <w:szCs w:val="24"/>
              </w:rPr>
              <w:t>当填写预留给中</w:t>
            </w:r>
          </w:p>
        </w:tc>
        <w:tc>
          <w:tcPr>
            <w:tcW w:w="2296" w:type="dxa"/>
            <w:tcBorders>
              <w:top w:val="nil"/>
              <w:bottom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58"/>
              <w:jc w:val="center"/>
              <w:rPr>
                <w:sz w:val="24"/>
                <w:szCs w:val="24"/>
              </w:rPr>
            </w:pPr>
          </w:p>
        </w:tc>
        <w:tc>
          <w:tcPr>
            <w:tcW w:w="2010" w:type="dxa"/>
            <w:tcBorders>
              <w:top w:val="nil"/>
            </w:tcBorders>
            <w:vAlign w:val="center"/>
          </w:tcPr>
          <w:p>
            <w:pPr>
              <w:pStyle w:val="58"/>
              <w:jc w:val="center"/>
              <w:rPr>
                <w:sz w:val="24"/>
                <w:szCs w:val="24"/>
              </w:rPr>
            </w:pPr>
            <w:r>
              <w:rPr>
                <w:rFonts w:hint="eastAsia"/>
                <w:sz w:val="24"/>
                <w:szCs w:val="24"/>
              </w:rPr>
              <w:t>小企业的比例）</w:t>
            </w:r>
          </w:p>
        </w:tc>
        <w:tc>
          <w:tcPr>
            <w:tcW w:w="2296" w:type="dxa"/>
            <w:tcBorders>
              <w:top w:val="nil"/>
            </w:tcBorders>
            <w:vAlign w:val="center"/>
          </w:tcPr>
          <w:p>
            <w:pPr>
              <w:pStyle w:val="58"/>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8"/>
              <w:jc w:val="center"/>
              <w:rPr>
                <w:sz w:val="24"/>
                <w:szCs w:val="24"/>
              </w:rPr>
            </w:pPr>
            <w:r>
              <w:rPr>
                <w:rFonts w:hint="eastAsia"/>
                <w:sz w:val="24"/>
                <w:szCs w:val="24"/>
              </w:rPr>
              <w:t>……</w:t>
            </w:r>
          </w:p>
        </w:tc>
        <w:tc>
          <w:tcPr>
            <w:tcW w:w="1866" w:type="dxa"/>
            <w:vAlign w:val="center"/>
          </w:tcPr>
          <w:p>
            <w:pPr>
              <w:pStyle w:val="58"/>
              <w:jc w:val="center"/>
              <w:rPr>
                <w:sz w:val="24"/>
                <w:szCs w:val="24"/>
              </w:rPr>
            </w:pPr>
            <w:r>
              <w:rPr>
                <w:rFonts w:hint="eastAsia"/>
                <w:sz w:val="24"/>
                <w:szCs w:val="24"/>
              </w:rPr>
              <w:t>……</w:t>
            </w:r>
          </w:p>
        </w:tc>
        <w:tc>
          <w:tcPr>
            <w:tcW w:w="2010" w:type="dxa"/>
            <w:vAlign w:val="center"/>
          </w:tcPr>
          <w:p>
            <w:pPr>
              <w:pStyle w:val="58"/>
              <w:jc w:val="center"/>
              <w:rPr>
                <w:sz w:val="24"/>
                <w:szCs w:val="24"/>
              </w:rPr>
            </w:pPr>
            <w:r>
              <w:rPr>
                <w:rFonts w:hint="eastAsia"/>
                <w:sz w:val="24"/>
                <w:szCs w:val="24"/>
              </w:rPr>
              <w:t>……</w:t>
            </w:r>
          </w:p>
        </w:tc>
        <w:tc>
          <w:tcPr>
            <w:tcW w:w="2296" w:type="dxa"/>
            <w:vAlign w:val="center"/>
          </w:tcPr>
          <w:p>
            <w:pPr>
              <w:pStyle w:val="58"/>
              <w:jc w:val="center"/>
              <w:rPr>
                <w:sz w:val="24"/>
                <w:szCs w:val="24"/>
              </w:rPr>
            </w:pPr>
            <w:r>
              <w:rPr>
                <w:rFonts w:hint="eastAsia"/>
                <w:sz w:val="24"/>
                <w:szCs w:val="24"/>
              </w:rPr>
              <w:t>……</w:t>
            </w:r>
          </w:p>
        </w:tc>
        <w:tc>
          <w:tcPr>
            <w:tcW w:w="1784" w:type="dxa"/>
            <w:vAlign w:val="center"/>
          </w:tcPr>
          <w:p>
            <w:pPr>
              <w:pStyle w:val="58"/>
              <w:jc w:val="center"/>
              <w:rPr>
                <w:sz w:val="24"/>
                <w:szCs w:val="24"/>
              </w:rPr>
            </w:pPr>
            <w:r>
              <w:rPr>
                <w:rFonts w:hint="eastAsia"/>
                <w:sz w:val="24"/>
                <w:szCs w:val="24"/>
              </w:rPr>
              <w:t>……</w:t>
            </w:r>
          </w:p>
        </w:tc>
      </w:tr>
    </w:tbl>
    <w:p>
      <w:pPr>
        <w:pStyle w:val="10"/>
        <w:tabs>
          <w:tab w:val="left" w:pos="562"/>
          <w:tab w:val="left" w:pos="3372"/>
          <w:tab w:val="left" w:pos="3653"/>
        </w:tabs>
        <w:spacing w:before="128"/>
        <w:ind w:left="4220" w:right="1843"/>
        <w:rPr>
          <w:rFonts w:ascii="宋体" w:hAnsi="宋体" w:cs="宋体"/>
        </w:rPr>
      </w:pPr>
      <w:r>
        <w:rPr>
          <w:rFonts w:hint="eastAsia" w:ascii="宋体" w:hAnsi="宋体" w:cs="宋体"/>
        </w:rPr>
        <w:t>部门（单位）名称： 日期：</w:t>
      </w:r>
    </w:p>
    <w:p>
      <w:pPr>
        <w:pStyle w:val="10"/>
        <w:tabs>
          <w:tab w:val="left" w:pos="562"/>
          <w:tab w:val="left" w:pos="3372"/>
          <w:tab w:val="left" w:pos="3653"/>
        </w:tabs>
        <w:rPr>
          <w:rFonts w:ascii="宋体" w:hAnsi="宋体" w:cs="宋体"/>
        </w:rPr>
      </w:pPr>
    </w:p>
    <w:p>
      <w:pPr>
        <w:pStyle w:val="21"/>
        <w:jc w:val="both"/>
        <w:outlineLvl w:val="9"/>
        <w:rPr>
          <w:rFonts w:ascii="宋体" w:hAnsi="宋体" w:eastAsia="宋体" w:cs="宋体"/>
          <w:sz w:val="24"/>
          <w:szCs w:val="24"/>
        </w:rPr>
      </w:pPr>
    </w:p>
    <w:p>
      <w:pPr>
        <w:tabs>
          <w:tab w:val="left" w:pos="360"/>
        </w:tabs>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10"/>
        <w:tabs>
          <w:tab w:val="left" w:pos="562"/>
          <w:tab w:val="left" w:pos="3372"/>
          <w:tab w:val="left" w:pos="3653"/>
        </w:tabs>
        <w:rPr>
          <w:rFonts w:ascii="宋体" w:hAnsi="宋体" w:cs="宋体"/>
        </w:rPr>
      </w:pPr>
    </w:p>
    <w:p>
      <w:pPr>
        <w:jc w:val="center"/>
        <w:rPr>
          <w:rFonts w:ascii="宋体" w:hAnsi="宋体" w:cs="宋体"/>
          <w:b/>
          <w:bCs/>
          <w:sz w:val="24"/>
        </w:rPr>
      </w:pPr>
      <w:r>
        <w:rPr>
          <w:rFonts w:hint="eastAsia" w:ascii="宋体" w:hAnsi="宋体" w:cs="宋体"/>
          <w:b/>
          <w:bCs/>
          <w:sz w:val="24"/>
        </w:rPr>
        <w:t>关于印发中小企业划型标准规定的通知</w:t>
      </w:r>
    </w:p>
    <w:p>
      <w:pPr>
        <w:jc w:val="center"/>
        <w:rPr>
          <w:rFonts w:ascii="宋体" w:hAnsi="宋体" w:cs="宋体"/>
          <w:sz w:val="24"/>
        </w:rPr>
      </w:pPr>
      <w:r>
        <w:rPr>
          <w:rFonts w:hint="eastAsia" w:ascii="宋体" w:hAnsi="宋体" w:cs="宋体"/>
          <w:sz w:val="24"/>
        </w:rPr>
        <w:t>工信部联企业〔2011〕300号</w:t>
      </w:r>
    </w:p>
    <w:p>
      <w:pPr>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sz w:val="24"/>
        </w:rPr>
      </w:pPr>
      <w:r>
        <w:rPr>
          <w:rFonts w:hint="eastAsia" w:ascii="宋体" w:hAnsi="宋体" w:cs="宋体"/>
          <w:sz w:val="24"/>
        </w:rPr>
        <w:t>工业和信息化部 国家统计局</w:t>
      </w:r>
    </w:p>
    <w:p>
      <w:pPr>
        <w:ind w:firstLine="480" w:firstLineChars="200"/>
        <w:jc w:val="right"/>
        <w:rPr>
          <w:rFonts w:ascii="宋体" w:hAnsi="宋体" w:cs="宋体"/>
          <w:sz w:val="24"/>
        </w:rPr>
      </w:pPr>
      <w:r>
        <w:rPr>
          <w:rFonts w:hint="eastAsia" w:ascii="宋体" w:hAnsi="宋体" w:cs="宋体"/>
          <w:sz w:val="24"/>
        </w:rPr>
        <w:t>国家发展和改革委员会 财政部</w:t>
      </w:r>
    </w:p>
    <w:p>
      <w:pPr>
        <w:ind w:firstLine="480" w:firstLineChars="200"/>
        <w:jc w:val="right"/>
        <w:rPr>
          <w:rFonts w:ascii="宋体" w:hAnsi="宋体" w:cs="宋体"/>
          <w:sz w:val="24"/>
        </w:rPr>
      </w:pPr>
      <w:r>
        <w:rPr>
          <w:rFonts w:hint="eastAsia" w:ascii="宋体" w:hAnsi="宋体" w:cs="宋体"/>
          <w:sz w:val="24"/>
        </w:rPr>
        <w:t>二○一一年六月十八日</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jc w:val="center"/>
        <w:rPr>
          <w:rFonts w:ascii="宋体" w:hAnsi="宋体" w:cs="宋体"/>
          <w:b/>
          <w:bCs/>
          <w:sz w:val="24"/>
        </w:rPr>
      </w:pPr>
      <w:r>
        <w:rPr>
          <w:rFonts w:hint="eastAsia" w:ascii="宋体" w:hAnsi="宋体" w:cs="宋体"/>
          <w:b/>
          <w:bCs/>
          <w:sz w:val="24"/>
        </w:rPr>
        <w:t xml:space="preserve">中小企业划型标准规定 </w:t>
      </w:r>
    </w:p>
    <w:p>
      <w:pPr>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21"/>
        <w:jc w:val="both"/>
        <w:outlineLvl w:val="9"/>
        <w:rPr>
          <w:rFonts w:ascii="宋体" w:hAnsi="宋体" w:eastAsia="宋体" w:cs="宋体"/>
          <w:sz w:val="24"/>
          <w:szCs w:val="24"/>
        </w:rPr>
      </w:pPr>
    </w:p>
    <w:p>
      <w:pPr>
        <w:pStyle w:val="21"/>
        <w:jc w:val="both"/>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jc w:val="center"/>
        <w:rPr>
          <w:rFonts w:ascii="宋体" w:hAnsi="宋体" w:cs="宋体"/>
          <w:b/>
          <w:bCs/>
          <w:kern w:val="0"/>
          <w:sz w:val="24"/>
        </w:rPr>
      </w:pPr>
    </w:p>
    <w:p>
      <w:pPr>
        <w:widowControl/>
        <w:shd w:val="clear" w:color="auto" w:fill="FFFFFF"/>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附表：</w:t>
      </w:r>
    </w:p>
    <w:p>
      <w:pPr>
        <w:widowControl/>
        <w:jc w:val="center"/>
        <w:rPr>
          <w:rFonts w:ascii="宋体" w:hAnsi="宋体" w:cs="宋体"/>
          <w:kern w:val="0"/>
          <w:sz w:val="24"/>
        </w:rPr>
      </w:pPr>
      <w:r>
        <w:rPr>
          <w:rFonts w:hint="eastAsia" w:ascii="宋体" w:hAnsi="宋体" w:cs="宋体"/>
          <w:kern w:val="0"/>
          <w:sz w:val="24"/>
        </w:rPr>
        <w:t>统计上大中小微型企业划分标准</w:t>
      </w:r>
    </w:p>
    <w:tbl>
      <w:tblPr>
        <w:tblStyle w:val="2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jc w:val="center"/>
              <w:rPr>
                <w:rFonts w:ascii="宋体" w:hAnsi="宋体" w:cs="宋体"/>
                <w:b/>
                <w:bCs/>
                <w:kern w:val="0"/>
                <w:sz w:val="24"/>
              </w:rPr>
            </w:pPr>
            <w:r>
              <w:rPr>
                <w:rFonts w:hint="eastAsia" w:ascii="宋体" w:hAnsi="宋体" w:cs="宋体"/>
                <w:b/>
                <w:bCs/>
                <w:kern w:val="0"/>
                <w:sz w:val="24"/>
              </w:rPr>
              <w:t>计量</w:t>
            </w:r>
          </w:p>
          <w:p>
            <w:pPr>
              <w:widowControl/>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0"/>
        <w:tabs>
          <w:tab w:val="left" w:pos="562"/>
          <w:tab w:val="left" w:pos="3372"/>
          <w:tab w:val="left" w:pos="3653"/>
        </w:tabs>
        <w:rPr>
          <w:rFonts w:ascii="宋体" w:hAnsi="宋体" w:cs="宋体"/>
        </w:rPr>
      </w:pPr>
    </w:p>
    <w:p>
      <w:pPr>
        <w:pStyle w:val="21"/>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rPr>
          <w:rFonts w:ascii="宋体" w:hAnsi="宋体" w:cs="宋体"/>
          <w:bCs/>
          <w:sz w:val="24"/>
        </w:rPr>
      </w:pPr>
    </w:p>
    <w:p>
      <w:pPr>
        <w:shd w:val="clear" w:color="auto" w:fill="FFFFFF"/>
        <w:rPr>
          <w:rFonts w:ascii="宋体" w:hAnsi="宋体" w:cs="宋体"/>
          <w:bCs/>
          <w:sz w:val="24"/>
        </w:rPr>
      </w:pPr>
      <w:r>
        <w:rPr>
          <w:rFonts w:hint="eastAsia" w:ascii="宋体" w:hAnsi="宋体" w:cs="宋体"/>
          <w:bCs/>
          <w:sz w:val="24"/>
        </w:rPr>
        <w:t>关于促进残疾人就业政府采购政策的通知</w:t>
      </w:r>
    </w:p>
    <w:p>
      <w:pPr>
        <w:pStyle w:val="20"/>
        <w:shd w:val="clear" w:color="auto" w:fill="FFFFFF"/>
        <w:spacing w:before="0" w:beforeAutospacing="0" w:after="0" w:afterAutospacing="0"/>
        <w:jc w:val="center"/>
      </w:pPr>
      <w:r>
        <w:rPr>
          <w:rFonts w:hint="eastAsia"/>
        </w:rPr>
        <w:t>　　</w:t>
      </w:r>
      <w:bookmarkStart w:id="27" w:name="sendNo"/>
      <w:r>
        <w:rPr>
          <w:rFonts w:hint="eastAsia"/>
        </w:rPr>
        <w:t>财库〔</w:t>
      </w:r>
      <w:bookmarkEnd w:id="27"/>
      <w:r>
        <w:rPr>
          <w:rFonts w:hint="eastAsia"/>
        </w:rPr>
        <w:t>2017〕141号</w:t>
      </w:r>
    </w:p>
    <w:p>
      <w:pPr>
        <w:pStyle w:val="20"/>
        <w:shd w:val="clear" w:color="auto" w:fill="FFFFFF"/>
        <w:spacing w:before="0" w:beforeAutospacing="0" w:after="0" w:afterAutospacing="0"/>
        <w:ind w:firstLine="480" w:firstLineChars="200"/>
      </w:pPr>
      <w:bookmarkStart w:id="28"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8"/>
      <w:r>
        <w:rPr>
          <w:rFonts w:hint="eastAsia"/>
        </w:rPr>
        <w:t>：</w:t>
      </w:r>
    </w:p>
    <w:p>
      <w:pPr>
        <w:pStyle w:val="20"/>
        <w:shd w:val="clear" w:color="auto" w:fill="FFFFFF"/>
        <w:spacing w:before="0" w:beforeAutospacing="0" w:after="0" w:afterAutospacing="0"/>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20"/>
        <w:shd w:val="clear" w:color="auto" w:fill="FFFFFF"/>
        <w:spacing w:before="0" w:beforeAutospacing="0" w:after="0" w:afterAutospacing="0"/>
        <w:ind w:firstLine="480" w:firstLineChars="200"/>
      </w:pPr>
      <w:r>
        <w:rPr>
          <w:rFonts w:hint="eastAsia"/>
        </w:rPr>
        <w:t>一、享受政府采购支持政策的残疾人福利性单位应当同时满足以下条件：</w:t>
      </w:r>
    </w:p>
    <w:p>
      <w:pPr>
        <w:pStyle w:val="20"/>
        <w:shd w:val="clear" w:color="auto" w:fill="FFFFFF"/>
        <w:spacing w:before="0" w:beforeAutospacing="0" w:after="0" w:afterAutospacing="0"/>
        <w:ind w:firstLine="480" w:firstLineChars="200"/>
      </w:pPr>
      <w:r>
        <w:rPr>
          <w:rFonts w:hint="eastAsia"/>
        </w:rPr>
        <w:t>（一）安置的残疾人占本单位在职职工人数的比例不低于25%（含25%），并且安置的残疾人人数不少于10人（含10人）；</w:t>
      </w:r>
    </w:p>
    <w:p>
      <w:pPr>
        <w:pStyle w:val="20"/>
        <w:shd w:val="clear" w:color="auto" w:fill="FFFFFF"/>
        <w:spacing w:before="0" w:beforeAutospacing="0" w:after="0" w:afterAutospacing="0"/>
        <w:ind w:firstLine="480" w:firstLineChars="200"/>
      </w:pPr>
      <w:r>
        <w:rPr>
          <w:rFonts w:hint="eastAsia"/>
        </w:rPr>
        <w:t>（二）依法与安置的每位残疾人签订了一年以上（含一年）的劳动合同或服务协议；</w:t>
      </w:r>
    </w:p>
    <w:p>
      <w:pPr>
        <w:pStyle w:val="20"/>
        <w:shd w:val="clear" w:color="auto" w:fill="FFFFFF"/>
        <w:spacing w:before="0" w:beforeAutospacing="0" w:after="0" w:afterAutospacing="0"/>
        <w:ind w:firstLine="480" w:firstLineChars="200"/>
      </w:pPr>
      <w:r>
        <w:rPr>
          <w:rFonts w:hint="eastAsia"/>
        </w:rPr>
        <w:t>（三）为安置的每位残疾人按月足额缴纳了基本养老保险、基本医疗保险、失业保险、工伤保险和生育保险等社会保险费；</w:t>
      </w:r>
    </w:p>
    <w:p>
      <w:pPr>
        <w:pStyle w:val="20"/>
        <w:shd w:val="clear" w:color="auto" w:fill="FFFFFF"/>
        <w:spacing w:before="0" w:beforeAutospacing="0" w:after="0" w:afterAutospacing="0"/>
        <w:ind w:firstLine="480" w:firstLineChars="200"/>
      </w:pPr>
      <w:r>
        <w:rPr>
          <w:rFonts w:hint="eastAsia"/>
        </w:rPr>
        <w:t>（四）通过银行等金融机构向安置的每位残疾人，按月支付了不低于单位所在区县适用的经省级人民政府批准的月最低工资标准的工资；</w:t>
      </w:r>
    </w:p>
    <w:p>
      <w:pPr>
        <w:pStyle w:val="20"/>
        <w:shd w:val="clear" w:color="auto" w:fill="FFFFFF"/>
        <w:spacing w:before="0" w:beforeAutospacing="0" w:after="0" w:afterAutospacing="0"/>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20"/>
        <w:shd w:val="clear" w:color="auto" w:fill="FFFFFF"/>
        <w:spacing w:before="0" w:beforeAutospacing="0" w:after="0" w:afterAutospacing="0"/>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spacing w:before="0" w:beforeAutospacing="0" w:after="0" w:afterAutospacing="0"/>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0"/>
        <w:shd w:val="clear" w:color="auto" w:fill="FFFFFF"/>
        <w:spacing w:before="0" w:beforeAutospacing="0" w:after="0" w:afterAutospacing="0"/>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20"/>
        <w:shd w:val="clear" w:color="auto" w:fill="FFFFFF"/>
        <w:spacing w:before="0" w:beforeAutospacing="0" w:after="0" w:afterAutospacing="0"/>
        <w:ind w:firstLine="480" w:firstLineChars="200"/>
      </w:pPr>
      <w:r>
        <w:rPr>
          <w:rFonts w:hint="eastAsia"/>
        </w:rPr>
        <w:t>供应商提供的《残疾人福利性单位声明函》与事实不符的，依照《政府采购法》第七十七条第一款的规定追究法律责任。</w:t>
      </w:r>
    </w:p>
    <w:p>
      <w:pPr>
        <w:pStyle w:val="20"/>
        <w:shd w:val="clear" w:color="auto" w:fill="FFFFFF"/>
        <w:spacing w:before="0" w:beforeAutospacing="0" w:after="0" w:afterAutospacing="0"/>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0"/>
        <w:shd w:val="clear" w:color="auto" w:fill="FFFFFF"/>
        <w:spacing w:before="0" w:beforeAutospacing="0" w:after="0" w:afterAutospacing="0"/>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20"/>
        <w:shd w:val="clear" w:color="auto" w:fill="FFFFFF"/>
        <w:spacing w:before="0" w:beforeAutospacing="0" w:after="0" w:afterAutospacing="0" w:line="560" w:lineRule="exact"/>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0"/>
        <w:shd w:val="clear" w:color="auto" w:fill="FFFFFF"/>
        <w:spacing w:before="0" w:beforeAutospacing="0" w:after="0" w:afterAutospacing="0" w:line="560" w:lineRule="exact"/>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0"/>
        <w:shd w:val="clear" w:color="auto" w:fill="FFFFFF"/>
        <w:spacing w:before="0" w:beforeAutospacing="0" w:after="0" w:afterAutospacing="0" w:line="560" w:lineRule="exact"/>
        <w:ind w:firstLine="480" w:firstLineChars="200"/>
      </w:pPr>
      <w:r>
        <w:rPr>
          <w:rFonts w:hint="eastAsia"/>
        </w:rPr>
        <w:t>七、本通知自2017年10月1日起执行。</w:t>
      </w:r>
    </w:p>
    <w:p>
      <w:pPr>
        <w:pStyle w:val="20"/>
        <w:shd w:val="clear" w:color="auto" w:fill="FFFFFF"/>
        <w:spacing w:before="0" w:beforeAutospacing="0" w:after="0" w:afterAutospacing="0" w:line="560" w:lineRule="exact"/>
        <w:ind w:firstLine="480" w:firstLineChars="200"/>
        <w:jc w:val="right"/>
      </w:pPr>
      <w:r>
        <w:rPr>
          <w:rFonts w:hint="eastAsia"/>
        </w:rPr>
        <w:t>财政部 民政部 中国残疾人联合会</w:t>
      </w:r>
    </w:p>
    <w:p>
      <w:pPr>
        <w:pStyle w:val="20"/>
        <w:shd w:val="clear" w:color="auto" w:fill="FFFFFF"/>
        <w:spacing w:before="0" w:beforeAutospacing="0" w:after="0" w:afterAutospacing="0" w:line="560" w:lineRule="exact"/>
        <w:ind w:firstLine="480" w:firstLineChars="200"/>
        <w:jc w:val="right"/>
      </w:pPr>
      <w:r>
        <w:rPr>
          <w:rFonts w:hint="eastAsia"/>
        </w:rPr>
        <w:t>2017年8月22日</w:t>
      </w:r>
    </w:p>
    <w:p>
      <w:pPr>
        <w:pStyle w:val="59"/>
        <w:shd w:val="clear" w:color="auto" w:fill="FFFFFF"/>
        <w:spacing w:before="0" w:beforeAutospacing="0" w:after="0" w:afterAutospacing="0" w:line="560" w:lineRule="exact"/>
        <w:jc w:val="both"/>
      </w:pPr>
      <w:r>
        <w:rPr>
          <w:rFonts w:hint="eastAsia"/>
        </w:rPr>
        <w:t>附件：</w:t>
      </w:r>
    </w:p>
    <w:p>
      <w:pPr>
        <w:pStyle w:val="59"/>
        <w:shd w:val="clear" w:color="auto" w:fill="FFFFFF"/>
        <w:spacing w:before="0" w:beforeAutospacing="0" w:after="0" w:afterAutospacing="0" w:line="560" w:lineRule="exact"/>
        <w:ind w:firstLine="482" w:firstLineChars="200"/>
        <w:jc w:val="center"/>
      </w:pPr>
      <w:r>
        <w:rPr>
          <w:rStyle w:val="41"/>
          <w:rFonts w:hint="eastAsia"/>
          <w:b/>
          <w:bCs/>
        </w:rPr>
        <w:t>残疾人福利性单位声明函</w:t>
      </w:r>
    </w:p>
    <w:p>
      <w:pPr>
        <w:pStyle w:val="59"/>
        <w:shd w:val="clear" w:color="auto" w:fill="FFFFFF"/>
        <w:spacing w:before="0" w:beforeAutospacing="0" w:after="0" w:afterAutospacing="0" w:line="560" w:lineRule="exact"/>
        <w:ind w:firstLine="480" w:firstLineChars="200"/>
        <w:jc w:val="both"/>
      </w:pPr>
      <w:r>
        <w:rPr>
          <w:rStyle w:val="41"/>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9"/>
        <w:shd w:val="clear" w:color="auto" w:fill="FFFFFF"/>
        <w:spacing w:before="0" w:beforeAutospacing="0" w:after="0" w:afterAutospacing="0" w:line="560" w:lineRule="exact"/>
        <w:ind w:firstLine="480" w:firstLineChars="200"/>
        <w:jc w:val="both"/>
      </w:pPr>
      <w:r>
        <w:rPr>
          <w:rStyle w:val="41"/>
          <w:rFonts w:hint="eastAsia"/>
        </w:rPr>
        <w:t>本单位对上述声明的真实性负责。如有虚假，将依法承担相应责任。</w:t>
      </w:r>
    </w:p>
    <w:p>
      <w:pPr>
        <w:pStyle w:val="59"/>
        <w:shd w:val="clear" w:color="auto" w:fill="FFFFFF"/>
        <w:spacing w:before="0" w:beforeAutospacing="0" w:after="0" w:afterAutospacing="0" w:line="560" w:lineRule="exact"/>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59"/>
        <w:shd w:val="clear" w:color="auto" w:fill="FFFFFF"/>
        <w:spacing w:before="0" w:beforeAutospacing="0" w:after="0" w:afterAutospacing="0" w:line="560" w:lineRule="exact"/>
        <w:ind w:right="2100" w:rightChars="1000"/>
        <w:jc w:val="right"/>
      </w:pPr>
      <w:r>
        <w:rPr>
          <w:rStyle w:val="41"/>
          <w:rFonts w:hint="eastAsia"/>
        </w:rPr>
        <w:t>单位名称（盖章）：</w:t>
      </w:r>
    </w:p>
    <w:p>
      <w:pPr>
        <w:pStyle w:val="59"/>
        <w:shd w:val="clear" w:color="auto" w:fill="FFFFFF"/>
        <w:spacing w:before="0" w:beforeAutospacing="0" w:after="0" w:afterAutospacing="0" w:line="560" w:lineRule="exact"/>
        <w:ind w:right="2100" w:rightChars="1000"/>
        <w:jc w:val="right"/>
        <w:rPr>
          <w:lang w:val="fr-CH"/>
        </w:rPr>
      </w:pPr>
      <w:r>
        <w:rPr>
          <w:rStyle w:val="41"/>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sectPr>
      <w:headerReference r:id="rId9" w:type="first"/>
      <w:headerReference r:id="rId7" w:type="default"/>
      <w:headerReference r:id="rId8"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1026"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adj="10800">
          <v:path/>
          <v:fill on="t" focussize="0,0"/>
          <v:stroke on="f"/>
          <v:imagedata o:title=""/>
          <o:lock v:ext="edit" text="f"/>
          <v:textpath on="t" fitshape="t" fitpath="t" trim="f" xscale="f" string="洪琦20230828" style="font-family:&amp;quot;font-size:1pt;v-text-align:center;"/>
        </v:shape>
      </w:pict>
    </w:r>
  </w:p>
  <w:p/>
  <w:p>
    <w:r>
      <w:pict>
        <v:shape id="_x0000_s4099"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717"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CBCC1AFC"/>
    <w:multiLevelType w:val="singleLevel"/>
    <w:tmpl w:val="CBCC1AFC"/>
    <w:lvl w:ilvl="0" w:tentative="0">
      <w:start w:val="5"/>
      <w:numFmt w:val="decimal"/>
      <w:suff w:val="nothing"/>
      <w:lvlText w:val="%1、"/>
      <w:lvlJc w:val="left"/>
    </w:lvl>
  </w:abstractNum>
  <w:abstractNum w:abstractNumId="6">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7">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8">
    <w:nsid w:val="0C4314CD"/>
    <w:multiLevelType w:val="multilevel"/>
    <w:tmpl w:val="0C4314CD"/>
    <w:lvl w:ilvl="0" w:tentative="0">
      <w:start w:val="1"/>
      <w:numFmt w:val="decimal"/>
      <w:lvlText w:val="11.%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D1A4D2E"/>
    <w:multiLevelType w:val="multilevel"/>
    <w:tmpl w:val="0D1A4D2E"/>
    <w:lvl w:ilvl="0" w:tentative="0">
      <w:start w:val="1"/>
      <w:numFmt w:val="decimal"/>
      <w:lvlText w:val="4.%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D7911A0"/>
    <w:multiLevelType w:val="multilevel"/>
    <w:tmpl w:val="0D7911A0"/>
    <w:lvl w:ilvl="0" w:tentative="0">
      <w:start w:val="1"/>
      <w:numFmt w:val="decimal"/>
      <w:lvlText w:val="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EF03AA9"/>
    <w:multiLevelType w:val="multilevel"/>
    <w:tmpl w:val="0EF03AA9"/>
    <w:lvl w:ilvl="0" w:tentative="0">
      <w:start w:val="1"/>
      <w:numFmt w:val="decimal"/>
      <w:lvlText w:val="5.%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C9E6DAA"/>
    <w:multiLevelType w:val="multilevel"/>
    <w:tmpl w:val="1C9E6DAA"/>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91E0B5F"/>
    <w:multiLevelType w:val="multilevel"/>
    <w:tmpl w:val="291E0B5F"/>
    <w:lvl w:ilvl="0" w:tentative="0">
      <w:start w:val="1"/>
      <w:numFmt w:val="decimal"/>
      <w:lvlText w:val="1.%1."/>
      <w:lvlJc w:val="left"/>
      <w:pPr>
        <w:ind w:left="976" w:hanging="420"/>
      </w:pPr>
      <w:rPr>
        <w:rFonts w:hint="eastAsia"/>
      </w:rPr>
    </w:lvl>
    <w:lvl w:ilvl="1" w:tentative="0">
      <w:start w:val="1"/>
      <w:numFmt w:val="decimal"/>
      <w:lvlText w:val="1.%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6A8119E"/>
    <w:multiLevelType w:val="multilevel"/>
    <w:tmpl w:val="36A8119E"/>
    <w:lvl w:ilvl="0" w:tentative="0">
      <w:start w:val="1"/>
      <w:numFmt w:val="decimal"/>
      <w:lvlText w:val="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6">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7">
    <w:nsid w:val="56CD33F8"/>
    <w:multiLevelType w:val="multilevel"/>
    <w:tmpl w:val="56CD33F8"/>
    <w:lvl w:ilvl="0" w:tentative="0">
      <w:start w:val="1"/>
      <w:numFmt w:val="decimal"/>
      <w:lvlText w:val="3.%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9">
    <w:nsid w:val="5D390EAC"/>
    <w:multiLevelType w:val="multilevel"/>
    <w:tmpl w:val="5D390EAC"/>
    <w:lvl w:ilvl="0" w:tentative="0">
      <w:start w:val="1"/>
      <w:numFmt w:val="japaneseCounting"/>
      <w:lvlText w:val="第%1条"/>
      <w:lvlJc w:val="left"/>
      <w:pPr>
        <w:ind w:left="975" w:hanging="975"/>
      </w:pPr>
      <w:rPr>
        <w:rFonts w:hint="default"/>
        <w:lang w:val="en-US"/>
      </w:rPr>
    </w:lvl>
    <w:lvl w:ilvl="1" w:tentative="0">
      <w:start w:val="1"/>
      <w:numFmt w:val="decimal"/>
      <w:lvlText w:val="%2、"/>
      <w:lvlJc w:val="left"/>
      <w:pPr>
        <w:ind w:left="1305" w:hanging="88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21">
    <w:nsid w:val="5EE37B1E"/>
    <w:multiLevelType w:val="multilevel"/>
    <w:tmpl w:val="5EE37B1E"/>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6ECFD46"/>
    <w:multiLevelType w:val="multilevel"/>
    <w:tmpl w:val="66ECFD46"/>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6A55C31"/>
    <w:multiLevelType w:val="multilevel"/>
    <w:tmpl w:val="76A55C31"/>
    <w:lvl w:ilvl="0" w:tentative="0">
      <w:start w:val="1"/>
      <w:numFmt w:val="decimal"/>
      <w:lvlText w:val="10.%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ACA9400"/>
    <w:multiLevelType w:val="multilevel"/>
    <w:tmpl w:val="7ACA9400"/>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25"/>
  </w:num>
  <w:num w:numId="2">
    <w:abstractNumId w:val="4"/>
  </w:num>
  <w:num w:numId="3">
    <w:abstractNumId w:val="2"/>
  </w:num>
  <w:num w:numId="4">
    <w:abstractNumId w:val="15"/>
  </w:num>
  <w:num w:numId="5">
    <w:abstractNumId w:val="5"/>
  </w:num>
  <w:num w:numId="6">
    <w:abstractNumId w:val="19"/>
  </w:num>
  <w:num w:numId="7">
    <w:abstractNumId w:val="13"/>
  </w:num>
  <w:num w:numId="8">
    <w:abstractNumId w:val="14"/>
  </w:num>
  <w:num w:numId="9">
    <w:abstractNumId w:val="17"/>
  </w:num>
  <w:num w:numId="10">
    <w:abstractNumId w:val="9"/>
  </w:num>
  <w:num w:numId="11">
    <w:abstractNumId w:val="11"/>
  </w:num>
  <w:num w:numId="12">
    <w:abstractNumId w:val="23"/>
  </w:num>
  <w:num w:numId="13">
    <w:abstractNumId w:val="8"/>
  </w:num>
  <w:num w:numId="14">
    <w:abstractNumId w:val="10"/>
  </w:num>
  <w:num w:numId="15">
    <w:abstractNumId w:val="16"/>
  </w:num>
  <w:num w:numId="16">
    <w:abstractNumId w:val="24"/>
  </w:num>
  <w:num w:numId="17">
    <w:abstractNumId w:val="22"/>
  </w:num>
  <w:num w:numId="18">
    <w:abstractNumId w:val="12"/>
  </w:num>
  <w:num w:numId="19">
    <w:abstractNumId w:val="21"/>
  </w:num>
  <w:num w:numId="20">
    <w:abstractNumId w:val="3"/>
  </w:num>
  <w:num w:numId="21">
    <w:abstractNumId w:val="6"/>
  </w:num>
  <w:num w:numId="22">
    <w:abstractNumId w:val="1"/>
  </w:num>
  <w:num w:numId="23">
    <w:abstractNumId w:val="0"/>
  </w:num>
  <w:num w:numId="24">
    <w:abstractNumId w:val="7"/>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9"/>
  <w:noPunctuationKerning w:val="1"/>
  <w:characterSpacingControl w:val="compressPunctuation"/>
  <w:hdrShapeDefaults>
    <o:shapelayout v:ext="edit">
      <o:idmap v:ext="edit" data="1,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lMjc1MTAwMTI1N2VkMjgwNDE2NzMxYmJhYTNkODEifQ=="/>
  </w:docVars>
  <w:rsids>
    <w:rsidRoot w:val="009019AF"/>
    <w:rsid w:val="00000AB9"/>
    <w:rsid w:val="00001264"/>
    <w:rsid w:val="00002550"/>
    <w:rsid w:val="000025BB"/>
    <w:rsid w:val="00005408"/>
    <w:rsid w:val="00005C84"/>
    <w:rsid w:val="00005EDA"/>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3DBE"/>
    <w:rsid w:val="00023F1B"/>
    <w:rsid w:val="00023F96"/>
    <w:rsid w:val="00025386"/>
    <w:rsid w:val="000310A0"/>
    <w:rsid w:val="00031A87"/>
    <w:rsid w:val="00032953"/>
    <w:rsid w:val="000362D8"/>
    <w:rsid w:val="00037AD7"/>
    <w:rsid w:val="0004035A"/>
    <w:rsid w:val="000448BB"/>
    <w:rsid w:val="0004493F"/>
    <w:rsid w:val="00045D2D"/>
    <w:rsid w:val="00046AA0"/>
    <w:rsid w:val="000504B2"/>
    <w:rsid w:val="0005157D"/>
    <w:rsid w:val="00053D50"/>
    <w:rsid w:val="00056078"/>
    <w:rsid w:val="00061AD3"/>
    <w:rsid w:val="000654B8"/>
    <w:rsid w:val="000658CA"/>
    <w:rsid w:val="00067C19"/>
    <w:rsid w:val="00070BB4"/>
    <w:rsid w:val="00073E2D"/>
    <w:rsid w:val="00074F8A"/>
    <w:rsid w:val="00077143"/>
    <w:rsid w:val="0007743F"/>
    <w:rsid w:val="000775E5"/>
    <w:rsid w:val="0007776A"/>
    <w:rsid w:val="000804FB"/>
    <w:rsid w:val="00083B7F"/>
    <w:rsid w:val="00084902"/>
    <w:rsid w:val="00084D07"/>
    <w:rsid w:val="000860DA"/>
    <w:rsid w:val="00091357"/>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60A6"/>
    <w:rsid w:val="000C668D"/>
    <w:rsid w:val="000D1981"/>
    <w:rsid w:val="000D3B08"/>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3B46"/>
    <w:rsid w:val="00115349"/>
    <w:rsid w:val="001167AD"/>
    <w:rsid w:val="001170A0"/>
    <w:rsid w:val="00120A5A"/>
    <w:rsid w:val="00120C0F"/>
    <w:rsid w:val="001219F1"/>
    <w:rsid w:val="00122CC4"/>
    <w:rsid w:val="00126551"/>
    <w:rsid w:val="0012710C"/>
    <w:rsid w:val="001275D1"/>
    <w:rsid w:val="00130AF0"/>
    <w:rsid w:val="00132F8C"/>
    <w:rsid w:val="001332D0"/>
    <w:rsid w:val="00133771"/>
    <w:rsid w:val="00133C62"/>
    <w:rsid w:val="001346D2"/>
    <w:rsid w:val="00136645"/>
    <w:rsid w:val="001406F7"/>
    <w:rsid w:val="0014088D"/>
    <w:rsid w:val="00140C84"/>
    <w:rsid w:val="00140EDA"/>
    <w:rsid w:val="00141099"/>
    <w:rsid w:val="00143555"/>
    <w:rsid w:val="001436F3"/>
    <w:rsid w:val="0014556B"/>
    <w:rsid w:val="00146167"/>
    <w:rsid w:val="001514CE"/>
    <w:rsid w:val="0015317C"/>
    <w:rsid w:val="00153705"/>
    <w:rsid w:val="001538BF"/>
    <w:rsid w:val="00154411"/>
    <w:rsid w:val="00154906"/>
    <w:rsid w:val="00154B7E"/>
    <w:rsid w:val="0016036A"/>
    <w:rsid w:val="001623FD"/>
    <w:rsid w:val="00163506"/>
    <w:rsid w:val="00163757"/>
    <w:rsid w:val="00163F61"/>
    <w:rsid w:val="001646EE"/>
    <w:rsid w:val="00164AAE"/>
    <w:rsid w:val="001650A6"/>
    <w:rsid w:val="00165F2A"/>
    <w:rsid w:val="00166C2F"/>
    <w:rsid w:val="0017292D"/>
    <w:rsid w:val="00172EFE"/>
    <w:rsid w:val="00173067"/>
    <w:rsid w:val="001747B5"/>
    <w:rsid w:val="00174DDD"/>
    <w:rsid w:val="00175536"/>
    <w:rsid w:val="001755DC"/>
    <w:rsid w:val="00175AC4"/>
    <w:rsid w:val="00175CB9"/>
    <w:rsid w:val="00176A4E"/>
    <w:rsid w:val="00181D99"/>
    <w:rsid w:val="00182CEB"/>
    <w:rsid w:val="00184339"/>
    <w:rsid w:val="00184E1A"/>
    <w:rsid w:val="00185C7A"/>
    <w:rsid w:val="00185EB3"/>
    <w:rsid w:val="00185EB5"/>
    <w:rsid w:val="00187AD2"/>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AE4"/>
    <w:rsid w:val="00221D29"/>
    <w:rsid w:val="0022369F"/>
    <w:rsid w:val="002236AC"/>
    <w:rsid w:val="00226910"/>
    <w:rsid w:val="00227013"/>
    <w:rsid w:val="00227611"/>
    <w:rsid w:val="00230164"/>
    <w:rsid w:val="0023084A"/>
    <w:rsid w:val="00231F8E"/>
    <w:rsid w:val="002329DD"/>
    <w:rsid w:val="0023484D"/>
    <w:rsid w:val="00235A6F"/>
    <w:rsid w:val="00236028"/>
    <w:rsid w:val="002360BE"/>
    <w:rsid w:val="0023643C"/>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B3"/>
    <w:rsid w:val="002625C9"/>
    <w:rsid w:val="00265059"/>
    <w:rsid w:val="00265BA1"/>
    <w:rsid w:val="00266382"/>
    <w:rsid w:val="00267B4D"/>
    <w:rsid w:val="00270F9D"/>
    <w:rsid w:val="002716C3"/>
    <w:rsid w:val="002729B1"/>
    <w:rsid w:val="002752B7"/>
    <w:rsid w:val="00275862"/>
    <w:rsid w:val="0028095D"/>
    <w:rsid w:val="00281CA3"/>
    <w:rsid w:val="002823F6"/>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3118"/>
    <w:rsid w:val="002B31C6"/>
    <w:rsid w:val="002B3FB9"/>
    <w:rsid w:val="002B6BC2"/>
    <w:rsid w:val="002B72CA"/>
    <w:rsid w:val="002C0C27"/>
    <w:rsid w:val="002C12DB"/>
    <w:rsid w:val="002C2855"/>
    <w:rsid w:val="002C2F38"/>
    <w:rsid w:val="002C3E37"/>
    <w:rsid w:val="002C3E46"/>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4545"/>
    <w:rsid w:val="002E5238"/>
    <w:rsid w:val="002E54A2"/>
    <w:rsid w:val="002E5F35"/>
    <w:rsid w:val="002E712D"/>
    <w:rsid w:val="002F02F7"/>
    <w:rsid w:val="002F1552"/>
    <w:rsid w:val="002F182B"/>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50AD"/>
    <w:rsid w:val="003351C0"/>
    <w:rsid w:val="00337499"/>
    <w:rsid w:val="00340293"/>
    <w:rsid w:val="00341688"/>
    <w:rsid w:val="00342C53"/>
    <w:rsid w:val="003447B9"/>
    <w:rsid w:val="003451ED"/>
    <w:rsid w:val="00347226"/>
    <w:rsid w:val="00347B54"/>
    <w:rsid w:val="00350137"/>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4778"/>
    <w:rsid w:val="0036525F"/>
    <w:rsid w:val="00365824"/>
    <w:rsid w:val="00365943"/>
    <w:rsid w:val="00365BD9"/>
    <w:rsid w:val="0036636F"/>
    <w:rsid w:val="00366B0E"/>
    <w:rsid w:val="0037011B"/>
    <w:rsid w:val="00370895"/>
    <w:rsid w:val="003709A3"/>
    <w:rsid w:val="003712C9"/>
    <w:rsid w:val="0037224D"/>
    <w:rsid w:val="00372277"/>
    <w:rsid w:val="00373AEE"/>
    <w:rsid w:val="003743AE"/>
    <w:rsid w:val="00376445"/>
    <w:rsid w:val="003769E0"/>
    <w:rsid w:val="0037735E"/>
    <w:rsid w:val="00377E2C"/>
    <w:rsid w:val="00377EB2"/>
    <w:rsid w:val="00380A7E"/>
    <w:rsid w:val="00382B6F"/>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5F60"/>
    <w:rsid w:val="003A6D29"/>
    <w:rsid w:val="003A730A"/>
    <w:rsid w:val="003B09B8"/>
    <w:rsid w:val="003B1AC0"/>
    <w:rsid w:val="003B3EBA"/>
    <w:rsid w:val="003B4350"/>
    <w:rsid w:val="003B5DDA"/>
    <w:rsid w:val="003B772F"/>
    <w:rsid w:val="003B7C7D"/>
    <w:rsid w:val="003C0CCB"/>
    <w:rsid w:val="003C4528"/>
    <w:rsid w:val="003C4C91"/>
    <w:rsid w:val="003C546C"/>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31FD"/>
    <w:rsid w:val="004034B6"/>
    <w:rsid w:val="00403EF1"/>
    <w:rsid w:val="004046FC"/>
    <w:rsid w:val="00404D76"/>
    <w:rsid w:val="00405AC8"/>
    <w:rsid w:val="0040689F"/>
    <w:rsid w:val="00412D52"/>
    <w:rsid w:val="0041373D"/>
    <w:rsid w:val="00413E34"/>
    <w:rsid w:val="00414EF7"/>
    <w:rsid w:val="004150C5"/>
    <w:rsid w:val="004155E0"/>
    <w:rsid w:val="0041589D"/>
    <w:rsid w:val="00416022"/>
    <w:rsid w:val="004168D6"/>
    <w:rsid w:val="0041725B"/>
    <w:rsid w:val="00417958"/>
    <w:rsid w:val="0042262D"/>
    <w:rsid w:val="00422715"/>
    <w:rsid w:val="00423C6D"/>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6384"/>
    <w:rsid w:val="00436974"/>
    <w:rsid w:val="004404BE"/>
    <w:rsid w:val="00441097"/>
    <w:rsid w:val="004415B2"/>
    <w:rsid w:val="004423D8"/>
    <w:rsid w:val="00442EF7"/>
    <w:rsid w:val="00443C41"/>
    <w:rsid w:val="0044409E"/>
    <w:rsid w:val="00444FB9"/>
    <w:rsid w:val="004460A3"/>
    <w:rsid w:val="00446A78"/>
    <w:rsid w:val="00447BF8"/>
    <w:rsid w:val="00447E2A"/>
    <w:rsid w:val="0045026A"/>
    <w:rsid w:val="004522B9"/>
    <w:rsid w:val="00454536"/>
    <w:rsid w:val="00454BAD"/>
    <w:rsid w:val="00454F67"/>
    <w:rsid w:val="004552CE"/>
    <w:rsid w:val="0045577C"/>
    <w:rsid w:val="00456B6E"/>
    <w:rsid w:val="00457D87"/>
    <w:rsid w:val="00457DC2"/>
    <w:rsid w:val="004603DC"/>
    <w:rsid w:val="00460CB4"/>
    <w:rsid w:val="00461CBD"/>
    <w:rsid w:val="00461FD4"/>
    <w:rsid w:val="00463217"/>
    <w:rsid w:val="00464CDA"/>
    <w:rsid w:val="00465972"/>
    <w:rsid w:val="00470679"/>
    <w:rsid w:val="00470E0F"/>
    <w:rsid w:val="0047141F"/>
    <w:rsid w:val="00472505"/>
    <w:rsid w:val="00473A5A"/>
    <w:rsid w:val="00474A3B"/>
    <w:rsid w:val="00475DBB"/>
    <w:rsid w:val="00476E2E"/>
    <w:rsid w:val="004816F9"/>
    <w:rsid w:val="00481DEF"/>
    <w:rsid w:val="00482E09"/>
    <w:rsid w:val="004832E4"/>
    <w:rsid w:val="00484F92"/>
    <w:rsid w:val="004852A1"/>
    <w:rsid w:val="00485C04"/>
    <w:rsid w:val="00490EC1"/>
    <w:rsid w:val="00491106"/>
    <w:rsid w:val="00491CAC"/>
    <w:rsid w:val="004926D4"/>
    <w:rsid w:val="00495CC5"/>
    <w:rsid w:val="00496591"/>
    <w:rsid w:val="00497C89"/>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CEB"/>
    <w:rsid w:val="004E3D12"/>
    <w:rsid w:val="004E46C3"/>
    <w:rsid w:val="004E4A84"/>
    <w:rsid w:val="004E4FF3"/>
    <w:rsid w:val="004E5BE8"/>
    <w:rsid w:val="004F0AE7"/>
    <w:rsid w:val="004F11DC"/>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356"/>
    <w:rsid w:val="0052301E"/>
    <w:rsid w:val="00523446"/>
    <w:rsid w:val="005245DD"/>
    <w:rsid w:val="00524CA4"/>
    <w:rsid w:val="005258E6"/>
    <w:rsid w:val="0052679B"/>
    <w:rsid w:val="005272F0"/>
    <w:rsid w:val="00527665"/>
    <w:rsid w:val="00531A71"/>
    <w:rsid w:val="00531B43"/>
    <w:rsid w:val="00533EB1"/>
    <w:rsid w:val="00535FF6"/>
    <w:rsid w:val="0053650C"/>
    <w:rsid w:val="00536F68"/>
    <w:rsid w:val="00540557"/>
    <w:rsid w:val="005408BD"/>
    <w:rsid w:val="00540989"/>
    <w:rsid w:val="00541D8D"/>
    <w:rsid w:val="0054268B"/>
    <w:rsid w:val="00543889"/>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6722"/>
    <w:rsid w:val="005775FA"/>
    <w:rsid w:val="00580066"/>
    <w:rsid w:val="00581B5E"/>
    <w:rsid w:val="00582B1E"/>
    <w:rsid w:val="00582D3C"/>
    <w:rsid w:val="00583067"/>
    <w:rsid w:val="00585082"/>
    <w:rsid w:val="005859B9"/>
    <w:rsid w:val="00585F90"/>
    <w:rsid w:val="005865A3"/>
    <w:rsid w:val="00590CBC"/>
    <w:rsid w:val="005914EE"/>
    <w:rsid w:val="00592323"/>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5F6"/>
    <w:rsid w:val="005B2EB2"/>
    <w:rsid w:val="005B302C"/>
    <w:rsid w:val="005B70FC"/>
    <w:rsid w:val="005B71AC"/>
    <w:rsid w:val="005B735E"/>
    <w:rsid w:val="005B7414"/>
    <w:rsid w:val="005C0689"/>
    <w:rsid w:val="005C0AB0"/>
    <w:rsid w:val="005C0F37"/>
    <w:rsid w:val="005C2900"/>
    <w:rsid w:val="005C331C"/>
    <w:rsid w:val="005C6884"/>
    <w:rsid w:val="005C7A34"/>
    <w:rsid w:val="005C7B6F"/>
    <w:rsid w:val="005D123B"/>
    <w:rsid w:val="005D23B1"/>
    <w:rsid w:val="005D2572"/>
    <w:rsid w:val="005D4603"/>
    <w:rsid w:val="005D479F"/>
    <w:rsid w:val="005D59F7"/>
    <w:rsid w:val="005D66A2"/>
    <w:rsid w:val="005D7F57"/>
    <w:rsid w:val="005E04AE"/>
    <w:rsid w:val="005E05B2"/>
    <w:rsid w:val="005E0A8B"/>
    <w:rsid w:val="005E0E75"/>
    <w:rsid w:val="005E241E"/>
    <w:rsid w:val="005E3EC7"/>
    <w:rsid w:val="005E3F87"/>
    <w:rsid w:val="005E4BA3"/>
    <w:rsid w:val="005E4E75"/>
    <w:rsid w:val="005E5ADE"/>
    <w:rsid w:val="005E608E"/>
    <w:rsid w:val="005E719A"/>
    <w:rsid w:val="005E74F7"/>
    <w:rsid w:val="005F14A6"/>
    <w:rsid w:val="005F1A60"/>
    <w:rsid w:val="005F33FF"/>
    <w:rsid w:val="005F3BD4"/>
    <w:rsid w:val="005F4019"/>
    <w:rsid w:val="005F6E17"/>
    <w:rsid w:val="005F7129"/>
    <w:rsid w:val="005F7F22"/>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FB3"/>
    <w:rsid w:val="0066269E"/>
    <w:rsid w:val="00662740"/>
    <w:rsid w:val="0066274D"/>
    <w:rsid w:val="00663A41"/>
    <w:rsid w:val="006652F6"/>
    <w:rsid w:val="006723E0"/>
    <w:rsid w:val="006725A4"/>
    <w:rsid w:val="00673A0D"/>
    <w:rsid w:val="006773E9"/>
    <w:rsid w:val="0068015D"/>
    <w:rsid w:val="00680904"/>
    <w:rsid w:val="00680988"/>
    <w:rsid w:val="00682FB8"/>
    <w:rsid w:val="006832C3"/>
    <w:rsid w:val="006835FE"/>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14C8"/>
    <w:rsid w:val="006B18E5"/>
    <w:rsid w:val="006B25F9"/>
    <w:rsid w:val="006B27FA"/>
    <w:rsid w:val="006B2B70"/>
    <w:rsid w:val="006B5448"/>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C2C"/>
    <w:rsid w:val="006D30F4"/>
    <w:rsid w:val="006D5BA3"/>
    <w:rsid w:val="006D5C6C"/>
    <w:rsid w:val="006D60CD"/>
    <w:rsid w:val="006D6447"/>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D90"/>
    <w:rsid w:val="00717E6D"/>
    <w:rsid w:val="007214E0"/>
    <w:rsid w:val="00721A3A"/>
    <w:rsid w:val="007224FA"/>
    <w:rsid w:val="00722D1B"/>
    <w:rsid w:val="00723846"/>
    <w:rsid w:val="0072397F"/>
    <w:rsid w:val="00724D59"/>
    <w:rsid w:val="007250E6"/>
    <w:rsid w:val="00727BA4"/>
    <w:rsid w:val="007308B5"/>
    <w:rsid w:val="007314BA"/>
    <w:rsid w:val="007337B2"/>
    <w:rsid w:val="00734AEA"/>
    <w:rsid w:val="00735921"/>
    <w:rsid w:val="00735E0C"/>
    <w:rsid w:val="00743E60"/>
    <w:rsid w:val="00745CE5"/>
    <w:rsid w:val="00746F9B"/>
    <w:rsid w:val="0074716C"/>
    <w:rsid w:val="007516F1"/>
    <w:rsid w:val="007531A8"/>
    <w:rsid w:val="00754C20"/>
    <w:rsid w:val="00755463"/>
    <w:rsid w:val="00756A27"/>
    <w:rsid w:val="00756CD3"/>
    <w:rsid w:val="007572AD"/>
    <w:rsid w:val="007573B6"/>
    <w:rsid w:val="00762138"/>
    <w:rsid w:val="007621BD"/>
    <w:rsid w:val="00762B98"/>
    <w:rsid w:val="0076356C"/>
    <w:rsid w:val="0076373B"/>
    <w:rsid w:val="00763BAA"/>
    <w:rsid w:val="00763F0C"/>
    <w:rsid w:val="00767AFF"/>
    <w:rsid w:val="00767FBB"/>
    <w:rsid w:val="00770015"/>
    <w:rsid w:val="00772439"/>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8006A4"/>
    <w:rsid w:val="008008CF"/>
    <w:rsid w:val="00803D4C"/>
    <w:rsid w:val="00805F72"/>
    <w:rsid w:val="00807C0B"/>
    <w:rsid w:val="00811327"/>
    <w:rsid w:val="0081276F"/>
    <w:rsid w:val="00815165"/>
    <w:rsid w:val="008160F8"/>
    <w:rsid w:val="00816E37"/>
    <w:rsid w:val="00823A16"/>
    <w:rsid w:val="00824DF1"/>
    <w:rsid w:val="00825BEF"/>
    <w:rsid w:val="00825ED9"/>
    <w:rsid w:val="00830E7F"/>
    <w:rsid w:val="008311A1"/>
    <w:rsid w:val="00831619"/>
    <w:rsid w:val="00832487"/>
    <w:rsid w:val="008335B2"/>
    <w:rsid w:val="00833911"/>
    <w:rsid w:val="0084124D"/>
    <w:rsid w:val="00841879"/>
    <w:rsid w:val="00843C71"/>
    <w:rsid w:val="008454A4"/>
    <w:rsid w:val="00846DAF"/>
    <w:rsid w:val="0085003F"/>
    <w:rsid w:val="0085018B"/>
    <w:rsid w:val="0085028C"/>
    <w:rsid w:val="008510F6"/>
    <w:rsid w:val="008522CA"/>
    <w:rsid w:val="00852B92"/>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7721"/>
    <w:rsid w:val="008907CD"/>
    <w:rsid w:val="00890ECE"/>
    <w:rsid w:val="0089198E"/>
    <w:rsid w:val="00891D55"/>
    <w:rsid w:val="00891FA1"/>
    <w:rsid w:val="008954D2"/>
    <w:rsid w:val="00895C37"/>
    <w:rsid w:val="00897D53"/>
    <w:rsid w:val="008A03AD"/>
    <w:rsid w:val="008A07BF"/>
    <w:rsid w:val="008A0D98"/>
    <w:rsid w:val="008A1C3D"/>
    <w:rsid w:val="008A420B"/>
    <w:rsid w:val="008A452F"/>
    <w:rsid w:val="008A5692"/>
    <w:rsid w:val="008A57AB"/>
    <w:rsid w:val="008A5ED4"/>
    <w:rsid w:val="008A5FEB"/>
    <w:rsid w:val="008A7737"/>
    <w:rsid w:val="008B0019"/>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2B9C"/>
    <w:rsid w:val="008D2DE9"/>
    <w:rsid w:val="008D3C44"/>
    <w:rsid w:val="008D3DBB"/>
    <w:rsid w:val="008D4284"/>
    <w:rsid w:val="008D42E1"/>
    <w:rsid w:val="008D454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5AA"/>
    <w:rsid w:val="00910308"/>
    <w:rsid w:val="00910581"/>
    <w:rsid w:val="00911BC5"/>
    <w:rsid w:val="009130A5"/>
    <w:rsid w:val="00913484"/>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36276"/>
    <w:rsid w:val="0094127A"/>
    <w:rsid w:val="00945D87"/>
    <w:rsid w:val="0094755C"/>
    <w:rsid w:val="0095029C"/>
    <w:rsid w:val="009522C3"/>
    <w:rsid w:val="00952C04"/>
    <w:rsid w:val="00953701"/>
    <w:rsid w:val="009543BB"/>
    <w:rsid w:val="00954A4A"/>
    <w:rsid w:val="00955AA4"/>
    <w:rsid w:val="00956170"/>
    <w:rsid w:val="009562AA"/>
    <w:rsid w:val="00956353"/>
    <w:rsid w:val="00956FD7"/>
    <w:rsid w:val="00957C9E"/>
    <w:rsid w:val="00963565"/>
    <w:rsid w:val="00964584"/>
    <w:rsid w:val="00966B98"/>
    <w:rsid w:val="009708B0"/>
    <w:rsid w:val="00971CE3"/>
    <w:rsid w:val="00972009"/>
    <w:rsid w:val="00972C03"/>
    <w:rsid w:val="009731EA"/>
    <w:rsid w:val="00973B60"/>
    <w:rsid w:val="009747EF"/>
    <w:rsid w:val="009753C9"/>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176C"/>
    <w:rsid w:val="009A3C00"/>
    <w:rsid w:val="009A47FB"/>
    <w:rsid w:val="009B01BE"/>
    <w:rsid w:val="009B1469"/>
    <w:rsid w:val="009B1912"/>
    <w:rsid w:val="009B1C1A"/>
    <w:rsid w:val="009B287E"/>
    <w:rsid w:val="009B37D7"/>
    <w:rsid w:val="009B4689"/>
    <w:rsid w:val="009B5049"/>
    <w:rsid w:val="009B5D3B"/>
    <w:rsid w:val="009B7FFA"/>
    <w:rsid w:val="009C01CF"/>
    <w:rsid w:val="009C4972"/>
    <w:rsid w:val="009C49B9"/>
    <w:rsid w:val="009C761C"/>
    <w:rsid w:val="009D23A1"/>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0BF"/>
    <w:rsid w:val="00A013D1"/>
    <w:rsid w:val="00A029A2"/>
    <w:rsid w:val="00A02C70"/>
    <w:rsid w:val="00A033FF"/>
    <w:rsid w:val="00A03665"/>
    <w:rsid w:val="00A05064"/>
    <w:rsid w:val="00A0638E"/>
    <w:rsid w:val="00A114F5"/>
    <w:rsid w:val="00A141EA"/>
    <w:rsid w:val="00A15110"/>
    <w:rsid w:val="00A17654"/>
    <w:rsid w:val="00A2021A"/>
    <w:rsid w:val="00A204DE"/>
    <w:rsid w:val="00A2122E"/>
    <w:rsid w:val="00A21AD4"/>
    <w:rsid w:val="00A23789"/>
    <w:rsid w:val="00A24A0C"/>
    <w:rsid w:val="00A31873"/>
    <w:rsid w:val="00A318EE"/>
    <w:rsid w:val="00A321E1"/>
    <w:rsid w:val="00A33B72"/>
    <w:rsid w:val="00A33FA7"/>
    <w:rsid w:val="00A34EDB"/>
    <w:rsid w:val="00A35026"/>
    <w:rsid w:val="00A41160"/>
    <w:rsid w:val="00A41E8D"/>
    <w:rsid w:val="00A43142"/>
    <w:rsid w:val="00A43BA9"/>
    <w:rsid w:val="00A43F3C"/>
    <w:rsid w:val="00A44296"/>
    <w:rsid w:val="00A447E9"/>
    <w:rsid w:val="00A448BA"/>
    <w:rsid w:val="00A44B90"/>
    <w:rsid w:val="00A45CD7"/>
    <w:rsid w:val="00A46022"/>
    <w:rsid w:val="00A4670B"/>
    <w:rsid w:val="00A46BC3"/>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63EC"/>
    <w:rsid w:val="00AA6BFC"/>
    <w:rsid w:val="00AA7A44"/>
    <w:rsid w:val="00AB198F"/>
    <w:rsid w:val="00AB20A8"/>
    <w:rsid w:val="00AB20E3"/>
    <w:rsid w:val="00AB25D7"/>
    <w:rsid w:val="00AB25F5"/>
    <w:rsid w:val="00AB5498"/>
    <w:rsid w:val="00AB6932"/>
    <w:rsid w:val="00AB789C"/>
    <w:rsid w:val="00AB7BD4"/>
    <w:rsid w:val="00AC24D1"/>
    <w:rsid w:val="00AC35BF"/>
    <w:rsid w:val="00AC42E2"/>
    <w:rsid w:val="00AC67C8"/>
    <w:rsid w:val="00AD3476"/>
    <w:rsid w:val="00AD34E1"/>
    <w:rsid w:val="00AD3978"/>
    <w:rsid w:val="00AD4360"/>
    <w:rsid w:val="00AD4A13"/>
    <w:rsid w:val="00AD4A66"/>
    <w:rsid w:val="00AD5B16"/>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3620"/>
    <w:rsid w:val="00AF45E4"/>
    <w:rsid w:val="00AF4C7F"/>
    <w:rsid w:val="00AF54B1"/>
    <w:rsid w:val="00AF5718"/>
    <w:rsid w:val="00AF6D81"/>
    <w:rsid w:val="00AF7085"/>
    <w:rsid w:val="00AF717C"/>
    <w:rsid w:val="00B01635"/>
    <w:rsid w:val="00B03247"/>
    <w:rsid w:val="00B03299"/>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9B6"/>
    <w:rsid w:val="00B20DC1"/>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4842"/>
    <w:rsid w:val="00B56B48"/>
    <w:rsid w:val="00B60226"/>
    <w:rsid w:val="00B64AC5"/>
    <w:rsid w:val="00B6539D"/>
    <w:rsid w:val="00B65CE0"/>
    <w:rsid w:val="00B66D2B"/>
    <w:rsid w:val="00B67326"/>
    <w:rsid w:val="00B676F1"/>
    <w:rsid w:val="00B71F5A"/>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2294"/>
    <w:rsid w:val="00BE36E8"/>
    <w:rsid w:val="00BE5D8E"/>
    <w:rsid w:val="00BE66DC"/>
    <w:rsid w:val="00BE7CAA"/>
    <w:rsid w:val="00BF183C"/>
    <w:rsid w:val="00BF1CC9"/>
    <w:rsid w:val="00BF21A6"/>
    <w:rsid w:val="00BF31A9"/>
    <w:rsid w:val="00BF3F04"/>
    <w:rsid w:val="00BF4D00"/>
    <w:rsid w:val="00BF4D72"/>
    <w:rsid w:val="00BF5CD6"/>
    <w:rsid w:val="00BF7953"/>
    <w:rsid w:val="00BF7ECF"/>
    <w:rsid w:val="00C00471"/>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C8E"/>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1C98"/>
    <w:rsid w:val="00C93A49"/>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8F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46BCF"/>
    <w:rsid w:val="00D500EB"/>
    <w:rsid w:val="00D507D5"/>
    <w:rsid w:val="00D51EE8"/>
    <w:rsid w:val="00D52120"/>
    <w:rsid w:val="00D521DF"/>
    <w:rsid w:val="00D55A8D"/>
    <w:rsid w:val="00D567A2"/>
    <w:rsid w:val="00D56AD3"/>
    <w:rsid w:val="00D57810"/>
    <w:rsid w:val="00D60FE1"/>
    <w:rsid w:val="00D62A8C"/>
    <w:rsid w:val="00D65614"/>
    <w:rsid w:val="00D65DDC"/>
    <w:rsid w:val="00D70244"/>
    <w:rsid w:val="00D702A6"/>
    <w:rsid w:val="00D70E60"/>
    <w:rsid w:val="00D72580"/>
    <w:rsid w:val="00D725FF"/>
    <w:rsid w:val="00D7278A"/>
    <w:rsid w:val="00D72DAB"/>
    <w:rsid w:val="00D73274"/>
    <w:rsid w:val="00D74C9F"/>
    <w:rsid w:val="00D75092"/>
    <w:rsid w:val="00D750B4"/>
    <w:rsid w:val="00D77F60"/>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5CCE"/>
    <w:rsid w:val="00DA71ED"/>
    <w:rsid w:val="00DB0540"/>
    <w:rsid w:val="00DB59F2"/>
    <w:rsid w:val="00DB63F7"/>
    <w:rsid w:val="00DB77DA"/>
    <w:rsid w:val="00DC1B05"/>
    <w:rsid w:val="00DC3756"/>
    <w:rsid w:val="00DC3945"/>
    <w:rsid w:val="00DC3D67"/>
    <w:rsid w:val="00DC4130"/>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03AA"/>
    <w:rsid w:val="00DF156F"/>
    <w:rsid w:val="00DF1B2A"/>
    <w:rsid w:val="00DF1D85"/>
    <w:rsid w:val="00DF2B9D"/>
    <w:rsid w:val="00DF3736"/>
    <w:rsid w:val="00DF3979"/>
    <w:rsid w:val="00DF3C0C"/>
    <w:rsid w:val="00DF446A"/>
    <w:rsid w:val="00DF51E2"/>
    <w:rsid w:val="00DF7F2D"/>
    <w:rsid w:val="00E002C7"/>
    <w:rsid w:val="00E0245B"/>
    <w:rsid w:val="00E04D87"/>
    <w:rsid w:val="00E0543E"/>
    <w:rsid w:val="00E05D96"/>
    <w:rsid w:val="00E05E2B"/>
    <w:rsid w:val="00E0603F"/>
    <w:rsid w:val="00E060DA"/>
    <w:rsid w:val="00E078F2"/>
    <w:rsid w:val="00E13396"/>
    <w:rsid w:val="00E13486"/>
    <w:rsid w:val="00E15BC0"/>
    <w:rsid w:val="00E160F5"/>
    <w:rsid w:val="00E16544"/>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4E1"/>
    <w:rsid w:val="00E426ED"/>
    <w:rsid w:val="00E438FE"/>
    <w:rsid w:val="00E45D42"/>
    <w:rsid w:val="00E4655E"/>
    <w:rsid w:val="00E465DE"/>
    <w:rsid w:val="00E4665A"/>
    <w:rsid w:val="00E46F79"/>
    <w:rsid w:val="00E472DF"/>
    <w:rsid w:val="00E50AED"/>
    <w:rsid w:val="00E51CF3"/>
    <w:rsid w:val="00E530C5"/>
    <w:rsid w:val="00E54D24"/>
    <w:rsid w:val="00E554EB"/>
    <w:rsid w:val="00E555A7"/>
    <w:rsid w:val="00E612B3"/>
    <w:rsid w:val="00E62424"/>
    <w:rsid w:val="00E62826"/>
    <w:rsid w:val="00E62C53"/>
    <w:rsid w:val="00E63009"/>
    <w:rsid w:val="00E63C5C"/>
    <w:rsid w:val="00E64D81"/>
    <w:rsid w:val="00E66DDF"/>
    <w:rsid w:val="00E70373"/>
    <w:rsid w:val="00E721AF"/>
    <w:rsid w:val="00E736DE"/>
    <w:rsid w:val="00E740E2"/>
    <w:rsid w:val="00E761A9"/>
    <w:rsid w:val="00E76AEC"/>
    <w:rsid w:val="00E776B0"/>
    <w:rsid w:val="00E776E3"/>
    <w:rsid w:val="00E800B6"/>
    <w:rsid w:val="00E80AF8"/>
    <w:rsid w:val="00E84088"/>
    <w:rsid w:val="00E853D6"/>
    <w:rsid w:val="00E8651A"/>
    <w:rsid w:val="00E87BD0"/>
    <w:rsid w:val="00E903DB"/>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F0C"/>
    <w:rsid w:val="00ED6444"/>
    <w:rsid w:val="00ED7C1A"/>
    <w:rsid w:val="00EE025F"/>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191B"/>
    <w:rsid w:val="00F12630"/>
    <w:rsid w:val="00F16DD0"/>
    <w:rsid w:val="00F178AD"/>
    <w:rsid w:val="00F17977"/>
    <w:rsid w:val="00F2010B"/>
    <w:rsid w:val="00F21B49"/>
    <w:rsid w:val="00F24179"/>
    <w:rsid w:val="00F24280"/>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48"/>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2205"/>
    <w:rsid w:val="00F9257D"/>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E05"/>
    <w:rsid w:val="00FC1225"/>
    <w:rsid w:val="00FC1D02"/>
    <w:rsid w:val="00FC21FD"/>
    <w:rsid w:val="00FC2323"/>
    <w:rsid w:val="00FC30EE"/>
    <w:rsid w:val="00FC4BC0"/>
    <w:rsid w:val="00FC5860"/>
    <w:rsid w:val="00FC74F3"/>
    <w:rsid w:val="00FC7659"/>
    <w:rsid w:val="00FC76A9"/>
    <w:rsid w:val="00FC7BB0"/>
    <w:rsid w:val="00FD494E"/>
    <w:rsid w:val="00FD4BAE"/>
    <w:rsid w:val="00FD4D05"/>
    <w:rsid w:val="00FD4D50"/>
    <w:rsid w:val="00FD5232"/>
    <w:rsid w:val="00FD6626"/>
    <w:rsid w:val="00FE038F"/>
    <w:rsid w:val="00FE1123"/>
    <w:rsid w:val="00FE1297"/>
    <w:rsid w:val="00FE1D7D"/>
    <w:rsid w:val="00FE277F"/>
    <w:rsid w:val="00FE34E4"/>
    <w:rsid w:val="00FE3797"/>
    <w:rsid w:val="00FE38C0"/>
    <w:rsid w:val="00FE445C"/>
    <w:rsid w:val="00FE4EE5"/>
    <w:rsid w:val="00FE5DED"/>
    <w:rsid w:val="00FE7892"/>
    <w:rsid w:val="00FE7E8C"/>
    <w:rsid w:val="00FF0FE1"/>
    <w:rsid w:val="00FF13EE"/>
    <w:rsid w:val="00FF1CE5"/>
    <w:rsid w:val="00FF2AF5"/>
    <w:rsid w:val="00FF3628"/>
    <w:rsid w:val="00FF4190"/>
    <w:rsid w:val="0102240C"/>
    <w:rsid w:val="010B405F"/>
    <w:rsid w:val="0123584C"/>
    <w:rsid w:val="012A4725"/>
    <w:rsid w:val="012D4559"/>
    <w:rsid w:val="013211C4"/>
    <w:rsid w:val="01347A59"/>
    <w:rsid w:val="014A2DD9"/>
    <w:rsid w:val="014F5D55"/>
    <w:rsid w:val="015058DD"/>
    <w:rsid w:val="01522FB1"/>
    <w:rsid w:val="01527EDF"/>
    <w:rsid w:val="015737CF"/>
    <w:rsid w:val="016C0FA1"/>
    <w:rsid w:val="01714809"/>
    <w:rsid w:val="01763BCE"/>
    <w:rsid w:val="01806B0D"/>
    <w:rsid w:val="01826A17"/>
    <w:rsid w:val="018A58CB"/>
    <w:rsid w:val="018F4C90"/>
    <w:rsid w:val="019B1992"/>
    <w:rsid w:val="019C5D81"/>
    <w:rsid w:val="01A3073B"/>
    <w:rsid w:val="01AC5AA6"/>
    <w:rsid w:val="01AF0E8E"/>
    <w:rsid w:val="01C25065"/>
    <w:rsid w:val="01C964EE"/>
    <w:rsid w:val="01CF7782"/>
    <w:rsid w:val="01E42829"/>
    <w:rsid w:val="01EA2E81"/>
    <w:rsid w:val="01EB45BC"/>
    <w:rsid w:val="01FC3894"/>
    <w:rsid w:val="02074908"/>
    <w:rsid w:val="020E6899"/>
    <w:rsid w:val="020F139A"/>
    <w:rsid w:val="02140610"/>
    <w:rsid w:val="02167022"/>
    <w:rsid w:val="02191E33"/>
    <w:rsid w:val="02247ACE"/>
    <w:rsid w:val="022767E5"/>
    <w:rsid w:val="022A2E24"/>
    <w:rsid w:val="02300221"/>
    <w:rsid w:val="023870D5"/>
    <w:rsid w:val="023F0464"/>
    <w:rsid w:val="024431A9"/>
    <w:rsid w:val="026B1259"/>
    <w:rsid w:val="02706B88"/>
    <w:rsid w:val="027951DA"/>
    <w:rsid w:val="027B0CF6"/>
    <w:rsid w:val="0281282A"/>
    <w:rsid w:val="02851E3F"/>
    <w:rsid w:val="028E13EB"/>
    <w:rsid w:val="02A243E6"/>
    <w:rsid w:val="02A54E70"/>
    <w:rsid w:val="02B349AE"/>
    <w:rsid w:val="02B62046"/>
    <w:rsid w:val="02BC3862"/>
    <w:rsid w:val="02C62933"/>
    <w:rsid w:val="02D05560"/>
    <w:rsid w:val="02DB5691"/>
    <w:rsid w:val="02E64D83"/>
    <w:rsid w:val="02ED7EC0"/>
    <w:rsid w:val="02F27FB9"/>
    <w:rsid w:val="02F54FC6"/>
    <w:rsid w:val="02FC6355"/>
    <w:rsid w:val="03056415"/>
    <w:rsid w:val="031C69F7"/>
    <w:rsid w:val="0320423A"/>
    <w:rsid w:val="033318F7"/>
    <w:rsid w:val="03355182"/>
    <w:rsid w:val="03510C1F"/>
    <w:rsid w:val="0364676B"/>
    <w:rsid w:val="03661A20"/>
    <w:rsid w:val="037A0B0F"/>
    <w:rsid w:val="03830824"/>
    <w:rsid w:val="03885E3A"/>
    <w:rsid w:val="038F291E"/>
    <w:rsid w:val="03914CEF"/>
    <w:rsid w:val="039E2A89"/>
    <w:rsid w:val="03A8554E"/>
    <w:rsid w:val="03BD1015"/>
    <w:rsid w:val="03C065C7"/>
    <w:rsid w:val="03C52BEB"/>
    <w:rsid w:val="03C94890"/>
    <w:rsid w:val="03CF75C5"/>
    <w:rsid w:val="03E05C76"/>
    <w:rsid w:val="03F84D6E"/>
    <w:rsid w:val="03FB03BA"/>
    <w:rsid w:val="040E58BE"/>
    <w:rsid w:val="040F20B8"/>
    <w:rsid w:val="04131BA8"/>
    <w:rsid w:val="04194CE4"/>
    <w:rsid w:val="041A21CD"/>
    <w:rsid w:val="041F7AEB"/>
    <w:rsid w:val="04206073"/>
    <w:rsid w:val="042B32BF"/>
    <w:rsid w:val="042C4A18"/>
    <w:rsid w:val="043A4DFA"/>
    <w:rsid w:val="043B10FF"/>
    <w:rsid w:val="043B420D"/>
    <w:rsid w:val="043F299D"/>
    <w:rsid w:val="04525154"/>
    <w:rsid w:val="045B3AF8"/>
    <w:rsid w:val="045B52FD"/>
    <w:rsid w:val="046240FB"/>
    <w:rsid w:val="0463143E"/>
    <w:rsid w:val="046501D7"/>
    <w:rsid w:val="046A5C17"/>
    <w:rsid w:val="046B2C26"/>
    <w:rsid w:val="046E0E27"/>
    <w:rsid w:val="0482414B"/>
    <w:rsid w:val="049A2168"/>
    <w:rsid w:val="049C7DEF"/>
    <w:rsid w:val="04A31AD1"/>
    <w:rsid w:val="04A71B2E"/>
    <w:rsid w:val="04AB071E"/>
    <w:rsid w:val="04AF022F"/>
    <w:rsid w:val="04BE29F4"/>
    <w:rsid w:val="04BF5DD5"/>
    <w:rsid w:val="04CB5867"/>
    <w:rsid w:val="04DA12DA"/>
    <w:rsid w:val="04E83035"/>
    <w:rsid w:val="04E86B91"/>
    <w:rsid w:val="04F46F7F"/>
    <w:rsid w:val="04F5670C"/>
    <w:rsid w:val="050634BB"/>
    <w:rsid w:val="051450D4"/>
    <w:rsid w:val="05343214"/>
    <w:rsid w:val="0541624E"/>
    <w:rsid w:val="054305F2"/>
    <w:rsid w:val="05432A54"/>
    <w:rsid w:val="0552282F"/>
    <w:rsid w:val="055A54B2"/>
    <w:rsid w:val="056703FD"/>
    <w:rsid w:val="05724329"/>
    <w:rsid w:val="05764199"/>
    <w:rsid w:val="0599432F"/>
    <w:rsid w:val="05A54DF4"/>
    <w:rsid w:val="05B747B5"/>
    <w:rsid w:val="05C60A49"/>
    <w:rsid w:val="05D259BD"/>
    <w:rsid w:val="05DF451F"/>
    <w:rsid w:val="05E70379"/>
    <w:rsid w:val="05F32667"/>
    <w:rsid w:val="05F45A09"/>
    <w:rsid w:val="060A6FDB"/>
    <w:rsid w:val="06113EC5"/>
    <w:rsid w:val="061630C5"/>
    <w:rsid w:val="06257970"/>
    <w:rsid w:val="063302DF"/>
    <w:rsid w:val="063C2A18"/>
    <w:rsid w:val="063D4CBA"/>
    <w:rsid w:val="063D4E23"/>
    <w:rsid w:val="064A387B"/>
    <w:rsid w:val="06672975"/>
    <w:rsid w:val="066A5EA1"/>
    <w:rsid w:val="066F086A"/>
    <w:rsid w:val="06710E08"/>
    <w:rsid w:val="0673692E"/>
    <w:rsid w:val="06760C3A"/>
    <w:rsid w:val="06772778"/>
    <w:rsid w:val="067B1C86"/>
    <w:rsid w:val="067C0D63"/>
    <w:rsid w:val="06890016"/>
    <w:rsid w:val="06940436"/>
    <w:rsid w:val="06A6380C"/>
    <w:rsid w:val="06A84A1D"/>
    <w:rsid w:val="06AE3F68"/>
    <w:rsid w:val="06B6252E"/>
    <w:rsid w:val="06BE5725"/>
    <w:rsid w:val="06C273F9"/>
    <w:rsid w:val="06DA075B"/>
    <w:rsid w:val="06DC1E81"/>
    <w:rsid w:val="06E25862"/>
    <w:rsid w:val="06E54D66"/>
    <w:rsid w:val="06E86E4E"/>
    <w:rsid w:val="06EB6E0C"/>
    <w:rsid w:val="06F537E7"/>
    <w:rsid w:val="06FF56BD"/>
    <w:rsid w:val="07030E3E"/>
    <w:rsid w:val="070B283F"/>
    <w:rsid w:val="07126147"/>
    <w:rsid w:val="072B545A"/>
    <w:rsid w:val="074F739B"/>
    <w:rsid w:val="07510B6E"/>
    <w:rsid w:val="07530B23"/>
    <w:rsid w:val="07577FFE"/>
    <w:rsid w:val="076369A2"/>
    <w:rsid w:val="076423A9"/>
    <w:rsid w:val="07725C7E"/>
    <w:rsid w:val="07743C52"/>
    <w:rsid w:val="07782CCB"/>
    <w:rsid w:val="077961C6"/>
    <w:rsid w:val="077B2B23"/>
    <w:rsid w:val="07887094"/>
    <w:rsid w:val="079E7F01"/>
    <w:rsid w:val="07A34FF1"/>
    <w:rsid w:val="07AA03DF"/>
    <w:rsid w:val="07B62F76"/>
    <w:rsid w:val="07B92E8A"/>
    <w:rsid w:val="07CA0317"/>
    <w:rsid w:val="07CC279A"/>
    <w:rsid w:val="07E6312F"/>
    <w:rsid w:val="07EC2E3C"/>
    <w:rsid w:val="07ED5C07"/>
    <w:rsid w:val="07F92694"/>
    <w:rsid w:val="08027EA4"/>
    <w:rsid w:val="08041448"/>
    <w:rsid w:val="08086F7D"/>
    <w:rsid w:val="080C528C"/>
    <w:rsid w:val="080F3625"/>
    <w:rsid w:val="08141242"/>
    <w:rsid w:val="081E32D0"/>
    <w:rsid w:val="081F40B1"/>
    <w:rsid w:val="083B791F"/>
    <w:rsid w:val="084555EB"/>
    <w:rsid w:val="08495703"/>
    <w:rsid w:val="084B4ABC"/>
    <w:rsid w:val="08533184"/>
    <w:rsid w:val="08573C15"/>
    <w:rsid w:val="085F5FF9"/>
    <w:rsid w:val="086C7AD9"/>
    <w:rsid w:val="086E3851"/>
    <w:rsid w:val="08766BA9"/>
    <w:rsid w:val="087846CF"/>
    <w:rsid w:val="087A2048"/>
    <w:rsid w:val="087D3A94"/>
    <w:rsid w:val="087F16D6"/>
    <w:rsid w:val="088237F5"/>
    <w:rsid w:val="088376DE"/>
    <w:rsid w:val="089704AA"/>
    <w:rsid w:val="08AB663F"/>
    <w:rsid w:val="08BD0334"/>
    <w:rsid w:val="08DA0EE6"/>
    <w:rsid w:val="08E44D97"/>
    <w:rsid w:val="08E9364C"/>
    <w:rsid w:val="08FC124B"/>
    <w:rsid w:val="08FC3E83"/>
    <w:rsid w:val="08FD305C"/>
    <w:rsid w:val="08FE4A83"/>
    <w:rsid w:val="09171F73"/>
    <w:rsid w:val="091C6C5B"/>
    <w:rsid w:val="091F2D9D"/>
    <w:rsid w:val="092117BF"/>
    <w:rsid w:val="09250409"/>
    <w:rsid w:val="0925775D"/>
    <w:rsid w:val="092951A8"/>
    <w:rsid w:val="092C2F19"/>
    <w:rsid w:val="09336431"/>
    <w:rsid w:val="0934067B"/>
    <w:rsid w:val="09385C0D"/>
    <w:rsid w:val="093B4BC3"/>
    <w:rsid w:val="094265A7"/>
    <w:rsid w:val="094268E2"/>
    <w:rsid w:val="09437A0B"/>
    <w:rsid w:val="09455F12"/>
    <w:rsid w:val="09531E1A"/>
    <w:rsid w:val="095B4482"/>
    <w:rsid w:val="095C2F24"/>
    <w:rsid w:val="0971207B"/>
    <w:rsid w:val="097E7AC3"/>
    <w:rsid w:val="098F597B"/>
    <w:rsid w:val="09953F16"/>
    <w:rsid w:val="099C619C"/>
    <w:rsid w:val="09AC6C98"/>
    <w:rsid w:val="09BE2422"/>
    <w:rsid w:val="09C15C02"/>
    <w:rsid w:val="09C27C64"/>
    <w:rsid w:val="09C37BCC"/>
    <w:rsid w:val="09DE1964"/>
    <w:rsid w:val="09E11E76"/>
    <w:rsid w:val="09E85885"/>
    <w:rsid w:val="09E9348C"/>
    <w:rsid w:val="09FE0C04"/>
    <w:rsid w:val="0A053D41"/>
    <w:rsid w:val="0A08663A"/>
    <w:rsid w:val="0A0A3A20"/>
    <w:rsid w:val="0A0A73CC"/>
    <w:rsid w:val="0A1239D7"/>
    <w:rsid w:val="0A3B7763"/>
    <w:rsid w:val="0A3F5F36"/>
    <w:rsid w:val="0A440B24"/>
    <w:rsid w:val="0A4505E1"/>
    <w:rsid w:val="0A5243CC"/>
    <w:rsid w:val="0A60422D"/>
    <w:rsid w:val="0A636CB9"/>
    <w:rsid w:val="0A6767AA"/>
    <w:rsid w:val="0A693D18"/>
    <w:rsid w:val="0A6E1714"/>
    <w:rsid w:val="0A736290"/>
    <w:rsid w:val="0A7703FB"/>
    <w:rsid w:val="0A8376D2"/>
    <w:rsid w:val="0A856C30"/>
    <w:rsid w:val="0A8C4462"/>
    <w:rsid w:val="0A905A1A"/>
    <w:rsid w:val="0A920F5C"/>
    <w:rsid w:val="0A9A6B7F"/>
    <w:rsid w:val="0AA572D2"/>
    <w:rsid w:val="0AAA3C19"/>
    <w:rsid w:val="0AAC60CF"/>
    <w:rsid w:val="0ABB6AF5"/>
    <w:rsid w:val="0ABF3657"/>
    <w:rsid w:val="0AC260D6"/>
    <w:rsid w:val="0AD10DFC"/>
    <w:rsid w:val="0AE0655C"/>
    <w:rsid w:val="0AE620BB"/>
    <w:rsid w:val="0AE75B3C"/>
    <w:rsid w:val="0AF10F8A"/>
    <w:rsid w:val="0AF47E99"/>
    <w:rsid w:val="0B057D70"/>
    <w:rsid w:val="0B076817"/>
    <w:rsid w:val="0B093D05"/>
    <w:rsid w:val="0B103F50"/>
    <w:rsid w:val="0B153BFE"/>
    <w:rsid w:val="0B237538"/>
    <w:rsid w:val="0B27202A"/>
    <w:rsid w:val="0B2B5A29"/>
    <w:rsid w:val="0B2F1915"/>
    <w:rsid w:val="0B301291"/>
    <w:rsid w:val="0B381EF4"/>
    <w:rsid w:val="0B384A74"/>
    <w:rsid w:val="0B3D4596"/>
    <w:rsid w:val="0B52270F"/>
    <w:rsid w:val="0B5A4560"/>
    <w:rsid w:val="0B5C2086"/>
    <w:rsid w:val="0B616DDD"/>
    <w:rsid w:val="0B6231AD"/>
    <w:rsid w:val="0B642CE9"/>
    <w:rsid w:val="0B696551"/>
    <w:rsid w:val="0B785F4F"/>
    <w:rsid w:val="0B787A86"/>
    <w:rsid w:val="0B792C38"/>
    <w:rsid w:val="0B7A16C2"/>
    <w:rsid w:val="0B7B7D63"/>
    <w:rsid w:val="0B7D1301"/>
    <w:rsid w:val="0B8709D7"/>
    <w:rsid w:val="0B9335CE"/>
    <w:rsid w:val="0B9730BE"/>
    <w:rsid w:val="0B9B4AEA"/>
    <w:rsid w:val="0BAA1044"/>
    <w:rsid w:val="0BC226BA"/>
    <w:rsid w:val="0BC55E7E"/>
    <w:rsid w:val="0BC639A4"/>
    <w:rsid w:val="0BC71D84"/>
    <w:rsid w:val="0BCB24B5"/>
    <w:rsid w:val="0BCD2653"/>
    <w:rsid w:val="0BD33C9A"/>
    <w:rsid w:val="0BDA220A"/>
    <w:rsid w:val="0BE1258C"/>
    <w:rsid w:val="0BE50E63"/>
    <w:rsid w:val="0BFE6C9A"/>
    <w:rsid w:val="0C00427B"/>
    <w:rsid w:val="0C105DFF"/>
    <w:rsid w:val="0C14470F"/>
    <w:rsid w:val="0C1A784C"/>
    <w:rsid w:val="0C1E733C"/>
    <w:rsid w:val="0C22507E"/>
    <w:rsid w:val="0C2A5CE1"/>
    <w:rsid w:val="0C475927"/>
    <w:rsid w:val="0C4B7A88"/>
    <w:rsid w:val="0C5D6F3F"/>
    <w:rsid w:val="0C654075"/>
    <w:rsid w:val="0C670CE3"/>
    <w:rsid w:val="0C687599"/>
    <w:rsid w:val="0C752B67"/>
    <w:rsid w:val="0C7D0506"/>
    <w:rsid w:val="0C7D1D22"/>
    <w:rsid w:val="0C811679"/>
    <w:rsid w:val="0C8B0F2D"/>
    <w:rsid w:val="0C8F1FF8"/>
    <w:rsid w:val="0C99751F"/>
    <w:rsid w:val="0C9D317F"/>
    <w:rsid w:val="0CA05FA3"/>
    <w:rsid w:val="0CA17F2D"/>
    <w:rsid w:val="0CBF0B1F"/>
    <w:rsid w:val="0CC872A8"/>
    <w:rsid w:val="0CCA1272"/>
    <w:rsid w:val="0CCF6888"/>
    <w:rsid w:val="0CD46CDB"/>
    <w:rsid w:val="0CE40585"/>
    <w:rsid w:val="0CE74940"/>
    <w:rsid w:val="0CEC743A"/>
    <w:rsid w:val="0CEE4F60"/>
    <w:rsid w:val="0CF12CA2"/>
    <w:rsid w:val="0CF30FD7"/>
    <w:rsid w:val="0CF84540"/>
    <w:rsid w:val="0CFA3905"/>
    <w:rsid w:val="0CFC121B"/>
    <w:rsid w:val="0CFE6747"/>
    <w:rsid w:val="0D027A2E"/>
    <w:rsid w:val="0D0C188A"/>
    <w:rsid w:val="0D1116A9"/>
    <w:rsid w:val="0D274C9F"/>
    <w:rsid w:val="0D2C7836"/>
    <w:rsid w:val="0D377E75"/>
    <w:rsid w:val="0D425817"/>
    <w:rsid w:val="0D444B80"/>
    <w:rsid w:val="0D456672"/>
    <w:rsid w:val="0D483A45"/>
    <w:rsid w:val="0D49663A"/>
    <w:rsid w:val="0D63597A"/>
    <w:rsid w:val="0D705975"/>
    <w:rsid w:val="0D7D62E4"/>
    <w:rsid w:val="0D81039E"/>
    <w:rsid w:val="0D814026"/>
    <w:rsid w:val="0D841421"/>
    <w:rsid w:val="0D8739DC"/>
    <w:rsid w:val="0D904269"/>
    <w:rsid w:val="0D9638DD"/>
    <w:rsid w:val="0D98311E"/>
    <w:rsid w:val="0DA11FD2"/>
    <w:rsid w:val="0DBA12E6"/>
    <w:rsid w:val="0DBE0DD6"/>
    <w:rsid w:val="0DDB7E0F"/>
    <w:rsid w:val="0DDC5040"/>
    <w:rsid w:val="0DDC74AE"/>
    <w:rsid w:val="0DE325EB"/>
    <w:rsid w:val="0DE75735"/>
    <w:rsid w:val="0DEBBCA9"/>
    <w:rsid w:val="0DEF558D"/>
    <w:rsid w:val="0DF068AA"/>
    <w:rsid w:val="0DF12A3E"/>
    <w:rsid w:val="0DF172C8"/>
    <w:rsid w:val="0DF433F1"/>
    <w:rsid w:val="0DF93BBD"/>
    <w:rsid w:val="0DFC1FFF"/>
    <w:rsid w:val="0E303356"/>
    <w:rsid w:val="0E430639"/>
    <w:rsid w:val="0E4312DC"/>
    <w:rsid w:val="0E43752E"/>
    <w:rsid w:val="0E480C42"/>
    <w:rsid w:val="0E6558A0"/>
    <w:rsid w:val="0E684E2E"/>
    <w:rsid w:val="0E6D45AA"/>
    <w:rsid w:val="0E72396F"/>
    <w:rsid w:val="0E7302E4"/>
    <w:rsid w:val="0E74119C"/>
    <w:rsid w:val="0E747A2D"/>
    <w:rsid w:val="0E7D2A40"/>
    <w:rsid w:val="0E8306F4"/>
    <w:rsid w:val="0E8F62CF"/>
    <w:rsid w:val="0EA55C45"/>
    <w:rsid w:val="0EA60B68"/>
    <w:rsid w:val="0EA86384"/>
    <w:rsid w:val="0EB2020F"/>
    <w:rsid w:val="0EC00B7E"/>
    <w:rsid w:val="0ECE4E77"/>
    <w:rsid w:val="0ECE7CE8"/>
    <w:rsid w:val="0ED9579C"/>
    <w:rsid w:val="0EE15967"/>
    <w:rsid w:val="0EE23012"/>
    <w:rsid w:val="0EE23E2C"/>
    <w:rsid w:val="0EE50C22"/>
    <w:rsid w:val="0EFE2C1E"/>
    <w:rsid w:val="0F014633"/>
    <w:rsid w:val="0F0312ED"/>
    <w:rsid w:val="0F050929"/>
    <w:rsid w:val="0F063E64"/>
    <w:rsid w:val="0F0E5BDA"/>
    <w:rsid w:val="0F184516"/>
    <w:rsid w:val="0F192B9A"/>
    <w:rsid w:val="0F1B7B63"/>
    <w:rsid w:val="0F245332"/>
    <w:rsid w:val="0F280D60"/>
    <w:rsid w:val="0F3330FE"/>
    <w:rsid w:val="0F4A54CF"/>
    <w:rsid w:val="0F4B38E4"/>
    <w:rsid w:val="0F4C4E90"/>
    <w:rsid w:val="0F557518"/>
    <w:rsid w:val="0F5E63E1"/>
    <w:rsid w:val="0F603CED"/>
    <w:rsid w:val="0F632412"/>
    <w:rsid w:val="0F645D19"/>
    <w:rsid w:val="0F75501B"/>
    <w:rsid w:val="0F78432B"/>
    <w:rsid w:val="0F870164"/>
    <w:rsid w:val="0F8971C2"/>
    <w:rsid w:val="0F8A4A20"/>
    <w:rsid w:val="0F8D06EA"/>
    <w:rsid w:val="0FAA316E"/>
    <w:rsid w:val="0FB06917"/>
    <w:rsid w:val="0FB110C5"/>
    <w:rsid w:val="0FB2232D"/>
    <w:rsid w:val="0FBA7461"/>
    <w:rsid w:val="0FC401FA"/>
    <w:rsid w:val="0FC44BCF"/>
    <w:rsid w:val="0FC46A88"/>
    <w:rsid w:val="0FCE7B7D"/>
    <w:rsid w:val="0FD2443A"/>
    <w:rsid w:val="0FD80032"/>
    <w:rsid w:val="0FDA7728"/>
    <w:rsid w:val="0FDB5272"/>
    <w:rsid w:val="0FE36B89"/>
    <w:rsid w:val="0FE37275"/>
    <w:rsid w:val="0FE670A5"/>
    <w:rsid w:val="0FEE0246"/>
    <w:rsid w:val="0FF3288D"/>
    <w:rsid w:val="0FF66477"/>
    <w:rsid w:val="100920B1"/>
    <w:rsid w:val="100A27E6"/>
    <w:rsid w:val="100C2F87"/>
    <w:rsid w:val="101133B7"/>
    <w:rsid w:val="101933AE"/>
    <w:rsid w:val="101F694C"/>
    <w:rsid w:val="10284B8F"/>
    <w:rsid w:val="10335CC9"/>
    <w:rsid w:val="103A544A"/>
    <w:rsid w:val="104E2006"/>
    <w:rsid w:val="10505F32"/>
    <w:rsid w:val="1054157E"/>
    <w:rsid w:val="105552F6"/>
    <w:rsid w:val="105772C0"/>
    <w:rsid w:val="105B0B5E"/>
    <w:rsid w:val="105D3BF9"/>
    <w:rsid w:val="105F48B1"/>
    <w:rsid w:val="10602325"/>
    <w:rsid w:val="10611EED"/>
    <w:rsid w:val="10616317"/>
    <w:rsid w:val="10765998"/>
    <w:rsid w:val="1077526D"/>
    <w:rsid w:val="107A6169"/>
    <w:rsid w:val="107B7182"/>
    <w:rsid w:val="107C6A46"/>
    <w:rsid w:val="107E2A9F"/>
    <w:rsid w:val="108300B5"/>
    <w:rsid w:val="108322BF"/>
    <w:rsid w:val="1087780A"/>
    <w:rsid w:val="1088747A"/>
    <w:rsid w:val="108970CB"/>
    <w:rsid w:val="108A7C03"/>
    <w:rsid w:val="108F0808"/>
    <w:rsid w:val="10945EF7"/>
    <w:rsid w:val="10991F70"/>
    <w:rsid w:val="109951E3"/>
    <w:rsid w:val="10A33B25"/>
    <w:rsid w:val="10A67900"/>
    <w:rsid w:val="10C73309"/>
    <w:rsid w:val="10CF50A9"/>
    <w:rsid w:val="10DE353E"/>
    <w:rsid w:val="10F03150"/>
    <w:rsid w:val="10F73D20"/>
    <w:rsid w:val="10FE598E"/>
    <w:rsid w:val="110547C9"/>
    <w:rsid w:val="1109680C"/>
    <w:rsid w:val="111F7DDE"/>
    <w:rsid w:val="11207CB1"/>
    <w:rsid w:val="11371EF5"/>
    <w:rsid w:val="11472E91"/>
    <w:rsid w:val="115119ED"/>
    <w:rsid w:val="11515ABE"/>
    <w:rsid w:val="116E041E"/>
    <w:rsid w:val="1170063A"/>
    <w:rsid w:val="117619C8"/>
    <w:rsid w:val="11791613"/>
    <w:rsid w:val="11795AFD"/>
    <w:rsid w:val="11815B4A"/>
    <w:rsid w:val="118E286E"/>
    <w:rsid w:val="11A36E95"/>
    <w:rsid w:val="11AE3D23"/>
    <w:rsid w:val="11B00120"/>
    <w:rsid w:val="11BB0A26"/>
    <w:rsid w:val="11C140FD"/>
    <w:rsid w:val="11DC7A7D"/>
    <w:rsid w:val="11E90E6C"/>
    <w:rsid w:val="11ED6377"/>
    <w:rsid w:val="11F12FEF"/>
    <w:rsid w:val="11FD07C1"/>
    <w:rsid w:val="1218482D"/>
    <w:rsid w:val="121F0324"/>
    <w:rsid w:val="12234694"/>
    <w:rsid w:val="12280D51"/>
    <w:rsid w:val="122C4DD8"/>
    <w:rsid w:val="12301B77"/>
    <w:rsid w:val="124D2440"/>
    <w:rsid w:val="125515DD"/>
    <w:rsid w:val="12593CA9"/>
    <w:rsid w:val="125E66E4"/>
    <w:rsid w:val="125F1AC6"/>
    <w:rsid w:val="12633CFA"/>
    <w:rsid w:val="126B66F7"/>
    <w:rsid w:val="12741F5E"/>
    <w:rsid w:val="12750005"/>
    <w:rsid w:val="1291328C"/>
    <w:rsid w:val="12977E48"/>
    <w:rsid w:val="1299596E"/>
    <w:rsid w:val="129C720C"/>
    <w:rsid w:val="12A32349"/>
    <w:rsid w:val="12A40621"/>
    <w:rsid w:val="12AC0145"/>
    <w:rsid w:val="12B26A5D"/>
    <w:rsid w:val="12B37E92"/>
    <w:rsid w:val="12B7253D"/>
    <w:rsid w:val="12BF70C4"/>
    <w:rsid w:val="12C01C00"/>
    <w:rsid w:val="12C95C1F"/>
    <w:rsid w:val="12CA04D3"/>
    <w:rsid w:val="12D37012"/>
    <w:rsid w:val="12D44BF8"/>
    <w:rsid w:val="12D544CC"/>
    <w:rsid w:val="12D70244"/>
    <w:rsid w:val="12F11306"/>
    <w:rsid w:val="13023513"/>
    <w:rsid w:val="1312726D"/>
    <w:rsid w:val="13186723"/>
    <w:rsid w:val="131C5B88"/>
    <w:rsid w:val="131D034D"/>
    <w:rsid w:val="131D659F"/>
    <w:rsid w:val="1323348A"/>
    <w:rsid w:val="13310BD3"/>
    <w:rsid w:val="13327BCA"/>
    <w:rsid w:val="13382DC7"/>
    <w:rsid w:val="133D279D"/>
    <w:rsid w:val="13452433"/>
    <w:rsid w:val="13695D3B"/>
    <w:rsid w:val="136F66CF"/>
    <w:rsid w:val="137D497C"/>
    <w:rsid w:val="13857CA0"/>
    <w:rsid w:val="13881F85"/>
    <w:rsid w:val="13897791"/>
    <w:rsid w:val="138E5DD1"/>
    <w:rsid w:val="13A8357B"/>
    <w:rsid w:val="13B0106F"/>
    <w:rsid w:val="13B16CE7"/>
    <w:rsid w:val="13BB7B66"/>
    <w:rsid w:val="13BD38DE"/>
    <w:rsid w:val="13C7141F"/>
    <w:rsid w:val="13C84512"/>
    <w:rsid w:val="13CC2CE5"/>
    <w:rsid w:val="13CD49D8"/>
    <w:rsid w:val="13EC7D20"/>
    <w:rsid w:val="14126207"/>
    <w:rsid w:val="142179C9"/>
    <w:rsid w:val="14292753"/>
    <w:rsid w:val="142F2E14"/>
    <w:rsid w:val="1433065B"/>
    <w:rsid w:val="1448764C"/>
    <w:rsid w:val="145204CA"/>
    <w:rsid w:val="145E0C1D"/>
    <w:rsid w:val="145E77EA"/>
    <w:rsid w:val="146C3C63"/>
    <w:rsid w:val="1472070A"/>
    <w:rsid w:val="147F7284"/>
    <w:rsid w:val="1485143D"/>
    <w:rsid w:val="14887A48"/>
    <w:rsid w:val="148F7029"/>
    <w:rsid w:val="149C1746"/>
    <w:rsid w:val="149C2CDC"/>
    <w:rsid w:val="14A02B20"/>
    <w:rsid w:val="14A740BD"/>
    <w:rsid w:val="14A75703"/>
    <w:rsid w:val="14B20F69"/>
    <w:rsid w:val="14B2243D"/>
    <w:rsid w:val="14B52807"/>
    <w:rsid w:val="14BB749D"/>
    <w:rsid w:val="14C82913"/>
    <w:rsid w:val="14D013EF"/>
    <w:rsid w:val="14DC7969"/>
    <w:rsid w:val="14E40C49"/>
    <w:rsid w:val="14F21366"/>
    <w:rsid w:val="1505161F"/>
    <w:rsid w:val="15065976"/>
    <w:rsid w:val="15111718"/>
    <w:rsid w:val="151439D2"/>
    <w:rsid w:val="15182B92"/>
    <w:rsid w:val="153B3941"/>
    <w:rsid w:val="15406575"/>
    <w:rsid w:val="15446F04"/>
    <w:rsid w:val="15542020"/>
    <w:rsid w:val="15593193"/>
    <w:rsid w:val="155A3E1C"/>
    <w:rsid w:val="156758B0"/>
    <w:rsid w:val="156C436F"/>
    <w:rsid w:val="1573694A"/>
    <w:rsid w:val="1574621E"/>
    <w:rsid w:val="157A2987"/>
    <w:rsid w:val="157B2187"/>
    <w:rsid w:val="157B2848"/>
    <w:rsid w:val="158469D6"/>
    <w:rsid w:val="15891CCA"/>
    <w:rsid w:val="158B07D8"/>
    <w:rsid w:val="15A5462A"/>
    <w:rsid w:val="15AE7982"/>
    <w:rsid w:val="15C26F8A"/>
    <w:rsid w:val="15C87EA7"/>
    <w:rsid w:val="15CA22E2"/>
    <w:rsid w:val="15DB44F0"/>
    <w:rsid w:val="15DB4D1F"/>
    <w:rsid w:val="15EB196C"/>
    <w:rsid w:val="15F555B1"/>
    <w:rsid w:val="16017613"/>
    <w:rsid w:val="16077093"/>
    <w:rsid w:val="16094BB9"/>
    <w:rsid w:val="1615355E"/>
    <w:rsid w:val="161B13E4"/>
    <w:rsid w:val="161C272A"/>
    <w:rsid w:val="16220F65"/>
    <w:rsid w:val="162C3DEF"/>
    <w:rsid w:val="162E2FB0"/>
    <w:rsid w:val="163C77C6"/>
    <w:rsid w:val="163D4862"/>
    <w:rsid w:val="1651030E"/>
    <w:rsid w:val="16591300"/>
    <w:rsid w:val="165D4F05"/>
    <w:rsid w:val="16624474"/>
    <w:rsid w:val="16702E8A"/>
    <w:rsid w:val="1673488D"/>
    <w:rsid w:val="16775FC6"/>
    <w:rsid w:val="167F30CD"/>
    <w:rsid w:val="167F4E7B"/>
    <w:rsid w:val="169E79F7"/>
    <w:rsid w:val="16BA2357"/>
    <w:rsid w:val="16C16C33"/>
    <w:rsid w:val="16D34DDA"/>
    <w:rsid w:val="16D572AC"/>
    <w:rsid w:val="16DB47A7"/>
    <w:rsid w:val="16E12EB6"/>
    <w:rsid w:val="16E80C72"/>
    <w:rsid w:val="16EC74B0"/>
    <w:rsid w:val="16EC7E54"/>
    <w:rsid w:val="16F2389F"/>
    <w:rsid w:val="16F92F35"/>
    <w:rsid w:val="17090292"/>
    <w:rsid w:val="170A0BE8"/>
    <w:rsid w:val="170B3AF5"/>
    <w:rsid w:val="171B1048"/>
    <w:rsid w:val="171E24DE"/>
    <w:rsid w:val="1723661F"/>
    <w:rsid w:val="17253C74"/>
    <w:rsid w:val="17297EC6"/>
    <w:rsid w:val="17342109"/>
    <w:rsid w:val="173857BC"/>
    <w:rsid w:val="17473343"/>
    <w:rsid w:val="175207E1"/>
    <w:rsid w:val="175B05DE"/>
    <w:rsid w:val="176F26A7"/>
    <w:rsid w:val="177A4E8B"/>
    <w:rsid w:val="17935082"/>
    <w:rsid w:val="17A728DB"/>
    <w:rsid w:val="17A829E2"/>
    <w:rsid w:val="17B44FF8"/>
    <w:rsid w:val="17BB13E6"/>
    <w:rsid w:val="17C118AF"/>
    <w:rsid w:val="17C35A7C"/>
    <w:rsid w:val="17C739D2"/>
    <w:rsid w:val="17E256C1"/>
    <w:rsid w:val="17E9547C"/>
    <w:rsid w:val="17FD08DA"/>
    <w:rsid w:val="18003D99"/>
    <w:rsid w:val="18023A96"/>
    <w:rsid w:val="1804549F"/>
    <w:rsid w:val="181231AA"/>
    <w:rsid w:val="181D422F"/>
    <w:rsid w:val="181E7318"/>
    <w:rsid w:val="18285388"/>
    <w:rsid w:val="182A3BC2"/>
    <w:rsid w:val="18455C50"/>
    <w:rsid w:val="18467635"/>
    <w:rsid w:val="18492AD7"/>
    <w:rsid w:val="184A37E9"/>
    <w:rsid w:val="185A5BA0"/>
    <w:rsid w:val="186364ED"/>
    <w:rsid w:val="186B1B5B"/>
    <w:rsid w:val="18715475"/>
    <w:rsid w:val="18874D9D"/>
    <w:rsid w:val="18876B59"/>
    <w:rsid w:val="18925EAF"/>
    <w:rsid w:val="189372CE"/>
    <w:rsid w:val="1894002B"/>
    <w:rsid w:val="18956BD8"/>
    <w:rsid w:val="18980476"/>
    <w:rsid w:val="189C7F66"/>
    <w:rsid w:val="18A46E1B"/>
    <w:rsid w:val="18C43F61"/>
    <w:rsid w:val="18D25FCF"/>
    <w:rsid w:val="18E90CD1"/>
    <w:rsid w:val="18EE0096"/>
    <w:rsid w:val="18FA0623"/>
    <w:rsid w:val="190A633A"/>
    <w:rsid w:val="190D49C0"/>
    <w:rsid w:val="19136F16"/>
    <w:rsid w:val="19237B9F"/>
    <w:rsid w:val="19267830"/>
    <w:rsid w:val="192A37C4"/>
    <w:rsid w:val="193327E5"/>
    <w:rsid w:val="193D33F0"/>
    <w:rsid w:val="194009BD"/>
    <w:rsid w:val="19471B5D"/>
    <w:rsid w:val="194859F8"/>
    <w:rsid w:val="195066E0"/>
    <w:rsid w:val="19566367"/>
    <w:rsid w:val="19570467"/>
    <w:rsid w:val="195B56B1"/>
    <w:rsid w:val="197109D1"/>
    <w:rsid w:val="19720A2A"/>
    <w:rsid w:val="19737D0A"/>
    <w:rsid w:val="19744A3F"/>
    <w:rsid w:val="197B5FF6"/>
    <w:rsid w:val="198D5CA8"/>
    <w:rsid w:val="199450E1"/>
    <w:rsid w:val="19AC41D9"/>
    <w:rsid w:val="19AE278A"/>
    <w:rsid w:val="19BB266E"/>
    <w:rsid w:val="19C029FD"/>
    <w:rsid w:val="19C07C84"/>
    <w:rsid w:val="19C67A57"/>
    <w:rsid w:val="19C71013"/>
    <w:rsid w:val="19C86B39"/>
    <w:rsid w:val="19D13C3F"/>
    <w:rsid w:val="19D31807"/>
    <w:rsid w:val="19D63519"/>
    <w:rsid w:val="19D96F98"/>
    <w:rsid w:val="19DE02E9"/>
    <w:rsid w:val="19DF45AE"/>
    <w:rsid w:val="19E41F02"/>
    <w:rsid w:val="19E445A9"/>
    <w:rsid w:val="19EE1931"/>
    <w:rsid w:val="19FD6FB4"/>
    <w:rsid w:val="1A0148B8"/>
    <w:rsid w:val="1A02029D"/>
    <w:rsid w:val="1A1678A4"/>
    <w:rsid w:val="1A1E49AB"/>
    <w:rsid w:val="1A257CDF"/>
    <w:rsid w:val="1A277E63"/>
    <w:rsid w:val="1A2A0014"/>
    <w:rsid w:val="1A3B37AF"/>
    <w:rsid w:val="1A436706"/>
    <w:rsid w:val="1A4743E4"/>
    <w:rsid w:val="1A5503C6"/>
    <w:rsid w:val="1A56092D"/>
    <w:rsid w:val="1A562397"/>
    <w:rsid w:val="1A5A2DE1"/>
    <w:rsid w:val="1A5B3C40"/>
    <w:rsid w:val="1A5F124B"/>
    <w:rsid w:val="1A666E7E"/>
    <w:rsid w:val="1A69031C"/>
    <w:rsid w:val="1A70787E"/>
    <w:rsid w:val="1A750A6F"/>
    <w:rsid w:val="1A7717A5"/>
    <w:rsid w:val="1A796EBF"/>
    <w:rsid w:val="1A8C5009"/>
    <w:rsid w:val="1A9571AB"/>
    <w:rsid w:val="1AA17FFF"/>
    <w:rsid w:val="1AB20159"/>
    <w:rsid w:val="1ABF7F3C"/>
    <w:rsid w:val="1AC13CB4"/>
    <w:rsid w:val="1AE06FED"/>
    <w:rsid w:val="1AE97736"/>
    <w:rsid w:val="1AF11538"/>
    <w:rsid w:val="1AFF1F6C"/>
    <w:rsid w:val="1B0B4F2F"/>
    <w:rsid w:val="1B1262BE"/>
    <w:rsid w:val="1B153DB8"/>
    <w:rsid w:val="1B1F6C2C"/>
    <w:rsid w:val="1B244D45"/>
    <w:rsid w:val="1B367C84"/>
    <w:rsid w:val="1B474E65"/>
    <w:rsid w:val="1B570174"/>
    <w:rsid w:val="1B5C39DD"/>
    <w:rsid w:val="1B5D777F"/>
    <w:rsid w:val="1B5E413C"/>
    <w:rsid w:val="1B614C1F"/>
    <w:rsid w:val="1B6D7998"/>
    <w:rsid w:val="1B76354D"/>
    <w:rsid w:val="1B860A5A"/>
    <w:rsid w:val="1B91134D"/>
    <w:rsid w:val="1B9211AC"/>
    <w:rsid w:val="1B9374DE"/>
    <w:rsid w:val="1B9A2198"/>
    <w:rsid w:val="1BA40968"/>
    <w:rsid w:val="1BA57132"/>
    <w:rsid w:val="1BA809D0"/>
    <w:rsid w:val="1BA90BB8"/>
    <w:rsid w:val="1BB35E2F"/>
    <w:rsid w:val="1BBA7347"/>
    <w:rsid w:val="1BC07E23"/>
    <w:rsid w:val="1BC65AEE"/>
    <w:rsid w:val="1BD0568D"/>
    <w:rsid w:val="1BD27011"/>
    <w:rsid w:val="1BD42A40"/>
    <w:rsid w:val="1BDF0DAF"/>
    <w:rsid w:val="1BF26782"/>
    <w:rsid w:val="1BF42469"/>
    <w:rsid w:val="1C00080C"/>
    <w:rsid w:val="1C1177BB"/>
    <w:rsid w:val="1C1425F4"/>
    <w:rsid w:val="1C1A4476"/>
    <w:rsid w:val="1C1D1B72"/>
    <w:rsid w:val="1C201864"/>
    <w:rsid w:val="1C2564C4"/>
    <w:rsid w:val="1C2920DF"/>
    <w:rsid w:val="1C2A5889"/>
    <w:rsid w:val="1C2D46BF"/>
    <w:rsid w:val="1C3861F8"/>
    <w:rsid w:val="1C3F5DAD"/>
    <w:rsid w:val="1C494732"/>
    <w:rsid w:val="1C4955DC"/>
    <w:rsid w:val="1C4B65ED"/>
    <w:rsid w:val="1C4C57FF"/>
    <w:rsid w:val="1C5363E4"/>
    <w:rsid w:val="1C556DAA"/>
    <w:rsid w:val="1C597F1C"/>
    <w:rsid w:val="1C5D17BA"/>
    <w:rsid w:val="1C6B690B"/>
    <w:rsid w:val="1C7E50D0"/>
    <w:rsid w:val="1C837A09"/>
    <w:rsid w:val="1C93694D"/>
    <w:rsid w:val="1CA06A08"/>
    <w:rsid w:val="1CA127CF"/>
    <w:rsid w:val="1CB515F6"/>
    <w:rsid w:val="1CCC33C4"/>
    <w:rsid w:val="1CD04682"/>
    <w:rsid w:val="1CDB00C3"/>
    <w:rsid w:val="1CE45DB6"/>
    <w:rsid w:val="1CE50760"/>
    <w:rsid w:val="1CE57C07"/>
    <w:rsid w:val="1CEB5018"/>
    <w:rsid w:val="1CFB1DB5"/>
    <w:rsid w:val="1CFE1CD3"/>
    <w:rsid w:val="1D03633C"/>
    <w:rsid w:val="1D0D1432"/>
    <w:rsid w:val="1D167BBB"/>
    <w:rsid w:val="1D214EDE"/>
    <w:rsid w:val="1D262A7D"/>
    <w:rsid w:val="1D2906F2"/>
    <w:rsid w:val="1D375E9C"/>
    <w:rsid w:val="1D4110DC"/>
    <w:rsid w:val="1D4806BC"/>
    <w:rsid w:val="1D495FD0"/>
    <w:rsid w:val="1D502ED2"/>
    <w:rsid w:val="1D556936"/>
    <w:rsid w:val="1D5A267E"/>
    <w:rsid w:val="1D5E34AA"/>
    <w:rsid w:val="1D606212"/>
    <w:rsid w:val="1D69418F"/>
    <w:rsid w:val="1D6C48F6"/>
    <w:rsid w:val="1D72325E"/>
    <w:rsid w:val="1D733EDB"/>
    <w:rsid w:val="1D7E40DE"/>
    <w:rsid w:val="1D7F9BB1"/>
    <w:rsid w:val="1D8611E5"/>
    <w:rsid w:val="1D8C3FF0"/>
    <w:rsid w:val="1D907667"/>
    <w:rsid w:val="1D9931F7"/>
    <w:rsid w:val="1D9B6A3E"/>
    <w:rsid w:val="1D9C27B6"/>
    <w:rsid w:val="1DAB4918"/>
    <w:rsid w:val="1DB16262"/>
    <w:rsid w:val="1DB4365C"/>
    <w:rsid w:val="1DB67273"/>
    <w:rsid w:val="1DBA2C3C"/>
    <w:rsid w:val="1DD51824"/>
    <w:rsid w:val="1DE45416"/>
    <w:rsid w:val="1DEA52D0"/>
    <w:rsid w:val="1DFC2585"/>
    <w:rsid w:val="1E0D4BB8"/>
    <w:rsid w:val="1E207AA3"/>
    <w:rsid w:val="1E2527AC"/>
    <w:rsid w:val="1E29229C"/>
    <w:rsid w:val="1E2B3694"/>
    <w:rsid w:val="1E2F3219"/>
    <w:rsid w:val="1E33115E"/>
    <w:rsid w:val="1E3429EF"/>
    <w:rsid w:val="1E3450BD"/>
    <w:rsid w:val="1E3A76DB"/>
    <w:rsid w:val="1E3B3D7D"/>
    <w:rsid w:val="1E3E59B0"/>
    <w:rsid w:val="1E447672"/>
    <w:rsid w:val="1E544457"/>
    <w:rsid w:val="1E551F1A"/>
    <w:rsid w:val="1E5F67B7"/>
    <w:rsid w:val="1E696B3C"/>
    <w:rsid w:val="1E6B55EB"/>
    <w:rsid w:val="1E7219A1"/>
    <w:rsid w:val="1E7D4396"/>
    <w:rsid w:val="1E8A260F"/>
    <w:rsid w:val="1E8E7A8E"/>
    <w:rsid w:val="1E94288D"/>
    <w:rsid w:val="1EA00084"/>
    <w:rsid w:val="1EA10478"/>
    <w:rsid w:val="1EB41931"/>
    <w:rsid w:val="1EB71B46"/>
    <w:rsid w:val="1EBB71D2"/>
    <w:rsid w:val="1EC137FC"/>
    <w:rsid w:val="1EC37BCD"/>
    <w:rsid w:val="1EC801E5"/>
    <w:rsid w:val="1ECED510"/>
    <w:rsid w:val="1ED61CF8"/>
    <w:rsid w:val="1EE00481"/>
    <w:rsid w:val="1EEE7042"/>
    <w:rsid w:val="1EF6464E"/>
    <w:rsid w:val="1EFC3B58"/>
    <w:rsid w:val="1F1151C2"/>
    <w:rsid w:val="1F187E58"/>
    <w:rsid w:val="1F1E074B"/>
    <w:rsid w:val="1F244811"/>
    <w:rsid w:val="1F2726C5"/>
    <w:rsid w:val="1F29084A"/>
    <w:rsid w:val="1F290A0E"/>
    <w:rsid w:val="1F2A69A4"/>
    <w:rsid w:val="1F346AB5"/>
    <w:rsid w:val="1F3FDFFC"/>
    <w:rsid w:val="1F4D5417"/>
    <w:rsid w:val="1F595559"/>
    <w:rsid w:val="1F640DA5"/>
    <w:rsid w:val="1F7431C0"/>
    <w:rsid w:val="1F75506D"/>
    <w:rsid w:val="1F7C289F"/>
    <w:rsid w:val="1F7D3F22"/>
    <w:rsid w:val="1F830BD9"/>
    <w:rsid w:val="1F850636"/>
    <w:rsid w:val="1F8A6087"/>
    <w:rsid w:val="1F95570F"/>
    <w:rsid w:val="1F9F1946"/>
    <w:rsid w:val="1FA31BDA"/>
    <w:rsid w:val="1FAA5C2F"/>
    <w:rsid w:val="1FB05D8B"/>
    <w:rsid w:val="1FB24013"/>
    <w:rsid w:val="1FB262C1"/>
    <w:rsid w:val="1FB406F8"/>
    <w:rsid w:val="1FB979B9"/>
    <w:rsid w:val="1FC85AE5"/>
    <w:rsid w:val="1FCD6C57"/>
    <w:rsid w:val="1FEC3AE3"/>
    <w:rsid w:val="1FEE2F5C"/>
    <w:rsid w:val="1FEF4AE7"/>
    <w:rsid w:val="1FFF9B72"/>
    <w:rsid w:val="20014B53"/>
    <w:rsid w:val="200A3A07"/>
    <w:rsid w:val="2018760F"/>
    <w:rsid w:val="2020147D"/>
    <w:rsid w:val="20210F16"/>
    <w:rsid w:val="202919B6"/>
    <w:rsid w:val="20445877"/>
    <w:rsid w:val="206155F1"/>
    <w:rsid w:val="206A36D3"/>
    <w:rsid w:val="206C021E"/>
    <w:rsid w:val="206C2914"/>
    <w:rsid w:val="20713A86"/>
    <w:rsid w:val="209B0B03"/>
    <w:rsid w:val="20A51982"/>
    <w:rsid w:val="20A61B12"/>
    <w:rsid w:val="20A7794A"/>
    <w:rsid w:val="20AA2020"/>
    <w:rsid w:val="20B81D58"/>
    <w:rsid w:val="20BB1426"/>
    <w:rsid w:val="20C30596"/>
    <w:rsid w:val="20C46836"/>
    <w:rsid w:val="20D010D1"/>
    <w:rsid w:val="20D26C9E"/>
    <w:rsid w:val="20DB35F6"/>
    <w:rsid w:val="20DD1972"/>
    <w:rsid w:val="20DD736E"/>
    <w:rsid w:val="20E11DC2"/>
    <w:rsid w:val="20E224E5"/>
    <w:rsid w:val="20E22DB1"/>
    <w:rsid w:val="20EA2A65"/>
    <w:rsid w:val="20ED3DE4"/>
    <w:rsid w:val="20FD5B68"/>
    <w:rsid w:val="210B284C"/>
    <w:rsid w:val="21156B08"/>
    <w:rsid w:val="211F34E2"/>
    <w:rsid w:val="2120725A"/>
    <w:rsid w:val="2131111E"/>
    <w:rsid w:val="21327632"/>
    <w:rsid w:val="213A656E"/>
    <w:rsid w:val="214B2529"/>
    <w:rsid w:val="215018EE"/>
    <w:rsid w:val="21530394"/>
    <w:rsid w:val="215D3B26"/>
    <w:rsid w:val="2160182E"/>
    <w:rsid w:val="216703B6"/>
    <w:rsid w:val="216E5668"/>
    <w:rsid w:val="21714784"/>
    <w:rsid w:val="21771570"/>
    <w:rsid w:val="217A2425"/>
    <w:rsid w:val="21977533"/>
    <w:rsid w:val="219851B9"/>
    <w:rsid w:val="21986A4E"/>
    <w:rsid w:val="219D08AB"/>
    <w:rsid w:val="21AE70D7"/>
    <w:rsid w:val="21B0066E"/>
    <w:rsid w:val="21B36881"/>
    <w:rsid w:val="21B75D99"/>
    <w:rsid w:val="21BE719F"/>
    <w:rsid w:val="21D53A09"/>
    <w:rsid w:val="21D56297"/>
    <w:rsid w:val="21E939F3"/>
    <w:rsid w:val="21FE58F7"/>
    <w:rsid w:val="221E3160"/>
    <w:rsid w:val="224C70F0"/>
    <w:rsid w:val="226F5DBF"/>
    <w:rsid w:val="227C0EC4"/>
    <w:rsid w:val="22885270"/>
    <w:rsid w:val="229879F0"/>
    <w:rsid w:val="229B303C"/>
    <w:rsid w:val="22A85759"/>
    <w:rsid w:val="22AE3AA8"/>
    <w:rsid w:val="22BF0D9E"/>
    <w:rsid w:val="22BF6927"/>
    <w:rsid w:val="22CB676E"/>
    <w:rsid w:val="22E440E3"/>
    <w:rsid w:val="22E460A7"/>
    <w:rsid w:val="22E72668"/>
    <w:rsid w:val="22E9024C"/>
    <w:rsid w:val="231921B3"/>
    <w:rsid w:val="231A62E5"/>
    <w:rsid w:val="232D371B"/>
    <w:rsid w:val="232F0909"/>
    <w:rsid w:val="23337719"/>
    <w:rsid w:val="233961B3"/>
    <w:rsid w:val="233A4054"/>
    <w:rsid w:val="233A6C4C"/>
    <w:rsid w:val="233D7991"/>
    <w:rsid w:val="234611FA"/>
    <w:rsid w:val="23474F72"/>
    <w:rsid w:val="235A2EF8"/>
    <w:rsid w:val="235D4796"/>
    <w:rsid w:val="2366364A"/>
    <w:rsid w:val="23694EE9"/>
    <w:rsid w:val="236A32F1"/>
    <w:rsid w:val="236E69A3"/>
    <w:rsid w:val="23746A60"/>
    <w:rsid w:val="2378512C"/>
    <w:rsid w:val="237F64BA"/>
    <w:rsid w:val="239A04EF"/>
    <w:rsid w:val="23A45F21"/>
    <w:rsid w:val="23A979DB"/>
    <w:rsid w:val="23AC0FD2"/>
    <w:rsid w:val="23B02761"/>
    <w:rsid w:val="23BC770E"/>
    <w:rsid w:val="23CD6E0A"/>
    <w:rsid w:val="23D16494"/>
    <w:rsid w:val="23D305B4"/>
    <w:rsid w:val="23D52D24"/>
    <w:rsid w:val="23D82733"/>
    <w:rsid w:val="23DC384B"/>
    <w:rsid w:val="23DF21DE"/>
    <w:rsid w:val="23ED666D"/>
    <w:rsid w:val="23F65209"/>
    <w:rsid w:val="24080638"/>
    <w:rsid w:val="242332EA"/>
    <w:rsid w:val="24271EF9"/>
    <w:rsid w:val="242B169C"/>
    <w:rsid w:val="243A0633"/>
    <w:rsid w:val="244018D4"/>
    <w:rsid w:val="244A4D4D"/>
    <w:rsid w:val="244D236D"/>
    <w:rsid w:val="244F6DB9"/>
    <w:rsid w:val="246D6DF6"/>
    <w:rsid w:val="24763D61"/>
    <w:rsid w:val="24774BDC"/>
    <w:rsid w:val="248021E9"/>
    <w:rsid w:val="248144B4"/>
    <w:rsid w:val="24872B02"/>
    <w:rsid w:val="248E3007"/>
    <w:rsid w:val="249441E7"/>
    <w:rsid w:val="24BF4C2F"/>
    <w:rsid w:val="24C30629"/>
    <w:rsid w:val="24C745BD"/>
    <w:rsid w:val="24D06014"/>
    <w:rsid w:val="24D171E9"/>
    <w:rsid w:val="24D259C4"/>
    <w:rsid w:val="24D90223"/>
    <w:rsid w:val="24DB0068"/>
    <w:rsid w:val="24DD7B5D"/>
    <w:rsid w:val="24E863F3"/>
    <w:rsid w:val="24EE7ED0"/>
    <w:rsid w:val="24F44FF1"/>
    <w:rsid w:val="24FA1965"/>
    <w:rsid w:val="250F1AC0"/>
    <w:rsid w:val="252249A3"/>
    <w:rsid w:val="2522679D"/>
    <w:rsid w:val="252437BD"/>
    <w:rsid w:val="252C2320"/>
    <w:rsid w:val="253432D4"/>
    <w:rsid w:val="253439FF"/>
    <w:rsid w:val="253B4663"/>
    <w:rsid w:val="253E2650"/>
    <w:rsid w:val="25494795"/>
    <w:rsid w:val="25502DD1"/>
    <w:rsid w:val="25585824"/>
    <w:rsid w:val="25622B0F"/>
    <w:rsid w:val="25665B84"/>
    <w:rsid w:val="25685726"/>
    <w:rsid w:val="25700120"/>
    <w:rsid w:val="257B10A7"/>
    <w:rsid w:val="257E2B4A"/>
    <w:rsid w:val="258C7A56"/>
    <w:rsid w:val="2593624D"/>
    <w:rsid w:val="25950217"/>
    <w:rsid w:val="25A0096A"/>
    <w:rsid w:val="25A466AC"/>
    <w:rsid w:val="25A91F14"/>
    <w:rsid w:val="25AB3597"/>
    <w:rsid w:val="25B368EF"/>
    <w:rsid w:val="25B83057"/>
    <w:rsid w:val="25BC08A2"/>
    <w:rsid w:val="25C07D2D"/>
    <w:rsid w:val="25D32AED"/>
    <w:rsid w:val="25D728C0"/>
    <w:rsid w:val="25EA2B31"/>
    <w:rsid w:val="25EA666C"/>
    <w:rsid w:val="25F747AF"/>
    <w:rsid w:val="25F860EB"/>
    <w:rsid w:val="2600794E"/>
    <w:rsid w:val="260158AC"/>
    <w:rsid w:val="260C7AAD"/>
    <w:rsid w:val="260D5FFF"/>
    <w:rsid w:val="263B7010"/>
    <w:rsid w:val="26422E9B"/>
    <w:rsid w:val="265A5C0C"/>
    <w:rsid w:val="2670658E"/>
    <w:rsid w:val="26764558"/>
    <w:rsid w:val="2677791D"/>
    <w:rsid w:val="267A2D1E"/>
    <w:rsid w:val="26804A23"/>
    <w:rsid w:val="26864004"/>
    <w:rsid w:val="26914FE9"/>
    <w:rsid w:val="26A06E73"/>
    <w:rsid w:val="26A47BFF"/>
    <w:rsid w:val="26BE5FC5"/>
    <w:rsid w:val="26C64400"/>
    <w:rsid w:val="26CF19C2"/>
    <w:rsid w:val="26D92D41"/>
    <w:rsid w:val="26DE799C"/>
    <w:rsid w:val="26E414EB"/>
    <w:rsid w:val="26E42362"/>
    <w:rsid w:val="26F50C55"/>
    <w:rsid w:val="270A7415"/>
    <w:rsid w:val="270C5331"/>
    <w:rsid w:val="270E64D3"/>
    <w:rsid w:val="271A594C"/>
    <w:rsid w:val="27266F5B"/>
    <w:rsid w:val="272A01DA"/>
    <w:rsid w:val="272C6959"/>
    <w:rsid w:val="273121C1"/>
    <w:rsid w:val="27343A60"/>
    <w:rsid w:val="27400942"/>
    <w:rsid w:val="274F318F"/>
    <w:rsid w:val="275238C7"/>
    <w:rsid w:val="275E288B"/>
    <w:rsid w:val="276A25B5"/>
    <w:rsid w:val="277D5407"/>
    <w:rsid w:val="278247CB"/>
    <w:rsid w:val="27856069"/>
    <w:rsid w:val="279C2835"/>
    <w:rsid w:val="279D1605"/>
    <w:rsid w:val="27A26C29"/>
    <w:rsid w:val="27A44741"/>
    <w:rsid w:val="27B0758A"/>
    <w:rsid w:val="27DB3502"/>
    <w:rsid w:val="27DD49AF"/>
    <w:rsid w:val="27E2526A"/>
    <w:rsid w:val="27F154AD"/>
    <w:rsid w:val="27F81395"/>
    <w:rsid w:val="28065AF3"/>
    <w:rsid w:val="280B1A82"/>
    <w:rsid w:val="28127295"/>
    <w:rsid w:val="281766AC"/>
    <w:rsid w:val="281D44F4"/>
    <w:rsid w:val="281F0080"/>
    <w:rsid w:val="281F026C"/>
    <w:rsid w:val="28232772"/>
    <w:rsid w:val="28245882"/>
    <w:rsid w:val="2826784C"/>
    <w:rsid w:val="283048B1"/>
    <w:rsid w:val="28387B79"/>
    <w:rsid w:val="283F26BC"/>
    <w:rsid w:val="28427911"/>
    <w:rsid w:val="284657F9"/>
    <w:rsid w:val="284F2D0E"/>
    <w:rsid w:val="285B7A54"/>
    <w:rsid w:val="28615C98"/>
    <w:rsid w:val="28724840"/>
    <w:rsid w:val="2879797C"/>
    <w:rsid w:val="28845976"/>
    <w:rsid w:val="2886653D"/>
    <w:rsid w:val="288E0245"/>
    <w:rsid w:val="288E0F4E"/>
    <w:rsid w:val="28944BAE"/>
    <w:rsid w:val="28A54C15"/>
    <w:rsid w:val="28A6141E"/>
    <w:rsid w:val="28C65634"/>
    <w:rsid w:val="28CE5541"/>
    <w:rsid w:val="28D23742"/>
    <w:rsid w:val="28DC43AF"/>
    <w:rsid w:val="28EA087A"/>
    <w:rsid w:val="28EF36B9"/>
    <w:rsid w:val="28EF7C3E"/>
    <w:rsid w:val="29017971"/>
    <w:rsid w:val="2908648D"/>
    <w:rsid w:val="290A4A78"/>
    <w:rsid w:val="290C5ACE"/>
    <w:rsid w:val="29127DD1"/>
    <w:rsid w:val="29155A04"/>
    <w:rsid w:val="291D0C4F"/>
    <w:rsid w:val="29201209"/>
    <w:rsid w:val="292E4C0A"/>
    <w:rsid w:val="292F0982"/>
    <w:rsid w:val="292F2E7A"/>
    <w:rsid w:val="2940049A"/>
    <w:rsid w:val="29401FE7"/>
    <w:rsid w:val="29414BE5"/>
    <w:rsid w:val="29475CCC"/>
    <w:rsid w:val="295F65D8"/>
    <w:rsid w:val="296028EA"/>
    <w:rsid w:val="29626662"/>
    <w:rsid w:val="29750330"/>
    <w:rsid w:val="29785E86"/>
    <w:rsid w:val="297A7BB1"/>
    <w:rsid w:val="29817776"/>
    <w:rsid w:val="298F4EE5"/>
    <w:rsid w:val="29900AF5"/>
    <w:rsid w:val="29915199"/>
    <w:rsid w:val="299C44DE"/>
    <w:rsid w:val="29A70519"/>
    <w:rsid w:val="29AB31B9"/>
    <w:rsid w:val="29B36EBE"/>
    <w:rsid w:val="29BB5D72"/>
    <w:rsid w:val="29C63095"/>
    <w:rsid w:val="29CB1ED3"/>
    <w:rsid w:val="29CB5A75"/>
    <w:rsid w:val="29F7616C"/>
    <w:rsid w:val="29FC57B3"/>
    <w:rsid w:val="29FC6EAF"/>
    <w:rsid w:val="2A1856DC"/>
    <w:rsid w:val="2A19034C"/>
    <w:rsid w:val="2A24364B"/>
    <w:rsid w:val="2A273408"/>
    <w:rsid w:val="2A336C8D"/>
    <w:rsid w:val="2A353998"/>
    <w:rsid w:val="2A557566"/>
    <w:rsid w:val="2A634AE6"/>
    <w:rsid w:val="2A636B36"/>
    <w:rsid w:val="2A6425B4"/>
    <w:rsid w:val="2A750617"/>
    <w:rsid w:val="2A7A5C2D"/>
    <w:rsid w:val="2AA131BA"/>
    <w:rsid w:val="2AA80CAF"/>
    <w:rsid w:val="2AB033FD"/>
    <w:rsid w:val="2AB52B4E"/>
    <w:rsid w:val="2ABB12BD"/>
    <w:rsid w:val="2AC11AAE"/>
    <w:rsid w:val="2AD3590E"/>
    <w:rsid w:val="2AD451E8"/>
    <w:rsid w:val="2ADC2A0B"/>
    <w:rsid w:val="2ADE7F6A"/>
    <w:rsid w:val="2AE966F2"/>
    <w:rsid w:val="2AED5233"/>
    <w:rsid w:val="2AF07C9E"/>
    <w:rsid w:val="2AF15231"/>
    <w:rsid w:val="2AF465F1"/>
    <w:rsid w:val="2AF76522"/>
    <w:rsid w:val="2AFF2E06"/>
    <w:rsid w:val="2B070785"/>
    <w:rsid w:val="2B083239"/>
    <w:rsid w:val="2B110340"/>
    <w:rsid w:val="2B1823DD"/>
    <w:rsid w:val="2B195BEE"/>
    <w:rsid w:val="2B211B1F"/>
    <w:rsid w:val="2B253B3A"/>
    <w:rsid w:val="2B377D46"/>
    <w:rsid w:val="2B3E6C5B"/>
    <w:rsid w:val="2B473D61"/>
    <w:rsid w:val="2B475F3E"/>
    <w:rsid w:val="2B4843B6"/>
    <w:rsid w:val="2B4A4C91"/>
    <w:rsid w:val="2B4E3EA7"/>
    <w:rsid w:val="2B53729A"/>
    <w:rsid w:val="2B5559BD"/>
    <w:rsid w:val="2B5F2A60"/>
    <w:rsid w:val="2B6622A3"/>
    <w:rsid w:val="2B6E226F"/>
    <w:rsid w:val="2B741F54"/>
    <w:rsid w:val="2B77216D"/>
    <w:rsid w:val="2B7E614C"/>
    <w:rsid w:val="2B8516E3"/>
    <w:rsid w:val="2BA2368E"/>
    <w:rsid w:val="2BA2543C"/>
    <w:rsid w:val="2BA966CA"/>
    <w:rsid w:val="2BAA0794"/>
    <w:rsid w:val="2BAF1907"/>
    <w:rsid w:val="2BB42139"/>
    <w:rsid w:val="2BB5161D"/>
    <w:rsid w:val="2BB86A0D"/>
    <w:rsid w:val="2BBB79FD"/>
    <w:rsid w:val="2BBE7741"/>
    <w:rsid w:val="2BC52ED8"/>
    <w:rsid w:val="2BC74169"/>
    <w:rsid w:val="2BC95556"/>
    <w:rsid w:val="2BD05FDF"/>
    <w:rsid w:val="2BF343F3"/>
    <w:rsid w:val="2C023933"/>
    <w:rsid w:val="2C1A56AF"/>
    <w:rsid w:val="2C1D2D14"/>
    <w:rsid w:val="2C1F4711"/>
    <w:rsid w:val="2C214146"/>
    <w:rsid w:val="2C22657D"/>
    <w:rsid w:val="2C231C6F"/>
    <w:rsid w:val="2C2355B3"/>
    <w:rsid w:val="2C245E51"/>
    <w:rsid w:val="2C2E4F21"/>
    <w:rsid w:val="2C31056E"/>
    <w:rsid w:val="2C3639E8"/>
    <w:rsid w:val="2C372028"/>
    <w:rsid w:val="2C434A76"/>
    <w:rsid w:val="2C456CEE"/>
    <w:rsid w:val="2C534988"/>
    <w:rsid w:val="2C5F332D"/>
    <w:rsid w:val="2C624BCB"/>
    <w:rsid w:val="2C626979"/>
    <w:rsid w:val="2C6941AB"/>
    <w:rsid w:val="2C7373D2"/>
    <w:rsid w:val="2C7C78C3"/>
    <w:rsid w:val="2C9C33F7"/>
    <w:rsid w:val="2CB2296E"/>
    <w:rsid w:val="2CB27900"/>
    <w:rsid w:val="2CBC7A94"/>
    <w:rsid w:val="2CC71744"/>
    <w:rsid w:val="2CC94C4A"/>
    <w:rsid w:val="2CCE2260"/>
    <w:rsid w:val="2CD233DA"/>
    <w:rsid w:val="2D037DB8"/>
    <w:rsid w:val="2D0543E6"/>
    <w:rsid w:val="2D0978AA"/>
    <w:rsid w:val="2D0E339D"/>
    <w:rsid w:val="2D0E50C2"/>
    <w:rsid w:val="2D1F015C"/>
    <w:rsid w:val="2D2020B0"/>
    <w:rsid w:val="2D312900"/>
    <w:rsid w:val="2D346567"/>
    <w:rsid w:val="2D360531"/>
    <w:rsid w:val="2D370F54"/>
    <w:rsid w:val="2D371DC3"/>
    <w:rsid w:val="2D4434C9"/>
    <w:rsid w:val="2D463ACD"/>
    <w:rsid w:val="2D4F33A1"/>
    <w:rsid w:val="2D4F6EFD"/>
    <w:rsid w:val="2D564730"/>
    <w:rsid w:val="2D580DD2"/>
    <w:rsid w:val="2D6023B1"/>
    <w:rsid w:val="2D60735C"/>
    <w:rsid w:val="2D623374"/>
    <w:rsid w:val="2D6327A4"/>
    <w:rsid w:val="2D663273"/>
    <w:rsid w:val="2D6D5C86"/>
    <w:rsid w:val="2D6F2366"/>
    <w:rsid w:val="2D713318"/>
    <w:rsid w:val="2D7F006D"/>
    <w:rsid w:val="2D895B7E"/>
    <w:rsid w:val="2DA82AB1"/>
    <w:rsid w:val="2DAC3172"/>
    <w:rsid w:val="2DAC4350"/>
    <w:rsid w:val="2DB6793F"/>
    <w:rsid w:val="2DD07BDA"/>
    <w:rsid w:val="2DD57A31"/>
    <w:rsid w:val="2DDD16BD"/>
    <w:rsid w:val="2DDE6D07"/>
    <w:rsid w:val="2DE33E32"/>
    <w:rsid w:val="2DE52846"/>
    <w:rsid w:val="2DE7182C"/>
    <w:rsid w:val="2DE73D29"/>
    <w:rsid w:val="2DF45CF7"/>
    <w:rsid w:val="2DF90AA0"/>
    <w:rsid w:val="2DFD07F3"/>
    <w:rsid w:val="2E0C7137"/>
    <w:rsid w:val="2E110657"/>
    <w:rsid w:val="2E154310"/>
    <w:rsid w:val="2E162C88"/>
    <w:rsid w:val="2E277E7A"/>
    <w:rsid w:val="2E283EF2"/>
    <w:rsid w:val="2E284C0B"/>
    <w:rsid w:val="2E3B71C5"/>
    <w:rsid w:val="2E3F09E8"/>
    <w:rsid w:val="2E4B6EAB"/>
    <w:rsid w:val="2E4F1947"/>
    <w:rsid w:val="2E547F14"/>
    <w:rsid w:val="2E586286"/>
    <w:rsid w:val="2E641A7D"/>
    <w:rsid w:val="2E6734E3"/>
    <w:rsid w:val="2E6F6A87"/>
    <w:rsid w:val="2E70537D"/>
    <w:rsid w:val="2E724E76"/>
    <w:rsid w:val="2E734E6D"/>
    <w:rsid w:val="2E772BB0"/>
    <w:rsid w:val="2E8157DC"/>
    <w:rsid w:val="2E8775D6"/>
    <w:rsid w:val="2E96584B"/>
    <w:rsid w:val="2E996D16"/>
    <w:rsid w:val="2E9C2616"/>
    <w:rsid w:val="2EA50BEE"/>
    <w:rsid w:val="2EBC6814"/>
    <w:rsid w:val="2ED17FB6"/>
    <w:rsid w:val="2ED3590C"/>
    <w:rsid w:val="2ED6247B"/>
    <w:rsid w:val="2EEC779B"/>
    <w:rsid w:val="2F0106CB"/>
    <w:rsid w:val="2F085084"/>
    <w:rsid w:val="2F0F2DE8"/>
    <w:rsid w:val="2F115C87"/>
    <w:rsid w:val="2F24188F"/>
    <w:rsid w:val="2F260132"/>
    <w:rsid w:val="2F316EB3"/>
    <w:rsid w:val="2F391C13"/>
    <w:rsid w:val="2F47706D"/>
    <w:rsid w:val="2F52555A"/>
    <w:rsid w:val="2F5F101A"/>
    <w:rsid w:val="2F6A001E"/>
    <w:rsid w:val="2F7442E4"/>
    <w:rsid w:val="2F76EB0D"/>
    <w:rsid w:val="2F8F429B"/>
    <w:rsid w:val="2F8F7515"/>
    <w:rsid w:val="2F9F5292"/>
    <w:rsid w:val="2FA01C92"/>
    <w:rsid w:val="2FB233B7"/>
    <w:rsid w:val="2FB27C17"/>
    <w:rsid w:val="2FCC0CD9"/>
    <w:rsid w:val="2FCE3E3B"/>
    <w:rsid w:val="2FD07D6B"/>
    <w:rsid w:val="2FD14541"/>
    <w:rsid w:val="2FD26231"/>
    <w:rsid w:val="2FD47B8E"/>
    <w:rsid w:val="2FD85A13"/>
    <w:rsid w:val="2FF30683"/>
    <w:rsid w:val="2FF3270A"/>
    <w:rsid w:val="2FFE2E5D"/>
    <w:rsid w:val="300315B9"/>
    <w:rsid w:val="30074CFA"/>
    <w:rsid w:val="30116076"/>
    <w:rsid w:val="30136908"/>
    <w:rsid w:val="30146F8B"/>
    <w:rsid w:val="30224D9D"/>
    <w:rsid w:val="302802A3"/>
    <w:rsid w:val="302A245E"/>
    <w:rsid w:val="303321F6"/>
    <w:rsid w:val="303C4D07"/>
    <w:rsid w:val="303D0DFC"/>
    <w:rsid w:val="30542A7D"/>
    <w:rsid w:val="306929CC"/>
    <w:rsid w:val="306A22A0"/>
    <w:rsid w:val="30737D00"/>
    <w:rsid w:val="3075311F"/>
    <w:rsid w:val="307B05C4"/>
    <w:rsid w:val="307D1EE9"/>
    <w:rsid w:val="307F5C1F"/>
    <w:rsid w:val="30803872"/>
    <w:rsid w:val="3086532C"/>
    <w:rsid w:val="308C0468"/>
    <w:rsid w:val="30904174"/>
    <w:rsid w:val="309441E9"/>
    <w:rsid w:val="309B5748"/>
    <w:rsid w:val="30B11C7D"/>
    <w:rsid w:val="30B40A52"/>
    <w:rsid w:val="30B443D8"/>
    <w:rsid w:val="30BA6D84"/>
    <w:rsid w:val="30C168E2"/>
    <w:rsid w:val="30CB180D"/>
    <w:rsid w:val="30CD2F5B"/>
    <w:rsid w:val="30D11AE7"/>
    <w:rsid w:val="30D616E4"/>
    <w:rsid w:val="30EB1633"/>
    <w:rsid w:val="30EE1123"/>
    <w:rsid w:val="30EF220B"/>
    <w:rsid w:val="30F5437F"/>
    <w:rsid w:val="30FB3EF8"/>
    <w:rsid w:val="30FF0C3A"/>
    <w:rsid w:val="310B0D65"/>
    <w:rsid w:val="31112915"/>
    <w:rsid w:val="31175F84"/>
    <w:rsid w:val="31181CFC"/>
    <w:rsid w:val="31245F91"/>
    <w:rsid w:val="31304586"/>
    <w:rsid w:val="313B0E53"/>
    <w:rsid w:val="314E392A"/>
    <w:rsid w:val="3150593A"/>
    <w:rsid w:val="3152520E"/>
    <w:rsid w:val="315679FF"/>
    <w:rsid w:val="31677002"/>
    <w:rsid w:val="31807FCD"/>
    <w:rsid w:val="318A3E92"/>
    <w:rsid w:val="31905D36"/>
    <w:rsid w:val="319925E7"/>
    <w:rsid w:val="31A0241D"/>
    <w:rsid w:val="31A37DE9"/>
    <w:rsid w:val="31AC0C90"/>
    <w:rsid w:val="31B41A25"/>
    <w:rsid w:val="31BB2DB3"/>
    <w:rsid w:val="31C54E28"/>
    <w:rsid w:val="31C840A2"/>
    <w:rsid w:val="31C94250"/>
    <w:rsid w:val="31CB2007"/>
    <w:rsid w:val="31D64091"/>
    <w:rsid w:val="31DB79D8"/>
    <w:rsid w:val="31DF79A9"/>
    <w:rsid w:val="31FB58A6"/>
    <w:rsid w:val="31FE5396"/>
    <w:rsid w:val="31FF7744"/>
    <w:rsid w:val="32034EF7"/>
    <w:rsid w:val="3210328B"/>
    <w:rsid w:val="32145110"/>
    <w:rsid w:val="321B2E89"/>
    <w:rsid w:val="322546D1"/>
    <w:rsid w:val="322B3707"/>
    <w:rsid w:val="322C43BA"/>
    <w:rsid w:val="322C4B15"/>
    <w:rsid w:val="322F5EB7"/>
    <w:rsid w:val="322F7E5B"/>
    <w:rsid w:val="32452FC5"/>
    <w:rsid w:val="32500091"/>
    <w:rsid w:val="325829EC"/>
    <w:rsid w:val="32586854"/>
    <w:rsid w:val="325A5DCC"/>
    <w:rsid w:val="325D20BC"/>
    <w:rsid w:val="32680F89"/>
    <w:rsid w:val="3275602C"/>
    <w:rsid w:val="327918AA"/>
    <w:rsid w:val="32841A47"/>
    <w:rsid w:val="32847224"/>
    <w:rsid w:val="32870EE7"/>
    <w:rsid w:val="328E671A"/>
    <w:rsid w:val="329362BA"/>
    <w:rsid w:val="32A24A38"/>
    <w:rsid w:val="32A61CB5"/>
    <w:rsid w:val="32B45DAE"/>
    <w:rsid w:val="32BF68D3"/>
    <w:rsid w:val="32C75788"/>
    <w:rsid w:val="32CE6B16"/>
    <w:rsid w:val="32D76AD3"/>
    <w:rsid w:val="32DA370D"/>
    <w:rsid w:val="32E20814"/>
    <w:rsid w:val="32E43F45"/>
    <w:rsid w:val="32F26CA9"/>
    <w:rsid w:val="32F72511"/>
    <w:rsid w:val="32FF13C6"/>
    <w:rsid w:val="33152498"/>
    <w:rsid w:val="331A1D5C"/>
    <w:rsid w:val="3321758E"/>
    <w:rsid w:val="33226E62"/>
    <w:rsid w:val="33266952"/>
    <w:rsid w:val="332B3F69"/>
    <w:rsid w:val="332E1CAB"/>
    <w:rsid w:val="333170A5"/>
    <w:rsid w:val="3344502A"/>
    <w:rsid w:val="335E1C38"/>
    <w:rsid w:val="336417E9"/>
    <w:rsid w:val="33661C03"/>
    <w:rsid w:val="33663BDB"/>
    <w:rsid w:val="33663C98"/>
    <w:rsid w:val="33694A91"/>
    <w:rsid w:val="33934B57"/>
    <w:rsid w:val="339D6506"/>
    <w:rsid w:val="33A61841"/>
    <w:rsid w:val="33A65CE5"/>
    <w:rsid w:val="33A87367"/>
    <w:rsid w:val="33B05759"/>
    <w:rsid w:val="33B14B36"/>
    <w:rsid w:val="33CB74FA"/>
    <w:rsid w:val="33E04D53"/>
    <w:rsid w:val="33E36AB9"/>
    <w:rsid w:val="33E72C31"/>
    <w:rsid w:val="33ED121E"/>
    <w:rsid w:val="33F70598"/>
    <w:rsid w:val="33FD6212"/>
    <w:rsid w:val="34117602"/>
    <w:rsid w:val="341838CF"/>
    <w:rsid w:val="342310E4"/>
    <w:rsid w:val="342A2472"/>
    <w:rsid w:val="34391824"/>
    <w:rsid w:val="34425A0E"/>
    <w:rsid w:val="3446796C"/>
    <w:rsid w:val="345816AA"/>
    <w:rsid w:val="345A3DD4"/>
    <w:rsid w:val="34620231"/>
    <w:rsid w:val="346F27C6"/>
    <w:rsid w:val="34711F46"/>
    <w:rsid w:val="34745A79"/>
    <w:rsid w:val="34776B46"/>
    <w:rsid w:val="347A51A8"/>
    <w:rsid w:val="34815534"/>
    <w:rsid w:val="34844D32"/>
    <w:rsid w:val="348F6779"/>
    <w:rsid w:val="3498775D"/>
    <w:rsid w:val="34A00474"/>
    <w:rsid w:val="34B14942"/>
    <w:rsid w:val="34D36666"/>
    <w:rsid w:val="34D71CBF"/>
    <w:rsid w:val="34DD74E5"/>
    <w:rsid w:val="34DF14AF"/>
    <w:rsid w:val="34DF263D"/>
    <w:rsid w:val="34E62438"/>
    <w:rsid w:val="34E806FB"/>
    <w:rsid w:val="34EF7816"/>
    <w:rsid w:val="34F211E2"/>
    <w:rsid w:val="34F74E78"/>
    <w:rsid w:val="350727B3"/>
    <w:rsid w:val="35223149"/>
    <w:rsid w:val="35284C04"/>
    <w:rsid w:val="352E1AEE"/>
    <w:rsid w:val="353646D6"/>
    <w:rsid w:val="353B03CE"/>
    <w:rsid w:val="353C4CEF"/>
    <w:rsid w:val="35487054"/>
    <w:rsid w:val="355635F9"/>
    <w:rsid w:val="35571045"/>
    <w:rsid w:val="35575DD8"/>
    <w:rsid w:val="355F0E30"/>
    <w:rsid w:val="35677F85"/>
    <w:rsid w:val="357E2A76"/>
    <w:rsid w:val="3583585A"/>
    <w:rsid w:val="35894BF6"/>
    <w:rsid w:val="358A766C"/>
    <w:rsid w:val="3593266D"/>
    <w:rsid w:val="35941D23"/>
    <w:rsid w:val="35961234"/>
    <w:rsid w:val="35A061C5"/>
    <w:rsid w:val="35B56328"/>
    <w:rsid w:val="35B60028"/>
    <w:rsid w:val="35B83942"/>
    <w:rsid w:val="35B923B1"/>
    <w:rsid w:val="35BE2E72"/>
    <w:rsid w:val="35C366DA"/>
    <w:rsid w:val="35C44201"/>
    <w:rsid w:val="35C67F79"/>
    <w:rsid w:val="35CE332E"/>
    <w:rsid w:val="35CF507F"/>
    <w:rsid w:val="35D07049"/>
    <w:rsid w:val="35D84564"/>
    <w:rsid w:val="35EE332A"/>
    <w:rsid w:val="35EF585C"/>
    <w:rsid w:val="36011A9C"/>
    <w:rsid w:val="360F5C2A"/>
    <w:rsid w:val="36162CAE"/>
    <w:rsid w:val="36174C78"/>
    <w:rsid w:val="36210B20"/>
    <w:rsid w:val="362D0788"/>
    <w:rsid w:val="36300F1A"/>
    <w:rsid w:val="36301896"/>
    <w:rsid w:val="36433785"/>
    <w:rsid w:val="365657A0"/>
    <w:rsid w:val="36586B29"/>
    <w:rsid w:val="36633A19"/>
    <w:rsid w:val="367C4861"/>
    <w:rsid w:val="367E6AA5"/>
    <w:rsid w:val="36806379"/>
    <w:rsid w:val="368C4D1E"/>
    <w:rsid w:val="368F2A60"/>
    <w:rsid w:val="36965B9D"/>
    <w:rsid w:val="36975981"/>
    <w:rsid w:val="36987D7C"/>
    <w:rsid w:val="369D6F2B"/>
    <w:rsid w:val="36A323F3"/>
    <w:rsid w:val="36AA789A"/>
    <w:rsid w:val="36AC298D"/>
    <w:rsid w:val="36AE1139"/>
    <w:rsid w:val="36BA08DC"/>
    <w:rsid w:val="36BB1AA7"/>
    <w:rsid w:val="36BB1F79"/>
    <w:rsid w:val="36CA241F"/>
    <w:rsid w:val="36CD016C"/>
    <w:rsid w:val="36CE5A1E"/>
    <w:rsid w:val="36D861B6"/>
    <w:rsid w:val="36D86939"/>
    <w:rsid w:val="36E74BCF"/>
    <w:rsid w:val="36F06EBF"/>
    <w:rsid w:val="36F36094"/>
    <w:rsid w:val="36FA545B"/>
    <w:rsid w:val="37005E85"/>
    <w:rsid w:val="37032EE2"/>
    <w:rsid w:val="37052D23"/>
    <w:rsid w:val="3706381E"/>
    <w:rsid w:val="37115D1B"/>
    <w:rsid w:val="37132D3F"/>
    <w:rsid w:val="37164F30"/>
    <w:rsid w:val="371B2546"/>
    <w:rsid w:val="371D006C"/>
    <w:rsid w:val="371F3DE4"/>
    <w:rsid w:val="37353608"/>
    <w:rsid w:val="37380B07"/>
    <w:rsid w:val="3744384B"/>
    <w:rsid w:val="37473124"/>
    <w:rsid w:val="37495DE7"/>
    <w:rsid w:val="37620175"/>
    <w:rsid w:val="376E6B1A"/>
    <w:rsid w:val="37754EA4"/>
    <w:rsid w:val="37784633"/>
    <w:rsid w:val="377A0F90"/>
    <w:rsid w:val="3781684D"/>
    <w:rsid w:val="37976071"/>
    <w:rsid w:val="379A74B9"/>
    <w:rsid w:val="379C3687"/>
    <w:rsid w:val="37A332CD"/>
    <w:rsid w:val="37AA7968"/>
    <w:rsid w:val="37AD6FFB"/>
    <w:rsid w:val="37AE3470"/>
    <w:rsid w:val="37B07204"/>
    <w:rsid w:val="37B87D95"/>
    <w:rsid w:val="37BA5670"/>
    <w:rsid w:val="37D141F5"/>
    <w:rsid w:val="37D963E5"/>
    <w:rsid w:val="37EA199E"/>
    <w:rsid w:val="37EA43F2"/>
    <w:rsid w:val="37EBC7A6"/>
    <w:rsid w:val="37ED426E"/>
    <w:rsid w:val="37F4390C"/>
    <w:rsid w:val="37FB587E"/>
    <w:rsid w:val="380B6326"/>
    <w:rsid w:val="381839A2"/>
    <w:rsid w:val="38223A5B"/>
    <w:rsid w:val="38234110"/>
    <w:rsid w:val="38340E36"/>
    <w:rsid w:val="38353194"/>
    <w:rsid w:val="38372165"/>
    <w:rsid w:val="384A70AD"/>
    <w:rsid w:val="3852059A"/>
    <w:rsid w:val="385950D4"/>
    <w:rsid w:val="38660F08"/>
    <w:rsid w:val="386A108F"/>
    <w:rsid w:val="386B56A1"/>
    <w:rsid w:val="38713459"/>
    <w:rsid w:val="387329B0"/>
    <w:rsid w:val="387C7014"/>
    <w:rsid w:val="387E0FDF"/>
    <w:rsid w:val="388349E1"/>
    <w:rsid w:val="38946EF2"/>
    <w:rsid w:val="389712E7"/>
    <w:rsid w:val="38982C55"/>
    <w:rsid w:val="389941AE"/>
    <w:rsid w:val="38A45FDC"/>
    <w:rsid w:val="38A5656B"/>
    <w:rsid w:val="38AF5D1E"/>
    <w:rsid w:val="38DE3230"/>
    <w:rsid w:val="38E65EE7"/>
    <w:rsid w:val="38E97386"/>
    <w:rsid w:val="38EB36E5"/>
    <w:rsid w:val="38F74AF1"/>
    <w:rsid w:val="38FF3ECD"/>
    <w:rsid w:val="3901753D"/>
    <w:rsid w:val="39140F60"/>
    <w:rsid w:val="3914724D"/>
    <w:rsid w:val="3915565D"/>
    <w:rsid w:val="391E0C2C"/>
    <w:rsid w:val="3922196A"/>
    <w:rsid w:val="39271C2E"/>
    <w:rsid w:val="392E7AA4"/>
    <w:rsid w:val="3934142E"/>
    <w:rsid w:val="39432CDE"/>
    <w:rsid w:val="394713D0"/>
    <w:rsid w:val="3958538C"/>
    <w:rsid w:val="395A1000"/>
    <w:rsid w:val="395A1104"/>
    <w:rsid w:val="39697599"/>
    <w:rsid w:val="39766A08"/>
    <w:rsid w:val="397F14BF"/>
    <w:rsid w:val="39806C59"/>
    <w:rsid w:val="39854CED"/>
    <w:rsid w:val="39897C3B"/>
    <w:rsid w:val="39912999"/>
    <w:rsid w:val="39A03EED"/>
    <w:rsid w:val="39A131D7"/>
    <w:rsid w:val="39A16D33"/>
    <w:rsid w:val="39A73BAE"/>
    <w:rsid w:val="39A87231"/>
    <w:rsid w:val="39AB5E03"/>
    <w:rsid w:val="39B34CB8"/>
    <w:rsid w:val="39B747A8"/>
    <w:rsid w:val="39BA7DF4"/>
    <w:rsid w:val="39C35667"/>
    <w:rsid w:val="39C80763"/>
    <w:rsid w:val="39CB50A6"/>
    <w:rsid w:val="39CC34C4"/>
    <w:rsid w:val="39CF6DF4"/>
    <w:rsid w:val="39D44E96"/>
    <w:rsid w:val="39D4535A"/>
    <w:rsid w:val="39D8471E"/>
    <w:rsid w:val="39E6508D"/>
    <w:rsid w:val="39EA239A"/>
    <w:rsid w:val="39EC3F23"/>
    <w:rsid w:val="39EC5B12"/>
    <w:rsid w:val="3A137505"/>
    <w:rsid w:val="3A161272"/>
    <w:rsid w:val="3A1805F9"/>
    <w:rsid w:val="3A2160C5"/>
    <w:rsid w:val="3A4A1141"/>
    <w:rsid w:val="3A59585F"/>
    <w:rsid w:val="3A5A6D30"/>
    <w:rsid w:val="3A601D2F"/>
    <w:rsid w:val="3A687850"/>
    <w:rsid w:val="3A6A0CDC"/>
    <w:rsid w:val="3A726E4E"/>
    <w:rsid w:val="3A7E085A"/>
    <w:rsid w:val="3A8433AD"/>
    <w:rsid w:val="3A843ABE"/>
    <w:rsid w:val="3A9128C1"/>
    <w:rsid w:val="3A922524"/>
    <w:rsid w:val="3AA85F85"/>
    <w:rsid w:val="3AAD5BAB"/>
    <w:rsid w:val="3AAF64AB"/>
    <w:rsid w:val="3AB05274"/>
    <w:rsid w:val="3AB40CE8"/>
    <w:rsid w:val="3ABF0039"/>
    <w:rsid w:val="3AC21D31"/>
    <w:rsid w:val="3AC73B7D"/>
    <w:rsid w:val="3ACC77E6"/>
    <w:rsid w:val="3AD17B7F"/>
    <w:rsid w:val="3AD35612"/>
    <w:rsid w:val="3AD874C9"/>
    <w:rsid w:val="3AEE244B"/>
    <w:rsid w:val="3AEF180B"/>
    <w:rsid w:val="3AF916B0"/>
    <w:rsid w:val="3AFD61EB"/>
    <w:rsid w:val="3B051543"/>
    <w:rsid w:val="3B250922"/>
    <w:rsid w:val="3B260976"/>
    <w:rsid w:val="3B366613"/>
    <w:rsid w:val="3B3D6F2F"/>
    <w:rsid w:val="3B486A4A"/>
    <w:rsid w:val="3B4D6A6B"/>
    <w:rsid w:val="3B535A77"/>
    <w:rsid w:val="3B581673"/>
    <w:rsid w:val="3B5E01E4"/>
    <w:rsid w:val="3B6236A0"/>
    <w:rsid w:val="3B6B3A9C"/>
    <w:rsid w:val="3B767AD6"/>
    <w:rsid w:val="3B8B1C35"/>
    <w:rsid w:val="3B937DF8"/>
    <w:rsid w:val="3BA20A9E"/>
    <w:rsid w:val="3BA27B29"/>
    <w:rsid w:val="3BA36306"/>
    <w:rsid w:val="3BA90120"/>
    <w:rsid w:val="3BA96C8B"/>
    <w:rsid w:val="3BB645EB"/>
    <w:rsid w:val="3BB75234"/>
    <w:rsid w:val="3BB81A38"/>
    <w:rsid w:val="3BC46D08"/>
    <w:rsid w:val="3BC74A4B"/>
    <w:rsid w:val="3BC9468F"/>
    <w:rsid w:val="3BCD02B3"/>
    <w:rsid w:val="3BD01B51"/>
    <w:rsid w:val="3BD258C9"/>
    <w:rsid w:val="3BE6C7A4"/>
    <w:rsid w:val="3BFF41E4"/>
    <w:rsid w:val="3BFFA27A"/>
    <w:rsid w:val="3C084023"/>
    <w:rsid w:val="3C131844"/>
    <w:rsid w:val="3C157564"/>
    <w:rsid w:val="3C2002D7"/>
    <w:rsid w:val="3C327C29"/>
    <w:rsid w:val="3C3C0CD2"/>
    <w:rsid w:val="3C460065"/>
    <w:rsid w:val="3C522566"/>
    <w:rsid w:val="3C5249B6"/>
    <w:rsid w:val="3C6127A9"/>
    <w:rsid w:val="3C69674F"/>
    <w:rsid w:val="3C7C75E3"/>
    <w:rsid w:val="3C7E335B"/>
    <w:rsid w:val="3C8A2084"/>
    <w:rsid w:val="3C8D13F8"/>
    <w:rsid w:val="3C9012E0"/>
    <w:rsid w:val="3C9708C1"/>
    <w:rsid w:val="3CAD4C77"/>
    <w:rsid w:val="3CC62F17"/>
    <w:rsid w:val="3CC907F0"/>
    <w:rsid w:val="3CCC92BA"/>
    <w:rsid w:val="3CCE7F04"/>
    <w:rsid w:val="3CD5470D"/>
    <w:rsid w:val="3CD64F45"/>
    <w:rsid w:val="3CDC0DE1"/>
    <w:rsid w:val="3CEC3657"/>
    <w:rsid w:val="3CF1446D"/>
    <w:rsid w:val="3CF36A59"/>
    <w:rsid w:val="3CF4186F"/>
    <w:rsid w:val="3CFB1DD3"/>
    <w:rsid w:val="3D025872"/>
    <w:rsid w:val="3D0575D8"/>
    <w:rsid w:val="3D0620E8"/>
    <w:rsid w:val="3D0F4ED7"/>
    <w:rsid w:val="3D193084"/>
    <w:rsid w:val="3D211F38"/>
    <w:rsid w:val="3D22018A"/>
    <w:rsid w:val="3D294424"/>
    <w:rsid w:val="3D29758D"/>
    <w:rsid w:val="3D2C5607"/>
    <w:rsid w:val="3D472F70"/>
    <w:rsid w:val="3D534CEE"/>
    <w:rsid w:val="3D683084"/>
    <w:rsid w:val="3D714C6E"/>
    <w:rsid w:val="3D7604D6"/>
    <w:rsid w:val="3D76708B"/>
    <w:rsid w:val="3D7B5AED"/>
    <w:rsid w:val="3D84709F"/>
    <w:rsid w:val="3D8A4F7F"/>
    <w:rsid w:val="3D8C1249"/>
    <w:rsid w:val="3D907E4E"/>
    <w:rsid w:val="3D915D03"/>
    <w:rsid w:val="3D9D5A63"/>
    <w:rsid w:val="3D9F67B1"/>
    <w:rsid w:val="3DA26D0E"/>
    <w:rsid w:val="3DAF617E"/>
    <w:rsid w:val="3DB1150E"/>
    <w:rsid w:val="3DB17760"/>
    <w:rsid w:val="3DBA03C3"/>
    <w:rsid w:val="3DC42CFC"/>
    <w:rsid w:val="3DC95CBF"/>
    <w:rsid w:val="3DD31485"/>
    <w:rsid w:val="3DD35929"/>
    <w:rsid w:val="3DDA450B"/>
    <w:rsid w:val="3DDD2303"/>
    <w:rsid w:val="3DEB38AB"/>
    <w:rsid w:val="3DEE62BF"/>
    <w:rsid w:val="3DF5764D"/>
    <w:rsid w:val="3DFD29A6"/>
    <w:rsid w:val="3DFF3DB0"/>
    <w:rsid w:val="3DFF45DA"/>
    <w:rsid w:val="3E0E6961"/>
    <w:rsid w:val="3E17163D"/>
    <w:rsid w:val="3E175815"/>
    <w:rsid w:val="3E1F6F2C"/>
    <w:rsid w:val="3E2A5F43"/>
    <w:rsid w:val="3E3C1720"/>
    <w:rsid w:val="3E486ECD"/>
    <w:rsid w:val="3E4A0DFA"/>
    <w:rsid w:val="3E4D1237"/>
    <w:rsid w:val="3E734A16"/>
    <w:rsid w:val="3E7563F5"/>
    <w:rsid w:val="3E8B6216"/>
    <w:rsid w:val="3E99749A"/>
    <w:rsid w:val="3EB373AC"/>
    <w:rsid w:val="3EBD90BE"/>
    <w:rsid w:val="3ED96F6F"/>
    <w:rsid w:val="3EDD2677"/>
    <w:rsid w:val="3EE01818"/>
    <w:rsid w:val="3EF20030"/>
    <w:rsid w:val="3EFB446E"/>
    <w:rsid w:val="3EFE0372"/>
    <w:rsid w:val="3F0833B0"/>
    <w:rsid w:val="3F0A13F8"/>
    <w:rsid w:val="3F0D4E6A"/>
    <w:rsid w:val="3F1745F7"/>
    <w:rsid w:val="3F220A30"/>
    <w:rsid w:val="3F22253F"/>
    <w:rsid w:val="3F2335C3"/>
    <w:rsid w:val="3F236054"/>
    <w:rsid w:val="3F256073"/>
    <w:rsid w:val="3F2C4D37"/>
    <w:rsid w:val="3F3C245E"/>
    <w:rsid w:val="3F431B2C"/>
    <w:rsid w:val="3F4A17B3"/>
    <w:rsid w:val="3F4C14EF"/>
    <w:rsid w:val="3F53550C"/>
    <w:rsid w:val="3F537FF3"/>
    <w:rsid w:val="3F5605BF"/>
    <w:rsid w:val="3F5A02EC"/>
    <w:rsid w:val="3F6B2D2B"/>
    <w:rsid w:val="3F6B55BF"/>
    <w:rsid w:val="3F731171"/>
    <w:rsid w:val="3F9152EB"/>
    <w:rsid w:val="3F9E5AC2"/>
    <w:rsid w:val="3FAE03FB"/>
    <w:rsid w:val="3FAE3F57"/>
    <w:rsid w:val="3FB0398F"/>
    <w:rsid w:val="3FC03C8B"/>
    <w:rsid w:val="3FCC680A"/>
    <w:rsid w:val="3FCE0156"/>
    <w:rsid w:val="3FD06468"/>
    <w:rsid w:val="3FD87226"/>
    <w:rsid w:val="3FE47979"/>
    <w:rsid w:val="3FE7A14E"/>
    <w:rsid w:val="3FF51B86"/>
    <w:rsid w:val="3FFE08B6"/>
    <w:rsid w:val="40010EF3"/>
    <w:rsid w:val="400422FF"/>
    <w:rsid w:val="40152228"/>
    <w:rsid w:val="40181D19"/>
    <w:rsid w:val="402814CD"/>
    <w:rsid w:val="402A1ADA"/>
    <w:rsid w:val="402E32EA"/>
    <w:rsid w:val="403158D7"/>
    <w:rsid w:val="40322DDA"/>
    <w:rsid w:val="403D352D"/>
    <w:rsid w:val="405220B8"/>
    <w:rsid w:val="405368AD"/>
    <w:rsid w:val="40543E48"/>
    <w:rsid w:val="40665850"/>
    <w:rsid w:val="407A676D"/>
    <w:rsid w:val="40866C82"/>
    <w:rsid w:val="408E29FF"/>
    <w:rsid w:val="408E7CE2"/>
    <w:rsid w:val="40A37834"/>
    <w:rsid w:val="40B84D47"/>
    <w:rsid w:val="40CD665F"/>
    <w:rsid w:val="40D365D4"/>
    <w:rsid w:val="40D43E92"/>
    <w:rsid w:val="40D774DE"/>
    <w:rsid w:val="40E276F7"/>
    <w:rsid w:val="40EA6EBA"/>
    <w:rsid w:val="40ED54D8"/>
    <w:rsid w:val="40F42C5D"/>
    <w:rsid w:val="40F56C6C"/>
    <w:rsid w:val="40F938F8"/>
    <w:rsid w:val="40FEB618"/>
    <w:rsid w:val="410605CC"/>
    <w:rsid w:val="410B7BCB"/>
    <w:rsid w:val="412E6F3C"/>
    <w:rsid w:val="41436921"/>
    <w:rsid w:val="4151103E"/>
    <w:rsid w:val="41526080"/>
    <w:rsid w:val="41724AE9"/>
    <w:rsid w:val="41850CE8"/>
    <w:rsid w:val="41941570"/>
    <w:rsid w:val="41961202"/>
    <w:rsid w:val="419929E5"/>
    <w:rsid w:val="419B3618"/>
    <w:rsid w:val="419E41F7"/>
    <w:rsid w:val="41B15EE3"/>
    <w:rsid w:val="41B161BF"/>
    <w:rsid w:val="41B445E9"/>
    <w:rsid w:val="41BD2B78"/>
    <w:rsid w:val="41C50BB6"/>
    <w:rsid w:val="41C757A4"/>
    <w:rsid w:val="41C9151C"/>
    <w:rsid w:val="41D57EC1"/>
    <w:rsid w:val="41EE4ADF"/>
    <w:rsid w:val="41F248FA"/>
    <w:rsid w:val="41F64B29"/>
    <w:rsid w:val="41F92659"/>
    <w:rsid w:val="420239EF"/>
    <w:rsid w:val="42066721"/>
    <w:rsid w:val="42186000"/>
    <w:rsid w:val="42213106"/>
    <w:rsid w:val="42442951"/>
    <w:rsid w:val="42497184"/>
    <w:rsid w:val="424B5480"/>
    <w:rsid w:val="424F0A63"/>
    <w:rsid w:val="42553EE8"/>
    <w:rsid w:val="425C3523"/>
    <w:rsid w:val="42605908"/>
    <w:rsid w:val="4278084D"/>
    <w:rsid w:val="427B3D8A"/>
    <w:rsid w:val="42886D23"/>
    <w:rsid w:val="428C5620"/>
    <w:rsid w:val="428C60A6"/>
    <w:rsid w:val="429F24F8"/>
    <w:rsid w:val="42A31D6D"/>
    <w:rsid w:val="42B15B0D"/>
    <w:rsid w:val="42B41D52"/>
    <w:rsid w:val="42C159A0"/>
    <w:rsid w:val="42CB7A34"/>
    <w:rsid w:val="42CE66BF"/>
    <w:rsid w:val="42E12FAA"/>
    <w:rsid w:val="42E24CD9"/>
    <w:rsid w:val="42E3216A"/>
    <w:rsid w:val="42EB439E"/>
    <w:rsid w:val="42EE5221"/>
    <w:rsid w:val="42EF4FB3"/>
    <w:rsid w:val="42F071AC"/>
    <w:rsid w:val="42F51E9D"/>
    <w:rsid w:val="42FC76D0"/>
    <w:rsid w:val="43025F84"/>
    <w:rsid w:val="43122A4F"/>
    <w:rsid w:val="432E448E"/>
    <w:rsid w:val="43325B98"/>
    <w:rsid w:val="43341C3E"/>
    <w:rsid w:val="43495B48"/>
    <w:rsid w:val="43560B8E"/>
    <w:rsid w:val="4356268C"/>
    <w:rsid w:val="435B43F6"/>
    <w:rsid w:val="435B61A4"/>
    <w:rsid w:val="4368266F"/>
    <w:rsid w:val="43721740"/>
    <w:rsid w:val="43776D56"/>
    <w:rsid w:val="437C4A28"/>
    <w:rsid w:val="438374A9"/>
    <w:rsid w:val="43983C23"/>
    <w:rsid w:val="439C7CD4"/>
    <w:rsid w:val="43A318F9"/>
    <w:rsid w:val="43A73199"/>
    <w:rsid w:val="43A7579D"/>
    <w:rsid w:val="43AE09CA"/>
    <w:rsid w:val="43C82B7A"/>
    <w:rsid w:val="43C875B2"/>
    <w:rsid w:val="43D21641"/>
    <w:rsid w:val="43D441A9"/>
    <w:rsid w:val="43D63A7D"/>
    <w:rsid w:val="43E758B2"/>
    <w:rsid w:val="43EC32A0"/>
    <w:rsid w:val="43EF4B3E"/>
    <w:rsid w:val="44093E52"/>
    <w:rsid w:val="440B6D71"/>
    <w:rsid w:val="440C749E"/>
    <w:rsid w:val="441427F7"/>
    <w:rsid w:val="442030D5"/>
    <w:rsid w:val="443F3D46"/>
    <w:rsid w:val="444255B6"/>
    <w:rsid w:val="444529B0"/>
    <w:rsid w:val="444E7AB7"/>
    <w:rsid w:val="44587E0A"/>
    <w:rsid w:val="44593DBA"/>
    <w:rsid w:val="44613C8E"/>
    <w:rsid w:val="4475773A"/>
    <w:rsid w:val="447A63A2"/>
    <w:rsid w:val="447D493F"/>
    <w:rsid w:val="447D65EE"/>
    <w:rsid w:val="4484797D"/>
    <w:rsid w:val="448654A3"/>
    <w:rsid w:val="449F6565"/>
    <w:rsid w:val="44A00397"/>
    <w:rsid w:val="44A409D6"/>
    <w:rsid w:val="44AC55BD"/>
    <w:rsid w:val="44AF4066"/>
    <w:rsid w:val="44B042CE"/>
    <w:rsid w:val="44BD10DE"/>
    <w:rsid w:val="44D81A76"/>
    <w:rsid w:val="44DF6BBE"/>
    <w:rsid w:val="44E4632B"/>
    <w:rsid w:val="44F00B6E"/>
    <w:rsid w:val="44F248E6"/>
    <w:rsid w:val="44F47E43"/>
    <w:rsid w:val="44FC4475"/>
    <w:rsid w:val="45082F5D"/>
    <w:rsid w:val="450A1C21"/>
    <w:rsid w:val="451E392D"/>
    <w:rsid w:val="451E3EC6"/>
    <w:rsid w:val="45282027"/>
    <w:rsid w:val="452F4A52"/>
    <w:rsid w:val="452F55B2"/>
    <w:rsid w:val="45327E35"/>
    <w:rsid w:val="453E73B1"/>
    <w:rsid w:val="4545710C"/>
    <w:rsid w:val="45472EBB"/>
    <w:rsid w:val="45486BFC"/>
    <w:rsid w:val="45533F1C"/>
    <w:rsid w:val="455443CF"/>
    <w:rsid w:val="4557225D"/>
    <w:rsid w:val="45662C5E"/>
    <w:rsid w:val="45901070"/>
    <w:rsid w:val="45941E41"/>
    <w:rsid w:val="45B06ED6"/>
    <w:rsid w:val="45B37EB1"/>
    <w:rsid w:val="45B47498"/>
    <w:rsid w:val="45CC032A"/>
    <w:rsid w:val="45D71D2E"/>
    <w:rsid w:val="45DA17D8"/>
    <w:rsid w:val="45E46ACA"/>
    <w:rsid w:val="45EF52CA"/>
    <w:rsid w:val="45F1231E"/>
    <w:rsid w:val="45F34DBA"/>
    <w:rsid w:val="45F840E8"/>
    <w:rsid w:val="45F8417E"/>
    <w:rsid w:val="45FB4B6F"/>
    <w:rsid w:val="46026E36"/>
    <w:rsid w:val="46064558"/>
    <w:rsid w:val="462813AD"/>
    <w:rsid w:val="462F3EF3"/>
    <w:rsid w:val="46301610"/>
    <w:rsid w:val="46313B8E"/>
    <w:rsid w:val="463B42CB"/>
    <w:rsid w:val="46440544"/>
    <w:rsid w:val="465F5301"/>
    <w:rsid w:val="46623CEE"/>
    <w:rsid w:val="466C1D8C"/>
    <w:rsid w:val="466D314E"/>
    <w:rsid w:val="466E61EE"/>
    <w:rsid w:val="467B0413"/>
    <w:rsid w:val="46804174"/>
    <w:rsid w:val="468A24B1"/>
    <w:rsid w:val="468A53B0"/>
    <w:rsid w:val="469B534E"/>
    <w:rsid w:val="469C1213"/>
    <w:rsid w:val="46A00372"/>
    <w:rsid w:val="46B14FD9"/>
    <w:rsid w:val="46B53E1D"/>
    <w:rsid w:val="46B837C8"/>
    <w:rsid w:val="46C0453A"/>
    <w:rsid w:val="46C82AEE"/>
    <w:rsid w:val="46CB4320"/>
    <w:rsid w:val="46CD72D6"/>
    <w:rsid w:val="46D36999"/>
    <w:rsid w:val="46D76668"/>
    <w:rsid w:val="46E841F3"/>
    <w:rsid w:val="46EE732F"/>
    <w:rsid w:val="46F33B59"/>
    <w:rsid w:val="46F506BE"/>
    <w:rsid w:val="470C1CAD"/>
    <w:rsid w:val="470D1EAB"/>
    <w:rsid w:val="4713457F"/>
    <w:rsid w:val="47176886"/>
    <w:rsid w:val="471F673A"/>
    <w:rsid w:val="47363055"/>
    <w:rsid w:val="473E41E7"/>
    <w:rsid w:val="474D674C"/>
    <w:rsid w:val="47530F1F"/>
    <w:rsid w:val="475950F1"/>
    <w:rsid w:val="475F022D"/>
    <w:rsid w:val="476B2426"/>
    <w:rsid w:val="47704076"/>
    <w:rsid w:val="47705DC8"/>
    <w:rsid w:val="47741147"/>
    <w:rsid w:val="47774690"/>
    <w:rsid w:val="47793411"/>
    <w:rsid w:val="477C2B8D"/>
    <w:rsid w:val="478101A3"/>
    <w:rsid w:val="47833F1C"/>
    <w:rsid w:val="478B77DC"/>
    <w:rsid w:val="478D1745"/>
    <w:rsid w:val="478E5AE4"/>
    <w:rsid w:val="4791488A"/>
    <w:rsid w:val="47B10A89"/>
    <w:rsid w:val="47B40579"/>
    <w:rsid w:val="47B77EAE"/>
    <w:rsid w:val="47C018DD"/>
    <w:rsid w:val="47C03707"/>
    <w:rsid w:val="47D337DD"/>
    <w:rsid w:val="47F37F37"/>
    <w:rsid w:val="47F933CB"/>
    <w:rsid w:val="480C2163"/>
    <w:rsid w:val="480E00CC"/>
    <w:rsid w:val="480F1C53"/>
    <w:rsid w:val="48213971"/>
    <w:rsid w:val="482A25E9"/>
    <w:rsid w:val="482E1FB6"/>
    <w:rsid w:val="48317F40"/>
    <w:rsid w:val="48381F7D"/>
    <w:rsid w:val="4850390A"/>
    <w:rsid w:val="48561630"/>
    <w:rsid w:val="485F6737"/>
    <w:rsid w:val="486378A9"/>
    <w:rsid w:val="486A0C38"/>
    <w:rsid w:val="48717D4C"/>
    <w:rsid w:val="48730182"/>
    <w:rsid w:val="48751F9C"/>
    <w:rsid w:val="4877302A"/>
    <w:rsid w:val="487970CD"/>
    <w:rsid w:val="487C375E"/>
    <w:rsid w:val="48802209"/>
    <w:rsid w:val="488501FF"/>
    <w:rsid w:val="488838C5"/>
    <w:rsid w:val="48901EE0"/>
    <w:rsid w:val="48910462"/>
    <w:rsid w:val="489B4111"/>
    <w:rsid w:val="48A31586"/>
    <w:rsid w:val="48BF0F83"/>
    <w:rsid w:val="48C84ACB"/>
    <w:rsid w:val="48C978A6"/>
    <w:rsid w:val="48CB3DCC"/>
    <w:rsid w:val="48E04E5A"/>
    <w:rsid w:val="48EE3617"/>
    <w:rsid w:val="48FE1841"/>
    <w:rsid w:val="49080B7C"/>
    <w:rsid w:val="490966FA"/>
    <w:rsid w:val="4914081D"/>
    <w:rsid w:val="491465B8"/>
    <w:rsid w:val="49162368"/>
    <w:rsid w:val="491C4A93"/>
    <w:rsid w:val="49267254"/>
    <w:rsid w:val="493763E3"/>
    <w:rsid w:val="494D29E7"/>
    <w:rsid w:val="49583186"/>
    <w:rsid w:val="495A6EFE"/>
    <w:rsid w:val="496164DE"/>
    <w:rsid w:val="49655FA9"/>
    <w:rsid w:val="496658A3"/>
    <w:rsid w:val="4967696F"/>
    <w:rsid w:val="496C4368"/>
    <w:rsid w:val="497004D0"/>
    <w:rsid w:val="49777A09"/>
    <w:rsid w:val="4989333F"/>
    <w:rsid w:val="498D53AA"/>
    <w:rsid w:val="499535CF"/>
    <w:rsid w:val="49956188"/>
    <w:rsid w:val="499B0290"/>
    <w:rsid w:val="499D3F04"/>
    <w:rsid w:val="499E328F"/>
    <w:rsid w:val="499F2B63"/>
    <w:rsid w:val="49A11A8A"/>
    <w:rsid w:val="49A90D0C"/>
    <w:rsid w:val="49B02FC2"/>
    <w:rsid w:val="49B15FF9"/>
    <w:rsid w:val="49B56541"/>
    <w:rsid w:val="49B605D8"/>
    <w:rsid w:val="49B91E77"/>
    <w:rsid w:val="49BD7800"/>
    <w:rsid w:val="49BE123B"/>
    <w:rsid w:val="49BE62E1"/>
    <w:rsid w:val="49C36851"/>
    <w:rsid w:val="49D84D2B"/>
    <w:rsid w:val="49DC7913"/>
    <w:rsid w:val="49DD3BE1"/>
    <w:rsid w:val="49E35145"/>
    <w:rsid w:val="49E55BB5"/>
    <w:rsid w:val="49EB1ADA"/>
    <w:rsid w:val="49F66C27"/>
    <w:rsid w:val="49F85F83"/>
    <w:rsid w:val="49F97C1B"/>
    <w:rsid w:val="4A037596"/>
    <w:rsid w:val="4A064DC7"/>
    <w:rsid w:val="4A0D28D0"/>
    <w:rsid w:val="4A16722D"/>
    <w:rsid w:val="4A1D310F"/>
    <w:rsid w:val="4A2512BA"/>
    <w:rsid w:val="4A3A6A54"/>
    <w:rsid w:val="4A3B0312"/>
    <w:rsid w:val="4A4061A5"/>
    <w:rsid w:val="4A443E36"/>
    <w:rsid w:val="4A4462D6"/>
    <w:rsid w:val="4A563B69"/>
    <w:rsid w:val="4A695377"/>
    <w:rsid w:val="4A7135B2"/>
    <w:rsid w:val="4A8149A7"/>
    <w:rsid w:val="4A840031"/>
    <w:rsid w:val="4A983EFF"/>
    <w:rsid w:val="4A9B157C"/>
    <w:rsid w:val="4AA66EAC"/>
    <w:rsid w:val="4AAE7501"/>
    <w:rsid w:val="4AAF5028"/>
    <w:rsid w:val="4ABE5B79"/>
    <w:rsid w:val="4AC8062E"/>
    <w:rsid w:val="4AD131F0"/>
    <w:rsid w:val="4ADA2E75"/>
    <w:rsid w:val="4ADD5690"/>
    <w:rsid w:val="4AE03433"/>
    <w:rsid w:val="4AE304BB"/>
    <w:rsid w:val="4AEC002A"/>
    <w:rsid w:val="4AF31E4E"/>
    <w:rsid w:val="4AFC64BF"/>
    <w:rsid w:val="4B0931D0"/>
    <w:rsid w:val="4B0B04B0"/>
    <w:rsid w:val="4B0E45B6"/>
    <w:rsid w:val="4B17661E"/>
    <w:rsid w:val="4B1F0C61"/>
    <w:rsid w:val="4B236133"/>
    <w:rsid w:val="4B2E1B61"/>
    <w:rsid w:val="4B41504C"/>
    <w:rsid w:val="4B43474D"/>
    <w:rsid w:val="4B48404E"/>
    <w:rsid w:val="4B542FA1"/>
    <w:rsid w:val="4B5C36E4"/>
    <w:rsid w:val="4B6C24F0"/>
    <w:rsid w:val="4B7818BD"/>
    <w:rsid w:val="4B792D75"/>
    <w:rsid w:val="4B85447B"/>
    <w:rsid w:val="4B865D88"/>
    <w:rsid w:val="4B895879"/>
    <w:rsid w:val="4B920BD1"/>
    <w:rsid w:val="4B9A1834"/>
    <w:rsid w:val="4B9E1324"/>
    <w:rsid w:val="4BA90A6B"/>
    <w:rsid w:val="4BB5041C"/>
    <w:rsid w:val="4BC42640"/>
    <w:rsid w:val="4BC535EC"/>
    <w:rsid w:val="4BCD7E5B"/>
    <w:rsid w:val="4BD21CDC"/>
    <w:rsid w:val="4BD655FC"/>
    <w:rsid w:val="4BDF6FA5"/>
    <w:rsid w:val="4BE60F1D"/>
    <w:rsid w:val="4BEFD26A"/>
    <w:rsid w:val="4BF70D1F"/>
    <w:rsid w:val="4BFC7FED"/>
    <w:rsid w:val="4C03387D"/>
    <w:rsid w:val="4C1D42B0"/>
    <w:rsid w:val="4C201DD4"/>
    <w:rsid w:val="4C29189F"/>
    <w:rsid w:val="4C3457E4"/>
    <w:rsid w:val="4C482434"/>
    <w:rsid w:val="4C5B0FC3"/>
    <w:rsid w:val="4C602A7D"/>
    <w:rsid w:val="4C6A38FC"/>
    <w:rsid w:val="4C7E2F03"/>
    <w:rsid w:val="4C8107A0"/>
    <w:rsid w:val="4C8835FA"/>
    <w:rsid w:val="4C8E71BF"/>
    <w:rsid w:val="4C9747A4"/>
    <w:rsid w:val="4CA50870"/>
    <w:rsid w:val="4CAA55D4"/>
    <w:rsid w:val="4CAB6711"/>
    <w:rsid w:val="4CAE46E6"/>
    <w:rsid w:val="4CB3320A"/>
    <w:rsid w:val="4CB86687"/>
    <w:rsid w:val="4CC7034A"/>
    <w:rsid w:val="4CCB35C9"/>
    <w:rsid w:val="4CCC1EC1"/>
    <w:rsid w:val="4CCE5C39"/>
    <w:rsid w:val="4CD64AED"/>
    <w:rsid w:val="4CDF1BF4"/>
    <w:rsid w:val="4CE0539C"/>
    <w:rsid w:val="4CE5757E"/>
    <w:rsid w:val="4CEC4311"/>
    <w:rsid w:val="4CF50257"/>
    <w:rsid w:val="4CFB09F8"/>
    <w:rsid w:val="4CFF4044"/>
    <w:rsid w:val="4D046B6A"/>
    <w:rsid w:val="4D0478AD"/>
    <w:rsid w:val="4D0C69C4"/>
    <w:rsid w:val="4D0E72D5"/>
    <w:rsid w:val="4D1D34E8"/>
    <w:rsid w:val="4D1E654F"/>
    <w:rsid w:val="4D2E2B7B"/>
    <w:rsid w:val="4D3B0DF4"/>
    <w:rsid w:val="4D3C7DE3"/>
    <w:rsid w:val="4D4D1254"/>
    <w:rsid w:val="4D4D69CE"/>
    <w:rsid w:val="4D543E3B"/>
    <w:rsid w:val="4D693BB4"/>
    <w:rsid w:val="4D705BC5"/>
    <w:rsid w:val="4D812D57"/>
    <w:rsid w:val="4D815970"/>
    <w:rsid w:val="4D8373D4"/>
    <w:rsid w:val="4D924485"/>
    <w:rsid w:val="4D956757"/>
    <w:rsid w:val="4D976E51"/>
    <w:rsid w:val="4DAF3415"/>
    <w:rsid w:val="4DB12E65"/>
    <w:rsid w:val="4DB74893"/>
    <w:rsid w:val="4DBE4E9F"/>
    <w:rsid w:val="4DBF16C4"/>
    <w:rsid w:val="4DC4703C"/>
    <w:rsid w:val="4DD52C2C"/>
    <w:rsid w:val="4DD52FF7"/>
    <w:rsid w:val="4DD6269A"/>
    <w:rsid w:val="4DE4323A"/>
    <w:rsid w:val="4DE616DE"/>
    <w:rsid w:val="4DED405F"/>
    <w:rsid w:val="4DFD2DE6"/>
    <w:rsid w:val="4E121B55"/>
    <w:rsid w:val="4E122358"/>
    <w:rsid w:val="4E23259A"/>
    <w:rsid w:val="4E2A3343"/>
    <w:rsid w:val="4E2B61AD"/>
    <w:rsid w:val="4E306E72"/>
    <w:rsid w:val="4E395334"/>
    <w:rsid w:val="4E3C5B2A"/>
    <w:rsid w:val="4E3C6BD2"/>
    <w:rsid w:val="4E451F2B"/>
    <w:rsid w:val="4E492DD0"/>
    <w:rsid w:val="4E4C267F"/>
    <w:rsid w:val="4E4C3506"/>
    <w:rsid w:val="4E4E41F3"/>
    <w:rsid w:val="4E5F2AF8"/>
    <w:rsid w:val="4E74636C"/>
    <w:rsid w:val="4E7C2D1C"/>
    <w:rsid w:val="4E86609F"/>
    <w:rsid w:val="4E952232"/>
    <w:rsid w:val="4E9700F7"/>
    <w:rsid w:val="4E984929"/>
    <w:rsid w:val="4E992277"/>
    <w:rsid w:val="4E9B0E76"/>
    <w:rsid w:val="4EA524E3"/>
    <w:rsid w:val="4EA62ADA"/>
    <w:rsid w:val="4EB4172E"/>
    <w:rsid w:val="4EB5120D"/>
    <w:rsid w:val="4EBD5F65"/>
    <w:rsid w:val="4EBE538C"/>
    <w:rsid w:val="4EE334F2"/>
    <w:rsid w:val="4EE37F68"/>
    <w:rsid w:val="4EEF00E8"/>
    <w:rsid w:val="4EF55E94"/>
    <w:rsid w:val="4EF70D4B"/>
    <w:rsid w:val="4F0746D1"/>
    <w:rsid w:val="4F15544F"/>
    <w:rsid w:val="4F2C6C47"/>
    <w:rsid w:val="4F415041"/>
    <w:rsid w:val="4F477707"/>
    <w:rsid w:val="4F5012C8"/>
    <w:rsid w:val="4F59138E"/>
    <w:rsid w:val="4F5B752C"/>
    <w:rsid w:val="4F6247EF"/>
    <w:rsid w:val="4F670CF6"/>
    <w:rsid w:val="4F6F4D85"/>
    <w:rsid w:val="4F721C64"/>
    <w:rsid w:val="4F734876"/>
    <w:rsid w:val="4F841516"/>
    <w:rsid w:val="4F842187"/>
    <w:rsid w:val="4F9071D6"/>
    <w:rsid w:val="4F9204FB"/>
    <w:rsid w:val="4F940B35"/>
    <w:rsid w:val="4F980780"/>
    <w:rsid w:val="4FB3046F"/>
    <w:rsid w:val="4FB8497E"/>
    <w:rsid w:val="4FC116B9"/>
    <w:rsid w:val="4FC155E1"/>
    <w:rsid w:val="4FC178DF"/>
    <w:rsid w:val="4FCB2904"/>
    <w:rsid w:val="4FCF6062"/>
    <w:rsid w:val="4FDB196C"/>
    <w:rsid w:val="4FDC795D"/>
    <w:rsid w:val="4FDE2637"/>
    <w:rsid w:val="4FDF62B0"/>
    <w:rsid w:val="4FE47C0F"/>
    <w:rsid w:val="4FE946BE"/>
    <w:rsid w:val="4FEB08B0"/>
    <w:rsid w:val="4FF534DD"/>
    <w:rsid w:val="4FF57980"/>
    <w:rsid w:val="50062548"/>
    <w:rsid w:val="500F5911"/>
    <w:rsid w:val="5023004A"/>
    <w:rsid w:val="50250266"/>
    <w:rsid w:val="5028222A"/>
    <w:rsid w:val="502D2C76"/>
    <w:rsid w:val="5031210B"/>
    <w:rsid w:val="503264DF"/>
    <w:rsid w:val="50377F99"/>
    <w:rsid w:val="5038161B"/>
    <w:rsid w:val="50411A70"/>
    <w:rsid w:val="50483F54"/>
    <w:rsid w:val="50484AC6"/>
    <w:rsid w:val="504A5FC6"/>
    <w:rsid w:val="504F0EE6"/>
    <w:rsid w:val="50540473"/>
    <w:rsid w:val="506568B4"/>
    <w:rsid w:val="507C53C5"/>
    <w:rsid w:val="5080549C"/>
    <w:rsid w:val="50A72C5D"/>
    <w:rsid w:val="50AC2B50"/>
    <w:rsid w:val="50B25872"/>
    <w:rsid w:val="50B91BE4"/>
    <w:rsid w:val="50BB35D0"/>
    <w:rsid w:val="50BF6559"/>
    <w:rsid w:val="50C63AFC"/>
    <w:rsid w:val="50C97700"/>
    <w:rsid w:val="50D77086"/>
    <w:rsid w:val="50DB42B0"/>
    <w:rsid w:val="50DD5829"/>
    <w:rsid w:val="50E33C7D"/>
    <w:rsid w:val="50E50C09"/>
    <w:rsid w:val="50E86A91"/>
    <w:rsid w:val="50EA19E5"/>
    <w:rsid w:val="50FB4B23"/>
    <w:rsid w:val="51080A7C"/>
    <w:rsid w:val="511B3417"/>
    <w:rsid w:val="51271DBC"/>
    <w:rsid w:val="51361141"/>
    <w:rsid w:val="514209A3"/>
    <w:rsid w:val="51527191"/>
    <w:rsid w:val="5154787B"/>
    <w:rsid w:val="515A3F3F"/>
    <w:rsid w:val="51604411"/>
    <w:rsid w:val="516909B4"/>
    <w:rsid w:val="517926D9"/>
    <w:rsid w:val="517F5754"/>
    <w:rsid w:val="517F76F4"/>
    <w:rsid w:val="518043AE"/>
    <w:rsid w:val="51826FF2"/>
    <w:rsid w:val="518E30D2"/>
    <w:rsid w:val="5193319F"/>
    <w:rsid w:val="519659C7"/>
    <w:rsid w:val="51A94ACE"/>
    <w:rsid w:val="51AA404F"/>
    <w:rsid w:val="51AC0513"/>
    <w:rsid w:val="51AC6715"/>
    <w:rsid w:val="51BA4E7C"/>
    <w:rsid w:val="51BF2E61"/>
    <w:rsid w:val="51C1147A"/>
    <w:rsid w:val="51DD06CC"/>
    <w:rsid w:val="51DF52D1"/>
    <w:rsid w:val="51E62A34"/>
    <w:rsid w:val="51EC6A99"/>
    <w:rsid w:val="51EDC784"/>
    <w:rsid w:val="51EE7364"/>
    <w:rsid w:val="51F2586F"/>
    <w:rsid w:val="51F45335"/>
    <w:rsid w:val="51F45ABB"/>
    <w:rsid w:val="51FA071A"/>
    <w:rsid w:val="51FC6541"/>
    <w:rsid w:val="52081BED"/>
    <w:rsid w:val="5209326F"/>
    <w:rsid w:val="520B4811"/>
    <w:rsid w:val="522620D6"/>
    <w:rsid w:val="522E717A"/>
    <w:rsid w:val="523B0C24"/>
    <w:rsid w:val="523B7217"/>
    <w:rsid w:val="523E05D2"/>
    <w:rsid w:val="523E652B"/>
    <w:rsid w:val="525C7843"/>
    <w:rsid w:val="5268268C"/>
    <w:rsid w:val="526C3FEC"/>
    <w:rsid w:val="52754DA9"/>
    <w:rsid w:val="527C422B"/>
    <w:rsid w:val="52870E07"/>
    <w:rsid w:val="528A121C"/>
    <w:rsid w:val="528C4D2C"/>
    <w:rsid w:val="529207E1"/>
    <w:rsid w:val="529E7E5B"/>
    <w:rsid w:val="52A940B1"/>
    <w:rsid w:val="52B61649"/>
    <w:rsid w:val="52BE22AC"/>
    <w:rsid w:val="52C13B4A"/>
    <w:rsid w:val="52C44910"/>
    <w:rsid w:val="52C75604"/>
    <w:rsid w:val="52C8312A"/>
    <w:rsid w:val="52E33AC0"/>
    <w:rsid w:val="52E964FA"/>
    <w:rsid w:val="52EF40B0"/>
    <w:rsid w:val="52F61A46"/>
    <w:rsid w:val="52F70215"/>
    <w:rsid w:val="52F87468"/>
    <w:rsid w:val="53036406"/>
    <w:rsid w:val="53057EDB"/>
    <w:rsid w:val="532632D1"/>
    <w:rsid w:val="532A4990"/>
    <w:rsid w:val="534259E0"/>
    <w:rsid w:val="534E7AD3"/>
    <w:rsid w:val="535E583D"/>
    <w:rsid w:val="536966BB"/>
    <w:rsid w:val="53784B50"/>
    <w:rsid w:val="537E1A3B"/>
    <w:rsid w:val="538057B3"/>
    <w:rsid w:val="538243F4"/>
    <w:rsid w:val="53925D5F"/>
    <w:rsid w:val="53AE40CE"/>
    <w:rsid w:val="53BF6819"/>
    <w:rsid w:val="53C15826"/>
    <w:rsid w:val="53CA764B"/>
    <w:rsid w:val="53E059A1"/>
    <w:rsid w:val="53E0654E"/>
    <w:rsid w:val="53EC4BF7"/>
    <w:rsid w:val="53EE4E13"/>
    <w:rsid w:val="53FD24DA"/>
    <w:rsid w:val="540362F0"/>
    <w:rsid w:val="540921AE"/>
    <w:rsid w:val="54166B2E"/>
    <w:rsid w:val="54244390"/>
    <w:rsid w:val="54260108"/>
    <w:rsid w:val="54307C7C"/>
    <w:rsid w:val="54345F35"/>
    <w:rsid w:val="54386DE8"/>
    <w:rsid w:val="5444349B"/>
    <w:rsid w:val="5446239B"/>
    <w:rsid w:val="544B759C"/>
    <w:rsid w:val="5452306B"/>
    <w:rsid w:val="54640C31"/>
    <w:rsid w:val="546E385E"/>
    <w:rsid w:val="54710A3B"/>
    <w:rsid w:val="54770964"/>
    <w:rsid w:val="54815C87"/>
    <w:rsid w:val="54A340AA"/>
    <w:rsid w:val="54A62896"/>
    <w:rsid w:val="54A6749B"/>
    <w:rsid w:val="54A84FC1"/>
    <w:rsid w:val="54B25E40"/>
    <w:rsid w:val="54B73573"/>
    <w:rsid w:val="54B90F7D"/>
    <w:rsid w:val="54CA714C"/>
    <w:rsid w:val="54CF254E"/>
    <w:rsid w:val="54D01A26"/>
    <w:rsid w:val="54D52C54"/>
    <w:rsid w:val="54E30D91"/>
    <w:rsid w:val="54F81F48"/>
    <w:rsid w:val="54F93A6F"/>
    <w:rsid w:val="54FC530D"/>
    <w:rsid w:val="54FE1085"/>
    <w:rsid w:val="54FF1A4E"/>
    <w:rsid w:val="550345FC"/>
    <w:rsid w:val="55164621"/>
    <w:rsid w:val="551B1C37"/>
    <w:rsid w:val="55205A7C"/>
    <w:rsid w:val="55232D59"/>
    <w:rsid w:val="55322ADD"/>
    <w:rsid w:val="553E1482"/>
    <w:rsid w:val="5552317F"/>
    <w:rsid w:val="55603AEE"/>
    <w:rsid w:val="55637009"/>
    <w:rsid w:val="55651503"/>
    <w:rsid w:val="55690651"/>
    <w:rsid w:val="55696F3C"/>
    <w:rsid w:val="558671A5"/>
    <w:rsid w:val="558B35C4"/>
    <w:rsid w:val="558E1391"/>
    <w:rsid w:val="558F7F2F"/>
    <w:rsid w:val="55967510"/>
    <w:rsid w:val="559E0172"/>
    <w:rsid w:val="55A541E7"/>
    <w:rsid w:val="55AE4859"/>
    <w:rsid w:val="55B97760"/>
    <w:rsid w:val="55C53951"/>
    <w:rsid w:val="55C67DF5"/>
    <w:rsid w:val="55CA0F67"/>
    <w:rsid w:val="55D1679A"/>
    <w:rsid w:val="55D45D44"/>
    <w:rsid w:val="55D63DB0"/>
    <w:rsid w:val="55EB71C9"/>
    <w:rsid w:val="55F514F6"/>
    <w:rsid w:val="55F602D7"/>
    <w:rsid w:val="55F634AF"/>
    <w:rsid w:val="56093087"/>
    <w:rsid w:val="56165F22"/>
    <w:rsid w:val="561C1DF7"/>
    <w:rsid w:val="561D19DF"/>
    <w:rsid w:val="56220DA3"/>
    <w:rsid w:val="562C13CB"/>
    <w:rsid w:val="56310FE7"/>
    <w:rsid w:val="563B0432"/>
    <w:rsid w:val="563D5D26"/>
    <w:rsid w:val="563E7ACB"/>
    <w:rsid w:val="56410EA1"/>
    <w:rsid w:val="564156CE"/>
    <w:rsid w:val="564205FD"/>
    <w:rsid w:val="56462AAF"/>
    <w:rsid w:val="564C5E20"/>
    <w:rsid w:val="56523548"/>
    <w:rsid w:val="56574EF1"/>
    <w:rsid w:val="565D4D50"/>
    <w:rsid w:val="56616C6A"/>
    <w:rsid w:val="5665191E"/>
    <w:rsid w:val="56675A92"/>
    <w:rsid w:val="56701B0F"/>
    <w:rsid w:val="56725887"/>
    <w:rsid w:val="56817CD8"/>
    <w:rsid w:val="56892221"/>
    <w:rsid w:val="568B4CF7"/>
    <w:rsid w:val="568B6949"/>
    <w:rsid w:val="56953DA9"/>
    <w:rsid w:val="569A24CA"/>
    <w:rsid w:val="569C6DA8"/>
    <w:rsid w:val="56A31EE4"/>
    <w:rsid w:val="56C46405"/>
    <w:rsid w:val="56D04A16"/>
    <w:rsid w:val="56D55E16"/>
    <w:rsid w:val="56D77DE0"/>
    <w:rsid w:val="56DC0F52"/>
    <w:rsid w:val="56DC4395"/>
    <w:rsid w:val="56E46059"/>
    <w:rsid w:val="56EA18C1"/>
    <w:rsid w:val="56ED0C98"/>
    <w:rsid w:val="56F339AA"/>
    <w:rsid w:val="56F444EE"/>
    <w:rsid w:val="570046B2"/>
    <w:rsid w:val="57061ACA"/>
    <w:rsid w:val="570A256C"/>
    <w:rsid w:val="571526B6"/>
    <w:rsid w:val="572F438D"/>
    <w:rsid w:val="574908F7"/>
    <w:rsid w:val="57520451"/>
    <w:rsid w:val="57637D90"/>
    <w:rsid w:val="57647C1E"/>
    <w:rsid w:val="576770D1"/>
    <w:rsid w:val="57684EDC"/>
    <w:rsid w:val="57723665"/>
    <w:rsid w:val="577531CA"/>
    <w:rsid w:val="5779195F"/>
    <w:rsid w:val="577C7278"/>
    <w:rsid w:val="577E46FF"/>
    <w:rsid w:val="577F1756"/>
    <w:rsid w:val="5781424D"/>
    <w:rsid w:val="57875362"/>
    <w:rsid w:val="57906944"/>
    <w:rsid w:val="57923D07"/>
    <w:rsid w:val="5796146F"/>
    <w:rsid w:val="5797131D"/>
    <w:rsid w:val="57AA3E5B"/>
    <w:rsid w:val="57AD5AD7"/>
    <w:rsid w:val="57B40121"/>
    <w:rsid w:val="57B56F19"/>
    <w:rsid w:val="57BB14B0"/>
    <w:rsid w:val="57C1138B"/>
    <w:rsid w:val="57CF0AB7"/>
    <w:rsid w:val="57DB6156"/>
    <w:rsid w:val="57DC6353"/>
    <w:rsid w:val="57DE55B1"/>
    <w:rsid w:val="57E509D2"/>
    <w:rsid w:val="57E52E8C"/>
    <w:rsid w:val="57FD64F7"/>
    <w:rsid w:val="57FF8603"/>
    <w:rsid w:val="58011430"/>
    <w:rsid w:val="58015C02"/>
    <w:rsid w:val="58277C4C"/>
    <w:rsid w:val="582A3F3F"/>
    <w:rsid w:val="58342289"/>
    <w:rsid w:val="58372D88"/>
    <w:rsid w:val="583A6878"/>
    <w:rsid w:val="58583E1D"/>
    <w:rsid w:val="585A2E80"/>
    <w:rsid w:val="586438F5"/>
    <w:rsid w:val="586C6306"/>
    <w:rsid w:val="58853D00"/>
    <w:rsid w:val="5886561A"/>
    <w:rsid w:val="58871392"/>
    <w:rsid w:val="588836A3"/>
    <w:rsid w:val="5889510A"/>
    <w:rsid w:val="588F6FE2"/>
    <w:rsid w:val="58A1367E"/>
    <w:rsid w:val="58A13E38"/>
    <w:rsid w:val="58AB5080"/>
    <w:rsid w:val="58AC2669"/>
    <w:rsid w:val="58B141AE"/>
    <w:rsid w:val="58C445DA"/>
    <w:rsid w:val="58C919AA"/>
    <w:rsid w:val="58CF5213"/>
    <w:rsid w:val="58DE7B7E"/>
    <w:rsid w:val="58E34C0D"/>
    <w:rsid w:val="58E42EF4"/>
    <w:rsid w:val="58E95A3B"/>
    <w:rsid w:val="58ED38EB"/>
    <w:rsid w:val="5904190E"/>
    <w:rsid w:val="590F3861"/>
    <w:rsid w:val="591B63C3"/>
    <w:rsid w:val="592E180D"/>
    <w:rsid w:val="592F5CB1"/>
    <w:rsid w:val="593E1362"/>
    <w:rsid w:val="59403CBE"/>
    <w:rsid w:val="59486D73"/>
    <w:rsid w:val="595B7D89"/>
    <w:rsid w:val="59611737"/>
    <w:rsid w:val="59667064"/>
    <w:rsid w:val="596C2616"/>
    <w:rsid w:val="59702CC4"/>
    <w:rsid w:val="59735ABF"/>
    <w:rsid w:val="59755721"/>
    <w:rsid w:val="59764EA2"/>
    <w:rsid w:val="597C786F"/>
    <w:rsid w:val="5980290A"/>
    <w:rsid w:val="59822285"/>
    <w:rsid w:val="59835FFD"/>
    <w:rsid w:val="598B115D"/>
    <w:rsid w:val="59910F7B"/>
    <w:rsid w:val="599124C8"/>
    <w:rsid w:val="599173E6"/>
    <w:rsid w:val="59927FEE"/>
    <w:rsid w:val="59997F3C"/>
    <w:rsid w:val="59A87812"/>
    <w:rsid w:val="59B43CAC"/>
    <w:rsid w:val="59BA5E57"/>
    <w:rsid w:val="59BB700B"/>
    <w:rsid w:val="59BE0E84"/>
    <w:rsid w:val="59C4289D"/>
    <w:rsid w:val="59D555CE"/>
    <w:rsid w:val="59DE4FE1"/>
    <w:rsid w:val="59E2410E"/>
    <w:rsid w:val="59E545C2"/>
    <w:rsid w:val="59F61D50"/>
    <w:rsid w:val="5A0218C9"/>
    <w:rsid w:val="5A065F73"/>
    <w:rsid w:val="5A190766"/>
    <w:rsid w:val="5A224BAB"/>
    <w:rsid w:val="5A25145E"/>
    <w:rsid w:val="5A291D65"/>
    <w:rsid w:val="5A3C33AE"/>
    <w:rsid w:val="5A3D7F5A"/>
    <w:rsid w:val="5A48645D"/>
    <w:rsid w:val="5A4B6B1B"/>
    <w:rsid w:val="5A5359CF"/>
    <w:rsid w:val="5A56726E"/>
    <w:rsid w:val="5A567950"/>
    <w:rsid w:val="5A5A0B0C"/>
    <w:rsid w:val="5A5A1045"/>
    <w:rsid w:val="5A64198B"/>
    <w:rsid w:val="5A6A2A66"/>
    <w:rsid w:val="5A775CEE"/>
    <w:rsid w:val="5A7B06D5"/>
    <w:rsid w:val="5A7F4A16"/>
    <w:rsid w:val="5A813D7F"/>
    <w:rsid w:val="5A8B5667"/>
    <w:rsid w:val="5A9473B6"/>
    <w:rsid w:val="5A975B99"/>
    <w:rsid w:val="5AA93841"/>
    <w:rsid w:val="5AB02E22"/>
    <w:rsid w:val="5AB04BD0"/>
    <w:rsid w:val="5AC24903"/>
    <w:rsid w:val="5ACB7C5C"/>
    <w:rsid w:val="5ACC0A94"/>
    <w:rsid w:val="5AE8433A"/>
    <w:rsid w:val="5AEB600E"/>
    <w:rsid w:val="5AF76B1D"/>
    <w:rsid w:val="5AFB66E6"/>
    <w:rsid w:val="5AFC1DAF"/>
    <w:rsid w:val="5B21162A"/>
    <w:rsid w:val="5B25539F"/>
    <w:rsid w:val="5B2C34B9"/>
    <w:rsid w:val="5B3520B1"/>
    <w:rsid w:val="5B435A44"/>
    <w:rsid w:val="5B4B7501"/>
    <w:rsid w:val="5B4F43E9"/>
    <w:rsid w:val="5B5150EA"/>
    <w:rsid w:val="5B602582"/>
    <w:rsid w:val="5B6634E0"/>
    <w:rsid w:val="5B706D8D"/>
    <w:rsid w:val="5B811D24"/>
    <w:rsid w:val="5B913692"/>
    <w:rsid w:val="5BA40927"/>
    <w:rsid w:val="5BA71B25"/>
    <w:rsid w:val="5BAA161F"/>
    <w:rsid w:val="5BB45DAB"/>
    <w:rsid w:val="5BB65800"/>
    <w:rsid w:val="5BB93F58"/>
    <w:rsid w:val="5BDC72D5"/>
    <w:rsid w:val="5BE10DB9"/>
    <w:rsid w:val="5BE85E7A"/>
    <w:rsid w:val="5BED59B0"/>
    <w:rsid w:val="5BEF797A"/>
    <w:rsid w:val="5BF353EE"/>
    <w:rsid w:val="5C02145B"/>
    <w:rsid w:val="5C0E2A6F"/>
    <w:rsid w:val="5C0F5926"/>
    <w:rsid w:val="5C1178F0"/>
    <w:rsid w:val="5C13384C"/>
    <w:rsid w:val="5C241BE6"/>
    <w:rsid w:val="5C2B0170"/>
    <w:rsid w:val="5C433822"/>
    <w:rsid w:val="5C4B0AE1"/>
    <w:rsid w:val="5C5058D6"/>
    <w:rsid w:val="5C5924D5"/>
    <w:rsid w:val="5C5A1297"/>
    <w:rsid w:val="5C5B4667"/>
    <w:rsid w:val="5C5D2B35"/>
    <w:rsid w:val="5C5D48E3"/>
    <w:rsid w:val="5C601C9F"/>
    <w:rsid w:val="5C607B91"/>
    <w:rsid w:val="5C863035"/>
    <w:rsid w:val="5CAA3BAB"/>
    <w:rsid w:val="5CB2226F"/>
    <w:rsid w:val="5CC059C2"/>
    <w:rsid w:val="5CCB5CF1"/>
    <w:rsid w:val="5CCE45F7"/>
    <w:rsid w:val="5CD32DF8"/>
    <w:rsid w:val="5CD5607E"/>
    <w:rsid w:val="5CDE27C2"/>
    <w:rsid w:val="5CE11347"/>
    <w:rsid w:val="5CE2128D"/>
    <w:rsid w:val="5CE74832"/>
    <w:rsid w:val="5CFBF3AE"/>
    <w:rsid w:val="5D055FED"/>
    <w:rsid w:val="5D086C55"/>
    <w:rsid w:val="5D170F36"/>
    <w:rsid w:val="5D215911"/>
    <w:rsid w:val="5D3C099D"/>
    <w:rsid w:val="5D3F66DF"/>
    <w:rsid w:val="5D4810F0"/>
    <w:rsid w:val="5D4B0BE0"/>
    <w:rsid w:val="5D4D4B30"/>
    <w:rsid w:val="5D4F0C38"/>
    <w:rsid w:val="5D504D94"/>
    <w:rsid w:val="5D5061F6"/>
    <w:rsid w:val="5D5A7075"/>
    <w:rsid w:val="5D66289E"/>
    <w:rsid w:val="5D6B50AB"/>
    <w:rsid w:val="5D7C2A07"/>
    <w:rsid w:val="5D7EDDB2"/>
    <w:rsid w:val="5D804D2D"/>
    <w:rsid w:val="5D851485"/>
    <w:rsid w:val="5D885990"/>
    <w:rsid w:val="5D902723"/>
    <w:rsid w:val="5D947F46"/>
    <w:rsid w:val="5D9500AD"/>
    <w:rsid w:val="5D9702E4"/>
    <w:rsid w:val="5D975303"/>
    <w:rsid w:val="5DAB2583"/>
    <w:rsid w:val="5DAB6B79"/>
    <w:rsid w:val="5DAB78D0"/>
    <w:rsid w:val="5DAD53F7"/>
    <w:rsid w:val="5DC0337C"/>
    <w:rsid w:val="5DC3599E"/>
    <w:rsid w:val="5DC4648D"/>
    <w:rsid w:val="5DC6470A"/>
    <w:rsid w:val="5DD956B5"/>
    <w:rsid w:val="5DD961EC"/>
    <w:rsid w:val="5DDD5383"/>
    <w:rsid w:val="5DE54B90"/>
    <w:rsid w:val="5DED3270"/>
    <w:rsid w:val="5DF474C9"/>
    <w:rsid w:val="5DF5CDE9"/>
    <w:rsid w:val="5DF64860"/>
    <w:rsid w:val="5DF93820"/>
    <w:rsid w:val="5DFC445A"/>
    <w:rsid w:val="5DFE20F6"/>
    <w:rsid w:val="5DFE3EA4"/>
    <w:rsid w:val="5E037840"/>
    <w:rsid w:val="5E111E29"/>
    <w:rsid w:val="5E115985"/>
    <w:rsid w:val="5E194310"/>
    <w:rsid w:val="5E196F30"/>
    <w:rsid w:val="5E1C432A"/>
    <w:rsid w:val="5E200792"/>
    <w:rsid w:val="5E230AA7"/>
    <w:rsid w:val="5E2A7E49"/>
    <w:rsid w:val="5E3B0C54"/>
    <w:rsid w:val="5E404724"/>
    <w:rsid w:val="5E420235"/>
    <w:rsid w:val="5E426F07"/>
    <w:rsid w:val="5E5D6E1D"/>
    <w:rsid w:val="5E5E4943"/>
    <w:rsid w:val="5E745D6E"/>
    <w:rsid w:val="5E7F4C65"/>
    <w:rsid w:val="5E8771BA"/>
    <w:rsid w:val="5E895E64"/>
    <w:rsid w:val="5E8C0F8B"/>
    <w:rsid w:val="5E8C5954"/>
    <w:rsid w:val="5E923B09"/>
    <w:rsid w:val="5E993BCD"/>
    <w:rsid w:val="5EA031AD"/>
    <w:rsid w:val="5EA90415"/>
    <w:rsid w:val="5EAC1B52"/>
    <w:rsid w:val="5EAD4431"/>
    <w:rsid w:val="5EB153BA"/>
    <w:rsid w:val="5EC72ACE"/>
    <w:rsid w:val="5ED35784"/>
    <w:rsid w:val="5EDC0AC0"/>
    <w:rsid w:val="5EE237C6"/>
    <w:rsid w:val="5EE4753E"/>
    <w:rsid w:val="5EE57A83"/>
    <w:rsid w:val="5EE65D18"/>
    <w:rsid w:val="5EF27584"/>
    <w:rsid w:val="5EF79A39"/>
    <w:rsid w:val="5EFA22A1"/>
    <w:rsid w:val="5F090D52"/>
    <w:rsid w:val="5F10363A"/>
    <w:rsid w:val="5F1548F7"/>
    <w:rsid w:val="5F1E0BE4"/>
    <w:rsid w:val="5F200B07"/>
    <w:rsid w:val="5F311C88"/>
    <w:rsid w:val="5F322057"/>
    <w:rsid w:val="5F3FABB5"/>
    <w:rsid w:val="5F4A2DEE"/>
    <w:rsid w:val="5F4B08DC"/>
    <w:rsid w:val="5F4B4EC7"/>
    <w:rsid w:val="5F4C2F89"/>
    <w:rsid w:val="5F5019B7"/>
    <w:rsid w:val="5F530220"/>
    <w:rsid w:val="5F5533BB"/>
    <w:rsid w:val="5F586FEE"/>
    <w:rsid w:val="5F60319C"/>
    <w:rsid w:val="5F670948"/>
    <w:rsid w:val="5F69146D"/>
    <w:rsid w:val="5F752E69"/>
    <w:rsid w:val="5F7D4849"/>
    <w:rsid w:val="5F807429"/>
    <w:rsid w:val="5F834669"/>
    <w:rsid w:val="5F883D16"/>
    <w:rsid w:val="5F8D1947"/>
    <w:rsid w:val="5F904FD0"/>
    <w:rsid w:val="5F9100A0"/>
    <w:rsid w:val="5F95631A"/>
    <w:rsid w:val="5F9E76ED"/>
    <w:rsid w:val="5FA665A1"/>
    <w:rsid w:val="5FB0066B"/>
    <w:rsid w:val="5FB019C5"/>
    <w:rsid w:val="5FBF7663"/>
    <w:rsid w:val="5FC03B07"/>
    <w:rsid w:val="5FC86314"/>
    <w:rsid w:val="5FCA6734"/>
    <w:rsid w:val="5FCB4F59"/>
    <w:rsid w:val="5FCF5AF8"/>
    <w:rsid w:val="5FE570CA"/>
    <w:rsid w:val="5FF217E7"/>
    <w:rsid w:val="5FF23595"/>
    <w:rsid w:val="6007390A"/>
    <w:rsid w:val="600A3865"/>
    <w:rsid w:val="60163727"/>
    <w:rsid w:val="601703D2"/>
    <w:rsid w:val="602373CD"/>
    <w:rsid w:val="60247B5D"/>
    <w:rsid w:val="603B3E30"/>
    <w:rsid w:val="603C0CB4"/>
    <w:rsid w:val="60416DCA"/>
    <w:rsid w:val="60421B4F"/>
    <w:rsid w:val="60431EA4"/>
    <w:rsid w:val="604B0D71"/>
    <w:rsid w:val="60560001"/>
    <w:rsid w:val="60651FB9"/>
    <w:rsid w:val="606631C7"/>
    <w:rsid w:val="60730CCF"/>
    <w:rsid w:val="607C3A33"/>
    <w:rsid w:val="60820DBC"/>
    <w:rsid w:val="608250F0"/>
    <w:rsid w:val="608C7484"/>
    <w:rsid w:val="609D0FCF"/>
    <w:rsid w:val="60A6142B"/>
    <w:rsid w:val="60A7067E"/>
    <w:rsid w:val="60A800F7"/>
    <w:rsid w:val="60C0317B"/>
    <w:rsid w:val="60C24090"/>
    <w:rsid w:val="60C56332"/>
    <w:rsid w:val="60C86CE7"/>
    <w:rsid w:val="60C875C1"/>
    <w:rsid w:val="60CA02AA"/>
    <w:rsid w:val="60D62EB6"/>
    <w:rsid w:val="60DB020D"/>
    <w:rsid w:val="60E455D3"/>
    <w:rsid w:val="60E66B25"/>
    <w:rsid w:val="60E6759D"/>
    <w:rsid w:val="60E96F2A"/>
    <w:rsid w:val="60E9736E"/>
    <w:rsid w:val="60FA7E42"/>
    <w:rsid w:val="61032317"/>
    <w:rsid w:val="6115578D"/>
    <w:rsid w:val="611834CF"/>
    <w:rsid w:val="611C2FBF"/>
    <w:rsid w:val="61236D4E"/>
    <w:rsid w:val="61300838"/>
    <w:rsid w:val="6142054C"/>
    <w:rsid w:val="6146003C"/>
    <w:rsid w:val="615421A0"/>
    <w:rsid w:val="61596B36"/>
    <w:rsid w:val="61646714"/>
    <w:rsid w:val="61671D60"/>
    <w:rsid w:val="61731074"/>
    <w:rsid w:val="617C580C"/>
    <w:rsid w:val="617C6DCA"/>
    <w:rsid w:val="61881ABA"/>
    <w:rsid w:val="61882403"/>
    <w:rsid w:val="619227A8"/>
    <w:rsid w:val="619A4A8B"/>
    <w:rsid w:val="61A70A27"/>
    <w:rsid w:val="61A80DBC"/>
    <w:rsid w:val="61A84853"/>
    <w:rsid w:val="61B256D1"/>
    <w:rsid w:val="61B551C2"/>
    <w:rsid w:val="61B83E3D"/>
    <w:rsid w:val="61C22AFF"/>
    <w:rsid w:val="61C77C1D"/>
    <w:rsid w:val="61C8241C"/>
    <w:rsid w:val="61D57AA6"/>
    <w:rsid w:val="61D75138"/>
    <w:rsid w:val="61DA69D6"/>
    <w:rsid w:val="61DC0E2B"/>
    <w:rsid w:val="61DF188E"/>
    <w:rsid w:val="61ED72A2"/>
    <w:rsid w:val="61F66565"/>
    <w:rsid w:val="61F85BAC"/>
    <w:rsid w:val="620C5B7E"/>
    <w:rsid w:val="62153852"/>
    <w:rsid w:val="621719D8"/>
    <w:rsid w:val="62180C7C"/>
    <w:rsid w:val="62244731"/>
    <w:rsid w:val="624413F5"/>
    <w:rsid w:val="62471346"/>
    <w:rsid w:val="62483A5B"/>
    <w:rsid w:val="62542DF1"/>
    <w:rsid w:val="62571DD5"/>
    <w:rsid w:val="625B7B17"/>
    <w:rsid w:val="625D3525"/>
    <w:rsid w:val="6263230B"/>
    <w:rsid w:val="62662018"/>
    <w:rsid w:val="626764BC"/>
    <w:rsid w:val="626A7709"/>
    <w:rsid w:val="6275418B"/>
    <w:rsid w:val="6287090C"/>
    <w:rsid w:val="62885CDB"/>
    <w:rsid w:val="628A3F58"/>
    <w:rsid w:val="628F5A13"/>
    <w:rsid w:val="629848C7"/>
    <w:rsid w:val="6299063F"/>
    <w:rsid w:val="62BF6C3D"/>
    <w:rsid w:val="62C63B33"/>
    <w:rsid w:val="62C84A81"/>
    <w:rsid w:val="62DD052C"/>
    <w:rsid w:val="62E47226"/>
    <w:rsid w:val="62E62F4B"/>
    <w:rsid w:val="62EE2E7F"/>
    <w:rsid w:val="62F37D50"/>
    <w:rsid w:val="62F45876"/>
    <w:rsid w:val="62FC6F89"/>
    <w:rsid w:val="6303477F"/>
    <w:rsid w:val="630D6126"/>
    <w:rsid w:val="631A1780"/>
    <w:rsid w:val="632127C3"/>
    <w:rsid w:val="63350368"/>
    <w:rsid w:val="63396CA8"/>
    <w:rsid w:val="635D166D"/>
    <w:rsid w:val="63690593"/>
    <w:rsid w:val="63730E90"/>
    <w:rsid w:val="6379017B"/>
    <w:rsid w:val="638310F9"/>
    <w:rsid w:val="638579A3"/>
    <w:rsid w:val="63972DD1"/>
    <w:rsid w:val="639A641D"/>
    <w:rsid w:val="63AE8ED4"/>
    <w:rsid w:val="63B14C20"/>
    <w:rsid w:val="63B2324E"/>
    <w:rsid w:val="63B36841"/>
    <w:rsid w:val="63C05EA7"/>
    <w:rsid w:val="63C721AC"/>
    <w:rsid w:val="63C97AE9"/>
    <w:rsid w:val="63DA3BD9"/>
    <w:rsid w:val="63E853DA"/>
    <w:rsid w:val="63F77FE5"/>
    <w:rsid w:val="6401024A"/>
    <w:rsid w:val="640624AF"/>
    <w:rsid w:val="640C789D"/>
    <w:rsid w:val="64191A38"/>
    <w:rsid w:val="641F14FA"/>
    <w:rsid w:val="641F276B"/>
    <w:rsid w:val="641F4B74"/>
    <w:rsid w:val="64216B3E"/>
    <w:rsid w:val="643A5ABF"/>
    <w:rsid w:val="643B19AE"/>
    <w:rsid w:val="6459555B"/>
    <w:rsid w:val="646A26D0"/>
    <w:rsid w:val="64746C6E"/>
    <w:rsid w:val="647B7FFD"/>
    <w:rsid w:val="64882719"/>
    <w:rsid w:val="648D7D30"/>
    <w:rsid w:val="64963088"/>
    <w:rsid w:val="64970BAF"/>
    <w:rsid w:val="64A31301"/>
    <w:rsid w:val="64AA08E2"/>
    <w:rsid w:val="64BD7EE3"/>
    <w:rsid w:val="64C01EB3"/>
    <w:rsid w:val="64C10F29"/>
    <w:rsid w:val="64DA53AE"/>
    <w:rsid w:val="64E60142"/>
    <w:rsid w:val="64EE343A"/>
    <w:rsid w:val="64FE478A"/>
    <w:rsid w:val="64FFDE4B"/>
    <w:rsid w:val="650A3B2D"/>
    <w:rsid w:val="651842D4"/>
    <w:rsid w:val="65260D8D"/>
    <w:rsid w:val="652C579B"/>
    <w:rsid w:val="6543667F"/>
    <w:rsid w:val="65491EA9"/>
    <w:rsid w:val="6557687A"/>
    <w:rsid w:val="655A2308"/>
    <w:rsid w:val="655A2EB6"/>
    <w:rsid w:val="656272D4"/>
    <w:rsid w:val="656A1E1F"/>
    <w:rsid w:val="656A5839"/>
    <w:rsid w:val="657D1B52"/>
    <w:rsid w:val="6584085B"/>
    <w:rsid w:val="65847385"/>
    <w:rsid w:val="658662AB"/>
    <w:rsid w:val="65B04F76"/>
    <w:rsid w:val="65B45EF6"/>
    <w:rsid w:val="65BA6903"/>
    <w:rsid w:val="65BC6B1F"/>
    <w:rsid w:val="65DF280D"/>
    <w:rsid w:val="65EC662A"/>
    <w:rsid w:val="65EE0CA2"/>
    <w:rsid w:val="65FA7647"/>
    <w:rsid w:val="65FF07B9"/>
    <w:rsid w:val="65FF6A0B"/>
    <w:rsid w:val="66010A5C"/>
    <w:rsid w:val="660202AA"/>
    <w:rsid w:val="66023EA3"/>
    <w:rsid w:val="66027DCC"/>
    <w:rsid w:val="66054436"/>
    <w:rsid w:val="660D4DB6"/>
    <w:rsid w:val="664063B2"/>
    <w:rsid w:val="66406452"/>
    <w:rsid w:val="66415388"/>
    <w:rsid w:val="66485ACF"/>
    <w:rsid w:val="66495ED8"/>
    <w:rsid w:val="664D2567"/>
    <w:rsid w:val="6663343E"/>
    <w:rsid w:val="66680A54"/>
    <w:rsid w:val="667D73A4"/>
    <w:rsid w:val="66811B16"/>
    <w:rsid w:val="66893EE6"/>
    <w:rsid w:val="66952ECC"/>
    <w:rsid w:val="66A32E79"/>
    <w:rsid w:val="66B90E50"/>
    <w:rsid w:val="66C56E6A"/>
    <w:rsid w:val="66CD2666"/>
    <w:rsid w:val="66D83EE9"/>
    <w:rsid w:val="66D87988"/>
    <w:rsid w:val="66ED2D08"/>
    <w:rsid w:val="66F03B9D"/>
    <w:rsid w:val="66F26570"/>
    <w:rsid w:val="66F81DD8"/>
    <w:rsid w:val="66F916AD"/>
    <w:rsid w:val="67007FF3"/>
    <w:rsid w:val="67185FD7"/>
    <w:rsid w:val="673426E5"/>
    <w:rsid w:val="673E0CD7"/>
    <w:rsid w:val="67486190"/>
    <w:rsid w:val="67542D87"/>
    <w:rsid w:val="675B2D5F"/>
    <w:rsid w:val="675E59B4"/>
    <w:rsid w:val="67622366"/>
    <w:rsid w:val="67650AF0"/>
    <w:rsid w:val="676A327D"/>
    <w:rsid w:val="676B59C3"/>
    <w:rsid w:val="67725A14"/>
    <w:rsid w:val="67786A75"/>
    <w:rsid w:val="679259FF"/>
    <w:rsid w:val="67935E87"/>
    <w:rsid w:val="67A71109"/>
    <w:rsid w:val="67A96C2F"/>
    <w:rsid w:val="67AC4324"/>
    <w:rsid w:val="67BA5E6E"/>
    <w:rsid w:val="67C1276E"/>
    <w:rsid w:val="67C454CF"/>
    <w:rsid w:val="67C577E1"/>
    <w:rsid w:val="67CC011D"/>
    <w:rsid w:val="67D0240D"/>
    <w:rsid w:val="67D143D7"/>
    <w:rsid w:val="67E54283"/>
    <w:rsid w:val="67EA1118"/>
    <w:rsid w:val="67ED28E6"/>
    <w:rsid w:val="67F65DA4"/>
    <w:rsid w:val="67F7723D"/>
    <w:rsid w:val="67FA4BEF"/>
    <w:rsid w:val="67FF7197"/>
    <w:rsid w:val="680419E0"/>
    <w:rsid w:val="680648F3"/>
    <w:rsid w:val="681471FC"/>
    <w:rsid w:val="68186903"/>
    <w:rsid w:val="68190258"/>
    <w:rsid w:val="681C5653"/>
    <w:rsid w:val="682409AB"/>
    <w:rsid w:val="682C4037"/>
    <w:rsid w:val="68307350"/>
    <w:rsid w:val="683A61DE"/>
    <w:rsid w:val="683C6AF0"/>
    <w:rsid w:val="68423A65"/>
    <w:rsid w:val="68466191"/>
    <w:rsid w:val="68476448"/>
    <w:rsid w:val="684B23DC"/>
    <w:rsid w:val="68562FBD"/>
    <w:rsid w:val="685F19D4"/>
    <w:rsid w:val="686168F7"/>
    <w:rsid w:val="6863369E"/>
    <w:rsid w:val="686915D3"/>
    <w:rsid w:val="687D96E0"/>
    <w:rsid w:val="689C4BF4"/>
    <w:rsid w:val="689D2D9B"/>
    <w:rsid w:val="68C21207"/>
    <w:rsid w:val="68C74DCD"/>
    <w:rsid w:val="68CA1553"/>
    <w:rsid w:val="68CC52CB"/>
    <w:rsid w:val="68D26659"/>
    <w:rsid w:val="68E24AEE"/>
    <w:rsid w:val="68E72403"/>
    <w:rsid w:val="68EB3277"/>
    <w:rsid w:val="68EB3D19"/>
    <w:rsid w:val="68EE1671"/>
    <w:rsid w:val="68F0088D"/>
    <w:rsid w:val="68FB2D3F"/>
    <w:rsid w:val="690305C1"/>
    <w:rsid w:val="69036813"/>
    <w:rsid w:val="69051B7B"/>
    <w:rsid w:val="69166546"/>
    <w:rsid w:val="691A32A4"/>
    <w:rsid w:val="692A3D9F"/>
    <w:rsid w:val="692C46A6"/>
    <w:rsid w:val="69303AFB"/>
    <w:rsid w:val="6933041A"/>
    <w:rsid w:val="6933534A"/>
    <w:rsid w:val="694035C3"/>
    <w:rsid w:val="69674277"/>
    <w:rsid w:val="696F232C"/>
    <w:rsid w:val="696F6212"/>
    <w:rsid w:val="697D7D54"/>
    <w:rsid w:val="699A614E"/>
    <w:rsid w:val="69D106BF"/>
    <w:rsid w:val="69DC3B22"/>
    <w:rsid w:val="69E337EE"/>
    <w:rsid w:val="69E66B78"/>
    <w:rsid w:val="69F22B91"/>
    <w:rsid w:val="69F23EFC"/>
    <w:rsid w:val="69F66377"/>
    <w:rsid w:val="69FB03F5"/>
    <w:rsid w:val="69FB4289"/>
    <w:rsid w:val="6A021836"/>
    <w:rsid w:val="6A102F95"/>
    <w:rsid w:val="6A170D51"/>
    <w:rsid w:val="6A19191D"/>
    <w:rsid w:val="6A1C4030"/>
    <w:rsid w:val="6A244B48"/>
    <w:rsid w:val="6A3A40DB"/>
    <w:rsid w:val="6A425588"/>
    <w:rsid w:val="6A4B03C2"/>
    <w:rsid w:val="6A711BF9"/>
    <w:rsid w:val="6A75504B"/>
    <w:rsid w:val="6A7D6CAF"/>
    <w:rsid w:val="6A7E25F5"/>
    <w:rsid w:val="6A7F1057"/>
    <w:rsid w:val="6A841BD5"/>
    <w:rsid w:val="6A890241"/>
    <w:rsid w:val="6A8B520E"/>
    <w:rsid w:val="6A995680"/>
    <w:rsid w:val="6AA964F4"/>
    <w:rsid w:val="6ABF1C94"/>
    <w:rsid w:val="6AC46281"/>
    <w:rsid w:val="6AC87D14"/>
    <w:rsid w:val="6AD341FE"/>
    <w:rsid w:val="6ADB7A47"/>
    <w:rsid w:val="6AE508C6"/>
    <w:rsid w:val="6AE81BC8"/>
    <w:rsid w:val="6AEA607B"/>
    <w:rsid w:val="6AEB70B9"/>
    <w:rsid w:val="6AEF06B9"/>
    <w:rsid w:val="6AF7DBD5"/>
    <w:rsid w:val="6AF97ECD"/>
    <w:rsid w:val="6AFF731D"/>
    <w:rsid w:val="6B07083C"/>
    <w:rsid w:val="6B12220B"/>
    <w:rsid w:val="6B23319C"/>
    <w:rsid w:val="6B2338BC"/>
    <w:rsid w:val="6B234F4A"/>
    <w:rsid w:val="6B2F0F06"/>
    <w:rsid w:val="6B3929BF"/>
    <w:rsid w:val="6B4450F3"/>
    <w:rsid w:val="6B491503"/>
    <w:rsid w:val="6B4915A2"/>
    <w:rsid w:val="6B4947E4"/>
    <w:rsid w:val="6B4D0219"/>
    <w:rsid w:val="6B6172B8"/>
    <w:rsid w:val="6B633598"/>
    <w:rsid w:val="6B651B78"/>
    <w:rsid w:val="6B65473C"/>
    <w:rsid w:val="6B67752D"/>
    <w:rsid w:val="6B790EAD"/>
    <w:rsid w:val="6B79100E"/>
    <w:rsid w:val="6B7E0447"/>
    <w:rsid w:val="6B8C0D18"/>
    <w:rsid w:val="6B8D57E5"/>
    <w:rsid w:val="6B92656F"/>
    <w:rsid w:val="6B94722B"/>
    <w:rsid w:val="6B9B71D6"/>
    <w:rsid w:val="6B9C4AB9"/>
    <w:rsid w:val="6B9C4ADA"/>
    <w:rsid w:val="6BA52955"/>
    <w:rsid w:val="6BAA309A"/>
    <w:rsid w:val="6BAD2A66"/>
    <w:rsid w:val="6BDD1588"/>
    <w:rsid w:val="6BDE7AC3"/>
    <w:rsid w:val="6BE40B7D"/>
    <w:rsid w:val="6BEC7A32"/>
    <w:rsid w:val="6BEF6752"/>
    <w:rsid w:val="6C0807A3"/>
    <w:rsid w:val="6C117498"/>
    <w:rsid w:val="6C1F5711"/>
    <w:rsid w:val="6C21592D"/>
    <w:rsid w:val="6C2D7757"/>
    <w:rsid w:val="6C3D028D"/>
    <w:rsid w:val="6C411314"/>
    <w:rsid w:val="6C496E17"/>
    <w:rsid w:val="6C4E2A07"/>
    <w:rsid w:val="6C501D6F"/>
    <w:rsid w:val="6C5F6456"/>
    <w:rsid w:val="6C6625E1"/>
    <w:rsid w:val="6C6719A7"/>
    <w:rsid w:val="6C6C46F9"/>
    <w:rsid w:val="6C7F08A6"/>
    <w:rsid w:val="6C8E0AE9"/>
    <w:rsid w:val="6C923939"/>
    <w:rsid w:val="6C967F0D"/>
    <w:rsid w:val="6CA05526"/>
    <w:rsid w:val="6CAC4153"/>
    <w:rsid w:val="6CAE6A95"/>
    <w:rsid w:val="6CBE10EF"/>
    <w:rsid w:val="6CC10EBE"/>
    <w:rsid w:val="6CCA61BE"/>
    <w:rsid w:val="6CD8316D"/>
    <w:rsid w:val="6CDA5ADC"/>
    <w:rsid w:val="6CEC4D2D"/>
    <w:rsid w:val="6CF109D2"/>
    <w:rsid w:val="6CF463EC"/>
    <w:rsid w:val="6D002AD6"/>
    <w:rsid w:val="6D01750D"/>
    <w:rsid w:val="6D020114"/>
    <w:rsid w:val="6D0843F7"/>
    <w:rsid w:val="6D254FA9"/>
    <w:rsid w:val="6D276982"/>
    <w:rsid w:val="6D30174F"/>
    <w:rsid w:val="6D325918"/>
    <w:rsid w:val="6D352513"/>
    <w:rsid w:val="6D3B040E"/>
    <w:rsid w:val="6D3E42BD"/>
    <w:rsid w:val="6D4573FA"/>
    <w:rsid w:val="6D4C41C3"/>
    <w:rsid w:val="6D4D2752"/>
    <w:rsid w:val="6D513FF0"/>
    <w:rsid w:val="6D57537F"/>
    <w:rsid w:val="6D5910F7"/>
    <w:rsid w:val="6D5A11EE"/>
    <w:rsid w:val="6D5F3840"/>
    <w:rsid w:val="6D6261FE"/>
    <w:rsid w:val="6D6C0E2A"/>
    <w:rsid w:val="6D6C7E3C"/>
    <w:rsid w:val="6D752493"/>
    <w:rsid w:val="6D772135"/>
    <w:rsid w:val="6D793547"/>
    <w:rsid w:val="6D7B6DFE"/>
    <w:rsid w:val="6D7D3370"/>
    <w:rsid w:val="6D7E290C"/>
    <w:rsid w:val="6D7F429F"/>
    <w:rsid w:val="6D902392"/>
    <w:rsid w:val="6D91263F"/>
    <w:rsid w:val="6D920165"/>
    <w:rsid w:val="6D9B3AD4"/>
    <w:rsid w:val="6DAF2A8F"/>
    <w:rsid w:val="6DAF6F69"/>
    <w:rsid w:val="6DB620A5"/>
    <w:rsid w:val="6DBE13EF"/>
    <w:rsid w:val="6DBE5E87"/>
    <w:rsid w:val="6DD32C57"/>
    <w:rsid w:val="6DDEB473"/>
    <w:rsid w:val="6DDF784E"/>
    <w:rsid w:val="6DF0480C"/>
    <w:rsid w:val="6DFE08FF"/>
    <w:rsid w:val="6E005A16"/>
    <w:rsid w:val="6E0A419F"/>
    <w:rsid w:val="6E1F5A5B"/>
    <w:rsid w:val="6E2552A2"/>
    <w:rsid w:val="6E2B7B92"/>
    <w:rsid w:val="6E353C2B"/>
    <w:rsid w:val="6E3D37CD"/>
    <w:rsid w:val="6E58315D"/>
    <w:rsid w:val="6E5D0773"/>
    <w:rsid w:val="6E6C09B6"/>
    <w:rsid w:val="6E707D97"/>
    <w:rsid w:val="6E845862"/>
    <w:rsid w:val="6E856204"/>
    <w:rsid w:val="6E8B1221"/>
    <w:rsid w:val="6E8C7791"/>
    <w:rsid w:val="6E8E2DFC"/>
    <w:rsid w:val="6E99148A"/>
    <w:rsid w:val="6E9A42BE"/>
    <w:rsid w:val="6EAD3AF4"/>
    <w:rsid w:val="6EBA7973"/>
    <w:rsid w:val="6EBD7E40"/>
    <w:rsid w:val="6EBE56B6"/>
    <w:rsid w:val="6EC542C2"/>
    <w:rsid w:val="6ED00F45"/>
    <w:rsid w:val="6ED21161"/>
    <w:rsid w:val="6EDA5E42"/>
    <w:rsid w:val="6EDBB425"/>
    <w:rsid w:val="6EDC3D8E"/>
    <w:rsid w:val="6EE55FDB"/>
    <w:rsid w:val="6EE64684"/>
    <w:rsid w:val="6EE87C0A"/>
    <w:rsid w:val="6EEF2CA6"/>
    <w:rsid w:val="6EFC4430"/>
    <w:rsid w:val="6EFE3D04"/>
    <w:rsid w:val="6F06777B"/>
    <w:rsid w:val="6F116A9F"/>
    <w:rsid w:val="6F1663F5"/>
    <w:rsid w:val="6F1F0A56"/>
    <w:rsid w:val="6F29622D"/>
    <w:rsid w:val="6F3C1769"/>
    <w:rsid w:val="6F4D6D78"/>
    <w:rsid w:val="6F4E8EDA"/>
    <w:rsid w:val="6F510A1A"/>
    <w:rsid w:val="6F540FB0"/>
    <w:rsid w:val="6F6EC613"/>
    <w:rsid w:val="6F7E53E5"/>
    <w:rsid w:val="6F9208F0"/>
    <w:rsid w:val="6F965839"/>
    <w:rsid w:val="6FA10775"/>
    <w:rsid w:val="6FA81EC2"/>
    <w:rsid w:val="6FAB550E"/>
    <w:rsid w:val="6FBB1BF5"/>
    <w:rsid w:val="6FBE3493"/>
    <w:rsid w:val="6FCC0A95"/>
    <w:rsid w:val="6FCF744E"/>
    <w:rsid w:val="6FD254FB"/>
    <w:rsid w:val="6FD269A1"/>
    <w:rsid w:val="6FD51038"/>
    <w:rsid w:val="6FDB6F32"/>
    <w:rsid w:val="6FE32EFA"/>
    <w:rsid w:val="6FF8D550"/>
    <w:rsid w:val="6FFA65F4"/>
    <w:rsid w:val="6FFB90E0"/>
    <w:rsid w:val="6FFD220E"/>
    <w:rsid w:val="6FFF3EF6"/>
    <w:rsid w:val="70035433"/>
    <w:rsid w:val="700840D2"/>
    <w:rsid w:val="70131A31"/>
    <w:rsid w:val="701A7080"/>
    <w:rsid w:val="701B2694"/>
    <w:rsid w:val="701C37AB"/>
    <w:rsid w:val="702814CB"/>
    <w:rsid w:val="702A0B29"/>
    <w:rsid w:val="702C664F"/>
    <w:rsid w:val="703532C5"/>
    <w:rsid w:val="704515FA"/>
    <w:rsid w:val="70572BF2"/>
    <w:rsid w:val="705A7D9D"/>
    <w:rsid w:val="70691651"/>
    <w:rsid w:val="70757FF6"/>
    <w:rsid w:val="70761FC0"/>
    <w:rsid w:val="707C4710"/>
    <w:rsid w:val="70822713"/>
    <w:rsid w:val="70862203"/>
    <w:rsid w:val="70880D43"/>
    <w:rsid w:val="70934920"/>
    <w:rsid w:val="709361DC"/>
    <w:rsid w:val="709578C1"/>
    <w:rsid w:val="7099764F"/>
    <w:rsid w:val="709A5FCD"/>
    <w:rsid w:val="70BE33D2"/>
    <w:rsid w:val="70C77C7E"/>
    <w:rsid w:val="70CD16CB"/>
    <w:rsid w:val="70DC70DA"/>
    <w:rsid w:val="70E52721"/>
    <w:rsid w:val="70E909E4"/>
    <w:rsid w:val="70F76680"/>
    <w:rsid w:val="71185836"/>
    <w:rsid w:val="711A0B9D"/>
    <w:rsid w:val="712F22B8"/>
    <w:rsid w:val="7130216F"/>
    <w:rsid w:val="713C61FC"/>
    <w:rsid w:val="7146163A"/>
    <w:rsid w:val="714A1495"/>
    <w:rsid w:val="714D068C"/>
    <w:rsid w:val="714D4DDA"/>
    <w:rsid w:val="71554062"/>
    <w:rsid w:val="715D51C4"/>
    <w:rsid w:val="71681909"/>
    <w:rsid w:val="71775FF0"/>
    <w:rsid w:val="718002C9"/>
    <w:rsid w:val="7189187F"/>
    <w:rsid w:val="718D75C1"/>
    <w:rsid w:val="71AD43DD"/>
    <w:rsid w:val="71AD7C63"/>
    <w:rsid w:val="71AE2B03"/>
    <w:rsid w:val="71B9D13A"/>
    <w:rsid w:val="71BB79C8"/>
    <w:rsid w:val="71C254BD"/>
    <w:rsid w:val="71D75F6B"/>
    <w:rsid w:val="71D945B4"/>
    <w:rsid w:val="71E34706"/>
    <w:rsid w:val="71E4311C"/>
    <w:rsid w:val="71E64273"/>
    <w:rsid w:val="71EF3DD8"/>
    <w:rsid w:val="71FC4716"/>
    <w:rsid w:val="720901B6"/>
    <w:rsid w:val="720A676F"/>
    <w:rsid w:val="720E0C51"/>
    <w:rsid w:val="72247F25"/>
    <w:rsid w:val="72270535"/>
    <w:rsid w:val="72292BA4"/>
    <w:rsid w:val="722F2426"/>
    <w:rsid w:val="72344242"/>
    <w:rsid w:val="724063E2"/>
    <w:rsid w:val="72477770"/>
    <w:rsid w:val="724C5D97"/>
    <w:rsid w:val="72516841"/>
    <w:rsid w:val="725715D2"/>
    <w:rsid w:val="725E4ABA"/>
    <w:rsid w:val="72874010"/>
    <w:rsid w:val="728E41FF"/>
    <w:rsid w:val="7294509A"/>
    <w:rsid w:val="72967D5D"/>
    <w:rsid w:val="72A703D9"/>
    <w:rsid w:val="72B66B1F"/>
    <w:rsid w:val="72B87E28"/>
    <w:rsid w:val="72BB3CBA"/>
    <w:rsid w:val="72C139C6"/>
    <w:rsid w:val="72CE60E3"/>
    <w:rsid w:val="72D364DA"/>
    <w:rsid w:val="72D459C1"/>
    <w:rsid w:val="72DB7B79"/>
    <w:rsid w:val="72F36D66"/>
    <w:rsid w:val="72F71196"/>
    <w:rsid w:val="72FB03ED"/>
    <w:rsid w:val="72FF629D"/>
    <w:rsid w:val="73001975"/>
    <w:rsid w:val="73306456"/>
    <w:rsid w:val="73326672"/>
    <w:rsid w:val="7338114D"/>
    <w:rsid w:val="733E1B79"/>
    <w:rsid w:val="733F2B3D"/>
    <w:rsid w:val="73465C7A"/>
    <w:rsid w:val="734939BC"/>
    <w:rsid w:val="734E1259"/>
    <w:rsid w:val="734F380E"/>
    <w:rsid w:val="736507F6"/>
    <w:rsid w:val="73656370"/>
    <w:rsid w:val="73682846"/>
    <w:rsid w:val="73697546"/>
    <w:rsid w:val="737D2E68"/>
    <w:rsid w:val="737E3665"/>
    <w:rsid w:val="737E5413"/>
    <w:rsid w:val="73827BCF"/>
    <w:rsid w:val="73844CD9"/>
    <w:rsid w:val="73893DAB"/>
    <w:rsid w:val="738F5872"/>
    <w:rsid w:val="73936E24"/>
    <w:rsid w:val="739A7D73"/>
    <w:rsid w:val="73AA47BD"/>
    <w:rsid w:val="73AD3F4B"/>
    <w:rsid w:val="73AF1A71"/>
    <w:rsid w:val="73B47B62"/>
    <w:rsid w:val="73B572BB"/>
    <w:rsid w:val="73BE1CB4"/>
    <w:rsid w:val="73C372CA"/>
    <w:rsid w:val="73D56FFD"/>
    <w:rsid w:val="73D74B24"/>
    <w:rsid w:val="73D75CC6"/>
    <w:rsid w:val="73D83389"/>
    <w:rsid w:val="73DF5786"/>
    <w:rsid w:val="73E01C2A"/>
    <w:rsid w:val="73EA0CFB"/>
    <w:rsid w:val="73F456D6"/>
    <w:rsid w:val="73FE1225"/>
    <w:rsid w:val="74024296"/>
    <w:rsid w:val="7416564C"/>
    <w:rsid w:val="74181EB8"/>
    <w:rsid w:val="742363A2"/>
    <w:rsid w:val="74365CEE"/>
    <w:rsid w:val="74387CB8"/>
    <w:rsid w:val="743B1556"/>
    <w:rsid w:val="743F620E"/>
    <w:rsid w:val="74404DBF"/>
    <w:rsid w:val="744148DD"/>
    <w:rsid w:val="74485A04"/>
    <w:rsid w:val="744A6ED7"/>
    <w:rsid w:val="744F588B"/>
    <w:rsid w:val="74505333"/>
    <w:rsid w:val="74505672"/>
    <w:rsid w:val="745E6FF3"/>
    <w:rsid w:val="746A2530"/>
    <w:rsid w:val="746B7328"/>
    <w:rsid w:val="74701E32"/>
    <w:rsid w:val="749D668F"/>
    <w:rsid w:val="74A0634E"/>
    <w:rsid w:val="74A25132"/>
    <w:rsid w:val="74AD4A43"/>
    <w:rsid w:val="74B03CF2"/>
    <w:rsid w:val="74B15375"/>
    <w:rsid w:val="74B310ED"/>
    <w:rsid w:val="74B33326"/>
    <w:rsid w:val="74C17067"/>
    <w:rsid w:val="74C975DD"/>
    <w:rsid w:val="74DB3473"/>
    <w:rsid w:val="74EB2763"/>
    <w:rsid w:val="74ED54EF"/>
    <w:rsid w:val="74F27AE5"/>
    <w:rsid w:val="74FC2209"/>
    <w:rsid w:val="7501454E"/>
    <w:rsid w:val="75061B64"/>
    <w:rsid w:val="750B717B"/>
    <w:rsid w:val="750C4CA1"/>
    <w:rsid w:val="75183646"/>
    <w:rsid w:val="752244C4"/>
    <w:rsid w:val="75287D2D"/>
    <w:rsid w:val="75322959"/>
    <w:rsid w:val="75387745"/>
    <w:rsid w:val="754206C3"/>
    <w:rsid w:val="75502DDF"/>
    <w:rsid w:val="75530322"/>
    <w:rsid w:val="75604F8E"/>
    <w:rsid w:val="756845CD"/>
    <w:rsid w:val="75698AAE"/>
    <w:rsid w:val="75705230"/>
    <w:rsid w:val="75763BE2"/>
    <w:rsid w:val="758807CB"/>
    <w:rsid w:val="758A1FF2"/>
    <w:rsid w:val="758D16DD"/>
    <w:rsid w:val="758D36C3"/>
    <w:rsid w:val="758E461D"/>
    <w:rsid w:val="75936023"/>
    <w:rsid w:val="75A24FC9"/>
    <w:rsid w:val="75A5367F"/>
    <w:rsid w:val="75A86778"/>
    <w:rsid w:val="75AA6994"/>
    <w:rsid w:val="75B66A1A"/>
    <w:rsid w:val="75BA734C"/>
    <w:rsid w:val="75BC0DA6"/>
    <w:rsid w:val="75BF7F65"/>
    <w:rsid w:val="75C46760"/>
    <w:rsid w:val="75D03F20"/>
    <w:rsid w:val="75D37125"/>
    <w:rsid w:val="75E4177A"/>
    <w:rsid w:val="75F45E61"/>
    <w:rsid w:val="75F81F01"/>
    <w:rsid w:val="76020EA1"/>
    <w:rsid w:val="760A7432"/>
    <w:rsid w:val="760F2C9B"/>
    <w:rsid w:val="7616632D"/>
    <w:rsid w:val="761F5082"/>
    <w:rsid w:val="76206C56"/>
    <w:rsid w:val="762140C2"/>
    <w:rsid w:val="76283D5C"/>
    <w:rsid w:val="76287F26"/>
    <w:rsid w:val="763829FD"/>
    <w:rsid w:val="76394E56"/>
    <w:rsid w:val="764F753B"/>
    <w:rsid w:val="76516E0F"/>
    <w:rsid w:val="76680CF1"/>
    <w:rsid w:val="766E5C13"/>
    <w:rsid w:val="76832163"/>
    <w:rsid w:val="768D497C"/>
    <w:rsid w:val="76903064"/>
    <w:rsid w:val="76911902"/>
    <w:rsid w:val="769E7B7B"/>
    <w:rsid w:val="76A02DB3"/>
    <w:rsid w:val="76B17DED"/>
    <w:rsid w:val="76B32088"/>
    <w:rsid w:val="76B561A4"/>
    <w:rsid w:val="76C05D43"/>
    <w:rsid w:val="76C92E49"/>
    <w:rsid w:val="76D04F73"/>
    <w:rsid w:val="76DD06A3"/>
    <w:rsid w:val="76F14A9C"/>
    <w:rsid w:val="76FFB02D"/>
    <w:rsid w:val="7702635B"/>
    <w:rsid w:val="77046578"/>
    <w:rsid w:val="77061A83"/>
    <w:rsid w:val="770E2E1E"/>
    <w:rsid w:val="771A37DE"/>
    <w:rsid w:val="771F0768"/>
    <w:rsid w:val="77242783"/>
    <w:rsid w:val="772B2297"/>
    <w:rsid w:val="772B71EA"/>
    <w:rsid w:val="77366850"/>
    <w:rsid w:val="77382754"/>
    <w:rsid w:val="773D290D"/>
    <w:rsid w:val="77455E56"/>
    <w:rsid w:val="774B21B7"/>
    <w:rsid w:val="77507B50"/>
    <w:rsid w:val="775832D0"/>
    <w:rsid w:val="77626DFA"/>
    <w:rsid w:val="776C1A27"/>
    <w:rsid w:val="7771703D"/>
    <w:rsid w:val="7774550B"/>
    <w:rsid w:val="7778661E"/>
    <w:rsid w:val="777E7C1C"/>
    <w:rsid w:val="77830A09"/>
    <w:rsid w:val="77855149"/>
    <w:rsid w:val="77884510"/>
    <w:rsid w:val="77884AB3"/>
    <w:rsid w:val="779416A9"/>
    <w:rsid w:val="779B1D4F"/>
    <w:rsid w:val="779F3BAA"/>
    <w:rsid w:val="77A24726"/>
    <w:rsid w:val="77B0248F"/>
    <w:rsid w:val="77B2760C"/>
    <w:rsid w:val="77B35AC9"/>
    <w:rsid w:val="77B557D3"/>
    <w:rsid w:val="77BC0B2A"/>
    <w:rsid w:val="77BF2E02"/>
    <w:rsid w:val="77C83229"/>
    <w:rsid w:val="77CB0E43"/>
    <w:rsid w:val="77D56023"/>
    <w:rsid w:val="77E251B6"/>
    <w:rsid w:val="77E37F3B"/>
    <w:rsid w:val="77EB0548"/>
    <w:rsid w:val="77FEEBB5"/>
    <w:rsid w:val="78000AED"/>
    <w:rsid w:val="78003B4A"/>
    <w:rsid w:val="78005CD7"/>
    <w:rsid w:val="78044908"/>
    <w:rsid w:val="780B1240"/>
    <w:rsid w:val="7818643A"/>
    <w:rsid w:val="781C344D"/>
    <w:rsid w:val="78210A63"/>
    <w:rsid w:val="78280961"/>
    <w:rsid w:val="784A3F9D"/>
    <w:rsid w:val="784A55CB"/>
    <w:rsid w:val="784C3D32"/>
    <w:rsid w:val="78520C1D"/>
    <w:rsid w:val="78572DD4"/>
    <w:rsid w:val="786077DD"/>
    <w:rsid w:val="78714F73"/>
    <w:rsid w:val="787D0EC3"/>
    <w:rsid w:val="7883021C"/>
    <w:rsid w:val="78846121"/>
    <w:rsid w:val="788A6608"/>
    <w:rsid w:val="788D60F9"/>
    <w:rsid w:val="789227C4"/>
    <w:rsid w:val="7896550A"/>
    <w:rsid w:val="789D27E0"/>
    <w:rsid w:val="78B23D00"/>
    <w:rsid w:val="78B43685"/>
    <w:rsid w:val="78B958A9"/>
    <w:rsid w:val="78B96EEE"/>
    <w:rsid w:val="78C27525"/>
    <w:rsid w:val="78C55892"/>
    <w:rsid w:val="78C80736"/>
    <w:rsid w:val="78CC460F"/>
    <w:rsid w:val="78D16440"/>
    <w:rsid w:val="78D37FAF"/>
    <w:rsid w:val="78D53FEF"/>
    <w:rsid w:val="78D635FC"/>
    <w:rsid w:val="78DD4999"/>
    <w:rsid w:val="78E43C3A"/>
    <w:rsid w:val="78E51DC1"/>
    <w:rsid w:val="790A7C54"/>
    <w:rsid w:val="79165E39"/>
    <w:rsid w:val="79172B8D"/>
    <w:rsid w:val="791D202A"/>
    <w:rsid w:val="79243D01"/>
    <w:rsid w:val="79352A18"/>
    <w:rsid w:val="7936053E"/>
    <w:rsid w:val="793D0477"/>
    <w:rsid w:val="793D7B1F"/>
    <w:rsid w:val="793E2B81"/>
    <w:rsid w:val="79420C91"/>
    <w:rsid w:val="79442C5B"/>
    <w:rsid w:val="79586707"/>
    <w:rsid w:val="795D5ACB"/>
    <w:rsid w:val="796B5E5A"/>
    <w:rsid w:val="797650C3"/>
    <w:rsid w:val="797D616D"/>
    <w:rsid w:val="797E6375"/>
    <w:rsid w:val="798474FC"/>
    <w:rsid w:val="79856DD0"/>
    <w:rsid w:val="79A4194C"/>
    <w:rsid w:val="79AA5A9D"/>
    <w:rsid w:val="79BE712E"/>
    <w:rsid w:val="79C8388C"/>
    <w:rsid w:val="79CB512B"/>
    <w:rsid w:val="79D13A78"/>
    <w:rsid w:val="79DC910D"/>
    <w:rsid w:val="79DD0239"/>
    <w:rsid w:val="79DD3184"/>
    <w:rsid w:val="79DF4732"/>
    <w:rsid w:val="79ED6E4F"/>
    <w:rsid w:val="79EE5666"/>
    <w:rsid w:val="79F301DD"/>
    <w:rsid w:val="79F95D73"/>
    <w:rsid w:val="79FB3F53"/>
    <w:rsid w:val="7A140880"/>
    <w:rsid w:val="7A150154"/>
    <w:rsid w:val="7A15348D"/>
    <w:rsid w:val="7A1A1600"/>
    <w:rsid w:val="7A1C7F36"/>
    <w:rsid w:val="7A236D15"/>
    <w:rsid w:val="7A2A5002"/>
    <w:rsid w:val="7A37585A"/>
    <w:rsid w:val="7A3E58FC"/>
    <w:rsid w:val="7A5B6D2C"/>
    <w:rsid w:val="7A5B73A8"/>
    <w:rsid w:val="7A5E5F9F"/>
    <w:rsid w:val="7A6F3D08"/>
    <w:rsid w:val="7A765B2D"/>
    <w:rsid w:val="7A7A7D8A"/>
    <w:rsid w:val="7A7E6380"/>
    <w:rsid w:val="7A7FDB48"/>
    <w:rsid w:val="7A862E00"/>
    <w:rsid w:val="7A884DCA"/>
    <w:rsid w:val="7A9279F6"/>
    <w:rsid w:val="7A93454E"/>
    <w:rsid w:val="7A992B33"/>
    <w:rsid w:val="7AA240DD"/>
    <w:rsid w:val="7AA634A2"/>
    <w:rsid w:val="7AAC0AB8"/>
    <w:rsid w:val="7AB34877"/>
    <w:rsid w:val="7AB6E8FE"/>
    <w:rsid w:val="7ABC1D2D"/>
    <w:rsid w:val="7AC027B5"/>
    <w:rsid w:val="7AC848ED"/>
    <w:rsid w:val="7AD43416"/>
    <w:rsid w:val="7AD63D87"/>
    <w:rsid w:val="7AD85E10"/>
    <w:rsid w:val="7AF062D6"/>
    <w:rsid w:val="7AF25943"/>
    <w:rsid w:val="7AF30181"/>
    <w:rsid w:val="7AF34939"/>
    <w:rsid w:val="7AF44DFF"/>
    <w:rsid w:val="7AF56E0E"/>
    <w:rsid w:val="7AF90389"/>
    <w:rsid w:val="7AF95CC7"/>
    <w:rsid w:val="7B007056"/>
    <w:rsid w:val="7B032A3A"/>
    <w:rsid w:val="7B036F20"/>
    <w:rsid w:val="7B09527D"/>
    <w:rsid w:val="7B146194"/>
    <w:rsid w:val="7B2A5E81"/>
    <w:rsid w:val="7B30793B"/>
    <w:rsid w:val="7B3B1E3C"/>
    <w:rsid w:val="7B4718A3"/>
    <w:rsid w:val="7B48773F"/>
    <w:rsid w:val="7B5A49B8"/>
    <w:rsid w:val="7B5A67D9"/>
    <w:rsid w:val="7B704F89"/>
    <w:rsid w:val="7B7A2964"/>
    <w:rsid w:val="7B7C69A4"/>
    <w:rsid w:val="7B853D48"/>
    <w:rsid w:val="7BA358FE"/>
    <w:rsid w:val="7BAA13D3"/>
    <w:rsid w:val="7BC02341"/>
    <w:rsid w:val="7BC10593"/>
    <w:rsid w:val="7BCE4C52"/>
    <w:rsid w:val="7BD1705E"/>
    <w:rsid w:val="7BD55DED"/>
    <w:rsid w:val="7BDE89CC"/>
    <w:rsid w:val="7BDFF533"/>
    <w:rsid w:val="7BEF3D12"/>
    <w:rsid w:val="7BF10231"/>
    <w:rsid w:val="7BF756FE"/>
    <w:rsid w:val="7BFE17E7"/>
    <w:rsid w:val="7C152263"/>
    <w:rsid w:val="7C305719"/>
    <w:rsid w:val="7C3172F7"/>
    <w:rsid w:val="7C370855"/>
    <w:rsid w:val="7C3949A7"/>
    <w:rsid w:val="7C3B59D3"/>
    <w:rsid w:val="7C3D3992"/>
    <w:rsid w:val="7C41167F"/>
    <w:rsid w:val="7C456003"/>
    <w:rsid w:val="7C501917"/>
    <w:rsid w:val="7C6461C4"/>
    <w:rsid w:val="7C7716B2"/>
    <w:rsid w:val="7C8998D9"/>
    <w:rsid w:val="7C8D2B6B"/>
    <w:rsid w:val="7C8E41ED"/>
    <w:rsid w:val="7CA53A11"/>
    <w:rsid w:val="7CAB4D9F"/>
    <w:rsid w:val="7CB37868"/>
    <w:rsid w:val="7CB4042E"/>
    <w:rsid w:val="7CB71996"/>
    <w:rsid w:val="7CBB1819"/>
    <w:rsid w:val="7CBC51FE"/>
    <w:rsid w:val="7CBF0A06"/>
    <w:rsid w:val="7CC540B3"/>
    <w:rsid w:val="7CC8701A"/>
    <w:rsid w:val="7CD417CC"/>
    <w:rsid w:val="7CE51BC3"/>
    <w:rsid w:val="7CED360A"/>
    <w:rsid w:val="7CED7166"/>
    <w:rsid w:val="7CEEB960"/>
    <w:rsid w:val="7CF16265"/>
    <w:rsid w:val="7CF33E53"/>
    <w:rsid w:val="7CF83C2F"/>
    <w:rsid w:val="7CFA3997"/>
    <w:rsid w:val="7CFFF5B8"/>
    <w:rsid w:val="7D024F8E"/>
    <w:rsid w:val="7D150AFD"/>
    <w:rsid w:val="7D15201E"/>
    <w:rsid w:val="7D172435"/>
    <w:rsid w:val="7D197F5B"/>
    <w:rsid w:val="7D250FF6"/>
    <w:rsid w:val="7D3B31E8"/>
    <w:rsid w:val="7D3B4375"/>
    <w:rsid w:val="7D4274B2"/>
    <w:rsid w:val="7D4C20DE"/>
    <w:rsid w:val="7D50302A"/>
    <w:rsid w:val="7D52346D"/>
    <w:rsid w:val="7D563C1F"/>
    <w:rsid w:val="7D5F62B6"/>
    <w:rsid w:val="7D625DA6"/>
    <w:rsid w:val="7D646FE6"/>
    <w:rsid w:val="7D697134"/>
    <w:rsid w:val="7D6C2781"/>
    <w:rsid w:val="7D7702C0"/>
    <w:rsid w:val="7D7DD7D4"/>
    <w:rsid w:val="7D7F16EC"/>
    <w:rsid w:val="7D8A547F"/>
    <w:rsid w:val="7D8E0949"/>
    <w:rsid w:val="7D9870EB"/>
    <w:rsid w:val="7D997627"/>
    <w:rsid w:val="7DA243F4"/>
    <w:rsid w:val="7DA834E4"/>
    <w:rsid w:val="7DAC5273"/>
    <w:rsid w:val="7DB90FC9"/>
    <w:rsid w:val="7DBE3BDC"/>
    <w:rsid w:val="7DBFD623"/>
    <w:rsid w:val="7DD03787"/>
    <w:rsid w:val="7DD1074B"/>
    <w:rsid w:val="7DD65E4C"/>
    <w:rsid w:val="7DD81597"/>
    <w:rsid w:val="7DDD55F1"/>
    <w:rsid w:val="7DED25F1"/>
    <w:rsid w:val="7DF40153"/>
    <w:rsid w:val="7DFC494D"/>
    <w:rsid w:val="7DFD5546"/>
    <w:rsid w:val="7DFEBF87"/>
    <w:rsid w:val="7E001370"/>
    <w:rsid w:val="7E1A2BCF"/>
    <w:rsid w:val="7E22507B"/>
    <w:rsid w:val="7E2E7A36"/>
    <w:rsid w:val="7E357016"/>
    <w:rsid w:val="7E36758B"/>
    <w:rsid w:val="7E3C6480"/>
    <w:rsid w:val="7E405974"/>
    <w:rsid w:val="7E464D80"/>
    <w:rsid w:val="7E4B05E8"/>
    <w:rsid w:val="7E505516"/>
    <w:rsid w:val="7E521976"/>
    <w:rsid w:val="7E642257"/>
    <w:rsid w:val="7E6478FC"/>
    <w:rsid w:val="7E660E19"/>
    <w:rsid w:val="7E6E2528"/>
    <w:rsid w:val="7E6F077A"/>
    <w:rsid w:val="7E7235F9"/>
    <w:rsid w:val="7E778D31"/>
    <w:rsid w:val="7E784022"/>
    <w:rsid w:val="7E7A4224"/>
    <w:rsid w:val="7E7B232B"/>
    <w:rsid w:val="7EA357F8"/>
    <w:rsid w:val="7EA53912"/>
    <w:rsid w:val="7EB4C332"/>
    <w:rsid w:val="7EB5014B"/>
    <w:rsid w:val="7EB56CC0"/>
    <w:rsid w:val="7EB663A9"/>
    <w:rsid w:val="7EB7085A"/>
    <w:rsid w:val="7EBF8D68"/>
    <w:rsid w:val="7EC363D0"/>
    <w:rsid w:val="7EC469CB"/>
    <w:rsid w:val="7EC90406"/>
    <w:rsid w:val="7EC97625"/>
    <w:rsid w:val="7ED11CAD"/>
    <w:rsid w:val="7EDE6C59"/>
    <w:rsid w:val="7EF16AAC"/>
    <w:rsid w:val="7EF86D6A"/>
    <w:rsid w:val="7F0D7F93"/>
    <w:rsid w:val="7F166E48"/>
    <w:rsid w:val="7F186AA0"/>
    <w:rsid w:val="7F1E5699"/>
    <w:rsid w:val="7F1E7D70"/>
    <w:rsid w:val="7F2552DD"/>
    <w:rsid w:val="7F2C666B"/>
    <w:rsid w:val="7F2F3A66"/>
    <w:rsid w:val="7F313C82"/>
    <w:rsid w:val="7F323340"/>
    <w:rsid w:val="7F3555C5"/>
    <w:rsid w:val="7F441324"/>
    <w:rsid w:val="7F441B10"/>
    <w:rsid w:val="7F46600F"/>
    <w:rsid w:val="7F533BF8"/>
    <w:rsid w:val="7F565496"/>
    <w:rsid w:val="7F592524"/>
    <w:rsid w:val="7F5C3C9C"/>
    <w:rsid w:val="7F5D60C2"/>
    <w:rsid w:val="7F5F4BFC"/>
    <w:rsid w:val="7F6565D9"/>
    <w:rsid w:val="7F6768AC"/>
    <w:rsid w:val="7F6779F6"/>
    <w:rsid w:val="7F7542D2"/>
    <w:rsid w:val="7F7997A2"/>
    <w:rsid w:val="7F7B4EFD"/>
    <w:rsid w:val="7F7B6CAB"/>
    <w:rsid w:val="7F802513"/>
    <w:rsid w:val="7F857B2A"/>
    <w:rsid w:val="7F875650"/>
    <w:rsid w:val="7F903BD2"/>
    <w:rsid w:val="7F963AE5"/>
    <w:rsid w:val="7F9E2999"/>
    <w:rsid w:val="7FAE2048"/>
    <w:rsid w:val="7FAF933B"/>
    <w:rsid w:val="7FB65F35"/>
    <w:rsid w:val="7FB73115"/>
    <w:rsid w:val="7FB79C6C"/>
    <w:rsid w:val="7FB863C1"/>
    <w:rsid w:val="7FBD1532"/>
    <w:rsid w:val="7FBD72C3"/>
    <w:rsid w:val="7FBF303C"/>
    <w:rsid w:val="7FD6583E"/>
    <w:rsid w:val="7FDF548C"/>
    <w:rsid w:val="7FE7683D"/>
    <w:rsid w:val="7FEBB101"/>
    <w:rsid w:val="7FF932C8"/>
    <w:rsid w:val="7FF9A5B2"/>
    <w:rsid w:val="7FFBE61A"/>
    <w:rsid w:val="7FFC1EBF"/>
    <w:rsid w:val="7FFE2F2B"/>
    <w:rsid w:val="7FFE8769"/>
    <w:rsid w:val="7FFF074A"/>
    <w:rsid w:val="8F372423"/>
    <w:rsid w:val="93EE851A"/>
    <w:rsid w:val="9775E069"/>
    <w:rsid w:val="97FFAA26"/>
    <w:rsid w:val="9A3D66DB"/>
    <w:rsid w:val="9FDED4BA"/>
    <w:rsid w:val="A7BDB41A"/>
    <w:rsid w:val="ADEF6A34"/>
    <w:rsid w:val="AECDD1DA"/>
    <w:rsid w:val="AF09F5FF"/>
    <w:rsid w:val="AFFBDBFD"/>
    <w:rsid w:val="B3F3063D"/>
    <w:rsid w:val="B5DA5392"/>
    <w:rsid w:val="B7CE4B8B"/>
    <w:rsid w:val="B7FA7F68"/>
    <w:rsid w:val="B94BDE29"/>
    <w:rsid w:val="BB7B7454"/>
    <w:rsid w:val="BBA7A4B5"/>
    <w:rsid w:val="BBBB6F11"/>
    <w:rsid w:val="BBFE2A3A"/>
    <w:rsid w:val="BD1F8DFC"/>
    <w:rsid w:val="BD472E0E"/>
    <w:rsid w:val="BDAFA2B3"/>
    <w:rsid w:val="BDFE8156"/>
    <w:rsid w:val="BEFBF8A7"/>
    <w:rsid w:val="BF674AC0"/>
    <w:rsid w:val="BF7391BA"/>
    <w:rsid w:val="BF77812B"/>
    <w:rsid w:val="BFDEC40F"/>
    <w:rsid w:val="BFF2BBDA"/>
    <w:rsid w:val="BFF77357"/>
    <w:rsid w:val="C6FF7764"/>
    <w:rsid w:val="CB374EEA"/>
    <w:rsid w:val="CB755014"/>
    <w:rsid w:val="CBD4CE04"/>
    <w:rsid w:val="CBFF55D5"/>
    <w:rsid w:val="CCFF2A63"/>
    <w:rsid w:val="CDFF754B"/>
    <w:rsid w:val="CED2E7FC"/>
    <w:rsid w:val="CFFF70D3"/>
    <w:rsid w:val="D3D714C6"/>
    <w:rsid w:val="D4F4298A"/>
    <w:rsid w:val="D5F3B815"/>
    <w:rsid w:val="D7B7AF88"/>
    <w:rsid w:val="D9EA5FDD"/>
    <w:rsid w:val="DAFF2443"/>
    <w:rsid w:val="DAFFAEFC"/>
    <w:rsid w:val="DBA53F1E"/>
    <w:rsid w:val="DD6EB600"/>
    <w:rsid w:val="DD7F5733"/>
    <w:rsid w:val="DD8E6F13"/>
    <w:rsid w:val="DDEDDD53"/>
    <w:rsid w:val="DDF213A1"/>
    <w:rsid w:val="DFD52B5D"/>
    <w:rsid w:val="DFF5FE75"/>
    <w:rsid w:val="E47B2EFB"/>
    <w:rsid w:val="E5BF92B5"/>
    <w:rsid w:val="E77B7678"/>
    <w:rsid w:val="E7D520B3"/>
    <w:rsid w:val="E7D7FA00"/>
    <w:rsid w:val="E7FBF13C"/>
    <w:rsid w:val="EAF634B0"/>
    <w:rsid w:val="EBFA2A39"/>
    <w:rsid w:val="EC8BD0C9"/>
    <w:rsid w:val="EF37FD01"/>
    <w:rsid w:val="EFF779EA"/>
    <w:rsid w:val="EFF78BF1"/>
    <w:rsid w:val="EFFD9D46"/>
    <w:rsid w:val="F3EB7FBC"/>
    <w:rsid w:val="F4BF1A42"/>
    <w:rsid w:val="F57B0D89"/>
    <w:rsid w:val="F5DF0B95"/>
    <w:rsid w:val="F6EBD86D"/>
    <w:rsid w:val="F6F59CDC"/>
    <w:rsid w:val="F70AB8A2"/>
    <w:rsid w:val="F73389C8"/>
    <w:rsid w:val="F75CCE16"/>
    <w:rsid w:val="F79B5717"/>
    <w:rsid w:val="F7DB9B88"/>
    <w:rsid w:val="F7FD02F4"/>
    <w:rsid w:val="F7FE0117"/>
    <w:rsid w:val="F7FEC747"/>
    <w:rsid w:val="F87965F3"/>
    <w:rsid w:val="F994E925"/>
    <w:rsid w:val="F9B72875"/>
    <w:rsid w:val="FABECAEE"/>
    <w:rsid w:val="FAF736DC"/>
    <w:rsid w:val="FB6F242B"/>
    <w:rsid w:val="FBBE6C3C"/>
    <w:rsid w:val="FBC6A65A"/>
    <w:rsid w:val="FBEEF497"/>
    <w:rsid w:val="FBF9B900"/>
    <w:rsid w:val="FC7F978C"/>
    <w:rsid w:val="FCDFD664"/>
    <w:rsid w:val="FD3D3666"/>
    <w:rsid w:val="FDB66EEA"/>
    <w:rsid w:val="FDD648A9"/>
    <w:rsid w:val="FDEE2C55"/>
    <w:rsid w:val="FDF74EFB"/>
    <w:rsid w:val="FDFF2979"/>
    <w:rsid w:val="FE3E47A6"/>
    <w:rsid w:val="FE67307B"/>
    <w:rsid w:val="FE6B5C7F"/>
    <w:rsid w:val="FEA6F3AD"/>
    <w:rsid w:val="FEEB70AF"/>
    <w:rsid w:val="FEFE529E"/>
    <w:rsid w:val="FF2FC985"/>
    <w:rsid w:val="FF3B4806"/>
    <w:rsid w:val="FF77D45E"/>
    <w:rsid w:val="FF7D1313"/>
    <w:rsid w:val="FF7D1E65"/>
    <w:rsid w:val="FFAFBBC1"/>
    <w:rsid w:val="FFBDBD99"/>
    <w:rsid w:val="FFCB90D5"/>
    <w:rsid w:val="FFD7D610"/>
    <w:rsid w:val="FFEA63D3"/>
    <w:rsid w:val="FFF733B7"/>
    <w:rsid w:val="FFF7BE53"/>
    <w:rsid w:val="FFFB5857"/>
    <w:rsid w:val="FFFD18ED"/>
    <w:rsid w:val="FFFFA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3"/>
    <w:qFormat/>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eastAsia="仿宋_GB2312"/>
      <w:sz w:val="32"/>
    </w:rPr>
  </w:style>
  <w:style w:type="paragraph" w:styleId="8">
    <w:name w:val="Normal Indent"/>
    <w:basedOn w:val="1"/>
    <w:qFormat/>
    <w:uiPriority w:val="0"/>
    <w:pPr>
      <w:ind w:firstLine="420"/>
    </w:pPr>
    <w:rPr>
      <w:szCs w:val="20"/>
    </w:rPr>
  </w:style>
  <w:style w:type="paragraph" w:styleId="9">
    <w:name w:val="annotation text"/>
    <w:basedOn w:val="1"/>
    <w:link w:val="34"/>
    <w:unhideWhenUsed/>
    <w:qFormat/>
    <w:uiPriority w:val="0"/>
    <w:pPr>
      <w:jc w:val="left"/>
    </w:pPr>
  </w:style>
  <w:style w:type="paragraph" w:styleId="10">
    <w:name w:val="Body Text"/>
    <w:basedOn w:val="1"/>
    <w:next w:val="1"/>
    <w:link w:val="35"/>
    <w:unhideWhenUsed/>
    <w:qFormat/>
    <w:uiPriority w:val="0"/>
    <w:pPr>
      <w:spacing w:after="120"/>
    </w:pPr>
    <w:rPr>
      <w:sz w:val="24"/>
    </w:r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link w:val="36"/>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2"/>
    <w:unhideWhenUsed/>
    <w:qFormat/>
    <w:uiPriority w:val="99"/>
    <w:rPr>
      <w:sz w:val="18"/>
      <w:szCs w:val="18"/>
    </w:rPr>
  </w:style>
  <w:style w:type="paragraph" w:styleId="15">
    <w:name w:val="footer"/>
    <w:basedOn w:val="1"/>
    <w:link w:val="37"/>
    <w:unhideWhenUsed/>
    <w:qFormat/>
    <w:uiPriority w:val="0"/>
    <w:pPr>
      <w:tabs>
        <w:tab w:val="center" w:pos="4153"/>
        <w:tab w:val="right" w:pos="8306"/>
      </w:tabs>
      <w:snapToGrid w:val="0"/>
      <w:jc w:val="left"/>
    </w:pPr>
    <w:rPr>
      <w:rFonts w:ascii="Calibri" w:hAnsi="Calibri"/>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7">
    <w:name w:val="toc 1"/>
    <w:basedOn w:val="1"/>
    <w:next w:val="1"/>
    <w:unhideWhenUsed/>
    <w:qFormat/>
    <w:uiPriority w:val="39"/>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Arial" w:hAnsi="Arial" w:eastAsia="隶书"/>
      <w:b/>
      <w:bCs/>
      <w:sz w:val="32"/>
      <w:szCs w:val="32"/>
    </w:rPr>
  </w:style>
  <w:style w:type="paragraph" w:styleId="22">
    <w:name w:val="annotation subject"/>
    <w:basedOn w:val="9"/>
    <w:next w:val="9"/>
    <w:link w:val="39"/>
    <w:unhideWhenUsed/>
    <w:qFormat/>
    <w:uiPriority w:val="99"/>
    <w:rPr>
      <w:b/>
      <w:bCs/>
    </w:rPr>
  </w:style>
  <w:style w:type="paragraph" w:styleId="23">
    <w:name w:val="Body Text First Indent"/>
    <w:basedOn w:val="10"/>
    <w:qFormat/>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FollowedHyperlink"/>
    <w:unhideWhenUsed/>
    <w:qFormat/>
    <w:uiPriority w:val="99"/>
    <w:rPr>
      <w:color w:val="954F72"/>
      <w:u w:val="single"/>
    </w:rPr>
  </w:style>
  <w:style w:type="character" w:styleId="29">
    <w:name w:val="Hyperlink"/>
    <w:qFormat/>
    <w:uiPriority w:val="0"/>
    <w:rPr>
      <w:color w:val="0000FF"/>
      <w:u w:val="none"/>
    </w:rPr>
  </w:style>
  <w:style w:type="character" w:styleId="30">
    <w:name w:val="annotation reference"/>
    <w:unhideWhenUsed/>
    <w:qFormat/>
    <w:uiPriority w:val="0"/>
    <w:rPr>
      <w:sz w:val="21"/>
      <w:szCs w:val="21"/>
    </w:rPr>
  </w:style>
  <w:style w:type="paragraph" w:customStyle="1" w:styleId="31">
    <w:name w:val="Char"/>
    <w:basedOn w:val="1"/>
    <w:qFormat/>
    <w:uiPriority w:val="0"/>
    <w:pPr>
      <w:widowControl/>
      <w:spacing w:after="160" w:line="240" w:lineRule="exact"/>
      <w:jc w:val="left"/>
    </w:pPr>
  </w:style>
  <w:style w:type="character" w:customStyle="1" w:styleId="32">
    <w:name w:val="批注框文本 字符"/>
    <w:link w:val="14"/>
    <w:semiHidden/>
    <w:qFormat/>
    <w:uiPriority w:val="99"/>
    <w:rPr>
      <w:rFonts w:ascii="Times New Roman" w:hAnsi="Times New Roman" w:eastAsia="宋体" w:cs="Times New Roman"/>
      <w:sz w:val="18"/>
      <w:szCs w:val="18"/>
    </w:rPr>
  </w:style>
  <w:style w:type="character" w:customStyle="1" w:styleId="33">
    <w:name w:val="标题 5 字符"/>
    <w:link w:val="7"/>
    <w:semiHidden/>
    <w:qFormat/>
    <w:uiPriority w:val="9"/>
    <w:rPr>
      <w:b/>
      <w:bCs/>
      <w:kern w:val="2"/>
      <w:sz w:val="28"/>
      <w:szCs w:val="28"/>
    </w:rPr>
  </w:style>
  <w:style w:type="character" w:customStyle="1" w:styleId="34">
    <w:name w:val="批注文字 字符"/>
    <w:link w:val="9"/>
    <w:qFormat/>
    <w:uiPriority w:val="0"/>
    <w:rPr>
      <w:rFonts w:ascii="Times New Roman" w:hAnsi="Times New Roman" w:eastAsia="宋体" w:cs="Times New Roman"/>
      <w:szCs w:val="24"/>
    </w:rPr>
  </w:style>
  <w:style w:type="character" w:customStyle="1" w:styleId="35">
    <w:name w:val="正文文本 字符"/>
    <w:link w:val="10"/>
    <w:qFormat/>
    <w:uiPriority w:val="0"/>
    <w:rPr>
      <w:rFonts w:ascii="Times New Roman" w:hAnsi="Times New Roman" w:eastAsia="宋体"/>
      <w:kern w:val="2"/>
      <w:sz w:val="24"/>
      <w:szCs w:val="24"/>
    </w:rPr>
  </w:style>
  <w:style w:type="character" w:customStyle="1" w:styleId="36">
    <w:name w:val="纯文本 字符1"/>
    <w:link w:val="12"/>
    <w:qFormat/>
    <w:uiPriority w:val="0"/>
    <w:rPr>
      <w:rFonts w:ascii="宋体" w:hAnsi="Courier New"/>
      <w:kern w:val="2"/>
      <w:sz w:val="21"/>
      <w:szCs w:val="24"/>
    </w:rPr>
  </w:style>
  <w:style w:type="character" w:customStyle="1" w:styleId="37">
    <w:name w:val="页脚 字符1"/>
    <w:link w:val="15"/>
    <w:qFormat/>
    <w:uiPriority w:val="99"/>
    <w:rPr>
      <w:sz w:val="18"/>
      <w:szCs w:val="18"/>
    </w:rPr>
  </w:style>
  <w:style w:type="character" w:customStyle="1" w:styleId="38">
    <w:name w:val="页眉 字符"/>
    <w:link w:val="16"/>
    <w:qFormat/>
    <w:uiPriority w:val="99"/>
    <w:rPr>
      <w:sz w:val="18"/>
      <w:szCs w:val="18"/>
    </w:rPr>
  </w:style>
  <w:style w:type="character" w:customStyle="1" w:styleId="39">
    <w:name w:val="批注主题 字符"/>
    <w:link w:val="22"/>
    <w:semiHidden/>
    <w:qFormat/>
    <w:uiPriority w:val="99"/>
    <w:rPr>
      <w:rFonts w:ascii="Times New Roman" w:hAnsi="Times New Roman" w:eastAsia="宋体" w:cs="Times New Roman"/>
      <w:b/>
      <w:bCs/>
      <w:szCs w:val="24"/>
    </w:rPr>
  </w:style>
  <w:style w:type="paragraph" w:styleId="40">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character" w:customStyle="1" w:styleId="41">
    <w:name w:val="qowt-font5-gb2312"/>
    <w:qFormat/>
    <w:uiPriority w:val="0"/>
  </w:style>
  <w:style w:type="character" w:customStyle="1" w:styleId="42">
    <w:name w:val="标题1"/>
    <w:qFormat/>
    <w:uiPriority w:val="0"/>
  </w:style>
  <w:style w:type="character" w:customStyle="1" w:styleId="43">
    <w:name w:val="页脚 字符"/>
    <w:qFormat/>
    <w:uiPriority w:val="99"/>
    <w:rPr>
      <w:rFonts w:ascii="Calibri" w:hAnsi="Calibri"/>
      <w:kern w:val="2"/>
      <w:sz w:val="18"/>
      <w:szCs w:val="18"/>
    </w:rPr>
  </w:style>
  <w:style w:type="character" w:customStyle="1" w:styleId="44">
    <w:name w:val="纯文本 字符"/>
    <w:semiHidden/>
    <w:qFormat/>
    <w:uiPriority w:val="99"/>
    <w:rPr>
      <w:rFonts w:ascii="宋体" w:hAnsi="Courier New" w:cs="Courier New"/>
      <w:kern w:val="2"/>
      <w:sz w:val="21"/>
      <w:szCs w:val="21"/>
    </w:rPr>
  </w:style>
  <w:style w:type="character" w:customStyle="1" w:styleId="45">
    <w:name w:val="Hyperlink.0"/>
    <w:qFormat/>
    <w:uiPriority w:val="0"/>
    <w:rPr>
      <w:rFonts w:ascii="宋体" w:hAnsi="宋体" w:eastAsia="宋体" w:cs="宋体"/>
      <w:lang w:val="en-US" w:eastAsia="zh-TW"/>
    </w:rPr>
  </w:style>
  <w:style w:type="character" w:customStyle="1" w:styleId="46">
    <w:name w:val="批注文字 字符1"/>
    <w:qFormat/>
    <w:uiPriority w:val="0"/>
    <w:rPr>
      <w:rFonts w:ascii="Times New Roman" w:hAnsi="Times New Roman" w:eastAsia="宋体" w:cs="Times New Roman"/>
      <w:szCs w:val="24"/>
    </w:rPr>
  </w:style>
  <w:style w:type="paragraph" w:customStyle="1" w:styleId="47">
    <w:name w:val="_Style 44"/>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1">
    <w:name w:val="Other|1"/>
    <w:basedOn w:val="1"/>
    <w:qFormat/>
    <w:uiPriority w:val="0"/>
    <w:pPr>
      <w:spacing w:line="300" w:lineRule="auto"/>
      <w:ind w:firstLine="400"/>
    </w:pPr>
    <w:rPr>
      <w:rFonts w:ascii="宋体" w:hAnsi="宋体" w:cs="宋体"/>
      <w:lang w:val="zh-TW" w:eastAsia="zh-TW" w:bidi="zh-TW"/>
    </w:rPr>
  </w:style>
  <w:style w:type="paragraph" w:customStyle="1" w:styleId="52">
    <w:name w:val="正文格式"/>
    <w:basedOn w:val="11"/>
    <w:qFormat/>
    <w:uiPriority w:val="99"/>
    <w:pPr>
      <w:spacing w:after="0" w:line="360" w:lineRule="auto"/>
      <w:ind w:left="0" w:leftChars="0" w:firstLine="600"/>
    </w:pPr>
    <w:rPr>
      <w:rFonts w:eastAsia="仿宋_GB2312"/>
      <w:sz w:val="30"/>
      <w:szCs w:val="30"/>
    </w:rPr>
  </w:style>
  <w:style w:type="paragraph" w:customStyle="1" w:styleId="53">
    <w:name w:val="msolistparagraph"/>
    <w:basedOn w:val="1"/>
    <w:qFormat/>
    <w:uiPriority w:val="0"/>
    <w:pPr>
      <w:ind w:firstLine="420" w:firstLineChars="200"/>
    </w:pPr>
  </w:style>
  <w:style w:type="paragraph" w:styleId="54">
    <w:name w:val="List Paragraph"/>
    <w:basedOn w:val="1"/>
    <w:qFormat/>
    <w:uiPriority w:val="34"/>
    <w:pPr>
      <w:ind w:firstLine="420" w:firstLineChars="200"/>
    </w:pPr>
  </w:style>
  <w:style w:type="paragraph" w:customStyle="1" w:styleId="5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8">
    <w:name w:val="Table Paragraph"/>
    <w:basedOn w:val="1"/>
    <w:qFormat/>
    <w:uiPriority w:val="0"/>
    <w:pPr>
      <w:autoSpaceDE w:val="0"/>
      <w:autoSpaceDN w:val="0"/>
      <w:jc w:val="left"/>
    </w:pPr>
    <w:rPr>
      <w:rFonts w:ascii="宋体" w:hAnsi="宋体" w:cs="宋体"/>
      <w:kern w:val="0"/>
      <w:sz w:val="22"/>
      <w:szCs w:val="22"/>
    </w:rPr>
  </w:style>
  <w:style w:type="paragraph" w:customStyle="1" w:styleId="59">
    <w:name w:val="x-scope"/>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p0"/>
    <w:basedOn w:val="1"/>
    <w:qFormat/>
    <w:uiPriority w:val="0"/>
    <w:pPr>
      <w:widowControl/>
      <w:jc w:val="left"/>
    </w:pPr>
    <w:rPr>
      <w:kern w:val="0"/>
      <w:sz w:val="24"/>
    </w:rPr>
  </w:style>
  <w:style w:type="paragraph" w:customStyle="1" w:styleId="65">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6">
    <w:name w:val="cf01"/>
    <w:basedOn w:val="26"/>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qh-PC</Company>
  <Pages>74</Pages>
  <Words>6495</Words>
  <Characters>37023</Characters>
  <Lines>308</Lines>
  <Paragraphs>86</Paragraphs>
  <TotalTime>11</TotalTime>
  <ScaleCrop>false</ScaleCrop>
  <LinksUpToDate>false</LinksUpToDate>
  <CharactersWithSpaces>43432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2023-08-30T07:39:00Z</dcterms:created>
  <dc:creator>远东招标-凌勰13728851925</dc:creator>
  <cp:lastModifiedBy>lhh</cp:lastModifiedBy>
  <cp:lastPrinted>2022-08-22T06:55:00Z</cp:lastPrinted>
  <dcterms:modified xsi:type="dcterms:W3CDTF">2023-10-07T02:25:00Z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7A478AC5DD4C492EA3A8171850408B6E_13</vt:lpwstr>
  </property>
  <property fmtid="{D5CDD505-2E9C-101B-9397-08002B2CF9AE}" pid="4" name="commondata">
    <vt:lpwstr>eyJoZGlkIjoiYmMxMDc3MzEwOWIzMjRmOWFjY2ZmMjJjMThlMGUwZWUifQ==</vt:lpwstr>
  </property>
</Properties>
</file>